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ascii="宋体" w:hAnsi="宋体" w:cs="宋体"/>
          <w:color w:val="auto"/>
          <w:sz w:val="28"/>
          <w:szCs w:val="28"/>
          <w:highlight w:val="none"/>
        </w:rPr>
      </w:pPr>
    </w:p>
    <w:p>
      <w:pPr>
        <w:spacing w:line="360" w:lineRule="auto"/>
        <w:ind w:firstLine="560"/>
        <w:rPr>
          <w:rFonts w:ascii="宋体" w:hAnsi="宋体" w:cs="宋体"/>
          <w:color w:val="auto"/>
          <w:sz w:val="28"/>
          <w:szCs w:val="28"/>
          <w:highlight w:val="none"/>
        </w:rPr>
      </w:pPr>
    </w:p>
    <w:p>
      <w:pPr>
        <w:spacing w:line="360" w:lineRule="auto"/>
        <w:ind w:firstLine="560"/>
        <w:rPr>
          <w:rFonts w:ascii="宋体" w:hAnsi="宋体" w:cs="宋体"/>
          <w:color w:val="auto"/>
          <w:sz w:val="28"/>
          <w:szCs w:val="28"/>
          <w:highlight w:val="none"/>
        </w:rPr>
      </w:pPr>
    </w:p>
    <w:p>
      <w:pPr>
        <w:spacing w:line="360" w:lineRule="auto"/>
        <w:ind w:firstLine="560"/>
        <w:jc w:val="left"/>
        <w:rPr>
          <w:rFonts w:ascii="宋体" w:hAnsi="宋体" w:cs="宋体"/>
          <w:color w:val="auto"/>
          <w:sz w:val="28"/>
          <w:szCs w:val="28"/>
          <w:highlight w:val="none"/>
        </w:rPr>
      </w:pPr>
    </w:p>
    <w:p>
      <w:pPr>
        <w:jc w:val="center"/>
        <w:rPr>
          <w:rFonts w:hint="eastAsia" w:ascii="黑体" w:eastAsia="黑体"/>
          <w:color w:val="auto"/>
          <w:sz w:val="32"/>
          <w:szCs w:val="28"/>
          <w:highlight w:val="none"/>
          <w:u w:val="single"/>
          <w:lang w:eastAsia="zh-CN"/>
        </w:rPr>
      </w:pPr>
      <w:r>
        <w:rPr>
          <w:rFonts w:hint="eastAsia" w:ascii="黑体" w:eastAsia="黑体"/>
          <w:color w:val="auto"/>
          <w:sz w:val="32"/>
          <w:szCs w:val="28"/>
          <w:highlight w:val="none"/>
          <w:u w:val="single"/>
          <w:lang w:eastAsia="zh-CN"/>
        </w:rPr>
        <w:t>港澳码头周边地块综合整理项目渗滤液运输服务项目</w:t>
      </w:r>
    </w:p>
    <w:p>
      <w:pPr>
        <w:jc w:val="center"/>
        <w:rPr>
          <w:rFonts w:hint="eastAsia" w:ascii="黑体" w:eastAsia="黑体"/>
          <w:color w:val="auto"/>
          <w:sz w:val="32"/>
          <w:szCs w:val="28"/>
          <w:highlight w:val="none"/>
          <w:lang w:eastAsia="zh-CN"/>
        </w:rPr>
      </w:pPr>
      <w:r>
        <w:rPr>
          <w:rFonts w:hint="eastAsia" w:ascii="黑体" w:eastAsia="黑体"/>
          <w:color w:val="auto"/>
          <w:sz w:val="32"/>
          <w:szCs w:val="28"/>
          <w:highlight w:val="none"/>
        </w:rPr>
        <w:t>编号：</w:t>
      </w:r>
      <w:r>
        <w:rPr>
          <w:rFonts w:hint="eastAsia" w:ascii="黑体" w:eastAsia="黑体"/>
          <w:color w:val="auto"/>
          <w:sz w:val="32"/>
          <w:szCs w:val="28"/>
          <w:highlight w:val="none"/>
          <w:lang w:eastAsia="zh-CN"/>
        </w:rPr>
        <w:t>XDX-GK-2024-001</w:t>
      </w:r>
    </w:p>
    <w:p>
      <w:pPr>
        <w:rPr>
          <w:color w:val="auto"/>
          <w:sz w:val="28"/>
          <w:szCs w:val="28"/>
          <w:highlight w:val="none"/>
        </w:rPr>
      </w:pPr>
    </w:p>
    <w:p>
      <w:pPr>
        <w:rPr>
          <w:color w:val="auto"/>
          <w:sz w:val="28"/>
          <w:szCs w:val="28"/>
          <w:highlight w:val="none"/>
        </w:rPr>
      </w:pPr>
    </w:p>
    <w:p>
      <w:pPr>
        <w:jc w:val="center"/>
        <w:rPr>
          <w:rFonts w:ascii="黑体" w:eastAsia="黑体"/>
          <w:color w:val="auto"/>
          <w:sz w:val="44"/>
          <w:szCs w:val="44"/>
          <w:highlight w:val="none"/>
        </w:rPr>
      </w:pPr>
      <w:r>
        <w:rPr>
          <w:rFonts w:hint="eastAsia" w:ascii="黑体" w:eastAsia="黑体"/>
          <w:color w:val="auto"/>
          <w:sz w:val="44"/>
          <w:szCs w:val="44"/>
          <w:highlight w:val="none"/>
        </w:rPr>
        <w:t>竞争性谈判文件</w:t>
      </w: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采购人：</w:t>
      </w:r>
      <w:r>
        <w:rPr>
          <w:rFonts w:hint="eastAsia" w:ascii="黑体" w:eastAsia="黑体"/>
          <w:color w:val="auto"/>
          <w:sz w:val="28"/>
          <w:szCs w:val="28"/>
          <w:highlight w:val="none"/>
          <w:u w:val="single"/>
          <w:lang w:eastAsia="zh-CN"/>
        </w:rPr>
        <w:t>东莞市新东欣环保投资有限公司</w:t>
      </w:r>
      <w:r>
        <w:rPr>
          <w:rFonts w:hint="eastAsia" w:ascii="黑体" w:eastAsia="黑体"/>
          <w:color w:val="auto"/>
          <w:sz w:val="28"/>
          <w:szCs w:val="28"/>
          <w:highlight w:val="none"/>
        </w:rPr>
        <w:t>（盖单位章）</w:t>
      </w:r>
    </w:p>
    <w:p>
      <w:pPr>
        <w:jc w:val="center"/>
        <w:rPr>
          <w:rFonts w:ascii="黑体" w:eastAsia="黑体"/>
          <w:color w:val="auto"/>
          <w:sz w:val="28"/>
          <w:szCs w:val="28"/>
          <w:highlight w:val="none"/>
        </w:rPr>
      </w:pPr>
      <w:r>
        <w:rPr>
          <w:rFonts w:hint="eastAsia" w:ascii="黑体" w:eastAsia="黑体"/>
          <w:color w:val="auto"/>
          <w:sz w:val="28"/>
          <w:szCs w:val="28"/>
          <w:highlight w:val="none"/>
        </w:rPr>
        <w:t>采购代理机构：</w:t>
      </w:r>
      <w:r>
        <w:rPr>
          <w:rFonts w:hint="eastAsia" w:ascii="黑体" w:eastAsia="黑体"/>
          <w:color w:val="auto"/>
          <w:sz w:val="28"/>
          <w:szCs w:val="28"/>
          <w:highlight w:val="none"/>
          <w:u w:val="single"/>
          <w:lang w:eastAsia="zh-CN"/>
        </w:rPr>
        <w:t>广东政通招标有限公司</w:t>
      </w:r>
      <w:r>
        <w:rPr>
          <w:rFonts w:hint="eastAsia" w:ascii="黑体" w:eastAsia="黑体"/>
          <w:color w:val="auto"/>
          <w:sz w:val="28"/>
          <w:szCs w:val="28"/>
          <w:highlight w:val="none"/>
        </w:rPr>
        <w:t>（盖单位章）</w:t>
      </w:r>
    </w:p>
    <w:p>
      <w:pPr>
        <w:jc w:val="center"/>
        <w:rPr>
          <w:rFonts w:ascii="黑体" w:eastAsia="黑体"/>
          <w:color w:val="auto"/>
          <w:sz w:val="28"/>
          <w:szCs w:val="28"/>
          <w:highlight w:val="none"/>
        </w:rPr>
      </w:pPr>
      <w:r>
        <w:rPr>
          <w:rFonts w:ascii="黑体" w:eastAsia="黑体"/>
          <w:color w:val="auto"/>
          <w:sz w:val="28"/>
          <w:szCs w:val="28"/>
          <w:highlight w:val="none"/>
          <w:u w:val="single"/>
        </w:rPr>
        <w:t>202</w:t>
      </w:r>
      <w:r>
        <w:rPr>
          <w:rFonts w:hint="eastAsia" w:ascii="黑体" w:eastAsia="黑体"/>
          <w:color w:val="auto"/>
          <w:sz w:val="28"/>
          <w:szCs w:val="28"/>
          <w:highlight w:val="none"/>
          <w:u w:val="single"/>
          <w:lang w:val="en-US" w:eastAsia="zh-CN"/>
        </w:rPr>
        <w:t>4</w:t>
      </w:r>
      <w:r>
        <w:rPr>
          <w:rFonts w:hint="eastAsia" w:ascii="黑体" w:eastAsia="黑体"/>
          <w:color w:val="auto"/>
          <w:sz w:val="28"/>
          <w:szCs w:val="28"/>
          <w:highlight w:val="none"/>
        </w:rPr>
        <w:t>年</w:t>
      </w:r>
      <w:r>
        <w:rPr>
          <w:rFonts w:hint="eastAsia" w:ascii="黑体" w:eastAsia="黑体"/>
          <w:color w:val="auto"/>
          <w:sz w:val="28"/>
          <w:szCs w:val="28"/>
          <w:highlight w:val="none"/>
          <w:u w:val="single"/>
          <w:lang w:val="en-US" w:eastAsia="zh-CN"/>
        </w:rPr>
        <w:t xml:space="preserve"> 6 </w:t>
      </w:r>
      <w:r>
        <w:rPr>
          <w:rFonts w:hint="eastAsia" w:ascii="黑体" w:eastAsia="黑体"/>
          <w:color w:val="auto"/>
          <w:sz w:val="28"/>
          <w:szCs w:val="28"/>
          <w:highlight w:val="none"/>
        </w:rPr>
        <w:t>月</w:t>
      </w:r>
    </w:p>
    <w:p>
      <w:pPr>
        <w:jc w:val="center"/>
        <w:rPr>
          <w:rFonts w:ascii="黑体" w:eastAsia="黑体"/>
          <w:color w:val="auto"/>
          <w:sz w:val="28"/>
          <w:szCs w:val="28"/>
          <w:highlight w:val="none"/>
        </w:rPr>
      </w:pPr>
      <w:r>
        <w:rPr>
          <w:rFonts w:eastAsia="华文隶书"/>
          <w:color w:val="auto"/>
          <w:sz w:val="44"/>
          <w:szCs w:val="44"/>
          <w:highlight w:val="none"/>
        </w:rPr>
        <w:br w:type="page"/>
      </w:r>
      <w:r>
        <w:rPr>
          <w:rFonts w:hint="eastAsia" w:ascii="黑体" w:eastAsia="黑体"/>
          <w:color w:val="auto"/>
          <w:sz w:val="28"/>
          <w:szCs w:val="28"/>
          <w:highlight w:val="none"/>
        </w:rPr>
        <w:t>目 录</w:t>
      </w:r>
    </w:p>
    <w:p>
      <w:pPr>
        <w:pStyle w:val="26"/>
        <w:tabs>
          <w:tab w:val="right" w:leader="dot" w:pos="8306"/>
        </w:tabs>
        <w:rPr>
          <w:color w:val="auto"/>
          <w:highlight w:val="none"/>
        </w:rPr>
      </w:pPr>
      <w:r>
        <w:rPr>
          <w:rFonts w:ascii="黑体" w:eastAsia="黑体"/>
          <w:color w:val="auto"/>
          <w:sz w:val="28"/>
          <w:szCs w:val="28"/>
          <w:highlight w:val="none"/>
        </w:rPr>
        <w:fldChar w:fldCharType="begin"/>
      </w:r>
      <w:r>
        <w:rPr>
          <w:rFonts w:ascii="黑体" w:eastAsia="黑体"/>
          <w:color w:val="auto"/>
          <w:sz w:val="28"/>
          <w:szCs w:val="28"/>
          <w:highlight w:val="none"/>
        </w:rPr>
        <w:instrText xml:space="preserve"> </w:instrText>
      </w:r>
      <w:r>
        <w:rPr>
          <w:rFonts w:hint="eastAsia" w:ascii="黑体" w:eastAsia="黑体"/>
          <w:color w:val="auto"/>
          <w:sz w:val="28"/>
          <w:szCs w:val="28"/>
          <w:highlight w:val="none"/>
        </w:rPr>
        <w:instrText xml:space="preserve">TOC \o "1-3" \h \z \u</w:instrText>
      </w:r>
      <w:r>
        <w:rPr>
          <w:rFonts w:ascii="黑体" w:eastAsia="黑体"/>
          <w:color w:val="auto"/>
          <w:sz w:val="28"/>
          <w:szCs w:val="28"/>
          <w:highlight w:val="none"/>
        </w:rPr>
        <w:instrText xml:space="preserve"> </w:instrText>
      </w:r>
      <w:r>
        <w:rPr>
          <w:rFonts w:ascii="黑体" w:eastAsia="黑体"/>
          <w:color w:val="auto"/>
          <w:sz w:val="28"/>
          <w:szCs w:val="28"/>
          <w:highlight w:val="none"/>
        </w:rPr>
        <w:fldChar w:fldCharType="separate"/>
      </w:r>
      <w:r>
        <w:rPr>
          <w:color w:val="auto"/>
          <w:highlight w:val="none"/>
        </w:rPr>
        <w:fldChar w:fldCharType="begin"/>
      </w:r>
      <w:r>
        <w:rPr>
          <w:color w:val="auto"/>
          <w:highlight w:val="none"/>
        </w:rPr>
        <w:instrText xml:space="preserve"> HYPERLINK \l "_Toc8202" </w:instrText>
      </w:r>
      <w:r>
        <w:rPr>
          <w:color w:val="auto"/>
          <w:highlight w:val="none"/>
        </w:rPr>
        <w:fldChar w:fldCharType="separate"/>
      </w:r>
      <w:r>
        <w:rPr>
          <w:rFonts w:hint="eastAsia" w:ascii="宋体" w:hAnsi="宋体" w:cs="宋体"/>
          <w:color w:val="auto"/>
          <w:kern w:val="0"/>
          <w:szCs w:val="28"/>
          <w:highlight w:val="none"/>
        </w:rPr>
        <w:t>第</w:t>
      </w:r>
      <w:r>
        <w:rPr>
          <w:rFonts w:ascii="宋体" w:hAnsi="宋体" w:cs="宋体"/>
          <w:color w:val="auto"/>
          <w:kern w:val="0"/>
          <w:szCs w:val="28"/>
          <w:highlight w:val="none"/>
        </w:rPr>
        <w:t>一章  竞争性谈判公告</w:t>
      </w:r>
      <w:r>
        <w:rPr>
          <w:color w:val="auto"/>
          <w:highlight w:val="none"/>
        </w:rPr>
        <w:tab/>
      </w:r>
      <w:r>
        <w:rPr>
          <w:color w:val="auto"/>
          <w:highlight w:val="none"/>
        </w:rPr>
        <w:fldChar w:fldCharType="begin"/>
      </w:r>
      <w:r>
        <w:rPr>
          <w:color w:val="auto"/>
          <w:highlight w:val="none"/>
        </w:rPr>
        <w:instrText xml:space="preserve"> PAGEREF _Toc8202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"_Toc29650" </w:instrText>
      </w:r>
      <w:r>
        <w:rPr>
          <w:color w:val="auto"/>
          <w:highlight w:val="none"/>
        </w:rPr>
        <w:fldChar w:fldCharType="separate"/>
      </w:r>
      <w:r>
        <w:rPr>
          <w:rFonts w:hint="eastAsia" w:ascii="宋体" w:hAnsi="宋体" w:cs="宋体"/>
          <w:color w:val="auto"/>
          <w:kern w:val="0"/>
          <w:szCs w:val="28"/>
          <w:highlight w:val="none"/>
        </w:rPr>
        <w:t>第二章 竞争性谈判响应须知</w:t>
      </w:r>
      <w:r>
        <w:rPr>
          <w:color w:val="auto"/>
          <w:highlight w:val="none"/>
        </w:rPr>
        <w:tab/>
      </w:r>
      <w:r>
        <w:rPr>
          <w:color w:val="auto"/>
          <w:highlight w:val="none"/>
        </w:rPr>
        <w:fldChar w:fldCharType="begin"/>
      </w:r>
      <w:r>
        <w:rPr>
          <w:color w:val="auto"/>
          <w:highlight w:val="none"/>
        </w:rPr>
        <w:instrText xml:space="preserve"> PAGEREF _Toc29650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"_Toc5931" </w:instrText>
      </w:r>
      <w:r>
        <w:rPr>
          <w:color w:val="auto"/>
          <w:highlight w:val="none"/>
        </w:rPr>
        <w:fldChar w:fldCharType="separate"/>
      </w:r>
      <w:r>
        <w:rPr>
          <w:rFonts w:hint="eastAsia"/>
          <w:color w:val="auto"/>
          <w:szCs w:val="28"/>
          <w:highlight w:val="none"/>
        </w:rPr>
        <w:t>竞争性谈判响应须知前附表</w:t>
      </w:r>
      <w:r>
        <w:rPr>
          <w:color w:val="auto"/>
          <w:highlight w:val="none"/>
        </w:rPr>
        <w:tab/>
      </w:r>
      <w:r>
        <w:rPr>
          <w:color w:val="auto"/>
          <w:highlight w:val="none"/>
        </w:rPr>
        <w:fldChar w:fldCharType="begin"/>
      </w:r>
      <w:r>
        <w:rPr>
          <w:color w:val="auto"/>
          <w:highlight w:val="none"/>
        </w:rPr>
        <w:instrText xml:space="preserve"> PAGEREF _Toc5931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"_Toc15744" </w:instrText>
      </w:r>
      <w:r>
        <w:rPr>
          <w:color w:val="auto"/>
          <w:highlight w:val="none"/>
        </w:rPr>
        <w:fldChar w:fldCharType="separate"/>
      </w:r>
      <w:r>
        <w:rPr>
          <w:rFonts w:hint="eastAsia" w:ascii="黑体" w:hAnsi="黑体"/>
          <w:color w:val="auto"/>
          <w:highlight w:val="none"/>
        </w:rPr>
        <w:t>1. 总则</w:t>
      </w:r>
      <w:r>
        <w:rPr>
          <w:color w:val="auto"/>
          <w:highlight w:val="none"/>
        </w:rPr>
        <w:tab/>
      </w:r>
      <w:r>
        <w:rPr>
          <w:color w:val="auto"/>
          <w:highlight w:val="none"/>
        </w:rPr>
        <w:fldChar w:fldCharType="begin"/>
      </w:r>
      <w:r>
        <w:rPr>
          <w:color w:val="auto"/>
          <w:highlight w:val="none"/>
        </w:rPr>
        <w:instrText xml:space="preserve"> PAGEREF _Toc15744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"_Toc5141" </w:instrText>
      </w:r>
      <w:r>
        <w:rPr>
          <w:color w:val="auto"/>
          <w:highlight w:val="none"/>
        </w:rPr>
        <w:fldChar w:fldCharType="separate"/>
      </w:r>
      <w:r>
        <w:rPr>
          <w:rFonts w:hint="eastAsia" w:ascii="黑体" w:hAnsi="黑体"/>
          <w:color w:val="auto"/>
          <w:highlight w:val="none"/>
        </w:rPr>
        <w:t>2. 竞争性谈判文件</w:t>
      </w:r>
      <w:r>
        <w:rPr>
          <w:color w:val="auto"/>
          <w:highlight w:val="none"/>
        </w:rPr>
        <w:tab/>
      </w:r>
      <w:r>
        <w:rPr>
          <w:color w:val="auto"/>
          <w:highlight w:val="none"/>
        </w:rPr>
        <w:fldChar w:fldCharType="begin"/>
      </w:r>
      <w:r>
        <w:rPr>
          <w:color w:val="auto"/>
          <w:highlight w:val="none"/>
        </w:rPr>
        <w:instrText xml:space="preserve"> PAGEREF _Toc5141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"_Toc906" </w:instrText>
      </w:r>
      <w:r>
        <w:rPr>
          <w:color w:val="auto"/>
          <w:highlight w:val="none"/>
        </w:rPr>
        <w:fldChar w:fldCharType="separate"/>
      </w:r>
      <w:r>
        <w:rPr>
          <w:rFonts w:hint="eastAsia" w:ascii="黑体" w:hAnsi="黑体"/>
          <w:color w:val="auto"/>
          <w:highlight w:val="none"/>
        </w:rPr>
        <w:t>3. 响应文件</w:t>
      </w:r>
      <w:r>
        <w:rPr>
          <w:color w:val="auto"/>
          <w:highlight w:val="none"/>
        </w:rPr>
        <w:tab/>
      </w:r>
      <w:r>
        <w:rPr>
          <w:color w:val="auto"/>
          <w:highlight w:val="none"/>
        </w:rPr>
        <w:fldChar w:fldCharType="begin"/>
      </w:r>
      <w:r>
        <w:rPr>
          <w:color w:val="auto"/>
          <w:highlight w:val="none"/>
        </w:rPr>
        <w:instrText xml:space="preserve"> PAGEREF _Toc906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"_Toc11193" </w:instrText>
      </w:r>
      <w:r>
        <w:rPr>
          <w:color w:val="auto"/>
          <w:highlight w:val="none"/>
        </w:rPr>
        <w:fldChar w:fldCharType="separate"/>
      </w:r>
      <w:r>
        <w:rPr>
          <w:rFonts w:hint="eastAsia" w:ascii="黑体" w:hAnsi="黑体"/>
          <w:color w:val="auto"/>
          <w:highlight w:val="none"/>
        </w:rPr>
        <w:t>4. 竞争性谈判</w:t>
      </w:r>
      <w:r>
        <w:rPr>
          <w:color w:val="auto"/>
          <w:highlight w:val="none"/>
        </w:rPr>
        <w:tab/>
      </w:r>
      <w:r>
        <w:rPr>
          <w:color w:val="auto"/>
          <w:highlight w:val="none"/>
        </w:rPr>
        <w:fldChar w:fldCharType="begin"/>
      </w:r>
      <w:r>
        <w:rPr>
          <w:color w:val="auto"/>
          <w:highlight w:val="none"/>
        </w:rPr>
        <w:instrText xml:space="preserve"> PAGEREF _Toc11193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"_Toc7925" </w:instrText>
      </w:r>
      <w:r>
        <w:rPr>
          <w:color w:val="auto"/>
          <w:highlight w:val="none"/>
        </w:rPr>
        <w:fldChar w:fldCharType="separate"/>
      </w:r>
      <w:r>
        <w:rPr>
          <w:rFonts w:hint="eastAsia"/>
          <w:color w:val="auto"/>
          <w:highlight w:val="none"/>
        </w:rPr>
        <w:t>5. 公开唱标</w:t>
      </w:r>
      <w:r>
        <w:rPr>
          <w:color w:val="auto"/>
          <w:highlight w:val="none"/>
        </w:rPr>
        <w:tab/>
      </w:r>
      <w:r>
        <w:rPr>
          <w:color w:val="auto"/>
          <w:highlight w:val="none"/>
        </w:rPr>
        <w:fldChar w:fldCharType="begin"/>
      </w:r>
      <w:r>
        <w:rPr>
          <w:color w:val="auto"/>
          <w:highlight w:val="none"/>
        </w:rPr>
        <w:instrText xml:space="preserve"> PAGEREF _Toc7925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"_Toc21401" </w:instrText>
      </w:r>
      <w:r>
        <w:rPr>
          <w:color w:val="auto"/>
          <w:highlight w:val="none"/>
        </w:rPr>
        <w:fldChar w:fldCharType="separate"/>
      </w:r>
      <w:r>
        <w:rPr>
          <w:rFonts w:hint="eastAsia"/>
          <w:color w:val="auto"/>
          <w:highlight w:val="none"/>
        </w:rPr>
        <w:t>6. 评审</w:t>
      </w:r>
      <w:r>
        <w:rPr>
          <w:color w:val="auto"/>
          <w:highlight w:val="none"/>
        </w:rPr>
        <w:tab/>
      </w:r>
      <w:r>
        <w:rPr>
          <w:color w:val="auto"/>
          <w:highlight w:val="none"/>
        </w:rPr>
        <w:fldChar w:fldCharType="begin"/>
      </w:r>
      <w:r>
        <w:rPr>
          <w:color w:val="auto"/>
          <w:highlight w:val="none"/>
        </w:rPr>
        <w:instrText xml:space="preserve"> PAGEREF _Toc21401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"_Toc21914" </w:instrText>
      </w:r>
      <w:r>
        <w:rPr>
          <w:color w:val="auto"/>
          <w:highlight w:val="none"/>
        </w:rPr>
        <w:fldChar w:fldCharType="separate"/>
      </w:r>
      <w:r>
        <w:rPr>
          <w:rFonts w:hint="eastAsia"/>
          <w:color w:val="auto"/>
          <w:highlight w:val="none"/>
        </w:rPr>
        <w:t>7. 成交</w:t>
      </w:r>
      <w:r>
        <w:rPr>
          <w:color w:val="auto"/>
          <w:highlight w:val="none"/>
        </w:rPr>
        <w:tab/>
      </w:r>
      <w:r>
        <w:rPr>
          <w:color w:val="auto"/>
          <w:highlight w:val="none"/>
        </w:rPr>
        <w:fldChar w:fldCharType="begin"/>
      </w:r>
      <w:r>
        <w:rPr>
          <w:color w:val="auto"/>
          <w:highlight w:val="none"/>
        </w:rPr>
        <w:instrText xml:space="preserve"> PAGEREF _Toc21914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"_Toc20220" </w:instrText>
      </w:r>
      <w:r>
        <w:rPr>
          <w:color w:val="auto"/>
          <w:highlight w:val="none"/>
        </w:rPr>
        <w:fldChar w:fldCharType="separate"/>
      </w:r>
      <w:r>
        <w:rPr>
          <w:rFonts w:hint="eastAsia"/>
          <w:color w:val="auto"/>
          <w:highlight w:val="none"/>
        </w:rPr>
        <w:t>8.合同签订</w:t>
      </w:r>
      <w:r>
        <w:rPr>
          <w:color w:val="auto"/>
          <w:highlight w:val="none"/>
        </w:rPr>
        <w:tab/>
      </w:r>
      <w:r>
        <w:rPr>
          <w:color w:val="auto"/>
          <w:highlight w:val="none"/>
        </w:rPr>
        <w:fldChar w:fldCharType="begin"/>
      </w:r>
      <w:r>
        <w:rPr>
          <w:color w:val="auto"/>
          <w:highlight w:val="none"/>
        </w:rPr>
        <w:instrText xml:space="preserve"> PAGEREF _Toc20220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"_Toc1814" </w:instrText>
      </w:r>
      <w:r>
        <w:rPr>
          <w:color w:val="auto"/>
          <w:highlight w:val="none"/>
        </w:rPr>
        <w:fldChar w:fldCharType="separate"/>
      </w:r>
      <w:r>
        <w:rPr>
          <w:rFonts w:hint="eastAsia"/>
          <w:color w:val="auto"/>
          <w:highlight w:val="none"/>
        </w:rPr>
        <w:t>9.采购代理服务费</w:t>
      </w:r>
      <w:r>
        <w:rPr>
          <w:color w:val="auto"/>
          <w:highlight w:val="none"/>
        </w:rPr>
        <w:tab/>
      </w:r>
      <w:r>
        <w:rPr>
          <w:color w:val="auto"/>
          <w:highlight w:val="none"/>
        </w:rPr>
        <w:fldChar w:fldCharType="begin"/>
      </w:r>
      <w:r>
        <w:rPr>
          <w:color w:val="auto"/>
          <w:highlight w:val="none"/>
        </w:rPr>
        <w:instrText xml:space="preserve"> PAGEREF _Toc1814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"_Toc19131" </w:instrText>
      </w:r>
      <w:r>
        <w:rPr>
          <w:color w:val="auto"/>
          <w:highlight w:val="none"/>
        </w:rPr>
        <w:fldChar w:fldCharType="separate"/>
      </w:r>
      <w:r>
        <w:rPr>
          <w:rFonts w:hint="eastAsia"/>
          <w:color w:val="auto"/>
          <w:highlight w:val="none"/>
        </w:rPr>
        <w:t>10. 纪律和监督</w:t>
      </w:r>
      <w:r>
        <w:rPr>
          <w:color w:val="auto"/>
          <w:highlight w:val="none"/>
        </w:rPr>
        <w:tab/>
      </w:r>
      <w:r>
        <w:rPr>
          <w:color w:val="auto"/>
          <w:highlight w:val="none"/>
        </w:rPr>
        <w:fldChar w:fldCharType="begin"/>
      </w:r>
      <w:r>
        <w:rPr>
          <w:color w:val="auto"/>
          <w:highlight w:val="none"/>
        </w:rPr>
        <w:instrText xml:space="preserve"> PAGEREF _Toc19131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"_Toc29150" </w:instrText>
      </w:r>
      <w:r>
        <w:rPr>
          <w:color w:val="auto"/>
          <w:highlight w:val="none"/>
        </w:rPr>
        <w:fldChar w:fldCharType="separate"/>
      </w:r>
      <w:r>
        <w:rPr>
          <w:rFonts w:hint="eastAsia"/>
          <w:color w:val="auto"/>
          <w:highlight w:val="none"/>
        </w:rPr>
        <w:t>11. 需要补充的其他内容</w:t>
      </w:r>
      <w:r>
        <w:rPr>
          <w:color w:val="auto"/>
          <w:highlight w:val="none"/>
        </w:rPr>
        <w:tab/>
      </w:r>
      <w:r>
        <w:rPr>
          <w:color w:val="auto"/>
          <w:highlight w:val="none"/>
        </w:rPr>
        <w:fldChar w:fldCharType="begin"/>
      </w:r>
      <w:r>
        <w:rPr>
          <w:color w:val="auto"/>
          <w:highlight w:val="none"/>
        </w:rPr>
        <w:instrText xml:space="preserve"> PAGEREF _Toc29150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"_Toc17519" </w:instrText>
      </w:r>
      <w:r>
        <w:rPr>
          <w:color w:val="auto"/>
          <w:highlight w:val="none"/>
        </w:rPr>
        <w:fldChar w:fldCharType="separate"/>
      </w:r>
      <w:r>
        <w:rPr>
          <w:rFonts w:hint="eastAsia" w:ascii="宋体" w:hAnsi="宋体"/>
          <w:color w:val="auto"/>
          <w:szCs w:val="28"/>
          <w:highlight w:val="none"/>
        </w:rPr>
        <w:t>第三章 评审办法</w:t>
      </w:r>
      <w:r>
        <w:rPr>
          <w:color w:val="auto"/>
          <w:highlight w:val="none"/>
        </w:rPr>
        <w:tab/>
      </w:r>
      <w:r>
        <w:rPr>
          <w:color w:val="auto"/>
          <w:highlight w:val="none"/>
        </w:rPr>
        <w:fldChar w:fldCharType="begin"/>
      </w:r>
      <w:r>
        <w:rPr>
          <w:color w:val="auto"/>
          <w:highlight w:val="none"/>
        </w:rPr>
        <w:instrText xml:space="preserve"> PAGEREF _Toc17519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"_Toc23100" </w:instrText>
      </w:r>
      <w:r>
        <w:rPr>
          <w:color w:val="auto"/>
          <w:highlight w:val="none"/>
        </w:rPr>
        <w:fldChar w:fldCharType="separate"/>
      </w:r>
      <w:r>
        <w:rPr>
          <w:rFonts w:hint="eastAsia" w:ascii="黑体" w:hAnsi="黑体" w:eastAsia="黑体"/>
          <w:color w:val="auto"/>
          <w:szCs w:val="28"/>
          <w:highlight w:val="none"/>
        </w:rPr>
        <w:t>一、评审办法前附表</w:t>
      </w:r>
      <w:r>
        <w:rPr>
          <w:color w:val="auto"/>
          <w:highlight w:val="none"/>
        </w:rPr>
        <w:tab/>
      </w:r>
      <w:r>
        <w:rPr>
          <w:color w:val="auto"/>
          <w:highlight w:val="none"/>
        </w:rPr>
        <w:fldChar w:fldCharType="begin"/>
      </w:r>
      <w:r>
        <w:rPr>
          <w:color w:val="auto"/>
          <w:highlight w:val="none"/>
        </w:rPr>
        <w:instrText xml:space="preserve"> PAGEREF _Toc23100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"_Toc5" </w:instrText>
      </w:r>
      <w:r>
        <w:rPr>
          <w:color w:val="auto"/>
          <w:highlight w:val="none"/>
        </w:rPr>
        <w:fldChar w:fldCharType="separate"/>
      </w:r>
      <w:r>
        <w:rPr>
          <w:rFonts w:hint="eastAsia" w:ascii="黑体" w:hAnsi="黑体" w:eastAsia="黑体"/>
          <w:color w:val="auto"/>
          <w:szCs w:val="28"/>
          <w:highlight w:val="none"/>
        </w:rPr>
        <w:t>1．评审方法</w:t>
      </w:r>
      <w:r>
        <w:rPr>
          <w:color w:val="auto"/>
          <w:highlight w:val="none"/>
        </w:rPr>
        <w:tab/>
      </w:r>
      <w:r>
        <w:rPr>
          <w:color w:val="auto"/>
          <w:highlight w:val="none"/>
        </w:rPr>
        <w:fldChar w:fldCharType="begin"/>
      </w:r>
      <w:r>
        <w:rPr>
          <w:color w:val="auto"/>
          <w:highlight w:val="none"/>
        </w:rPr>
        <w:instrText xml:space="preserve"> PAGEREF _Toc5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"_Toc27147" </w:instrText>
      </w:r>
      <w:r>
        <w:rPr>
          <w:color w:val="auto"/>
          <w:highlight w:val="none"/>
        </w:rPr>
        <w:fldChar w:fldCharType="separate"/>
      </w:r>
      <w:r>
        <w:rPr>
          <w:rFonts w:hint="eastAsia" w:ascii="黑体" w:hAnsi="黑体" w:eastAsia="黑体"/>
          <w:color w:val="auto"/>
          <w:szCs w:val="28"/>
          <w:highlight w:val="none"/>
        </w:rPr>
        <w:t>2．评审标准</w:t>
      </w:r>
      <w:r>
        <w:rPr>
          <w:color w:val="auto"/>
          <w:highlight w:val="none"/>
        </w:rPr>
        <w:tab/>
      </w:r>
      <w:r>
        <w:rPr>
          <w:color w:val="auto"/>
          <w:highlight w:val="none"/>
        </w:rPr>
        <w:fldChar w:fldCharType="begin"/>
      </w:r>
      <w:r>
        <w:rPr>
          <w:color w:val="auto"/>
          <w:highlight w:val="none"/>
        </w:rPr>
        <w:instrText xml:space="preserve"> PAGEREF _Toc27147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"_Toc9990" </w:instrText>
      </w:r>
      <w:r>
        <w:rPr>
          <w:color w:val="auto"/>
          <w:highlight w:val="none"/>
        </w:rPr>
        <w:fldChar w:fldCharType="separate"/>
      </w:r>
      <w:r>
        <w:rPr>
          <w:rFonts w:hint="eastAsia" w:ascii="黑体" w:hAnsi="黑体" w:eastAsia="黑体"/>
          <w:color w:val="auto"/>
          <w:szCs w:val="28"/>
          <w:highlight w:val="none"/>
        </w:rPr>
        <w:t>3．评审程序</w:t>
      </w:r>
      <w:r>
        <w:rPr>
          <w:color w:val="auto"/>
          <w:highlight w:val="none"/>
        </w:rPr>
        <w:tab/>
      </w:r>
      <w:r>
        <w:rPr>
          <w:color w:val="auto"/>
          <w:highlight w:val="none"/>
        </w:rPr>
        <w:fldChar w:fldCharType="begin"/>
      </w:r>
      <w:r>
        <w:rPr>
          <w:color w:val="auto"/>
          <w:highlight w:val="none"/>
        </w:rPr>
        <w:instrText xml:space="preserve"> PAGEREF _Toc9990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"_Toc5985" </w:instrText>
      </w:r>
      <w:r>
        <w:rPr>
          <w:color w:val="auto"/>
          <w:highlight w:val="none"/>
        </w:rPr>
        <w:fldChar w:fldCharType="separate"/>
      </w:r>
      <w:r>
        <w:rPr>
          <w:rFonts w:hint="eastAsia" w:ascii="宋体" w:hAnsi="宋体"/>
          <w:color w:val="auto"/>
          <w:szCs w:val="28"/>
          <w:highlight w:val="none"/>
        </w:rPr>
        <w:t>第四章 用户需求书/技术规范书</w:t>
      </w:r>
      <w:r>
        <w:rPr>
          <w:color w:val="auto"/>
          <w:highlight w:val="none"/>
        </w:rPr>
        <w:tab/>
      </w:r>
      <w:r>
        <w:rPr>
          <w:color w:val="auto"/>
          <w:highlight w:val="none"/>
        </w:rPr>
        <w:fldChar w:fldCharType="begin"/>
      </w:r>
      <w:r>
        <w:rPr>
          <w:color w:val="auto"/>
          <w:highlight w:val="none"/>
        </w:rPr>
        <w:instrText xml:space="preserve"> PAGEREF _Toc5985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"_Toc18199" </w:instrText>
      </w:r>
      <w:r>
        <w:rPr>
          <w:color w:val="auto"/>
          <w:highlight w:val="none"/>
        </w:rPr>
        <w:fldChar w:fldCharType="separate"/>
      </w:r>
      <w:r>
        <w:rPr>
          <w:rFonts w:hint="eastAsia"/>
          <w:color w:val="auto"/>
          <w:szCs w:val="28"/>
          <w:highlight w:val="none"/>
        </w:rPr>
        <w:t>第五章 合同条款格式</w:t>
      </w:r>
      <w:r>
        <w:rPr>
          <w:color w:val="auto"/>
          <w:highlight w:val="none"/>
        </w:rPr>
        <w:tab/>
      </w:r>
      <w:r>
        <w:rPr>
          <w:color w:val="auto"/>
          <w:highlight w:val="none"/>
        </w:rPr>
        <w:fldChar w:fldCharType="begin"/>
      </w:r>
      <w:r>
        <w:rPr>
          <w:color w:val="auto"/>
          <w:highlight w:val="none"/>
        </w:rPr>
        <w:instrText xml:space="preserve"> PAGEREF _Toc18199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"_Toc4498" </w:instrText>
      </w:r>
      <w:r>
        <w:rPr>
          <w:color w:val="auto"/>
          <w:highlight w:val="none"/>
        </w:rPr>
        <w:fldChar w:fldCharType="separate"/>
      </w:r>
      <w:r>
        <w:rPr>
          <w:rFonts w:hint="eastAsia" w:ascii="宋体" w:hAnsi="宋体"/>
          <w:color w:val="auto"/>
          <w:szCs w:val="28"/>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_Toc4498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"_Toc20859" </w:instrText>
      </w:r>
      <w:r>
        <w:rPr>
          <w:color w:val="auto"/>
          <w:highlight w:val="none"/>
        </w:rPr>
        <w:fldChar w:fldCharType="separate"/>
      </w:r>
      <w:r>
        <w:rPr>
          <w:rFonts w:hint="eastAsia" w:ascii="黑体" w:hAnsi="宋体"/>
          <w:color w:val="auto"/>
          <w:szCs w:val="28"/>
          <w:highlight w:val="none"/>
        </w:rPr>
        <w:t>目    录</w:t>
      </w:r>
      <w:r>
        <w:rPr>
          <w:color w:val="auto"/>
          <w:highlight w:val="none"/>
        </w:rPr>
        <w:tab/>
      </w:r>
      <w:r>
        <w:rPr>
          <w:color w:val="auto"/>
          <w:highlight w:val="none"/>
        </w:rPr>
        <w:fldChar w:fldCharType="begin"/>
      </w:r>
      <w:r>
        <w:rPr>
          <w:color w:val="auto"/>
          <w:highlight w:val="none"/>
        </w:rPr>
        <w:instrText xml:space="preserve"> PAGEREF _Toc20859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"_Toc28455" </w:instrText>
      </w:r>
      <w:r>
        <w:rPr>
          <w:color w:val="auto"/>
          <w:highlight w:val="none"/>
        </w:rPr>
        <w:fldChar w:fldCharType="separate"/>
      </w:r>
      <w:r>
        <w:rPr>
          <w:rFonts w:hint="eastAsia"/>
          <w:color w:val="auto"/>
          <w:highlight w:val="none"/>
        </w:rPr>
        <w:t>第一部分</w:t>
      </w:r>
      <w:r>
        <w:rPr>
          <w:color w:val="auto"/>
          <w:highlight w:val="none"/>
        </w:rPr>
        <w:t xml:space="preserve">  </w:t>
      </w:r>
      <w:r>
        <w:rPr>
          <w:rFonts w:hint="eastAsia"/>
          <w:color w:val="auto"/>
          <w:highlight w:val="none"/>
        </w:rPr>
        <w:t>技术商务部分</w:t>
      </w:r>
      <w:r>
        <w:rPr>
          <w:color w:val="auto"/>
          <w:highlight w:val="none"/>
        </w:rPr>
        <w:tab/>
      </w:r>
      <w:r>
        <w:rPr>
          <w:color w:val="auto"/>
          <w:highlight w:val="none"/>
        </w:rPr>
        <w:fldChar w:fldCharType="begin"/>
      </w:r>
      <w:r>
        <w:rPr>
          <w:color w:val="auto"/>
          <w:highlight w:val="none"/>
        </w:rPr>
        <w:instrText xml:space="preserve"> PAGEREF _Toc28455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"_Toc2970" </w:instrText>
      </w:r>
      <w:r>
        <w:rPr>
          <w:color w:val="auto"/>
          <w:highlight w:val="none"/>
        </w:rPr>
        <w:fldChar w:fldCharType="separate"/>
      </w:r>
      <w:r>
        <w:rPr>
          <w:rFonts w:hint="eastAsia"/>
          <w:color w:val="auto"/>
          <w:highlight w:val="none"/>
        </w:rPr>
        <w:t>一、</w:t>
      </w:r>
      <w:r>
        <w:rPr>
          <w:rFonts w:hint="eastAsia" w:ascii="黑体" w:hAnsi="宋体"/>
          <w:color w:val="auto"/>
          <w:szCs w:val="28"/>
          <w:highlight w:val="none"/>
        </w:rPr>
        <w:t>评审索引表</w:t>
      </w:r>
      <w:r>
        <w:rPr>
          <w:color w:val="auto"/>
          <w:highlight w:val="none"/>
        </w:rPr>
        <w:tab/>
      </w:r>
      <w:r>
        <w:rPr>
          <w:color w:val="auto"/>
          <w:highlight w:val="none"/>
        </w:rPr>
        <w:fldChar w:fldCharType="begin"/>
      </w:r>
      <w:r>
        <w:rPr>
          <w:color w:val="auto"/>
          <w:highlight w:val="none"/>
        </w:rPr>
        <w:instrText xml:space="preserve"> PAGEREF _Toc2970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"_Toc27847" </w:instrText>
      </w:r>
      <w:r>
        <w:rPr>
          <w:color w:val="auto"/>
          <w:highlight w:val="none"/>
        </w:rPr>
        <w:fldChar w:fldCharType="separate"/>
      </w:r>
      <w:r>
        <w:rPr>
          <w:rFonts w:hint="eastAsia"/>
          <w:color w:val="auto"/>
          <w:highlight w:val="none"/>
        </w:rPr>
        <w:t>二</w:t>
      </w:r>
      <w:r>
        <w:rPr>
          <w:color w:val="auto"/>
          <w:highlight w:val="none"/>
        </w:rPr>
        <w:t>、竞争性谈判</w:t>
      </w:r>
      <w:r>
        <w:rPr>
          <w:rFonts w:hint="eastAsia"/>
          <w:color w:val="auto"/>
          <w:highlight w:val="none"/>
        </w:rPr>
        <w:t>响应</w:t>
      </w:r>
      <w:r>
        <w:rPr>
          <w:color w:val="auto"/>
          <w:highlight w:val="none"/>
        </w:rPr>
        <w:t>函</w:t>
      </w:r>
      <w:r>
        <w:rPr>
          <w:color w:val="auto"/>
          <w:highlight w:val="none"/>
        </w:rPr>
        <w:tab/>
      </w:r>
      <w:r>
        <w:rPr>
          <w:color w:val="auto"/>
          <w:highlight w:val="none"/>
        </w:rPr>
        <w:fldChar w:fldCharType="begin"/>
      </w:r>
      <w:r>
        <w:rPr>
          <w:color w:val="auto"/>
          <w:highlight w:val="none"/>
        </w:rPr>
        <w:instrText xml:space="preserve"> PAGEREF _Toc27847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"_Toc8418" </w:instrText>
      </w:r>
      <w:r>
        <w:rPr>
          <w:color w:val="auto"/>
          <w:highlight w:val="none"/>
        </w:rPr>
        <w:fldChar w:fldCharType="separate"/>
      </w:r>
      <w:r>
        <w:rPr>
          <w:rFonts w:hint="eastAsia" w:ascii="黑体"/>
          <w:color w:val="auto"/>
          <w:highlight w:val="none"/>
        </w:rPr>
        <w:t>三、联合体协议书（如有）</w:t>
      </w:r>
      <w:r>
        <w:rPr>
          <w:color w:val="auto"/>
          <w:highlight w:val="none"/>
        </w:rPr>
        <w:tab/>
      </w:r>
      <w:r>
        <w:rPr>
          <w:color w:val="auto"/>
          <w:highlight w:val="none"/>
        </w:rPr>
        <w:fldChar w:fldCharType="begin"/>
      </w:r>
      <w:r>
        <w:rPr>
          <w:color w:val="auto"/>
          <w:highlight w:val="none"/>
        </w:rPr>
        <w:instrText xml:space="preserve"> PAGEREF _Toc8418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"_Toc19484" </w:instrText>
      </w:r>
      <w:r>
        <w:rPr>
          <w:color w:val="auto"/>
          <w:highlight w:val="none"/>
        </w:rPr>
        <w:fldChar w:fldCharType="separate"/>
      </w:r>
      <w:r>
        <w:rPr>
          <w:rFonts w:hint="eastAsia"/>
          <w:color w:val="auto"/>
          <w:highlight w:val="none"/>
        </w:rPr>
        <w:t>四、法定代表人身份证明</w:t>
      </w:r>
      <w:r>
        <w:rPr>
          <w:color w:val="auto"/>
          <w:highlight w:val="none"/>
        </w:rPr>
        <w:tab/>
      </w:r>
      <w:r>
        <w:rPr>
          <w:color w:val="auto"/>
          <w:highlight w:val="none"/>
        </w:rPr>
        <w:fldChar w:fldCharType="begin"/>
      </w:r>
      <w:r>
        <w:rPr>
          <w:color w:val="auto"/>
          <w:highlight w:val="none"/>
        </w:rPr>
        <w:instrText xml:space="preserve"> PAGEREF _Toc19484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"_Toc18550" </w:instrText>
      </w:r>
      <w:r>
        <w:rPr>
          <w:color w:val="auto"/>
          <w:highlight w:val="none"/>
        </w:rPr>
        <w:fldChar w:fldCharType="separate"/>
      </w:r>
      <w:r>
        <w:rPr>
          <w:rFonts w:hint="eastAsia"/>
          <w:color w:val="auto"/>
          <w:highlight w:val="none"/>
        </w:rPr>
        <w:t>五、法定代表人</w:t>
      </w:r>
      <w:r>
        <w:rPr>
          <w:color w:val="auto"/>
          <w:highlight w:val="none"/>
        </w:rPr>
        <w:t>授权委托书</w:t>
      </w:r>
      <w:r>
        <w:rPr>
          <w:color w:val="auto"/>
          <w:highlight w:val="none"/>
        </w:rPr>
        <w:tab/>
      </w:r>
      <w:r>
        <w:rPr>
          <w:color w:val="auto"/>
          <w:highlight w:val="none"/>
        </w:rPr>
        <w:fldChar w:fldCharType="begin"/>
      </w:r>
      <w:r>
        <w:rPr>
          <w:color w:val="auto"/>
          <w:highlight w:val="none"/>
        </w:rPr>
        <w:instrText xml:space="preserve"> PAGEREF _Toc18550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"_Toc6978" </w:instrText>
      </w:r>
      <w:r>
        <w:rPr>
          <w:color w:val="auto"/>
          <w:highlight w:val="none"/>
        </w:rPr>
        <w:fldChar w:fldCharType="separate"/>
      </w:r>
      <w:r>
        <w:rPr>
          <w:rFonts w:hint="eastAsia"/>
          <w:color w:val="auto"/>
          <w:highlight w:val="none"/>
        </w:rPr>
        <w:t>六</w:t>
      </w:r>
      <w:r>
        <w:rPr>
          <w:color w:val="auto"/>
          <w:highlight w:val="none"/>
        </w:rPr>
        <w:t>、</w:t>
      </w:r>
      <w:r>
        <w:rPr>
          <w:rFonts w:hint="eastAsia"/>
          <w:color w:val="auto"/>
          <w:highlight w:val="none"/>
        </w:rPr>
        <w:t>项目实施</w:t>
      </w:r>
      <w:r>
        <w:rPr>
          <w:color w:val="auto"/>
          <w:highlight w:val="none"/>
        </w:rPr>
        <w:t>方案</w:t>
      </w:r>
      <w:r>
        <w:rPr>
          <w:color w:val="auto"/>
          <w:highlight w:val="none"/>
        </w:rPr>
        <w:tab/>
      </w:r>
      <w:r>
        <w:rPr>
          <w:color w:val="auto"/>
          <w:highlight w:val="none"/>
        </w:rPr>
        <w:fldChar w:fldCharType="begin"/>
      </w:r>
      <w:r>
        <w:rPr>
          <w:color w:val="auto"/>
          <w:highlight w:val="none"/>
        </w:rPr>
        <w:instrText xml:space="preserve"> PAGEREF _Toc6978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"_Toc17796" </w:instrText>
      </w:r>
      <w:r>
        <w:rPr>
          <w:color w:val="auto"/>
          <w:highlight w:val="none"/>
        </w:rPr>
        <w:fldChar w:fldCharType="separate"/>
      </w:r>
      <w:r>
        <w:rPr>
          <w:rFonts w:hint="eastAsia"/>
          <w:color w:val="auto"/>
          <w:highlight w:val="none"/>
        </w:rPr>
        <w:t>七</w:t>
      </w:r>
      <w:r>
        <w:rPr>
          <w:color w:val="auto"/>
          <w:highlight w:val="none"/>
        </w:rPr>
        <w:t>、项目管理机构</w:t>
      </w:r>
      <w:r>
        <w:rPr>
          <w:color w:val="auto"/>
          <w:highlight w:val="none"/>
        </w:rPr>
        <w:tab/>
      </w:r>
      <w:r>
        <w:rPr>
          <w:color w:val="auto"/>
          <w:highlight w:val="none"/>
        </w:rPr>
        <w:fldChar w:fldCharType="begin"/>
      </w:r>
      <w:r>
        <w:rPr>
          <w:color w:val="auto"/>
          <w:highlight w:val="none"/>
        </w:rPr>
        <w:instrText xml:space="preserve"> PAGEREF _Toc17796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"_Toc12349" </w:instrText>
      </w:r>
      <w:r>
        <w:rPr>
          <w:color w:val="auto"/>
          <w:highlight w:val="none"/>
        </w:rPr>
        <w:fldChar w:fldCharType="separate"/>
      </w:r>
      <w:r>
        <w:rPr>
          <w:rFonts w:hint="eastAsia" w:ascii="黑体"/>
          <w:color w:val="auto"/>
          <w:highlight w:val="none"/>
        </w:rPr>
        <w:t>八、实质性条款偏离表</w:t>
      </w:r>
      <w:r>
        <w:rPr>
          <w:color w:val="auto"/>
          <w:highlight w:val="none"/>
        </w:rPr>
        <w:tab/>
      </w:r>
      <w:r>
        <w:rPr>
          <w:color w:val="auto"/>
          <w:highlight w:val="none"/>
        </w:rPr>
        <w:fldChar w:fldCharType="begin"/>
      </w:r>
      <w:r>
        <w:rPr>
          <w:color w:val="auto"/>
          <w:highlight w:val="none"/>
        </w:rPr>
        <w:instrText xml:space="preserve"> PAGEREF _Toc12349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"_Toc32581" </w:instrText>
      </w:r>
      <w:r>
        <w:rPr>
          <w:color w:val="auto"/>
          <w:highlight w:val="none"/>
        </w:rPr>
        <w:fldChar w:fldCharType="separate"/>
      </w:r>
      <w:r>
        <w:rPr>
          <w:rFonts w:hint="eastAsia" w:ascii="黑体"/>
          <w:color w:val="auto"/>
          <w:highlight w:val="none"/>
        </w:rPr>
        <w:t>九、技术条款偏离表</w:t>
      </w:r>
      <w:r>
        <w:rPr>
          <w:color w:val="auto"/>
          <w:highlight w:val="none"/>
        </w:rPr>
        <w:tab/>
      </w:r>
      <w:r>
        <w:rPr>
          <w:color w:val="auto"/>
          <w:highlight w:val="none"/>
        </w:rPr>
        <w:fldChar w:fldCharType="begin"/>
      </w:r>
      <w:r>
        <w:rPr>
          <w:color w:val="auto"/>
          <w:highlight w:val="none"/>
        </w:rPr>
        <w:instrText xml:space="preserve"> PAGEREF _Toc32581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"_Toc16773" </w:instrText>
      </w:r>
      <w:r>
        <w:rPr>
          <w:color w:val="auto"/>
          <w:highlight w:val="none"/>
        </w:rPr>
        <w:fldChar w:fldCharType="separate"/>
      </w:r>
      <w:r>
        <w:rPr>
          <w:rFonts w:hint="eastAsia"/>
          <w:color w:val="auto"/>
          <w:highlight w:val="none"/>
        </w:rPr>
        <w:t>十</w:t>
      </w:r>
      <w:r>
        <w:rPr>
          <w:color w:val="auto"/>
          <w:highlight w:val="none"/>
        </w:rPr>
        <w:t>、资格审查资料</w:t>
      </w:r>
      <w:r>
        <w:rPr>
          <w:color w:val="auto"/>
          <w:highlight w:val="none"/>
        </w:rPr>
        <w:tab/>
      </w:r>
      <w:r>
        <w:rPr>
          <w:color w:val="auto"/>
          <w:highlight w:val="none"/>
        </w:rPr>
        <w:fldChar w:fldCharType="begin"/>
      </w:r>
      <w:r>
        <w:rPr>
          <w:color w:val="auto"/>
          <w:highlight w:val="none"/>
        </w:rPr>
        <w:instrText xml:space="preserve"> PAGEREF _Toc16773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"_Toc5610" </w:instrText>
      </w:r>
      <w:r>
        <w:rPr>
          <w:color w:val="auto"/>
          <w:highlight w:val="none"/>
        </w:rPr>
        <w:fldChar w:fldCharType="separate"/>
      </w:r>
      <w:r>
        <w:rPr>
          <w:rFonts w:hint="eastAsia"/>
          <w:color w:val="auto"/>
          <w:highlight w:val="none"/>
        </w:rPr>
        <w:t>十一、不可撤销履约保函</w:t>
      </w:r>
      <w:r>
        <w:rPr>
          <w:color w:val="auto"/>
          <w:highlight w:val="none"/>
        </w:rPr>
        <w:tab/>
      </w:r>
      <w:r>
        <w:rPr>
          <w:color w:val="auto"/>
          <w:highlight w:val="none"/>
        </w:rPr>
        <w:fldChar w:fldCharType="begin"/>
      </w:r>
      <w:r>
        <w:rPr>
          <w:color w:val="auto"/>
          <w:highlight w:val="none"/>
        </w:rPr>
        <w:instrText xml:space="preserve"> PAGEREF _Toc5610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"_Toc3001" </w:instrText>
      </w:r>
      <w:r>
        <w:rPr>
          <w:color w:val="auto"/>
          <w:highlight w:val="none"/>
        </w:rPr>
        <w:fldChar w:fldCharType="separate"/>
      </w:r>
      <w:r>
        <w:rPr>
          <w:rFonts w:hint="eastAsia"/>
          <w:color w:val="auto"/>
          <w:highlight w:val="none"/>
        </w:rPr>
        <w:t>十二</w:t>
      </w:r>
      <w:r>
        <w:rPr>
          <w:color w:val="auto"/>
          <w:highlight w:val="none"/>
        </w:rPr>
        <w:t>、</w:t>
      </w:r>
      <w:r>
        <w:rPr>
          <w:rFonts w:hint="eastAsia"/>
          <w:color w:val="auto"/>
          <w:highlight w:val="none"/>
        </w:rPr>
        <w:t>其他需要补充的</w:t>
      </w:r>
      <w:r>
        <w:rPr>
          <w:color w:val="auto"/>
          <w:highlight w:val="none"/>
        </w:rPr>
        <w:t>资料</w:t>
      </w:r>
      <w:r>
        <w:rPr>
          <w:color w:val="auto"/>
          <w:highlight w:val="none"/>
        </w:rPr>
        <w:tab/>
      </w:r>
      <w:r>
        <w:rPr>
          <w:color w:val="auto"/>
          <w:highlight w:val="none"/>
        </w:rPr>
        <w:fldChar w:fldCharType="begin"/>
      </w:r>
      <w:r>
        <w:rPr>
          <w:color w:val="auto"/>
          <w:highlight w:val="none"/>
        </w:rPr>
        <w:instrText xml:space="preserve"> PAGEREF _Toc3001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"_Toc17415" </w:instrText>
      </w:r>
      <w:r>
        <w:rPr>
          <w:color w:val="auto"/>
          <w:highlight w:val="none"/>
        </w:rPr>
        <w:fldChar w:fldCharType="separate"/>
      </w:r>
      <w:r>
        <w:rPr>
          <w:rFonts w:hint="eastAsia"/>
          <w:color w:val="auto"/>
          <w:highlight w:val="none"/>
        </w:rPr>
        <w:t>第二部分</w:t>
      </w:r>
      <w:r>
        <w:rPr>
          <w:color w:val="auto"/>
          <w:highlight w:val="none"/>
        </w:rPr>
        <w:t xml:space="preserve">  </w:t>
      </w:r>
      <w:r>
        <w:rPr>
          <w:rFonts w:hint="eastAsia"/>
          <w:color w:val="auto"/>
          <w:highlight w:val="none"/>
        </w:rPr>
        <w:t>经济部分</w:t>
      </w:r>
      <w:r>
        <w:rPr>
          <w:color w:val="auto"/>
          <w:highlight w:val="none"/>
        </w:rPr>
        <w:tab/>
      </w:r>
      <w:r>
        <w:rPr>
          <w:color w:val="auto"/>
          <w:highlight w:val="none"/>
        </w:rPr>
        <w:fldChar w:fldCharType="begin"/>
      </w:r>
      <w:r>
        <w:rPr>
          <w:color w:val="auto"/>
          <w:highlight w:val="none"/>
        </w:rPr>
        <w:instrText xml:space="preserve"> PAGEREF _Toc17415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"_Toc13792" </w:instrText>
      </w:r>
      <w:r>
        <w:rPr>
          <w:color w:val="auto"/>
          <w:highlight w:val="none"/>
        </w:rPr>
        <w:fldChar w:fldCharType="separate"/>
      </w:r>
      <w:r>
        <w:rPr>
          <w:rFonts w:hint="eastAsia" w:ascii="黑体"/>
          <w:color w:val="auto"/>
          <w:szCs w:val="28"/>
          <w:highlight w:val="none"/>
        </w:rPr>
        <w:t>一、报价一览表</w:t>
      </w:r>
      <w:r>
        <w:rPr>
          <w:color w:val="auto"/>
          <w:highlight w:val="none"/>
        </w:rPr>
        <w:tab/>
      </w:r>
      <w:r>
        <w:rPr>
          <w:color w:val="auto"/>
          <w:highlight w:val="none"/>
        </w:rPr>
        <w:fldChar w:fldCharType="begin"/>
      </w:r>
      <w:r>
        <w:rPr>
          <w:color w:val="auto"/>
          <w:highlight w:val="none"/>
        </w:rPr>
        <w:instrText xml:space="preserve"> PAGEREF _Toc13792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"_Toc6200" </w:instrText>
      </w:r>
      <w:r>
        <w:rPr>
          <w:color w:val="auto"/>
          <w:highlight w:val="none"/>
        </w:rPr>
        <w:fldChar w:fldCharType="separate"/>
      </w:r>
      <w:r>
        <w:rPr>
          <w:rFonts w:hint="eastAsia" w:ascii="黑体"/>
          <w:color w:val="auto"/>
          <w:szCs w:val="28"/>
          <w:highlight w:val="none"/>
        </w:rPr>
        <w:t>二、分项报价表</w:t>
      </w:r>
      <w:r>
        <w:rPr>
          <w:color w:val="auto"/>
          <w:highlight w:val="none"/>
        </w:rPr>
        <w:tab/>
      </w:r>
      <w:r>
        <w:rPr>
          <w:color w:val="auto"/>
          <w:highlight w:val="none"/>
        </w:rPr>
        <w:fldChar w:fldCharType="begin"/>
      </w:r>
      <w:r>
        <w:rPr>
          <w:color w:val="auto"/>
          <w:highlight w:val="none"/>
        </w:rPr>
        <w:instrText xml:space="preserve"> PAGEREF _Toc6200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32"/>
        <w:tabs>
          <w:tab w:val="right" w:leader="dot" w:pos="8306"/>
        </w:tabs>
        <w:rPr>
          <w:color w:val="auto"/>
          <w:highlight w:val="none"/>
        </w:rPr>
      </w:pPr>
      <w:r>
        <w:rPr>
          <w:color w:val="auto"/>
          <w:highlight w:val="none"/>
        </w:rPr>
        <w:fldChar w:fldCharType="begin"/>
      </w:r>
      <w:r>
        <w:rPr>
          <w:color w:val="auto"/>
          <w:highlight w:val="none"/>
        </w:rPr>
        <w:instrText xml:space="preserve"> HYPERLINK \l "_Toc28919" </w:instrText>
      </w:r>
      <w:r>
        <w:rPr>
          <w:color w:val="auto"/>
          <w:highlight w:val="none"/>
        </w:rPr>
        <w:fldChar w:fldCharType="separate"/>
      </w:r>
      <w:r>
        <w:rPr>
          <w:rFonts w:hint="eastAsia"/>
          <w:color w:val="auto"/>
          <w:highlight w:val="none"/>
        </w:rPr>
        <w:t>第三部分</w:t>
      </w:r>
      <w:r>
        <w:rPr>
          <w:color w:val="auto"/>
          <w:highlight w:val="none"/>
        </w:rPr>
        <w:t xml:space="preserve">  </w:t>
      </w:r>
      <w:r>
        <w:rPr>
          <w:rFonts w:hint="eastAsia"/>
          <w:color w:val="auto"/>
          <w:highlight w:val="none"/>
        </w:rPr>
        <w:t>唱标信封（单独密封）</w:t>
      </w:r>
      <w:r>
        <w:rPr>
          <w:color w:val="auto"/>
          <w:highlight w:val="none"/>
        </w:rPr>
        <w:tab/>
      </w:r>
      <w:r>
        <w:rPr>
          <w:color w:val="auto"/>
          <w:highlight w:val="none"/>
        </w:rPr>
        <w:fldChar w:fldCharType="begin"/>
      </w:r>
      <w:r>
        <w:rPr>
          <w:color w:val="auto"/>
          <w:highlight w:val="none"/>
        </w:rPr>
        <w:instrText xml:space="preserve"> PAGEREF _Toc28919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rPr>
          <w:rFonts w:ascii="黑体" w:eastAsia="黑体"/>
          <w:color w:val="auto"/>
          <w:sz w:val="28"/>
          <w:szCs w:val="28"/>
          <w:highlight w:val="none"/>
        </w:rPr>
      </w:pPr>
      <w:r>
        <w:rPr>
          <w:rFonts w:ascii="黑体" w:eastAsia="黑体"/>
          <w:color w:val="auto"/>
          <w:szCs w:val="28"/>
          <w:highlight w:val="none"/>
        </w:rPr>
        <w:fldChar w:fldCharType="end"/>
      </w:r>
    </w:p>
    <w:p>
      <w:pPr>
        <w:jc w:val="center"/>
        <w:rPr>
          <w:rFonts w:ascii="黑体" w:eastAsia="黑体"/>
          <w:color w:val="auto"/>
          <w:sz w:val="28"/>
          <w:szCs w:val="28"/>
          <w:highlight w:val="none"/>
        </w:rPr>
      </w:pPr>
    </w:p>
    <w:p>
      <w:pPr>
        <w:jc w:val="center"/>
        <w:rPr>
          <w:rFonts w:ascii="黑体" w:eastAsia="黑体"/>
          <w:color w:val="auto"/>
          <w:sz w:val="28"/>
          <w:szCs w:val="28"/>
          <w:highlight w:val="none"/>
        </w:rPr>
      </w:pPr>
    </w:p>
    <w:p>
      <w:pPr>
        <w:rPr>
          <w:rFonts w:ascii="黑体" w:eastAsia="黑体"/>
          <w:color w:val="auto"/>
          <w:sz w:val="28"/>
          <w:szCs w:val="28"/>
          <w:highlight w:val="none"/>
        </w:rPr>
      </w:pPr>
    </w:p>
    <w:p>
      <w:pPr>
        <w:pStyle w:val="72"/>
        <w:rPr>
          <w:rFonts w:ascii="宋体" w:hAnsi="宋体" w:eastAsia="宋体" w:cs="宋体"/>
          <w:b/>
          <w:color w:val="auto"/>
          <w:kern w:val="0"/>
          <w:sz w:val="28"/>
          <w:szCs w:val="28"/>
          <w:highlight w:val="none"/>
        </w:rPr>
        <w:sectPr>
          <w:footerReference r:id="rId3" w:type="default"/>
          <w:pgSz w:w="11906" w:h="16838"/>
          <w:pgMar w:top="1440" w:right="1800" w:bottom="1440" w:left="1800" w:header="851" w:footer="992" w:gutter="0"/>
          <w:cols w:space="720" w:num="1"/>
          <w:docGrid w:type="lines" w:linePitch="312" w:charSpace="0"/>
        </w:sectPr>
      </w:pPr>
      <w:bookmarkStart w:id="0" w:name="_Toc456551871"/>
      <w:bookmarkStart w:id="1" w:name="_Toc227057880"/>
    </w:p>
    <w:p>
      <w:pPr>
        <w:pStyle w:val="72"/>
        <w:rPr>
          <w:rFonts w:ascii="宋体" w:hAnsi="宋体" w:eastAsia="宋体" w:cs="宋体"/>
          <w:b/>
          <w:color w:val="auto"/>
          <w:kern w:val="0"/>
          <w:sz w:val="28"/>
          <w:szCs w:val="28"/>
          <w:highlight w:val="none"/>
        </w:rPr>
      </w:pPr>
      <w:bookmarkStart w:id="2" w:name="_Toc8202"/>
      <w:r>
        <w:rPr>
          <w:rFonts w:hint="eastAsia" w:ascii="宋体" w:hAnsi="宋体" w:eastAsia="宋体" w:cs="宋体"/>
          <w:b/>
          <w:color w:val="auto"/>
          <w:kern w:val="0"/>
          <w:sz w:val="28"/>
          <w:szCs w:val="28"/>
          <w:highlight w:val="none"/>
        </w:rPr>
        <w:t>第</w:t>
      </w:r>
      <w:r>
        <w:rPr>
          <w:rFonts w:ascii="宋体" w:hAnsi="宋体" w:eastAsia="宋体" w:cs="宋体"/>
          <w:b/>
          <w:color w:val="auto"/>
          <w:kern w:val="0"/>
          <w:sz w:val="28"/>
          <w:szCs w:val="28"/>
          <w:highlight w:val="none"/>
        </w:rPr>
        <w:t>一章  竞争性谈判公告</w:t>
      </w:r>
      <w:bookmarkEnd w:id="2"/>
    </w:p>
    <w:p>
      <w:pPr>
        <w:spacing w:line="440" w:lineRule="exact"/>
        <w:jc w:val="center"/>
        <w:rPr>
          <w:rFonts w:ascii="黑体" w:hAnsi="黑体" w:eastAsia="黑体" w:cs="宋体"/>
          <w:color w:val="auto"/>
          <w:sz w:val="28"/>
          <w:szCs w:val="28"/>
          <w:highlight w:val="none"/>
        </w:rPr>
      </w:pP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u w:val="single"/>
          <w:lang w:eastAsia="zh-CN"/>
        </w:rPr>
        <w:t>港澳码头周边地块综合整理项目渗滤液运输服务项目</w:t>
      </w:r>
      <w:r>
        <w:rPr>
          <w:rFonts w:ascii="黑体" w:hAnsi="黑体" w:eastAsia="黑体" w:cs="宋体"/>
          <w:color w:val="auto"/>
          <w:sz w:val="28"/>
          <w:szCs w:val="28"/>
          <w:highlight w:val="none"/>
        </w:rPr>
        <w:t xml:space="preserve">]竞争性谈判公告 </w:t>
      </w:r>
    </w:p>
    <w:p>
      <w:pPr>
        <w:spacing w:line="440" w:lineRule="exact"/>
        <w:jc w:val="center"/>
        <w:rPr>
          <w:rFonts w:ascii="黑体" w:hAnsi="黑体" w:eastAsia="黑体" w:cs="宋体"/>
          <w:color w:val="auto"/>
          <w:sz w:val="28"/>
          <w:szCs w:val="28"/>
          <w:highlight w:val="none"/>
        </w:rPr>
      </w:pPr>
    </w:p>
    <w:p>
      <w:pPr>
        <w:spacing w:after="1" w:line="322" w:lineRule="auto"/>
        <w:ind w:left="-14" w:right="162" w:firstLine="630"/>
        <w:rPr>
          <w:color w:val="auto"/>
          <w:highlight w:val="none"/>
        </w:rPr>
      </w:pPr>
      <w:r>
        <w:rPr>
          <w:rFonts w:hint="eastAsia"/>
          <w:color w:val="auto"/>
          <w:highlight w:val="none"/>
          <w:u w:val="single"/>
          <w:lang w:eastAsia="zh-CN"/>
        </w:rPr>
        <w:t>港澳码头周边地块综合整理项目渗滤液运输服务项目</w:t>
      </w:r>
      <w:r>
        <w:rPr>
          <w:color w:val="auto"/>
          <w:highlight w:val="none"/>
        </w:rPr>
        <w:t>采购人为</w:t>
      </w:r>
      <w:r>
        <w:rPr>
          <w:rFonts w:hint="eastAsia"/>
          <w:color w:val="auto"/>
          <w:highlight w:val="none"/>
          <w:u w:val="single"/>
          <w:lang w:eastAsia="zh-CN"/>
        </w:rPr>
        <w:t>东莞市新东欣环保投资有限公司</w:t>
      </w:r>
      <w:r>
        <w:rPr>
          <w:color w:val="auto"/>
          <w:highlight w:val="none"/>
        </w:rPr>
        <w:t>，采购代理机构为</w:t>
      </w:r>
      <w:r>
        <w:rPr>
          <w:rFonts w:hint="eastAsia"/>
          <w:color w:val="auto"/>
          <w:highlight w:val="none"/>
          <w:u w:val="single"/>
          <w:lang w:eastAsia="zh-CN"/>
        </w:rPr>
        <w:t>广东政通招标有限公司</w:t>
      </w:r>
      <w:r>
        <w:rPr>
          <w:rFonts w:hint="eastAsia"/>
          <w:color w:val="auto"/>
          <w:highlight w:val="none"/>
        </w:rPr>
        <w:t>，</w:t>
      </w:r>
      <w:r>
        <w:rPr>
          <w:color w:val="auto"/>
          <w:highlight w:val="none"/>
        </w:rPr>
        <w:t>已具备竞争性谈判条件，现进行公开竞争性谈判。</w:t>
      </w:r>
    </w:p>
    <w:p>
      <w:pPr>
        <w:rPr>
          <w:rFonts w:ascii="黑体" w:eastAsia="黑体"/>
          <w:b/>
          <w:color w:val="auto"/>
          <w:sz w:val="28"/>
          <w:szCs w:val="28"/>
          <w:highlight w:val="none"/>
        </w:rPr>
      </w:pPr>
      <w:r>
        <w:rPr>
          <w:rFonts w:ascii="黑体" w:eastAsia="黑体"/>
          <w:b/>
          <w:color w:val="auto"/>
          <w:sz w:val="28"/>
          <w:szCs w:val="28"/>
          <w:highlight w:val="none"/>
        </w:rPr>
        <w:t xml:space="preserve">一、 </w:t>
      </w:r>
      <w:r>
        <w:rPr>
          <w:rFonts w:hint="eastAsia" w:ascii="黑体" w:eastAsia="黑体"/>
          <w:b/>
          <w:color w:val="auto"/>
          <w:sz w:val="28"/>
          <w:szCs w:val="28"/>
          <w:highlight w:val="none"/>
        </w:rPr>
        <w:t>项目名称及</w:t>
      </w:r>
      <w:r>
        <w:rPr>
          <w:rFonts w:ascii="黑体" w:eastAsia="黑体"/>
          <w:b/>
          <w:color w:val="auto"/>
          <w:sz w:val="28"/>
          <w:szCs w:val="28"/>
          <w:highlight w:val="none"/>
        </w:rPr>
        <w:t xml:space="preserve">采购内容 </w:t>
      </w:r>
    </w:p>
    <w:p>
      <w:pPr>
        <w:numPr>
          <w:ilvl w:val="1"/>
          <w:numId w:val="0"/>
        </w:numPr>
        <w:spacing w:line="300" w:lineRule="auto"/>
        <w:ind w:left="0" w:leftChars="0" w:firstLine="425" w:firstLineChars="0"/>
        <w:rPr>
          <w:rFonts w:ascii="宋体" w:hAnsi="宋体"/>
          <w:color w:val="auto"/>
          <w:szCs w:val="21"/>
          <w:highlight w:val="none"/>
        </w:rPr>
      </w:pPr>
      <w:r>
        <w:rPr>
          <w:rFonts w:ascii="宋体" w:hAnsi="宋体" w:eastAsia="宋体" w:cs="Times New Roman"/>
          <w:b w:val="0"/>
          <w:color w:val="auto"/>
          <w:kern w:val="2"/>
          <w:sz w:val="21"/>
          <w:szCs w:val="21"/>
          <w:highlight w:val="none"/>
          <w:lang w:val="en-US" w:eastAsia="zh-CN" w:bidi="ar-SA"/>
        </w:rPr>
        <w:t>1.1</w:t>
      </w:r>
      <w:r>
        <w:rPr>
          <w:rFonts w:hint="eastAsia" w:ascii="宋体" w:hAnsi="宋体"/>
          <w:color w:val="auto"/>
          <w:szCs w:val="21"/>
          <w:highlight w:val="none"/>
        </w:rPr>
        <w:t>项目名称：</w:t>
      </w:r>
      <w:r>
        <w:rPr>
          <w:rFonts w:hint="eastAsia"/>
          <w:color w:val="auto"/>
          <w:highlight w:val="none"/>
          <w:u w:val="single"/>
          <w:lang w:eastAsia="zh-CN"/>
        </w:rPr>
        <w:t>港澳码头周边地块综合整理项目渗滤液运输服务项目</w:t>
      </w:r>
      <w:r>
        <w:rPr>
          <w:rFonts w:hint="eastAsia" w:ascii="宋体" w:hAnsi="宋体"/>
          <w:color w:val="auto"/>
          <w:szCs w:val="21"/>
          <w:highlight w:val="none"/>
        </w:rPr>
        <w:t>；</w:t>
      </w:r>
    </w:p>
    <w:p>
      <w:pPr>
        <w:numPr>
          <w:ilvl w:val="1"/>
          <w:numId w:val="0"/>
        </w:numPr>
        <w:spacing w:line="300" w:lineRule="auto"/>
        <w:ind w:left="0" w:leftChars="0" w:firstLine="425" w:firstLineChars="0"/>
        <w:rPr>
          <w:rFonts w:ascii="宋体" w:hAnsi="宋体"/>
          <w:color w:val="auto"/>
          <w:szCs w:val="21"/>
          <w:highlight w:val="none"/>
        </w:rPr>
      </w:pPr>
      <w:r>
        <w:rPr>
          <w:rFonts w:ascii="宋体" w:hAnsi="宋体" w:eastAsia="宋体" w:cs="Times New Roman"/>
          <w:b w:val="0"/>
          <w:color w:val="auto"/>
          <w:kern w:val="2"/>
          <w:sz w:val="21"/>
          <w:szCs w:val="21"/>
          <w:highlight w:val="none"/>
          <w:lang w:val="en-US" w:eastAsia="zh-CN" w:bidi="ar-SA"/>
        </w:rPr>
        <w:t>1.2</w:t>
      </w:r>
      <w:r>
        <w:rPr>
          <w:rFonts w:hint="eastAsia" w:ascii="宋体" w:hAnsi="宋体"/>
          <w:color w:val="auto"/>
          <w:szCs w:val="21"/>
          <w:highlight w:val="none"/>
        </w:rPr>
        <w:t>采购</w:t>
      </w:r>
      <w:r>
        <w:rPr>
          <w:rFonts w:hint="eastAsia" w:ascii="宋体" w:hAnsi="宋体"/>
          <w:color w:val="auto"/>
          <w:szCs w:val="21"/>
          <w:highlight w:val="none"/>
          <w:lang w:val="en-US" w:eastAsia="zh-CN"/>
        </w:rPr>
        <w:t>内容</w:t>
      </w:r>
      <w:r>
        <w:rPr>
          <w:rFonts w:hint="eastAsia" w:ascii="宋体" w:hAnsi="宋体"/>
          <w:color w:val="auto"/>
          <w:szCs w:val="21"/>
          <w:highlight w:val="none"/>
        </w:rPr>
        <w:t>：</w:t>
      </w:r>
      <w:r>
        <w:rPr>
          <w:rFonts w:hint="eastAsia"/>
          <w:color w:val="auto"/>
          <w:highlight w:val="none"/>
          <w:u w:val="single"/>
          <w:lang w:val="en-US" w:eastAsia="zh-CN"/>
        </w:rPr>
        <w:t>详见用户需求书</w:t>
      </w:r>
      <w:r>
        <w:rPr>
          <w:rFonts w:hint="eastAsia" w:ascii="宋体" w:hAnsi="宋体"/>
          <w:color w:val="auto"/>
          <w:szCs w:val="21"/>
          <w:highlight w:val="none"/>
        </w:rPr>
        <w:t>；</w:t>
      </w:r>
    </w:p>
    <w:p>
      <w:pPr>
        <w:numPr>
          <w:ilvl w:val="1"/>
          <w:numId w:val="0"/>
        </w:numPr>
        <w:spacing w:line="300" w:lineRule="auto"/>
        <w:ind w:left="0" w:leftChars="0" w:firstLine="425" w:firstLineChars="0"/>
        <w:rPr>
          <w:rFonts w:ascii="宋体" w:hAnsi="宋体"/>
          <w:color w:val="auto"/>
          <w:szCs w:val="21"/>
          <w:highlight w:val="none"/>
        </w:rPr>
      </w:pPr>
      <w:r>
        <w:rPr>
          <w:rFonts w:ascii="宋体" w:hAnsi="宋体" w:eastAsia="宋体" w:cs="Times New Roman"/>
          <w:b w:val="0"/>
          <w:color w:val="auto"/>
          <w:kern w:val="2"/>
          <w:sz w:val="21"/>
          <w:szCs w:val="21"/>
          <w:highlight w:val="none"/>
          <w:lang w:val="en-US" w:eastAsia="zh-CN" w:bidi="ar-SA"/>
        </w:rPr>
        <w:t>1.</w:t>
      </w:r>
      <w:r>
        <w:rPr>
          <w:rFonts w:hint="eastAsia" w:ascii="宋体" w:hAnsi="宋体" w:cs="Times New Roman"/>
          <w:b w:val="0"/>
          <w:color w:val="auto"/>
          <w:kern w:val="2"/>
          <w:sz w:val="21"/>
          <w:szCs w:val="21"/>
          <w:highlight w:val="none"/>
          <w:lang w:val="en-US" w:eastAsia="zh-CN" w:bidi="ar-SA"/>
        </w:rPr>
        <w:t>3</w:t>
      </w:r>
      <w:r>
        <w:rPr>
          <w:rFonts w:hint="eastAsia" w:ascii="宋体" w:hAnsi="宋体"/>
          <w:color w:val="auto"/>
          <w:szCs w:val="21"/>
          <w:highlight w:val="none"/>
        </w:rPr>
        <w:t>预算金额：</w:t>
      </w:r>
      <w:r>
        <w:rPr>
          <w:rFonts w:hint="eastAsia" w:ascii="宋体" w:hAnsi="宋体"/>
          <w:color w:val="auto"/>
          <w:szCs w:val="21"/>
          <w:highlight w:val="none"/>
          <w:u w:val="single"/>
          <w:lang w:val="en-US" w:eastAsia="zh-CN"/>
        </w:rPr>
        <w:t>1400</w:t>
      </w:r>
      <w:r>
        <w:rPr>
          <w:rFonts w:hint="eastAsia" w:ascii="宋体" w:hAnsi="宋体"/>
          <w:color w:val="auto"/>
          <w:szCs w:val="21"/>
          <w:highlight w:val="none"/>
          <w:u w:val="single"/>
          <w:lang w:eastAsia="zh-CN"/>
        </w:rPr>
        <w:t>00</w:t>
      </w:r>
      <w:r>
        <w:rPr>
          <w:rFonts w:hint="eastAsia" w:ascii="宋体" w:hAnsi="宋体"/>
          <w:color w:val="auto"/>
          <w:szCs w:val="21"/>
          <w:highlight w:val="none"/>
          <w:u w:val="single"/>
          <w:lang w:val="en-US" w:eastAsia="zh-CN"/>
        </w:rPr>
        <w:t>0.00元</w:t>
      </w:r>
      <w:r>
        <w:rPr>
          <w:rFonts w:hint="eastAsia" w:ascii="宋体" w:hAnsi="宋体"/>
          <w:color w:val="auto"/>
          <w:szCs w:val="21"/>
          <w:highlight w:val="none"/>
        </w:rPr>
        <w:t>；</w:t>
      </w:r>
    </w:p>
    <w:p>
      <w:pPr>
        <w:numPr>
          <w:ilvl w:val="1"/>
          <w:numId w:val="0"/>
        </w:numPr>
        <w:spacing w:line="300" w:lineRule="auto"/>
        <w:ind w:left="0" w:leftChars="0" w:firstLine="425" w:firstLineChars="0"/>
        <w:rPr>
          <w:rFonts w:ascii="宋体" w:hAnsi="宋体"/>
          <w:color w:val="auto"/>
          <w:szCs w:val="21"/>
          <w:highlight w:val="none"/>
        </w:rPr>
      </w:pPr>
      <w:r>
        <w:rPr>
          <w:rFonts w:ascii="宋体" w:hAnsi="宋体" w:eastAsia="宋体" w:cs="Times New Roman"/>
          <w:b w:val="0"/>
          <w:color w:val="auto"/>
          <w:kern w:val="2"/>
          <w:sz w:val="21"/>
          <w:szCs w:val="21"/>
          <w:highlight w:val="none"/>
          <w:lang w:val="en-US" w:eastAsia="zh-CN" w:bidi="ar-SA"/>
        </w:rPr>
        <w:t>1.</w:t>
      </w:r>
      <w:r>
        <w:rPr>
          <w:rFonts w:hint="eastAsia" w:ascii="宋体" w:hAnsi="宋体" w:cs="Times New Roman"/>
          <w:b w:val="0"/>
          <w:color w:val="auto"/>
          <w:kern w:val="2"/>
          <w:sz w:val="21"/>
          <w:szCs w:val="21"/>
          <w:highlight w:val="none"/>
          <w:lang w:val="en-US" w:eastAsia="zh-CN" w:bidi="ar-SA"/>
        </w:rPr>
        <w:t>4</w:t>
      </w:r>
      <w:r>
        <w:rPr>
          <w:rFonts w:hint="eastAsia" w:ascii="宋体" w:hAnsi="宋体"/>
          <w:color w:val="auto"/>
          <w:szCs w:val="21"/>
          <w:highlight w:val="none"/>
        </w:rPr>
        <w:t>最高限价：</w:t>
      </w:r>
      <w:r>
        <w:rPr>
          <w:rFonts w:hint="eastAsia" w:ascii="宋体" w:hAnsi="宋体"/>
          <w:color w:val="auto"/>
          <w:szCs w:val="21"/>
          <w:highlight w:val="none"/>
          <w:u w:val="single"/>
          <w:lang w:val="en-US" w:eastAsia="zh-CN"/>
        </w:rPr>
        <w:t>70.00元/吨</w:t>
      </w:r>
      <w:r>
        <w:rPr>
          <w:rFonts w:hint="eastAsia" w:ascii="宋体" w:hAnsi="宋体"/>
          <w:color w:val="auto"/>
          <w:szCs w:val="21"/>
          <w:highlight w:val="none"/>
        </w:rPr>
        <w:t>；</w:t>
      </w:r>
    </w:p>
    <w:p>
      <w:pPr>
        <w:numPr>
          <w:ilvl w:val="1"/>
          <w:numId w:val="0"/>
        </w:numPr>
        <w:spacing w:line="300" w:lineRule="auto"/>
        <w:ind w:left="0" w:leftChars="0" w:firstLine="425" w:firstLineChars="0"/>
        <w:rPr>
          <w:rFonts w:ascii="宋体" w:hAnsi="宋体"/>
          <w:color w:val="auto"/>
          <w:szCs w:val="21"/>
          <w:highlight w:val="none"/>
        </w:rPr>
      </w:pPr>
      <w:r>
        <w:rPr>
          <w:rFonts w:ascii="宋体" w:hAnsi="宋体" w:eastAsia="宋体" w:cs="Times New Roman"/>
          <w:b w:val="0"/>
          <w:color w:val="auto"/>
          <w:kern w:val="2"/>
          <w:sz w:val="21"/>
          <w:szCs w:val="21"/>
          <w:highlight w:val="none"/>
          <w:lang w:val="en-US" w:eastAsia="zh-CN" w:bidi="ar-SA"/>
        </w:rPr>
        <w:t>1.</w:t>
      </w:r>
      <w:r>
        <w:rPr>
          <w:rFonts w:hint="eastAsia" w:ascii="宋体" w:hAnsi="宋体" w:cs="Times New Roman"/>
          <w:b w:val="0"/>
          <w:color w:val="auto"/>
          <w:kern w:val="2"/>
          <w:sz w:val="21"/>
          <w:szCs w:val="21"/>
          <w:highlight w:val="none"/>
          <w:lang w:val="en-US" w:eastAsia="zh-CN" w:bidi="ar-SA"/>
        </w:rPr>
        <w:t>5</w:t>
      </w:r>
      <w:r>
        <w:rPr>
          <w:rFonts w:hint="eastAsia" w:ascii="宋体" w:hAnsi="宋体"/>
          <w:color w:val="auto"/>
          <w:szCs w:val="21"/>
          <w:highlight w:val="none"/>
        </w:rPr>
        <w:t>标包划分：</w:t>
      </w:r>
      <w:r>
        <w:rPr>
          <w:rStyle w:val="46"/>
          <w:rFonts w:hint="eastAsia"/>
          <w:color w:val="auto"/>
          <w:highlight w:val="none"/>
        </w:rPr>
        <w:t>本项目</w:t>
      </w:r>
      <w:r>
        <w:rPr>
          <w:rStyle w:val="46"/>
          <w:rFonts w:hint="eastAsia"/>
          <w:color w:val="auto"/>
          <w:highlight w:val="none"/>
          <w:u w:val="single"/>
        </w:rPr>
        <w:t>不划分</w:t>
      </w:r>
      <w:r>
        <w:rPr>
          <w:rStyle w:val="46"/>
          <w:rFonts w:hint="eastAsia"/>
          <w:color w:val="auto"/>
          <w:highlight w:val="none"/>
        </w:rPr>
        <w:t>标包</w:t>
      </w:r>
      <w:r>
        <w:rPr>
          <w:rFonts w:hint="eastAsia" w:ascii="宋体" w:hAnsi="宋体"/>
          <w:color w:val="auto"/>
          <w:spacing w:val="2"/>
          <w:szCs w:val="21"/>
          <w:highlight w:val="none"/>
        </w:rPr>
        <w:t>。</w:t>
      </w:r>
    </w:p>
    <w:p>
      <w:pPr>
        <w:rPr>
          <w:rFonts w:ascii="黑体" w:eastAsia="黑体"/>
          <w:b/>
          <w:color w:val="auto"/>
          <w:sz w:val="28"/>
          <w:szCs w:val="28"/>
          <w:highlight w:val="none"/>
        </w:rPr>
      </w:pPr>
      <w:r>
        <w:rPr>
          <w:rFonts w:ascii="黑体" w:eastAsia="黑体"/>
          <w:b/>
          <w:color w:val="auto"/>
          <w:sz w:val="28"/>
          <w:szCs w:val="28"/>
          <w:highlight w:val="none"/>
        </w:rPr>
        <w:t xml:space="preserve">二、 </w:t>
      </w:r>
      <w:r>
        <w:rPr>
          <w:rFonts w:hint="eastAsia" w:ascii="黑体" w:eastAsia="黑体"/>
          <w:b/>
          <w:color w:val="auto"/>
          <w:sz w:val="28"/>
          <w:szCs w:val="28"/>
          <w:highlight w:val="none"/>
        </w:rPr>
        <w:t>响应人</w:t>
      </w:r>
      <w:r>
        <w:rPr>
          <w:rFonts w:ascii="黑体" w:eastAsia="黑体"/>
          <w:b/>
          <w:color w:val="auto"/>
          <w:sz w:val="28"/>
          <w:szCs w:val="28"/>
          <w:highlight w:val="none"/>
        </w:rPr>
        <w:t>资格</w:t>
      </w:r>
      <w:r>
        <w:rPr>
          <w:rFonts w:hint="eastAsia" w:ascii="黑体" w:eastAsia="黑体"/>
          <w:b/>
          <w:color w:val="auto"/>
          <w:sz w:val="28"/>
          <w:szCs w:val="28"/>
          <w:highlight w:val="none"/>
        </w:rPr>
        <w:t>要求</w:t>
      </w:r>
    </w:p>
    <w:p>
      <w:pPr>
        <w:numPr>
          <w:ilvl w:val="1"/>
          <w:numId w:val="2"/>
        </w:numPr>
        <w:spacing w:line="400" w:lineRule="exact"/>
        <w:ind w:left="851" w:hanging="425"/>
        <w:rPr>
          <w:rFonts w:ascii="宋体"/>
          <w:color w:val="auto"/>
          <w:szCs w:val="21"/>
          <w:highlight w:val="none"/>
        </w:rPr>
      </w:pPr>
      <w:r>
        <w:rPr>
          <w:rFonts w:hint="eastAsia" w:ascii="宋体" w:hAnsi="宋体"/>
          <w:color w:val="auto"/>
          <w:szCs w:val="21"/>
          <w:highlight w:val="none"/>
        </w:rPr>
        <w:t>响应人须为在中华人民共和国境内登记注册的具有独立承担民事责任能力的法人或其他组织。【提供《营业执照》复印件（加盖公章）或《事业单位法人证书》复印件（加盖公章）或其他主体证书复印件（加盖公章）】</w:t>
      </w:r>
    </w:p>
    <w:p>
      <w:pPr>
        <w:numPr>
          <w:ilvl w:val="1"/>
          <w:numId w:val="2"/>
        </w:numPr>
        <w:spacing w:line="400" w:lineRule="exact"/>
        <w:ind w:left="851" w:hanging="425"/>
        <w:rPr>
          <w:rFonts w:hint="eastAsia" w:eastAsia="宋体"/>
          <w:color w:val="auto"/>
          <w:highlight w:val="none"/>
          <w:lang w:val="en-US" w:eastAsia="zh-CN"/>
        </w:rPr>
      </w:pPr>
      <w:r>
        <w:rPr>
          <w:rFonts w:hint="eastAsia" w:ascii="宋体" w:hAnsi="宋体"/>
          <w:color w:val="auto"/>
          <w:szCs w:val="21"/>
          <w:highlight w:val="none"/>
        </w:rPr>
        <w:t>响应人须</w:t>
      </w:r>
      <w:r>
        <w:rPr>
          <w:rFonts w:hint="eastAsia" w:ascii="宋体" w:hAnsi="宋体"/>
          <w:color w:val="auto"/>
          <w:szCs w:val="21"/>
          <w:highlight w:val="none"/>
          <w:lang w:val="en-US" w:eastAsia="zh-CN"/>
        </w:rPr>
        <w:t>具备有效期内的《道路运输经营许可证》。</w:t>
      </w:r>
      <w:r>
        <w:rPr>
          <w:rFonts w:hint="eastAsia" w:ascii="宋体" w:hAnsi="宋体"/>
          <w:color w:val="auto"/>
          <w:szCs w:val="21"/>
          <w:highlight w:val="none"/>
        </w:rPr>
        <w:t>【提供《</w:t>
      </w:r>
      <w:r>
        <w:rPr>
          <w:rFonts w:hint="eastAsia" w:ascii="宋体" w:hAnsi="宋体"/>
          <w:color w:val="auto"/>
          <w:szCs w:val="21"/>
          <w:highlight w:val="none"/>
          <w:lang w:val="en-US" w:eastAsia="zh-CN"/>
        </w:rPr>
        <w:t>道路运输经营许可证</w:t>
      </w:r>
      <w:r>
        <w:rPr>
          <w:rFonts w:hint="eastAsia" w:ascii="宋体" w:hAnsi="宋体"/>
          <w:color w:val="auto"/>
          <w:szCs w:val="21"/>
          <w:highlight w:val="none"/>
        </w:rPr>
        <w:t>》复印件（加盖公章）】</w:t>
      </w:r>
    </w:p>
    <w:p>
      <w:pPr>
        <w:numPr>
          <w:ilvl w:val="1"/>
          <w:numId w:val="2"/>
        </w:numPr>
        <w:spacing w:line="400" w:lineRule="exact"/>
        <w:ind w:left="851" w:hanging="425"/>
        <w:rPr>
          <w:rFonts w:ascii="宋体"/>
          <w:color w:val="auto"/>
          <w:szCs w:val="21"/>
          <w:highlight w:val="none"/>
        </w:rPr>
      </w:pPr>
      <w:r>
        <w:rPr>
          <w:rFonts w:hint="eastAsia" w:ascii="宋体" w:hAnsi="宋体"/>
          <w:color w:val="auto"/>
          <w:szCs w:val="21"/>
          <w:highlight w:val="none"/>
        </w:rPr>
        <w:t>业绩要求：</w:t>
      </w:r>
      <w:r>
        <w:rPr>
          <w:rFonts w:hint="eastAsia"/>
          <w:color w:val="auto"/>
          <w:szCs w:val="21"/>
          <w:highlight w:val="none"/>
        </w:rPr>
        <w:t>具备</w:t>
      </w:r>
      <w:r>
        <w:rPr>
          <w:rFonts w:hint="eastAsia"/>
          <w:color w:val="auto"/>
          <w:szCs w:val="21"/>
          <w:highlight w:val="none"/>
          <w:u w:val="single"/>
          <w:lang w:val="en-US" w:eastAsia="zh-CN"/>
        </w:rPr>
        <w:t xml:space="preserve"> 槽罐车运输 </w:t>
      </w:r>
      <w:r>
        <w:rPr>
          <w:rFonts w:hint="eastAsia"/>
          <w:color w:val="auto"/>
          <w:szCs w:val="21"/>
          <w:highlight w:val="none"/>
          <w:u w:val="single"/>
        </w:rPr>
        <w:t>类</w:t>
      </w:r>
      <w:r>
        <w:rPr>
          <w:rFonts w:hint="eastAsia"/>
          <w:color w:val="auto"/>
          <w:szCs w:val="21"/>
          <w:highlight w:val="none"/>
        </w:rPr>
        <w:t>业绩</w:t>
      </w:r>
      <w:r>
        <w:rPr>
          <w:rFonts w:hint="eastAsia"/>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提供的业绩不少于1份，</w:t>
      </w:r>
      <w:r>
        <w:rPr>
          <w:rFonts w:hint="eastAsia" w:ascii="宋体" w:hAnsi="宋体"/>
          <w:color w:val="auto"/>
          <w:szCs w:val="21"/>
          <w:highlight w:val="none"/>
        </w:rPr>
        <w:t>按合同签订时间为准，须提供合同关键页复印件（包含但不限于合同首页、合同金额页、合同签字页等）、该合同期内任意一期发票复印件，并加盖公章】</w:t>
      </w:r>
    </w:p>
    <w:p>
      <w:pPr>
        <w:numPr>
          <w:ilvl w:val="1"/>
          <w:numId w:val="2"/>
        </w:numPr>
        <w:spacing w:line="400" w:lineRule="exact"/>
        <w:ind w:left="851" w:hanging="425"/>
        <w:rPr>
          <w:rFonts w:ascii="宋体" w:hAnsi="宋体"/>
          <w:color w:val="auto"/>
          <w:szCs w:val="21"/>
          <w:highlight w:val="none"/>
        </w:rPr>
      </w:pPr>
      <w:r>
        <w:rPr>
          <w:rFonts w:hint="eastAsia" w:ascii="宋体" w:hAnsi="宋体"/>
          <w:color w:val="auto"/>
          <w:szCs w:val="21"/>
          <w:highlight w:val="none"/>
        </w:rPr>
        <w:t>响应人的单位负责人为同一人或者存在直接控股、管理关系的不同响应人，不得参加同一合同项下的采购活动。</w:t>
      </w:r>
    </w:p>
    <w:p>
      <w:pPr>
        <w:numPr>
          <w:ilvl w:val="1"/>
          <w:numId w:val="2"/>
        </w:numPr>
        <w:spacing w:line="400" w:lineRule="exact"/>
        <w:ind w:left="851" w:hanging="425"/>
        <w:rPr>
          <w:rFonts w:ascii="宋体" w:hAnsi="宋体"/>
          <w:color w:val="auto"/>
          <w:szCs w:val="21"/>
          <w:highlight w:val="none"/>
        </w:rPr>
      </w:pPr>
      <w:r>
        <w:rPr>
          <w:rFonts w:hint="eastAsia" w:ascii="宋体" w:hAnsi="宋体"/>
          <w:color w:val="auto"/>
          <w:szCs w:val="21"/>
          <w:highlight w:val="none"/>
        </w:rPr>
        <w:t>响应人参加采购活动前三年内，在经营活动中没有重大违法记录。【提供书面声明】</w:t>
      </w:r>
    </w:p>
    <w:p>
      <w:pPr>
        <w:numPr>
          <w:ilvl w:val="1"/>
          <w:numId w:val="2"/>
        </w:numPr>
        <w:spacing w:line="400" w:lineRule="exact"/>
        <w:ind w:left="851" w:hanging="425"/>
        <w:rPr>
          <w:rFonts w:ascii="宋体" w:hAnsi="宋体"/>
          <w:color w:val="auto"/>
          <w:szCs w:val="21"/>
          <w:highlight w:val="none"/>
        </w:rPr>
      </w:pPr>
      <w:r>
        <w:rPr>
          <w:rFonts w:hint="eastAsia" w:ascii="宋体" w:hAnsi="宋体"/>
          <w:color w:val="auto"/>
          <w:szCs w:val="21"/>
          <w:highlight w:val="none"/>
        </w:rPr>
        <w:t>响应人未被列入“信用中国”网站(www.creditchina.gov.cn)“记录失信被执行人或</w:t>
      </w:r>
      <w:r>
        <w:rPr>
          <w:rFonts w:hint="eastAsia"/>
          <w:color w:val="auto"/>
          <w:highlight w:val="none"/>
        </w:rPr>
        <w:t>重大税收违法失信主体</w:t>
      </w:r>
      <w:r>
        <w:rPr>
          <w:rFonts w:hint="eastAsia" w:ascii="宋体" w:hAnsi="宋体"/>
          <w:color w:val="auto"/>
          <w:szCs w:val="21"/>
          <w:highlight w:val="none"/>
        </w:rPr>
        <w:t>或政府采购严重违法失信行为”记录名单。【以响应截止日当天在“信用中国”网站（www.creditchina.gov.cn）查询结果为准，如相关失信记录已失效，响应人需提供相关证明资料】</w:t>
      </w:r>
    </w:p>
    <w:p>
      <w:pPr>
        <w:numPr>
          <w:ilvl w:val="1"/>
          <w:numId w:val="2"/>
        </w:numPr>
        <w:spacing w:line="400" w:lineRule="exact"/>
        <w:ind w:left="851" w:hanging="425"/>
        <w:rPr>
          <w:rFonts w:ascii="宋体" w:hAnsi="宋体"/>
          <w:color w:val="auto"/>
          <w:szCs w:val="21"/>
          <w:highlight w:val="none"/>
        </w:rPr>
      </w:pPr>
      <w:r>
        <w:rPr>
          <w:rFonts w:hint="eastAsia" w:ascii="宋体" w:hAnsi="宋体"/>
          <w:color w:val="auto"/>
          <w:szCs w:val="21"/>
          <w:highlight w:val="none"/>
        </w:rPr>
        <w:t>未被列入</w:t>
      </w:r>
      <w:r>
        <w:rPr>
          <w:rFonts w:hint="eastAsia" w:ascii="宋体" w:hAnsi="宋体"/>
          <w:color w:val="auto"/>
          <w:szCs w:val="21"/>
          <w:highlight w:val="none"/>
          <w:lang w:val="en-US" w:eastAsia="zh-CN"/>
        </w:rPr>
        <w:t>广东</w:t>
      </w:r>
      <w:r>
        <w:rPr>
          <w:rFonts w:hint="eastAsia" w:ascii="宋体" w:hAnsi="宋体"/>
          <w:color w:val="auto"/>
          <w:szCs w:val="21"/>
          <w:highlight w:val="none"/>
        </w:rPr>
        <w:t>东实</w:t>
      </w:r>
      <w:r>
        <w:rPr>
          <w:rFonts w:hint="eastAsia" w:ascii="宋体" w:hAnsi="宋体"/>
          <w:color w:val="auto"/>
          <w:szCs w:val="21"/>
          <w:highlight w:val="none"/>
          <w:lang w:val="en-US" w:eastAsia="zh-CN"/>
        </w:rPr>
        <w:t>环境股份有限公司</w:t>
      </w:r>
      <w:r>
        <w:rPr>
          <w:rFonts w:hint="eastAsia" w:ascii="宋体" w:hAnsi="宋体"/>
          <w:color w:val="auto"/>
          <w:szCs w:val="21"/>
          <w:highlight w:val="none"/>
        </w:rPr>
        <w:t>及下属企业相关领域黑名单。</w:t>
      </w:r>
    </w:p>
    <w:p>
      <w:pPr>
        <w:numPr>
          <w:ilvl w:val="1"/>
          <w:numId w:val="2"/>
        </w:numPr>
        <w:spacing w:line="400" w:lineRule="exact"/>
        <w:ind w:left="851" w:hanging="425"/>
        <w:rPr>
          <w:rFonts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u w:val="single"/>
        </w:rPr>
        <w:t>（不接受）</w:t>
      </w:r>
      <w:r>
        <w:rPr>
          <w:rFonts w:hint="eastAsia" w:ascii="宋体" w:hAnsi="宋体"/>
          <w:color w:val="auto"/>
          <w:szCs w:val="21"/>
          <w:highlight w:val="none"/>
        </w:rPr>
        <w:t>联合体响应。</w:t>
      </w:r>
    </w:p>
    <w:p>
      <w:pPr>
        <w:rPr>
          <w:rFonts w:ascii="黑体" w:eastAsia="黑体"/>
          <w:b/>
          <w:color w:val="auto"/>
          <w:sz w:val="28"/>
          <w:szCs w:val="28"/>
          <w:highlight w:val="none"/>
        </w:rPr>
      </w:pPr>
      <w:r>
        <w:rPr>
          <w:rFonts w:ascii="黑体" w:eastAsia="黑体"/>
          <w:b/>
          <w:color w:val="auto"/>
          <w:sz w:val="28"/>
          <w:szCs w:val="28"/>
          <w:highlight w:val="none"/>
        </w:rPr>
        <w:t>三、 竞争性谈判文件的获取</w:t>
      </w:r>
    </w:p>
    <w:p>
      <w:pPr>
        <w:pStyle w:val="108"/>
        <w:ind w:left="850" w:leftChars="208" w:hanging="413" w:hangingChars="197"/>
        <w:rPr>
          <w:rFonts w:ascii="宋体" w:hAnsi="宋体"/>
          <w:color w:val="auto"/>
          <w:szCs w:val="21"/>
          <w:highlight w:val="none"/>
        </w:rPr>
      </w:pPr>
      <w:r>
        <w:rPr>
          <w:rFonts w:hint="eastAsia" w:ascii="宋体" w:hAnsi="宋体"/>
          <w:color w:val="auto"/>
          <w:szCs w:val="21"/>
          <w:highlight w:val="none"/>
        </w:rPr>
        <w:t>3.1</w:t>
      </w:r>
      <w:r>
        <w:rPr>
          <w:rFonts w:ascii="宋体" w:hAnsi="宋体"/>
          <w:color w:val="auto"/>
          <w:szCs w:val="21"/>
          <w:highlight w:val="none"/>
        </w:rPr>
        <w:t>竞争性谈判文件获取时间：</w:t>
      </w:r>
      <w:r>
        <w:rPr>
          <w:color w:val="auto"/>
          <w:highlight w:val="none"/>
        </w:rPr>
        <w:t>20</w:t>
      </w:r>
      <w:r>
        <w:rPr>
          <w:rFonts w:hint="eastAsia"/>
          <w:color w:val="auto"/>
          <w:highlight w:val="none"/>
          <w:u w:val="single"/>
          <w:lang w:val="en-US" w:eastAsia="zh-CN"/>
        </w:rPr>
        <w:t>24</w:t>
      </w:r>
      <w:r>
        <w:rPr>
          <w:color w:val="auto"/>
          <w:highlight w:val="none"/>
        </w:rPr>
        <w:t>年</w:t>
      </w:r>
      <w:r>
        <w:rPr>
          <w:rFonts w:hint="eastAsia"/>
          <w:color w:val="auto"/>
          <w:highlight w:val="none"/>
          <w:u w:val="single"/>
          <w:lang w:val="en-US" w:eastAsia="zh-CN"/>
        </w:rPr>
        <w:t xml:space="preserve"> 6 </w:t>
      </w:r>
      <w:r>
        <w:rPr>
          <w:color w:val="auto"/>
          <w:highlight w:val="none"/>
        </w:rPr>
        <w:t>月</w:t>
      </w:r>
      <w:r>
        <w:rPr>
          <w:rFonts w:hint="eastAsia"/>
          <w:color w:val="auto"/>
          <w:highlight w:val="none"/>
          <w:u w:val="single"/>
          <w:lang w:val="en-US" w:eastAsia="zh-CN"/>
        </w:rPr>
        <w:t xml:space="preserve"> 6 </w:t>
      </w:r>
      <w:r>
        <w:rPr>
          <w:color w:val="auto"/>
          <w:highlight w:val="none"/>
        </w:rPr>
        <w:t>日至20</w:t>
      </w:r>
      <w:r>
        <w:rPr>
          <w:rFonts w:hint="eastAsia"/>
          <w:color w:val="auto"/>
          <w:highlight w:val="none"/>
          <w:u w:val="single"/>
          <w:lang w:val="en-US" w:eastAsia="zh-CN"/>
        </w:rPr>
        <w:t>24</w:t>
      </w:r>
      <w:r>
        <w:rPr>
          <w:color w:val="auto"/>
          <w:highlight w:val="none"/>
        </w:rPr>
        <w:t>年</w:t>
      </w:r>
      <w:r>
        <w:rPr>
          <w:rFonts w:hint="eastAsia"/>
          <w:color w:val="auto"/>
          <w:highlight w:val="none"/>
          <w:u w:val="single"/>
          <w:lang w:val="en-US" w:eastAsia="zh-CN"/>
        </w:rPr>
        <w:t xml:space="preserve"> 6 </w:t>
      </w:r>
      <w:r>
        <w:rPr>
          <w:color w:val="auto"/>
          <w:highlight w:val="none"/>
        </w:rPr>
        <w:t>月</w:t>
      </w:r>
      <w:r>
        <w:rPr>
          <w:rFonts w:hint="eastAsia"/>
          <w:color w:val="auto"/>
          <w:highlight w:val="none"/>
          <w:u w:val="single"/>
          <w:lang w:val="en-US" w:eastAsia="zh-CN"/>
        </w:rPr>
        <w:t xml:space="preserve"> 16 </w:t>
      </w:r>
      <w:r>
        <w:rPr>
          <w:color w:val="auto"/>
          <w:highlight w:val="none"/>
        </w:rPr>
        <w:t>日。</w:t>
      </w:r>
    </w:p>
    <w:p>
      <w:pPr>
        <w:pStyle w:val="108"/>
        <w:ind w:left="850" w:leftChars="208" w:hanging="413" w:hangingChars="197"/>
        <w:rPr>
          <w:color w:val="auto"/>
          <w:highlight w:val="none"/>
        </w:rPr>
      </w:pPr>
      <w:r>
        <w:rPr>
          <w:rFonts w:hint="eastAsia" w:ascii="宋体" w:hAnsi="宋体"/>
          <w:color w:val="auto"/>
          <w:szCs w:val="21"/>
          <w:highlight w:val="none"/>
        </w:rPr>
        <w:t>3.2</w:t>
      </w:r>
      <w:r>
        <w:rPr>
          <w:color w:val="auto"/>
          <w:highlight w:val="none"/>
        </w:rPr>
        <w:t>竞争性谈判文件获取</w:t>
      </w:r>
      <w:r>
        <w:rPr>
          <w:rFonts w:hint="eastAsia"/>
          <w:color w:val="auto"/>
          <w:highlight w:val="none"/>
        </w:rPr>
        <w:t>地点</w:t>
      </w:r>
      <w:r>
        <w:rPr>
          <w:color w:val="auto"/>
          <w:highlight w:val="none"/>
        </w:rPr>
        <w:t>：</w:t>
      </w:r>
      <w:r>
        <w:rPr>
          <w:rFonts w:hint="eastAsia"/>
          <w:color w:val="auto"/>
          <w:highlight w:val="none"/>
          <w:u w:val="single"/>
        </w:rPr>
        <w:t>/</w:t>
      </w:r>
    </w:p>
    <w:p>
      <w:pPr>
        <w:pStyle w:val="108"/>
        <w:ind w:left="850" w:leftChars="208" w:hanging="413" w:hangingChars="197"/>
        <w:rPr>
          <w:color w:val="auto"/>
          <w:highlight w:val="none"/>
        </w:rPr>
      </w:pPr>
      <w:r>
        <w:rPr>
          <w:rFonts w:hint="eastAsia" w:ascii="宋体" w:hAnsi="宋体"/>
          <w:color w:val="auto"/>
          <w:szCs w:val="21"/>
          <w:highlight w:val="none"/>
        </w:rPr>
        <w:t>3.3</w:t>
      </w:r>
      <w:r>
        <w:rPr>
          <w:rFonts w:ascii="宋体" w:hAnsi="宋体"/>
          <w:color w:val="auto"/>
          <w:szCs w:val="21"/>
          <w:highlight w:val="none"/>
        </w:rPr>
        <w:t>竞争性谈判文件</w:t>
      </w:r>
      <w:r>
        <w:rPr>
          <w:color w:val="auto"/>
          <w:highlight w:val="none"/>
        </w:rPr>
        <w:t>获取方式：</w:t>
      </w:r>
      <w:r>
        <w:rPr>
          <w:rFonts w:hint="eastAsia" w:ascii="宋体" w:hAnsi="宋体" w:eastAsia="宋体" w:cs="宋体"/>
          <w:color w:val="auto"/>
          <w:sz w:val="21"/>
          <w:szCs w:val="21"/>
          <w:highlight w:val="none"/>
          <w:u w:val="single"/>
        </w:rPr>
        <w:t>中国招标投标公共服务平台（http://www.cebpubservice.com/）、广东省公共资源交易平台（https://ygp.gdzwfw.gov.cn）、东莞实业投资控股集团有限公司-招标采购栏目（http://www.dgsy.com.cn/）、</w:t>
      </w:r>
      <w:r>
        <w:rPr>
          <w:rFonts w:hint="eastAsia" w:ascii="宋体" w:hAnsi="宋体" w:eastAsia="宋体" w:cs="宋体"/>
          <w:color w:val="auto"/>
          <w:sz w:val="21"/>
          <w:szCs w:val="21"/>
          <w:highlight w:val="none"/>
          <w:u w:val="single"/>
        </w:rPr>
        <w:t>广东东实环境股份有限公司招采平台(https://pur.yonyou.com/DGDSXNY)</w:t>
      </w:r>
      <w:r>
        <w:rPr>
          <w:rFonts w:hint="eastAsia" w:ascii="宋体" w:hAnsi="宋体" w:eastAsia="宋体" w:cs="宋体"/>
          <w:color w:val="auto"/>
          <w:sz w:val="21"/>
          <w:szCs w:val="21"/>
          <w:highlight w:val="none"/>
          <w:u w:val="single"/>
          <w:lang w:val="en-US" w:eastAsia="zh-CN"/>
        </w:rPr>
        <w:t>及</w:t>
      </w:r>
      <w:r>
        <w:rPr>
          <w:rFonts w:hint="eastAsia" w:ascii="宋体" w:hAnsi="宋体" w:eastAsia="宋体" w:cs="宋体"/>
          <w:color w:val="auto"/>
          <w:sz w:val="21"/>
          <w:szCs w:val="21"/>
          <w:highlight w:val="none"/>
          <w:u w:val="single"/>
        </w:rPr>
        <w:t>广东政通招标有限公司官网（http://www.zttendering.com/）</w:t>
      </w:r>
      <w:r>
        <w:rPr>
          <w:rFonts w:hint="eastAsia"/>
          <w:color w:val="auto"/>
          <w:highlight w:val="none"/>
        </w:rPr>
        <w:t>不记名免费下载</w:t>
      </w:r>
      <w:r>
        <w:rPr>
          <w:color w:val="auto"/>
          <w:highlight w:val="none"/>
        </w:rPr>
        <w:t>。</w:t>
      </w:r>
    </w:p>
    <w:p>
      <w:pPr>
        <w:rPr>
          <w:rFonts w:ascii="黑体" w:eastAsia="黑体"/>
          <w:b/>
          <w:color w:val="auto"/>
          <w:sz w:val="28"/>
          <w:szCs w:val="28"/>
          <w:highlight w:val="none"/>
        </w:rPr>
      </w:pPr>
      <w:r>
        <w:rPr>
          <w:rFonts w:ascii="黑体" w:eastAsia="黑体"/>
          <w:b/>
          <w:color w:val="auto"/>
          <w:sz w:val="28"/>
          <w:szCs w:val="28"/>
          <w:highlight w:val="none"/>
        </w:rPr>
        <w:t xml:space="preserve">四、 响应文件的递交 </w:t>
      </w:r>
      <w:bookmarkStart w:id="218" w:name="_GoBack"/>
      <w:bookmarkEnd w:id="218"/>
    </w:p>
    <w:p>
      <w:pPr>
        <w:ind w:firstLine="420" w:firstLineChars="200"/>
        <w:rPr>
          <w:color w:val="auto"/>
          <w:highlight w:val="none"/>
        </w:rPr>
      </w:pPr>
      <w:r>
        <w:rPr>
          <w:rFonts w:hint="eastAsia" w:ascii="宋体" w:hAnsi="宋体"/>
          <w:color w:val="auto"/>
          <w:szCs w:val="21"/>
          <w:highlight w:val="none"/>
        </w:rPr>
        <w:t>4.1</w:t>
      </w:r>
      <w:r>
        <w:rPr>
          <w:color w:val="auto"/>
          <w:highlight w:val="none"/>
        </w:rPr>
        <w:t>响应文件递交的截止时间为20</w:t>
      </w:r>
      <w:r>
        <w:rPr>
          <w:color w:val="auto"/>
          <w:highlight w:val="none"/>
          <w:u w:val="single"/>
        </w:rPr>
        <w:t>24</w:t>
      </w:r>
      <w:r>
        <w:rPr>
          <w:color w:val="auto"/>
          <w:highlight w:val="none"/>
        </w:rPr>
        <w:t>年</w:t>
      </w:r>
      <w:r>
        <w:rPr>
          <w:rFonts w:hint="eastAsia"/>
          <w:color w:val="auto"/>
          <w:highlight w:val="none"/>
          <w:u w:val="single"/>
          <w:lang w:val="en-US" w:eastAsia="zh-CN"/>
        </w:rPr>
        <w:t xml:space="preserve"> 6 </w:t>
      </w:r>
      <w:r>
        <w:rPr>
          <w:color w:val="auto"/>
          <w:highlight w:val="none"/>
        </w:rPr>
        <w:t>月</w:t>
      </w:r>
      <w:r>
        <w:rPr>
          <w:rFonts w:hint="eastAsia"/>
          <w:color w:val="auto"/>
          <w:highlight w:val="none"/>
          <w:u w:val="single"/>
          <w:lang w:val="en-US" w:eastAsia="zh-CN"/>
        </w:rPr>
        <w:t xml:space="preserve"> 17 </w:t>
      </w:r>
      <w:r>
        <w:rPr>
          <w:color w:val="auto"/>
          <w:highlight w:val="none"/>
        </w:rPr>
        <w:t>日</w:t>
      </w:r>
      <w:r>
        <w:rPr>
          <w:rFonts w:hint="eastAsia"/>
          <w:color w:val="auto"/>
          <w:highlight w:val="none"/>
          <w:u w:val="single"/>
          <w:lang w:val="en-US" w:eastAsia="zh-CN"/>
        </w:rPr>
        <w:t xml:space="preserve"> 10 </w:t>
      </w:r>
      <w:r>
        <w:rPr>
          <w:color w:val="auto"/>
          <w:highlight w:val="none"/>
        </w:rPr>
        <w:t>时</w:t>
      </w:r>
      <w:r>
        <w:rPr>
          <w:rFonts w:hint="eastAsia"/>
          <w:color w:val="auto"/>
          <w:highlight w:val="none"/>
          <w:u w:val="single"/>
          <w:lang w:val="en-US" w:eastAsia="zh-CN"/>
        </w:rPr>
        <w:t xml:space="preserve"> 00 </w:t>
      </w:r>
      <w:r>
        <w:rPr>
          <w:color w:val="auto"/>
          <w:highlight w:val="none"/>
        </w:rPr>
        <w:t>分，递交地点为：</w:t>
      </w:r>
      <w:r>
        <w:rPr>
          <w:rFonts w:hint="eastAsia" w:ascii="宋体" w:hAnsi="宋体" w:eastAsia="宋体" w:cs="Times New Roman"/>
          <w:color w:val="auto"/>
          <w:kern w:val="2"/>
          <w:sz w:val="21"/>
          <w:szCs w:val="24"/>
          <w:highlight w:val="none"/>
          <w:lang w:val="en-US" w:eastAsia="zh-CN" w:bidi="ar-SA"/>
        </w:rPr>
        <w:t>东莞市南城街道鸿福路199号（市民服务中心）411室。</w:t>
      </w:r>
    </w:p>
    <w:p>
      <w:pPr>
        <w:pStyle w:val="108"/>
        <w:ind w:left="850" w:leftChars="208" w:hanging="413" w:hangingChars="197"/>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2</w:t>
      </w:r>
      <w:r>
        <w:rPr>
          <w:rFonts w:hint="eastAsia" w:ascii="宋体" w:hAnsi="宋体"/>
          <w:color w:val="auto"/>
          <w:szCs w:val="21"/>
          <w:highlight w:val="none"/>
        </w:rPr>
        <w:t>出现以下情形时，采购代理机构不予接收响应文件：</w:t>
      </w:r>
    </w:p>
    <w:p>
      <w:pPr>
        <w:pStyle w:val="108"/>
        <w:ind w:left="850" w:leftChars="208" w:hanging="413" w:hangingChars="197"/>
        <w:rPr>
          <w:rFonts w:ascii="宋体" w:hAnsi="宋体"/>
          <w:color w:val="auto"/>
          <w:highlight w:val="none"/>
        </w:rPr>
      </w:pPr>
      <w:r>
        <w:rPr>
          <w:rFonts w:hint="eastAsia" w:ascii="宋体" w:hAnsi="宋体"/>
          <w:color w:val="auto"/>
          <w:highlight w:val="none"/>
        </w:rPr>
        <w:t>4.</w:t>
      </w:r>
      <w:r>
        <w:rPr>
          <w:rFonts w:ascii="宋体" w:hAnsi="宋体"/>
          <w:color w:val="auto"/>
          <w:highlight w:val="none"/>
        </w:rPr>
        <w:t>2</w:t>
      </w:r>
      <w:r>
        <w:rPr>
          <w:rFonts w:hint="eastAsia" w:ascii="宋体" w:hAnsi="宋体"/>
          <w:color w:val="auto"/>
          <w:highlight w:val="none"/>
        </w:rPr>
        <w:t>.1逾期送达或者未送达指定地点的；</w:t>
      </w:r>
    </w:p>
    <w:p>
      <w:pPr>
        <w:pStyle w:val="108"/>
        <w:ind w:left="850" w:leftChars="208" w:hanging="413" w:hangingChars="197"/>
        <w:rPr>
          <w:rFonts w:ascii="宋体" w:hAnsi="宋体"/>
          <w:color w:val="auto"/>
          <w:highlight w:val="none"/>
        </w:rPr>
      </w:pPr>
      <w:r>
        <w:rPr>
          <w:rFonts w:hint="eastAsia" w:ascii="宋体" w:hAnsi="宋体"/>
          <w:color w:val="auto"/>
          <w:highlight w:val="none"/>
        </w:rPr>
        <w:t>4.</w:t>
      </w:r>
      <w:r>
        <w:rPr>
          <w:rFonts w:ascii="宋体" w:hAnsi="宋体"/>
          <w:color w:val="auto"/>
          <w:highlight w:val="none"/>
        </w:rPr>
        <w:t>2</w:t>
      </w:r>
      <w:r>
        <w:rPr>
          <w:rFonts w:hint="eastAsia" w:ascii="宋体" w:hAnsi="宋体"/>
          <w:color w:val="auto"/>
          <w:highlight w:val="none"/>
        </w:rPr>
        <w:t>.2未按竞争性谈判文件要求密封的。</w:t>
      </w:r>
    </w:p>
    <w:p>
      <w:pPr>
        <w:rPr>
          <w:rFonts w:ascii="黑体" w:eastAsia="黑体"/>
          <w:b/>
          <w:color w:val="auto"/>
          <w:sz w:val="28"/>
          <w:szCs w:val="28"/>
          <w:highlight w:val="none"/>
        </w:rPr>
      </w:pPr>
      <w:r>
        <w:rPr>
          <w:rFonts w:ascii="黑体" w:eastAsia="黑体"/>
          <w:b/>
          <w:color w:val="auto"/>
          <w:sz w:val="28"/>
          <w:szCs w:val="28"/>
          <w:highlight w:val="none"/>
        </w:rPr>
        <w:t xml:space="preserve">五、 发布公告的媒介 </w:t>
      </w:r>
    </w:p>
    <w:p>
      <w:pPr>
        <w:ind w:left="-14" w:firstLine="640"/>
        <w:rPr>
          <w:color w:val="auto"/>
          <w:highlight w:val="none"/>
        </w:rPr>
      </w:pPr>
      <w:r>
        <w:rPr>
          <w:rFonts w:hint="eastAsia" w:ascii="宋体" w:hAnsi="宋体"/>
          <w:color w:val="auto"/>
          <w:szCs w:val="21"/>
          <w:highlight w:val="none"/>
        </w:rPr>
        <w:t>1.1</w:t>
      </w:r>
      <w:r>
        <w:rPr>
          <w:rFonts w:hint="eastAsia"/>
          <w:color w:val="auto"/>
          <w:highlight w:val="none"/>
        </w:rPr>
        <w:t>竞争性谈判公告发布媒介：</w:t>
      </w:r>
      <w:r>
        <w:rPr>
          <w:rFonts w:hint="eastAsia" w:ascii="宋体" w:hAnsi="宋体" w:eastAsia="宋体" w:cs="宋体"/>
          <w:color w:val="auto"/>
          <w:sz w:val="21"/>
          <w:szCs w:val="21"/>
          <w:highlight w:val="none"/>
          <w:u w:val="single"/>
        </w:rPr>
        <w:t>中国招标投标公共服务平台（http://www.cebpubservice.com/）、广东省公共资源交易平台（https://ygp.gdzwfw.gov.cn）、东莞实业投资控股集团有限公司-招标采购栏目（http://www.dgsy.com.cn/）、广东东实环境股份有限公司招采平台</w:t>
      </w:r>
      <w:r>
        <w:rPr>
          <w:rFonts w:hint="eastAsia" w:ascii="宋体" w:hAnsi="宋体" w:eastAsia="宋体" w:cs="宋体"/>
          <w:color w:val="auto"/>
          <w:sz w:val="21"/>
          <w:szCs w:val="21"/>
          <w:highlight w:val="none"/>
          <w:u w:val="single"/>
        </w:rPr>
        <w:t>(https://pur.yonyou.com/DGDSXNY)</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广东政通招标有限公司官网（http://www.zttendering.com/）</w:t>
      </w:r>
      <w:r>
        <w:rPr>
          <w:rFonts w:hint="eastAsia"/>
          <w:color w:val="auto"/>
          <w:highlight w:val="none"/>
        </w:rPr>
        <w:t>。</w:t>
      </w:r>
    </w:p>
    <w:p>
      <w:pPr>
        <w:ind w:left="-14" w:firstLine="640"/>
        <w:rPr>
          <w:color w:val="auto"/>
          <w:highlight w:val="none"/>
        </w:rPr>
      </w:pPr>
      <w:r>
        <w:rPr>
          <w:rFonts w:hint="eastAsia" w:ascii="宋体" w:hAnsi="宋体"/>
          <w:color w:val="auto"/>
          <w:szCs w:val="21"/>
          <w:highlight w:val="none"/>
        </w:rPr>
        <w:t xml:space="preserve">1.2 </w:t>
      </w:r>
      <w:r>
        <w:rPr>
          <w:rFonts w:hint="eastAsia"/>
          <w:color w:val="auto"/>
          <w:highlight w:val="none"/>
          <w:lang w:val="en-US" w:eastAsia="zh-CN"/>
        </w:rPr>
        <w:t>结果</w:t>
      </w:r>
      <w:r>
        <w:rPr>
          <w:rFonts w:hint="eastAsia"/>
          <w:color w:val="auto"/>
          <w:highlight w:val="none"/>
        </w:rPr>
        <w:t>公示发布媒介</w:t>
      </w:r>
      <w:r>
        <w:rPr>
          <w:rFonts w:hint="eastAsia"/>
          <w:color w:val="auto"/>
          <w:highlight w:val="none"/>
        </w:rPr>
        <w:t>：</w:t>
      </w:r>
      <w:r>
        <w:rPr>
          <w:rFonts w:hint="eastAsia" w:ascii="宋体" w:hAnsi="宋体" w:eastAsia="宋体" w:cs="宋体"/>
          <w:color w:val="auto"/>
          <w:sz w:val="21"/>
          <w:szCs w:val="21"/>
          <w:highlight w:val="none"/>
          <w:u w:val="single"/>
        </w:rPr>
        <w:t>东莞实业投资控股集团有限公司-招标采购栏目（http://www.dgsy.com.cn/）。</w:t>
      </w:r>
    </w:p>
    <w:p>
      <w:pPr>
        <w:rPr>
          <w:rFonts w:ascii="黑体" w:eastAsia="黑体"/>
          <w:b/>
          <w:color w:val="auto"/>
          <w:sz w:val="28"/>
          <w:szCs w:val="28"/>
          <w:highlight w:val="none"/>
        </w:rPr>
      </w:pPr>
      <w:r>
        <w:rPr>
          <w:rFonts w:hint="eastAsia" w:ascii="黑体" w:eastAsia="黑体"/>
          <w:b/>
          <w:color w:val="auto"/>
          <w:sz w:val="28"/>
          <w:szCs w:val="28"/>
          <w:highlight w:val="none"/>
          <w:lang w:val="en-US" w:eastAsia="zh-CN"/>
        </w:rPr>
        <w:t>六</w:t>
      </w:r>
      <w:r>
        <w:rPr>
          <w:rFonts w:ascii="黑体" w:eastAsia="黑体"/>
          <w:b/>
          <w:color w:val="auto"/>
          <w:sz w:val="28"/>
          <w:szCs w:val="28"/>
          <w:highlight w:val="none"/>
        </w:rPr>
        <w:t xml:space="preserve">、 联系方式 </w:t>
      </w:r>
    </w:p>
    <w:p>
      <w:pPr>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lang w:eastAsia="zh-CN"/>
        </w:rPr>
        <w:t>采购人</w:t>
      </w:r>
      <w:r>
        <w:rPr>
          <w:rFonts w:ascii="宋体" w:hAnsi="宋体"/>
          <w:bCs/>
          <w:color w:val="auto"/>
          <w:szCs w:val="21"/>
          <w:highlight w:val="none"/>
        </w:rPr>
        <w:t>名称</w:t>
      </w:r>
      <w:r>
        <w:rPr>
          <w:rFonts w:hint="eastAsia" w:ascii="宋体" w:hAnsi="宋体"/>
          <w:bCs/>
          <w:color w:val="auto"/>
          <w:szCs w:val="21"/>
          <w:highlight w:val="none"/>
        </w:rPr>
        <w:t>：</w:t>
      </w:r>
      <w:r>
        <w:rPr>
          <w:rFonts w:hint="eastAsia" w:ascii="宋体" w:hAnsi="宋体"/>
          <w:bCs/>
          <w:color w:val="auto"/>
          <w:szCs w:val="21"/>
          <w:highlight w:val="none"/>
          <w:lang w:val="en-US" w:eastAsia="zh-CN"/>
        </w:rPr>
        <w:t>东莞市新东欣环保投资有限公司</w:t>
      </w:r>
    </w:p>
    <w:p>
      <w:pPr>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lang w:eastAsia="zh-CN"/>
        </w:rPr>
        <w:t>采购人</w:t>
      </w:r>
      <w:r>
        <w:rPr>
          <w:rFonts w:hint="eastAsia" w:ascii="宋体" w:hAnsi="宋体"/>
          <w:bCs/>
          <w:color w:val="auto"/>
          <w:szCs w:val="21"/>
          <w:highlight w:val="none"/>
        </w:rPr>
        <w:t>联系人：</w:t>
      </w:r>
      <w:r>
        <w:rPr>
          <w:rFonts w:hint="eastAsia" w:ascii="宋体" w:hAnsi="宋体"/>
          <w:bCs/>
          <w:color w:val="auto"/>
          <w:szCs w:val="21"/>
          <w:highlight w:val="none"/>
          <w:lang w:val="en-US" w:eastAsia="zh-CN"/>
        </w:rPr>
        <w:t>梁小姐</w:t>
      </w:r>
    </w:p>
    <w:p>
      <w:pPr>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lang w:eastAsia="zh-CN"/>
        </w:rPr>
        <w:t>采购人</w:t>
      </w:r>
      <w:r>
        <w:rPr>
          <w:rFonts w:hint="eastAsia" w:ascii="宋体" w:hAnsi="宋体"/>
          <w:bCs/>
          <w:color w:val="auto"/>
          <w:szCs w:val="21"/>
          <w:highlight w:val="none"/>
        </w:rPr>
        <w:t>地址：</w:t>
      </w:r>
      <w:r>
        <w:rPr>
          <w:rFonts w:hint="eastAsia" w:ascii="宋体" w:hAnsi="宋体"/>
          <w:bCs/>
          <w:color w:val="auto"/>
          <w:szCs w:val="21"/>
          <w:highlight w:val="none"/>
        </w:rPr>
        <w:t>广东省东莞市麻涌镇海心沙路1号</w:t>
      </w:r>
    </w:p>
    <w:p>
      <w:pPr>
        <w:ind w:firstLine="420" w:firstLineChars="200"/>
        <w:rPr>
          <w:rFonts w:ascii="宋体" w:hAnsi="宋体"/>
          <w:bCs/>
          <w:color w:val="auto"/>
          <w:szCs w:val="21"/>
          <w:highlight w:val="none"/>
        </w:rPr>
      </w:pPr>
      <w:r>
        <w:rPr>
          <w:rFonts w:hint="eastAsia" w:ascii="宋体" w:hAnsi="宋体"/>
          <w:bCs/>
          <w:color w:val="auto"/>
          <w:szCs w:val="21"/>
          <w:highlight w:val="none"/>
          <w:lang w:eastAsia="zh-CN"/>
        </w:rPr>
        <w:t>采购人</w:t>
      </w:r>
      <w:r>
        <w:rPr>
          <w:rFonts w:hint="eastAsia" w:ascii="宋体" w:hAnsi="宋体"/>
          <w:bCs/>
          <w:color w:val="auto"/>
          <w:szCs w:val="21"/>
          <w:highlight w:val="none"/>
        </w:rPr>
        <w:t>联系电话：</w:t>
      </w:r>
      <w:r>
        <w:rPr>
          <w:rFonts w:hint="eastAsia" w:ascii="宋体" w:hAnsi="宋体" w:cs="宋体"/>
          <w:color w:val="auto"/>
          <w:sz w:val="22"/>
          <w:highlight w:val="none"/>
        </w:rPr>
        <w:t>0769-39028733</w:t>
      </w: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lang w:eastAsia="zh-CN"/>
        </w:rPr>
        <w:t>采购代理</w:t>
      </w:r>
      <w:r>
        <w:rPr>
          <w:rFonts w:hint="eastAsia" w:ascii="宋体" w:hAnsi="宋体"/>
          <w:color w:val="auto"/>
          <w:szCs w:val="21"/>
          <w:highlight w:val="none"/>
        </w:rPr>
        <w:t>机构名称：</w:t>
      </w:r>
      <w:r>
        <w:rPr>
          <w:rFonts w:hint="eastAsia" w:ascii="宋体" w:hAnsi="宋体"/>
          <w:color w:val="auto"/>
          <w:szCs w:val="21"/>
          <w:highlight w:val="none"/>
          <w:lang w:eastAsia="zh-CN"/>
        </w:rPr>
        <w:t>广东政通招标有限公司</w:t>
      </w:r>
    </w:p>
    <w:p>
      <w:pPr>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采购代理</w:t>
      </w:r>
      <w:r>
        <w:rPr>
          <w:rFonts w:hint="eastAsia" w:ascii="宋体" w:hAnsi="宋体"/>
          <w:color w:val="auto"/>
          <w:szCs w:val="21"/>
          <w:highlight w:val="none"/>
        </w:rPr>
        <w:t>机构地址：</w:t>
      </w:r>
      <w:r>
        <w:rPr>
          <w:rFonts w:hint="eastAsia" w:ascii="宋体" w:hAnsi="宋体"/>
          <w:color w:val="auto"/>
          <w:szCs w:val="21"/>
          <w:highlight w:val="none"/>
          <w:lang w:eastAsia="zh-CN"/>
        </w:rPr>
        <w:t>东莞市南城街道鸿福路199号（市民服务中心）411室</w:t>
      </w:r>
    </w:p>
    <w:p>
      <w:pPr>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采购代理</w:t>
      </w:r>
      <w:r>
        <w:rPr>
          <w:rFonts w:hint="eastAsia" w:ascii="宋体" w:hAnsi="宋体"/>
          <w:color w:val="auto"/>
          <w:szCs w:val="21"/>
          <w:highlight w:val="none"/>
        </w:rPr>
        <w:t>机构联系人：</w:t>
      </w:r>
      <w:r>
        <w:rPr>
          <w:rFonts w:hint="eastAsia" w:ascii="宋体" w:hAnsi="宋体"/>
          <w:color w:val="auto"/>
          <w:szCs w:val="21"/>
          <w:highlight w:val="none"/>
          <w:lang w:val="en-US" w:eastAsia="zh-CN"/>
        </w:rPr>
        <w:t>杨工</w:t>
      </w:r>
    </w:p>
    <w:p>
      <w:pPr>
        <w:ind w:firstLine="420" w:firstLineChars="200"/>
        <w:rPr>
          <w:rFonts w:ascii="宋体" w:hAnsi="宋体"/>
          <w:color w:val="auto"/>
          <w:szCs w:val="21"/>
          <w:highlight w:val="none"/>
        </w:rPr>
      </w:pPr>
      <w:r>
        <w:rPr>
          <w:rFonts w:hint="eastAsia" w:ascii="宋体" w:hAnsi="宋体"/>
          <w:color w:val="auto"/>
          <w:szCs w:val="21"/>
          <w:highlight w:val="none"/>
          <w:lang w:eastAsia="zh-CN"/>
        </w:rPr>
        <w:t>采购代理</w:t>
      </w:r>
      <w:r>
        <w:rPr>
          <w:rFonts w:hint="eastAsia" w:ascii="宋体" w:hAnsi="宋体"/>
          <w:color w:val="auto"/>
          <w:szCs w:val="21"/>
          <w:highlight w:val="none"/>
        </w:rPr>
        <w:t>机构联系电话：</w:t>
      </w:r>
      <w:r>
        <w:rPr>
          <w:rFonts w:hint="eastAsia" w:ascii="宋体" w:hAnsi="宋体"/>
          <w:color w:val="auto"/>
          <w:szCs w:val="21"/>
          <w:highlight w:val="none"/>
          <w:lang w:val="en-US" w:eastAsia="zh-CN"/>
        </w:rPr>
        <w:t>0769-22881803</w:t>
      </w:r>
      <w:r>
        <w:rPr>
          <w:rFonts w:hint="eastAsia" w:ascii="宋体" w:hAnsi="宋体"/>
          <w:color w:val="auto"/>
          <w:szCs w:val="21"/>
          <w:highlight w:val="none"/>
        </w:rPr>
        <w:t xml:space="preserve"> </w:t>
      </w:r>
    </w:p>
    <w:p>
      <w:pPr>
        <w:tabs>
          <w:tab w:val="left" w:pos="900"/>
          <w:tab w:val="left" w:pos="1262"/>
        </w:tabs>
        <w:spacing w:line="440" w:lineRule="exact"/>
        <w:ind w:firstLine="420" w:firstLineChars="200"/>
        <w:jc w:val="both"/>
        <w:rPr>
          <w:rFonts w:hint="eastAsia" w:ascii="宋体" w:hAnsi="宋体" w:cs="宋体"/>
          <w:b w:val="0"/>
          <w:bCs w:val="0"/>
          <w:color w:val="auto"/>
          <w:sz w:val="22"/>
          <w:szCs w:val="22"/>
          <w:highlight w:val="none"/>
          <w:lang w:eastAsia="zh-CN"/>
        </w:rPr>
      </w:pPr>
      <w:r>
        <w:rPr>
          <w:rFonts w:hint="eastAsia" w:ascii="宋体" w:hAnsi="宋体"/>
          <w:color w:val="auto"/>
          <w:szCs w:val="21"/>
          <w:highlight w:val="none"/>
          <w:lang w:eastAsia="zh-CN"/>
        </w:rPr>
        <w:t>采购代理</w:t>
      </w:r>
      <w:r>
        <w:rPr>
          <w:rFonts w:hint="eastAsia" w:ascii="宋体" w:hAnsi="宋体"/>
          <w:color w:val="auto"/>
          <w:szCs w:val="21"/>
          <w:highlight w:val="none"/>
        </w:rPr>
        <w:t>机构邮箱：</w:t>
      </w:r>
      <w:r>
        <w:rPr>
          <w:rFonts w:hint="eastAsia" w:ascii="宋体" w:hAnsi="宋体" w:cs="宋体"/>
          <w:b w:val="0"/>
          <w:bCs w:val="0"/>
          <w:color w:val="auto"/>
          <w:sz w:val="22"/>
          <w:szCs w:val="22"/>
          <w:highlight w:val="none"/>
          <w:lang w:eastAsia="zh-CN"/>
        </w:rPr>
        <w:t>471539976@qq.com</w:t>
      </w:r>
    </w:p>
    <w:p>
      <w:pPr>
        <w:tabs>
          <w:tab w:val="left" w:pos="900"/>
          <w:tab w:val="left" w:pos="1262"/>
        </w:tabs>
        <w:spacing w:line="440" w:lineRule="exact"/>
        <w:ind w:left="142" w:firstLine="424" w:firstLineChars="202"/>
        <w:jc w:val="right"/>
        <w:rPr>
          <w:rFonts w:hint="eastAsia" w:ascii="宋体" w:hAnsi="宋体" w:eastAsia="宋体"/>
          <w:color w:val="auto"/>
          <w:szCs w:val="21"/>
          <w:highlight w:val="none"/>
          <w:lang w:eastAsia="zh-CN"/>
        </w:rPr>
      </w:pPr>
      <w:r>
        <w:rPr>
          <w:rFonts w:ascii="宋体" w:hAnsi="宋体"/>
          <w:color w:val="auto"/>
          <w:szCs w:val="21"/>
          <w:highlight w:val="none"/>
        </w:rPr>
        <w:t>采购代理机构：</w:t>
      </w:r>
      <w:r>
        <w:rPr>
          <w:rFonts w:hint="eastAsia" w:ascii="宋体" w:hAnsi="宋体"/>
          <w:color w:val="auto"/>
          <w:szCs w:val="21"/>
          <w:highlight w:val="none"/>
          <w:lang w:eastAsia="zh-CN"/>
        </w:rPr>
        <w:t>广东政通招标有限公司</w:t>
      </w:r>
    </w:p>
    <w:p>
      <w:pPr>
        <w:tabs>
          <w:tab w:val="left" w:pos="900"/>
          <w:tab w:val="left" w:pos="1262"/>
        </w:tabs>
        <w:wordWrap w:val="0"/>
        <w:spacing w:line="440" w:lineRule="exact"/>
        <w:ind w:left="142" w:firstLine="424" w:firstLineChars="202"/>
        <w:jc w:val="right"/>
        <w:rPr>
          <w:rFonts w:ascii="黑体" w:eastAsia="黑体"/>
          <w:b/>
          <w:color w:val="auto"/>
          <w:sz w:val="28"/>
          <w:szCs w:val="28"/>
          <w:highlight w:val="none"/>
        </w:rPr>
      </w:pPr>
      <w:r>
        <w:rPr>
          <w:rFonts w:ascii="宋体" w:hAnsi="宋体"/>
          <w:color w:val="auto"/>
          <w:szCs w:val="21"/>
          <w:highlight w:val="none"/>
        </w:rPr>
        <w:t>日期：</w:t>
      </w:r>
      <w:r>
        <w:rPr>
          <w:rFonts w:ascii="宋体" w:hAnsi="宋体"/>
          <w:color w:val="auto"/>
          <w:szCs w:val="21"/>
          <w:highlight w:val="none"/>
          <w:u w:val="single"/>
        </w:rPr>
        <w:t>20</w:t>
      </w:r>
      <w:r>
        <w:rPr>
          <w:rFonts w:hint="eastAsia" w:ascii="宋体" w:hAnsi="宋体"/>
          <w:color w:val="auto"/>
          <w:szCs w:val="21"/>
          <w:highlight w:val="none"/>
          <w:u w:val="single"/>
          <w:lang w:val="en-US" w:eastAsia="zh-CN"/>
        </w:rPr>
        <w:t>24</w:t>
      </w:r>
      <w:r>
        <w:rPr>
          <w:rFonts w:ascii="宋体" w:hAnsi="宋体"/>
          <w:color w:val="auto"/>
          <w:szCs w:val="21"/>
          <w:highlight w:val="none"/>
        </w:rPr>
        <w:t>年</w:t>
      </w:r>
      <w:r>
        <w:rPr>
          <w:rFonts w:hint="eastAsia" w:ascii="宋体" w:hAnsi="宋体"/>
          <w:color w:val="auto"/>
          <w:szCs w:val="21"/>
          <w:highlight w:val="none"/>
          <w:u w:val="single"/>
          <w:lang w:val="en-US" w:eastAsia="zh-CN"/>
        </w:rPr>
        <w:t xml:space="preserve"> 6 </w:t>
      </w:r>
      <w:r>
        <w:rPr>
          <w:rFonts w:ascii="宋体" w:hAnsi="宋体"/>
          <w:color w:val="auto"/>
          <w:szCs w:val="21"/>
          <w:highlight w:val="none"/>
        </w:rPr>
        <w:t>月</w:t>
      </w:r>
      <w:r>
        <w:rPr>
          <w:rFonts w:hint="eastAsia" w:ascii="宋体" w:hAnsi="宋体"/>
          <w:color w:val="auto"/>
          <w:szCs w:val="21"/>
          <w:highlight w:val="none"/>
          <w:u w:val="single"/>
          <w:lang w:val="en-US" w:eastAsia="zh-CN"/>
        </w:rPr>
        <w:t xml:space="preserve"> 6 </w:t>
      </w:r>
      <w:r>
        <w:rPr>
          <w:rFonts w:ascii="宋体" w:hAnsi="宋体"/>
          <w:color w:val="auto"/>
          <w:szCs w:val="21"/>
          <w:highlight w:val="none"/>
        </w:rPr>
        <w:t>日</w:t>
      </w:r>
    </w:p>
    <w:p>
      <w:pPr>
        <w:ind w:left="-14" w:firstLine="640"/>
        <w:jc w:val="right"/>
        <w:rPr>
          <w:color w:val="auto"/>
          <w:highlight w:val="none"/>
        </w:rPr>
      </w:pPr>
    </w:p>
    <w:p>
      <w:pPr>
        <w:pStyle w:val="72"/>
        <w:rPr>
          <w:rFonts w:ascii="宋体" w:hAnsi="宋体" w:eastAsia="宋体" w:cs="宋体"/>
          <w:b/>
          <w:color w:val="auto"/>
          <w:kern w:val="0"/>
          <w:sz w:val="28"/>
          <w:szCs w:val="28"/>
          <w:highlight w:val="none"/>
        </w:rPr>
      </w:pPr>
      <w:r>
        <w:rPr>
          <w:b/>
          <w:color w:val="auto"/>
          <w:sz w:val="28"/>
          <w:szCs w:val="28"/>
          <w:highlight w:val="none"/>
        </w:rPr>
        <w:br w:type="page"/>
      </w:r>
      <w:bookmarkEnd w:id="0"/>
      <w:bookmarkEnd w:id="1"/>
      <w:bookmarkStart w:id="3" w:name="_Toc456551874"/>
      <w:bookmarkStart w:id="4" w:name="_Toc29650"/>
      <w:r>
        <w:rPr>
          <w:rFonts w:hint="eastAsia" w:ascii="宋体" w:hAnsi="宋体" w:eastAsia="宋体" w:cs="宋体"/>
          <w:b/>
          <w:color w:val="auto"/>
          <w:kern w:val="0"/>
          <w:sz w:val="28"/>
          <w:szCs w:val="28"/>
          <w:highlight w:val="none"/>
        </w:rPr>
        <w:t>第二章 竞争性谈判响应须知</w:t>
      </w:r>
      <w:bookmarkEnd w:id="3"/>
      <w:bookmarkEnd w:id="4"/>
    </w:p>
    <w:p>
      <w:pPr>
        <w:pStyle w:val="2"/>
        <w:spacing w:line="240" w:lineRule="auto"/>
        <w:jc w:val="left"/>
        <w:rPr>
          <w:color w:val="auto"/>
          <w:sz w:val="28"/>
          <w:szCs w:val="28"/>
          <w:highlight w:val="none"/>
        </w:rPr>
      </w:pPr>
      <w:bookmarkStart w:id="5" w:name="_Toc456551875"/>
      <w:bookmarkStart w:id="6" w:name="_Toc5931"/>
      <w:r>
        <w:rPr>
          <w:rFonts w:hint="eastAsia"/>
          <w:color w:val="auto"/>
          <w:sz w:val="28"/>
          <w:szCs w:val="28"/>
          <w:highlight w:val="none"/>
        </w:rPr>
        <w:t>竞争性谈判响应须知前附表</w:t>
      </w:r>
      <w:bookmarkEnd w:id="5"/>
      <w:bookmarkEnd w:id="6"/>
    </w:p>
    <w:p>
      <w:pPr>
        <w:spacing w:line="440" w:lineRule="exact"/>
        <w:ind w:right="-340" w:rightChars="-162"/>
        <w:jc w:val="left"/>
        <w:rPr>
          <w:color w:val="auto"/>
          <w:szCs w:val="21"/>
          <w:highlight w:val="none"/>
        </w:rPr>
      </w:pPr>
      <w:r>
        <w:rPr>
          <w:rFonts w:hint="eastAsia"/>
          <w:color w:val="auto"/>
          <w:szCs w:val="21"/>
          <w:highlight w:val="none"/>
        </w:rPr>
        <w:t>本竞争性谈判响应须知前附表是对竞争性谈判响应须知正文的具体补充和修改，如有矛盾，以本前附表为准。</w:t>
      </w:r>
    </w:p>
    <w:tbl>
      <w:tblPr>
        <w:tblStyle w:val="39"/>
        <w:tblW w:w="8931" w:type="dxa"/>
        <w:tblInd w:w="-176" w:type="dxa"/>
        <w:tblLayout w:type="fixed"/>
        <w:tblCellMar>
          <w:top w:w="0" w:type="dxa"/>
          <w:left w:w="108" w:type="dxa"/>
          <w:bottom w:w="0" w:type="dxa"/>
          <w:right w:w="108" w:type="dxa"/>
        </w:tblCellMar>
      </w:tblPr>
      <w:tblGrid>
        <w:gridCol w:w="993"/>
        <w:gridCol w:w="1843"/>
        <w:gridCol w:w="6095"/>
      </w:tblGrid>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highlight w:val="none"/>
              </w:rPr>
            </w:pPr>
            <w:r>
              <w:rPr>
                <w:b/>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highlight w:val="none"/>
              </w:rPr>
            </w:pPr>
            <w:r>
              <w:rPr>
                <w:b/>
                <w:color w:val="auto"/>
                <w:szCs w:val="21"/>
                <w:highlight w:val="none"/>
              </w:rPr>
              <w:t>条  款  名  称</w:t>
            </w:r>
          </w:p>
        </w:tc>
        <w:tc>
          <w:tcPr>
            <w:tcW w:w="6095"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highlight w:val="none"/>
              </w:rPr>
            </w:pPr>
            <w:r>
              <w:rPr>
                <w:b/>
                <w:color w:val="auto"/>
                <w:szCs w:val="21"/>
                <w:highlight w:val="none"/>
              </w:rPr>
              <w:t>编  列  内  容</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1.1.5</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color w:val="auto"/>
                <w:szCs w:val="21"/>
                <w:highlight w:val="none"/>
              </w:rPr>
            </w:pPr>
            <w:r>
              <w:rPr>
                <w:rFonts w:hint="eastAsia"/>
                <w:color w:val="auto"/>
                <w:highlight w:val="none"/>
              </w:rPr>
              <w:t>项目承包方式</w:t>
            </w:r>
          </w:p>
        </w:tc>
        <w:tc>
          <w:tcPr>
            <w:tcW w:w="6095"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固定总价包干</w:t>
            </w:r>
          </w:p>
          <w:p>
            <w:pPr>
              <w:autoSpaceDE w:val="0"/>
              <w:autoSpaceDN w:val="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固定单价暂定总价包干</w:t>
            </w:r>
          </w:p>
          <w:p>
            <w:pPr>
              <w:autoSpaceDE w:val="0"/>
              <w:autoSpaceDN w:val="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其他，</w:t>
            </w:r>
            <w:r>
              <w:rPr>
                <w:rFonts w:hint="eastAsia" w:ascii="宋体" w:hAnsi="宋体"/>
                <w:color w:val="auto"/>
                <w:szCs w:val="21"/>
                <w:highlight w:val="none"/>
                <w:u w:val="single"/>
              </w:rPr>
              <w:t xml:space="preserve">             </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1.2</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color w:val="auto"/>
                <w:szCs w:val="21"/>
                <w:highlight w:val="none"/>
              </w:rPr>
            </w:pPr>
            <w:r>
              <w:rPr>
                <w:color w:val="auto"/>
                <w:szCs w:val="21"/>
                <w:highlight w:val="none"/>
              </w:rPr>
              <w:t>资金来源</w:t>
            </w:r>
          </w:p>
        </w:tc>
        <w:tc>
          <w:tcPr>
            <w:tcW w:w="6095"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企业自筹</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1.3.5</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color w:val="auto"/>
                <w:szCs w:val="21"/>
                <w:highlight w:val="none"/>
              </w:rPr>
            </w:pPr>
            <w:r>
              <w:rPr>
                <w:rFonts w:hint="eastAsia"/>
                <w:color w:val="auto"/>
                <w:szCs w:val="21"/>
                <w:highlight w:val="none"/>
              </w:rPr>
              <w:t>质量要求</w:t>
            </w:r>
          </w:p>
        </w:tc>
        <w:tc>
          <w:tcPr>
            <w:tcW w:w="6095"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达到国家或行业质量检验评定的合格标准</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1.6.3</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color w:val="auto"/>
                <w:szCs w:val="21"/>
                <w:highlight w:val="none"/>
              </w:rPr>
            </w:pPr>
            <w:r>
              <w:rPr>
                <w:rFonts w:hint="eastAsia"/>
                <w:color w:val="auto"/>
                <w:szCs w:val="21"/>
                <w:highlight w:val="none"/>
              </w:rPr>
              <w:t>联合体响应</w:t>
            </w:r>
          </w:p>
        </w:tc>
        <w:tc>
          <w:tcPr>
            <w:tcW w:w="6095"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宋体"/>
                <w:color w:val="auto"/>
                <w:szCs w:val="21"/>
                <w:highlight w:val="none"/>
              </w:rPr>
            </w:pPr>
            <w:r>
              <w:rPr>
                <w:rFonts w:hint="eastAsia"/>
                <w:color w:val="auto"/>
                <w:szCs w:val="21"/>
                <w:highlight w:val="none"/>
              </w:rPr>
              <w:t>■</w:t>
            </w:r>
            <w:r>
              <w:rPr>
                <w:rFonts w:hint="eastAsia" w:ascii="宋体" w:hAnsi="宋体" w:cs="宋体"/>
                <w:color w:val="auto"/>
                <w:szCs w:val="21"/>
                <w:highlight w:val="none"/>
              </w:rPr>
              <w:t>不接受</w:t>
            </w:r>
          </w:p>
          <w:p>
            <w:pPr>
              <w:autoSpaceDE w:val="0"/>
              <w:autoSpaceDN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接受，</w:t>
            </w:r>
            <w:r>
              <w:rPr>
                <w:rFonts w:hint="eastAsia" w:ascii="宋体" w:hAnsi="宋体"/>
                <w:color w:val="auto"/>
                <w:szCs w:val="21"/>
                <w:highlight w:val="none"/>
              </w:rPr>
              <w:t>联合体响应的，应满足下列要求：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1.12</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踏勘现场</w:t>
            </w:r>
          </w:p>
        </w:tc>
        <w:tc>
          <w:tcPr>
            <w:tcW w:w="6095"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宋体"/>
                <w:color w:val="auto"/>
                <w:szCs w:val="21"/>
                <w:highlight w:val="none"/>
              </w:rPr>
            </w:pPr>
            <w:r>
              <w:rPr>
                <w:rFonts w:hint="eastAsia"/>
                <w:color w:val="auto"/>
                <w:szCs w:val="21"/>
                <w:highlight w:val="none"/>
              </w:rPr>
              <w:t>■</w:t>
            </w:r>
            <w:r>
              <w:rPr>
                <w:rFonts w:hint="eastAsia" w:ascii="宋体" w:hAnsi="宋体" w:cs="宋体"/>
                <w:color w:val="auto"/>
                <w:szCs w:val="21"/>
                <w:highlight w:val="none"/>
              </w:rPr>
              <w:t>不统一组织，响应人须自行踏勘现场</w:t>
            </w:r>
          </w:p>
          <w:p>
            <w:pPr>
              <w:autoSpaceDE w:val="0"/>
              <w:autoSpaceDN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组织，踏勘现场时间、地点：</w:t>
            </w:r>
            <w:r>
              <w:rPr>
                <w:rFonts w:hint="eastAsia" w:ascii="宋体" w:hAnsi="宋体" w:cs="宋体"/>
                <w:color w:val="auto"/>
                <w:szCs w:val="21"/>
                <w:highlight w:val="none"/>
                <w:u w:val="single"/>
              </w:rPr>
              <w:t xml:space="preserve">                         </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2.1.3</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实质性要求</w:t>
            </w:r>
          </w:p>
        </w:tc>
        <w:tc>
          <w:tcPr>
            <w:tcW w:w="6095"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宋体" w:cs="宋体"/>
                <w:color w:val="auto"/>
                <w:szCs w:val="21"/>
                <w:highlight w:val="none"/>
              </w:rPr>
            </w:pPr>
            <w:r>
              <w:rPr>
                <w:rFonts w:hint="eastAsia" w:ascii="宋体" w:hAnsi="宋体" w:cs="宋体"/>
                <w:color w:val="auto"/>
                <w:szCs w:val="21"/>
                <w:highlight w:val="none"/>
              </w:rPr>
              <w:t>竞争性谈判文件中标识“</w:t>
            </w:r>
            <w:r>
              <w:rPr>
                <w:rFonts w:eastAsia="黑体"/>
                <w:color w:val="auto"/>
                <w:sz w:val="32"/>
                <w:szCs w:val="32"/>
                <w:highlight w:val="none"/>
              </w:rPr>
              <w:sym w:font="Wingdings" w:char="00AB"/>
            </w:r>
            <w:r>
              <w:rPr>
                <w:rFonts w:hint="eastAsia" w:ascii="宋体" w:hAnsi="宋体" w:cs="宋体"/>
                <w:color w:val="auto"/>
                <w:szCs w:val="21"/>
                <w:highlight w:val="none"/>
              </w:rPr>
              <w:t>”的条款，均为实质性条款，任何不满足实质性条款的谈判响应将被否决。</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响应人提出澄清要求的截止时间和方式</w:t>
            </w:r>
          </w:p>
        </w:tc>
        <w:tc>
          <w:tcPr>
            <w:tcW w:w="6095"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响应人应当在提交响应文件截止时间至少2日前提出澄清要求。</w:t>
            </w:r>
          </w:p>
          <w:p>
            <w:pPr>
              <w:autoSpaceDE w:val="0"/>
              <w:autoSpaceDN w:val="0"/>
              <w:rPr>
                <w:rFonts w:ascii="宋体" w:hAnsi="宋体" w:cs="宋体"/>
                <w:color w:val="auto"/>
                <w:szCs w:val="21"/>
                <w:highlight w:val="none"/>
              </w:rPr>
            </w:pPr>
            <w:r>
              <w:rPr>
                <w:rFonts w:hint="eastAsia" w:ascii="宋体" w:hAnsi="宋体" w:cs="宋体"/>
                <w:color w:val="auto"/>
                <w:szCs w:val="21"/>
                <w:highlight w:val="none"/>
              </w:rPr>
              <w:t>提出澄清要求的方式：书面方式</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采购人澄清或修改发布方式</w:t>
            </w:r>
          </w:p>
        </w:tc>
        <w:tc>
          <w:tcPr>
            <w:tcW w:w="6095"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color w:val="auto"/>
                <w:highlight w:val="none"/>
              </w:rPr>
            </w:pPr>
            <w:r>
              <w:rPr>
                <w:rFonts w:hint="eastAsia" w:ascii="宋体" w:hAnsi="宋体" w:cs="宋体"/>
                <w:color w:val="auto"/>
                <w:szCs w:val="21"/>
                <w:highlight w:val="none"/>
              </w:rPr>
              <w:t>采购人发出的澄清或修改内容统一以补充通知文件形式发布在</w:t>
            </w:r>
            <w:r>
              <w:rPr>
                <w:rFonts w:hint="eastAsia" w:ascii="宋体" w:hAnsi="宋体" w:eastAsia="宋体" w:cs="宋体"/>
                <w:color w:val="auto"/>
                <w:sz w:val="21"/>
                <w:szCs w:val="21"/>
                <w:highlight w:val="none"/>
                <w:u w:val="single"/>
              </w:rPr>
              <w:t>中国招标投标公共服务平台（http://www.cebpubservice.com/）、广东省公共资源交易平台（https://ygp.gdzwfw.gov.cn）、东莞实业投资控股集团有限公司-招标采购栏目（http://www.dgsy.com.cn/）、</w:t>
            </w:r>
            <w:r>
              <w:rPr>
                <w:rFonts w:hint="eastAsia" w:ascii="宋体" w:hAnsi="宋体" w:eastAsia="宋体" w:cs="宋体"/>
                <w:color w:val="auto"/>
                <w:sz w:val="21"/>
                <w:szCs w:val="21"/>
                <w:highlight w:val="none"/>
                <w:u w:val="single"/>
              </w:rPr>
              <w:t>广东东实环境股份有限公司招采平</w:t>
            </w:r>
            <w:r>
              <w:rPr>
                <w:rFonts w:hint="eastAsia" w:ascii="宋体" w:hAnsi="宋体" w:cs="宋体"/>
                <w:color w:val="auto"/>
                <w:sz w:val="21"/>
                <w:szCs w:val="21"/>
                <w:highlight w:val="none"/>
                <w:u w:val="single"/>
                <w:lang w:val="en-US" w:eastAsia="zh-CN"/>
              </w:rPr>
              <w:t>台</w:t>
            </w:r>
            <w:r>
              <w:rPr>
                <w:rFonts w:hint="eastAsia" w:ascii="宋体" w:hAnsi="宋体" w:eastAsia="宋体" w:cs="宋体"/>
                <w:color w:val="auto"/>
                <w:sz w:val="21"/>
                <w:szCs w:val="21"/>
                <w:highlight w:val="none"/>
                <w:u w:val="single"/>
              </w:rPr>
              <w:t>(https://pur.yonyou.com/DGDSXNY)</w:t>
            </w:r>
            <w:r>
              <w:rPr>
                <w:rFonts w:hint="eastAsia" w:ascii="宋体" w:hAnsi="宋体" w:eastAsia="宋体" w:cs="宋体"/>
                <w:color w:val="auto"/>
                <w:sz w:val="21"/>
                <w:szCs w:val="21"/>
                <w:highlight w:val="none"/>
                <w:u w:val="single"/>
              </w:rPr>
              <w:t>广东政通招标有限公司官网（http://www.zttendering.com/）</w:t>
            </w:r>
            <w:r>
              <w:rPr>
                <w:rFonts w:hint="eastAsia"/>
                <w:color w:val="auto"/>
                <w:highlight w:val="none"/>
              </w:rPr>
              <w:t>，视为潜在竞争性谈判响应人已获取相关文件。</w:t>
            </w:r>
          </w:p>
          <w:p>
            <w:pPr>
              <w:autoSpaceDE w:val="0"/>
              <w:autoSpaceDN w:val="0"/>
              <w:rPr>
                <w:rFonts w:ascii="宋体" w:hAnsi="宋体" w:cs="宋体"/>
                <w:color w:val="auto"/>
                <w:szCs w:val="21"/>
                <w:highlight w:val="none"/>
              </w:rPr>
            </w:pPr>
            <w:r>
              <w:rPr>
                <w:rFonts w:hint="eastAsia"/>
                <w:color w:val="auto"/>
                <w:highlight w:val="none"/>
              </w:rPr>
              <w:t>若潜在竞争性谈判响应人未留意或未及时获取</w:t>
            </w:r>
            <w:r>
              <w:rPr>
                <w:rFonts w:hint="eastAsia" w:ascii="宋体" w:hAnsi="宋体" w:cs="宋体"/>
                <w:color w:val="auto"/>
                <w:szCs w:val="21"/>
                <w:highlight w:val="none"/>
              </w:rPr>
              <w:t>补充通知文件</w:t>
            </w:r>
            <w:r>
              <w:rPr>
                <w:rFonts w:hint="eastAsia"/>
                <w:color w:val="auto"/>
                <w:highlight w:val="none"/>
              </w:rPr>
              <w:t>，一切后果由竞争性谈判响应人自行承担。</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3.2.2</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color w:val="auto"/>
                <w:szCs w:val="21"/>
                <w:highlight w:val="none"/>
              </w:rPr>
            </w:pPr>
            <w:r>
              <w:rPr>
                <w:rFonts w:hint="eastAsia" w:ascii="宋体" w:hAnsi="宋体" w:cs="宋体"/>
                <w:color w:val="auto"/>
                <w:szCs w:val="21"/>
                <w:highlight w:val="none"/>
              </w:rPr>
              <w:t>响应文件响应和编写</w:t>
            </w:r>
          </w:p>
        </w:tc>
        <w:tc>
          <w:tcPr>
            <w:tcW w:w="6095"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本条款增加规定：</w:t>
            </w:r>
          </w:p>
          <w:p>
            <w:pPr>
              <w:numPr>
                <w:ilvl w:val="0"/>
                <w:numId w:val="3"/>
              </w:numPr>
              <w:tabs>
                <w:tab w:val="left" w:pos="318"/>
              </w:tabs>
              <w:rPr>
                <w:rFonts w:ascii="宋体" w:hAnsi="宋体"/>
                <w:color w:val="auto"/>
                <w:szCs w:val="21"/>
                <w:highlight w:val="none"/>
              </w:rPr>
            </w:pPr>
            <w:r>
              <w:rPr>
                <w:rFonts w:hint="eastAsia" w:ascii="宋体" w:hAnsi="宋体"/>
                <w:color w:val="auto"/>
                <w:szCs w:val="21"/>
                <w:highlight w:val="none"/>
              </w:rPr>
              <w:t>响应人应</w:t>
            </w:r>
            <w:r>
              <w:rPr>
                <w:rFonts w:ascii="宋体" w:hAnsi="宋体"/>
                <w:color w:val="auto"/>
                <w:szCs w:val="21"/>
                <w:highlight w:val="none"/>
              </w:rPr>
              <w:t>对竞争性谈判文件中的</w:t>
            </w:r>
            <w:r>
              <w:rPr>
                <w:rFonts w:hint="eastAsia" w:ascii="宋体" w:hAnsi="宋体"/>
                <w:color w:val="auto"/>
                <w:szCs w:val="21"/>
                <w:highlight w:val="none"/>
              </w:rPr>
              <w:t>《</w:t>
            </w:r>
            <w:r>
              <w:rPr>
                <w:rFonts w:hint="eastAsia" w:ascii="宋体" w:hAnsi="宋体" w:cs="宋体"/>
                <w:color w:val="auto"/>
                <w:szCs w:val="21"/>
                <w:highlight w:val="none"/>
              </w:rPr>
              <w:t>“</w:t>
            </w:r>
            <w:r>
              <w:rPr>
                <w:rFonts w:eastAsia="黑体"/>
                <w:b/>
                <w:color w:val="auto"/>
                <w:sz w:val="32"/>
                <w:szCs w:val="32"/>
                <w:highlight w:val="none"/>
              </w:rPr>
              <w:sym w:font="Wingdings" w:char="00AB"/>
            </w:r>
            <w:r>
              <w:rPr>
                <w:rFonts w:hint="eastAsia" w:ascii="宋体" w:hAnsi="宋体" w:cs="宋体"/>
                <w:color w:val="auto"/>
                <w:szCs w:val="21"/>
                <w:highlight w:val="none"/>
              </w:rPr>
              <w:t>”</w:t>
            </w:r>
            <w:r>
              <w:rPr>
                <w:rFonts w:hint="eastAsia" w:ascii="宋体" w:hAnsi="宋体"/>
                <w:color w:val="auto"/>
                <w:szCs w:val="21"/>
                <w:highlight w:val="none"/>
              </w:rPr>
              <w:t>号条款响应表》填写实质性条款响应情况。</w:t>
            </w:r>
            <w:r>
              <w:rPr>
                <w:rFonts w:hint="eastAsia" w:hAnsi="宋体"/>
                <w:b/>
                <w:color w:val="auto"/>
                <w:szCs w:val="21"/>
                <w:highlight w:val="none"/>
              </w:rPr>
              <w:t>响应人若有一项带“★”的条款未响应或不满足，将按无效响应处理。</w:t>
            </w:r>
          </w:p>
          <w:p>
            <w:pPr>
              <w:numPr>
                <w:ilvl w:val="0"/>
                <w:numId w:val="3"/>
              </w:numPr>
              <w:tabs>
                <w:tab w:val="left" w:pos="318"/>
              </w:tabs>
              <w:rPr>
                <w:color w:val="auto"/>
                <w:szCs w:val="21"/>
                <w:highlight w:val="none"/>
              </w:rPr>
            </w:pPr>
            <w:r>
              <w:rPr>
                <w:rFonts w:hint="eastAsia" w:ascii="宋体" w:hAnsi="宋体" w:cs="宋体"/>
                <w:bCs/>
                <w:color w:val="auto"/>
                <w:szCs w:val="21"/>
                <w:highlight w:val="none"/>
              </w:rPr>
              <w:t>响应人对竞争性谈判文件中</w:t>
            </w:r>
            <w:r>
              <w:rPr>
                <w:rFonts w:ascii="宋体" w:hAnsi="宋体"/>
                <w:color w:val="auto"/>
                <w:szCs w:val="21"/>
                <w:highlight w:val="none"/>
              </w:rPr>
              <w:t>“合同条款”</w:t>
            </w:r>
            <w:r>
              <w:rPr>
                <w:rFonts w:hint="eastAsia" w:ascii="宋体" w:hAnsi="宋体"/>
                <w:color w:val="auto"/>
                <w:szCs w:val="21"/>
                <w:highlight w:val="none"/>
              </w:rPr>
              <w:t>、“用户需求书/技术规范书”</w:t>
            </w:r>
            <w:r>
              <w:rPr>
                <w:rFonts w:hint="eastAsia" w:ascii="宋体" w:hAnsi="宋体" w:cs="宋体"/>
                <w:bCs/>
                <w:color w:val="auto"/>
                <w:szCs w:val="21"/>
                <w:highlight w:val="none"/>
              </w:rPr>
              <w:t>作出的负偏离，采购人如不接受，可要求响应人以竞争性谈判文件中的要求为准，如响应人拒绝的，采购人有权取消其成交资格或取消合同，采购人不作任何补偿。</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3.2.4</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color w:val="auto"/>
                <w:szCs w:val="21"/>
                <w:highlight w:val="none"/>
              </w:rPr>
            </w:pPr>
            <w:r>
              <w:rPr>
                <w:rFonts w:hint="eastAsia" w:ascii="宋体" w:hAnsi="宋体" w:cs="宋体"/>
                <w:color w:val="auto"/>
                <w:szCs w:val="21"/>
                <w:highlight w:val="none"/>
              </w:rPr>
              <w:t>响应文件的盖章</w:t>
            </w:r>
          </w:p>
        </w:tc>
        <w:tc>
          <w:tcPr>
            <w:tcW w:w="6095"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本条款增加规定：</w:t>
            </w:r>
          </w:p>
          <w:p>
            <w:pPr>
              <w:numPr>
                <w:ilvl w:val="0"/>
                <w:numId w:val="4"/>
              </w:numPr>
              <w:rPr>
                <w:rFonts w:ascii="宋体" w:hAnsi="宋体"/>
                <w:b/>
                <w:color w:val="auto"/>
                <w:szCs w:val="21"/>
                <w:highlight w:val="none"/>
              </w:rPr>
            </w:pPr>
            <w:r>
              <w:rPr>
                <w:rFonts w:hint="eastAsia" w:ascii="宋体" w:hAnsi="宋体"/>
                <w:b/>
                <w:color w:val="auto"/>
                <w:szCs w:val="21"/>
                <w:highlight w:val="none"/>
              </w:rPr>
              <w:t>响应文件中凡出现响应人单位落款的地方应盖单位公章，如使用依照国家行政部门要求已备案的投标专用章、业务专用章的，应提供所使用印章的合法备案证明（复印件需加盖公章）。</w:t>
            </w:r>
          </w:p>
          <w:p>
            <w:pPr>
              <w:numPr>
                <w:ilvl w:val="0"/>
                <w:numId w:val="4"/>
              </w:numPr>
              <w:rPr>
                <w:rFonts w:ascii="宋体" w:hAnsi="宋体"/>
                <w:color w:val="auto"/>
                <w:szCs w:val="21"/>
                <w:highlight w:val="none"/>
              </w:rPr>
            </w:pPr>
            <w:r>
              <w:rPr>
                <w:rFonts w:hint="eastAsia" w:ascii="宋体" w:hAnsi="宋体"/>
                <w:color w:val="auto"/>
                <w:szCs w:val="21"/>
                <w:highlight w:val="none"/>
              </w:rPr>
              <w:t>同时响应文件盖章必须符合以下其中一种：</w:t>
            </w:r>
          </w:p>
          <w:p>
            <w:pPr>
              <w:numPr>
                <w:ilvl w:val="0"/>
                <w:numId w:val="5"/>
              </w:numPr>
              <w:ind w:left="381" w:hanging="381"/>
              <w:rPr>
                <w:rFonts w:ascii="宋体" w:hAnsi="宋体"/>
                <w:color w:val="auto"/>
                <w:szCs w:val="21"/>
                <w:highlight w:val="none"/>
              </w:rPr>
            </w:pPr>
            <w:r>
              <w:rPr>
                <w:rFonts w:hint="eastAsia" w:ascii="宋体" w:hAnsi="宋体"/>
                <w:color w:val="auto"/>
                <w:szCs w:val="21"/>
                <w:highlight w:val="none"/>
              </w:rPr>
              <w:t>加盖响应人单位骑缝章；</w:t>
            </w:r>
          </w:p>
          <w:p>
            <w:pPr>
              <w:numPr>
                <w:ilvl w:val="0"/>
                <w:numId w:val="5"/>
              </w:numPr>
              <w:ind w:left="381" w:hanging="381"/>
              <w:rPr>
                <w:rFonts w:ascii="宋体" w:hAnsi="宋体"/>
                <w:color w:val="auto"/>
                <w:szCs w:val="21"/>
                <w:highlight w:val="none"/>
              </w:rPr>
            </w:pPr>
            <w:r>
              <w:rPr>
                <w:rFonts w:hint="eastAsia" w:ascii="宋体" w:hAnsi="宋体"/>
                <w:color w:val="auto"/>
                <w:szCs w:val="21"/>
                <w:highlight w:val="none"/>
              </w:rPr>
              <w:t xml:space="preserve">逐页加盖响应人单位印章。 </w:t>
            </w:r>
          </w:p>
          <w:p>
            <w:pPr>
              <w:pStyle w:val="71"/>
              <w:ind w:firstLine="0" w:firstLineChars="0"/>
              <w:rPr>
                <w:color w:val="auto"/>
                <w:szCs w:val="21"/>
                <w:highlight w:val="none"/>
              </w:rPr>
            </w:pPr>
            <w:r>
              <w:rPr>
                <w:rFonts w:hint="eastAsia" w:ascii="宋体" w:hAnsi="宋体"/>
                <w:b/>
                <w:color w:val="auto"/>
                <w:szCs w:val="21"/>
                <w:highlight w:val="none"/>
              </w:rPr>
              <w:t>请按上述要求制作响应文件，否则其谈判响应将被否决。</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3.3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报价方式及具体要求</w:t>
            </w:r>
          </w:p>
        </w:tc>
        <w:tc>
          <w:tcPr>
            <w:tcW w:w="6095"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本条款增加规定：</w:t>
            </w:r>
          </w:p>
          <w:p>
            <w:pPr>
              <w:numPr>
                <w:ilvl w:val="0"/>
                <w:numId w:val="6"/>
              </w:numPr>
              <w:rPr>
                <w:rFonts w:ascii="宋体" w:hAnsi="宋体"/>
                <w:color w:val="auto"/>
                <w:szCs w:val="21"/>
                <w:highlight w:val="none"/>
              </w:rPr>
            </w:pPr>
            <w:r>
              <w:rPr>
                <w:rFonts w:hint="eastAsia" w:ascii="宋体" w:hAnsi="宋体"/>
                <w:b/>
                <w:color w:val="auto"/>
                <w:szCs w:val="21"/>
                <w:highlight w:val="none"/>
              </w:rPr>
              <w:t>本项目谈判报价采用单价报价方式。</w:t>
            </w:r>
          </w:p>
          <w:p>
            <w:pPr>
              <w:numPr>
                <w:ilvl w:val="0"/>
                <w:numId w:val="6"/>
              </w:numPr>
              <w:rPr>
                <w:rFonts w:ascii="宋体" w:hAnsi="宋体"/>
                <w:color w:val="auto"/>
                <w:szCs w:val="21"/>
                <w:highlight w:val="none"/>
              </w:rPr>
            </w:pPr>
            <w:r>
              <w:rPr>
                <w:rFonts w:hint="eastAsia" w:ascii="宋体" w:hAnsi="宋体"/>
                <w:b/>
                <w:color w:val="auto"/>
                <w:szCs w:val="21"/>
                <w:highlight w:val="none"/>
              </w:rPr>
              <w:t>本项目</w:t>
            </w:r>
            <w:r>
              <w:rPr>
                <w:rFonts w:hint="eastAsia" w:ascii="宋体" w:hAnsi="宋体"/>
                <w:b/>
                <w:color w:val="auto"/>
                <w:szCs w:val="21"/>
                <w:highlight w:val="none"/>
                <w:lang w:val="en-US" w:eastAsia="zh-CN"/>
              </w:rPr>
              <w:t>谈判报价的单价报价</w:t>
            </w:r>
            <w:r>
              <w:rPr>
                <w:rFonts w:hint="eastAsia" w:ascii="宋体" w:hAnsi="宋体"/>
                <w:b/>
                <w:color w:val="auto"/>
                <w:szCs w:val="21"/>
                <w:highlight w:val="none"/>
              </w:rPr>
              <w:t>(含税）不得超过最高限价。</w:t>
            </w:r>
            <w:r>
              <w:rPr>
                <w:rFonts w:hint="eastAsia" w:ascii="宋体" w:hAnsi="宋体"/>
                <w:color w:val="auto"/>
                <w:szCs w:val="21"/>
                <w:highlight w:val="none"/>
              </w:rPr>
              <w:t>若谈判报价(含税）超过谈判最高限价的，或谈判小组按竞争性谈判文件的要求对谈判报价(含税）进行修正后的修正价格超过谈判最高限价的，将作否决谈判处理。</w:t>
            </w:r>
          </w:p>
          <w:p>
            <w:pPr>
              <w:numPr>
                <w:ilvl w:val="0"/>
                <w:numId w:val="6"/>
              </w:numPr>
              <w:rPr>
                <w:rFonts w:ascii="宋体" w:hAnsi="宋体"/>
                <w:color w:val="auto"/>
                <w:szCs w:val="21"/>
                <w:highlight w:val="none"/>
              </w:rPr>
            </w:pPr>
            <w:r>
              <w:rPr>
                <w:rFonts w:hint="eastAsia" w:ascii="宋体" w:hAnsi="宋体"/>
                <w:color w:val="auto"/>
                <w:szCs w:val="21"/>
                <w:highlight w:val="none"/>
              </w:rPr>
              <w:t>谈判报价应包括所有</w:t>
            </w:r>
            <w:r>
              <w:rPr>
                <w:rFonts w:hint="eastAsia" w:ascii="宋体" w:hAnsi="宋体" w:eastAsia="宋体" w:cs="宋体"/>
                <w:color w:val="auto"/>
                <w:szCs w:val="21"/>
                <w:highlight w:val="none"/>
                <w:lang w:val="zh-CN" w:bidi="zh-CN"/>
              </w:rPr>
              <w:t>材料、工具、人工、管理费、利润、税金、风险等一切因素所有应该和可能发生的费用因素。</w:t>
            </w:r>
            <w:r>
              <w:rPr>
                <w:rFonts w:hint="eastAsia" w:ascii="宋体" w:hAnsi="宋体"/>
                <w:color w:val="auto"/>
                <w:szCs w:val="21"/>
                <w:highlight w:val="none"/>
              </w:rPr>
              <w:t>。</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3.</w:t>
            </w:r>
            <w:r>
              <w:rPr>
                <w:rFonts w:hint="eastAsia"/>
                <w:color w:val="auto"/>
                <w:szCs w:val="21"/>
                <w:highlight w:val="none"/>
              </w:rPr>
              <w:t>4.1</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color w:val="auto"/>
                <w:szCs w:val="21"/>
                <w:highlight w:val="none"/>
              </w:rPr>
            </w:pPr>
            <w:r>
              <w:rPr>
                <w:rFonts w:hint="eastAsia" w:ascii="宋体" w:hAnsi="宋体" w:cs="宋体"/>
                <w:color w:val="auto"/>
                <w:szCs w:val="21"/>
                <w:highlight w:val="none"/>
              </w:rPr>
              <w:t>谈判</w:t>
            </w:r>
            <w:r>
              <w:rPr>
                <w:color w:val="auto"/>
                <w:szCs w:val="21"/>
                <w:highlight w:val="none"/>
              </w:rPr>
              <w:t>有效期</w:t>
            </w:r>
          </w:p>
        </w:tc>
        <w:tc>
          <w:tcPr>
            <w:tcW w:w="6095"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ascii="宋体" w:hAnsi="宋体" w:cs="宋体"/>
                <w:color w:val="auto"/>
                <w:szCs w:val="21"/>
                <w:highlight w:val="none"/>
              </w:rPr>
              <w:t>谈判有效期：</w:t>
            </w:r>
            <w:r>
              <w:rPr>
                <w:rFonts w:ascii="宋体" w:hAnsi="宋体" w:cs="宋体"/>
                <w:color w:val="auto"/>
                <w:szCs w:val="21"/>
                <w:highlight w:val="none"/>
                <w:u w:val="single"/>
              </w:rPr>
              <w:t>90</w:t>
            </w:r>
            <w:r>
              <w:rPr>
                <w:rFonts w:hint="eastAsia" w:ascii="宋体" w:hAnsi="宋体" w:cs="宋体"/>
                <w:color w:val="auto"/>
                <w:szCs w:val="21"/>
                <w:highlight w:val="none"/>
              </w:rPr>
              <w:t>天。</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3.</w:t>
            </w:r>
            <w:r>
              <w:rPr>
                <w:rFonts w:hint="eastAsia"/>
                <w:color w:val="auto"/>
                <w:szCs w:val="21"/>
                <w:highlight w:val="none"/>
              </w:rPr>
              <w:t>5</w:t>
            </w:r>
            <w:r>
              <w:rPr>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color w:val="auto"/>
                <w:szCs w:val="21"/>
                <w:highlight w:val="none"/>
              </w:rPr>
            </w:pPr>
            <w:r>
              <w:rPr>
                <w:color w:val="auto"/>
                <w:szCs w:val="21"/>
                <w:highlight w:val="none"/>
              </w:rPr>
              <w:t>谈判保证金</w:t>
            </w:r>
            <w:r>
              <w:rPr>
                <w:rFonts w:hint="eastAsia"/>
                <w:color w:val="auto"/>
                <w:szCs w:val="21"/>
                <w:highlight w:val="none"/>
              </w:rPr>
              <w:t>金额</w:t>
            </w:r>
          </w:p>
        </w:tc>
        <w:tc>
          <w:tcPr>
            <w:tcW w:w="6095"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ascii="宋体" w:hAnsi="宋体" w:cs="宋体"/>
                <w:color w:val="auto"/>
                <w:szCs w:val="21"/>
                <w:highlight w:val="none"/>
              </w:rPr>
              <w:t>谈判保证金金额：</w:t>
            </w:r>
            <w:r>
              <w:rPr>
                <w:rFonts w:hint="eastAsia" w:ascii="宋体" w:hAnsi="宋体"/>
                <w:color w:val="auto"/>
                <w:highlight w:val="none"/>
                <w:u w:val="single"/>
                <w:lang w:val="en-US" w:eastAsia="zh-CN"/>
              </w:rPr>
              <w:t>28000.00</w:t>
            </w:r>
            <w:r>
              <w:rPr>
                <w:rFonts w:ascii="宋体" w:hAnsi="宋体"/>
                <w:color w:val="auto"/>
                <w:highlight w:val="none"/>
              </w:rPr>
              <w:t>元</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3.5.2</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color w:val="auto"/>
                <w:szCs w:val="21"/>
                <w:highlight w:val="none"/>
              </w:rPr>
            </w:pPr>
            <w:r>
              <w:rPr>
                <w:rFonts w:hint="eastAsia"/>
                <w:color w:val="auto"/>
                <w:szCs w:val="21"/>
                <w:highlight w:val="none"/>
              </w:rPr>
              <w:t>谈判保证金形式</w:t>
            </w:r>
          </w:p>
        </w:tc>
        <w:tc>
          <w:tcPr>
            <w:tcW w:w="6095"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w:t>
            </w:r>
            <w:r>
              <w:rPr>
                <w:rFonts w:hint="eastAsia"/>
                <w:color w:val="auto"/>
                <w:szCs w:val="21"/>
                <w:highlight w:val="none"/>
              </w:rPr>
              <w:t>.谈判保证金的形式：银行转账或电汇。</w:t>
            </w:r>
          </w:p>
          <w:p>
            <w:pPr>
              <w:rPr>
                <w:color w:val="auto"/>
                <w:szCs w:val="21"/>
                <w:highlight w:val="none"/>
              </w:rPr>
            </w:pPr>
            <w:r>
              <w:rPr>
                <w:color w:val="auto"/>
                <w:szCs w:val="21"/>
                <w:highlight w:val="none"/>
              </w:rPr>
              <w:t>2</w:t>
            </w:r>
            <w:r>
              <w:rPr>
                <w:rFonts w:hint="eastAsia"/>
                <w:color w:val="auto"/>
                <w:szCs w:val="21"/>
                <w:highlight w:val="none"/>
              </w:rPr>
              <w:t>.响应文件中须提供谈判保证金缴纳凭证复印件。唱标同时将公开展示谈判保证金凭证。</w:t>
            </w:r>
          </w:p>
          <w:p>
            <w:pPr>
              <w:rPr>
                <w:color w:val="auto"/>
                <w:szCs w:val="21"/>
                <w:highlight w:val="none"/>
              </w:rPr>
            </w:pPr>
            <w:r>
              <w:rPr>
                <w:rFonts w:hint="eastAsia"/>
                <w:color w:val="auto"/>
                <w:szCs w:val="21"/>
                <w:highlight w:val="none"/>
              </w:rPr>
              <w:t>3.谈判保证金有效期与谈判有效期一致。</w:t>
            </w:r>
          </w:p>
          <w:p>
            <w:pPr>
              <w:rPr>
                <w:color w:val="auto"/>
                <w:szCs w:val="21"/>
                <w:highlight w:val="none"/>
              </w:rPr>
            </w:pPr>
            <w:r>
              <w:rPr>
                <w:rFonts w:hint="eastAsia"/>
                <w:color w:val="auto"/>
                <w:szCs w:val="21"/>
                <w:highlight w:val="none"/>
              </w:rPr>
              <w:t>4.提交谈判保证金帐户信息：</w:t>
            </w:r>
          </w:p>
          <w:p>
            <w:pPr>
              <w:rPr>
                <w:rFonts w:hint="eastAsia" w:hAnsi="宋体" w:cs="宋体"/>
                <w:color w:val="auto"/>
                <w:kern w:val="2"/>
                <w:szCs w:val="21"/>
                <w:highlight w:val="none"/>
                <w:lang w:val="zh-CN"/>
              </w:rPr>
            </w:pPr>
            <w:r>
              <w:rPr>
                <w:rFonts w:hint="eastAsia" w:hAnsi="宋体" w:cs="宋体"/>
                <w:color w:val="auto"/>
                <w:kern w:val="2"/>
                <w:szCs w:val="21"/>
                <w:highlight w:val="none"/>
                <w:lang w:val="zh-CN"/>
              </w:rPr>
              <w:t>帐户名称：广东东实环境股份有限公司</w:t>
            </w:r>
          </w:p>
          <w:p>
            <w:pPr>
              <w:rPr>
                <w:rFonts w:hint="eastAsia" w:hAnsi="宋体" w:cs="宋体"/>
                <w:color w:val="auto"/>
                <w:kern w:val="2"/>
                <w:szCs w:val="21"/>
                <w:highlight w:val="none"/>
                <w:lang w:val="zh-CN"/>
              </w:rPr>
            </w:pPr>
            <w:r>
              <w:rPr>
                <w:rFonts w:hint="eastAsia" w:hAnsi="宋体" w:cs="宋体"/>
                <w:color w:val="auto"/>
                <w:kern w:val="2"/>
                <w:szCs w:val="21"/>
                <w:highlight w:val="none"/>
                <w:lang w:val="zh-CN"/>
              </w:rPr>
              <w:t>开户银行：东莞农村商业银行中心支行</w:t>
            </w:r>
          </w:p>
          <w:p>
            <w:pPr>
              <w:rPr>
                <w:rFonts w:hint="eastAsia" w:hAnsi="宋体" w:cs="宋体"/>
                <w:color w:val="auto"/>
                <w:kern w:val="2"/>
                <w:szCs w:val="21"/>
                <w:highlight w:val="none"/>
                <w:lang w:val="zh-CN"/>
              </w:rPr>
            </w:pPr>
            <w:r>
              <w:rPr>
                <w:rFonts w:hint="eastAsia" w:hAnsi="宋体" w:cs="宋体"/>
                <w:color w:val="auto"/>
                <w:kern w:val="2"/>
                <w:szCs w:val="21"/>
                <w:highlight w:val="none"/>
                <w:lang w:val="zh-CN"/>
              </w:rPr>
              <w:t>银行帐号：380010190010009298</w:t>
            </w:r>
          </w:p>
          <w:p>
            <w:pPr>
              <w:rPr>
                <w:color w:val="auto"/>
                <w:szCs w:val="21"/>
                <w:highlight w:val="none"/>
              </w:rPr>
            </w:pPr>
            <w:r>
              <w:rPr>
                <w:rFonts w:hint="eastAsia" w:cs="宋体" w:asciiTheme="majorEastAsia" w:hAnsiTheme="majorEastAsia" w:eastAsiaTheme="majorEastAsia"/>
                <w:b/>
                <w:color w:val="auto"/>
                <w:szCs w:val="21"/>
                <w:highlight w:val="none"/>
              </w:rPr>
              <w:t>（注：各响应人在转帐或电汇时须在用途栏上备注项目编号，及项目名称，如有字数限制项目名称可简写。）</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3.</w:t>
            </w:r>
            <w:r>
              <w:rPr>
                <w:rFonts w:hint="eastAsia"/>
                <w:color w:val="auto"/>
                <w:szCs w:val="21"/>
                <w:highlight w:val="none"/>
              </w:rPr>
              <w:t>6</w:t>
            </w:r>
            <w:r>
              <w:rPr>
                <w:color w:val="auto"/>
                <w:szCs w:val="21"/>
                <w:highlight w:val="none"/>
              </w:rPr>
              <w:t>.</w:t>
            </w:r>
            <w:r>
              <w:rPr>
                <w:rFonts w:hint="eastAsia"/>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color w:val="auto"/>
                <w:szCs w:val="21"/>
                <w:highlight w:val="none"/>
              </w:rPr>
            </w:pPr>
            <w:r>
              <w:rPr>
                <w:color w:val="auto"/>
                <w:szCs w:val="21"/>
                <w:highlight w:val="none"/>
              </w:rPr>
              <w:t>响应文件份数</w:t>
            </w:r>
          </w:p>
        </w:tc>
        <w:tc>
          <w:tcPr>
            <w:tcW w:w="6095" w:type="dxa"/>
            <w:tcBorders>
              <w:top w:val="single" w:color="auto" w:sz="4" w:space="0"/>
              <w:left w:val="single" w:color="auto" w:sz="4" w:space="0"/>
              <w:bottom w:val="single" w:color="auto" w:sz="4" w:space="0"/>
              <w:right w:val="single" w:color="auto" w:sz="4" w:space="0"/>
            </w:tcBorders>
            <w:vAlign w:val="center"/>
          </w:tcPr>
          <w:p>
            <w:pPr>
              <w:rPr>
                <w:rFonts w:hAnsi="宋体" w:cs="宋体"/>
                <w:b/>
                <w:color w:val="auto"/>
                <w:szCs w:val="21"/>
                <w:highlight w:val="none"/>
              </w:rPr>
            </w:pPr>
            <w:r>
              <w:rPr>
                <w:rFonts w:hint="eastAsia" w:hAnsi="宋体" w:cs="宋体"/>
                <w:b/>
                <w:color w:val="auto"/>
                <w:szCs w:val="21"/>
                <w:highlight w:val="none"/>
              </w:rPr>
              <w:t>正本</w:t>
            </w:r>
            <w:r>
              <w:rPr>
                <w:rFonts w:hint="eastAsia" w:hAnsi="宋体" w:cs="宋体"/>
                <w:b/>
                <w:color w:val="auto"/>
                <w:szCs w:val="21"/>
                <w:highlight w:val="none"/>
                <w:u w:val="single"/>
              </w:rPr>
              <w:t>1</w:t>
            </w:r>
            <w:r>
              <w:rPr>
                <w:rFonts w:hint="eastAsia" w:hAnsi="宋体" w:cs="宋体"/>
                <w:b/>
                <w:color w:val="auto"/>
                <w:szCs w:val="21"/>
                <w:highlight w:val="none"/>
              </w:rPr>
              <w:t>份、副本</w:t>
            </w:r>
            <w:r>
              <w:rPr>
                <w:rFonts w:hint="eastAsia" w:hAnsi="宋体" w:cs="宋体"/>
                <w:b/>
                <w:color w:val="auto"/>
                <w:szCs w:val="21"/>
                <w:highlight w:val="none"/>
                <w:u w:val="single"/>
              </w:rPr>
              <w:t>2</w:t>
            </w:r>
            <w:r>
              <w:rPr>
                <w:rFonts w:hint="eastAsia" w:hAnsi="宋体" w:cs="宋体"/>
                <w:b/>
                <w:color w:val="auto"/>
                <w:szCs w:val="21"/>
                <w:highlight w:val="none"/>
              </w:rPr>
              <w:t>份，唱标信封</w:t>
            </w:r>
            <w:r>
              <w:rPr>
                <w:rFonts w:hint="eastAsia" w:hAnsi="宋体" w:cs="宋体"/>
                <w:b/>
                <w:color w:val="auto"/>
                <w:szCs w:val="21"/>
                <w:highlight w:val="none"/>
                <w:u w:val="single"/>
              </w:rPr>
              <w:t>1</w:t>
            </w:r>
            <w:r>
              <w:rPr>
                <w:rFonts w:hint="eastAsia" w:hAnsi="宋体" w:cs="宋体"/>
                <w:b/>
                <w:color w:val="auto"/>
                <w:szCs w:val="21"/>
                <w:highlight w:val="none"/>
              </w:rPr>
              <w:t>份。</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3.</w:t>
            </w:r>
            <w:r>
              <w:rPr>
                <w:rFonts w:hint="eastAsia"/>
                <w:color w:val="auto"/>
                <w:szCs w:val="21"/>
                <w:highlight w:val="none"/>
              </w:rPr>
              <w:t>6</w:t>
            </w:r>
            <w:r>
              <w:rPr>
                <w:color w:val="auto"/>
                <w:szCs w:val="21"/>
                <w:highlight w:val="none"/>
              </w:rPr>
              <w:t>.</w:t>
            </w:r>
            <w:r>
              <w:rPr>
                <w:rFonts w:hint="eastAsia"/>
                <w:color w:val="auto"/>
                <w:szCs w:val="21"/>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响应文件的密封和标记要求</w:t>
            </w:r>
          </w:p>
        </w:tc>
        <w:tc>
          <w:tcPr>
            <w:tcW w:w="6095"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本条款增加规定：</w:t>
            </w:r>
          </w:p>
          <w:p>
            <w:pPr>
              <w:rPr>
                <w:rFonts w:ascii="宋体" w:hAnsi="宋体" w:cs="宋体"/>
                <w:color w:val="auto"/>
                <w:szCs w:val="21"/>
                <w:highlight w:val="none"/>
              </w:rPr>
            </w:pPr>
            <w:r>
              <w:rPr>
                <w:rFonts w:hint="eastAsia" w:ascii="宋体" w:hAnsi="宋体" w:cs="宋体"/>
                <w:color w:val="auto"/>
                <w:szCs w:val="21"/>
                <w:highlight w:val="none"/>
              </w:rPr>
              <w:t>1）商务技术响应文件、经济响应文件应分别装订，密封后，加贴封条，在封口处加盖骑缝章</w:t>
            </w:r>
            <w:r>
              <w:rPr>
                <w:rFonts w:hint="eastAsia"/>
                <w:color w:val="auto"/>
                <w:szCs w:val="21"/>
                <w:highlight w:val="none"/>
              </w:rPr>
              <w:t>或者由响应人的法定代表人或其委托代理人签字</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2）商务技术竞争性谈判响应文件里不能含有任何有关谈判报价信息。</w:t>
            </w:r>
          </w:p>
          <w:p>
            <w:pPr>
              <w:rPr>
                <w:rFonts w:ascii="宋体" w:hAnsi="宋体" w:cs="宋体"/>
                <w:color w:val="auto"/>
                <w:szCs w:val="21"/>
                <w:highlight w:val="none"/>
              </w:rPr>
            </w:pPr>
            <w:r>
              <w:rPr>
                <w:rFonts w:hint="eastAsia" w:ascii="宋体" w:hAnsi="宋体" w:cs="宋体"/>
                <w:color w:val="auto"/>
                <w:szCs w:val="21"/>
                <w:highlight w:val="none"/>
              </w:rPr>
              <w:t>3）响应文件</w:t>
            </w:r>
            <w:r>
              <w:rPr>
                <w:rFonts w:hint="eastAsia"/>
                <w:color w:val="auto"/>
                <w:szCs w:val="21"/>
                <w:highlight w:val="none"/>
              </w:rPr>
              <w:t>外层包封</w:t>
            </w:r>
            <w:r>
              <w:rPr>
                <w:rFonts w:hint="eastAsia" w:ascii="宋体" w:hAnsi="宋体" w:cs="宋体"/>
                <w:color w:val="auto"/>
                <w:szCs w:val="21"/>
                <w:highlight w:val="none"/>
              </w:rPr>
              <w:t>上应写明的内容如下：</w:t>
            </w:r>
          </w:p>
          <w:p>
            <w:pPr>
              <w:rPr>
                <w:rFonts w:ascii="宋体" w:hAnsi="宋体"/>
                <w:b/>
                <w:color w:val="auto"/>
                <w:szCs w:val="21"/>
                <w:highlight w:val="none"/>
              </w:rPr>
            </w:pPr>
            <w:r>
              <w:rPr>
                <w:rFonts w:hint="eastAsia" w:ascii="宋体" w:hAnsi="宋体"/>
                <w:b/>
                <w:color w:val="auto"/>
                <w:szCs w:val="21"/>
                <w:highlight w:val="none"/>
              </w:rPr>
              <w:t xml:space="preserve">采购人名称： </w:t>
            </w:r>
          </w:p>
          <w:p>
            <w:pPr>
              <w:rPr>
                <w:rFonts w:ascii="宋体" w:hAnsi="宋体"/>
                <w:b/>
                <w:color w:val="auto"/>
                <w:szCs w:val="21"/>
                <w:highlight w:val="none"/>
              </w:rPr>
            </w:pPr>
            <w:r>
              <w:rPr>
                <w:rFonts w:hint="eastAsia" w:ascii="宋体" w:hAnsi="宋体"/>
                <w:b/>
                <w:color w:val="auto"/>
                <w:szCs w:val="21"/>
                <w:highlight w:val="none"/>
              </w:rPr>
              <w:t>采购代理机构名称：</w:t>
            </w:r>
          </w:p>
          <w:p>
            <w:pPr>
              <w:rPr>
                <w:rFonts w:ascii="宋体" w:hAnsi="宋体"/>
                <w:b/>
                <w:color w:val="auto"/>
                <w:szCs w:val="21"/>
                <w:highlight w:val="none"/>
              </w:rPr>
            </w:pPr>
            <w:r>
              <w:rPr>
                <w:rFonts w:hint="eastAsia" w:ascii="宋体" w:hAnsi="宋体"/>
                <w:b/>
                <w:color w:val="auto"/>
                <w:szCs w:val="21"/>
                <w:highlight w:val="none"/>
              </w:rPr>
              <w:t>递交响应文件地址：</w:t>
            </w:r>
          </w:p>
          <w:p>
            <w:pPr>
              <w:rPr>
                <w:rFonts w:ascii="宋体" w:hAnsi="宋体"/>
                <w:b/>
                <w:color w:val="auto"/>
                <w:szCs w:val="21"/>
                <w:highlight w:val="none"/>
              </w:rPr>
            </w:pPr>
            <w:r>
              <w:rPr>
                <w:rFonts w:hint="eastAsia" w:ascii="宋体" w:hAnsi="宋体"/>
                <w:b/>
                <w:color w:val="auto"/>
                <w:szCs w:val="21"/>
                <w:highlight w:val="none"/>
                <w:u w:val="single"/>
              </w:rPr>
              <w:t xml:space="preserve">            </w:t>
            </w:r>
            <w:r>
              <w:rPr>
                <w:rFonts w:hint="eastAsia" w:ascii="宋体" w:hAnsi="宋体"/>
                <w:b/>
                <w:color w:val="auto"/>
                <w:szCs w:val="21"/>
                <w:highlight w:val="none"/>
              </w:rPr>
              <w:t>（项目名称）响应文件</w:t>
            </w:r>
          </w:p>
          <w:p>
            <w:pPr>
              <w:rPr>
                <w:rFonts w:ascii="宋体" w:hAnsi="宋体"/>
                <w:b/>
                <w:color w:val="auto"/>
                <w:szCs w:val="21"/>
                <w:highlight w:val="none"/>
              </w:rPr>
            </w:pPr>
            <w:r>
              <w:rPr>
                <w:rFonts w:hint="eastAsia" w:ascii="宋体" w:hAnsi="宋体"/>
                <w:b/>
                <w:color w:val="auto"/>
                <w:szCs w:val="21"/>
                <w:highlight w:val="none"/>
              </w:rPr>
              <w:t>响应人名称：</w:t>
            </w:r>
          </w:p>
          <w:p>
            <w:pPr>
              <w:rPr>
                <w:rFonts w:ascii="宋体" w:hAnsi="宋体"/>
                <w:b/>
                <w:color w:val="auto"/>
                <w:szCs w:val="21"/>
                <w:highlight w:val="none"/>
              </w:rPr>
            </w:pPr>
            <w:r>
              <w:rPr>
                <w:rFonts w:hint="eastAsia" w:ascii="宋体" w:hAnsi="宋体"/>
                <w:b/>
                <w:color w:val="auto"/>
                <w:szCs w:val="21"/>
                <w:highlight w:val="none"/>
              </w:rPr>
              <w:t>联系人：</w:t>
            </w:r>
          </w:p>
          <w:p>
            <w:pPr>
              <w:rPr>
                <w:rFonts w:ascii="宋体" w:hAnsi="宋体"/>
                <w:b/>
                <w:color w:val="auto"/>
                <w:szCs w:val="21"/>
                <w:highlight w:val="none"/>
              </w:rPr>
            </w:pPr>
            <w:r>
              <w:rPr>
                <w:rFonts w:hint="eastAsia" w:ascii="宋体" w:hAnsi="宋体"/>
                <w:b/>
                <w:color w:val="auto"/>
                <w:szCs w:val="21"/>
                <w:highlight w:val="none"/>
              </w:rPr>
              <w:t>联系方式：</w:t>
            </w:r>
          </w:p>
          <w:p>
            <w:pPr>
              <w:rPr>
                <w:color w:val="auto"/>
                <w:szCs w:val="21"/>
                <w:highlight w:val="none"/>
              </w:rPr>
            </w:pPr>
            <w:r>
              <w:rPr>
                <w:rFonts w:hint="eastAsia" w:ascii="宋体" w:hAnsi="宋体"/>
                <w:b/>
                <w:color w:val="auto"/>
                <w:szCs w:val="21"/>
                <w:highlight w:val="none"/>
              </w:rPr>
              <w:t>在</w:t>
            </w:r>
            <w:r>
              <w:rPr>
                <w:rFonts w:hint="eastAsia" w:ascii="宋体" w:hAnsi="宋体"/>
                <w:b/>
                <w:color w:val="auto"/>
                <w:szCs w:val="21"/>
                <w:highlight w:val="none"/>
                <w:u w:val="single"/>
              </w:rPr>
              <w:t xml:space="preserve">  </w:t>
            </w:r>
            <w:r>
              <w:rPr>
                <w:rFonts w:hint="eastAsia" w:ascii="宋体" w:hAnsi="宋体"/>
                <w:b/>
                <w:color w:val="auto"/>
                <w:szCs w:val="21"/>
                <w:highlight w:val="none"/>
              </w:rPr>
              <w:t>年</w:t>
            </w:r>
            <w:r>
              <w:rPr>
                <w:rFonts w:hint="eastAsia" w:ascii="宋体" w:hAnsi="宋体"/>
                <w:b/>
                <w:color w:val="auto"/>
                <w:szCs w:val="21"/>
                <w:highlight w:val="none"/>
                <w:u w:val="single"/>
              </w:rPr>
              <w:t xml:space="preserve">  </w:t>
            </w:r>
            <w:r>
              <w:rPr>
                <w:rFonts w:hint="eastAsia" w:ascii="宋体" w:hAnsi="宋体"/>
                <w:b/>
                <w:color w:val="auto"/>
                <w:szCs w:val="21"/>
                <w:highlight w:val="none"/>
              </w:rPr>
              <w:t>月</w:t>
            </w:r>
            <w:r>
              <w:rPr>
                <w:rFonts w:hint="eastAsia" w:ascii="宋体" w:hAnsi="宋体"/>
                <w:b/>
                <w:color w:val="auto"/>
                <w:szCs w:val="21"/>
                <w:highlight w:val="none"/>
                <w:u w:val="single"/>
              </w:rPr>
              <w:t xml:space="preserve">  </w:t>
            </w:r>
            <w:r>
              <w:rPr>
                <w:rFonts w:hint="eastAsia" w:ascii="宋体" w:hAnsi="宋体"/>
                <w:b/>
                <w:color w:val="auto"/>
                <w:szCs w:val="21"/>
                <w:highlight w:val="none"/>
              </w:rPr>
              <w:t>日</w:t>
            </w:r>
            <w:r>
              <w:rPr>
                <w:rFonts w:hint="eastAsia" w:ascii="宋体" w:hAnsi="宋体"/>
                <w:b/>
                <w:color w:val="auto"/>
                <w:szCs w:val="21"/>
                <w:highlight w:val="none"/>
                <w:u w:val="single"/>
              </w:rPr>
              <w:t xml:space="preserve">  </w:t>
            </w:r>
            <w:r>
              <w:rPr>
                <w:rFonts w:hint="eastAsia" w:ascii="宋体" w:hAnsi="宋体"/>
                <w:b/>
                <w:color w:val="auto"/>
                <w:szCs w:val="21"/>
                <w:highlight w:val="none"/>
              </w:rPr>
              <w:t>时</w:t>
            </w:r>
            <w:r>
              <w:rPr>
                <w:rFonts w:hint="eastAsia" w:ascii="宋体" w:hAnsi="宋体"/>
                <w:b/>
                <w:color w:val="auto"/>
                <w:szCs w:val="21"/>
                <w:highlight w:val="none"/>
                <w:u w:val="single"/>
              </w:rPr>
              <w:t xml:space="preserve">  </w:t>
            </w:r>
            <w:r>
              <w:rPr>
                <w:rFonts w:hint="eastAsia" w:ascii="宋体" w:hAnsi="宋体"/>
                <w:b/>
                <w:color w:val="auto"/>
                <w:szCs w:val="21"/>
                <w:highlight w:val="none"/>
              </w:rPr>
              <w:t>分前不得开启</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4.1.1</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color w:val="auto"/>
                <w:szCs w:val="21"/>
                <w:highlight w:val="none"/>
              </w:rPr>
            </w:pPr>
            <w:r>
              <w:rPr>
                <w:rFonts w:hint="eastAsia" w:hAnsi="宋体"/>
                <w:color w:val="auto"/>
                <w:szCs w:val="21"/>
                <w:highlight w:val="none"/>
              </w:rPr>
              <w:t>响应文件递交截止时间</w:t>
            </w:r>
          </w:p>
        </w:tc>
        <w:tc>
          <w:tcPr>
            <w:tcW w:w="6095" w:type="dxa"/>
            <w:tcBorders>
              <w:top w:val="single" w:color="auto" w:sz="4" w:space="0"/>
              <w:left w:val="single" w:color="auto" w:sz="4" w:space="0"/>
              <w:bottom w:val="single" w:color="auto" w:sz="4" w:space="0"/>
              <w:right w:val="single" w:color="auto" w:sz="4" w:space="0"/>
            </w:tcBorders>
            <w:vAlign w:val="center"/>
          </w:tcPr>
          <w:p>
            <w:pPr>
              <w:pStyle w:val="71"/>
              <w:ind w:firstLine="0" w:firstLineChars="0"/>
              <w:rPr>
                <w:rFonts w:hAnsi="宋体"/>
                <w:color w:val="auto"/>
                <w:szCs w:val="21"/>
                <w:highlight w:val="none"/>
              </w:rPr>
            </w:pPr>
            <w:r>
              <w:rPr>
                <w:rFonts w:hint="eastAsia" w:ascii="宋体" w:hAnsi="宋体" w:cs="宋体"/>
                <w:color w:val="auto"/>
                <w:szCs w:val="21"/>
                <w:highlight w:val="none"/>
              </w:rPr>
              <w:t>详见竞争性谈判公告</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4.1.2</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hAnsi="宋体"/>
                <w:color w:val="auto"/>
                <w:szCs w:val="21"/>
                <w:highlight w:val="none"/>
              </w:rPr>
            </w:pPr>
            <w:r>
              <w:rPr>
                <w:rFonts w:hint="eastAsia" w:hAnsi="宋体"/>
                <w:color w:val="auto"/>
                <w:szCs w:val="21"/>
                <w:highlight w:val="none"/>
              </w:rPr>
              <w:t>响应文件递交地点</w:t>
            </w:r>
          </w:p>
        </w:tc>
        <w:tc>
          <w:tcPr>
            <w:tcW w:w="6095" w:type="dxa"/>
            <w:tcBorders>
              <w:top w:val="single" w:color="auto" w:sz="4" w:space="0"/>
              <w:left w:val="single" w:color="auto" w:sz="4" w:space="0"/>
              <w:bottom w:val="single" w:color="auto" w:sz="4" w:space="0"/>
              <w:right w:val="single" w:color="auto" w:sz="4" w:space="0"/>
            </w:tcBorders>
            <w:vAlign w:val="center"/>
          </w:tcPr>
          <w:p>
            <w:pPr>
              <w:pStyle w:val="71"/>
              <w:ind w:firstLine="0" w:firstLineChars="0"/>
              <w:rPr>
                <w:rFonts w:ascii="宋体" w:hAnsi="宋体" w:cs="宋体"/>
                <w:color w:val="auto"/>
                <w:szCs w:val="21"/>
                <w:highlight w:val="none"/>
                <w:u w:val="single"/>
              </w:rPr>
            </w:pPr>
            <w:r>
              <w:rPr>
                <w:rFonts w:hint="eastAsia" w:ascii="宋体" w:hAnsi="宋体" w:cs="宋体"/>
                <w:color w:val="auto"/>
                <w:szCs w:val="21"/>
                <w:highlight w:val="none"/>
              </w:rPr>
              <w:t>详见竞争性谈判公告</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4.1.4</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hAnsi="宋体"/>
                <w:color w:val="auto"/>
                <w:szCs w:val="21"/>
                <w:highlight w:val="none"/>
              </w:rPr>
            </w:pPr>
            <w:r>
              <w:rPr>
                <w:rFonts w:hint="eastAsia" w:hAnsi="宋体"/>
                <w:color w:val="auto"/>
                <w:szCs w:val="21"/>
                <w:highlight w:val="none"/>
              </w:rPr>
              <w:t>响应文件退还</w:t>
            </w:r>
          </w:p>
        </w:tc>
        <w:tc>
          <w:tcPr>
            <w:tcW w:w="6095"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宋体"/>
                <w:color w:val="auto"/>
                <w:szCs w:val="21"/>
                <w:highlight w:val="none"/>
                <w:u w:val="single"/>
              </w:rPr>
            </w:pPr>
            <w:r>
              <w:rPr>
                <w:rFonts w:hint="eastAsia" w:ascii="宋体" w:hAnsi="宋体" w:cs="宋体"/>
                <w:color w:val="auto"/>
                <w:szCs w:val="21"/>
                <w:highlight w:val="none"/>
              </w:rPr>
              <w:t>不退还</w:t>
            </w:r>
          </w:p>
        </w:tc>
      </w:tr>
      <w:tr>
        <w:tblPrEx>
          <w:tblCellMar>
            <w:top w:w="0" w:type="dxa"/>
            <w:left w:w="108" w:type="dxa"/>
            <w:bottom w:w="0" w:type="dxa"/>
            <w:right w:w="108" w:type="dxa"/>
          </w:tblCellMar>
        </w:tblPrEx>
        <w:trPr>
          <w:trHeight w:val="880" w:hRule="atLeast"/>
        </w:trPr>
        <w:tc>
          <w:tcPr>
            <w:tcW w:w="993" w:type="dxa"/>
            <w:tcBorders>
              <w:top w:val="single" w:color="auto" w:sz="4" w:space="0"/>
              <w:left w:val="single" w:color="auto" w:sz="4" w:space="0"/>
              <w:right w:val="single" w:color="auto" w:sz="4" w:space="0"/>
            </w:tcBorders>
            <w:vAlign w:val="center"/>
          </w:tcPr>
          <w:p>
            <w:pPr>
              <w:jc w:val="center"/>
              <w:rPr>
                <w:color w:val="auto"/>
                <w:szCs w:val="21"/>
                <w:highlight w:val="none"/>
              </w:rPr>
            </w:pPr>
            <w:r>
              <w:rPr>
                <w:color w:val="auto"/>
                <w:szCs w:val="21"/>
                <w:highlight w:val="none"/>
              </w:rPr>
              <w:t>5.1</w:t>
            </w:r>
          </w:p>
        </w:tc>
        <w:tc>
          <w:tcPr>
            <w:tcW w:w="1843" w:type="dxa"/>
            <w:tcBorders>
              <w:top w:val="single" w:color="auto" w:sz="4" w:space="0"/>
              <w:left w:val="single" w:color="auto" w:sz="4" w:space="0"/>
              <w:right w:val="single" w:color="auto" w:sz="4" w:space="0"/>
            </w:tcBorders>
            <w:vAlign w:val="center"/>
          </w:tcPr>
          <w:p>
            <w:pPr>
              <w:jc w:val="left"/>
              <w:rPr>
                <w:color w:val="auto"/>
                <w:szCs w:val="21"/>
                <w:highlight w:val="none"/>
              </w:rPr>
            </w:pPr>
            <w:r>
              <w:rPr>
                <w:rFonts w:hint="eastAsia"/>
                <w:color w:val="auto"/>
                <w:szCs w:val="21"/>
                <w:highlight w:val="none"/>
              </w:rPr>
              <w:t>唱标时间和地点</w:t>
            </w:r>
          </w:p>
        </w:tc>
        <w:tc>
          <w:tcPr>
            <w:tcW w:w="6095" w:type="dxa"/>
            <w:tcBorders>
              <w:top w:val="single" w:color="auto" w:sz="4" w:space="0"/>
              <w:left w:val="single" w:color="auto" w:sz="4" w:space="0"/>
              <w:right w:val="single" w:color="auto" w:sz="4" w:space="0"/>
            </w:tcBorders>
            <w:vAlign w:val="center"/>
          </w:tcPr>
          <w:p>
            <w:pPr>
              <w:rPr>
                <w:color w:val="auto"/>
                <w:szCs w:val="21"/>
                <w:highlight w:val="none"/>
              </w:rPr>
            </w:pPr>
            <w:r>
              <w:rPr>
                <w:rFonts w:hint="eastAsia" w:ascii="宋体" w:hAnsi="宋体" w:cs="宋体"/>
                <w:color w:val="auto"/>
                <w:szCs w:val="21"/>
                <w:highlight w:val="none"/>
              </w:rPr>
              <w:t>同响应文件递交截止时间和地点</w:t>
            </w:r>
          </w:p>
        </w:tc>
      </w:tr>
      <w:tr>
        <w:tblPrEx>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6.1.1</w:t>
            </w:r>
          </w:p>
        </w:tc>
        <w:tc>
          <w:tcPr>
            <w:tcW w:w="1843" w:type="dxa"/>
            <w:tcBorders>
              <w:top w:val="single" w:color="auto" w:sz="4" w:space="0"/>
              <w:left w:val="single" w:color="auto" w:sz="4" w:space="0"/>
              <w:right w:val="single" w:color="auto" w:sz="4" w:space="0"/>
            </w:tcBorders>
            <w:vAlign w:val="center"/>
          </w:tcPr>
          <w:p>
            <w:pPr>
              <w:jc w:val="left"/>
              <w:rPr>
                <w:color w:val="auto"/>
                <w:szCs w:val="21"/>
                <w:highlight w:val="none"/>
              </w:rPr>
            </w:pPr>
            <w:r>
              <w:rPr>
                <w:rFonts w:hint="eastAsia"/>
                <w:color w:val="auto"/>
                <w:szCs w:val="21"/>
                <w:highlight w:val="none"/>
              </w:rPr>
              <w:t>谈判小组组成人数</w:t>
            </w:r>
          </w:p>
        </w:tc>
        <w:tc>
          <w:tcPr>
            <w:tcW w:w="6095" w:type="dxa"/>
            <w:tcBorders>
              <w:top w:val="single" w:color="auto" w:sz="4" w:space="0"/>
              <w:left w:val="single" w:color="auto" w:sz="4" w:space="0"/>
              <w:right w:val="single" w:color="auto" w:sz="4" w:space="0"/>
            </w:tcBorders>
            <w:vAlign w:val="center"/>
          </w:tcPr>
          <w:p>
            <w:pPr>
              <w:rPr>
                <w:color w:val="auto"/>
                <w:szCs w:val="21"/>
                <w:highlight w:val="none"/>
              </w:rPr>
            </w:pPr>
            <w:r>
              <w:rPr>
                <w:rFonts w:hint="eastAsia" w:ascii="宋体" w:hAnsi="宋体" w:cs="宋体"/>
                <w:color w:val="auto"/>
                <w:szCs w:val="21"/>
                <w:highlight w:val="none"/>
              </w:rPr>
              <w:t>3人及以上单数</w:t>
            </w:r>
          </w:p>
        </w:tc>
      </w:tr>
      <w:tr>
        <w:tblPrEx>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6.3</w:t>
            </w:r>
          </w:p>
        </w:tc>
        <w:tc>
          <w:tcPr>
            <w:tcW w:w="1843" w:type="dxa"/>
            <w:tcBorders>
              <w:top w:val="single" w:color="auto" w:sz="4" w:space="0"/>
              <w:left w:val="single" w:color="auto" w:sz="4" w:space="0"/>
              <w:right w:val="single" w:color="auto" w:sz="4" w:space="0"/>
            </w:tcBorders>
            <w:vAlign w:val="center"/>
          </w:tcPr>
          <w:p>
            <w:pPr>
              <w:jc w:val="left"/>
              <w:rPr>
                <w:color w:val="auto"/>
                <w:szCs w:val="21"/>
                <w:highlight w:val="none"/>
              </w:rPr>
            </w:pPr>
            <w:r>
              <w:rPr>
                <w:rFonts w:hint="eastAsia"/>
                <w:color w:val="auto"/>
                <w:szCs w:val="21"/>
                <w:highlight w:val="none"/>
              </w:rPr>
              <w:t>评审方法</w:t>
            </w:r>
          </w:p>
        </w:tc>
        <w:tc>
          <w:tcPr>
            <w:tcW w:w="6095" w:type="dxa"/>
            <w:tcBorders>
              <w:top w:val="single" w:color="auto" w:sz="4" w:space="0"/>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最低评标价法</w:t>
            </w:r>
          </w:p>
        </w:tc>
      </w:tr>
      <w:tr>
        <w:tblPrEx>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6.4</w:t>
            </w:r>
          </w:p>
        </w:tc>
        <w:tc>
          <w:tcPr>
            <w:tcW w:w="1843"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推荐成交候选人原则</w:t>
            </w:r>
          </w:p>
        </w:tc>
        <w:tc>
          <w:tcPr>
            <w:tcW w:w="6095" w:type="dxa"/>
            <w:tcBorders>
              <w:top w:val="single" w:color="auto" w:sz="4" w:space="0"/>
              <w:left w:val="single" w:color="auto" w:sz="4" w:space="0"/>
              <w:right w:val="single" w:color="auto" w:sz="4" w:space="0"/>
            </w:tcBorders>
            <w:vAlign w:val="center"/>
          </w:tcPr>
          <w:p>
            <w:pPr>
              <w:autoSpaceDE w:val="0"/>
              <w:autoSpaceDN w:val="0"/>
              <w:rPr>
                <w:rFonts w:ascii="宋体" w:hAnsi="宋体" w:cs="宋体"/>
                <w:color w:val="auto"/>
                <w:szCs w:val="21"/>
                <w:highlight w:val="none"/>
              </w:rPr>
            </w:pPr>
            <w:r>
              <w:rPr>
                <w:rFonts w:hint="eastAsia" w:ascii="宋体" w:hAnsi="宋体" w:cs="宋体"/>
                <w:color w:val="auto"/>
                <w:kern w:val="0"/>
                <w:highlight w:val="none"/>
              </w:rPr>
              <w:t>本项目推荐</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名成交候选单位。</w:t>
            </w:r>
            <w:r>
              <w:rPr>
                <w:rFonts w:hint="eastAsia"/>
                <w:color w:val="auto"/>
                <w:szCs w:val="21"/>
                <w:highlight w:val="none"/>
              </w:rPr>
              <w:t>根据符合采购需求、质量和服务且报价最低的原则按顺序排列推荐成交侯选人</w:t>
            </w:r>
            <w:r>
              <w:rPr>
                <w:rFonts w:hint="eastAsia" w:ascii="宋体" w:hAnsi="宋体" w:cs="宋体"/>
                <w:color w:val="auto"/>
                <w:kern w:val="0"/>
                <w:highlight w:val="none"/>
              </w:rPr>
              <w:t>。如最低投标报价相同，由谈判小组按技术指标优劣顺序排列。如果无法进行合理排序，则采用现场随机抽签方式确定。</w:t>
            </w:r>
          </w:p>
        </w:tc>
      </w:tr>
      <w:tr>
        <w:tblPrEx>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7.1</w:t>
            </w:r>
          </w:p>
        </w:tc>
        <w:tc>
          <w:tcPr>
            <w:tcW w:w="1843"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highlight w:val="none"/>
              </w:rPr>
            </w:pPr>
            <w:r>
              <w:rPr>
                <w:rStyle w:val="84"/>
                <w:rFonts w:hint="eastAsia"/>
                <w:color w:val="auto"/>
                <w:szCs w:val="21"/>
                <w:highlight w:val="none"/>
                <w:lang w:val="en-US" w:eastAsia="zh-CN"/>
              </w:rPr>
              <w:t>结果</w:t>
            </w:r>
            <w:r>
              <w:rPr>
                <w:rStyle w:val="84"/>
                <w:rFonts w:hint="eastAsia"/>
                <w:color w:val="auto"/>
                <w:szCs w:val="21"/>
                <w:highlight w:val="none"/>
              </w:rPr>
              <w:t>公示媒介</w:t>
            </w:r>
          </w:p>
        </w:tc>
        <w:tc>
          <w:tcPr>
            <w:tcW w:w="6095" w:type="dxa"/>
            <w:tcBorders>
              <w:top w:val="single" w:color="auto" w:sz="4" w:space="0"/>
              <w:left w:val="single" w:color="auto" w:sz="4" w:space="0"/>
              <w:right w:val="single" w:color="auto" w:sz="4" w:space="0"/>
            </w:tcBorders>
            <w:vAlign w:val="center"/>
          </w:tcPr>
          <w:p>
            <w:pPr>
              <w:autoSpaceDE w:val="0"/>
              <w:autoSpaceDN w:val="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u w:val="single"/>
              </w:rPr>
              <w:t>东莞实业投资控股集团有限公司-招标采购栏目（http://www.dgsy.com.cn/）</w:t>
            </w:r>
          </w:p>
        </w:tc>
      </w:tr>
      <w:tr>
        <w:tblPrEx>
          <w:tblCellMar>
            <w:top w:w="0" w:type="dxa"/>
            <w:left w:w="108" w:type="dxa"/>
            <w:bottom w:w="0" w:type="dxa"/>
            <w:right w:w="108" w:type="dxa"/>
          </w:tblCellMar>
        </w:tblPrEx>
        <w:trPr>
          <w:trHeight w:val="880" w:hRule="atLeast"/>
        </w:trPr>
        <w:tc>
          <w:tcPr>
            <w:tcW w:w="993"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7.3.1</w:t>
            </w:r>
          </w:p>
        </w:tc>
        <w:tc>
          <w:tcPr>
            <w:tcW w:w="1843"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成交人确定</w:t>
            </w:r>
          </w:p>
        </w:tc>
        <w:tc>
          <w:tcPr>
            <w:tcW w:w="6095" w:type="dxa"/>
            <w:tcBorders>
              <w:top w:val="single" w:color="auto" w:sz="4" w:space="0"/>
              <w:left w:val="single" w:color="auto" w:sz="4" w:space="0"/>
              <w:right w:val="single" w:color="auto" w:sz="4" w:space="0"/>
            </w:tcBorders>
            <w:vAlign w:val="center"/>
          </w:tcPr>
          <w:p>
            <w:pPr>
              <w:autoSpaceDE w:val="0"/>
              <w:autoSpaceDN w:val="0"/>
              <w:rPr>
                <w:rFonts w:ascii="宋体" w:hAnsi="宋体" w:cs="宋体"/>
                <w:color w:val="auto"/>
                <w:szCs w:val="21"/>
                <w:highlight w:val="none"/>
              </w:rPr>
            </w:pPr>
            <w:r>
              <w:rPr>
                <w:rFonts w:hint="eastAsia" w:ascii="宋体" w:hAnsi="宋体"/>
                <w:color w:val="auto"/>
                <w:szCs w:val="21"/>
                <w:highlight w:val="none"/>
              </w:rPr>
              <w:t>□</w:t>
            </w:r>
            <w:r>
              <w:rPr>
                <w:rFonts w:hint="eastAsia" w:hAnsi="宋体"/>
                <w:color w:val="auto"/>
                <w:szCs w:val="21"/>
                <w:highlight w:val="none"/>
              </w:rPr>
              <w:t>谈判小组直接确定成交人</w:t>
            </w:r>
            <w:r>
              <w:rPr>
                <w:rFonts w:hint="eastAsia" w:ascii="宋体" w:hAnsi="宋体" w:cs="宋体"/>
                <w:color w:val="auto"/>
                <w:szCs w:val="21"/>
                <w:highlight w:val="none"/>
              </w:rPr>
              <w:t>，</w:t>
            </w:r>
            <w:r>
              <w:rPr>
                <w:rFonts w:hint="eastAsia" w:hAnsi="宋体"/>
                <w:color w:val="auto"/>
                <w:szCs w:val="21"/>
                <w:highlight w:val="none"/>
              </w:rPr>
              <w:t>成交人数量：</w:t>
            </w:r>
            <w:r>
              <w:rPr>
                <w:rFonts w:ascii="宋体" w:hAnsi="宋体" w:cs="宋体"/>
                <w:color w:val="auto"/>
                <w:szCs w:val="21"/>
                <w:highlight w:val="none"/>
                <w:u w:val="single"/>
              </w:rPr>
              <w:t xml:space="preserve">    </w:t>
            </w:r>
            <w:r>
              <w:rPr>
                <w:rFonts w:hint="eastAsia" w:ascii="宋体" w:hAnsi="宋体" w:cs="宋体"/>
                <w:color w:val="auto"/>
                <w:szCs w:val="21"/>
                <w:highlight w:val="none"/>
              </w:rPr>
              <w:t>人</w:t>
            </w:r>
          </w:p>
          <w:p>
            <w:pPr>
              <w:autoSpaceDE w:val="0"/>
              <w:autoSpaceDN w:val="0"/>
              <w:rPr>
                <w:rFonts w:ascii="宋体" w:hAnsi="宋体" w:cs="宋体"/>
                <w:color w:val="auto"/>
                <w:szCs w:val="21"/>
                <w:highlight w:val="none"/>
              </w:rPr>
            </w:pPr>
            <w:r>
              <w:rPr>
                <w:rFonts w:hint="eastAsia"/>
                <w:color w:val="auto"/>
                <w:szCs w:val="21"/>
                <w:highlight w:val="none"/>
              </w:rPr>
              <w:t>■</w:t>
            </w:r>
            <w:r>
              <w:rPr>
                <w:rFonts w:hint="eastAsia" w:ascii="宋体" w:hAnsi="宋体" w:cs="宋体"/>
                <w:color w:val="auto"/>
                <w:szCs w:val="21"/>
                <w:highlight w:val="none"/>
              </w:rPr>
              <w:t>采购人确定成交人，</w:t>
            </w:r>
            <w:r>
              <w:rPr>
                <w:rFonts w:hint="eastAsia" w:hAnsi="宋体"/>
                <w:color w:val="auto"/>
                <w:szCs w:val="21"/>
                <w:highlight w:val="none"/>
              </w:rPr>
              <w:t>成交人数量：</w:t>
            </w:r>
            <w:r>
              <w:rPr>
                <w:rFonts w:ascii="宋体" w:hAnsi="宋体" w:cs="宋体"/>
                <w:color w:val="auto"/>
                <w:szCs w:val="21"/>
                <w:highlight w:val="none"/>
                <w:u w:val="single"/>
              </w:rPr>
              <w:t>1</w:t>
            </w:r>
            <w:r>
              <w:rPr>
                <w:rFonts w:hint="eastAsia" w:ascii="宋体" w:hAnsi="宋体" w:cs="宋体"/>
                <w:color w:val="auto"/>
                <w:szCs w:val="21"/>
                <w:highlight w:val="none"/>
              </w:rPr>
              <w:t>人</w:t>
            </w:r>
          </w:p>
        </w:tc>
      </w:tr>
      <w:tr>
        <w:tblPrEx>
          <w:tblCellMar>
            <w:top w:w="0" w:type="dxa"/>
            <w:left w:w="108" w:type="dxa"/>
            <w:bottom w:w="0" w:type="dxa"/>
            <w:right w:w="108" w:type="dxa"/>
          </w:tblCellMar>
        </w:tblPrEx>
        <w:trPr>
          <w:trHeight w:val="880" w:hRule="atLeast"/>
        </w:trPr>
        <w:tc>
          <w:tcPr>
            <w:tcW w:w="993"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7.3.2</w:t>
            </w:r>
          </w:p>
        </w:tc>
        <w:tc>
          <w:tcPr>
            <w:tcW w:w="1843"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成交原则</w:t>
            </w:r>
          </w:p>
        </w:tc>
        <w:tc>
          <w:tcPr>
            <w:tcW w:w="6095" w:type="dxa"/>
            <w:tcBorders>
              <w:top w:val="single" w:color="auto" w:sz="4" w:space="0"/>
              <w:left w:val="single" w:color="auto" w:sz="4" w:space="0"/>
              <w:right w:val="single" w:color="auto" w:sz="4" w:space="0"/>
            </w:tcBorders>
            <w:vAlign w:val="center"/>
          </w:tcPr>
          <w:p>
            <w:pPr>
              <w:autoSpaceDE w:val="0"/>
              <w:autoSpaceDN w:val="0"/>
              <w:rPr>
                <w:rFonts w:ascii="宋体" w:hAnsi="宋体" w:cs="宋体"/>
                <w:color w:val="auto"/>
                <w:szCs w:val="21"/>
                <w:highlight w:val="none"/>
              </w:rPr>
            </w:pPr>
            <w:r>
              <w:rPr>
                <w:color w:val="auto"/>
                <w:szCs w:val="21"/>
                <w:highlight w:val="none"/>
              </w:rPr>
              <w:t>采购人</w:t>
            </w:r>
            <w:r>
              <w:rPr>
                <w:rFonts w:hint="eastAsia"/>
                <w:color w:val="auto"/>
                <w:szCs w:val="21"/>
                <w:highlight w:val="none"/>
              </w:rPr>
              <w:t>根据谈判小组推荐的</w:t>
            </w:r>
            <w:r>
              <w:rPr>
                <w:color w:val="auto"/>
                <w:szCs w:val="21"/>
                <w:highlight w:val="none"/>
              </w:rPr>
              <w:t>成交候选人</w:t>
            </w:r>
            <w:r>
              <w:rPr>
                <w:rFonts w:hint="eastAsia"/>
                <w:color w:val="auto"/>
                <w:szCs w:val="21"/>
                <w:highlight w:val="none"/>
              </w:rPr>
              <w:t>名单排序</w:t>
            </w:r>
            <w:r>
              <w:rPr>
                <w:color w:val="auto"/>
                <w:szCs w:val="21"/>
                <w:highlight w:val="none"/>
              </w:rPr>
              <w:t>依次确定成交人</w:t>
            </w:r>
            <w:r>
              <w:rPr>
                <w:rFonts w:hint="eastAsia"/>
                <w:color w:val="auto"/>
                <w:szCs w:val="21"/>
                <w:highlight w:val="none"/>
              </w:rPr>
              <w:t>。</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8.1.1</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color w:val="auto"/>
                <w:szCs w:val="21"/>
                <w:highlight w:val="none"/>
              </w:rPr>
            </w:pPr>
            <w:r>
              <w:rPr>
                <w:rFonts w:hint="eastAsia" w:ascii="宋体" w:hAnsi="宋体" w:cs="宋体"/>
                <w:color w:val="auto"/>
                <w:szCs w:val="21"/>
                <w:highlight w:val="none"/>
              </w:rPr>
              <w:t>履约担保金额、缴纳方式及要求</w:t>
            </w:r>
          </w:p>
        </w:tc>
        <w:tc>
          <w:tcPr>
            <w:tcW w:w="6095" w:type="dxa"/>
            <w:tcBorders>
              <w:top w:val="single" w:color="auto" w:sz="4" w:space="0"/>
              <w:left w:val="single" w:color="auto" w:sz="4" w:space="0"/>
              <w:bottom w:val="single" w:color="auto" w:sz="4" w:space="0"/>
              <w:right w:val="single" w:color="auto" w:sz="4" w:space="0"/>
            </w:tcBorders>
            <w:vAlign w:val="center"/>
          </w:tcPr>
          <w:p>
            <w:pPr>
              <w:numPr>
                <w:ilvl w:val="0"/>
                <w:numId w:val="7"/>
              </w:numPr>
              <w:rPr>
                <w:rFonts w:hint="eastAsia" w:ascii="宋体" w:hAnsi="宋体" w:cs="宋体"/>
                <w:color w:val="auto"/>
                <w:szCs w:val="21"/>
                <w:highlight w:val="none"/>
              </w:rPr>
            </w:pPr>
            <w:r>
              <w:rPr>
                <w:rFonts w:hint="eastAsia" w:ascii="宋体" w:hAnsi="宋体" w:cs="宋体"/>
                <w:color w:val="auto"/>
                <w:szCs w:val="21"/>
                <w:highlight w:val="none"/>
              </w:rPr>
              <w:t>履约担保金额：人民币10000.00元</w:t>
            </w:r>
          </w:p>
          <w:p>
            <w:pPr>
              <w:numPr>
                <w:ilvl w:val="0"/>
                <w:numId w:val="0"/>
              </w:numPr>
              <w:rPr>
                <w:rFonts w:ascii="宋体" w:hAnsi="宋体" w:cs="宋体"/>
                <w:color w:val="auto"/>
                <w:szCs w:val="21"/>
                <w:highlight w:val="none"/>
                <w:u w:val="single"/>
              </w:rPr>
            </w:pPr>
            <w:r>
              <w:rPr>
                <w:rFonts w:hint="eastAsia" w:ascii="宋体" w:hAnsi="宋体" w:cs="宋体"/>
                <w:color w:val="auto"/>
                <w:szCs w:val="21"/>
                <w:highlight w:val="none"/>
              </w:rPr>
              <w:t>2.履约担保方式：</w:t>
            </w:r>
            <w:r>
              <w:rPr>
                <w:rFonts w:hint="eastAsia" w:ascii="宋体" w:hAnsi="宋体" w:cs="宋体"/>
                <w:color w:val="auto"/>
                <w:szCs w:val="21"/>
                <w:highlight w:val="none"/>
                <w:u w:val="single"/>
              </w:rPr>
              <w:t>（现金/银行汇票/银行支票/银行保函）</w:t>
            </w:r>
          </w:p>
          <w:p>
            <w:pPr>
              <w:rPr>
                <w:rFonts w:hAnsi="宋体"/>
                <w:color w:val="auto"/>
                <w:szCs w:val="21"/>
                <w:highlight w:val="none"/>
                <w:lang w:val="zh-CN"/>
              </w:rPr>
            </w:pPr>
            <w:r>
              <w:rPr>
                <w:rFonts w:hint="eastAsia" w:hAnsi="宋体"/>
                <w:color w:val="auto"/>
                <w:szCs w:val="21"/>
                <w:highlight w:val="none"/>
                <w:lang w:val="zh-CN"/>
              </w:rPr>
              <w:t>3.响应人在合同签订前提交履约担保，履约担保金额不超过成交合同金额的10%，如果成交人提交的履约保函的有效期先于合同要求的履约保函有效期到达，成交人应在原提交的履约保函有效期满前15天，无条件办理保函延期手续。否则，视为成交人违约，采购人可在保函到期前将保函金额转为现金存入履约保证金帐户。</w:t>
            </w:r>
          </w:p>
          <w:p>
            <w:pPr>
              <w:rPr>
                <w:rFonts w:hAnsi="宋体"/>
                <w:color w:val="auto"/>
                <w:szCs w:val="21"/>
                <w:highlight w:val="none"/>
                <w:lang w:val="zh-CN"/>
              </w:rPr>
            </w:pPr>
            <w:r>
              <w:rPr>
                <w:rFonts w:hint="eastAsia" w:hAnsi="宋体"/>
                <w:color w:val="auto"/>
                <w:szCs w:val="21"/>
                <w:highlight w:val="none"/>
                <w:lang w:val="zh-CN"/>
              </w:rPr>
              <w:t>4.履约担保期限</w:t>
            </w:r>
            <w:r>
              <w:rPr>
                <w:rFonts w:hint="eastAsia" w:hAnsi="宋体"/>
                <w:color w:val="auto"/>
                <w:szCs w:val="21"/>
                <w:highlight w:val="none"/>
                <w:u w:val="single"/>
                <w:lang w:val="zh-CN"/>
              </w:rPr>
              <w:t>从合同签订之日起至项目完工验收合格并结算完毕后，经双方签字7天内保持有效</w:t>
            </w:r>
            <w:r>
              <w:rPr>
                <w:rFonts w:hint="eastAsia" w:hAnsi="宋体"/>
                <w:color w:val="auto"/>
                <w:szCs w:val="21"/>
                <w:highlight w:val="none"/>
                <w:lang w:val="zh-CN"/>
              </w:rPr>
              <w:t>。</w:t>
            </w:r>
          </w:p>
          <w:p>
            <w:pPr>
              <w:rPr>
                <w:rFonts w:hAnsi="宋体"/>
                <w:color w:val="auto"/>
                <w:szCs w:val="21"/>
                <w:highlight w:val="none"/>
                <w:lang w:val="zh-CN"/>
              </w:rPr>
            </w:pPr>
            <w:r>
              <w:rPr>
                <w:rFonts w:hint="eastAsia" w:hAnsi="宋体"/>
                <w:color w:val="auto"/>
                <w:szCs w:val="21"/>
                <w:highlight w:val="none"/>
                <w:lang w:val="zh-CN"/>
              </w:rPr>
              <w:t>5.履约担保要求：</w:t>
            </w:r>
          </w:p>
          <w:p>
            <w:pPr>
              <w:rPr>
                <w:rFonts w:hAnsi="宋体"/>
                <w:color w:val="auto"/>
                <w:szCs w:val="21"/>
                <w:highlight w:val="none"/>
                <w:lang w:val="zh-CN"/>
              </w:rPr>
            </w:pPr>
            <w:r>
              <w:rPr>
                <w:rFonts w:hint="eastAsia" w:hAnsi="宋体"/>
                <w:color w:val="auto"/>
                <w:szCs w:val="21"/>
                <w:highlight w:val="none"/>
                <w:lang w:val="zh-CN"/>
              </w:rPr>
              <w:t>（1）履约保函。如果响应人的履约担保是以银行保函形式提供的，则该银行保函应：</w:t>
            </w:r>
          </w:p>
          <w:p>
            <w:pPr>
              <w:rPr>
                <w:rFonts w:hint="eastAsia" w:hAnsi="宋体"/>
                <w:color w:val="auto"/>
                <w:szCs w:val="21"/>
                <w:highlight w:val="none"/>
                <w:lang w:val="en-US"/>
              </w:rPr>
            </w:pPr>
            <w:r>
              <w:rPr>
                <w:rFonts w:hint="eastAsia" w:hAnsi="宋体"/>
                <w:color w:val="auto"/>
                <w:szCs w:val="21"/>
                <w:highlight w:val="none"/>
                <w:lang w:val="zh-CN"/>
              </w:rPr>
              <w:t>①保函应由银行支行或以上银行机构开具</w:t>
            </w:r>
            <w:r>
              <w:rPr>
                <w:rFonts w:hint="eastAsia" w:hAnsi="宋体"/>
                <w:color w:val="auto"/>
                <w:szCs w:val="21"/>
                <w:highlight w:val="none"/>
                <w:lang w:val="en-US" w:eastAsia="zh-CN"/>
              </w:rPr>
              <w:t>.</w:t>
            </w:r>
          </w:p>
          <w:p>
            <w:pPr>
              <w:rPr>
                <w:rFonts w:hAnsi="宋体"/>
                <w:color w:val="auto"/>
                <w:szCs w:val="21"/>
                <w:highlight w:val="none"/>
                <w:lang w:val="zh-CN"/>
              </w:rPr>
            </w:pPr>
            <w:r>
              <w:rPr>
                <w:rFonts w:hint="eastAsia" w:hAnsi="宋体"/>
                <w:color w:val="auto"/>
                <w:szCs w:val="21"/>
                <w:highlight w:val="none"/>
                <w:lang w:val="zh-CN"/>
              </w:rPr>
              <w:t>②保函的格式参考竞争性谈判文件中提供的无条件不可撤销履约保函格式，保函担保期内若项目未能按期竣工，保函必须延期，办理延期手续时在银行方面所产生费用由报价人负责。</w:t>
            </w:r>
          </w:p>
          <w:p>
            <w:pPr>
              <w:rPr>
                <w:rFonts w:hAnsi="宋体"/>
                <w:color w:val="auto"/>
                <w:szCs w:val="21"/>
                <w:highlight w:val="none"/>
                <w:lang w:val="zh-CN"/>
              </w:rPr>
            </w:pPr>
            <w:r>
              <w:rPr>
                <w:rFonts w:hint="eastAsia" w:hAnsi="宋体"/>
                <w:color w:val="auto"/>
                <w:szCs w:val="21"/>
                <w:highlight w:val="none"/>
                <w:lang w:val="zh-CN"/>
              </w:rPr>
              <w:t>③履约保函必须打印，手写、涂改无效。</w:t>
            </w:r>
          </w:p>
          <w:p>
            <w:pPr>
              <w:rPr>
                <w:rFonts w:hAnsi="宋体"/>
                <w:color w:val="auto"/>
                <w:szCs w:val="21"/>
                <w:highlight w:val="none"/>
                <w:lang w:val="zh-CN"/>
              </w:rPr>
            </w:pPr>
            <w:r>
              <w:rPr>
                <w:rFonts w:hint="eastAsia" w:hAnsi="宋体"/>
                <w:color w:val="auto"/>
                <w:szCs w:val="21"/>
                <w:highlight w:val="none"/>
                <w:lang w:val="zh-CN"/>
              </w:rPr>
              <w:t>（2）履约保证金。可采用电汇、银行汇票等银行转帐方式提交，但不可以采用现金方式提交。响应人必须保证履约保证金以响应人名称在</w:t>
            </w:r>
            <w:r>
              <w:rPr>
                <w:rFonts w:hint="eastAsia" w:hAnsi="宋体"/>
                <w:color w:val="auto"/>
                <w:szCs w:val="21"/>
                <w:highlight w:val="none"/>
                <w:u w:val="single"/>
                <w:lang w:val="zh-CN"/>
              </w:rPr>
              <w:t>签订合同</w:t>
            </w:r>
            <w:r>
              <w:rPr>
                <w:rFonts w:hint="eastAsia" w:hAnsi="宋体"/>
                <w:color w:val="auto"/>
                <w:szCs w:val="21"/>
                <w:highlight w:val="none"/>
                <w:lang w:val="zh-CN"/>
              </w:rPr>
              <w:t>前提交至采购人指定账户。</w:t>
            </w:r>
          </w:p>
          <w:p>
            <w:pPr>
              <w:rPr>
                <w:rFonts w:hAnsi="宋体"/>
                <w:color w:val="auto"/>
                <w:szCs w:val="21"/>
                <w:highlight w:val="none"/>
                <w:lang w:val="zh-CN"/>
              </w:rPr>
            </w:pPr>
            <w:r>
              <w:rPr>
                <w:rFonts w:hint="eastAsia" w:hAnsi="宋体"/>
                <w:color w:val="auto"/>
                <w:szCs w:val="21"/>
                <w:highlight w:val="none"/>
                <w:lang w:val="zh-CN"/>
              </w:rPr>
              <w:t>（3）若成交人不能按本竞争性谈判文件的规定提交履约保证金的，采购人将有权取消成交人的成交资格（采购人可以按照谈判小组提出的成交候选人名单排序依次确定其他成交候选人为成交人，也可以重新采购），谈判保证金不予退还，给采购人造成的损失如果超过谈判保证金数额的，还应当对超过部分予以赔偿。</w:t>
            </w:r>
          </w:p>
          <w:p>
            <w:pPr>
              <w:rPr>
                <w:rFonts w:hAnsi="宋体"/>
                <w:color w:val="auto"/>
                <w:szCs w:val="21"/>
                <w:highlight w:val="none"/>
                <w:lang w:val="zh-CN"/>
              </w:rPr>
            </w:pPr>
            <w:r>
              <w:rPr>
                <w:rFonts w:hint="eastAsia" w:hAnsi="宋体"/>
                <w:color w:val="auto"/>
                <w:szCs w:val="21"/>
                <w:highlight w:val="none"/>
                <w:lang w:val="zh-CN"/>
              </w:rPr>
              <w:t>（4）为取得履约担保所需的费用，由成交人承担；若交货期延误，履约担保时间延长，延长费用由成交人承担。</w:t>
            </w:r>
          </w:p>
          <w:p>
            <w:pPr>
              <w:rPr>
                <w:rFonts w:hAnsi="宋体"/>
                <w:color w:val="auto"/>
                <w:szCs w:val="21"/>
                <w:highlight w:val="none"/>
                <w:lang w:val="zh-CN"/>
              </w:rPr>
            </w:pPr>
            <w:r>
              <w:rPr>
                <w:rFonts w:hint="eastAsia" w:hAnsi="宋体"/>
                <w:color w:val="auto"/>
                <w:szCs w:val="21"/>
                <w:highlight w:val="none"/>
                <w:lang w:val="zh-CN"/>
              </w:rPr>
              <w:t>（5）若成交人在合同履行过程中出现项目质量事故、交货期拖延、欠付工人工资、欠付材料款等情况，采购人在经核查属实后，有权将履约保函金额转为现金存入履约保证金账户；成交人造成采购人损失的，采购人有权立即没收其履约担保，若造成损失超过履约担保的，还应当对超过部分予以赔偿。</w:t>
            </w:r>
          </w:p>
          <w:p>
            <w:pPr>
              <w:rPr>
                <w:rFonts w:hAnsi="宋体"/>
                <w:color w:val="auto"/>
                <w:szCs w:val="21"/>
                <w:highlight w:val="none"/>
                <w:lang w:val="zh-CN"/>
              </w:rPr>
            </w:pPr>
            <w:r>
              <w:rPr>
                <w:rFonts w:hint="eastAsia" w:hAnsi="宋体"/>
                <w:color w:val="auto"/>
                <w:szCs w:val="21"/>
                <w:highlight w:val="none"/>
                <w:lang w:val="zh-CN"/>
              </w:rPr>
              <w:t>（6）下列任何情况发生时，采购人有权行使享有的担保权利：</w:t>
            </w:r>
          </w:p>
          <w:p>
            <w:pPr>
              <w:rPr>
                <w:rFonts w:hAnsi="宋体"/>
                <w:color w:val="auto"/>
                <w:szCs w:val="21"/>
                <w:highlight w:val="none"/>
                <w:lang w:val="zh-CN"/>
              </w:rPr>
            </w:pPr>
            <w:r>
              <w:rPr>
                <w:rFonts w:hint="eastAsia" w:hAnsi="宋体"/>
                <w:color w:val="auto"/>
                <w:szCs w:val="21"/>
                <w:highlight w:val="none"/>
                <w:lang w:val="zh-CN"/>
              </w:rPr>
              <w:t>①成交人将本项目转让给他人，或者在报价文件中未说明，且未经采购人同意，将成交项目分包给他人的；</w:t>
            </w:r>
          </w:p>
          <w:p>
            <w:pPr>
              <w:rPr>
                <w:rFonts w:hAnsi="宋体"/>
                <w:color w:val="auto"/>
                <w:szCs w:val="21"/>
                <w:highlight w:val="none"/>
                <w:lang w:val="zh-CN"/>
              </w:rPr>
            </w:pPr>
            <w:r>
              <w:rPr>
                <w:rFonts w:hint="eastAsia" w:hAnsi="宋体"/>
                <w:color w:val="auto"/>
                <w:szCs w:val="21"/>
                <w:highlight w:val="none"/>
                <w:lang w:val="zh-CN"/>
              </w:rPr>
              <w:t>②成交人在履行采购合同期间，违反有关法律法规的规定及合同约定的条款，损害了采购人的利益。</w:t>
            </w:r>
          </w:p>
          <w:p>
            <w:pPr>
              <w:rPr>
                <w:color w:val="auto"/>
                <w:szCs w:val="21"/>
                <w:highlight w:val="none"/>
              </w:rPr>
            </w:pPr>
            <w:r>
              <w:rPr>
                <w:rFonts w:hint="eastAsia" w:hAnsi="宋体"/>
                <w:color w:val="auto"/>
                <w:szCs w:val="21"/>
                <w:highlight w:val="none"/>
                <w:lang w:val="zh-CN"/>
              </w:rPr>
              <w:t>（7）在整个项目验收合格后，成交人向采购人提交退回履约担保的申请，采购人办理履约担保退还手续。</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color w:val="auto"/>
                <w:szCs w:val="21"/>
                <w:highlight w:val="none"/>
              </w:rPr>
            </w:pPr>
            <w:r>
              <w:rPr>
                <w:rFonts w:hint="eastAsia" w:ascii="宋体" w:hAnsi="宋体" w:cs="宋体"/>
                <w:color w:val="auto"/>
                <w:szCs w:val="21"/>
                <w:highlight w:val="none"/>
              </w:rPr>
              <w:t>采购代理服务费金额、交纳方式和时限</w:t>
            </w:r>
          </w:p>
        </w:tc>
        <w:tc>
          <w:tcPr>
            <w:tcW w:w="6095"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宋体"/>
                <w:color w:val="auto"/>
                <w:szCs w:val="21"/>
                <w:highlight w:val="none"/>
              </w:rPr>
            </w:pPr>
            <w:r>
              <w:rPr>
                <w:rFonts w:hint="eastAsia"/>
                <w:color w:val="auto"/>
                <w:szCs w:val="21"/>
                <w:highlight w:val="none"/>
              </w:rPr>
              <w:t>■</w:t>
            </w:r>
            <w:r>
              <w:rPr>
                <w:rFonts w:hint="eastAsia" w:hAnsi="宋体"/>
                <w:color w:val="auto"/>
                <w:szCs w:val="21"/>
                <w:highlight w:val="none"/>
              </w:rPr>
              <w:t>由采购人支付</w:t>
            </w:r>
          </w:p>
          <w:p>
            <w:pPr>
              <w:autoSpaceDE w:val="0"/>
              <w:autoSpaceDN w:val="0"/>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由成交人支付，具体如下：</w:t>
            </w:r>
          </w:p>
          <w:p>
            <w:pPr>
              <w:autoSpaceDE w:val="0"/>
              <w:autoSpaceDN w:val="0"/>
              <w:rPr>
                <w:rFonts w:ascii="宋体" w:hAnsi="宋体" w:cs="宋体"/>
                <w:color w:val="auto"/>
                <w:szCs w:val="21"/>
                <w:highlight w:val="none"/>
              </w:rPr>
            </w:pPr>
            <w:r>
              <w:rPr>
                <w:rFonts w:hint="eastAsia" w:ascii="宋体" w:hAnsi="宋体"/>
                <w:b/>
                <w:color w:val="auto"/>
                <w:szCs w:val="21"/>
                <w:highlight w:val="none"/>
              </w:rPr>
              <w:t>采购代理服务费的金额：</w:t>
            </w:r>
            <w:r>
              <w:rPr>
                <w:rFonts w:hint="eastAsia" w:ascii="宋体" w:hAnsi="宋体"/>
                <w:b/>
                <w:color w:val="auto"/>
                <w:szCs w:val="21"/>
                <w:highlight w:val="none"/>
                <w:u w:val="single"/>
              </w:rPr>
              <w:t>中标金额数为基数，按国家计委《招标代理服务收费管理暂行办法》（计价格[2002]1980号）及《国家发展改革委关于降低部分建设项目收费标准规范收费行为等有关问题的通知》（发改价格[2011]534号）规定标准乘以70%计取</w:t>
            </w:r>
            <w:r>
              <w:rPr>
                <w:rFonts w:hint="eastAsia" w:ascii="宋体" w:hAnsi="宋体"/>
                <w:b/>
                <w:color w:val="auto"/>
                <w:szCs w:val="21"/>
                <w:highlight w:val="none"/>
              </w:rPr>
              <w:t>。</w:t>
            </w:r>
          </w:p>
          <w:p>
            <w:pPr>
              <w:autoSpaceDE w:val="0"/>
              <w:autoSpaceDN w:val="0"/>
              <w:rPr>
                <w:rFonts w:ascii="宋体" w:hAnsi="宋体" w:cs="宋体"/>
                <w:color w:val="auto"/>
                <w:szCs w:val="21"/>
                <w:highlight w:val="none"/>
              </w:rPr>
            </w:pPr>
            <w:r>
              <w:rPr>
                <w:rFonts w:hint="eastAsia" w:ascii="宋体" w:hAnsi="宋体" w:cs="宋体"/>
                <w:color w:val="auto"/>
                <w:szCs w:val="21"/>
                <w:highlight w:val="none"/>
              </w:rPr>
              <w:t>交纳方式：</w:t>
            </w:r>
            <w:r>
              <w:rPr>
                <w:rFonts w:hint="eastAsia" w:ascii="宋体" w:hAnsi="宋体" w:cs="宋体"/>
                <w:color w:val="auto"/>
                <w:szCs w:val="21"/>
                <w:highlight w:val="none"/>
                <w:u w:val="single"/>
              </w:rPr>
              <w:t>详见第六章响应文件格式</w:t>
            </w:r>
          </w:p>
          <w:p>
            <w:pPr>
              <w:autoSpaceDE w:val="0"/>
              <w:autoSpaceDN w:val="0"/>
              <w:rPr>
                <w:rFonts w:ascii="宋体" w:hAnsi="宋体"/>
                <w:color w:val="auto"/>
                <w:szCs w:val="21"/>
                <w:highlight w:val="none"/>
              </w:rPr>
            </w:pPr>
            <w:r>
              <w:rPr>
                <w:rFonts w:hint="eastAsia" w:ascii="宋体" w:hAnsi="宋体" w:cs="宋体"/>
                <w:color w:val="auto"/>
                <w:szCs w:val="21"/>
                <w:highlight w:val="none"/>
              </w:rPr>
              <w:t>交纳时限：</w:t>
            </w:r>
            <w:r>
              <w:rPr>
                <w:rFonts w:hint="eastAsia" w:ascii="宋体" w:hAnsi="宋体" w:cs="宋体"/>
                <w:color w:val="auto"/>
                <w:szCs w:val="21"/>
                <w:highlight w:val="none"/>
                <w:u w:val="single"/>
              </w:rPr>
              <w:t>详见第六章响应文件格式</w:t>
            </w:r>
          </w:p>
        </w:tc>
      </w:tr>
    </w:tbl>
    <w:p>
      <w:pPr>
        <w:widowControl/>
        <w:jc w:val="left"/>
        <w:rPr>
          <w:b/>
          <w:color w:val="auto"/>
          <w:highlight w:val="none"/>
        </w:rPr>
      </w:pPr>
    </w:p>
    <w:p>
      <w:pPr>
        <w:widowControl/>
        <w:jc w:val="left"/>
        <w:rPr>
          <w:b/>
          <w:color w:val="auto"/>
          <w:highlight w:val="none"/>
        </w:rPr>
      </w:pPr>
      <w:r>
        <w:rPr>
          <w:b/>
          <w:color w:val="auto"/>
          <w:highlight w:val="none"/>
        </w:rPr>
        <w:br w:type="page"/>
      </w:r>
    </w:p>
    <w:p>
      <w:pPr>
        <w:pStyle w:val="3"/>
        <w:rPr>
          <w:rFonts w:ascii="黑体" w:hAnsi="黑体"/>
          <w:color w:val="auto"/>
          <w:highlight w:val="none"/>
        </w:rPr>
      </w:pPr>
      <w:bookmarkStart w:id="7" w:name="_Toc456551876"/>
      <w:bookmarkStart w:id="8" w:name="_Toc15744"/>
      <w:r>
        <w:rPr>
          <w:rFonts w:hint="eastAsia" w:ascii="黑体" w:hAnsi="黑体"/>
          <w:color w:val="auto"/>
          <w:highlight w:val="none"/>
        </w:rPr>
        <w:t>1. 总则</w:t>
      </w:r>
      <w:bookmarkEnd w:id="7"/>
      <w:bookmarkEnd w:id="8"/>
    </w:p>
    <w:p>
      <w:pPr>
        <w:spacing w:line="400" w:lineRule="exact"/>
        <w:rPr>
          <w:rFonts w:ascii="宋体" w:hAnsi="宋体"/>
          <w:b/>
          <w:color w:val="auto"/>
          <w:sz w:val="32"/>
          <w:szCs w:val="32"/>
          <w:highlight w:val="none"/>
        </w:rPr>
      </w:pPr>
      <w:bookmarkStart w:id="9" w:name="_Toc456551877"/>
      <w:bookmarkStart w:id="10" w:name="_Toc475552123"/>
      <w:r>
        <w:rPr>
          <w:rFonts w:hint="eastAsia" w:ascii="宋体" w:hAnsi="宋体"/>
          <w:b/>
          <w:color w:val="auto"/>
          <w:sz w:val="32"/>
          <w:szCs w:val="32"/>
          <w:highlight w:val="none"/>
        </w:rPr>
        <w:t>1.1 项目概况</w:t>
      </w:r>
      <w:bookmarkEnd w:id="9"/>
      <w:bookmarkEnd w:id="10"/>
    </w:p>
    <w:p>
      <w:pPr>
        <w:spacing w:line="400" w:lineRule="exact"/>
        <w:ind w:firstLine="420" w:firstLineChars="200"/>
        <w:rPr>
          <w:color w:val="auto"/>
          <w:highlight w:val="none"/>
        </w:rPr>
      </w:pPr>
      <w:r>
        <w:rPr>
          <w:rFonts w:hint="eastAsia"/>
          <w:color w:val="auto"/>
          <w:highlight w:val="none"/>
        </w:rPr>
        <w:t>1.1.1本项目根据东实集团及采购人相关招标采购管理规定执行，本项目已具备竞争性谈判条件，现对本项目进行竞争性谈判。</w:t>
      </w:r>
    </w:p>
    <w:p>
      <w:pPr>
        <w:spacing w:line="400" w:lineRule="exact"/>
        <w:ind w:firstLine="420" w:firstLineChars="200"/>
        <w:rPr>
          <w:color w:val="auto"/>
          <w:highlight w:val="none"/>
        </w:rPr>
      </w:pPr>
      <w:r>
        <w:rPr>
          <w:rFonts w:hint="eastAsia"/>
          <w:color w:val="auto"/>
          <w:highlight w:val="none"/>
        </w:rPr>
        <w:t>1.1.2 本项目采购人：见竞争性谈判公告或竞争性谈判响应须知前附表。</w:t>
      </w:r>
    </w:p>
    <w:p>
      <w:pPr>
        <w:spacing w:line="400" w:lineRule="exact"/>
        <w:ind w:firstLine="420" w:firstLineChars="200"/>
        <w:rPr>
          <w:color w:val="auto"/>
          <w:highlight w:val="none"/>
        </w:rPr>
      </w:pPr>
      <w:r>
        <w:rPr>
          <w:rFonts w:hint="eastAsia"/>
          <w:color w:val="auto"/>
          <w:highlight w:val="none"/>
        </w:rPr>
        <w:t>1.1.3 本项目名称：见竞争性谈判公告或竞争性谈判响应须知前附表。</w:t>
      </w:r>
    </w:p>
    <w:p>
      <w:pPr>
        <w:spacing w:line="400" w:lineRule="exact"/>
        <w:ind w:firstLine="420" w:firstLineChars="200"/>
        <w:rPr>
          <w:color w:val="auto"/>
          <w:highlight w:val="none"/>
        </w:rPr>
      </w:pPr>
      <w:r>
        <w:rPr>
          <w:rFonts w:hint="eastAsia"/>
          <w:color w:val="auto"/>
          <w:highlight w:val="none"/>
        </w:rPr>
        <w:t>1.1.4 本项目地点：见竞争性谈判公告或竞争性谈判响应须知前附表。</w:t>
      </w:r>
    </w:p>
    <w:p>
      <w:pPr>
        <w:spacing w:line="400" w:lineRule="exact"/>
        <w:ind w:firstLine="420" w:firstLineChars="200"/>
        <w:rPr>
          <w:color w:val="auto"/>
          <w:highlight w:val="none"/>
        </w:rPr>
      </w:pPr>
      <w:r>
        <w:rPr>
          <w:rFonts w:hint="eastAsia"/>
          <w:color w:val="auto"/>
          <w:highlight w:val="none"/>
        </w:rPr>
        <w:t>1.1.5本项目承包方式：见竞争性谈判公告或竞争性谈判响应须知前附表。</w:t>
      </w:r>
    </w:p>
    <w:p>
      <w:pPr>
        <w:spacing w:line="400" w:lineRule="exact"/>
        <w:rPr>
          <w:rFonts w:ascii="宋体" w:hAnsi="宋体"/>
          <w:b/>
          <w:color w:val="auto"/>
          <w:sz w:val="32"/>
          <w:szCs w:val="32"/>
          <w:highlight w:val="none"/>
        </w:rPr>
      </w:pPr>
      <w:bookmarkStart w:id="11" w:name="_Toc456551878"/>
      <w:bookmarkStart w:id="12" w:name="_Toc475552124"/>
      <w:r>
        <w:rPr>
          <w:rFonts w:hint="eastAsia" w:ascii="宋体" w:hAnsi="宋体"/>
          <w:b/>
          <w:color w:val="auto"/>
          <w:sz w:val="32"/>
          <w:szCs w:val="32"/>
          <w:highlight w:val="none"/>
        </w:rPr>
        <w:t>1.2 资金来源和落实情况</w:t>
      </w:r>
      <w:bookmarkEnd w:id="11"/>
      <w:bookmarkEnd w:id="12"/>
    </w:p>
    <w:p>
      <w:pPr>
        <w:spacing w:line="400" w:lineRule="exact"/>
        <w:ind w:firstLine="420" w:firstLineChars="200"/>
        <w:rPr>
          <w:color w:val="auto"/>
          <w:highlight w:val="none"/>
        </w:rPr>
      </w:pPr>
      <w:r>
        <w:rPr>
          <w:rFonts w:hint="eastAsia"/>
          <w:color w:val="auto"/>
          <w:highlight w:val="none"/>
        </w:rPr>
        <w:t>本项目资金已落实，资金来源见竞争性谈判公告或竞争性谈判响应须知前附表。</w:t>
      </w:r>
    </w:p>
    <w:p>
      <w:pPr>
        <w:spacing w:line="400" w:lineRule="exact"/>
        <w:rPr>
          <w:rFonts w:ascii="宋体" w:hAnsi="宋体"/>
          <w:b/>
          <w:color w:val="auto"/>
          <w:sz w:val="32"/>
          <w:szCs w:val="32"/>
          <w:highlight w:val="none"/>
        </w:rPr>
      </w:pPr>
      <w:bookmarkStart w:id="13" w:name="_Toc456551879"/>
      <w:bookmarkStart w:id="14" w:name="_Toc475552125"/>
      <w:r>
        <w:rPr>
          <w:rFonts w:hint="eastAsia" w:ascii="宋体" w:hAnsi="宋体"/>
          <w:b/>
          <w:color w:val="auto"/>
          <w:sz w:val="32"/>
          <w:szCs w:val="32"/>
          <w:highlight w:val="none"/>
        </w:rPr>
        <w:t>1.3 竞争性谈判范围、服务时间和质量要求</w:t>
      </w:r>
      <w:bookmarkEnd w:id="13"/>
      <w:bookmarkEnd w:id="14"/>
    </w:p>
    <w:p>
      <w:pPr>
        <w:spacing w:line="400" w:lineRule="exact"/>
        <w:ind w:firstLine="420" w:firstLineChars="200"/>
        <w:rPr>
          <w:color w:val="auto"/>
          <w:highlight w:val="none"/>
        </w:rPr>
      </w:pPr>
      <w:r>
        <w:rPr>
          <w:rFonts w:hint="eastAsia"/>
          <w:color w:val="auto"/>
          <w:highlight w:val="none"/>
        </w:rPr>
        <w:t>1.3.1 本次竞争性谈判范围：见竞争性谈判公告或竞争性谈判响应须知前附表。</w:t>
      </w:r>
    </w:p>
    <w:p>
      <w:pPr>
        <w:spacing w:line="400" w:lineRule="exact"/>
        <w:ind w:firstLine="420" w:firstLineChars="200"/>
        <w:rPr>
          <w:color w:val="auto"/>
          <w:highlight w:val="none"/>
        </w:rPr>
      </w:pPr>
      <w:r>
        <w:rPr>
          <w:rFonts w:hint="eastAsia"/>
          <w:color w:val="auto"/>
          <w:highlight w:val="none"/>
        </w:rPr>
        <w:t>1.3.2 本项目的服务时间：见竞争性谈判公告或竞争性谈判响应须知前附表。</w:t>
      </w:r>
    </w:p>
    <w:p>
      <w:pPr>
        <w:spacing w:line="400" w:lineRule="exact"/>
        <w:ind w:firstLine="420" w:firstLineChars="200"/>
        <w:rPr>
          <w:color w:val="auto"/>
          <w:highlight w:val="none"/>
        </w:rPr>
      </w:pPr>
      <w:r>
        <w:rPr>
          <w:rFonts w:hint="eastAsia"/>
          <w:color w:val="auto"/>
          <w:highlight w:val="none"/>
        </w:rPr>
        <w:t>1.3.4 本项目的标包划分情况：见竞争性谈判公告或竞争性谈判响应须知前附表。</w:t>
      </w:r>
    </w:p>
    <w:p>
      <w:pPr>
        <w:spacing w:line="400" w:lineRule="exact"/>
        <w:ind w:firstLine="420" w:firstLineChars="200"/>
        <w:rPr>
          <w:color w:val="auto"/>
          <w:highlight w:val="none"/>
        </w:rPr>
      </w:pPr>
      <w:r>
        <w:rPr>
          <w:rFonts w:hint="eastAsia"/>
          <w:color w:val="auto"/>
          <w:highlight w:val="none"/>
        </w:rPr>
        <w:t>1.3.5本项目的质量要求：见竞争性谈判公告或竞争性谈判响应须知前附表。</w:t>
      </w:r>
    </w:p>
    <w:p>
      <w:pPr>
        <w:spacing w:line="400" w:lineRule="exact"/>
        <w:rPr>
          <w:rFonts w:ascii="宋体" w:hAnsi="宋体"/>
          <w:b/>
          <w:color w:val="auto"/>
          <w:sz w:val="32"/>
          <w:szCs w:val="32"/>
          <w:highlight w:val="none"/>
        </w:rPr>
      </w:pPr>
      <w:bookmarkStart w:id="15" w:name="_Toc475552126"/>
      <w:bookmarkStart w:id="16" w:name="_Toc456551880"/>
      <w:r>
        <w:rPr>
          <w:rFonts w:hint="eastAsia" w:ascii="宋体" w:hAnsi="宋体"/>
          <w:b/>
          <w:color w:val="auto"/>
          <w:sz w:val="32"/>
          <w:szCs w:val="32"/>
          <w:highlight w:val="none"/>
        </w:rPr>
        <w:t>1.4 竞争性谈判方式</w:t>
      </w:r>
      <w:bookmarkEnd w:id="15"/>
      <w:bookmarkEnd w:id="16"/>
    </w:p>
    <w:p>
      <w:pPr>
        <w:adjustRightInd w:val="0"/>
        <w:snapToGrid w:val="0"/>
        <w:spacing w:line="440" w:lineRule="exact"/>
        <w:ind w:firstLine="420" w:firstLineChars="200"/>
        <w:rPr>
          <w:color w:val="auto"/>
          <w:highlight w:val="none"/>
        </w:rPr>
      </w:pPr>
      <w:r>
        <w:rPr>
          <w:rFonts w:hint="eastAsia"/>
          <w:color w:val="auto"/>
          <w:highlight w:val="none"/>
        </w:rPr>
        <w:t>公开竞争性谈判：</w:t>
      </w:r>
      <w:r>
        <w:rPr>
          <w:rFonts w:ascii="Arial" w:hAnsi="Arial" w:cs="Arial"/>
          <w:color w:val="auto"/>
          <w:szCs w:val="21"/>
          <w:highlight w:val="none"/>
        </w:rPr>
        <w:t>是指采购人以竞争性谈判公告的方式邀请不特定的法人或者其他组织竞争性谈判。</w:t>
      </w:r>
    </w:p>
    <w:p>
      <w:pPr>
        <w:spacing w:line="400" w:lineRule="exact"/>
        <w:rPr>
          <w:rFonts w:ascii="宋体" w:hAnsi="宋体"/>
          <w:b/>
          <w:color w:val="auto"/>
          <w:sz w:val="32"/>
          <w:szCs w:val="32"/>
          <w:highlight w:val="none"/>
        </w:rPr>
      </w:pPr>
      <w:bookmarkStart w:id="17" w:name="_Toc456551881"/>
      <w:bookmarkStart w:id="18" w:name="_Toc475552127"/>
      <w:r>
        <w:rPr>
          <w:rFonts w:hint="eastAsia" w:ascii="宋体" w:hAnsi="宋体"/>
          <w:b/>
          <w:color w:val="auto"/>
          <w:sz w:val="32"/>
          <w:szCs w:val="32"/>
          <w:highlight w:val="none"/>
        </w:rPr>
        <w:t>1.5 竞争性谈判组织形式</w:t>
      </w:r>
      <w:bookmarkEnd w:id="17"/>
      <w:bookmarkEnd w:id="18"/>
    </w:p>
    <w:p>
      <w:pPr>
        <w:adjustRightInd w:val="0"/>
        <w:snapToGrid w:val="0"/>
        <w:spacing w:line="440" w:lineRule="exact"/>
        <w:ind w:firstLine="420" w:firstLineChars="200"/>
        <w:rPr>
          <w:color w:val="auto"/>
          <w:highlight w:val="none"/>
        </w:rPr>
      </w:pPr>
      <w:r>
        <w:rPr>
          <w:rFonts w:hint="eastAsia"/>
          <w:color w:val="auto"/>
          <w:highlight w:val="none"/>
        </w:rPr>
        <w:t>本次竞争性谈判由采购人自行组织或委托采购代理机构的方式进行，竞争性谈判组织形式、代理机构名称及联系方式见</w:t>
      </w:r>
      <w:r>
        <w:rPr>
          <w:rFonts w:hint="eastAsia"/>
          <w:bCs/>
          <w:color w:val="auto"/>
          <w:highlight w:val="none"/>
        </w:rPr>
        <w:t>第一章 “竞争性谈判公告”</w:t>
      </w:r>
      <w:r>
        <w:rPr>
          <w:rFonts w:hint="eastAsia"/>
          <w:color w:val="auto"/>
          <w:highlight w:val="none"/>
        </w:rPr>
        <w:t>。</w:t>
      </w:r>
    </w:p>
    <w:p>
      <w:pPr>
        <w:spacing w:line="400" w:lineRule="exact"/>
        <w:rPr>
          <w:rFonts w:ascii="宋体" w:hAnsi="宋体"/>
          <w:b/>
          <w:color w:val="auto"/>
          <w:sz w:val="32"/>
          <w:szCs w:val="32"/>
          <w:highlight w:val="none"/>
        </w:rPr>
      </w:pPr>
      <w:bookmarkStart w:id="19" w:name="_Toc475552128"/>
      <w:bookmarkStart w:id="20" w:name="_Toc456551882"/>
      <w:r>
        <w:rPr>
          <w:rFonts w:hint="eastAsia" w:ascii="宋体" w:hAnsi="宋体"/>
          <w:b/>
          <w:color w:val="auto"/>
          <w:sz w:val="32"/>
          <w:szCs w:val="32"/>
          <w:highlight w:val="none"/>
        </w:rPr>
        <w:t>1.6</w:t>
      </w:r>
      <w:bookmarkEnd w:id="19"/>
      <w:bookmarkEnd w:id="20"/>
      <w:r>
        <w:rPr>
          <w:rFonts w:hint="eastAsia" w:ascii="宋体" w:hAnsi="宋体"/>
          <w:b/>
          <w:color w:val="auto"/>
          <w:sz w:val="32"/>
          <w:szCs w:val="32"/>
          <w:highlight w:val="none"/>
        </w:rPr>
        <w:t>响应人资格要求</w:t>
      </w:r>
    </w:p>
    <w:p>
      <w:pPr>
        <w:spacing w:line="400" w:lineRule="exact"/>
        <w:ind w:firstLine="359" w:firstLineChars="171"/>
        <w:rPr>
          <w:color w:val="auto"/>
          <w:highlight w:val="none"/>
        </w:rPr>
      </w:pPr>
      <w:r>
        <w:rPr>
          <w:rFonts w:hint="eastAsia"/>
          <w:color w:val="auto"/>
          <w:highlight w:val="none"/>
        </w:rPr>
        <w:t>1.6.1</w:t>
      </w:r>
      <w:r>
        <w:rPr>
          <w:rFonts w:hint="eastAsia" w:ascii="宋体" w:hAnsi="宋体" w:cs="宋体"/>
          <w:color w:val="auto"/>
          <w:szCs w:val="21"/>
          <w:highlight w:val="none"/>
        </w:rPr>
        <w:t>响应人应具备承担本项目服务的资格要求：</w:t>
      </w:r>
      <w:r>
        <w:rPr>
          <w:rFonts w:hint="eastAsia"/>
          <w:color w:val="auto"/>
          <w:highlight w:val="none"/>
        </w:rPr>
        <w:t>见竞争性谈判公告或竞争性谈判响应须知前附表。</w:t>
      </w:r>
    </w:p>
    <w:p>
      <w:pPr>
        <w:spacing w:line="400" w:lineRule="exact"/>
        <w:ind w:firstLine="359" w:firstLineChars="171"/>
        <w:rPr>
          <w:color w:val="auto"/>
          <w:highlight w:val="none"/>
        </w:rPr>
      </w:pPr>
      <w:r>
        <w:rPr>
          <w:rFonts w:hint="eastAsia"/>
          <w:color w:val="auto"/>
          <w:highlight w:val="none"/>
        </w:rPr>
        <w:t>1.6.2</w:t>
      </w:r>
      <w:r>
        <w:rPr>
          <w:rFonts w:hint="eastAsia" w:ascii="宋体" w:hAnsi="宋体" w:cs="宋体"/>
          <w:color w:val="auto"/>
          <w:szCs w:val="21"/>
          <w:highlight w:val="none"/>
        </w:rPr>
        <w:t>本项目采用资格后审的审查方式</w:t>
      </w:r>
      <w:r>
        <w:rPr>
          <w:rFonts w:hint="eastAsia"/>
          <w:color w:val="auto"/>
          <w:highlight w:val="none"/>
        </w:rPr>
        <w:t>。</w:t>
      </w:r>
    </w:p>
    <w:p>
      <w:pPr>
        <w:spacing w:line="400" w:lineRule="exact"/>
        <w:ind w:firstLine="359" w:firstLineChars="171"/>
        <w:rPr>
          <w:color w:val="auto"/>
          <w:highlight w:val="none"/>
        </w:rPr>
      </w:pPr>
      <w:r>
        <w:rPr>
          <w:rFonts w:hint="eastAsia"/>
          <w:color w:val="auto"/>
          <w:highlight w:val="none"/>
        </w:rPr>
        <w:t>1.6.3本须知前附表规定接受联合体响应的，除本须知前附表的要求外，还应遵守以下规定：</w:t>
      </w:r>
    </w:p>
    <w:p>
      <w:pPr>
        <w:spacing w:line="400" w:lineRule="exact"/>
        <w:ind w:firstLine="359" w:firstLineChars="171"/>
        <w:rPr>
          <w:color w:val="auto"/>
          <w:highlight w:val="none"/>
        </w:rPr>
      </w:pPr>
      <w:r>
        <w:rPr>
          <w:rFonts w:hint="eastAsia"/>
          <w:color w:val="auto"/>
          <w:highlight w:val="none"/>
        </w:rPr>
        <w:t>（1）联合体各方应按竞争性谈判文件提供的格式签订联合体协议书，明确联合体牵头人和各方权利义务；</w:t>
      </w:r>
    </w:p>
    <w:p>
      <w:pPr>
        <w:spacing w:line="400" w:lineRule="exact"/>
        <w:ind w:firstLine="359" w:firstLineChars="171"/>
        <w:rPr>
          <w:color w:val="auto"/>
          <w:highlight w:val="none"/>
        </w:rPr>
      </w:pPr>
      <w:r>
        <w:rPr>
          <w:rFonts w:hint="eastAsia"/>
          <w:color w:val="auto"/>
          <w:highlight w:val="none"/>
        </w:rPr>
        <w:t>（2）联合体各方不得再以自己名义单独或参加其他联合体在同一标包中响应；</w:t>
      </w:r>
    </w:p>
    <w:p>
      <w:pPr>
        <w:spacing w:line="400" w:lineRule="exact"/>
        <w:ind w:firstLine="359" w:firstLineChars="171"/>
        <w:rPr>
          <w:color w:val="auto"/>
          <w:highlight w:val="none"/>
        </w:rPr>
      </w:pPr>
      <w:r>
        <w:rPr>
          <w:rFonts w:hint="eastAsia"/>
          <w:color w:val="auto"/>
          <w:highlight w:val="none"/>
        </w:rPr>
        <w:t>（3）联合体牵头人须在响应文件上按要求加盖公司法人公章及法定代表人签名（或盖私章），无需联合体共同加盖公司法人公章及法定代表人签名（或盖私章）；</w:t>
      </w:r>
    </w:p>
    <w:p>
      <w:pPr>
        <w:spacing w:line="400" w:lineRule="exact"/>
        <w:ind w:firstLine="359" w:firstLineChars="171"/>
        <w:rPr>
          <w:rFonts w:hAnsi="宋体"/>
          <w:color w:val="auto"/>
          <w:highlight w:val="none"/>
        </w:rPr>
      </w:pPr>
      <w:r>
        <w:rPr>
          <w:rFonts w:hint="eastAsia"/>
          <w:color w:val="auto"/>
          <w:highlight w:val="none"/>
        </w:rPr>
        <w:t>（4）本须知前附表规定的其他要求。</w:t>
      </w:r>
    </w:p>
    <w:p>
      <w:pPr>
        <w:spacing w:line="400" w:lineRule="exact"/>
        <w:rPr>
          <w:rFonts w:ascii="宋体" w:hAnsi="宋体"/>
          <w:b/>
          <w:color w:val="auto"/>
          <w:sz w:val="32"/>
          <w:szCs w:val="32"/>
          <w:highlight w:val="none"/>
        </w:rPr>
      </w:pPr>
      <w:bookmarkStart w:id="21" w:name="_Toc456551883"/>
      <w:bookmarkStart w:id="22" w:name="_Toc475552129"/>
      <w:r>
        <w:rPr>
          <w:rFonts w:hint="eastAsia" w:ascii="宋体" w:hAnsi="宋体"/>
          <w:b/>
          <w:color w:val="auto"/>
          <w:sz w:val="32"/>
          <w:szCs w:val="32"/>
          <w:highlight w:val="none"/>
        </w:rPr>
        <w:t>1.</w:t>
      </w:r>
      <w:r>
        <w:rPr>
          <w:rFonts w:ascii="宋体" w:hAnsi="宋体"/>
          <w:b/>
          <w:color w:val="auto"/>
          <w:sz w:val="32"/>
          <w:szCs w:val="32"/>
          <w:highlight w:val="none"/>
        </w:rPr>
        <w:t>7</w:t>
      </w:r>
      <w:r>
        <w:rPr>
          <w:rFonts w:hint="eastAsia" w:ascii="宋体" w:hAnsi="宋体"/>
          <w:b/>
          <w:color w:val="auto"/>
          <w:sz w:val="32"/>
          <w:szCs w:val="32"/>
          <w:highlight w:val="none"/>
        </w:rPr>
        <w:t xml:space="preserve"> 响应人不得存在的情形</w:t>
      </w:r>
      <w:bookmarkEnd w:id="21"/>
      <w:bookmarkEnd w:id="22"/>
    </w:p>
    <w:p>
      <w:pPr>
        <w:spacing w:line="400" w:lineRule="exact"/>
        <w:ind w:firstLine="359" w:firstLineChars="171"/>
        <w:rPr>
          <w:color w:val="auto"/>
          <w:highlight w:val="none"/>
        </w:rPr>
      </w:pPr>
      <w:r>
        <w:rPr>
          <w:rFonts w:hint="eastAsia"/>
          <w:color w:val="auto"/>
          <w:highlight w:val="none"/>
        </w:rPr>
        <w:t>1.</w:t>
      </w:r>
      <w:r>
        <w:rPr>
          <w:color w:val="auto"/>
          <w:highlight w:val="none"/>
        </w:rPr>
        <w:t>7</w:t>
      </w:r>
      <w:r>
        <w:rPr>
          <w:rFonts w:hint="eastAsia"/>
          <w:color w:val="auto"/>
          <w:highlight w:val="none"/>
        </w:rPr>
        <w:t>.1 响应人不得存在下列情形之一，否则采购人有权取消其参与响应资格或成交资格：</w:t>
      </w:r>
    </w:p>
    <w:p>
      <w:pPr>
        <w:spacing w:line="400" w:lineRule="exact"/>
        <w:ind w:firstLine="359" w:firstLineChars="171"/>
        <w:rPr>
          <w:color w:val="auto"/>
          <w:highlight w:val="none"/>
        </w:rPr>
      </w:pPr>
      <w:r>
        <w:rPr>
          <w:rFonts w:hint="eastAsia"/>
          <w:color w:val="auto"/>
          <w:highlight w:val="none"/>
        </w:rPr>
        <w:t>（1）为采购人不具有独立法人资格的附属机构（单位）；</w:t>
      </w:r>
    </w:p>
    <w:p>
      <w:pPr>
        <w:spacing w:line="400" w:lineRule="exact"/>
        <w:ind w:firstLine="359" w:firstLineChars="171"/>
        <w:rPr>
          <w:color w:val="auto"/>
          <w:highlight w:val="none"/>
        </w:rPr>
      </w:pPr>
      <w:r>
        <w:rPr>
          <w:rFonts w:hint="eastAsia"/>
          <w:color w:val="auto"/>
          <w:highlight w:val="none"/>
        </w:rPr>
        <w:t>（</w:t>
      </w:r>
      <w:r>
        <w:rPr>
          <w:color w:val="auto"/>
          <w:highlight w:val="none"/>
        </w:rPr>
        <w:t>2</w:t>
      </w:r>
      <w:r>
        <w:rPr>
          <w:rFonts w:hint="eastAsia"/>
          <w:color w:val="auto"/>
          <w:highlight w:val="none"/>
        </w:rPr>
        <w:t xml:space="preserve">）被责令停业的； </w:t>
      </w:r>
    </w:p>
    <w:p>
      <w:pPr>
        <w:spacing w:line="400" w:lineRule="exact"/>
        <w:ind w:firstLine="359" w:firstLineChars="171"/>
        <w:rPr>
          <w:color w:val="auto"/>
          <w:highlight w:val="none"/>
        </w:rPr>
      </w:pPr>
      <w:r>
        <w:rPr>
          <w:rFonts w:hint="eastAsia"/>
          <w:color w:val="auto"/>
          <w:highlight w:val="none"/>
        </w:rPr>
        <w:t>（</w:t>
      </w:r>
      <w:r>
        <w:rPr>
          <w:color w:val="auto"/>
          <w:highlight w:val="none"/>
        </w:rPr>
        <w:t>3</w:t>
      </w:r>
      <w:r>
        <w:rPr>
          <w:rFonts w:hint="eastAsia"/>
          <w:color w:val="auto"/>
          <w:highlight w:val="none"/>
        </w:rPr>
        <w:t xml:space="preserve">）被暂停或取消投标资格的； </w:t>
      </w:r>
    </w:p>
    <w:p>
      <w:pPr>
        <w:spacing w:line="400" w:lineRule="exact"/>
        <w:ind w:firstLine="359" w:firstLineChars="171"/>
        <w:rPr>
          <w:color w:val="auto"/>
          <w:highlight w:val="none"/>
        </w:rPr>
      </w:pPr>
      <w:r>
        <w:rPr>
          <w:rFonts w:hint="eastAsia"/>
          <w:color w:val="auto"/>
          <w:highlight w:val="none"/>
        </w:rPr>
        <w:t>（</w:t>
      </w:r>
      <w:r>
        <w:rPr>
          <w:color w:val="auto"/>
          <w:highlight w:val="none"/>
        </w:rPr>
        <w:t>4</w:t>
      </w:r>
      <w:r>
        <w:rPr>
          <w:rFonts w:hint="eastAsia"/>
          <w:color w:val="auto"/>
          <w:highlight w:val="none"/>
        </w:rPr>
        <w:t>）财产被接管或冻结的；</w:t>
      </w:r>
    </w:p>
    <w:p>
      <w:pPr>
        <w:spacing w:line="400" w:lineRule="exact"/>
        <w:ind w:firstLine="359" w:firstLineChars="171"/>
        <w:rPr>
          <w:color w:val="auto"/>
          <w:highlight w:val="none"/>
        </w:rPr>
      </w:pPr>
      <w:r>
        <w:rPr>
          <w:rFonts w:hint="eastAsia"/>
          <w:color w:val="auto"/>
          <w:highlight w:val="none"/>
        </w:rPr>
        <w:t>（</w:t>
      </w:r>
      <w:r>
        <w:rPr>
          <w:color w:val="auto"/>
          <w:highlight w:val="none"/>
        </w:rPr>
        <w:t>5</w:t>
      </w:r>
      <w:r>
        <w:rPr>
          <w:rFonts w:hint="eastAsia"/>
          <w:color w:val="auto"/>
          <w:highlight w:val="none"/>
        </w:rPr>
        <w:t>）在最近三年内有骗取中标、严重违约、重大质量或安全问题的；</w:t>
      </w:r>
    </w:p>
    <w:p>
      <w:pPr>
        <w:spacing w:line="400" w:lineRule="exact"/>
        <w:ind w:firstLine="359" w:firstLineChars="171"/>
        <w:rPr>
          <w:color w:val="auto"/>
          <w:highlight w:val="none"/>
        </w:rPr>
      </w:pPr>
      <w:r>
        <w:rPr>
          <w:rFonts w:hint="eastAsia"/>
          <w:color w:val="auto"/>
          <w:highlight w:val="none"/>
        </w:rPr>
        <w:t>（</w:t>
      </w:r>
      <w:r>
        <w:rPr>
          <w:color w:val="auto"/>
          <w:highlight w:val="none"/>
        </w:rPr>
        <w:t>6</w:t>
      </w:r>
      <w:r>
        <w:rPr>
          <w:rFonts w:hint="eastAsia"/>
          <w:color w:val="auto"/>
          <w:highlight w:val="none"/>
        </w:rPr>
        <w:t>）法律法规规定的其他情形；</w:t>
      </w:r>
    </w:p>
    <w:p>
      <w:pPr>
        <w:spacing w:line="400" w:lineRule="exact"/>
        <w:ind w:firstLine="359" w:firstLineChars="171"/>
        <w:rPr>
          <w:color w:val="auto"/>
          <w:highlight w:val="none"/>
        </w:rPr>
      </w:pPr>
      <w:r>
        <w:rPr>
          <w:rFonts w:hint="eastAsia"/>
          <w:color w:val="auto"/>
          <w:highlight w:val="none"/>
        </w:rPr>
        <w:t>（</w:t>
      </w:r>
      <w:r>
        <w:rPr>
          <w:color w:val="auto"/>
          <w:highlight w:val="none"/>
        </w:rPr>
        <w:t>7</w:t>
      </w:r>
      <w:r>
        <w:rPr>
          <w:rFonts w:hint="eastAsia"/>
          <w:color w:val="auto"/>
          <w:highlight w:val="none"/>
        </w:rPr>
        <w:t>）竞争性谈判文件规定的其他情形：见竞争性谈判公告或竞争性谈判响应须知前附表。</w:t>
      </w:r>
    </w:p>
    <w:p>
      <w:pPr>
        <w:spacing w:line="400" w:lineRule="exact"/>
        <w:ind w:firstLine="359" w:firstLineChars="171"/>
        <w:rPr>
          <w:rFonts w:hAnsi="宋体"/>
          <w:color w:val="auto"/>
          <w:szCs w:val="21"/>
          <w:highlight w:val="none"/>
        </w:rPr>
      </w:pPr>
      <w:r>
        <w:rPr>
          <w:rFonts w:hint="eastAsia"/>
          <w:color w:val="auto"/>
          <w:highlight w:val="none"/>
        </w:rPr>
        <w:t>1.</w:t>
      </w:r>
      <w:r>
        <w:rPr>
          <w:color w:val="auto"/>
          <w:highlight w:val="none"/>
        </w:rPr>
        <w:t>7</w:t>
      </w:r>
      <w:r>
        <w:rPr>
          <w:rFonts w:hint="eastAsia"/>
          <w:color w:val="auto"/>
          <w:highlight w:val="none"/>
        </w:rPr>
        <w:t>.</w:t>
      </w:r>
      <w:r>
        <w:rPr>
          <w:color w:val="auto"/>
          <w:highlight w:val="none"/>
        </w:rPr>
        <w:t>2</w:t>
      </w:r>
      <w:r>
        <w:rPr>
          <w:rFonts w:hint="eastAsia"/>
          <w:color w:val="auto"/>
          <w:highlight w:val="none"/>
        </w:rPr>
        <w:t xml:space="preserve"> </w:t>
      </w:r>
      <w:r>
        <w:rPr>
          <w:rFonts w:hint="eastAsia" w:hAnsi="宋体"/>
          <w:color w:val="auto"/>
          <w:szCs w:val="21"/>
          <w:highlight w:val="none"/>
        </w:rPr>
        <w:t>响应人在竞争性谈判活动中有下列行为之一的，应视情节轻重，暂停或取消其参与采购人及东实集团旗下采购项目的资格：</w:t>
      </w:r>
    </w:p>
    <w:p>
      <w:pPr>
        <w:spacing w:line="400" w:lineRule="exact"/>
        <w:ind w:left="426"/>
        <w:rPr>
          <w:rFonts w:ascii="宋体" w:hAnsi="宋体"/>
          <w:color w:val="auto"/>
          <w:szCs w:val="21"/>
          <w:highlight w:val="none"/>
        </w:rPr>
      </w:pPr>
      <w:r>
        <w:rPr>
          <w:rFonts w:hint="eastAsia" w:ascii="宋体" w:hAnsi="宋体"/>
          <w:color w:val="auto"/>
          <w:szCs w:val="21"/>
          <w:highlight w:val="none"/>
        </w:rPr>
        <w:t xml:space="preserve">（1）响应人之间相互串通、或与采购人、代理机构、谈判小组成员串通谈判，损害采购人或者其他响应人的合法权益的； </w:t>
      </w:r>
    </w:p>
    <w:p>
      <w:pPr>
        <w:spacing w:line="400" w:lineRule="exact"/>
        <w:ind w:left="426"/>
        <w:rPr>
          <w:rFonts w:ascii="宋体" w:hAnsi="宋体"/>
          <w:color w:val="auto"/>
          <w:szCs w:val="21"/>
          <w:highlight w:val="none"/>
        </w:rPr>
      </w:pPr>
      <w:r>
        <w:rPr>
          <w:rFonts w:hint="eastAsia" w:ascii="宋体" w:hAnsi="宋体"/>
          <w:color w:val="auto"/>
          <w:szCs w:val="21"/>
          <w:highlight w:val="none"/>
        </w:rPr>
        <w:t xml:space="preserve">（2）向采购人、代理机构、评审委会成员或其他相关工作人员行贿的； </w:t>
      </w:r>
    </w:p>
    <w:p>
      <w:pPr>
        <w:spacing w:line="400" w:lineRule="exact"/>
        <w:ind w:left="426"/>
        <w:rPr>
          <w:rFonts w:ascii="宋体" w:hAnsi="宋体"/>
          <w:color w:val="auto"/>
          <w:szCs w:val="21"/>
          <w:highlight w:val="none"/>
        </w:rPr>
      </w:pPr>
      <w:r>
        <w:rPr>
          <w:rFonts w:hint="eastAsia" w:ascii="宋体" w:hAnsi="宋体"/>
          <w:color w:val="auto"/>
          <w:szCs w:val="21"/>
          <w:highlight w:val="none"/>
        </w:rPr>
        <w:t xml:space="preserve">（3）以他人名义谈判或以其他方式弄虚作假，骗取成交的； </w:t>
      </w:r>
    </w:p>
    <w:p>
      <w:pPr>
        <w:spacing w:line="400" w:lineRule="exact"/>
        <w:ind w:left="426"/>
        <w:rPr>
          <w:rFonts w:ascii="宋体" w:hAnsi="宋体"/>
          <w:color w:val="auto"/>
          <w:szCs w:val="21"/>
          <w:highlight w:val="none"/>
        </w:rPr>
      </w:pPr>
      <w:r>
        <w:rPr>
          <w:rFonts w:hint="eastAsia" w:ascii="宋体" w:hAnsi="宋体"/>
          <w:color w:val="auto"/>
          <w:szCs w:val="21"/>
          <w:highlight w:val="none"/>
        </w:rPr>
        <w:t xml:space="preserve">（4）成交人私自将成交项目转让给他人的，将成交项目肢解后分别转让给他人的； </w:t>
      </w:r>
    </w:p>
    <w:p>
      <w:pPr>
        <w:spacing w:line="400" w:lineRule="exact"/>
        <w:ind w:left="426"/>
        <w:rPr>
          <w:rFonts w:ascii="宋体" w:hAnsi="宋体"/>
          <w:color w:val="auto"/>
          <w:szCs w:val="21"/>
          <w:highlight w:val="none"/>
        </w:rPr>
      </w:pPr>
      <w:r>
        <w:rPr>
          <w:rFonts w:hint="eastAsia" w:ascii="宋体" w:hAnsi="宋体"/>
          <w:color w:val="auto"/>
          <w:szCs w:val="21"/>
          <w:highlight w:val="none"/>
        </w:rPr>
        <w:t>（5）成交人无正当理由不与采购人订立合同，在签订合同时向采购人提出附加条件，或者不按照竞争性谈判文件要求提交履约担保的；</w:t>
      </w:r>
    </w:p>
    <w:p>
      <w:pPr>
        <w:spacing w:line="400" w:lineRule="exact"/>
        <w:ind w:left="426"/>
        <w:rPr>
          <w:rFonts w:ascii="宋体" w:hAnsi="宋体"/>
          <w:color w:val="auto"/>
          <w:szCs w:val="21"/>
          <w:highlight w:val="none"/>
        </w:rPr>
      </w:pPr>
      <w:r>
        <w:rPr>
          <w:rFonts w:hint="eastAsia" w:ascii="宋体" w:hAnsi="宋体"/>
          <w:color w:val="auto"/>
          <w:szCs w:val="21"/>
          <w:highlight w:val="none"/>
        </w:rPr>
        <w:t xml:space="preserve">（6）响应人捏造事实、伪造材料或者以非法手段取得证明材料进行投诉，给他人造成损失的； </w:t>
      </w:r>
    </w:p>
    <w:p>
      <w:pPr>
        <w:spacing w:line="400" w:lineRule="exact"/>
        <w:ind w:left="426"/>
        <w:rPr>
          <w:rFonts w:ascii="宋体" w:hAnsi="宋体"/>
          <w:color w:val="auto"/>
          <w:szCs w:val="21"/>
          <w:highlight w:val="none"/>
        </w:rPr>
      </w:pPr>
      <w:r>
        <w:rPr>
          <w:rFonts w:hint="eastAsia" w:ascii="宋体" w:hAnsi="宋体"/>
          <w:color w:val="auto"/>
          <w:szCs w:val="21"/>
          <w:highlight w:val="none"/>
        </w:rPr>
        <w:t xml:space="preserve">（7）相关工作人员应当回避而不回避的； </w:t>
      </w:r>
    </w:p>
    <w:p>
      <w:pPr>
        <w:spacing w:line="400" w:lineRule="exact"/>
        <w:ind w:left="426"/>
        <w:rPr>
          <w:rFonts w:ascii="宋体" w:hAnsi="宋体"/>
          <w:color w:val="auto"/>
          <w:szCs w:val="21"/>
          <w:highlight w:val="none"/>
        </w:rPr>
      </w:pPr>
      <w:r>
        <w:rPr>
          <w:rFonts w:hint="eastAsia" w:ascii="宋体" w:hAnsi="宋体"/>
          <w:color w:val="auto"/>
          <w:szCs w:val="21"/>
          <w:highlight w:val="none"/>
        </w:rPr>
        <w:t>（8）其他违法违规的行为。</w:t>
      </w:r>
    </w:p>
    <w:p>
      <w:pPr>
        <w:spacing w:line="400" w:lineRule="exact"/>
        <w:ind w:left="426"/>
        <w:rPr>
          <w:rFonts w:ascii="宋体" w:hAnsi="宋体"/>
          <w:color w:val="auto"/>
          <w:szCs w:val="21"/>
          <w:highlight w:val="none"/>
        </w:rPr>
      </w:pPr>
      <w:r>
        <w:rPr>
          <w:bCs/>
          <w:color w:val="auto"/>
          <w:highlight w:val="none"/>
        </w:rPr>
        <w:t>1.7.</w:t>
      </w:r>
      <w:r>
        <w:rPr>
          <w:rFonts w:hint="eastAsia"/>
          <w:bCs/>
          <w:color w:val="auto"/>
          <w:highlight w:val="none"/>
        </w:rPr>
        <w:t>3</w:t>
      </w:r>
      <w:r>
        <w:rPr>
          <w:rFonts w:hint="eastAsia" w:ascii="宋体" w:hAnsi="宋体"/>
          <w:color w:val="auto"/>
          <w:szCs w:val="21"/>
          <w:highlight w:val="none"/>
        </w:rPr>
        <w:t>有下列情形之一的，视为响应人串通谈判，其响应无效：</w:t>
      </w:r>
    </w:p>
    <w:p>
      <w:pPr>
        <w:spacing w:line="400" w:lineRule="exact"/>
        <w:ind w:left="426"/>
        <w:rPr>
          <w:rFonts w:ascii="宋体" w:hAnsi="宋体"/>
          <w:color w:val="auto"/>
          <w:szCs w:val="21"/>
          <w:highlight w:val="none"/>
        </w:rPr>
      </w:pPr>
      <w:r>
        <w:rPr>
          <w:rFonts w:hint="eastAsia" w:ascii="宋体" w:hAnsi="宋体"/>
          <w:color w:val="auto"/>
          <w:szCs w:val="21"/>
          <w:highlight w:val="none"/>
        </w:rPr>
        <w:t>（1）不同响应人的响应文件由同一单位或者个人编制；</w:t>
      </w:r>
    </w:p>
    <w:p>
      <w:pPr>
        <w:spacing w:line="400" w:lineRule="exact"/>
        <w:ind w:left="426"/>
        <w:rPr>
          <w:rFonts w:ascii="宋体" w:hAnsi="宋体"/>
          <w:color w:val="auto"/>
          <w:szCs w:val="21"/>
          <w:highlight w:val="none"/>
        </w:rPr>
      </w:pPr>
      <w:r>
        <w:rPr>
          <w:rFonts w:hint="eastAsia" w:ascii="宋体" w:hAnsi="宋体"/>
          <w:color w:val="auto"/>
          <w:szCs w:val="21"/>
          <w:highlight w:val="none"/>
        </w:rPr>
        <w:t>（2）不同响应人委托同一单位或者个人办理响应事宜；</w:t>
      </w:r>
    </w:p>
    <w:p>
      <w:pPr>
        <w:spacing w:line="400" w:lineRule="exact"/>
        <w:ind w:left="426"/>
        <w:rPr>
          <w:rFonts w:ascii="宋体" w:hAnsi="宋体"/>
          <w:color w:val="auto"/>
          <w:szCs w:val="21"/>
          <w:highlight w:val="none"/>
        </w:rPr>
      </w:pPr>
      <w:r>
        <w:rPr>
          <w:rFonts w:hint="eastAsia" w:ascii="宋体" w:hAnsi="宋体"/>
          <w:color w:val="auto"/>
          <w:szCs w:val="21"/>
          <w:highlight w:val="none"/>
        </w:rPr>
        <w:t>（3）不同响应人的响应文件载明的项目管理成员或者联系人员为同一人；</w:t>
      </w:r>
    </w:p>
    <w:p>
      <w:pPr>
        <w:spacing w:line="400" w:lineRule="exact"/>
        <w:ind w:left="426"/>
        <w:rPr>
          <w:rFonts w:ascii="宋体" w:hAnsi="宋体"/>
          <w:color w:val="auto"/>
          <w:szCs w:val="21"/>
          <w:highlight w:val="none"/>
        </w:rPr>
      </w:pPr>
      <w:r>
        <w:rPr>
          <w:rFonts w:hint="eastAsia" w:ascii="宋体" w:hAnsi="宋体"/>
          <w:color w:val="auto"/>
          <w:szCs w:val="21"/>
          <w:highlight w:val="none"/>
        </w:rPr>
        <w:t>（4）不同响应人的响应文件异常一致或者响应报价呈规律性差异；</w:t>
      </w:r>
    </w:p>
    <w:p>
      <w:pPr>
        <w:spacing w:line="400" w:lineRule="exact"/>
        <w:ind w:left="426"/>
        <w:rPr>
          <w:rFonts w:ascii="宋体" w:hAnsi="宋体"/>
          <w:color w:val="auto"/>
          <w:szCs w:val="21"/>
          <w:highlight w:val="none"/>
        </w:rPr>
      </w:pPr>
      <w:r>
        <w:rPr>
          <w:rFonts w:hint="eastAsia" w:ascii="宋体" w:hAnsi="宋体"/>
          <w:color w:val="auto"/>
          <w:szCs w:val="21"/>
          <w:highlight w:val="none"/>
        </w:rPr>
        <w:t>（5）不同响应人的响应文件相互混装；</w:t>
      </w:r>
    </w:p>
    <w:p>
      <w:pPr>
        <w:spacing w:line="400" w:lineRule="exact"/>
        <w:ind w:left="426"/>
        <w:rPr>
          <w:rFonts w:ascii="宋体" w:hAnsi="宋体"/>
          <w:color w:val="auto"/>
          <w:szCs w:val="21"/>
          <w:highlight w:val="none"/>
        </w:rPr>
      </w:pPr>
      <w:r>
        <w:rPr>
          <w:rFonts w:hint="eastAsia" w:ascii="宋体" w:hAnsi="宋体"/>
          <w:color w:val="auto"/>
          <w:szCs w:val="21"/>
          <w:highlight w:val="none"/>
        </w:rPr>
        <w:t>（6）不同响应人的响应保证金从同一单位或者个人的账户转出。</w:t>
      </w:r>
    </w:p>
    <w:p>
      <w:pPr>
        <w:spacing w:line="400" w:lineRule="exact"/>
        <w:ind w:left="426"/>
        <w:rPr>
          <w:rFonts w:ascii="宋体" w:hAnsi="宋体"/>
          <w:color w:val="auto"/>
          <w:szCs w:val="21"/>
          <w:highlight w:val="none"/>
        </w:rPr>
      </w:pPr>
      <w:r>
        <w:rPr>
          <w:bCs/>
          <w:color w:val="auto"/>
          <w:highlight w:val="none"/>
        </w:rPr>
        <w:t>1.7.</w:t>
      </w:r>
      <w:r>
        <w:rPr>
          <w:rFonts w:hint="eastAsia"/>
          <w:bCs/>
          <w:color w:val="auto"/>
          <w:highlight w:val="none"/>
        </w:rPr>
        <w:t>4</w:t>
      </w:r>
      <w:r>
        <w:rPr>
          <w:rFonts w:hint="eastAsia" w:ascii="宋体" w:hAnsi="宋体"/>
          <w:color w:val="auto"/>
          <w:szCs w:val="21"/>
          <w:highlight w:val="none"/>
        </w:rPr>
        <w:t>使用通过受让或者租借等方式获取的资格、资质证书响应的，属于以他人名义谈判，其响应无效：</w:t>
      </w:r>
    </w:p>
    <w:p>
      <w:pPr>
        <w:spacing w:line="400" w:lineRule="exact"/>
        <w:ind w:left="426"/>
        <w:rPr>
          <w:rFonts w:ascii="宋体" w:hAnsi="宋体"/>
          <w:color w:val="auto"/>
          <w:szCs w:val="21"/>
          <w:highlight w:val="none"/>
        </w:rPr>
      </w:pPr>
      <w:r>
        <w:rPr>
          <w:bCs/>
          <w:color w:val="auto"/>
          <w:highlight w:val="none"/>
        </w:rPr>
        <w:t>1.7.</w:t>
      </w:r>
      <w:r>
        <w:rPr>
          <w:rFonts w:hint="eastAsia"/>
          <w:bCs/>
          <w:color w:val="auto"/>
          <w:highlight w:val="none"/>
        </w:rPr>
        <w:t>5</w:t>
      </w:r>
      <w:r>
        <w:rPr>
          <w:rFonts w:hint="eastAsia" w:ascii="宋体" w:hAnsi="宋体"/>
          <w:color w:val="auto"/>
          <w:szCs w:val="21"/>
          <w:highlight w:val="none"/>
        </w:rPr>
        <w:t>有下列情形之一的，属于以其他方式弄虚作假的行为，其响应无效：</w:t>
      </w:r>
    </w:p>
    <w:p>
      <w:pPr>
        <w:spacing w:line="400" w:lineRule="exact"/>
        <w:ind w:left="426"/>
        <w:rPr>
          <w:rFonts w:ascii="宋体" w:hAnsi="宋体"/>
          <w:color w:val="auto"/>
          <w:szCs w:val="21"/>
          <w:highlight w:val="none"/>
        </w:rPr>
      </w:pPr>
      <w:r>
        <w:rPr>
          <w:rFonts w:hint="eastAsia" w:ascii="宋体" w:hAnsi="宋体"/>
          <w:color w:val="auto"/>
          <w:szCs w:val="21"/>
          <w:highlight w:val="none"/>
        </w:rPr>
        <w:t>（1）使用伪造、变造的许可证件；</w:t>
      </w:r>
    </w:p>
    <w:p>
      <w:pPr>
        <w:spacing w:line="400" w:lineRule="exact"/>
        <w:ind w:left="426"/>
        <w:rPr>
          <w:rFonts w:ascii="宋体" w:hAnsi="宋体"/>
          <w:color w:val="auto"/>
          <w:szCs w:val="21"/>
          <w:highlight w:val="none"/>
        </w:rPr>
      </w:pPr>
      <w:r>
        <w:rPr>
          <w:rFonts w:hint="eastAsia" w:ascii="宋体" w:hAnsi="宋体"/>
          <w:color w:val="auto"/>
          <w:szCs w:val="21"/>
          <w:highlight w:val="none"/>
        </w:rPr>
        <w:t xml:space="preserve">（2）提供虚假的财务状况或者业绩； </w:t>
      </w:r>
    </w:p>
    <w:p>
      <w:pPr>
        <w:spacing w:line="400" w:lineRule="exact"/>
        <w:ind w:left="426"/>
        <w:rPr>
          <w:rFonts w:ascii="宋体" w:hAnsi="宋体"/>
          <w:color w:val="auto"/>
          <w:szCs w:val="21"/>
          <w:highlight w:val="none"/>
        </w:rPr>
      </w:pPr>
      <w:r>
        <w:rPr>
          <w:rFonts w:hint="eastAsia" w:ascii="宋体" w:hAnsi="宋体"/>
          <w:color w:val="auto"/>
          <w:szCs w:val="21"/>
          <w:highlight w:val="none"/>
        </w:rPr>
        <w:t xml:space="preserve">（3）提供虚假的项目负责人或者主要技术人员简历、劳动关系证明； </w:t>
      </w:r>
    </w:p>
    <w:p>
      <w:pPr>
        <w:spacing w:line="400" w:lineRule="exact"/>
        <w:ind w:left="426"/>
        <w:rPr>
          <w:rFonts w:ascii="宋体" w:hAnsi="宋体"/>
          <w:color w:val="auto"/>
          <w:szCs w:val="21"/>
          <w:highlight w:val="none"/>
        </w:rPr>
      </w:pPr>
      <w:r>
        <w:rPr>
          <w:rFonts w:hint="eastAsia" w:ascii="宋体" w:hAnsi="宋体"/>
          <w:color w:val="auto"/>
          <w:szCs w:val="21"/>
          <w:highlight w:val="none"/>
        </w:rPr>
        <w:t>（4）提供虚假的信用状况；</w:t>
      </w:r>
    </w:p>
    <w:p>
      <w:pPr>
        <w:spacing w:line="400" w:lineRule="exact"/>
        <w:ind w:left="426"/>
        <w:rPr>
          <w:rFonts w:ascii="宋体" w:hAnsi="宋体"/>
          <w:color w:val="auto"/>
          <w:szCs w:val="21"/>
          <w:highlight w:val="none"/>
        </w:rPr>
      </w:pPr>
      <w:r>
        <w:rPr>
          <w:rFonts w:hint="eastAsia" w:ascii="宋体" w:hAnsi="宋体"/>
          <w:color w:val="auto"/>
          <w:szCs w:val="21"/>
          <w:highlight w:val="none"/>
        </w:rPr>
        <w:t>（5）其他弄虚作假的行为。</w:t>
      </w:r>
    </w:p>
    <w:p>
      <w:pPr>
        <w:spacing w:line="400" w:lineRule="exact"/>
        <w:ind w:firstLine="359" w:firstLineChars="171"/>
        <w:rPr>
          <w:bCs/>
          <w:color w:val="auto"/>
          <w:highlight w:val="none"/>
        </w:rPr>
      </w:pPr>
      <w:r>
        <w:rPr>
          <w:bCs/>
          <w:color w:val="auto"/>
          <w:highlight w:val="none"/>
        </w:rPr>
        <w:t>1.7.</w:t>
      </w:r>
      <w:r>
        <w:rPr>
          <w:rFonts w:hint="eastAsia"/>
          <w:bCs/>
          <w:color w:val="auto"/>
          <w:highlight w:val="none"/>
        </w:rPr>
        <w:t xml:space="preserve">6响应人相关工作人员与采购人或采购代理机构有以下利害关系之一的，应当回避： </w:t>
      </w:r>
    </w:p>
    <w:p>
      <w:pPr>
        <w:spacing w:line="400" w:lineRule="exact"/>
        <w:ind w:firstLine="359" w:firstLineChars="171"/>
        <w:rPr>
          <w:bCs/>
          <w:color w:val="auto"/>
          <w:highlight w:val="none"/>
        </w:rPr>
      </w:pPr>
      <w:r>
        <w:rPr>
          <w:rFonts w:hint="eastAsia"/>
          <w:bCs/>
          <w:color w:val="auto"/>
          <w:highlight w:val="none"/>
        </w:rPr>
        <w:t>（一）是其主要负责人的近亲属的；</w:t>
      </w:r>
    </w:p>
    <w:p>
      <w:pPr>
        <w:spacing w:line="400" w:lineRule="exact"/>
        <w:ind w:firstLine="359" w:firstLineChars="171"/>
        <w:rPr>
          <w:bCs/>
          <w:color w:val="auto"/>
          <w:highlight w:val="none"/>
        </w:rPr>
      </w:pPr>
      <w:r>
        <w:rPr>
          <w:rFonts w:hint="eastAsia"/>
          <w:bCs/>
          <w:color w:val="auto"/>
          <w:highlight w:val="none"/>
        </w:rPr>
        <w:t>（二）竞争性谈判活动前3年内与其存在劳动关系，担任其董事、监事，是其控股股东或实际控制人，或存在其他经济利益关系，可能影响竞争性谈判活动公平公正的；</w:t>
      </w:r>
    </w:p>
    <w:p>
      <w:pPr>
        <w:spacing w:line="400" w:lineRule="exact"/>
        <w:ind w:firstLine="359" w:firstLineChars="171"/>
        <w:rPr>
          <w:bCs/>
          <w:color w:val="auto"/>
          <w:highlight w:val="none"/>
        </w:rPr>
      </w:pPr>
      <w:r>
        <w:rPr>
          <w:rFonts w:hint="eastAsia"/>
          <w:bCs/>
          <w:color w:val="auto"/>
          <w:highlight w:val="none"/>
        </w:rPr>
        <w:t>（三）其他可能影响竞争性谈判活动公平、公正进行的关系。</w:t>
      </w:r>
    </w:p>
    <w:p>
      <w:pPr>
        <w:spacing w:line="400" w:lineRule="exact"/>
        <w:rPr>
          <w:rFonts w:ascii="宋体" w:hAnsi="宋体"/>
          <w:b/>
          <w:color w:val="auto"/>
          <w:sz w:val="32"/>
          <w:szCs w:val="32"/>
          <w:highlight w:val="none"/>
        </w:rPr>
      </w:pPr>
      <w:bookmarkStart w:id="23" w:name="_Toc475552130"/>
      <w:bookmarkStart w:id="24" w:name="_Toc456551884"/>
      <w:r>
        <w:rPr>
          <w:rFonts w:hint="eastAsia" w:ascii="宋体" w:hAnsi="宋体"/>
          <w:b/>
          <w:color w:val="auto"/>
          <w:sz w:val="32"/>
          <w:szCs w:val="32"/>
          <w:highlight w:val="none"/>
        </w:rPr>
        <w:t>1.</w:t>
      </w:r>
      <w:r>
        <w:rPr>
          <w:rFonts w:ascii="宋体" w:hAnsi="宋体"/>
          <w:b/>
          <w:color w:val="auto"/>
          <w:sz w:val="32"/>
          <w:szCs w:val="32"/>
          <w:highlight w:val="none"/>
        </w:rPr>
        <w:t>8</w:t>
      </w:r>
      <w:r>
        <w:rPr>
          <w:rFonts w:hint="eastAsia" w:ascii="宋体" w:hAnsi="宋体"/>
          <w:b/>
          <w:color w:val="auto"/>
          <w:sz w:val="32"/>
          <w:szCs w:val="32"/>
          <w:highlight w:val="none"/>
        </w:rPr>
        <w:t xml:space="preserve"> 费用承担</w:t>
      </w:r>
      <w:bookmarkEnd w:id="23"/>
      <w:bookmarkEnd w:id="24"/>
    </w:p>
    <w:p>
      <w:pPr>
        <w:spacing w:line="400" w:lineRule="exact"/>
        <w:ind w:firstLine="420" w:firstLineChars="200"/>
        <w:rPr>
          <w:color w:val="auto"/>
          <w:highlight w:val="none"/>
        </w:rPr>
      </w:pPr>
      <w:r>
        <w:rPr>
          <w:rFonts w:hint="eastAsia" w:ascii="宋体" w:hAnsi="宋体" w:cs="宋体"/>
          <w:color w:val="auto"/>
          <w:szCs w:val="21"/>
          <w:highlight w:val="none"/>
        </w:rPr>
        <w:t>响应人准备和参加竞争性谈判活动发生的费用自理</w:t>
      </w:r>
      <w:r>
        <w:rPr>
          <w:rFonts w:hint="eastAsia"/>
          <w:color w:val="auto"/>
          <w:highlight w:val="none"/>
        </w:rPr>
        <w:t>。</w:t>
      </w:r>
    </w:p>
    <w:p>
      <w:pPr>
        <w:spacing w:line="400" w:lineRule="exact"/>
        <w:rPr>
          <w:rFonts w:ascii="宋体" w:hAnsi="宋体"/>
          <w:b/>
          <w:color w:val="auto"/>
          <w:sz w:val="32"/>
          <w:szCs w:val="32"/>
          <w:highlight w:val="none"/>
        </w:rPr>
      </w:pPr>
      <w:bookmarkStart w:id="25" w:name="_Toc456551885"/>
      <w:bookmarkStart w:id="26" w:name="_Toc475552131"/>
      <w:r>
        <w:rPr>
          <w:rFonts w:hint="eastAsia" w:ascii="宋体" w:hAnsi="宋体"/>
          <w:b/>
          <w:color w:val="auto"/>
          <w:sz w:val="32"/>
          <w:szCs w:val="32"/>
          <w:highlight w:val="none"/>
        </w:rPr>
        <w:t>1.</w:t>
      </w:r>
      <w:r>
        <w:rPr>
          <w:rFonts w:ascii="宋体" w:hAnsi="宋体"/>
          <w:b/>
          <w:color w:val="auto"/>
          <w:sz w:val="32"/>
          <w:szCs w:val="32"/>
          <w:highlight w:val="none"/>
        </w:rPr>
        <w:t>9</w:t>
      </w:r>
      <w:r>
        <w:rPr>
          <w:rFonts w:hint="eastAsia" w:ascii="宋体" w:hAnsi="宋体"/>
          <w:b/>
          <w:color w:val="auto"/>
          <w:sz w:val="32"/>
          <w:szCs w:val="32"/>
          <w:highlight w:val="none"/>
        </w:rPr>
        <w:t xml:space="preserve"> 保密</w:t>
      </w:r>
      <w:bookmarkEnd w:id="25"/>
      <w:bookmarkEnd w:id="26"/>
    </w:p>
    <w:p>
      <w:pPr>
        <w:spacing w:line="400" w:lineRule="exact"/>
        <w:ind w:firstLine="420" w:firstLineChars="200"/>
        <w:rPr>
          <w:color w:val="auto"/>
          <w:highlight w:val="none"/>
        </w:rPr>
      </w:pPr>
      <w:r>
        <w:rPr>
          <w:rFonts w:hint="eastAsia"/>
          <w:color w:val="auto"/>
          <w:highlight w:val="none"/>
        </w:rPr>
        <w:t xml:space="preserve">参与竞争性谈判活动的各方应对竞争性谈判文件和响应文件中的商业和技术等秘密保密，违者应对由此造成的后果承担法律责任。 </w:t>
      </w:r>
    </w:p>
    <w:p>
      <w:pPr>
        <w:spacing w:line="400" w:lineRule="exact"/>
        <w:rPr>
          <w:rFonts w:ascii="宋体" w:hAnsi="宋体"/>
          <w:b/>
          <w:color w:val="auto"/>
          <w:sz w:val="32"/>
          <w:szCs w:val="32"/>
          <w:highlight w:val="none"/>
        </w:rPr>
      </w:pPr>
      <w:bookmarkStart w:id="27" w:name="_Toc456551887"/>
      <w:bookmarkStart w:id="28" w:name="_Toc475552133"/>
      <w:bookmarkStart w:id="29" w:name="_Toc475552132"/>
      <w:bookmarkStart w:id="30" w:name="_Toc456551886"/>
      <w:r>
        <w:rPr>
          <w:rFonts w:hint="eastAsia" w:ascii="宋体" w:hAnsi="宋体"/>
          <w:b/>
          <w:color w:val="auto"/>
          <w:sz w:val="32"/>
          <w:szCs w:val="32"/>
          <w:highlight w:val="none"/>
        </w:rPr>
        <w:t>1.10 语言文字</w:t>
      </w:r>
      <w:bookmarkEnd w:id="27"/>
      <w:bookmarkEnd w:id="28"/>
    </w:p>
    <w:p>
      <w:pPr>
        <w:spacing w:line="400" w:lineRule="exact"/>
        <w:ind w:firstLine="420" w:firstLineChars="200"/>
        <w:rPr>
          <w:color w:val="auto"/>
          <w:highlight w:val="none"/>
        </w:rPr>
      </w:pPr>
      <w:r>
        <w:rPr>
          <w:rFonts w:hint="eastAsia" w:ascii="宋体" w:hAnsi="宋体" w:cs="宋体"/>
          <w:color w:val="auto"/>
          <w:szCs w:val="21"/>
          <w:highlight w:val="none"/>
        </w:rPr>
        <w:t>除专用术语外，与竞争性谈判有关的语言均使用简体中文。必要时专用术语应附有中文注释。</w:t>
      </w:r>
    </w:p>
    <w:p>
      <w:pPr>
        <w:spacing w:line="400" w:lineRule="exact"/>
        <w:rPr>
          <w:rFonts w:ascii="宋体" w:hAnsi="宋体"/>
          <w:b/>
          <w:color w:val="auto"/>
          <w:sz w:val="32"/>
          <w:szCs w:val="32"/>
          <w:highlight w:val="none"/>
        </w:rPr>
      </w:pPr>
      <w:r>
        <w:rPr>
          <w:rFonts w:hint="eastAsia" w:ascii="宋体" w:hAnsi="宋体"/>
          <w:b/>
          <w:color w:val="auto"/>
          <w:sz w:val="32"/>
          <w:szCs w:val="32"/>
          <w:highlight w:val="none"/>
        </w:rPr>
        <w:t>1.11 计量单位</w:t>
      </w:r>
      <w:bookmarkEnd w:id="29"/>
      <w:bookmarkEnd w:id="30"/>
    </w:p>
    <w:p>
      <w:pPr>
        <w:spacing w:line="400" w:lineRule="exact"/>
        <w:ind w:firstLine="420" w:firstLineChars="200"/>
        <w:rPr>
          <w:color w:val="auto"/>
          <w:highlight w:val="none"/>
        </w:rPr>
      </w:pPr>
      <w:r>
        <w:rPr>
          <w:rFonts w:hint="eastAsia"/>
          <w:color w:val="auto"/>
          <w:highlight w:val="none"/>
        </w:rPr>
        <w:t>所有计量均采用中华人民共和国法定计量单位。</w:t>
      </w:r>
    </w:p>
    <w:p>
      <w:pPr>
        <w:spacing w:line="400" w:lineRule="exact"/>
        <w:rPr>
          <w:rFonts w:ascii="宋体" w:hAnsi="宋体"/>
          <w:b/>
          <w:color w:val="auto"/>
          <w:sz w:val="32"/>
          <w:szCs w:val="32"/>
          <w:highlight w:val="none"/>
        </w:rPr>
      </w:pPr>
      <w:bookmarkStart w:id="31" w:name="_Toc456551892"/>
      <w:bookmarkStart w:id="32" w:name="_Toc475552136"/>
      <w:r>
        <w:rPr>
          <w:rFonts w:hint="eastAsia" w:ascii="宋体" w:hAnsi="宋体"/>
          <w:b/>
          <w:color w:val="auto"/>
          <w:sz w:val="32"/>
          <w:szCs w:val="32"/>
          <w:highlight w:val="none"/>
        </w:rPr>
        <w:t>1.12 踏勘现场</w:t>
      </w:r>
      <w:bookmarkEnd w:id="31"/>
      <w:bookmarkEnd w:id="32"/>
    </w:p>
    <w:p>
      <w:pPr>
        <w:spacing w:line="400" w:lineRule="exact"/>
        <w:ind w:firstLine="420" w:firstLineChars="200"/>
        <w:rPr>
          <w:color w:val="auto"/>
          <w:highlight w:val="none"/>
        </w:rPr>
      </w:pPr>
      <w:r>
        <w:rPr>
          <w:rFonts w:hint="eastAsia"/>
          <w:color w:val="auto"/>
          <w:highlight w:val="none"/>
        </w:rPr>
        <w:t>1.12.1</w:t>
      </w:r>
      <w:r>
        <w:rPr>
          <w:color w:val="auto"/>
          <w:highlight w:val="none"/>
        </w:rPr>
        <w:t xml:space="preserve"> </w:t>
      </w:r>
      <w:r>
        <w:rPr>
          <w:rFonts w:hint="eastAsia"/>
          <w:color w:val="auto"/>
          <w:highlight w:val="none"/>
        </w:rPr>
        <w:t>采购人</w:t>
      </w:r>
      <w:r>
        <w:rPr>
          <w:rFonts w:hint="eastAsia" w:ascii="宋体" w:hAnsi="宋体" w:cs="宋体"/>
          <w:color w:val="auto"/>
          <w:szCs w:val="21"/>
          <w:highlight w:val="none"/>
        </w:rPr>
        <w:t>不统一组织，响应人须自行踏勘现场</w:t>
      </w:r>
      <w:r>
        <w:rPr>
          <w:rFonts w:hint="eastAsia"/>
          <w:color w:val="auto"/>
          <w:highlight w:val="none"/>
        </w:rPr>
        <w:t>。</w:t>
      </w:r>
    </w:p>
    <w:p>
      <w:pPr>
        <w:spacing w:line="400" w:lineRule="exact"/>
        <w:ind w:firstLine="420" w:firstLineChars="200"/>
        <w:rPr>
          <w:color w:val="auto"/>
          <w:highlight w:val="none"/>
        </w:rPr>
      </w:pPr>
      <w:r>
        <w:rPr>
          <w:rFonts w:hint="eastAsia"/>
          <w:color w:val="auto"/>
          <w:highlight w:val="none"/>
        </w:rPr>
        <w:t>1.12.2 响应人踏勘现场发生的费用自理。</w:t>
      </w:r>
    </w:p>
    <w:p>
      <w:pPr>
        <w:spacing w:line="400" w:lineRule="exact"/>
        <w:ind w:firstLine="420" w:firstLineChars="200"/>
        <w:rPr>
          <w:color w:val="auto"/>
          <w:highlight w:val="none"/>
        </w:rPr>
      </w:pPr>
      <w:r>
        <w:rPr>
          <w:rFonts w:hint="eastAsia"/>
          <w:color w:val="auto"/>
          <w:highlight w:val="none"/>
        </w:rPr>
        <w:t>1.12.3 除采购人的原因外，响应人自行负责在踏勘现场中所发生的人员伤亡和财产损失。</w:t>
      </w:r>
    </w:p>
    <w:p>
      <w:pPr>
        <w:spacing w:line="400" w:lineRule="exact"/>
        <w:ind w:firstLine="420" w:firstLineChars="200"/>
        <w:rPr>
          <w:color w:val="auto"/>
          <w:highlight w:val="none"/>
        </w:rPr>
      </w:pPr>
      <w:r>
        <w:rPr>
          <w:rFonts w:hint="eastAsia"/>
          <w:color w:val="auto"/>
          <w:highlight w:val="none"/>
        </w:rPr>
        <w:t>1.12.4 采购人在踏勘现场中介绍的实施地点和相关的周边环境情况，供响应人在编制响应文件时参考，采购人不对响应人据此作出的判断和决策负责。</w:t>
      </w:r>
    </w:p>
    <w:p>
      <w:pPr>
        <w:spacing w:line="400" w:lineRule="exact"/>
        <w:rPr>
          <w:color w:val="auto"/>
          <w:highlight w:val="none"/>
        </w:rPr>
      </w:pPr>
    </w:p>
    <w:p>
      <w:pPr>
        <w:pStyle w:val="3"/>
        <w:rPr>
          <w:rFonts w:ascii="黑体" w:hAnsi="黑体"/>
          <w:color w:val="auto"/>
          <w:highlight w:val="none"/>
        </w:rPr>
      </w:pPr>
      <w:bookmarkStart w:id="33" w:name="_Toc456551890"/>
      <w:bookmarkStart w:id="34" w:name="_Toc5141"/>
      <w:r>
        <w:rPr>
          <w:rFonts w:hint="eastAsia" w:ascii="黑体" w:hAnsi="黑体"/>
          <w:color w:val="auto"/>
          <w:highlight w:val="none"/>
        </w:rPr>
        <w:t>2. 竞争性谈判文件</w:t>
      </w:r>
      <w:bookmarkEnd w:id="33"/>
      <w:bookmarkEnd w:id="34"/>
    </w:p>
    <w:p>
      <w:pPr>
        <w:spacing w:line="400" w:lineRule="exact"/>
        <w:rPr>
          <w:rFonts w:ascii="宋体" w:hAnsi="宋体"/>
          <w:b/>
          <w:color w:val="auto"/>
          <w:sz w:val="32"/>
          <w:szCs w:val="32"/>
          <w:highlight w:val="none"/>
        </w:rPr>
      </w:pPr>
      <w:bookmarkStart w:id="35" w:name="_Toc475552135"/>
      <w:bookmarkStart w:id="36" w:name="_Toc456551891"/>
      <w:r>
        <w:rPr>
          <w:rFonts w:hint="eastAsia" w:ascii="宋体" w:hAnsi="宋体"/>
          <w:b/>
          <w:color w:val="auto"/>
          <w:sz w:val="32"/>
          <w:szCs w:val="32"/>
          <w:highlight w:val="none"/>
        </w:rPr>
        <w:t>2.1 竞争性谈判文件的组成</w:t>
      </w:r>
      <w:bookmarkEnd w:id="35"/>
      <w:bookmarkEnd w:id="36"/>
    </w:p>
    <w:p>
      <w:pPr>
        <w:spacing w:line="400" w:lineRule="exact"/>
        <w:rPr>
          <w:color w:val="auto"/>
          <w:highlight w:val="none"/>
        </w:rPr>
      </w:pPr>
      <w:r>
        <w:rPr>
          <w:rFonts w:hint="eastAsia"/>
          <w:color w:val="auto"/>
          <w:highlight w:val="none"/>
        </w:rPr>
        <w:t>　　2.1.1 本竞争性谈判文件一般由以下部分组成：</w:t>
      </w:r>
    </w:p>
    <w:p>
      <w:pPr>
        <w:spacing w:line="400" w:lineRule="exact"/>
        <w:ind w:firstLine="567" w:firstLineChars="270"/>
        <w:rPr>
          <w:color w:val="auto"/>
          <w:highlight w:val="none"/>
        </w:rPr>
      </w:pPr>
      <w:r>
        <w:rPr>
          <w:rFonts w:hint="eastAsia"/>
          <w:color w:val="auto"/>
          <w:highlight w:val="none"/>
        </w:rPr>
        <w:t>第一章 竞争性谈判公告</w:t>
      </w:r>
    </w:p>
    <w:p>
      <w:pPr>
        <w:spacing w:line="400" w:lineRule="exact"/>
        <w:ind w:firstLine="567" w:firstLineChars="270"/>
        <w:rPr>
          <w:color w:val="auto"/>
          <w:highlight w:val="none"/>
        </w:rPr>
      </w:pPr>
      <w:r>
        <w:rPr>
          <w:rFonts w:hint="eastAsia"/>
          <w:color w:val="auto"/>
          <w:highlight w:val="none"/>
        </w:rPr>
        <w:t>第二章 竞争性谈判响应须知</w:t>
      </w:r>
    </w:p>
    <w:p>
      <w:pPr>
        <w:spacing w:line="400" w:lineRule="exact"/>
        <w:ind w:firstLine="567" w:firstLineChars="270"/>
        <w:rPr>
          <w:color w:val="auto"/>
          <w:highlight w:val="none"/>
        </w:rPr>
      </w:pPr>
      <w:r>
        <w:rPr>
          <w:rFonts w:hint="eastAsia"/>
          <w:color w:val="auto"/>
          <w:highlight w:val="none"/>
        </w:rPr>
        <w:t>第三章 评审办法</w:t>
      </w:r>
    </w:p>
    <w:p>
      <w:pPr>
        <w:spacing w:line="400" w:lineRule="exact"/>
        <w:ind w:firstLine="567" w:firstLineChars="270"/>
        <w:rPr>
          <w:color w:val="auto"/>
          <w:highlight w:val="none"/>
        </w:rPr>
      </w:pPr>
      <w:r>
        <w:rPr>
          <w:rFonts w:hint="eastAsia"/>
          <w:color w:val="auto"/>
          <w:highlight w:val="none"/>
        </w:rPr>
        <w:t>第四章 用户需求书(服务类/货物类)；技术规范书、工程量清单、图纸（施工类）；</w:t>
      </w:r>
    </w:p>
    <w:p>
      <w:pPr>
        <w:spacing w:line="400" w:lineRule="exact"/>
        <w:ind w:firstLine="567" w:firstLineChars="270"/>
        <w:rPr>
          <w:color w:val="auto"/>
          <w:highlight w:val="none"/>
        </w:rPr>
      </w:pPr>
      <w:r>
        <w:rPr>
          <w:rFonts w:hint="eastAsia"/>
          <w:color w:val="auto"/>
          <w:highlight w:val="none"/>
        </w:rPr>
        <w:t>第五章 合同模板</w:t>
      </w:r>
    </w:p>
    <w:p>
      <w:pPr>
        <w:spacing w:line="400" w:lineRule="exact"/>
        <w:ind w:firstLine="567" w:firstLineChars="270"/>
        <w:rPr>
          <w:color w:val="auto"/>
          <w:highlight w:val="none"/>
        </w:rPr>
      </w:pPr>
      <w:r>
        <w:rPr>
          <w:rFonts w:hint="eastAsia"/>
          <w:color w:val="auto"/>
          <w:highlight w:val="none"/>
        </w:rPr>
        <w:t>第六章 响应文件格式</w:t>
      </w:r>
    </w:p>
    <w:p>
      <w:pPr>
        <w:spacing w:line="400" w:lineRule="exact"/>
        <w:ind w:firstLine="567" w:firstLineChars="270"/>
        <w:rPr>
          <w:color w:val="auto"/>
          <w:highlight w:val="none"/>
        </w:rPr>
      </w:pPr>
      <w:r>
        <w:rPr>
          <w:rFonts w:hint="eastAsia"/>
          <w:color w:val="auto"/>
          <w:highlight w:val="none"/>
        </w:rPr>
        <w:t>采购人另有要求的，见竞争性谈判响应须知前附表。</w:t>
      </w:r>
    </w:p>
    <w:p>
      <w:pPr>
        <w:spacing w:line="400" w:lineRule="exact"/>
        <w:ind w:firstLine="567" w:firstLineChars="270"/>
        <w:rPr>
          <w:color w:val="auto"/>
          <w:highlight w:val="none"/>
        </w:rPr>
      </w:pPr>
      <w:r>
        <w:rPr>
          <w:rFonts w:hint="eastAsia" w:ascii="宋体" w:hAnsi="宋体" w:cs="宋体"/>
          <w:color w:val="auto"/>
          <w:szCs w:val="21"/>
          <w:highlight w:val="none"/>
        </w:rPr>
        <w:t>根据本章第2.2款对竞争性谈判文件所作的澄清、修改，构成竞争性谈判文件的组成部分。</w:t>
      </w:r>
    </w:p>
    <w:p>
      <w:pPr>
        <w:spacing w:line="400" w:lineRule="exact"/>
        <w:ind w:firstLine="420" w:firstLineChars="200"/>
        <w:rPr>
          <w:color w:val="auto"/>
          <w:highlight w:val="none"/>
        </w:rPr>
      </w:pPr>
      <w:r>
        <w:rPr>
          <w:rFonts w:hint="eastAsia"/>
          <w:color w:val="auto"/>
          <w:highlight w:val="none"/>
        </w:rPr>
        <w:t>2.1.2竞争性谈判文件对同一内容的表述应当一致。第一章 “竞争性谈判公告”与竞争性谈判文件在同一内容的表述上有矛盾或冲突时，以第一章 “竞争性谈判公告”为准；竞争性谈判响应须知前附表与正文在同一内容的表述上有矛盾或冲突时，以竞争性谈判响应须知前附表为准。</w:t>
      </w:r>
    </w:p>
    <w:p>
      <w:pPr>
        <w:spacing w:line="400" w:lineRule="exact"/>
        <w:ind w:firstLine="420" w:firstLineChars="200"/>
        <w:rPr>
          <w:color w:val="auto"/>
          <w:highlight w:val="none"/>
        </w:rPr>
      </w:pPr>
      <w:r>
        <w:rPr>
          <w:rFonts w:hint="eastAsia"/>
          <w:color w:val="auto"/>
          <w:highlight w:val="none"/>
        </w:rPr>
        <w:t>2.1.3</w:t>
      </w:r>
      <w:r>
        <w:rPr>
          <w:rFonts w:hint="eastAsia" w:ascii="宋体" w:hAnsi="宋体" w:cs="宋体"/>
          <w:b/>
          <w:color w:val="auto"/>
          <w:szCs w:val="21"/>
          <w:highlight w:val="none"/>
        </w:rPr>
        <w:t>竞争性谈判文件中标识“</w:t>
      </w:r>
      <w:r>
        <w:rPr>
          <w:rFonts w:eastAsia="黑体"/>
          <w:b/>
          <w:color w:val="auto"/>
          <w:sz w:val="32"/>
          <w:szCs w:val="32"/>
          <w:highlight w:val="none"/>
        </w:rPr>
        <w:sym w:font="Wingdings" w:char="00AB"/>
      </w:r>
      <w:r>
        <w:rPr>
          <w:rFonts w:hint="eastAsia" w:ascii="宋体" w:hAnsi="宋体" w:cs="宋体"/>
          <w:b/>
          <w:color w:val="auto"/>
          <w:szCs w:val="21"/>
          <w:highlight w:val="none"/>
        </w:rPr>
        <w:t>”的条款，均为实质性条款，任何不满足实质性条款的谈判将被否决</w:t>
      </w:r>
      <w:r>
        <w:rPr>
          <w:rFonts w:hint="eastAsia"/>
          <w:b/>
          <w:color w:val="auto"/>
          <w:highlight w:val="none"/>
        </w:rPr>
        <w:t>；</w:t>
      </w:r>
      <w:r>
        <w:rPr>
          <w:rFonts w:hint="eastAsia"/>
          <w:color w:val="auto"/>
          <w:highlight w:val="none"/>
        </w:rPr>
        <w:t>对于非实质性要求和条件，</w:t>
      </w:r>
      <w:r>
        <w:rPr>
          <w:rFonts w:hint="eastAsia" w:ascii="宋体" w:hAnsi="宋体" w:cs="宋体"/>
          <w:color w:val="auto"/>
          <w:szCs w:val="21"/>
          <w:highlight w:val="none"/>
        </w:rPr>
        <w:t>偏离应当符合采购文件规定的偏离范围和幅度</w:t>
      </w:r>
      <w:r>
        <w:rPr>
          <w:rFonts w:hint="eastAsia"/>
          <w:color w:val="auto"/>
          <w:highlight w:val="none"/>
        </w:rPr>
        <w:t>。</w:t>
      </w:r>
    </w:p>
    <w:p>
      <w:pPr>
        <w:spacing w:line="400" w:lineRule="exact"/>
        <w:rPr>
          <w:rFonts w:ascii="宋体" w:hAnsi="宋体"/>
          <w:b/>
          <w:color w:val="auto"/>
          <w:sz w:val="32"/>
          <w:szCs w:val="32"/>
          <w:highlight w:val="none"/>
        </w:rPr>
      </w:pPr>
      <w:bookmarkStart w:id="37" w:name="_Toc456551894"/>
      <w:bookmarkStart w:id="38" w:name="_Toc475552138"/>
      <w:r>
        <w:rPr>
          <w:rFonts w:hint="eastAsia" w:ascii="宋体" w:hAnsi="宋体"/>
          <w:b/>
          <w:color w:val="auto"/>
          <w:sz w:val="32"/>
          <w:szCs w:val="32"/>
          <w:highlight w:val="none"/>
        </w:rPr>
        <w:t>2.2 竞争性谈判文件的澄清和修改</w:t>
      </w:r>
      <w:bookmarkEnd w:id="37"/>
      <w:bookmarkEnd w:id="38"/>
    </w:p>
    <w:p>
      <w:pPr>
        <w:spacing w:line="400" w:lineRule="exact"/>
        <w:ind w:firstLine="420" w:firstLineChars="200"/>
        <w:rPr>
          <w:color w:val="auto"/>
          <w:highlight w:val="none"/>
        </w:rPr>
      </w:pPr>
      <w:r>
        <w:rPr>
          <w:rFonts w:hint="eastAsia"/>
          <w:color w:val="auto"/>
          <w:highlight w:val="none"/>
        </w:rPr>
        <w:t>2.2.1响应人对竞争性谈判文件有任何疑问的，应当按照竞争性谈判响应须知前附表规定的时间和方式，向采购人提出澄清要求。</w:t>
      </w:r>
    </w:p>
    <w:p>
      <w:pPr>
        <w:spacing w:line="400" w:lineRule="exact"/>
        <w:ind w:firstLine="420" w:firstLineChars="200"/>
        <w:rPr>
          <w:color w:val="auto"/>
          <w:highlight w:val="none"/>
        </w:rPr>
      </w:pPr>
      <w:r>
        <w:rPr>
          <w:rFonts w:hint="eastAsia"/>
          <w:color w:val="auto"/>
          <w:highlight w:val="none"/>
        </w:rPr>
        <w:t>2.2.2</w:t>
      </w:r>
      <w:r>
        <w:rPr>
          <w:rFonts w:hint="eastAsia" w:ascii="宋体" w:hAnsi="宋体" w:cs="宋体"/>
          <w:color w:val="auto"/>
          <w:szCs w:val="21"/>
          <w:highlight w:val="none"/>
        </w:rPr>
        <w:t>无论是采购人根据需要主动对竞争性谈判文件进行必要的澄清，或是根据响应人的要求对竞争性谈判文件做出澄清，</w:t>
      </w:r>
      <w:r>
        <w:rPr>
          <w:rFonts w:hint="eastAsia"/>
          <w:color w:val="auto"/>
          <w:highlight w:val="none"/>
        </w:rPr>
        <w:t>采购人都应当按照竞争性谈判响应须知前附表规定的时间和方式，将澄清或修改内容发给所有潜在竞争性谈判响应人，但不指明问题的来源。</w:t>
      </w:r>
    </w:p>
    <w:p>
      <w:pPr>
        <w:spacing w:line="400" w:lineRule="exact"/>
        <w:ind w:firstLine="420" w:firstLineChars="200"/>
        <w:rPr>
          <w:color w:val="auto"/>
          <w:highlight w:val="none"/>
        </w:rPr>
      </w:pPr>
      <w:r>
        <w:rPr>
          <w:rFonts w:hint="eastAsia"/>
          <w:color w:val="auto"/>
          <w:highlight w:val="none"/>
        </w:rPr>
        <w:t>2.2.3</w:t>
      </w:r>
      <w:r>
        <w:rPr>
          <w:rFonts w:hint="eastAsia"/>
          <w:color w:val="auto"/>
          <w:sz w:val="21"/>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r>
        <w:rPr>
          <w:rFonts w:hint="eastAsia"/>
          <w:color w:val="auto"/>
          <w:highlight w:val="none"/>
        </w:rPr>
        <w:t>。</w:t>
      </w:r>
    </w:p>
    <w:p>
      <w:pPr>
        <w:spacing w:line="400" w:lineRule="exact"/>
        <w:ind w:firstLine="420" w:firstLineChars="200"/>
        <w:rPr>
          <w:color w:val="auto"/>
          <w:highlight w:val="none"/>
        </w:rPr>
      </w:pPr>
      <w:r>
        <w:rPr>
          <w:rFonts w:hint="eastAsia"/>
          <w:color w:val="auto"/>
          <w:highlight w:val="none"/>
        </w:rPr>
        <w:t>2.2.4所有关于竞争性谈判文件的澄清和修改均作为竞争性谈判文件的补充部分。当竞争性谈判文件、竞争性谈判文件的澄清或修改等在同一内容的表述上不一致时，以最后发出的书面文件为准。</w:t>
      </w:r>
    </w:p>
    <w:p>
      <w:pPr>
        <w:spacing w:line="400" w:lineRule="exact"/>
        <w:ind w:firstLine="420" w:firstLineChars="200"/>
        <w:rPr>
          <w:color w:val="auto"/>
          <w:highlight w:val="none"/>
        </w:rPr>
      </w:pPr>
      <w:r>
        <w:rPr>
          <w:rFonts w:hint="eastAsia"/>
          <w:color w:val="auto"/>
          <w:highlight w:val="none"/>
        </w:rPr>
        <w:t>2.2.5</w:t>
      </w:r>
      <w:r>
        <w:rPr>
          <w:rFonts w:hint="eastAsia" w:ascii="宋体" w:hAnsi="宋体" w:cs="宋体"/>
          <w:color w:val="auto"/>
          <w:szCs w:val="21"/>
          <w:highlight w:val="none"/>
        </w:rPr>
        <w:t>响应人对采购人提供的竞争性谈判文件所作出的推论、解释和结论，采购人概不负责；响应人由于对竞争性谈判文件的任何推论和误解以及采购人对有关问题的口头解释所造成的后果，均由响应人自行负责。</w:t>
      </w:r>
    </w:p>
    <w:p>
      <w:pPr>
        <w:spacing w:line="400" w:lineRule="exact"/>
        <w:ind w:firstLine="420" w:firstLineChars="200"/>
        <w:rPr>
          <w:color w:val="auto"/>
          <w:highlight w:val="none"/>
        </w:rPr>
      </w:pPr>
    </w:p>
    <w:p>
      <w:pPr>
        <w:pStyle w:val="3"/>
        <w:rPr>
          <w:rFonts w:ascii="黑体" w:hAnsi="黑体"/>
          <w:color w:val="auto"/>
          <w:highlight w:val="none"/>
        </w:rPr>
      </w:pPr>
      <w:bookmarkStart w:id="39" w:name="_Toc906"/>
      <w:bookmarkStart w:id="40" w:name="_Toc456551895"/>
      <w:r>
        <w:rPr>
          <w:rFonts w:hint="eastAsia" w:ascii="黑体" w:hAnsi="黑体"/>
          <w:color w:val="auto"/>
          <w:highlight w:val="none"/>
        </w:rPr>
        <w:t>3. 响应文件</w:t>
      </w:r>
      <w:bookmarkEnd w:id="39"/>
      <w:bookmarkEnd w:id="40"/>
    </w:p>
    <w:p>
      <w:pPr>
        <w:spacing w:line="400" w:lineRule="exact"/>
        <w:rPr>
          <w:rFonts w:ascii="宋体" w:hAnsi="宋体"/>
          <w:b/>
          <w:color w:val="auto"/>
          <w:sz w:val="32"/>
          <w:szCs w:val="32"/>
          <w:highlight w:val="none"/>
        </w:rPr>
      </w:pPr>
      <w:bookmarkStart w:id="41" w:name="_Toc456551896"/>
      <w:bookmarkStart w:id="42" w:name="_Toc475552140"/>
      <w:r>
        <w:rPr>
          <w:rFonts w:hint="eastAsia" w:ascii="宋体" w:hAnsi="宋体"/>
          <w:b/>
          <w:color w:val="auto"/>
          <w:sz w:val="32"/>
          <w:szCs w:val="32"/>
          <w:highlight w:val="none"/>
        </w:rPr>
        <w:t>3.1 响应文件的组成</w:t>
      </w:r>
      <w:bookmarkEnd w:id="41"/>
      <w:bookmarkEnd w:id="42"/>
    </w:p>
    <w:p>
      <w:pPr>
        <w:spacing w:line="40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响应人应当按照竞争性谈判文件的要求编制并提交响应文件。</w:t>
      </w:r>
    </w:p>
    <w:p>
      <w:pPr>
        <w:spacing w:line="400" w:lineRule="exact"/>
        <w:rPr>
          <w:rFonts w:ascii="宋体" w:hAnsi="宋体"/>
          <w:b/>
          <w:color w:val="auto"/>
          <w:sz w:val="32"/>
          <w:szCs w:val="32"/>
          <w:highlight w:val="none"/>
        </w:rPr>
      </w:pPr>
      <w:bookmarkStart w:id="43" w:name="_Toc456551897"/>
      <w:bookmarkStart w:id="44" w:name="_Toc475552141"/>
      <w:r>
        <w:rPr>
          <w:rFonts w:hint="eastAsia" w:ascii="宋体" w:hAnsi="宋体"/>
          <w:b/>
          <w:color w:val="auto"/>
          <w:sz w:val="32"/>
          <w:szCs w:val="32"/>
          <w:highlight w:val="none"/>
        </w:rPr>
        <w:t>3.2响应文件的编制</w:t>
      </w:r>
      <w:bookmarkEnd w:id="43"/>
      <w:bookmarkEnd w:id="44"/>
    </w:p>
    <w:p>
      <w:pPr>
        <w:spacing w:line="400" w:lineRule="exact"/>
        <w:ind w:firstLine="420" w:firstLineChars="200"/>
        <w:rPr>
          <w:color w:val="auto"/>
          <w:szCs w:val="21"/>
          <w:highlight w:val="none"/>
        </w:rPr>
      </w:pPr>
      <w:r>
        <w:rPr>
          <w:rFonts w:hint="eastAsia"/>
          <w:color w:val="auto"/>
          <w:szCs w:val="21"/>
          <w:highlight w:val="none"/>
        </w:rPr>
        <w:t>3.2.1响应人应当按照竞争性谈判文件的要求编制响应文件，响应文件应当对竞争性谈判文件提出的实质性要求和条件作出响应。</w:t>
      </w:r>
      <w:r>
        <w:rPr>
          <w:color w:val="auto"/>
          <w:szCs w:val="21"/>
          <w:highlight w:val="none"/>
        </w:rPr>
        <w:t xml:space="preserve"> </w:t>
      </w:r>
    </w:p>
    <w:p>
      <w:pPr>
        <w:spacing w:line="400" w:lineRule="exact"/>
        <w:ind w:firstLine="420" w:firstLineChars="200"/>
        <w:rPr>
          <w:color w:val="auto"/>
          <w:szCs w:val="21"/>
          <w:highlight w:val="none"/>
        </w:rPr>
      </w:pPr>
      <w:r>
        <w:rPr>
          <w:rFonts w:hint="eastAsia"/>
          <w:color w:val="auto"/>
          <w:szCs w:val="21"/>
          <w:highlight w:val="none"/>
        </w:rPr>
        <w:t>3.2.2</w:t>
      </w:r>
      <w:r>
        <w:rPr>
          <w:rFonts w:hint="eastAsia" w:ascii="宋体" w:hAnsi="宋体" w:cs="宋体"/>
          <w:color w:val="auto"/>
          <w:szCs w:val="21"/>
          <w:highlight w:val="none"/>
        </w:rPr>
        <w:t>响应人应认真阅读竞争性谈判文件中所有的事项、格式、条款和技术规范等。响应人没有按照竞争性谈判文件要求递交全部资料，或者响应人没有对竞争性谈判文件的所有实质性要求作出全面响应是采购人的风险，并可能导致其竞争性谈判被否决。响应文件响应和编写的具体要求见竞争性谈判响应须知前附表。</w:t>
      </w:r>
    </w:p>
    <w:p>
      <w:pPr>
        <w:spacing w:line="400" w:lineRule="exact"/>
        <w:ind w:firstLine="420" w:firstLineChars="200"/>
        <w:rPr>
          <w:color w:val="auto"/>
          <w:szCs w:val="21"/>
          <w:highlight w:val="none"/>
        </w:rPr>
      </w:pPr>
      <w:r>
        <w:rPr>
          <w:rFonts w:hint="eastAsia"/>
          <w:color w:val="auto"/>
          <w:szCs w:val="21"/>
          <w:highlight w:val="none"/>
        </w:rPr>
        <w:t>3.2.3响应人提交的响应文件以及响应人与采购人就有关竞争性谈判的所有往来函电均应使用中文。响应人提交的证明文件和印刷的文献如使用其他语言的，相应内容应译成中文，在解释响应文件时以中文译本为准。</w:t>
      </w:r>
    </w:p>
    <w:p>
      <w:pPr>
        <w:spacing w:line="400" w:lineRule="exact"/>
        <w:ind w:firstLine="420" w:firstLineChars="200"/>
        <w:rPr>
          <w:color w:val="auto"/>
          <w:szCs w:val="21"/>
          <w:highlight w:val="none"/>
        </w:rPr>
      </w:pPr>
      <w:r>
        <w:rPr>
          <w:rFonts w:hint="eastAsia"/>
          <w:color w:val="auto"/>
          <w:szCs w:val="21"/>
          <w:highlight w:val="none"/>
        </w:rPr>
        <w:t>3.2.4响应文件应当使用不褪色的材料书写或打印，并盖单位公章。委托代理人签字的，响应文件应附法定代表人签署的授权委托书。响应文件应尽量避免涂改、行间插字或删除。如果出现上述情况，改动之处应加盖单位公章或由响应人的法定代表人或其委托代理人签字确认。响应文件盖章或者签字另有要求的，见竞争性谈判响应须知前附表。</w:t>
      </w:r>
    </w:p>
    <w:p>
      <w:pPr>
        <w:spacing w:line="400" w:lineRule="exact"/>
        <w:rPr>
          <w:rFonts w:ascii="宋体" w:hAnsi="宋体"/>
          <w:b/>
          <w:color w:val="auto"/>
          <w:sz w:val="32"/>
          <w:szCs w:val="32"/>
          <w:highlight w:val="none"/>
        </w:rPr>
      </w:pPr>
      <w:bookmarkStart w:id="45" w:name="_Toc456551898"/>
      <w:bookmarkStart w:id="46" w:name="_Toc475552142"/>
      <w:r>
        <w:rPr>
          <w:rFonts w:hint="eastAsia" w:ascii="宋体" w:hAnsi="宋体"/>
          <w:b/>
          <w:color w:val="auto"/>
          <w:sz w:val="32"/>
          <w:szCs w:val="32"/>
          <w:highlight w:val="none"/>
        </w:rPr>
        <w:t>3.3 竞争性谈判报价</w:t>
      </w:r>
      <w:bookmarkEnd w:id="45"/>
      <w:bookmarkEnd w:id="46"/>
    </w:p>
    <w:p>
      <w:pPr>
        <w:spacing w:line="400" w:lineRule="exact"/>
        <w:ind w:firstLine="420" w:firstLineChars="200"/>
        <w:rPr>
          <w:color w:val="auto"/>
          <w:highlight w:val="none"/>
        </w:rPr>
      </w:pPr>
      <w:r>
        <w:rPr>
          <w:rFonts w:hint="eastAsia"/>
          <w:color w:val="auto"/>
          <w:highlight w:val="none"/>
        </w:rPr>
        <w:t>3.3.1</w:t>
      </w:r>
      <w:r>
        <w:rPr>
          <w:rFonts w:hint="eastAsia"/>
          <w:bCs/>
          <w:color w:val="auto"/>
          <w:highlight w:val="none"/>
        </w:rPr>
        <w:t>竞争性谈判报价的具体要求见竞争性谈判响应须知前附表</w:t>
      </w:r>
      <w:r>
        <w:rPr>
          <w:rFonts w:hint="eastAsia" w:ascii="宋体" w:hAnsi="宋体"/>
          <w:color w:val="auto"/>
          <w:szCs w:val="21"/>
          <w:highlight w:val="none"/>
        </w:rPr>
        <w:t>。</w:t>
      </w:r>
    </w:p>
    <w:p>
      <w:pPr>
        <w:spacing w:line="400" w:lineRule="exact"/>
        <w:ind w:firstLine="420" w:firstLineChars="200"/>
        <w:rPr>
          <w:color w:val="auto"/>
          <w:highlight w:val="none"/>
        </w:rPr>
      </w:pPr>
      <w:r>
        <w:rPr>
          <w:rFonts w:hint="eastAsia"/>
          <w:color w:val="auto"/>
          <w:highlight w:val="none"/>
        </w:rPr>
        <w:t>3.3.2竞争性谈判货币：人民币</w:t>
      </w:r>
      <w:r>
        <w:rPr>
          <w:rFonts w:hint="eastAsia" w:ascii="宋体" w:hAnsi="宋体"/>
          <w:color w:val="auto"/>
          <w:szCs w:val="21"/>
          <w:highlight w:val="none"/>
        </w:rPr>
        <w:t>。响应文件中如出现其他币种，一律以唱标当天中国人民银行公布的汇率折算为人民币。</w:t>
      </w:r>
    </w:p>
    <w:p>
      <w:pPr>
        <w:spacing w:line="400" w:lineRule="exact"/>
        <w:ind w:firstLine="420" w:firstLineChars="200"/>
        <w:rPr>
          <w:color w:val="auto"/>
          <w:highlight w:val="none"/>
        </w:rPr>
      </w:pPr>
      <w:r>
        <w:rPr>
          <w:rFonts w:hint="eastAsia"/>
          <w:color w:val="auto"/>
          <w:highlight w:val="none"/>
        </w:rPr>
        <w:t xml:space="preserve">3.3.3 </w:t>
      </w:r>
      <w:r>
        <w:rPr>
          <w:rFonts w:hint="eastAsia"/>
          <w:b/>
          <w:color w:val="auto"/>
          <w:highlight w:val="none"/>
        </w:rPr>
        <w:t>采购人设有最高谈判限价的，响应人的竞争性谈判报价不得超过最高限价，否则其谈判将被否决。</w:t>
      </w:r>
      <w:r>
        <w:rPr>
          <w:rFonts w:hint="eastAsia"/>
          <w:color w:val="auto"/>
          <w:highlight w:val="none"/>
        </w:rPr>
        <w:t>最高竞争性谈判限价或其计算方法见竞争性谈判响应须知前附表。</w:t>
      </w:r>
    </w:p>
    <w:p>
      <w:pPr>
        <w:spacing w:line="400" w:lineRule="exact"/>
        <w:ind w:firstLine="420" w:firstLineChars="200"/>
        <w:rPr>
          <w:color w:val="auto"/>
          <w:highlight w:val="none"/>
        </w:rPr>
      </w:pPr>
      <w:r>
        <w:rPr>
          <w:rFonts w:hint="eastAsia"/>
          <w:color w:val="auto"/>
          <w:highlight w:val="none"/>
        </w:rPr>
        <w:t>3.3.4 采购人不接受响应人的任何低于成本报价的不正当竞争方式。</w:t>
      </w:r>
    </w:p>
    <w:p>
      <w:pPr>
        <w:spacing w:line="400" w:lineRule="exact"/>
        <w:rPr>
          <w:rFonts w:ascii="宋体" w:hAnsi="宋体"/>
          <w:b/>
          <w:color w:val="auto"/>
          <w:sz w:val="32"/>
          <w:szCs w:val="32"/>
          <w:highlight w:val="none"/>
        </w:rPr>
      </w:pPr>
      <w:bookmarkStart w:id="47" w:name="_Toc475552143"/>
      <w:bookmarkStart w:id="48" w:name="_Toc456551899"/>
      <w:r>
        <w:rPr>
          <w:rFonts w:hint="eastAsia" w:ascii="宋体" w:hAnsi="宋体"/>
          <w:b/>
          <w:color w:val="auto"/>
          <w:sz w:val="32"/>
          <w:szCs w:val="32"/>
          <w:highlight w:val="none"/>
        </w:rPr>
        <w:t>3.4 竞争性谈判有效期</w:t>
      </w:r>
      <w:bookmarkEnd w:id="47"/>
      <w:bookmarkEnd w:id="48"/>
    </w:p>
    <w:p>
      <w:pPr>
        <w:spacing w:line="400" w:lineRule="exact"/>
        <w:ind w:firstLine="420" w:firstLineChars="200"/>
        <w:rPr>
          <w:color w:val="auto"/>
          <w:highlight w:val="none"/>
        </w:rPr>
      </w:pPr>
      <w:r>
        <w:rPr>
          <w:rFonts w:hint="eastAsia"/>
          <w:color w:val="auto"/>
          <w:highlight w:val="none"/>
        </w:rPr>
        <w:t>3.4.1谈判有效期从递交响应文件截止日起计算，竞争性谈判有效期的具体时间见竞争性谈判响应须知前附表，在此期间，响应人不得要求撤销或修改其响应文件。</w:t>
      </w:r>
      <w:r>
        <w:rPr>
          <w:rFonts w:hint="eastAsia"/>
          <w:b/>
          <w:color w:val="auto"/>
          <w:highlight w:val="none"/>
        </w:rPr>
        <w:t>谈判有效期不满足竞争性谈判文件要求的谈判将被否决。</w:t>
      </w:r>
    </w:p>
    <w:p>
      <w:pPr>
        <w:spacing w:line="400" w:lineRule="exact"/>
        <w:ind w:firstLine="420" w:firstLineChars="200"/>
        <w:rPr>
          <w:color w:val="auto"/>
          <w:highlight w:val="none"/>
        </w:rPr>
      </w:pPr>
      <w:r>
        <w:rPr>
          <w:rFonts w:hint="eastAsia"/>
          <w:color w:val="auto"/>
          <w:highlight w:val="none"/>
        </w:rPr>
        <w:t>3.4.2</w:t>
      </w:r>
      <w:r>
        <w:rPr>
          <w:rFonts w:hint="eastAsia" w:ascii="宋体" w:hAnsi="宋体" w:cs="宋体"/>
          <w:color w:val="auto"/>
          <w:szCs w:val="21"/>
          <w:highlight w:val="none"/>
        </w:rPr>
        <w:t>出现特殊情况需要延长谈判有效期的，采购人以书面形式通知所有响应人延长竞争性谈判有效期。响应人同意延长的，应相应延长其竞争性谈判保证金的有效期，但不得要求或被允许修改或撤销其响应文件；响应人拒绝延长的，其响应失效，但响应人有权收回其响应保证金。</w:t>
      </w:r>
    </w:p>
    <w:p>
      <w:pPr>
        <w:spacing w:line="400" w:lineRule="exact"/>
        <w:rPr>
          <w:rFonts w:ascii="宋体" w:hAnsi="宋体"/>
          <w:b/>
          <w:color w:val="auto"/>
          <w:sz w:val="32"/>
          <w:szCs w:val="32"/>
          <w:highlight w:val="none"/>
        </w:rPr>
      </w:pPr>
      <w:bookmarkStart w:id="49" w:name="_Toc475552144"/>
      <w:bookmarkStart w:id="50" w:name="_Toc456551900"/>
      <w:r>
        <w:rPr>
          <w:rFonts w:hint="eastAsia" w:ascii="宋体" w:hAnsi="宋体"/>
          <w:b/>
          <w:color w:val="auto"/>
          <w:sz w:val="32"/>
          <w:szCs w:val="32"/>
          <w:highlight w:val="none"/>
        </w:rPr>
        <w:t>3.5 竞争性谈判保证金</w:t>
      </w:r>
      <w:bookmarkEnd w:id="49"/>
      <w:bookmarkEnd w:id="50"/>
    </w:p>
    <w:p>
      <w:pPr>
        <w:spacing w:line="400" w:lineRule="exact"/>
        <w:ind w:firstLine="420" w:firstLineChars="200"/>
        <w:rPr>
          <w:color w:val="auto"/>
          <w:highlight w:val="none"/>
        </w:rPr>
      </w:pPr>
      <w:r>
        <w:rPr>
          <w:rFonts w:hint="eastAsia"/>
          <w:color w:val="auto"/>
          <w:highlight w:val="none"/>
        </w:rPr>
        <w:t>3.5.1 采购人要求响应人提交竞争性谈判保证金的，响应人必须在提交响应文件的同时，按照竞争性谈判响应须知前附表的规定提交竞争性谈判保证金。</w:t>
      </w:r>
    </w:p>
    <w:p>
      <w:pPr>
        <w:spacing w:line="400" w:lineRule="exact"/>
        <w:ind w:firstLine="420" w:firstLineChars="200"/>
        <w:rPr>
          <w:color w:val="auto"/>
          <w:highlight w:val="none"/>
        </w:rPr>
      </w:pPr>
      <w:r>
        <w:rPr>
          <w:rFonts w:hint="eastAsia"/>
          <w:color w:val="auto"/>
          <w:highlight w:val="none"/>
        </w:rPr>
        <w:t>3.5.2 采购人可以规定竞争性谈判保证金是以现金、支票、银行汇票、中国注册的银行出具的银行保函等方式递交。竞争性谈判保证金的形式见竞争性谈判响应须知前附表。</w:t>
      </w:r>
    </w:p>
    <w:p>
      <w:pPr>
        <w:spacing w:line="400" w:lineRule="exact"/>
        <w:ind w:firstLine="420" w:firstLineChars="200"/>
        <w:rPr>
          <w:color w:val="auto"/>
          <w:highlight w:val="none"/>
        </w:rPr>
      </w:pPr>
      <w:r>
        <w:rPr>
          <w:rFonts w:hint="eastAsia"/>
          <w:color w:val="auto"/>
          <w:highlight w:val="none"/>
        </w:rPr>
        <w:t xml:space="preserve">3.5.3 </w:t>
      </w:r>
      <w:r>
        <w:rPr>
          <w:rFonts w:hint="eastAsia"/>
          <w:color w:val="auto"/>
          <w:highlight w:val="none"/>
          <w:lang w:val="en-US" w:eastAsia="zh-CN"/>
        </w:rPr>
        <w:t>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r>
        <w:rPr>
          <w:rFonts w:hint="eastAsia"/>
          <w:color w:val="auto"/>
          <w:highlight w:val="none"/>
        </w:rPr>
        <w:t>。</w:t>
      </w:r>
    </w:p>
    <w:p>
      <w:pPr>
        <w:spacing w:line="400" w:lineRule="exact"/>
        <w:ind w:firstLine="420" w:firstLineChars="200"/>
        <w:rPr>
          <w:color w:val="auto"/>
          <w:highlight w:val="none"/>
        </w:rPr>
      </w:pPr>
      <w:r>
        <w:rPr>
          <w:rFonts w:hint="eastAsia"/>
          <w:color w:val="auto"/>
          <w:highlight w:val="none"/>
        </w:rPr>
        <w:t xml:space="preserve">3.5.4 有下列情形之一的，竞争性谈判保证金可不予退还： </w:t>
      </w:r>
    </w:p>
    <w:p>
      <w:pPr>
        <w:spacing w:line="400" w:lineRule="exact"/>
        <w:ind w:firstLine="718" w:firstLineChars="342"/>
        <w:rPr>
          <w:color w:val="auto"/>
          <w:highlight w:val="none"/>
        </w:rPr>
      </w:pPr>
      <w:r>
        <w:rPr>
          <w:rFonts w:hint="eastAsia"/>
          <w:color w:val="auto"/>
          <w:highlight w:val="none"/>
        </w:rPr>
        <w:t>（1）</w:t>
      </w:r>
      <w:r>
        <w:rPr>
          <w:rFonts w:hint="eastAsia"/>
          <w:color w:val="auto"/>
          <w:szCs w:val="18"/>
          <w:highlight w:val="none"/>
        </w:rPr>
        <w:t>响应人在规定的竞争性谈判有效期内撤销或修改其响应文件的；</w:t>
      </w:r>
    </w:p>
    <w:p>
      <w:pPr>
        <w:spacing w:line="400" w:lineRule="exact"/>
        <w:ind w:firstLine="718" w:firstLineChars="342"/>
        <w:rPr>
          <w:color w:val="auto"/>
          <w:szCs w:val="18"/>
          <w:highlight w:val="none"/>
        </w:rPr>
      </w:pPr>
      <w:r>
        <w:rPr>
          <w:rFonts w:hint="eastAsia"/>
          <w:color w:val="auto"/>
          <w:szCs w:val="18"/>
          <w:highlight w:val="none"/>
        </w:rPr>
        <w:t>（2）成交人未能在规定期限内提交履约担保或签订合同协议的；</w:t>
      </w:r>
    </w:p>
    <w:p>
      <w:pPr>
        <w:spacing w:line="400" w:lineRule="exact"/>
        <w:ind w:firstLine="718" w:firstLineChars="342"/>
        <w:rPr>
          <w:color w:val="auto"/>
          <w:szCs w:val="18"/>
          <w:highlight w:val="none"/>
        </w:rPr>
      </w:pPr>
      <w:r>
        <w:rPr>
          <w:rFonts w:hint="eastAsia"/>
          <w:color w:val="auto"/>
          <w:szCs w:val="18"/>
          <w:highlight w:val="none"/>
        </w:rPr>
        <w:t>（3）响应人有串通竞争性谈判、弄虚作假等行为的；</w:t>
      </w:r>
    </w:p>
    <w:p>
      <w:pPr>
        <w:spacing w:line="400" w:lineRule="exact"/>
        <w:ind w:firstLine="718" w:firstLineChars="342"/>
        <w:rPr>
          <w:color w:val="auto"/>
          <w:szCs w:val="18"/>
          <w:highlight w:val="none"/>
        </w:rPr>
      </w:pPr>
      <w:r>
        <w:rPr>
          <w:rFonts w:hint="eastAsia"/>
          <w:color w:val="auto"/>
          <w:szCs w:val="18"/>
          <w:highlight w:val="none"/>
        </w:rPr>
        <w:t>（4）响应人以他人名义响应、与他人串通响应、以行贿手段谋取成交、弄虚作假等行为。</w:t>
      </w:r>
    </w:p>
    <w:p>
      <w:pPr>
        <w:spacing w:line="400" w:lineRule="exact"/>
        <w:ind w:firstLine="718" w:firstLineChars="342"/>
        <w:rPr>
          <w:color w:val="auto"/>
          <w:szCs w:val="18"/>
          <w:highlight w:val="none"/>
        </w:rPr>
      </w:pPr>
      <w:r>
        <w:rPr>
          <w:rFonts w:hint="eastAsia"/>
          <w:color w:val="auto"/>
          <w:szCs w:val="18"/>
          <w:highlight w:val="none"/>
        </w:rPr>
        <w:t>（5）成交人提交虚假资料或无效资料成交，影响成交结果的。</w:t>
      </w:r>
    </w:p>
    <w:p>
      <w:pPr>
        <w:spacing w:line="400" w:lineRule="exact"/>
        <w:ind w:firstLine="718" w:firstLineChars="342"/>
        <w:rPr>
          <w:color w:val="auto"/>
          <w:szCs w:val="18"/>
          <w:highlight w:val="none"/>
        </w:rPr>
      </w:pPr>
      <w:r>
        <w:rPr>
          <w:rFonts w:hint="eastAsia"/>
          <w:color w:val="auto"/>
          <w:szCs w:val="18"/>
          <w:highlight w:val="none"/>
        </w:rPr>
        <w:t>（7）成交人无正当理由拒绝提交相关证件原件核对的。</w:t>
      </w:r>
    </w:p>
    <w:p>
      <w:pPr>
        <w:spacing w:line="400" w:lineRule="exact"/>
        <w:ind w:firstLine="718" w:firstLineChars="342"/>
        <w:rPr>
          <w:color w:val="auto"/>
          <w:szCs w:val="18"/>
          <w:highlight w:val="none"/>
        </w:rPr>
      </w:pPr>
      <w:r>
        <w:rPr>
          <w:rFonts w:hint="eastAsia"/>
          <w:color w:val="auto"/>
          <w:szCs w:val="18"/>
          <w:highlight w:val="none"/>
        </w:rPr>
        <w:t>（8）成交人将本项目转让给他人，或者在响应文件中未说明，且未经采购人同意，将成交项目分包给他人的；</w:t>
      </w:r>
    </w:p>
    <w:p>
      <w:pPr>
        <w:spacing w:line="400" w:lineRule="exact"/>
        <w:ind w:firstLine="718" w:firstLineChars="342"/>
        <w:rPr>
          <w:color w:val="auto"/>
          <w:szCs w:val="18"/>
          <w:highlight w:val="none"/>
        </w:rPr>
      </w:pPr>
      <w:r>
        <w:rPr>
          <w:rFonts w:hint="eastAsia"/>
          <w:color w:val="auto"/>
          <w:szCs w:val="18"/>
          <w:highlight w:val="none"/>
        </w:rPr>
        <w:t>（9）其他规定见竞争性谈判响应须知前附表。</w:t>
      </w:r>
    </w:p>
    <w:p>
      <w:pPr>
        <w:spacing w:line="400" w:lineRule="exact"/>
        <w:ind w:firstLine="422" w:firstLineChars="200"/>
        <w:rPr>
          <w:b/>
          <w:color w:val="auto"/>
          <w:highlight w:val="none"/>
        </w:rPr>
      </w:pPr>
      <w:r>
        <w:rPr>
          <w:rFonts w:hint="eastAsia"/>
          <w:b/>
          <w:color w:val="auto"/>
          <w:highlight w:val="none"/>
        </w:rPr>
        <w:t>3.5.5 未按要求提交竞争性谈判保证金或提交的竞争性谈判保证金不足的竞争性谈判将被否决。</w:t>
      </w:r>
    </w:p>
    <w:p>
      <w:pPr>
        <w:spacing w:line="400" w:lineRule="exact"/>
        <w:rPr>
          <w:rFonts w:ascii="宋体" w:hAnsi="宋体"/>
          <w:b/>
          <w:color w:val="auto"/>
          <w:sz w:val="32"/>
          <w:szCs w:val="32"/>
          <w:highlight w:val="none"/>
        </w:rPr>
      </w:pPr>
      <w:bookmarkStart w:id="51" w:name="_Toc227057904"/>
      <w:bookmarkStart w:id="52" w:name="_Toc226969298"/>
      <w:bookmarkStart w:id="53" w:name="_Toc456551902"/>
      <w:bookmarkStart w:id="54" w:name="_Toc475552146"/>
      <w:r>
        <w:rPr>
          <w:rFonts w:hint="eastAsia" w:ascii="宋体" w:hAnsi="宋体"/>
          <w:b/>
          <w:color w:val="auto"/>
          <w:sz w:val="32"/>
          <w:szCs w:val="32"/>
          <w:highlight w:val="none"/>
        </w:rPr>
        <w:t>3.6 响应文件的式样</w:t>
      </w:r>
      <w:bookmarkEnd w:id="51"/>
      <w:bookmarkEnd w:id="52"/>
      <w:r>
        <w:rPr>
          <w:rFonts w:hint="eastAsia" w:ascii="宋体" w:hAnsi="宋体"/>
          <w:b/>
          <w:color w:val="auto"/>
          <w:sz w:val="32"/>
          <w:szCs w:val="32"/>
          <w:highlight w:val="none"/>
        </w:rPr>
        <w:t>、密封和标记</w:t>
      </w:r>
      <w:bookmarkEnd w:id="53"/>
      <w:bookmarkEnd w:id="54"/>
    </w:p>
    <w:p>
      <w:pPr>
        <w:spacing w:line="400" w:lineRule="exact"/>
        <w:ind w:firstLine="420" w:firstLineChars="200"/>
        <w:rPr>
          <w:color w:val="auto"/>
          <w:szCs w:val="21"/>
          <w:highlight w:val="none"/>
        </w:rPr>
      </w:pPr>
      <w:r>
        <w:rPr>
          <w:rFonts w:hint="eastAsia"/>
          <w:color w:val="auto"/>
          <w:szCs w:val="21"/>
          <w:highlight w:val="none"/>
        </w:rPr>
        <w:t>3.6.1响应人应当编制一份响应文件“正本”和竞争性谈判响应须知前附表所述份数的“副本”，副本为正本复印件。响应文件正本和副本如有不一致之处，以正本为准。</w:t>
      </w:r>
    </w:p>
    <w:p>
      <w:pPr>
        <w:spacing w:line="400" w:lineRule="exact"/>
        <w:ind w:firstLine="420" w:firstLineChars="200"/>
        <w:rPr>
          <w:color w:val="auto"/>
          <w:szCs w:val="21"/>
          <w:highlight w:val="none"/>
        </w:rPr>
      </w:pPr>
      <w:r>
        <w:rPr>
          <w:rFonts w:hint="eastAsia"/>
          <w:color w:val="auto"/>
          <w:szCs w:val="21"/>
          <w:highlight w:val="none"/>
        </w:rPr>
        <w:t>3.6.2每份响应文件的正本、副本及唱标信封应当分别装订，并于封面上明确标明“正本”、“副本”和“唱标信封”字样。</w:t>
      </w:r>
      <w:r>
        <w:rPr>
          <w:rFonts w:hint="eastAsia" w:ascii="宋体" w:hAnsi="宋体"/>
          <w:color w:val="auto"/>
          <w:szCs w:val="21"/>
          <w:highlight w:val="none"/>
        </w:rPr>
        <w:t>正本或副本应按目录顺序要求排列并牢固装订成册。不能有脱页，不能使用活页夹装订。</w:t>
      </w:r>
    </w:p>
    <w:p>
      <w:pPr>
        <w:spacing w:line="400" w:lineRule="exact"/>
        <w:ind w:firstLine="420" w:firstLineChars="200"/>
        <w:rPr>
          <w:color w:val="auto"/>
          <w:szCs w:val="21"/>
          <w:highlight w:val="none"/>
        </w:rPr>
      </w:pPr>
      <w:r>
        <w:rPr>
          <w:rFonts w:hint="eastAsia"/>
          <w:color w:val="auto"/>
          <w:szCs w:val="21"/>
          <w:highlight w:val="none"/>
        </w:rPr>
        <w:t>3.6.3响应文件应当按照竞争性谈判文件规定密封包装，并于封装封面上明确标明“正本”、“副本”和“唱标信封”字样。密封的所有粘接缝隙必须加盖单位章或者由响应人的法定代表人或其委托代理人签字。</w:t>
      </w:r>
    </w:p>
    <w:p>
      <w:pPr>
        <w:spacing w:line="400" w:lineRule="exact"/>
        <w:ind w:firstLine="420" w:firstLineChars="200"/>
        <w:rPr>
          <w:color w:val="auto"/>
          <w:szCs w:val="21"/>
          <w:highlight w:val="none"/>
        </w:rPr>
      </w:pPr>
      <w:r>
        <w:rPr>
          <w:rFonts w:hint="eastAsia"/>
          <w:color w:val="auto"/>
          <w:szCs w:val="21"/>
          <w:highlight w:val="none"/>
        </w:rPr>
        <w:t>3.6.4外层包封应当写明采购人名称和地址、项目名称、采购代理机构编号、并注明唱标时间以前不得开封。还应当写明响应人的名称与地址、联系方式，以便竞争性谈判出现逾期送达时能原封退回。</w:t>
      </w:r>
    </w:p>
    <w:p>
      <w:pPr>
        <w:spacing w:line="400" w:lineRule="exact"/>
        <w:ind w:firstLine="420" w:firstLineChars="200"/>
        <w:rPr>
          <w:color w:val="auto"/>
          <w:szCs w:val="21"/>
          <w:highlight w:val="none"/>
        </w:rPr>
      </w:pPr>
      <w:r>
        <w:rPr>
          <w:rFonts w:hint="eastAsia"/>
          <w:color w:val="auto"/>
          <w:szCs w:val="21"/>
          <w:highlight w:val="none"/>
        </w:rPr>
        <w:t>3.6.5提交响应文件时，采购人应当对符合竞争性谈判文件规定密封和标记的响应文件进行签收。</w:t>
      </w:r>
    </w:p>
    <w:p>
      <w:pPr>
        <w:spacing w:line="400" w:lineRule="exact"/>
        <w:ind w:firstLine="420" w:firstLineChars="200"/>
        <w:rPr>
          <w:color w:val="auto"/>
          <w:szCs w:val="21"/>
          <w:highlight w:val="none"/>
        </w:rPr>
      </w:pPr>
      <w:r>
        <w:rPr>
          <w:rFonts w:hint="eastAsia"/>
          <w:color w:val="auto"/>
          <w:szCs w:val="21"/>
          <w:highlight w:val="none"/>
        </w:rPr>
        <w:t>3.6.6采购人对于响应文件密封、标记另有要求的，见竞争性谈判响应须知前附表。</w:t>
      </w:r>
    </w:p>
    <w:p>
      <w:pPr>
        <w:pStyle w:val="3"/>
        <w:rPr>
          <w:rFonts w:ascii="黑体" w:hAnsi="黑体"/>
          <w:color w:val="auto"/>
          <w:highlight w:val="none"/>
        </w:rPr>
      </w:pPr>
      <w:bookmarkStart w:id="55" w:name="_Toc456551904"/>
      <w:bookmarkStart w:id="56" w:name="_Toc11193"/>
      <w:r>
        <w:rPr>
          <w:rFonts w:hint="eastAsia" w:ascii="黑体" w:hAnsi="黑体"/>
          <w:color w:val="auto"/>
          <w:highlight w:val="none"/>
        </w:rPr>
        <w:t xml:space="preserve">4. </w:t>
      </w:r>
      <w:bookmarkEnd w:id="55"/>
      <w:r>
        <w:rPr>
          <w:rFonts w:hint="eastAsia" w:ascii="黑体" w:hAnsi="黑体"/>
          <w:color w:val="auto"/>
          <w:highlight w:val="none"/>
        </w:rPr>
        <w:t>竞争性谈判</w:t>
      </w:r>
      <w:bookmarkEnd w:id="56"/>
    </w:p>
    <w:p>
      <w:pPr>
        <w:spacing w:line="400" w:lineRule="exact"/>
        <w:rPr>
          <w:rFonts w:ascii="宋体" w:hAnsi="宋体"/>
          <w:b/>
          <w:color w:val="auto"/>
          <w:sz w:val="32"/>
          <w:szCs w:val="32"/>
          <w:highlight w:val="none"/>
        </w:rPr>
      </w:pPr>
      <w:bookmarkStart w:id="57" w:name="_Toc456551905"/>
      <w:bookmarkStart w:id="58" w:name="_Toc475552148"/>
      <w:r>
        <w:rPr>
          <w:rFonts w:hint="eastAsia" w:ascii="宋体" w:hAnsi="宋体"/>
          <w:b/>
          <w:color w:val="auto"/>
          <w:sz w:val="32"/>
          <w:szCs w:val="32"/>
          <w:highlight w:val="none"/>
        </w:rPr>
        <w:t>4.1 响应文件的递交</w:t>
      </w:r>
      <w:bookmarkEnd w:id="57"/>
      <w:bookmarkEnd w:id="58"/>
    </w:p>
    <w:p>
      <w:pPr>
        <w:spacing w:line="400" w:lineRule="exact"/>
        <w:ind w:firstLine="420" w:firstLineChars="200"/>
        <w:rPr>
          <w:color w:val="auto"/>
          <w:highlight w:val="none"/>
        </w:rPr>
      </w:pPr>
      <w:r>
        <w:rPr>
          <w:rFonts w:hint="eastAsia"/>
          <w:color w:val="auto"/>
          <w:highlight w:val="none"/>
        </w:rPr>
        <w:t>4.1.1响应文件递交截止时间：见竞争性谈判响应须知前附表。</w:t>
      </w:r>
    </w:p>
    <w:p>
      <w:pPr>
        <w:spacing w:line="400" w:lineRule="exact"/>
        <w:ind w:firstLine="420" w:firstLineChars="200"/>
        <w:rPr>
          <w:color w:val="auto"/>
          <w:highlight w:val="none"/>
        </w:rPr>
      </w:pPr>
      <w:r>
        <w:rPr>
          <w:rFonts w:hint="eastAsia"/>
          <w:color w:val="auto"/>
          <w:highlight w:val="none"/>
        </w:rPr>
        <w:t>4.1.2 响应人递交响应文件的地点：见竞争性谈判响应须知前附表。</w:t>
      </w:r>
    </w:p>
    <w:p>
      <w:pPr>
        <w:spacing w:line="400" w:lineRule="exact"/>
        <w:ind w:firstLine="420" w:firstLineChars="200"/>
        <w:rPr>
          <w:color w:val="auto"/>
          <w:highlight w:val="none"/>
        </w:rPr>
      </w:pPr>
      <w:r>
        <w:rPr>
          <w:rFonts w:hint="eastAsia"/>
          <w:color w:val="auto"/>
          <w:highlight w:val="none"/>
        </w:rPr>
        <w:t>4.1.3采购人/采购代理机构收到响应文件后，向响应人分别进行签收（唱标前不得提前公开已签收的响应人信息）。</w:t>
      </w:r>
    </w:p>
    <w:p>
      <w:pPr>
        <w:spacing w:line="400" w:lineRule="exact"/>
        <w:ind w:firstLine="420" w:firstLineChars="200"/>
        <w:rPr>
          <w:color w:val="auto"/>
          <w:highlight w:val="none"/>
        </w:rPr>
      </w:pPr>
      <w:r>
        <w:rPr>
          <w:rFonts w:hint="eastAsia"/>
          <w:color w:val="auto"/>
          <w:highlight w:val="none"/>
        </w:rPr>
        <w:t>4.1.4除竞争性谈判响应须知前附表另有规定外，响应人所递交的响应文件不予退还。</w:t>
      </w:r>
    </w:p>
    <w:p>
      <w:pPr>
        <w:spacing w:line="400" w:lineRule="exact"/>
        <w:ind w:firstLine="420" w:firstLineChars="200"/>
        <w:rPr>
          <w:color w:val="auto"/>
          <w:highlight w:val="none"/>
        </w:rPr>
      </w:pPr>
      <w:r>
        <w:rPr>
          <w:rFonts w:hint="eastAsia"/>
          <w:color w:val="auto"/>
          <w:highlight w:val="none"/>
        </w:rPr>
        <w:t>4.1.5出现以下情形时，采购人不予接收响应文件：</w:t>
      </w:r>
    </w:p>
    <w:p>
      <w:pPr>
        <w:spacing w:line="400" w:lineRule="exact"/>
        <w:ind w:firstLine="420" w:firstLineChars="200"/>
        <w:rPr>
          <w:color w:val="auto"/>
          <w:highlight w:val="none"/>
        </w:rPr>
      </w:pPr>
      <w:r>
        <w:rPr>
          <w:rFonts w:hint="eastAsia"/>
          <w:color w:val="auto"/>
          <w:highlight w:val="none"/>
        </w:rPr>
        <w:t>（1）逾期送达或者未送达指定地点的；</w:t>
      </w:r>
    </w:p>
    <w:p>
      <w:pPr>
        <w:spacing w:line="400" w:lineRule="exact"/>
        <w:ind w:firstLine="420" w:firstLineChars="200"/>
        <w:rPr>
          <w:color w:val="auto"/>
          <w:highlight w:val="none"/>
        </w:rPr>
      </w:pPr>
      <w:r>
        <w:rPr>
          <w:rFonts w:hint="eastAsia"/>
          <w:color w:val="auto"/>
          <w:highlight w:val="none"/>
        </w:rPr>
        <w:t>（2）未按竞争性谈判文件要求密封的。</w:t>
      </w:r>
    </w:p>
    <w:p>
      <w:pPr>
        <w:spacing w:line="400" w:lineRule="exact"/>
        <w:rPr>
          <w:rFonts w:ascii="宋体" w:hAnsi="宋体"/>
          <w:b/>
          <w:color w:val="auto"/>
          <w:sz w:val="32"/>
          <w:szCs w:val="32"/>
          <w:highlight w:val="none"/>
        </w:rPr>
      </w:pPr>
      <w:bookmarkStart w:id="59" w:name="_Toc456551906"/>
      <w:bookmarkStart w:id="60" w:name="_Toc475552149"/>
      <w:r>
        <w:rPr>
          <w:rFonts w:hint="eastAsia" w:ascii="宋体" w:hAnsi="宋体"/>
          <w:b/>
          <w:color w:val="auto"/>
          <w:sz w:val="32"/>
          <w:szCs w:val="32"/>
          <w:highlight w:val="none"/>
        </w:rPr>
        <w:t>4.2 响应文件的修改、撤回和撤销</w:t>
      </w:r>
      <w:bookmarkEnd w:id="59"/>
      <w:bookmarkEnd w:id="60"/>
    </w:p>
    <w:p>
      <w:pPr>
        <w:spacing w:line="400" w:lineRule="exact"/>
        <w:ind w:firstLine="420" w:firstLineChars="200"/>
        <w:rPr>
          <w:color w:val="auto"/>
          <w:highlight w:val="none"/>
        </w:rPr>
      </w:pPr>
      <w:r>
        <w:rPr>
          <w:rFonts w:hint="eastAsia"/>
          <w:color w:val="auto"/>
          <w:highlight w:val="none"/>
        </w:rPr>
        <w:t>4.2.1 在规定的竞争性谈判截止时间前，响应人可以修改或撤回已递交的响应文件。</w:t>
      </w:r>
    </w:p>
    <w:p>
      <w:pPr>
        <w:spacing w:line="400" w:lineRule="exact"/>
        <w:ind w:firstLine="420" w:firstLineChars="200"/>
        <w:rPr>
          <w:color w:val="auto"/>
          <w:highlight w:val="none"/>
        </w:rPr>
      </w:pPr>
      <w:r>
        <w:rPr>
          <w:rFonts w:hint="eastAsia"/>
          <w:color w:val="auto"/>
          <w:highlight w:val="none"/>
        </w:rPr>
        <w:t>4.2.2响应人修改后的响应文件，应当在规定的竞争性谈判截止时间前按竞争性谈判文件的规定编制、密封、标记、提交和送达。</w:t>
      </w:r>
    </w:p>
    <w:p>
      <w:pPr>
        <w:spacing w:line="400" w:lineRule="exact"/>
        <w:ind w:firstLine="420" w:firstLineChars="200"/>
        <w:rPr>
          <w:color w:val="auto"/>
          <w:highlight w:val="none"/>
        </w:rPr>
      </w:pPr>
      <w:r>
        <w:rPr>
          <w:rFonts w:hint="eastAsia"/>
          <w:color w:val="auto"/>
          <w:highlight w:val="none"/>
        </w:rPr>
        <w:t>4.2.3 响应人撤回已递交的响应文件，应当书面通知采购人。采购人已收取竞争性谈判保证金的，应当自收到响应人书面撤回通知之日起5</w:t>
      </w:r>
      <w:r>
        <w:rPr>
          <w:rFonts w:hint="eastAsia"/>
          <w:color w:val="auto"/>
          <w:highlight w:val="none"/>
          <w:lang w:val="en-US" w:eastAsia="zh-CN"/>
        </w:rPr>
        <w:t>个工作</w:t>
      </w:r>
      <w:r>
        <w:rPr>
          <w:rFonts w:hint="eastAsia"/>
          <w:color w:val="auto"/>
          <w:highlight w:val="none"/>
        </w:rPr>
        <w:t>日内退还。</w:t>
      </w:r>
    </w:p>
    <w:p>
      <w:pPr>
        <w:spacing w:line="400" w:lineRule="exact"/>
        <w:ind w:firstLine="420" w:firstLineChars="200"/>
        <w:rPr>
          <w:color w:val="auto"/>
          <w:highlight w:val="none"/>
        </w:rPr>
      </w:pPr>
      <w:r>
        <w:rPr>
          <w:rFonts w:hint="eastAsia"/>
          <w:color w:val="auto"/>
          <w:highlight w:val="none"/>
        </w:rPr>
        <w:t>4.2.4 响应人在规定的竞争性谈判截止时间后，不得在竞争性谈判有效期内撤销其竞争性谈判，否则采购人有权不退还其竞争性谈判保证金。</w:t>
      </w:r>
    </w:p>
    <w:p>
      <w:pPr>
        <w:pStyle w:val="3"/>
        <w:rPr>
          <w:color w:val="auto"/>
          <w:highlight w:val="none"/>
        </w:rPr>
      </w:pPr>
      <w:bookmarkStart w:id="61" w:name="_Toc456551907"/>
      <w:bookmarkStart w:id="62" w:name="_Toc7925"/>
      <w:r>
        <w:rPr>
          <w:rFonts w:hint="eastAsia"/>
          <w:color w:val="auto"/>
          <w:highlight w:val="none"/>
        </w:rPr>
        <w:t xml:space="preserve">5. </w:t>
      </w:r>
      <w:bookmarkEnd w:id="61"/>
      <w:r>
        <w:rPr>
          <w:rFonts w:hint="eastAsia"/>
          <w:color w:val="auto"/>
          <w:highlight w:val="none"/>
        </w:rPr>
        <w:t>公开唱标</w:t>
      </w:r>
      <w:bookmarkEnd w:id="62"/>
    </w:p>
    <w:p>
      <w:pPr>
        <w:spacing w:line="400" w:lineRule="exact"/>
        <w:rPr>
          <w:rFonts w:ascii="宋体" w:hAnsi="宋体"/>
          <w:b/>
          <w:color w:val="auto"/>
          <w:sz w:val="32"/>
          <w:szCs w:val="32"/>
          <w:highlight w:val="none"/>
        </w:rPr>
      </w:pPr>
      <w:bookmarkStart w:id="63" w:name="_Toc456551908"/>
      <w:bookmarkStart w:id="64" w:name="_Toc475552151"/>
      <w:r>
        <w:rPr>
          <w:rFonts w:hint="eastAsia" w:ascii="宋体" w:hAnsi="宋体"/>
          <w:b/>
          <w:color w:val="auto"/>
          <w:sz w:val="32"/>
          <w:szCs w:val="32"/>
          <w:highlight w:val="none"/>
        </w:rPr>
        <w:t>5.1 唱标时间和地点</w:t>
      </w:r>
      <w:bookmarkEnd w:id="63"/>
      <w:bookmarkEnd w:id="64"/>
    </w:p>
    <w:p>
      <w:pPr>
        <w:spacing w:line="400" w:lineRule="exact"/>
        <w:ind w:firstLine="420" w:firstLineChars="200"/>
        <w:rPr>
          <w:color w:val="auto"/>
          <w:highlight w:val="none"/>
        </w:rPr>
      </w:pPr>
      <w:r>
        <w:rPr>
          <w:rFonts w:hint="eastAsia"/>
          <w:color w:val="auto"/>
          <w:highlight w:val="none"/>
        </w:rPr>
        <w:t>采购人将按照竞争性谈判响应须知前附表规定的时间和地点公开唱标，参加唱标的响应人代表应当签名报到，以证明其出席唱标。</w:t>
      </w:r>
    </w:p>
    <w:p>
      <w:pPr>
        <w:spacing w:line="400" w:lineRule="exact"/>
        <w:rPr>
          <w:rFonts w:ascii="宋体" w:hAnsi="宋体"/>
          <w:b/>
          <w:color w:val="auto"/>
          <w:sz w:val="32"/>
          <w:szCs w:val="32"/>
          <w:highlight w:val="none"/>
        </w:rPr>
      </w:pPr>
      <w:bookmarkStart w:id="65" w:name="_Toc475552152"/>
      <w:bookmarkStart w:id="66" w:name="_Toc456551909"/>
      <w:r>
        <w:rPr>
          <w:rFonts w:hint="eastAsia" w:ascii="宋体" w:hAnsi="宋体"/>
          <w:b/>
          <w:color w:val="auto"/>
          <w:sz w:val="32"/>
          <w:szCs w:val="32"/>
          <w:highlight w:val="none"/>
        </w:rPr>
        <w:t>5.2 唱标程序</w:t>
      </w:r>
      <w:bookmarkEnd w:id="65"/>
      <w:bookmarkEnd w:id="66"/>
    </w:p>
    <w:p>
      <w:pPr>
        <w:spacing w:line="400" w:lineRule="exact"/>
        <w:ind w:firstLine="359" w:firstLineChars="171"/>
        <w:rPr>
          <w:color w:val="auto"/>
          <w:highlight w:val="none"/>
        </w:rPr>
      </w:pPr>
      <w:r>
        <w:rPr>
          <w:rFonts w:hint="eastAsia"/>
          <w:color w:val="auto"/>
          <w:highlight w:val="none"/>
        </w:rPr>
        <w:t>5.2.1唱标会议由采购人或其委托的采购代理机构组织并主持，响应人代表对响应文件密封性进行检查。</w:t>
      </w:r>
    </w:p>
    <w:p>
      <w:pPr>
        <w:spacing w:line="400" w:lineRule="exact"/>
        <w:ind w:firstLine="359" w:firstLineChars="171"/>
        <w:rPr>
          <w:color w:val="auto"/>
          <w:highlight w:val="none"/>
        </w:rPr>
      </w:pPr>
      <w:r>
        <w:rPr>
          <w:rFonts w:hint="eastAsia"/>
          <w:color w:val="auto"/>
          <w:highlight w:val="none"/>
        </w:rPr>
        <w:t>5.2.2 采购人在递交响应文件截止时间前收到的所有响应文件在唱标时都应当当众予以拆封宣读。</w:t>
      </w:r>
    </w:p>
    <w:p>
      <w:pPr>
        <w:spacing w:line="400" w:lineRule="exact"/>
        <w:ind w:firstLine="359" w:firstLineChars="171"/>
        <w:rPr>
          <w:color w:val="auto"/>
          <w:highlight w:val="none"/>
        </w:rPr>
      </w:pPr>
      <w:r>
        <w:rPr>
          <w:rFonts w:hint="eastAsia"/>
          <w:color w:val="auto"/>
          <w:highlight w:val="none"/>
        </w:rPr>
        <w:t>5.2.3 唱标时，采购人应当当众宣布参加本次竞争性谈判的响应人个数及响应文件的密封情况，并宣读有效竞争性谈判的“报价一览表”中的内容，“报价一览表”一般包括：唱标时间和地点、响应人名称、价格等唱标内容、唱标过程监督记录、响应人提出的异议以及竞争性谈判文件中规定的其他内容。</w:t>
      </w:r>
    </w:p>
    <w:p>
      <w:pPr>
        <w:spacing w:line="400" w:lineRule="exact"/>
        <w:ind w:firstLine="359" w:firstLineChars="171"/>
        <w:rPr>
          <w:color w:val="auto"/>
          <w:highlight w:val="none"/>
        </w:rPr>
      </w:pPr>
      <w:r>
        <w:rPr>
          <w:rFonts w:hint="eastAsia"/>
          <w:color w:val="auto"/>
          <w:highlight w:val="none"/>
        </w:rPr>
        <w:t>5.2.4唱标内容填写在“唱标记录表”中，由唱标人、记录人、采购人代表、监督人、响应人代表签字确认，存档备查。</w:t>
      </w:r>
    </w:p>
    <w:p>
      <w:pPr>
        <w:spacing w:line="400" w:lineRule="exact"/>
        <w:rPr>
          <w:rFonts w:ascii="宋体" w:hAnsi="宋体"/>
          <w:b/>
          <w:color w:val="auto"/>
          <w:sz w:val="32"/>
          <w:szCs w:val="32"/>
          <w:highlight w:val="none"/>
        </w:rPr>
      </w:pPr>
      <w:bookmarkStart w:id="67" w:name="_Toc475552153"/>
      <w:bookmarkStart w:id="68" w:name="_Toc456551910"/>
      <w:r>
        <w:rPr>
          <w:rFonts w:hint="eastAsia" w:ascii="宋体" w:hAnsi="宋体"/>
          <w:b/>
          <w:color w:val="auto"/>
          <w:sz w:val="32"/>
          <w:szCs w:val="32"/>
          <w:highlight w:val="none"/>
        </w:rPr>
        <w:t>5.3 唱标异议</w:t>
      </w:r>
      <w:bookmarkEnd w:id="67"/>
      <w:bookmarkEnd w:id="68"/>
    </w:p>
    <w:p>
      <w:pPr>
        <w:spacing w:line="400" w:lineRule="exact"/>
        <w:ind w:firstLine="359" w:firstLineChars="171"/>
        <w:rPr>
          <w:color w:val="auto"/>
          <w:highlight w:val="none"/>
        </w:rPr>
      </w:pPr>
      <w:r>
        <w:rPr>
          <w:rFonts w:hint="eastAsia"/>
          <w:color w:val="auto"/>
          <w:highlight w:val="none"/>
        </w:rPr>
        <w:t>响应人对唱标有异议的，应当在唱标现场提出，采购人应当当场作出答复，并制作记录。</w:t>
      </w:r>
    </w:p>
    <w:p>
      <w:pPr>
        <w:pStyle w:val="3"/>
        <w:rPr>
          <w:color w:val="auto"/>
          <w:highlight w:val="none"/>
        </w:rPr>
      </w:pPr>
      <w:bookmarkStart w:id="69" w:name="_Toc456551912"/>
      <w:bookmarkStart w:id="70" w:name="_Toc21401"/>
      <w:r>
        <w:rPr>
          <w:rFonts w:hint="eastAsia"/>
          <w:color w:val="auto"/>
          <w:highlight w:val="none"/>
        </w:rPr>
        <w:t xml:space="preserve">6. </w:t>
      </w:r>
      <w:bookmarkEnd w:id="69"/>
      <w:r>
        <w:rPr>
          <w:rFonts w:hint="eastAsia"/>
          <w:color w:val="auto"/>
          <w:highlight w:val="none"/>
        </w:rPr>
        <w:t>评审</w:t>
      </w:r>
      <w:bookmarkEnd w:id="70"/>
    </w:p>
    <w:p>
      <w:pPr>
        <w:spacing w:line="400" w:lineRule="exact"/>
        <w:rPr>
          <w:rFonts w:ascii="宋体" w:hAnsi="宋体"/>
          <w:b/>
          <w:color w:val="auto"/>
          <w:sz w:val="32"/>
          <w:szCs w:val="32"/>
          <w:highlight w:val="none"/>
        </w:rPr>
      </w:pPr>
      <w:bookmarkStart w:id="71" w:name="_Toc456551913"/>
      <w:bookmarkStart w:id="72" w:name="_Toc475552155"/>
      <w:r>
        <w:rPr>
          <w:rFonts w:hint="eastAsia" w:ascii="宋体" w:hAnsi="宋体"/>
          <w:b/>
          <w:color w:val="auto"/>
          <w:sz w:val="32"/>
          <w:szCs w:val="32"/>
          <w:highlight w:val="none"/>
        </w:rPr>
        <w:t xml:space="preserve">6.1 </w:t>
      </w:r>
      <w:bookmarkEnd w:id="71"/>
      <w:bookmarkEnd w:id="72"/>
      <w:r>
        <w:rPr>
          <w:rFonts w:hint="eastAsia" w:ascii="宋体" w:hAnsi="宋体"/>
          <w:b/>
          <w:color w:val="auto"/>
          <w:sz w:val="32"/>
          <w:szCs w:val="32"/>
          <w:highlight w:val="none"/>
        </w:rPr>
        <w:t>谈判小组</w:t>
      </w:r>
    </w:p>
    <w:p>
      <w:pPr>
        <w:spacing w:line="400" w:lineRule="exact"/>
        <w:ind w:firstLine="420" w:firstLineChars="200"/>
        <w:rPr>
          <w:color w:val="auto"/>
          <w:szCs w:val="21"/>
          <w:highlight w:val="none"/>
        </w:rPr>
      </w:pPr>
      <w:r>
        <w:rPr>
          <w:rFonts w:hint="eastAsia"/>
          <w:color w:val="auto"/>
          <w:szCs w:val="21"/>
          <w:highlight w:val="none"/>
        </w:rPr>
        <w:t>6.1.1评审由依法组建的谈判小组负责，具体人数见竞争性谈判响应须知前附表。</w:t>
      </w:r>
    </w:p>
    <w:p>
      <w:pPr>
        <w:spacing w:line="400" w:lineRule="exact"/>
        <w:ind w:firstLine="420" w:firstLineChars="200"/>
        <w:rPr>
          <w:color w:val="auto"/>
          <w:szCs w:val="21"/>
          <w:highlight w:val="none"/>
        </w:rPr>
      </w:pPr>
      <w:r>
        <w:rPr>
          <w:rFonts w:hint="eastAsia"/>
          <w:color w:val="auto"/>
          <w:szCs w:val="21"/>
          <w:highlight w:val="none"/>
        </w:rPr>
        <w:t>6.1.2评审期间，任何单位和个人不得非法干预或者影响评审的过程和结果。</w:t>
      </w:r>
    </w:p>
    <w:p>
      <w:pPr>
        <w:spacing w:line="400" w:lineRule="exact"/>
        <w:ind w:firstLine="420" w:firstLineChars="200"/>
        <w:rPr>
          <w:color w:val="auto"/>
          <w:szCs w:val="21"/>
          <w:highlight w:val="none"/>
        </w:rPr>
      </w:pPr>
      <w:r>
        <w:rPr>
          <w:rFonts w:hint="eastAsia"/>
          <w:color w:val="auto"/>
          <w:szCs w:val="21"/>
          <w:highlight w:val="none"/>
        </w:rPr>
        <w:t>6.1.3谈判小组成员名单在成交结果确定前保密。</w:t>
      </w:r>
    </w:p>
    <w:p>
      <w:pPr>
        <w:spacing w:line="400" w:lineRule="exact"/>
        <w:rPr>
          <w:rFonts w:ascii="宋体" w:hAnsi="宋体"/>
          <w:b/>
          <w:color w:val="auto"/>
          <w:sz w:val="32"/>
          <w:szCs w:val="32"/>
          <w:highlight w:val="none"/>
        </w:rPr>
      </w:pPr>
      <w:bookmarkStart w:id="73" w:name="_Toc475552156"/>
      <w:bookmarkStart w:id="74" w:name="_Toc456551914"/>
      <w:r>
        <w:rPr>
          <w:rFonts w:hint="eastAsia" w:ascii="宋体" w:hAnsi="宋体"/>
          <w:b/>
          <w:color w:val="auto"/>
          <w:sz w:val="32"/>
          <w:szCs w:val="32"/>
          <w:highlight w:val="none"/>
        </w:rPr>
        <w:t>6.2 评审原则</w:t>
      </w:r>
      <w:bookmarkEnd w:id="73"/>
      <w:bookmarkEnd w:id="74"/>
    </w:p>
    <w:p>
      <w:pPr>
        <w:spacing w:line="400" w:lineRule="exact"/>
        <w:ind w:firstLine="420" w:firstLineChars="200"/>
        <w:rPr>
          <w:color w:val="auto"/>
          <w:highlight w:val="none"/>
        </w:rPr>
      </w:pPr>
      <w:r>
        <w:rPr>
          <w:rFonts w:hint="eastAsia"/>
          <w:color w:val="auto"/>
          <w:highlight w:val="none"/>
        </w:rPr>
        <w:t>6.2.1评审活动遵循公平、公正、科学和择优的原则。</w:t>
      </w:r>
    </w:p>
    <w:p>
      <w:pPr>
        <w:spacing w:line="400" w:lineRule="exact"/>
        <w:ind w:firstLine="420" w:firstLineChars="200"/>
        <w:rPr>
          <w:color w:val="auto"/>
          <w:highlight w:val="none"/>
        </w:rPr>
      </w:pPr>
      <w:r>
        <w:rPr>
          <w:rFonts w:hint="eastAsia"/>
          <w:color w:val="auto"/>
          <w:highlight w:val="none"/>
        </w:rPr>
        <w:t>6.2.2谈判小组按照第三章“评审办法”规定的方法、评审因素、标准和程序对响应文件进行评审。第三章“评审办法”没有规定的方法、评审因素和标准，不作为评审依据。</w:t>
      </w:r>
    </w:p>
    <w:p>
      <w:pPr>
        <w:spacing w:line="400" w:lineRule="exact"/>
        <w:rPr>
          <w:rFonts w:ascii="宋体" w:hAnsi="宋体"/>
          <w:b/>
          <w:color w:val="auto"/>
          <w:sz w:val="32"/>
          <w:szCs w:val="32"/>
          <w:highlight w:val="none"/>
        </w:rPr>
      </w:pPr>
      <w:bookmarkStart w:id="75" w:name="_Toc475552157"/>
      <w:bookmarkStart w:id="76" w:name="_Toc456551915"/>
      <w:r>
        <w:rPr>
          <w:rFonts w:hint="eastAsia" w:ascii="宋体" w:hAnsi="宋体"/>
          <w:b/>
          <w:color w:val="auto"/>
          <w:sz w:val="32"/>
          <w:szCs w:val="32"/>
          <w:highlight w:val="none"/>
        </w:rPr>
        <w:t>6.3 评审方法</w:t>
      </w:r>
      <w:bookmarkEnd w:id="75"/>
      <w:bookmarkEnd w:id="76"/>
    </w:p>
    <w:p>
      <w:pPr>
        <w:spacing w:line="400" w:lineRule="exact"/>
        <w:ind w:firstLine="420" w:firstLineChars="200"/>
        <w:rPr>
          <w:color w:val="auto"/>
          <w:szCs w:val="21"/>
          <w:highlight w:val="none"/>
        </w:rPr>
      </w:pPr>
      <w:r>
        <w:rPr>
          <w:rFonts w:hint="eastAsia"/>
          <w:color w:val="auto"/>
          <w:szCs w:val="21"/>
          <w:highlight w:val="none"/>
        </w:rPr>
        <w:t>6.3.1 竞争性谈判文件中详细载明评审方法作为本次评审所采用的评审方法。评审方法见竞争性谈判响应须知前附表。</w:t>
      </w:r>
    </w:p>
    <w:p>
      <w:pPr>
        <w:spacing w:line="400" w:lineRule="exact"/>
        <w:ind w:firstLine="420" w:firstLineChars="200"/>
        <w:rPr>
          <w:color w:val="auto"/>
          <w:szCs w:val="21"/>
          <w:highlight w:val="none"/>
        </w:rPr>
      </w:pPr>
      <w:r>
        <w:rPr>
          <w:rFonts w:hint="eastAsia"/>
          <w:color w:val="auto"/>
          <w:szCs w:val="21"/>
          <w:highlight w:val="none"/>
        </w:rPr>
        <w:t>6.3.2 法律、法规允许的其他评审方法。</w:t>
      </w:r>
    </w:p>
    <w:p>
      <w:pPr>
        <w:spacing w:line="400" w:lineRule="exact"/>
        <w:rPr>
          <w:rFonts w:ascii="宋体" w:hAnsi="宋体"/>
          <w:b/>
          <w:color w:val="auto"/>
          <w:sz w:val="32"/>
          <w:szCs w:val="32"/>
          <w:highlight w:val="none"/>
        </w:rPr>
      </w:pPr>
      <w:bookmarkStart w:id="77" w:name="_Toc456551916"/>
      <w:bookmarkStart w:id="78" w:name="_Toc475552158"/>
      <w:r>
        <w:rPr>
          <w:rFonts w:hint="eastAsia" w:ascii="宋体" w:hAnsi="宋体"/>
          <w:b/>
          <w:color w:val="auto"/>
          <w:sz w:val="32"/>
          <w:szCs w:val="32"/>
          <w:highlight w:val="none"/>
        </w:rPr>
        <w:t>6.4 推荐成交候选人原则</w:t>
      </w:r>
      <w:bookmarkEnd w:id="77"/>
      <w:bookmarkEnd w:id="78"/>
    </w:p>
    <w:p>
      <w:pPr>
        <w:spacing w:line="400" w:lineRule="exact"/>
        <w:ind w:firstLine="420" w:firstLineChars="200"/>
        <w:rPr>
          <w:color w:val="auto"/>
          <w:szCs w:val="21"/>
          <w:highlight w:val="none"/>
        </w:rPr>
      </w:pPr>
      <w:r>
        <w:rPr>
          <w:rFonts w:hint="eastAsia"/>
          <w:color w:val="auto"/>
          <w:szCs w:val="21"/>
          <w:highlight w:val="none"/>
        </w:rPr>
        <w:t>谈判小组应当根据竞争性谈判文件的规定推荐成交候选人，具体推荐原则见竞争性谈判响应须知前附表。</w:t>
      </w:r>
    </w:p>
    <w:p>
      <w:pPr>
        <w:spacing w:line="400" w:lineRule="exact"/>
        <w:rPr>
          <w:rFonts w:ascii="宋体" w:hAnsi="宋体"/>
          <w:b/>
          <w:color w:val="auto"/>
          <w:sz w:val="32"/>
          <w:szCs w:val="32"/>
          <w:highlight w:val="none"/>
        </w:rPr>
      </w:pPr>
      <w:bookmarkStart w:id="79" w:name="_Toc456551917"/>
      <w:bookmarkStart w:id="80" w:name="_Toc475552159"/>
      <w:r>
        <w:rPr>
          <w:rFonts w:hint="eastAsia" w:ascii="宋体" w:hAnsi="宋体"/>
          <w:b/>
          <w:color w:val="auto"/>
          <w:sz w:val="32"/>
          <w:szCs w:val="32"/>
          <w:highlight w:val="none"/>
        </w:rPr>
        <w:t>6.5 评审报告</w:t>
      </w:r>
      <w:bookmarkEnd w:id="79"/>
      <w:bookmarkEnd w:id="80"/>
    </w:p>
    <w:p>
      <w:pPr>
        <w:ind w:firstLine="420" w:firstLineChars="200"/>
        <w:rPr>
          <w:color w:val="auto"/>
          <w:highlight w:val="none"/>
        </w:rPr>
      </w:pPr>
      <w:r>
        <w:rPr>
          <w:rFonts w:hint="eastAsia"/>
          <w:bCs/>
          <w:color w:val="auto"/>
          <w:highlight w:val="none"/>
        </w:rPr>
        <w:t>评审完成后，谈判小组应当及时向采购人提交评审报告和成交候选人名单。</w:t>
      </w:r>
    </w:p>
    <w:p>
      <w:pPr>
        <w:pStyle w:val="3"/>
        <w:rPr>
          <w:color w:val="auto"/>
          <w:highlight w:val="none"/>
        </w:rPr>
      </w:pPr>
      <w:bookmarkStart w:id="81" w:name="_Toc456551918"/>
      <w:bookmarkStart w:id="82" w:name="_Toc21914"/>
      <w:r>
        <w:rPr>
          <w:rFonts w:hint="eastAsia"/>
          <w:color w:val="auto"/>
          <w:highlight w:val="none"/>
        </w:rPr>
        <w:t xml:space="preserve">7. </w:t>
      </w:r>
      <w:bookmarkEnd w:id="81"/>
      <w:r>
        <w:rPr>
          <w:rFonts w:hint="eastAsia"/>
          <w:color w:val="auto"/>
          <w:highlight w:val="none"/>
        </w:rPr>
        <w:t>成交</w:t>
      </w:r>
      <w:bookmarkEnd w:id="82"/>
    </w:p>
    <w:p>
      <w:pPr>
        <w:spacing w:line="400" w:lineRule="exact"/>
        <w:rPr>
          <w:rFonts w:ascii="宋体" w:hAnsi="宋体"/>
          <w:b/>
          <w:color w:val="auto"/>
          <w:sz w:val="32"/>
          <w:szCs w:val="32"/>
          <w:highlight w:val="none"/>
        </w:rPr>
      </w:pPr>
      <w:bookmarkStart w:id="83" w:name="_Toc456551919"/>
      <w:bookmarkStart w:id="84" w:name="_Toc475552161"/>
      <w:r>
        <w:rPr>
          <w:rFonts w:hint="eastAsia" w:ascii="宋体" w:hAnsi="宋体"/>
          <w:b/>
          <w:color w:val="auto"/>
          <w:sz w:val="32"/>
          <w:szCs w:val="32"/>
          <w:highlight w:val="none"/>
        </w:rPr>
        <w:t>7.1 成交候选人公示</w:t>
      </w:r>
      <w:bookmarkEnd w:id="83"/>
      <w:bookmarkEnd w:id="84"/>
    </w:p>
    <w:p>
      <w:pPr>
        <w:spacing w:line="400" w:lineRule="exact"/>
        <w:ind w:firstLine="420" w:firstLineChars="200"/>
        <w:rPr>
          <w:color w:val="auto"/>
          <w:szCs w:val="21"/>
          <w:highlight w:val="none"/>
        </w:rPr>
      </w:pPr>
      <w:bookmarkStart w:id="85" w:name="_Toc475552162"/>
      <w:bookmarkStart w:id="86" w:name="_Toc456551920"/>
      <w:r>
        <w:rPr>
          <w:color w:val="auto"/>
          <w:szCs w:val="21"/>
          <w:highlight w:val="none"/>
        </w:rPr>
        <w:t>7.1.1</w:t>
      </w:r>
      <w:r>
        <w:rPr>
          <w:rFonts w:hint="eastAsia"/>
          <w:color w:val="auto"/>
          <w:szCs w:val="21"/>
          <w:highlight w:val="none"/>
        </w:rPr>
        <w:t>进行公开竞争性谈判的项目，评审结果按照采购人内控管理规定确认后，在成交候选人公示发布的媒介公示全部成交候选人，公示期不得少于</w:t>
      </w:r>
      <w:r>
        <w:rPr>
          <w:color w:val="auto"/>
          <w:szCs w:val="21"/>
          <w:highlight w:val="none"/>
        </w:rPr>
        <w:t>3</w:t>
      </w:r>
      <w:r>
        <w:rPr>
          <w:rFonts w:hint="eastAsia"/>
          <w:color w:val="auto"/>
          <w:szCs w:val="21"/>
          <w:highlight w:val="none"/>
        </w:rPr>
        <w:t>日。</w:t>
      </w:r>
    </w:p>
    <w:p>
      <w:pPr>
        <w:spacing w:line="400" w:lineRule="exact"/>
        <w:ind w:firstLine="420" w:firstLineChars="200"/>
        <w:rPr>
          <w:color w:val="auto"/>
          <w:szCs w:val="21"/>
          <w:highlight w:val="none"/>
        </w:rPr>
      </w:pPr>
      <w:r>
        <w:rPr>
          <w:color w:val="auto"/>
          <w:szCs w:val="21"/>
          <w:highlight w:val="none"/>
        </w:rPr>
        <w:t>7.1.2</w:t>
      </w:r>
      <w:r>
        <w:rPr>
          <w:rFonts w:hint="eastAsia"/>
          <w:color w:val="auto"/>
          <w:szCs w:val="21"/>
          <w:highlight w:val="none"/>
        </w:rPr>
        <w:t>响应人或者其他利害关系人对项目的评审结果有异议的，应在成交候选人公示期间提出。</w:t>
      </w:r>
    </w:p>
    <w:p>
      <w:pPr>
        <w:spacing w:line="400" w:lineRule="exact"/>
        <w:rPr>
          <w:rFonts w:ascii="宋体" w:hAnsi="宋体"/>
          <w:b/>
          <w:color w:val="auto"/>
          <w:sz w:val="32"/>
          <w:szCs w:val="32"/>
          <w:highlight w:val="none"/>
        </w:rPr>
      </w:pPr>
      <w:r>
        <w:rPr>
          <w:rFonts w:hint="eastAsia" w:ascii="宋体" w:hAnsi="宋体"/>
          <w:b/>
          <w:color w:val="auto"/>
          <w:sz w:val="32"/>
          <w:szCs w:val="32"/>
          <w:highlight w:val="none"/>
        </w:rPr>
        <w:t>7.2资格后审（履约能力审查）</w:t>
      </w:r>
    </w:p>
    <w:p>
      <w:pPr>
        <w:spacing w:line="400" w:lineRule="exact"/>
        <w:ind w:firstLine="420" w:firstLineChars="200"/>
        <w:rPr>
          <w:color w:val="auto"/>
          <w:szCs w:val="21"/>
          <w:highlight w:val="none"/>
        </w:rPr>
      </w:pPr>
      <w:r>
        <w:rPr>
          <w:color w:val="auto"/>
          <w:szCs w:val="21"/>
          <w:highlight w:val="none"/>
        </w:rPr>
        <w:t>7.2</w:t>
      </w:r>
      <w:r>
        <w:rPr>
          <w:rFonts w:hint="eastAsia"/>
          <w:color w:val="auto"/>
          <w:szCs w:val="21"/>
          <w:highlight w:val="none"/>
        </w:rPr>
        <w:t>.1采购人有权根据竞争性谈判文件中的要求，对评委会推荐的成交候选人进行资格后审。</w:t>
      </w:r>
    </w:p>
    <w:p>
      <w:pPr>
        <w:spacing w:line="400" w:lineRule="exact"/>
        <w:ind w:firstLine="420" w:firstLineChars="200"/>
        <w:rPr>
          <w:color w:val="auto"/>
          <w:szCs w:val="21"/>
          <w:highlight w:val="none"/>
        </w:rPr>
      </w:pPr>
      <w:r>
        <w:rPr>
          <w:color w:val="auto"/>
          <w:szCs w:val="21"/>
          <w:highlight w:val="none"/>
        </w:rPr>
        <w:t>7.2</w:t>
      </w:r>
      <w:r>
        <w:rPr>
          <w:rFonts w:hint="eastAsia"/>
          <w:color w:val="auto"/>
          <w:szCs w:val="21"/>
          <w:highlight w:val="none"/>
        </w:rPr>
        <w:t>.2成交候选人须无条件配合资格后审，否则采购人有权取消中标资格，且谈判保证金可不予退还。</w:t>
      </w:r>
    </w:p>
    <w:p>
      <w:pPr>
        <w:spacing w:line="400" w:lineRule="exact"/>
        <w:ind w:firstLine="420" w:firstLineChars="200"/>
        <w:rPr>
          <w:color w:val="auto"/>
          <w:szCs w:val="21"/>
          <w:highlight w:val="none"/>
        </w:rPr>
      </w:pPr>
      <w:r>
        <w:rPr>
          <w:color w:val="auto"/>
          <w:szCs w:val="21"/>
          <w:highlight w:val="none"/>
        </w:rPr>
        <w:t>7.2</w:t>
      </w:r>
      <w:r>
        <w:rPr>
          <w:rFonts w:hint="eastAsia"/>
          <w:color w:val="auto"/>
          <w:szCs w:val="21"/>
          <w:highlight w:val="none"/>
        </w:rPr>
        <w:t>.3资格后审须提供包括但不限于营业执照、税务登记证和在响应文件中提供的资质证明文件、合同等重要证明文件的原件进行核对，综合考察成交人的履约能力。如采购人要求还须提供业绩证明的其他材料,成交候选人须配合提供。如授权其分支机构进行项目实施或提供售后服务的，亦应提供其与分支机构关系的法律证明材料。</w:t>
      </w:r>
    </w:p>
    <w:p>
      <w:pPr>
        <w:spacing w:line="400" w:lineRule="exact"/>
        <w:ind w:firstLine="420" w:firstLineChars="200"/>
        <w:rPr>
          <w:color w:val="auto"/>
          <w:szCs w:val="21"/>
          <w:highlight w:val="none"/>
        </w:rPr>
      </w:pPr>
      <w:r>
        <w:rPr>
          <w:color w:val="auto"/>
          <w:szCs w:val="21"/>
          <w:highlight w:val="none"/>
        </w:rPr>
        <w:t>7.2</w:t>
      </w:r>
      <w:r>
        <w:rPr>
          <w:rFonts w:hint="eastAsia"/>
          <w:color w:val="auto"/>
          <w:szCs w:val="21"/>
          <w:highlight w:val="none"/>
        </w:rPr>
        <w:t>.4如发现响应人以他人名义谈判或者以其他方式弄虚作假，骗取成交的，采购人有权取消其成交资格，且谈判保证金可不予退还；给采购人造成损失的，应依法承担赔偿责任。</w:t>
      </w:r>
    </w:p>
    <w:p>
      <w:pPr>
        <w:spacing w:line="400" w:lineRule="exact"/>
        <w:ind w:firstLine="420" w:firstLineChars="200"/>
        <w:rPr>
          <w:color w:val="auto"/>
          <w:szCs w:val="21"/>
          <w:highlight w:val="none"/>
        </w:rPr>
      </w:pPr>
      <w:r>
        <w:rPr>
          <w:color w:val="auto"/>
          <w:szCs w:val="21"/>
          <w:highlight w:val="none"/>
        </w:rPr>
        <w:t>7.2</w:t>
      </w:r>
      <w:r>
        <w:rPr>
          <w:rFonts w:hint="eastAsia"/>
          <w:color w:val="auto"/>
          <w:szCs w:val="21"/>
          <w:highlight w:val="none"/>
        </w:rPr>
        <w:t>.5如果审查通过，采购人将把合同授予该成交人；如果审查没有通过，采购人有权取消其成交资格，且谈判保证金可不予退还，并依次审查下一名成交候选人是否具备履行合同的能力或重新采购。</w:t>
      </w:r>
    </w:p>
    <w:p>
      <w:pPr>
        <w:spacing w:line="400" w:lineRule="exact"/>
        <w:rPr>
          <w:rFonts w:ascii="宋体" w:hAnsi="宋体"/>
          <w:b/>
          <w:color w:val="auto"/>
          <w:sz w:val="32"/>
          <w:szCs w:val="32"/>
          <w:highlight w:val="none"/>
        </w:rPr>
      </w:pPr>
      <w:r>
        <w:rPr>
          <w:rFonts w:hint="eastAsia" w:ascii="宋体" w:hAnsi="宋体"/>
          <w:b/>
          <w:color w:val="auto"/>
          <w:sz w:val="32"/>
          <w:szCs w:val="32"/>
          <w:highlight w:val="none"/>
        </w:rPr>
        <w:t>7.3确定成交人</w:t>
      </w:r>
      <w:bookmarkEnd w:id="85"/>
      <w:bookmarkEnd w:id="86"/>
    </w:p>
    <w:p>
      <w:pPr>
        <w:spacing w:line="400" w:lineRule="exact"/>
        <w:ind w:firstLine="420" w:firstLineChars="200"/>
        <w:rPr>
          <w:color w:val="auto"/>
          <w:szCs w:val="21"/>
          <w:highlight w:val="none"/>
        </w:rPr>
      </w:pPr>
      <w:r>
        <w:rPr>
          <w:rFonts w:hint="eastAsia"/>
          <w:color w:val="auto"/>
          <w:szCs w:val="21"/>
          <w:highlight w:val="none"/>
        </w:rPr>
        <w:t>7.3.1除竞争性谈判响应须知前附表规定谈判小组直接确定成交人外，采购人依据谈判小组推荐的成交候选人确定成交人，成交人数量见竞争性谈判响应须知前附表。</w:t>
      </w:r>
    </w:p>
    <w:p>
      <w:pPr>
        <w:spacing w:line="400" w:lineRule="exact"/>
        <w:ind w:firstLine="420" w:firstLineChars="200"/>
        <w:rPr>
          <w:color w:val="auto"/>
          <w:szCs w:val="21"/>
          <w:highlight w:val="none"/>
        </w:rPr>
      </w:pPr>
      <w:r>
        <w:rPr>
          <w:rFonts w:hint="eastAsia"/>
          <w:color w:val="auto"/>
          <w:szCs w:val="21"/>
          <w:highlight w:val="none"/>
        </w:rPr>
        <w:t>7.3.2</w:t>
      </w:r>
      <w:r>
        <w:rPr>
          <w:color w:val="auto"/>
          <w:szCs w:val="21"/>
          <w:highlight w:val="none"/>
        </w:rPr>
        <w:t>采购人</w:t>
      </w:r>
      <w:r>
        <w:rPr>
          <w:rFonts w:hint="eastAsia"/>
          <w:color w:val="auto"/>
          <w:szCs w:val="21"/>
          <w:highlight w:val="none"/>
        </w:rPr>
        <w:t>根据谈判小组推荐的</w:t>
      </w:r>
      <w:r>
        <w:rPr>
          <w:color w:val="auto"/>
          <w:szCs w:val="21"/>
          <w:highlight w:val="none"/>
        </w:rPr>
        <w:t>成交候选人</w:t>
      </w:r>
      <w:r>
        <w:rPr>
          <w:rFonts w:hint="eastAsia"/>
          <w:color w:val="auto"/>
          <w:szCs w:val="21"/>
          <w:highlight w:val="none"/>
        </w:rPr>
        <w:t>名单排序</w:t>
      </w:r>
      <w:r>
        <w:rPr>
          <w:color w:val="auto"/>
          <w:szCs w:val="21"/>
          <w:highlight w:val="none"/>
        </w:rPr>
        <w:t>依次确定成交人，</w:t>
      </w:r>
      <w:r>
        <w:rPr>
          <w:rFonts w:hint="eastAsia"/>
          <w:color w:val="auto"/>
          <w:szCs w:val="21"/>
          <w:highlight w:val="none"/>
        </w:rPr>
        <w:t>具体成交原则见竞争性谈判响应须知前附表。</w:t>
      </w:r>
    </w:p>
    <w:p>
      <w:pPr>
        <w:spacing w:line="400" w:lineRule="exact"/>
        <w:ind w:firstLine="420" w:firstLineChars="200"/>
        <w:rPr>
          <w:color w:val="auto"/>
          <w:szCs w:val="21"/>
          <w:highlight w:val="none"/>
        </w:rPr>
      </w:pPr>
      <w:r>
        <w:rPr>
          <w:rFonts w:hint="eastAsia"/>
          <w:color w:val="auto"/>
          <w:szCs w:val="21"/>
          <w:highlight w:val="none"/>
        </w:rPr>
        <w:t>7.3.3在签订合同之前，</w:t>
      </w:r>
      <w:r>
        <w:rPr>
          <w:color w:val="auto"/>
          <w:szCs w:val="21"/>
          <w:highlight w:val="none"/>
        </w:rPr>
        <w:t>成交人</w:t>
      </w:r>
      <w:r>
        <w:rPr>
          <w:rFonts w:hint="eastAsia"/>
          <w:color w:val="auto"/>
          <w:szCs w:val="21"/>
          <w:highlight w:val="none"/>
        </w:rPr>
        <w:t>放弃成交或者</w:t>
      </w:r>
      <w:r>
        <w:rPr>
          <w:color w:val="auto"/>
          <w:szCs w:val="21"/>
          <w:highlight w:val="none"/>
        </w:rPr>
        <w:t>不能履行合同的，采购人可以按照谈判小组提出的成交候选人名单排序依次确定其他成交候选人为成交人，也可以</w:t>
      </w:r>
      <w:r>
        <w:rPr>
          <w:rFonts w:hint="eastAsia"/>
          <w:color w:val="auto"/>
          <w:szCs w:val="21"/>
          <w:highlight w:val="none"/>
        </w:rPr>
        <w:t>重新竞争性谈判。</w:t>
      </w:r>
    </w:p>
    <w:p>
      <w:pPr>
        <w:spacing w:line="400" w:lineRule="exact"/>
        <w:rPr>
          <w:rFonts w:ascii="宋体" w:hAnsi="宋体"/>
          <w:b/>
          <w:color w:val="auto"/>
          <w:sz w:val="32"/>
          <w:szCs w:val="32"/>
          <w:highlight w:val="none"/>
        </w:rPr>
      </w:pPr>
      <w:bookmarkStart w:id="87" w:name="_Toc475552163"/>
      <w:bookmarkStart w:id="88" w:name="_Toc456551921"/>
      <w:r>
        <w:rPr>
          <w:rFonts w:hint="eastAsia" w:ascii="宋体" w:hAnsi="宋体"/>
          <w:b/>
          <w:color w:val="auto"/>
          <w:sz w:val="32"/>
          <w:szCs w:val="32"/>
          <w:highlight w:val="none"/>
        </w:rPr>
        <w:t>7.4 成交通知</w:t>
      </w:r>
      <w:bookmarkEnd w:id="87"/>
      <w:bookmarkEnd w:id="88"/>
    </w:p>
    <w:p>
      <w:pPr>
        <w:spacing w:line="400" w:lineRule="exact"/>
        <w:ind w:firstLine="420" w:firstLineChars="200"/>
        <w:rPr>
          <w:color w:val="auto"/>
          <w:szCs w:val="21"/>
          <w:highlight w:val="none"/>
        </w:rPr>
      </w:pPr>
      <w:r>
        <w:rPr>
          <w:rFonts w:hint="eastAsia"/>
          <w:color w:val="auto"/>
          <w:szCs w:val="21"/>
          <w:highlight w:val="none"/>
        </w:rPr>
        <w:t>7.4.1</w:t>
      </w:r>
      <w:r>
        <w:rPr>
          <w:color w:val="auto"/>
          <w:szCs w:val="21"/>
          <w:highlight w:val="none"/>
        </w:rPr>
        <w:t>在成交通知书发出前</w:t>
      </w:r>
      <w:r>
        <w:rPr>
          <w:rFonts w:hint="eastAsia"/>
          <w:color w:val="auto"/>
          <w:szCs w:val="21"/>
          <w:highlight w:val="none"/>
        </w:rPr>
        <w:t>，</w:t>
      </w:r>
      <w:r>
        <w:rPr>
          <w:color w:val="auto"/>
          <w:szCs w:val="21"/>
          <w:highlight w:val="none"/>
        </w:rPr>
        <w:t>成交候选人的经营、财务状况发生较大变化或者存在违法行为，可能影响其履约能力的，成交候选人应</w:t>
      </w:r>
      <w:r>
        <w:rPr>
          <w:rFonts w:hint="eastAsia"/>
          <w:color w:val="auto"/>
          <w:szCs w:val="21"/>
          <w:highlight w:val="none"/>
        </w:rPr>
        <w:t>当主动告知采购人</w:t>
      </w:r>
      <w:r>
        <w:rPr>
          <w:color w:val="auto"/>
          <w:szCs w:val="21"/>
          <w:highlight w:val="none"/>
        </w:rPr>
        <w:t>。</w:t>
      </w:r>
    </w:p>
    <w:p>
      <w:pPr>
        <w:spacing w:line="400" w:lineRule="exact"/>
        <w:ind w:firstLine="420" w:firstLineChars="200"/>
        <w:rPr>
          <w:color w:val="auto"/>
          <w:szCs w:val="21"/>
          <w:highlight w:val="none"/>
        </w:rPr>
      </w:pPr>
      <w:r>
        <w:rPr>
          <w:rFonts w:hint="eastAsia"/>
          <w:color w:val="auto"/>
          <w:szCs w:val="21"/>
          <w:highlight w:val="none"/>
        </w:rPr>
        <w:t>7.4.2成交人确定后，采购人应当自行或委托采购代理机构向成交人发出成交通知书，同时通知未成交人。</w:t>
      </w:r>
    </w:p>
    <w:p>
      <w:pPr>
        <w:spacing w:line="400" w:lineRule="exact"/>
        <w:ind w:firstLine="420" w:firstLineChars="200"/>
        <w:rPr>
          <w:color w:val="auto"/>
          <w:szCs w:val="21"/>
          <w:highlight w:val="none"/>
        </w:rPr>
      </w:pPr>
      <w:r>
        <w:rPr>
          <w:rFonts w:hint="eastAsia"/>
          <w:color w:val="auto"/>
          <w:szCs w:val="21"/>
          <w:highlight w:val="none"/>
        </w:rPr>
        <w:t>7.4.3成交通知书是竞争性谈判档案和合同的组成部分。</w:t>
      </w:r>
    </w:p>
    <w:p>
      <w:pPr>
        <w:spacing w:line="400" w:lineRule="exact"/>
        <w:ind w:firstLine="420" w:firstLineChars="200"/>
        <w:rPr>
          <w:color w:val="auto"/>
          <w:szCs w:val="21"/>
          <w:highlight w:val="none"/>
        </w:rPr>
      </w:pPr>
      <w:r>
        <w:rPr>
          <w:rFonts w:hint="eastAsia"/>
          <w:color w:val="auto"/>
          <w:szCs w:val="21"/>
          <w:highlight w:val="none"/>
        </w:rPr>
        <w:t>7.4.4成交通知书对采购人和成交人具有法律约束力。成交通知书发出后，采购人改变成交结果或者成交人放弃成交的，应当承担法律责任。</w:t>
      </w:r>
    </w:p>
    <w:p>
      <w:pPr>
        <w:pStyle w:val="3"/>
        <w:rPr>
          <w:color w:val="auto"/>
          <w:highlight w:val="none"/>
        </w:rPr>
      </w:pPr>
      <w:bookmarkStart w:id="89" w:name="_Toc456551922"/>
      <w:bookmarkStart w:id="90" w:name="_Toc20220"/>
      <w:r>
        <w:rPr>
          <w:rFonts w:hint="eastAsia"/>
          <w:color w:val="auto"/>
          <w:highlight w:val="none"/>
        </w:rPr>
        <w:t>8.合同签订</w:t>
      </w:r>
      <w:bookmarkEnd w:id="89"/>
      <w:bookmarkEnd w:id="90"/>
    </w:p>
    <w:p>
      <w:pPr>
        <w:spacing w:line="400" w:lineRule="exact"/>
        <w:rPr>
          <w:rFonts w:ascii="宋体" w:hAnsi="宋体"/>
          <w:b/>
          <w:color w:val="auto"/>
          <w:sz w:val="32"/>
          <w:szCs w:val="32"/>
          <w:highlight w:val="none"/>
        </w:rPr>
      </w:pPr>
      <w:bookmarkStart w:id="91" w:name="_Toc456551923"/>
      <w:bookmarkStart w:id="92" w:name="_Toc475552165"/>
      <w:r>
        <w:rPr>
          <w:rFonts w:hint="eastAsia" w:ascii="宋体" w:hAnsi="宋体"/>
          <w:b/>
          <w:color w:val="auto"/>
          <w:sz w:val="32"/>
          <w:szCs w:val="32"/>
          <w:highlight w:val="none"/>
        </w:rPr>
        <w:t>8.1 履约担保</w:t>
      </w:r>
      <w:bookmarkEnd w:id="91"/>
      <w:bookmarkEnd w:id="92"/>
    </w:p>
    <w:p>
      <w:pPr>
        <w:spacing w:line="400" w:lineRule="exact"/>
        <w:ind w:firstLine="420" w:firstLineChars="200"/>
        <w:rPr>
          <w:color w:val="auto"/>
          <w:szCs w:val="21"/>
          <w:highlight w:val="none"/>
        </w:rPr>
      </w:pPr>
      <w:r>
        <w:rPr>
          <w:rFonts w:hint="eastAsia"/>
          <w:color w:val="auto"/>
          <w:szCs w:val="21"/>
          <w:highlight w:val="none"/>
        </w:rPr>
        <w:t>8.1.1在签订合同前，成交人应当按照“竞争性谈判响应须知前附表”中规定的履约担保金额和方式向采购人提交履约担保。</w:t>
      </w:r>
    </w:p>
    <w:p>
      <w:pPr>
        <w:spacing w:line="400" w:lineRule="exact"/>
        <w:ind w:firstLine="420" w:firstLineChars="200"/>
        <w:rPr>
          <w:color w:val="auto"/>
          <w:szCs w:val="21"/>
          <w:highlight w:val="none"/>
        </w:rPr>
      </w:pPr>
      <w:r>
        <w:rPr>
          <w:rFonts w:hint="eastAsia"/>
          <w:color w:val="auto"/>
          <w:szCs w:val="21"/>
          <w:highlight w:val="none"/>
        </w:rPr>
        <w:t>8.1.2 成交人不能按照竞争性谈判文件要求提交履约担保的，视为放弃成交，其竞争性谈判保证金不予退还，给采购人造成的损失超过竞争性谈判保证金数额的，成交人还应当对超过部分予以赔偿。</w:t>
      </w:r>
    </w:p>
    <w:p>
      <w:pPr>
        <w:spacing w:line="400" w:lineRule="exact"/>
        <w:rPr>
          <w:rFonts w:ascii="宋体" w:hAnsi="宋体"/>
          <w:b/>
          <w:color w:val="auto"/>
          <w:sz w:val="32"/>
          <w:szCs w:val="32"/>
          <w:highlight w:val="none"/>
        </w:rPr>
      </w:pPr>
      <w:bookmarkStart w:id="93" w:name="_Toc456551924"/>
      <w:bookmarkStart w:id="94" w:name="_Toc475552166"/>
      <w:r>
        <w:rPr>
          <w:rFonts w:hint="eastAsia" w:ascii="宋体" w:hAnsi="宋体"/>
          <w:b/>
          <w:color w:val="auto"/>
          <w:sz w:val="32"/>
          <w:szCs w:val="32"/>
          <w:highlight w:val="none"/>
        </w:rPr>
        <w:t>8.2合同签订</w:t>
      </w:r>
      <w:bookmarkEnd w:id="93"/>
      <w:bookmarkEnd w:id="94"/>
    </w:p>
    <w:p>
      <w:pPr>
        <w:spacing w:line="400" w:lineRule="exact"/>
        <w:ind w:firstLine="420" w:firstLineChars="200"/>
        <w:rPr>
          <w:color w:val="auto"/>
          <w:szCs w:val="21"/>
          <w:highlight w:val="none"/>
        </w:rPr>
      </w:pPr>
      <w:r>
        <w:rPr>
          <w:rFonts w:hint="eastAsia"/>
          <w:color w:val="auto"/>
          <w:szCs w:val="21"/>
          <w:highlight w:val="none"/>
        </w:rPr>
        <w:t>8.2.1采购人和成交人应当自成交通知书发出之日起30日内，根据竞争性谈判文件和成交人的响应文件订立书面合同。</w:t>
      </w:r>
      <w:r>
        <w:rPr>
          <w:color w:val="auto"/>
          <w:szCs w:val="21"/>
          <w:highlight w:val="none"/>
        </w:rPr>
        <w:t>采购人和成交人不得再行订立背离合同实质性内容的其他协议。</w:t>
      </w:r>
    </w:p>
    <w:p>
      <w:pPr>
        <w:spacing w:line="400" w:lineRule="exact"/>
        <w:ind w:firstLine="420" w:firstLineChars="200"/>
        <w:rPr>
          <w:color w:val="auto"/>
          <w:szCs w:val="21"/>
          <w:highlight w:val="none"/>
        </w:rPr>
      </w:pPr>
      <w:r>
        <w:rPr>
          <w:rFonts w:hint="eastAsia"/>
          <w:color w:val="auto"/>
          <w:szCs w:val="21"/>
          <w:highlight w:val="none"/>
        </w:rPr>
        <w:t>8.2.2成交人无正当理由拒签合同的，采购人取消其成交资格，其竞争性谈判保证金不予退还；给采购人造成的损失超过竞争性谈判保证金数额的，成交人还应当对超过部分予以赔偿。</w:t>
      </w:r>
    </w:p>
    <w:p>
      <w:pPr>
        <w:spacing w:line="400" w:lineRule="exact"/>
        <w:ind w:firstLine="420" w:firstLineChars="200"/>
        <w:rPr>
          <w:color w:val="auto"/>
          <w:szCs w:val="21"/>
          <w:highlight w:val="none"/>
        </w:rPr>
      </w:pPr>
    </w:p>
    <w:p>
      <w:pPr>
        <w:pStyle w:val="3"/>
        <w:spacing w:before="240" w:after="120"/>
        <w:rPr>
          <w:color w:val="auto"/>
          <w:highlight w:val="none"/>
        </w:rPr>
      </w:pPr>
      <w:bookmarkStart w:id="95" w:name="_Toc456551926"/>
      <w:bookmarkStart w:id="96" w:name="_Toc1814"/>
      <w:r>
        <w:rPr>
          <w:rFonts w:hint="eastAsia"/>
          <w:color w:val="auto"/>
          <w:highlight w:val="none"/>
        </w:rPr>
        <w:t>9.采购代理服务费</w:t>
      </w:r>
      <w:bookmarkEnd w:id="95"/>
      <w:bookmarkEnd w:id="96"/>
    </w:p>
    <w:p>
      <w:pPr>
        <w:spacing w:line="400" w:lineRule="exact"/>
        <w:ind w:firstLine="420" w:firstLineChars="200"/>
        <w:rPr>
          <w:color w:val="auto"/>
          <w:szCs w:val="21"/>
          <w:highlight w:val="none"/>
        </w:rPr>
      </w:pPr>
      <w:r>
        <w:rPr>
          <w:rFonts w:hint="eastAsia"/>
          <w:color w:val="auto"/>
          <w:szCs w:val="21"/>
          <w:highlight w:val="none"/>
        </w:rPr>
        <w:t>采购代理服务费的金额、形式及交纳时限见竞争性谈判响应须知前附表。</w:t>
      </w:r>
    </w:p>
    <w:p>
      <w:pPr>
        <w:pStyle w:val="3"/>
        <w:rPr>
          <w:color w:val="auto"/>
          <w:highlight w:val="none"/>
        </w:rPr>
      </w:pPr>
      <w:bookmarkStart w:id="97" w:name="_Toc456551927"/>
      <w:bookmarkStart w:id="98" w:name="_Toc19131"/>
      <w:r>
        <w:rPr>
          <w:rFonts w:hint="eastAsia"/>
          <w:color w:val="auto"/>
          <w:highlight w:val="none"/>
        </w:rPr>
        <w:t>10. 纪律和监督</w:t>
      </w:r>
      <w:bookmarkEnd w:id="97"/>
      <w:bookmarkEnd w:id="98"/>
    </w:p>
    <w:p>
      <w:pPr>
        <w:spacing w:line="400" w:lineRule="exact"/>
        <w:rPr>
          <w:rFonts w:ascii="宋体" w:hAnsi="宋体"/>
          <w:b/>
          <w:color w:val="auto"/>
          <w:sz w:val="32"/>
          <w:szCs w:val="32"/>
          <w:highlight w:val="none"/>
        </w:rPr>
      </w:pPr>
      <w:bookmarkStart w:id="99" w:name="_Toc475552169"/>
      <w:bookmarkStart w:id="100" w:name="_Toc456551928"/>
      <w:r>
        <w:rPr>
          <w:rFonts w:hint="eastAsia" w:ascii="宋体" w:hAnsi="宋体"/>
          <w:b/>
          <w:color w:val="auto"/>
          <w:sz w:val="32"/>
          <w:szCs w:val="32"/>
          <w:highlight w:val="none"/>
        </w:rPr>
        <w:t>10.1 对采购人的纪律要求</w:t>
      </w:r>
      <w:bookmarkEnd w:id="99"/>
      <w:bookmarkEnd w:id="100"/>
    </w:p>
    <w:p>
      <w:pPr>
        <w:spacing w:line="400" w:lineRule="exact"/>
        <w:ind w:firstLine="420" w:firstLineChars="200"/>
        <w:rPr>
          <w:color w:val="auto"/>
          <w:szCs w:val="21"/>
          <w:highlight w:val="none"/>
        </w:rPr>
      </w:pPr>
      <w:r>
        <w:rPr>
          <w:rFonts w:hint="eastAsia"/>
          <w:color w:val="auto"/>
          <w:szCs w:val="21"/>
          <w:highlight w:val="none"/>
        </w:rPr>
        <w:t>采购人不得泄漏竞争性谈判活动中应当保密的情况和资料，不得与响应人串通损害国家利益、社会公共利益或者他人合法权益。</w:t>
      </w:r>
    </w:p>
    <w:p>
      <w:pPr>
        <w:spacing w:line="400" w:lineRule="exact"/>
        <w:rPr>
          <w:rFonts w:ascii="宋体" w:hAnsi="宋体"/>
          <w:b/>
          <w:color w:val="auto"/>
          <w:sz w:val="32"/>
          <w:szCs w:val="32"/>
          <w:highlight w:val="none"/>
        </w:rPr>
      </w:pPr>
      <w:bookmarkStart w:id="101" w:name="_Toc456551929"/>
      <w:bookmarkStart w:id="102" w:name="_Toc475552170"/>
      <w:r>
        <w:rPr>
          <w:rFonts w:hint="eastAsia" w:ascii="宋体" w:hAnsi="宋体"/>
          <w:b/>
          <w:color w:val="auto"/>
          <w:sz w:val="32"/>
          <w:szCs w:val="32"/>
          <w:highlight w:val="none"/>
        </w:rPr>
        <w:t>10.2 对响应人的纪律要求</w:t>
      </w:r>
      <w:bookmarkEnd w:id="101"/>
      <w:bookmarkEnd w:id="102"/>
    </w:p>
    <w:p>
      <w:pPr>
        <w:spacing w:line="400" w:lineRule="exact"/>
        <w:ind w:firstLine="420" w:firstLineChars="200"/>
        <w:rPr>
          <w:color w:val="auto"/>
          <w:szCs w:val="21"/>
          <w:highlight w:val="none"/>
        </w:rPr>
      </w:pPr>
      <w:r>
        <w:rPr>
          <w:rFonts w:hint="eastAsia"/>
          <w:color w:val="auto"/>
          <w:szCs w:val="21"/>
          <w:highlight w:val="none"/>
        </w:rPr>
        <w:t>响应人不得相互串通竞争性谈判或者与采购人串通竞争性谈判，不得向采购人或者谈判小组成员行贿谋取成交，不得以他人名义竞争性谈判或者以其他方式弄虚作假骗取成交；响应人不得以任何方式干扰、影响评审工作。</w:t>
      </w:r>
    </w:p>
    <w:p>
      <w:pPr>
        <w:spacing w:line="400" w:lineRule="exact"/>
        <w:rPr>
          <w:rFonts w:ascii="宋体" w:hAnsi="宋体"/>
          <w:b/>
          <w:color w:val="auto"/>
          <w:sz w:val="32"/>
          <w:szCs w:val="32"/>
          <w:highlight w:val="none"/>
        </w:rPr>
      </w:pPr>
      <w:bookmarkStart w:id="103" w:name="_Toc456551930"/>
      <w:bookmarkStart w:id="104" w:name="_Toc475552171"/>
      <w:r>
        <w:rPr>
          <w:rFonts w:hint="eastAsia" w:ascii="宋体" w:hAnsi="宋体"/>
          <w:b/>
          <w:color w:val="auto"/>
          <w:sz w:val="32"/>
          <w:szCs w:val="32"/>
          <w:highlight w:val="none"/>
        </w:rPr>
        <w:t>10.3 对谈判小组成员的纪律要求</w:t>
      </w:r>
      <w:bookmarkEnd w:id="103"/>
      <w:bookmarkEnd w:id="104"/>
    </w:p>
    <w:p>
      <w:pPr>
        <w:spacing w:line="400" w:lineRule="exact"/>
        <w:ind w:firstLine="420" w:firstLineChars="200"/>
        <w:rPr>
          <w:color w:val="auto"/>
          <w:szCs w:val="21"/>
          <w:highlight w:val="none"/>
        </w:rPr>
      </w:pPr>
      <w:r>
        <w:rPr>
          <w:rFonts w:hint="eastAsia"/>
          <w:color w:val="auto"/>
          <w:szCs w:val="21"/>
          <w:highlight w:val="none"/>
        </w:rPr>
        <w:t>谈判小组成员不得收受他人的财物或者其他好处，不得向他人透漏对响应文件的评审和比较、成交候选人的推荐情况以及评审有关的其他情况。在评审活动中，谈判小组成员应当客观、公正地履行职责，遵守职业道德，不得擅离职守，影响评审程序正常进行，不得使用第三章“评审办法”没有规定的评审因素和标准进行评审。</w:t>
      </w:r>
    </w:p>
    <w:p>
      <w:pPr>
        <w:spacing w:line="400" w:lineRule="exact"/>
        <w:rPr>
          <w:rFonts w:ascii="宋体" w:hAnsi="宋体"/>
          <w:b/>
          <w:color w:val="auto"/>
          <w:sz w:val="32"/>
          <w:szCs w:val="32"/>
          <w:highlight w:val="none"/>
        </w:rPr>
      </w:pPr>
      <w:bookmarkStart w:id="105" w:name="_Toc475552172"/>
      <w:bookmarkStart w:id="106" w:name="_Toc456551931"/>
      <w:r>
        <w:rPr>
          <w:rFonts w:hint="eastAsia" w:ascii="宋体" w:hAnsi="宋体"/>
          <w:b/>
          <w:color w:val="auto"/>
          <w:sz w:val="32"/>
          <w:szCs w:val="32"/>
          <w:highlight w:val="none"/>
        </w:rPr>
        <w:t>10.4 对与评审活动有关的工作人员的纪律要求</w:t>
      </w:r>
      <w:bookmarkEnd w:id="105"/>
      <w:bookmarkEnd w:id="106"/>
    </w:p>
    <w:p>
      <w:pPr>
        <w:spacing w:line="400" w:lineRule="exact"/>
        <w:ind w:firstLine="420" w:firstLineChars="200"/>
        <w:rPr>
          <w:color w:val="auto"/>
          <w:szCs w:val="21"/>
          <w:highlight w:val="none"/>
        </w:rPr>
      </w:pPr>
      <w:r>
        <w:rPr>
          <w:rFonts w:hint="eastAsia"/>
          <w:color w:val="auto"/>
          <w:szCs w:val="21"/>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pPr>
        <w:spacing w:line="400" w:lineRule="exact"/>
        <w:rPr>
          <w:rFonts w:ascii="宋体" w:hAnsi="宋体"/>
          <w:b/>
          <w:color w:val="auto"/>
          <w:sz w:val="32"/>
          <w:szCs w:val="32"/>
          <w:highlight w:val="none"/>
        </w:rPr>
      </w:pPr>
      <w:r>
        <w:rPr>
          <w:rFonts w:hint="eastAsia" w:ascii="宋体" w:hAnsi="宋体"/>
          <w:b/>
          <w:color w:val="auto"/>
          <w:sz w:val="32"/>
          <w:szCs w:val="32"/>
          <w:highlight w:val="none"/>
        </w:rPr>
        <w:t>10.5 采购监督小组</w:t>
      </w:r>
    </w:p>
    <w:p>
      <w:pPr>
        <w:spacing w:line="400" w:lineRule="exact"/>
        <w:ind w:firstLine="420" w:firstLineChars="200"/>
        <w:rPr>
          <w:color w:val="auto"/>
          <w:szCs w:val="21"/>
          <w:highlight w:val="none"/>
        </w:rPr>
      </w:pPr>
      <w:r>
        <w:rPr>
          <w:color w:val="auto"/>
          <w:szCs w:val="21"/>
          <w:highlight w:val="none"/>
        </w:rPr>
        <w:t>10.5.</w:t>
      </w:r>
      <w:r>
        <w:rPr>
          <w:rFonts w:hint="eastAsia"/>
          <w:color w:val="auto"/>
          <w:szCs w:val="21"/>
          <w:highlight w:val="none"/>
        </w:rPr>
        <w:t>1采购人应当组建采购监督小组对竞争性谈判过程进行监督，及时指出、制止违反程序及纪律的行为，但不得就资格审查或者评标涉及的实质内容发表意见或者参与资格审查委员会、谈判小组的讨论。</w:t>
      </w:r>
    </w:p>
    <w:p>
      <w:pPr>
        <w:spacing w:line="400" w:lineRule="exact"/>
        <w:ind w:firstLine="420" w:firstLineChars="200"/>
        <w:rPr>
          <w:color w:val="auto"/>
          <w:szCs w:val="21"/>
          <w:highlight w:val="none"/>
        </w:rPr>
      </w:pPr>
      <w:r>
        <w:rPr>
          <w:color w:val="auto"/>
          <w:szCs w:val="21"/>
          <w:highlight w:val="none"/>
        </w:rPr>
        <w:t>10.5.</w:t>
      </w:r>
      <w:r>
        <w:rPr>
          <w:rFonts w:hint="eastAsia"/>
          <w:color w:val="auto"/>
          <w:szCs w:val="21"/>
          <w:highlight w:val="none"/>
        </w:rPr>
        <w:t>2特殊情况导致开标、评标无法继续进行的、相关人员存在违反程序及纪律的行为被指出后仍拒绝纠正的、发现竞争性谈判活动存在其他违反相关规定行为的，采购监督小组应当及时报告监督部门。</w:t>
      </w:r>
    </w:p>
    <w:p>
      <w:pPr>
        <w:spacing w:line="400" w:lineRule="exact"/>
        <w:ind w:firstLine="420" w:firstLineChars="200"/>
        <w:rPr>
          <w:color w:val="auto"/>
          <w:szCs w:val="21"/>
          <w:highlight w:val="none"/>
        </w:rPr>
      </w:pPr>
      <w:r>
        <w:rPr>
          <w:color w:val="auto"/>
          <w:szCs w:val="21"/>
          <w:highlight w:val="none"/>
        </w:rPr>
        <w:t>10.5.</w:t>
      </w:r>
      <w:r>
        <w:rPr>
          <w:rFonts w:hint="eastAsia"/>
          <w:color w:val="auto"/>
          <w:szCs w:val="21"/>
          <w:highlight w:val="none"/>
        </w:rPr>
        <w:t>3采购监督小组可以通过检查、随机抽查、现场监督、网络在线监督等方式对竞争性谈判活动进行监督，竞争性谈判活动各方应当自觉接受监督检查。</w:t>
      </w:r>
    </w:p>
    <w:p>
      <w:pPr>
        <w:pStyle w:val="3"/>
        <w:rPr>
          <w:color w:val="auto"/>
          <w:highlight w:val="none"/>
        </w:rPr>
      </w:pPr>
      <w:bookmarkStart w:id="107" w:name="_Toc456551933"/>
      <w:bookmarkStart w:id="108" w:name="_Toc29150"/>
      <w:bookmarkStart w:id="109" w:name="_Toc179632546"/>
      <w:bookmarkStart w:id="110" w:name="_Toc247085689"/>
      <w:bookmarkStart w:id="111" w:name="_Toc144974497"/>
      <w:bookmarkStart w:id="112" w:name="_Toc246996175"/>
      <w:bookmarkStart w:id="113" w:name="_Toc152042305"/>
      <w:bookmarkStart w:id="114" w:name="_Toc296602420"/>
      <w:bookmarkStart w:id="115" w:name="_Toc246996918"/>
      <w:bookmarkStart w:id="116" w:name="_Toc152045529"/>
      <w:r>
        <w:rPr>
          <w:rFonts w:hint="eastAsia"/>
          <w:color w:val="auto"/>
          <w:highlight w:val="none"/>
        </w:rPr>
        <w:t>11. 需要补充的其他内容</w:t>
      </w:r>
      <w:bookmarkEnd w:id="107"/>
      <w:bookmarkEnd w:id="108"/>
    </w:p>
    <w:p>
      <w:pPr>
        <w:spacing w:line="400" w:lineRule="exact"/>
        <w:ind w:firstLine="420" w:firstLineChars="200"/>
        <w:rPr>
          <w:color w:val="auto"/>
          <w:highlight w:val="none"/>
        </w:rPr>
      </w:pPr>
      <w:r>
        <w:rPr>
          <w:rFonts w:hint="eastAsia"/>
          <w:color w:val="auto"/>
          <w:szCs w:val="21"/>
          <w:highlight w:val="none"/>
        </w:rPr>
        <w:t>需要补充的其他内容：见竞争性谈判响应须知前附表。</w:t>
      </w:r>
      <w:r>
        <w:rPr>
          <w:color w:val="auto"/>
          <w:szCs w:val="21"/>
          <w:highlight w:val="none"/>
        </w:rPr>
        <w:br w:type="page"/>
      </w:r>
    </w:p>
    <w:p>
      <w:pPr>
        <w:pStyle w:val="2"/>
        <w:spacing w:before="0"/>
        <w:jc w:val="center"/>
        <w:rPr>
          <w:rFonts w:ascii="宋体" w:hAnsi="宋体"/>
          <w:color w:val="auto"/>
          <w:sz w:val="28"/>
          <w:szCs w:val="28"/>
          <w:highlight w:val="none"/>
        </w:rPr>
      </w:pPr>
      <w:bookmarkStart w:id="117" w:name="_Toc456551939"/>
      <w:bookmarkStart w:id="118" w:name="_Toc17519"/>
      <w:r>
        <w:rPr>
          <w:rFonts w:hint="eastAsia" w:ascii="宋体" w:hAnsi="宋体"/>
          <w:color w:val="auto"/>
          <w:sz w:val="28"/>
          <w:szCs w:val="28"/>
          <w:highlight w:val="none"/>
        </w:rPr>
        <w:t>第三章 评审办法</w:t>
      </w:r>
      <w:bookmarkEnd w:id="117"/>
      <w:bookmarkEnd w:id="118"/>
    </w:p>
    <w:p>
      <w:pPr>
        <w:pStyle w:val="4"/>
        <w:spacing w:before="0" w:after="120" w:line="415" w:lineRule="auto"/>
        <w:jc w:val="left"/>
        <w:rPr>
          <w:rFonts w:ascii="黑体" w:hAnsi="黑体" w:eastAsia="黑体"/>
          <w:color w:val="auto"/>
          <w:sz w:val="28"/>
          <w:szCs w:val="28"/>
          <w:highlight w:val="none"/>
        </w:rPr>
      </w:pPr>
      <w:bookmarkStart w:id="119" w:name="_Toc23100"/>
      <w:bookmarkStart w:id="120" w:name="_Toc456551940"/>
      <w:r>
        <w:rPr>
          <w:rFonts w:hint="eastAsia" w:ascii="黑体" w:hAnsi="黑体" w:eastAsia="黑体"/>
          <w:color w:val="auto"/>
          <w:sz w:val="28"/>
          <w:szCs w:val="28"/>
          <w:highlight w:val="none"/>
        </w:rPr>
        <w:t>一、评审办法前附表</w:t>
      </w:r>
      <w:bookmarkEnd w:id="119"/>
    </w:p>
    <w:tbl>
      <w:tblPr>
        <w:tblStyle w:val="3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73"/>
        <w:gridCol w:w="468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r>
              <w:rPr>
                <w:rFonts w:hint="eastAsia" w:ascii="宋体" w:hAnsi="宋体" w:cs="宋体"/>
                <w:color w:val="auto"/>
                <w:szCs w:val="21"/>
                <w:highlight w:val="none"/>
              </w:rPr>
              <w:t>序号</w:t>
            </w:r>
          </w:p>
        </w:tc>
        <w:tc>
          <w:tcPr>
            <w:tcW w:w="19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kern w:val="0"/>
                <w:sz w:val="20"/>
                <w:szCs w:val="21"/>
                <w:highlight w:val="none"/>
              </w:rPr>
              <w:t>评审内容</w:t>
            </w:r>
          </w:p>
        </w:tc>
        <w:tc>
          <w:tcPr>
            <w:tcW w:w="46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kern w:val="0"/>
                <w:sz w:val="20"/>
                <w:szCs w:val="21"/>
                <w:highlight w:val="none"/>
              </w:rPr>
              <w:t>评审标准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竞争性谈判文件索引页码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9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响应人资格要求</w:t>
            </w:r>
          </w:p>
        </w:tc>
        <w:tc>
          <w:tcPr>
            <w:tcW w:w="46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符合响应人资格要求</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19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竞争性谈判保证金</w:t>
            </w:r>
          </w:p>
        </w:tc>
        <w:tc>
          <w:tcPr>
            <w:tcW w:w="46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r>
              <w:rPr>
                <w:rFonts w:hint="eastAsia" w:hAnsi="宋体" w:cs="宋体"/>
                <w:bCs/>
                <w:color w:val="auto"/>
                <w:szCs w:val="21"/>
                <w:highlight w:val="none"/>
                <w:lang w:bidi="ar"/>
              </w:rPr>
              <w:t>按采购文件的规定提交竞争性谈判保证金的</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9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响应文件盖章、签署</w:t>
            </w:r>
          </w:p>
        </w:tc>
        <w:tc>
          <w:tcPr>
            <w:tcW w:w="46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r>
              <w:rPr>
                <w:rFonts w:hint="eastAsia" w:hAnsi="宋体" w:cs="宋体"/>
                <w:bCs/>
                <w:color w:val="auto"/>
                <w:szCs w:val="21"/>
                <w:highlight w:val="none"/>
                <w:lang w:bidi="ar"/>
              </w:rPr>
              <w:t>响应文件按采购文件要求签署、盖章的</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19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报价</w:t>
            </w:r>
          </w:p>
        </w:tc>
        <w:tc>
          <w:tcPr>
            <w:tcW w:w="46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r>
              <w:rPr>
                <w:rFonts w:hint="eastAsia" w:hAnsi="宋体" w:cs="宋体"/>
                <w:bCs/>
                <w:color w:val="auto"/>
                <w:szCs w:val="21"/>
                <w:highlight w:val="none"/>
                <w:lang w:bidi="ar"/>
              </w:rPr>
              <w:t>按照竞争性谈判文件的规定进行报价的</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19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r>
              <w:rPr>
                <w:rFonts w:hint="eastAsia" w:hAnsi="宋体" w:cs="宋体"/>
                <w:bCs/>
                <w:color w:val="auto"/>
                <w:szCs w:val="21"/>
                <w:highlight w:val="none"/>
                <w:lang w:bidi="ar"/>
              </w:rPr>
              <w:t>“★”符号的条款</w:t>
            </w:r>
          </w:p>
        </w:tc>
        <w:tc>
          <w:tcPr>
            <w:tcW w:w="46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bCs/>
                <w:color w:val="auto"/>
                <w:szCs w:val="21"/>
                <w:highlight w:val="none"/>
                <w:lang w:bidi="ar"/>
              </w:rPr>
            </w:pPr>
            <w:r>
              <w:rPr>
                <w:rFonts w:hint="eastAsia" w:hAnsi="宋体" w:cs="宋体"/>
                <w:bCs/>
                <w:color w:val="auto"/>
                <w:szCs w:val="21"/>
                <w:highlight w:val="none"/>
                <w:lang w:bidi="ar"/>
              </w:rPr>
              <w:t>无负偏离标注“★”符号的条款</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19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bCs/>
                <w:color w:val="auto"/>
                <w:szCs w:val="21"/>
                <w:highlight w:val="none"/>
                <w:lang w:bidi="ar"/>
              </w:rPr>
            </w:pPr>
            <w:r>
              <w:rPr>
                <w:rFonts w:hint="eastAsia" w:hAnsi="宋体" w:cs="宋体"/>
                <w:bCs/>
                <w:color w:val="auto"/>
                <w:szCs w:val="21"/>
                <w:highlight w:val="none"/>
                <w:lang w:bidi="ar"/>
              </w:rPr>
              <w:t>附加条件</w:t>
            </w:r>
          </w:p>
        </w:tc>
        <w:tc>
          <w:tcPr>
            <w:tcW w:w="46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bCs/>
                <w:color w:val="auto"/>
                <w:szCs w:val="21"/>
                <w:highlight w:val="none"/>
                <w:lang w:bidi="ar"/>
              </w:rPr>
            </w:pPr>
            <w:r>
              <w:rPr>
                <w:rFonts w:hint="eastAsia" w:hAnsi="宋体" w:cs="宋体"/>
                <w:bCs/>
                <w:color w:val="auto"/>
                <w:szCs w:val="21"/>
                <w:highlight w:val="none"/>
                <w:lang w:bidi="ar"/>
              </w:rPr>
              <w:t>响应文件未含有采购人不能接受的附加条件的</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19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其他</w:t>
            </w:r>
          </w:p>
        </w:tc>
        <w:tc>
          <w:tcPr>
            <w:tcW w:w="46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bCs/>
                <w:color w:val="auto"/>
                <w:szCs w:val="21"/>
                <w:highlight w:val="none"/>
                <w:lang w:bidi="ar"/>
              </w:rPr>
            </w:pPr>
            <w:r>
              <w:rPr>
                <w:rFonts w:hint="eastAsia" w:hAnsi="宋体" w:cs="宋体"/>
                <w:color w:val="auto"/>
                <w:szCs w:val="21"/>
                <w:highlight w:val="none"/>
              </w:rPr>
              <w:t>未出现</w:t>
            </w:r>
            <w:r>
              <w:rPr>
                <w:rFonts w:hint="eastAsia" w:hAnsi="宋体" w:cs="宋体"/>
                <w:bCs/>
                <w:color w:val="auto"/>
                <w:szCs w:val="21"/>
                <w:highlight w:val="none"/>
                <w:lang w:bidi="ar"/>
              </w:rPr>
              <w:t>法律、法规和竞争性谈判文件规定的其他无效情形。</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19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p>
        </w:tc>
        <w:tc>
          <w:tcPr>
            <w:tcW w:w="46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color w:val="auto"/>
                <w:szCs w:val="21"/>
                <w:highlight w:val="none"/>
              </w:rPr>
            </w:pPr>
            <w:r>
              <w:rPr>
                <w:rFonts w:hint="eastAsia" w:hAnsi="宋体" w:cs="宋体"/>
                <w:color w:val="auto"/>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9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rFonts w:hint="eastAsia" w:ascii="宋体" w:hAnsi="宋体" w:cs="宋体"/>
                <w:color w:val="auto"/>
                <w:kern w:val="0"/>
                <w:szCs w:val="21"/>
                <w:highlight w:val="none"/>
              </w:rPr>
              <w:t>成交候选人推荐原则</w:t>
            </w:r>
          </w:p>
        </w:tc>
        <w:tc>
          <w:tcPr>
            <w:tcW w:w="5823"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highlight w:val="none"/>
              </w:rPr>
            </w:pPr>
            <w:r>
              <w:rPr>
                <w:rFonts w:hint="eastAsia" w:ascii="宋体" w:hAnsi="宋体" w:cs="宋体"/>
                <w:color w:val="auto"/>
                <w:kern w:val="0"/>
                <w:highlight w:val="none"/>
              </w:rPr>
              <w:t>本项目推荐</w:t>
            </w:r>
            <w:r>
              <w:rPr>
                <w:rFonts w:ascii="宋体" w:hAnsi="宋体" w:cs="宋体"/>
                <w:color w:val="auto"/>
                <w:kern w:val="0"/>
                <w:highlight w:val="none"/>
              </w:rPr>
              <w:t>3</w:t>
            </w:r>
            <w:r>
              <w:rPr>
                <w:rFonts w:hint="eastAsia" w:ascii="宋体" w:hAnsi="宋体" w:cs="宋体"/>
                <w:color w:val="auto"/>
                <w:kern w:val="0"/>
                <w:highlight w:val="none"/>
              </w:rPr>
              <w:t>名成交候选人。</w:t>
            </w:r>
            <w:r>
              <w:rPr>
                <w:rFonts w:hint="eastAsia"/>
                <w:color w:val="auto"/>
                <w:szCs w:val="21"/>
                <w:highlight w:val="none"/>
              </w:rPr>
              <w:t>根据符合采购需求、质量和服务且报价最低的原则按顺序排列推荐成交侯选人</w:t>
            </w:r>
            <w:r>
              <w:rPr>
                <w:rFonts w:hint="eastAsia" w:ascii="宋体" w:hAnsi="宋体" w:cs="宋体"/>
                <w:color w:val="auto"/>
                <w:kern w:val="0"/>
                <w:highlight w:val="none"/>
              </w:rPr>
              <w:t>。如最低投标报价相同，由谈判小组按技术指标优劣顺序排列。如果无法进行合理排序，则采用现场随机抽签方式确定。</w:t>
            </w:r>
          </w:p>
        </w:tc>
      </w:tr>
    </w:tbl>
    <w:p>
      <w:pPr>
        <w:pStyle w:val="4"/>
        <w:rPr>
          <w:rFonts w:ascii="黑体" w:hAnsi="黑体" w:eastAsia="黑体"/>
          <w:color w:val="auto"/>
          <w:sz w:val="28"/>
          <w:szCs w:val="28"/>
          <w:highlight w:val="none"/>
        </w:rPr>
      </w:pPr>
      <w:bookmarkStart w:id="121" w:name="_Toc5"/>
      <w:r>
        <w:rPr>
          <w:rFonts w:hint="eastAsia" w:ascii="黑体" w:hAnsi="黑体" w:eastAsia="黑体"/>
          <w:color w:val="auto"/>
          <w:sz w:val="28"/>
          <w:szCs w:val="28"/>
          <w:highlight w:val="none"/>
        </w:rPr>
        <w:t>1．评审方法</w:t>
      </w:r>
      <w:bookmarkEnd w:id="12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本次评审采用最低评标价法。谈判小组对满足竞争性谈判文件实质性要求的响应文件，</w:t>
      </w:r>
      <w:r>
        <w:rPr>
          <w:rFonts w:hint="eastAsia"/>
          <w:color w:val="auto"/>
          <w:szCs w:val="21"/>
          <w:highlight w:val="none"/>
        </w:rPr>
        <w:t>根据符合采购需求、质量和服务且报价最低的原则按顺序排列推荐成交侯选人。</w:t>
      </w:r>
      <w:r>
        <w:rPr>
          <w:rFonts w:hint="eastAsia" w:ascii="宋体" w:hAnsi="宋体" w:cs="宋体"/>
          <w:color w:val="auto"/>
          <w:kern w:val="0"/>
          <w:highlight w:val="none"/>
        </w:rPr>
        <w:t>如最低投标报价相同，由谈判小组按技术指标优劣顺序排列。如果无法进行合理排序，则采用现场随机抽签方式确定。</w:t>
      </w:r>
    </w:p>
    <w:p>
      <w:pPr>
        <w:pStyle w:val="4"/>
        <w:rPr>
          <w:rFonts w:ascii="黑体" w:hAnsi="黑体" w:eastAsia="黑体"/>
          <w:color w:val="auto"/>
          <w:sz w:val="28"/>
          <w:szCs w:val="28"/>
          <w:highlight w:val="none"/>
        </w:rPr>
      </w:pPr>
      <w:bookmarkStart w:id="122" w:name="_Toc27147"/>
      <w:r>
        <w:rPr>
          <w:rFonts w:hint="eastAsia" w:ascii="黑体" w:hAnsi="黑体" w:eastAsia="黑体"/>
          <w:color w:val="auto"/>
          <w:sz w:val="28"/>
          <w:szCs w:val="28"/>
          <w:highlight w:val="none"/>
        </w:rPr>
        <w:t>2．评审标准</w:t>
      </w:r>
      <w:bookmarkEnd w:id="122"/>
    </w:p>
    <w:p>
      <w:pPr>
        <w:spacing w:line="360" w:lineRule="auto"/>
        <w:ind w:firstLine="420" w:firstLineChars="200"/>
        <w:rPr>
          <w:rFonts w:ascii="宋体" w:hAnsi="宋体"/>
          <w:color w:val="auto"/>
          <w:szCs w:val="21"/>
          <w:highlight w:val="none"/>
        </w:rPr>
      </w:pPr>
      <w:r>
        <w:rPr>
          <w:rFonts w:hint="eastAsia"/>
          <w:color w:val="auto"/>
          <w:highlight w:val="none"/>
        </w:rPr>
        <w:t>评审标准：</w:t>
      </w:r>
      <w:r>
        <w:rPr>
          <w:rFonts w:hint="eastAsia" w:ascii="宋体" w:hAnsi="宋体"/>
          <w:color w:val="auto"/>
          <w:szCs w:val="21"/>
          <w:highlight w:val="none"/>
        </w:rPr>
        <w:t>见评审办法前附表。</w:t>
      </w:r>
    </w:p>
    <w:p>
      <w:pPr>
        <w:pStyle w:val="4"/>
        <w:rPr>
          <w:rFonts w:ascii="黑体" w:hAnsi="黑体" w:eastAsia="黑体"/>
          <w:color w:val="auto"/>
          <w:sz w:val="28"/>
          <w:szCs w:val="28"/>
          <w:highlight w:val="none"/>
        </w:rPr>
      </w:pPr>
      <w:bookmarkStart w:id="123" w:name="_Toc9990"/>
      <w:r>
        <w:rPr>
          <w:rFonts w:hint="eastAsia" w:ascii="黑体" w:hAnsi="黑体" w:eastAsia="黑体"/>
          <w:color w:val="auto"/>
          <w:sz w:val="28"/>
          <w:szCs w:val="28"/>
          <w:highlight w:val="none"/>
        </w:rPr>
        <w:t>3．评审程序</w:t>
      </w:r>
      <w:bookmarkEnd w:id="123"/>
    </w:p>
    <w:p>
      <w:pPr>
        <w:pStyle w:val="5"/>
        <w:rPr>
          <w:color w:val="auto"/>
          <w:highlight w:val="none"/>
        </w:rPr>
      </w:pPr>
      <w:r>
        <w:rPr>
          <w:rFonts w:hint="eastAsia"/>
          <w:color w:val="auto"/>
          <w:highlight w:val="none"/>
        </w:rPr>
        <w:t>3.1 初步评审</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3.1.1</w:t>
      </w:r>
      <w:r>
        <w:rPr>
          <w:rFonts w:hint="eastAsia" w:ascii="宋体" w:hAnsi="宋体"/>
          <w:color w:val="auto"/>
          <w:szCs w:val="21"/>
          <w:highlight w:val="none"/>
        </w:rPr>
        <w:t>谈判小组根据评审办法前附表规定的标准对响应文件进行评审。有一项不符合评审标准的，</w:t>
      </w:r>
      <w:r>
        <w:rPr>
          <w:rFonts w:hint="eastAsia"/>
          <w:color w:val="auto"/>
          <w:highlight w:val="none"/>
        </w:rPr>
        <w:t>谈判小组应当否决其竞争性谈判。</w:t>
      </w:r>
      <w:r>
        <w:rPr>
          <w:rFonts w:hint="eastAsia" w:ascii="宋体" w:hAnsi="宋体"/>
          <w:b/>
          <w:color w:val="auto"/>
          <w:szCs w:val="21"/>
          <w:highlight w:val="none"/>
        </w:rPr>
        <w:t xml:space="preserve"> </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3.1.2</w:t>
      </w:r>
      <w:r>
        <w:rPr>
          <w:rFonts w:hint="eastAsia" w:ascii="宋体" w:hAnsi="宋体"/>
          <w:color w:val="auto"/>
          <w:szCs w:val="21"/>
          <w:highlight w:val="none"/>
        </w:rPr>
        <w:t xml:space="preserve">谈判小组可以要求响应人对响应文件中含义不明确、对同类问题表述不一致或者有明显文字、计算错误的内容做必要的澄清、说明、修正或补充。澄清、说明、修正或补充应当采用书面形式，并不得超出响应文件的范围或者改变响应文件的实质内容。响应文件不响应竞争性谈判文件的实质性要求和条件的，不允许响应人通过澄清等方式使之成为具有响应性的竞争性谈判。 </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3.1.3</w:t>
      </w:r>
      <w:r>
        <w:rPr>
          <w:rFonts w:hint="eastAsia" w:ascii="宋体" w:hAnsi="宋体"/>
          <w:color w:val="auto"/>
          <w:szCs w:val="21"/>
          <w:highlight w:val="none"/>
        </w:rPr>
        <w:t>谈判小组不得向响应人提出带有暗示性或诱导性的问题或向其明确响应文件中的遗漏和错误，不得接受响应人主动提出的澄清、说明、修正和补充。</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3.1.</w:t>
      </w:r>
      <w:r>
        <w:rPr>
          <w:rFonts w:ascii="宋体" w:hAnsi="宋体"/>
          <w:b/>
          <w:color w:val="auto"/>
          <w:szCs w:val="21"/>
          <w:highlight w:val="none"/>
        </w:rPr>
        <w:t>4</w:t>
      </w:r>
      <w:r>
        <w:rPr>
          <w:rFonts w:hint="eastAsia" w:ascii="宋体" w:hAnsi="宋体"/>
          <w:b/>
          <w:color w:val="auto"/>
          <w:szCs w:val="21"/>
          <w:highlight w:val="none"/>
        </w:rPr>
        <w:t xml:space="preserve"> 响应人有以下情形之一的，</w:t>
      </w:r>
      <w:r>
        <w:rPr>
          <w:rFonts w:hint="eastAsia"/>
          <w:b/>
          <w:color w:val="auto"/>
          <w:highlight w:val="none"/>
        </w:rPr>
        <w:t>谈判小组应当否决其竞争性谈判</w:t>
      </w:r>
      <w:r>
        <w:rPr>
          <w:rFonts w:hint="eastAsia" w:ascii="宋体" w:hAnsi="宋体"/>
          <w:b/>
          <w:color w:val="auto"/>
          <w:szCs w:val="21"/>
          <w:highlight w:val="none"/>
        </w:rPr>
        <w:t>：</w:t>
      </w:r>
    </w:p>
    <w:p>
      <w:pPr>
        <w:widowControl/>
        <w:numPr>
          <w:ilvl w:val="0"/>
          <w:numId w:val="8"/>
        </w:numPr>
        <w:spacing w:after="109" w:line="259" w:lineRule="auto"/>
        <w:jc w:val="left"/>
        <w:rPr>
          <w:b/>
          <w:color w:val="auto"/>
          <w:highlight w:val="none"/>
        </w:rPr>
      </w:pPr>
      <w:r>
        <w:rPr>
          <w:b/>
          <w:color w:val="auto"/>
          <w:highlight w:val="none"/>
        </w:rPr>
        <w:t>响应文件中无法定代表人</w:t>
      </w:r>
      <w:r>
        <w:rPr>
          <w:rFonts w:hint="eastAsia"/>
          <w:b/>
          <w:color w:val="auto"/>
          <w:highlight w:val="none"/>
        </w:rPr>
        <w:t>证明书及其</w:t>
      </w:r>
      <w:r>
        <w:rPr>
          <w:b/>
          <w:color w:val="auto"/>
          <w:highlight w:val="none"/>
        </w:rPr>
        <w:t>出具的授权委托书的</w:t>
      </w:r>
      <w:r>
        <w:rPr>
          <w:rFonts w:hint="eastAsia"/>
          <w:b/>
          <w:color w:val="auto"/>
          <w:highlight w:val="none"/>
          <w:lang w:eastAsia="zh-CN"/>
        </w:rPr>
        <w:t>（</w:t>
      </w:r>
      <w:r>
        <w:rPr>
          <w:rFonts w:hint="eastAsia"/>
          <w:b/>
          <w:color w:val="auto"/>
          <w:highlight w:val="none"/>
          <w:lang w:val="en-US" w:eastAsia="zh-CN"/>
        </w:rPr>
        <w:t>法定代表人本人参加谈判的，则无须授权委托书</w:t>
      </w:r>
      <w:r>
        <w:rPr>
          <w:rFonts w:hint="eastAsia"/>
          <w:b/>
          <w:color w:val="auto"/>
          <w:highlight w:val="none"/>
          <w:lang w:eastAsia="zh-CN"/>
        </w:rPr>
        <w:t>）</w:t>
      </w:r>
      <w:r>
        <w:rPr>
          <w:b/>
          <w:color w:val="auto"/>
          <w:highlight w:val="none"/>
        </w:rPr>
        <w:t xml:space="preserve">； </w:t>
      </w:r>
    </w:p>
    <w:p>
      <w:pPr>
        <w:widowControl/>
        <w:numPr>
          <w:ilvl w:val="0"/>
          <w:numId w:val="8"/>
        </w:numPr>
        <w:spacing w:after="109" w:line="259" w:lineRule="auto"/>
        <w:jc w:val="left"/>
        <w:rPr>
          <w:b/>
          <w:color w:val="auto"/>
          <w:highlight w:val="none"/>
        </w:rPr>
      </w:pPr>
      <w:r>
        <w:rPr>
          <w:rFonts w:hint="eastAsia"/>
          <w:b/>
          <w:color w:val="auto"/>
          <w:highlight w:val="none"/>
        </w:rPr>
        <w:t>未按竞争性谈判文件规定加盖公章和签署；</w:t>
      </w:r>
    </w:p>
    <w:p>
      <w:pPr>
        <w:widowControl/>
        <w:numPr>
          <w:ilvl w:val="0"/>
          <w:numId w:val="8"/>
        </w:numPr>
        <w:spacing w:after="109" w:line="259" w:lineRule="auto"/>
        <w:jc w:val="left"/>
        <w:rPr>
          <w:b/>
          <w:color w:val="auto"/>
          <w:highlight w:val="none"/>
        </w:rPr>
      </w:pPr>
      <w:r>
        <w:rPr>
          <w:b/>
          <w:color w:val="auto"/>
          <w:highlight w:val="none"/>
        </w:rPr>
        <w:t>响应人提交两份以上不同内容的响应文件，或在一份响应文件中有两个或多个报价，且未声明哪一个为最终报价的，但按竞争性谈判文件规定提交备选竞争性谈判方案的除外；</w:t>
      </w:r>
    </w:p>
    <w:p>
      <w:pPr>
        <w:widowControl/>
        <w:numPr>
          <w:ilvl w:val="0"/>
          <w:numId w:val="8"/>
        </w:numPr>
        <w:spacing w:after="109" w:line="259" w:lineRule="auto"/>
        <w:jc w:val="left"/>
        <w:rPr>
          <w:b/>
          <w:color w:val="auto"/>
          <w:highlight w:val="none"/>
        </w:rPr>
      </w:pPr>
      <w:r>
        <w:rPr>
          <w:b/>
          <w:color w:val="auto"/>
          <w:highlight w:val="none"/>
        </w:rPr>
        <w:t xml:space="preserve">响应人以他人名义竞争性谈判或者响应人经资格审查不符合资格条件的； </w:t>
      </w:r>
    </w:p>
    <w:p>
      <w:pPr>
        <w:widowControl/>
        <w:numPr>
          <w:ilvl w:val="0"/>
          <w:numId w:val="8"/>
        </w:numPr>
        <w:spacing w:after="109" w:line="259" w:lineRule="auto"/>
        <w:jc w:val="left"/>
        <w:rPr>
          <w:b/>
          <w:color w:val="auto"/>
          <w:highlight w:val="none"/>
        </w:rPr>
      </w:pPr>
      <w:r>
        <w:rPr>
          <w:rFonts w:hint="eastAsia"/>
          <w:b/>
          <w:color w:val="auto"/>
          <w:highlight w:val="none"/>
        </w:rPr>
        <w:t>未按要求提交竞争性谈判保证金或提交的竞争性谈判保证金不足的；</w:t>
      </w:r>
    </w:p>
    <w:p>
      <w:pPr>
        <w:widowControl/>
        <w:numPr>
          <w:ilvl w:val="0"/>
          <w:numId w:val="8"/>
        </w:numPr>
        <w:spacing w:after="109" w:line="259" w:lineRule="auto"/>
        <w:jc w:val="left"/>
        <w:rPr>
          <w:b/>
          <w:color w:val="auto"/>
          <w:highlight w:val="none"/>
        </w:rPr>
      </w:pPr>
      <w:r>
        <w:rPr>
          <w:b/>
          <w:color w:val="auto"/>
          <w:highlight w:val="none"/>
        </w:rPr>
        <w:t>竞争性谈判有效期不满足竞争性谈判文件要求的；</w:t>
      </w:r>
    </w:p>
    <w:p>
      <w:pPr>
        <w:widowControl/>
        <w:numPr>
          <w:ilvl w:val="0"/>
          <w:numId w:val="8"/>
        </w:numPr>
        <w:spacing w:after="109" w:line="259" w:lineRule="auto"/>
        <w:jc w:val="left"/>
        <w:rPr>
          <w:b/>
          <w:color w:val="auto"/>
          <w:highlight w:val="none"/>
        </w:rPr>
      </w:pPr>
      <w:r>
        <w:rPr>
          <w:b/>
          <w:color w:val="auto"/>
          <w:highlight w:val="none"/>
        </w:rPr>
        <w:t xml:space="preserve">竞争性谈判报价低于成本价，且响应人不能按谈判小组要求对其报价进行合理说明或提供相关证明材料的； </w:t>
      </w:r>
    </w:p>
    <w:p>
      <w:pPr>
        <w:widowControl/>
        <w:numPr>
          <w:ilvl w:val="0"/>
          <w:numId w:val="8"/>
        </w:numPr>
        <w:spacing w:after="109" w:line="259" w:lineRule="auto"/>
        <w:jc w:val="left"/>
        <w:rPr>
          <w:b/>
          <w:color w:val="auto"/>
          <w:highlight w:val="none"/>
        </w:rPr>
      </w:pPr>
      <w:r>
        <w:rPr>
          <w:b/>
          <w:color w:val="auto"/>
          <w:highlight w:val="none"/>
        </w:rPr>
        <w:t>竞争性谈判报价高于竞争性谈判文件设定的最高限价的；</w:t>
      </w:r>
    </w:p>
    <w:p>
      <w:pPr>
        <w:widowControl/>
        <w:numPr>
          <w:ilvl w:val="0"/>
          <w:numId w:val="8"/>
        </w:numPr>
        <w:spacing w:after="109" w:line="259" w:lineRule="auto"/>
        <w:jc w:val="left"/>
        <w:rPr>
          <w:b/>
          <w:color w:val="auto"/>
          <w:highlight w:val="none"/>
        </w:rPr>
      </w:pPr>
      <w:r>
        <w:rPr>
          <w:b/>
          <w:color w:val="auto"/>
          <w:highlight w:val="none"/>
        </w:rPr>
        <w:t>响应文件未能对竞争性谈判文件中提出的实质性要求和条件做出实质性响应的；</w:t>
      </w:r>
    </w:p>
    <w:p>
      <w:pPr>
        <w:widowControl/>
        <w:numPr>
          <w:ilvl w:val="0"/>
          <w:numId w:val="8"/>
        </w:numPr>
        <w:spacing w:after="109" w:line="259" w:lineRule="auto"/>
        <w:jc w:val="left"/>
        <w:rPr>
          <w:b/>
          <w:color w:val="auto"/>
          <w:highlight w:val="none"/>
        </w:rPr>
      </w:pPr>
      <w:r>
        <w:rPr>
          <w:b/>
          <w:color w:val="auto"/>
          <w:highlight w:val="none"/>
        </w:rPr>
        <w:t xml:space="preserve">响应人有串通竞争性谈判、弄虚作假、行贿等违法行为的； </w:t>
      </w:r>
    </w:p>
    <w:p>
      <w:pPr>
        <w:widowControl/>
        <w:numPr>
          <w:ilvl w:val="0"/>
          <w:numId w:val="8"/>
        </w:numPr>
        <w:spacing w:after="109" w:line="259" w:lineRule="auto"/>
        <w:jc w:val="left"/>
        <w:rPr>
          <w:b/>
          <w:color w:val="auto"/>
          <w:highlight w:val="none"/>
        </w:rPr>
      </w:pPr>
      <w:r>
        <w:rPr>
          <w:rFonts w:hint="eastAsia"/>
          <w:b/>
          <w:color w:val="auto"/>
          <w:highlight w:val="none"/>
        </w:rPr>
        <w:t>不按谈判小组要求澄清、说明或补正；</w:t>
      </w:r>
    </w:p>
    <w:p>
      <w:pPr>
        <w:widowControl/>
        <w:numPr>
          <w:ilvl w:val="0"/>
          <w:numId w:val="8"/>
        </w:numPr>
        <w:spacing w:after="109" w:line="259" w:lineRule="auto"/>
        <w:jc w:val="left"/>
        <w:rPr>
          <w:b/>
          <w:color w:val="auto"/>
          <w:highlight w:val="none"/>
        </w:rPr>
      </w:pPr>
      <w:r>
        <w:rPr>
          <w:b/>
          <w:color w:val="auto"/>
          <w:highlight w:val="none"/>
        </w:rPr>
        <w:t xml:space="preserve">竞争性谈判文件明确规定可以否决竞争性谈判的其他情形。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w:t>
      </w:r>
      <w:r>
        <w:rPr>
          <w:rFonts w:ascii="宋体" w:hAnsi="宋体"/>
          <w:color w:val="auto"/>
          <w:szCs w:val="21"/>
          <w:highlight w:val="none"/>
        </w:rPr>
        <w:t>5</w:t>
      </w:r>
      <w:r>
        <w:rPr>
          <w:rFonts w:hint="eastAsia" w:ascii="宋体" w:hAnsi="宋体"/>
          <w:color w:val="auto"/>
          <w:szCs w:val="21"/>
          <w:highlight w:val="none"/>
        </w:rPr>
        <w:t>评审过程中，谈判小组收到低于成本价竞争性谈判的书面质疑材料、发现响应人的综合报价明显低于其他竞争性谈判报价或者设有标底时明显低于标底，认为竞争性谈判报价可能低于成本的，应当书面要求该响应人作出书面说明并提供相关证明材料。响应人不能合理说明或者不能提供相应证明材料的，由谈判小组认定该响应人以低于成本报价竞标，</w:t>
      </w:r>
      <w:r>
        <w:rPr>
          <w:rFonts w:hint="eastAsia"/>
          <w:color w:val="auto"/>
          <w:szCs w:val="21"/>
          <w:highlight w:val="none"/>
        </w:rPr>
        <w:t>谈判小组应当否决其竞争性谈判</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w:t>
      </w:r>
      <w:r>
        <w:rPr>
          <w:rFonts w:ascii="宋体" w:hAnsi="宋体"/>
          <w:color w:val="auto"/>
          <w:szCs w:val="21"/>
          <w:highlight w:val="none"/>
        </w:rPr>
        <w:t>6</w:t>
      </w:r>
      <w:r>
        <w:rPr>
          <w:rFonts w:hint="eastAsia" w:ascii="宋体" w:hAnsi="宋体"/>
          <w:color w:val="auto"/>
          <w:szCs w:val="21"/>
          <w:highlight w:val="none"/>
        </w:rPr>
        <w:t xml:space="preserve"> 竞争性谈判报价有算术错误的，谈判小组按照以下原则对竞争性谈判报价进行修正，修正的价格经响应人书面确认后具有约束力。响应人不接受修正价格的，</w:t>
      </w:r>
      <w:r>
        <w:rPr>
          <w:rFonts w:hint="eastAsia"/>
          <w:color w:val="auto"/>
          <w:szCs w:val="21"/>
          <w:highlight w:val="none"/>
        </w:rPr>
        <w:t>谈判小组应当否决其竞争性谈判</w:t>
      </w:r>
      <w:r>
        <w:rPr>
          <w:rFonts w:hint="eastAsia" w:ascii="宋体" w:hAnsi="宋体"/>
          <w:color w:val="auto"/>
          <w:szCs w:val="21"/>
          <w:highlight w:val="none"/>
        </w:rPr>
        <w:t>。如有补充其他价格修正方式，详见竞争性谈判须知前附表。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(1）响应文件中的大写金额与小写金额不一致的，以大写金额为准；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(2）总价金额与根据单价计算出的结果不一致的，以单价金额为准修正总价，但单价金额小数点有明显错误的除外。</w:t>
      </w:r>
    </w:p>
    <w:p>
      <w:pPr>
        <w:widowControl/>
        <w:tabs>
          <w:tab w:val="left" w:pos="540"/>
        </w:tabs>
        <w:spacing w:line="520" w:lineRule="exact"/>
        <w:jc w:val="left"/>
        <w:rPr>
          <w:rFonts w:ascii="宋体" w:hAnsi="宋体" w:cs="Courier New"/>
          <w:b/>
          <w:color w:val="auto"/>
          <w:sz w:val="28"/>
          <w:szCs w:val="28"/>
          <w:highlight w:val="none"/>
        </w:rPr>
      </w:pPr>
      <w:r>
        <w:rPr>
          <w:rFonts w:hint="eastAsia" w:ascii="宋体" w:hAnsi="宋体" w:cs="Courier New"/>
          <w:b/>
          <w:color w:val="auto"/>
          <w:sz w:val="28"/>
          <w:szCs w:val="28"/>
          <w:highlight w:val="none"/>
        </w:rPr>
        <w:t>3.2 谈判</w:t>
      </w:r>
    </w:p>
    <w:p>
      <w:pPr>
        <w:pStyle w:val="20"/>
        <w:spacing w:line="5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3.2.1确定谈判顺序</w:t>
      </w:r>
    </w:p>
    <w:p>
      <w:pPr>
        <w:pStyle w:val="20"/>
        <w:spacing w:line="5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谈判小组应当通过随机方式确定参加谈判的响应人的谈判顺序。</w:t>
      </w:r>
    </w:p>
    <w:p>
      <w:pPr>
        <w:pStyle w:val="20"/>
        <w:spacing w:line="520" w:lineRule="exact"/>
        <w:ind w:firstLine="420" w:firstLineChars="200"/>
        <w:rPr>
          <w:rFonts w:ascii="宋体" w:hAnsi="宋体"/>
          <w:color w:val="auto"/>
          <w:szCs w:val="21"/>
          <w:highlight w:val="none"/>
        </w:rPr>
      </w:pPr>
      <w:r>
        <w:rPr>
          <w:rFonts w:hint="eastAsia" w:ascii="宋体" w:hAnsi="宋体" w:cs="宋体"/>
          <w:color w:val="auto"/>
          <w:kern w:val="0"/>
          <w:szCs w:val="21"/>
          <w:highlight w:val="none"/>
        </w:rPr>
        <w:t>3.2.2比较与评价</w:t>
      </w:r>
    </w:p>
    <w:p>
      <w:pPr>
        <w:pStyle w:val="20"/>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谈判小组对实质性响应文件从商务、技术</w:t>
      </w:r>
      <w:r>
        <w:rPr>
          <w:rFonts w:hint="eastAsia" w:ascii="宋体" w:hAnsi="宋体"/>
          <w:color w:val="auto"/>
          <w:szCs w:val="21"/>
          <w:highlight w:val="none"/>
          <w:lang w:val="en-US" w:eastAsia="zh-CN"/>
        </w:rPr>
        <w:t>条款</w:t>
      </w:r>
      <w:r>
        <w:rPr>
          <w:rFonts w:hint="eastAsia" w:ascii="宋体" w:hAnsi="宋体"/>
          <w:color w:val="auto"/>
          <w:szCs w:val="21"/>
          <w:highlight w:val="none"/>
        </w:rPr>
        <w:t>等方面进行全面比较与评价。</w:t>
      </w:r>
    </w:p>
    <w:p>
      <w:pPr>
        <w:pStyle w:val="20"/>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所有谈判小组成员集体与每位实质性响应的响应人分别进行单独谈判，在谈判中，谈判的任何一方不得透露与谈判有关的其他响应人的技术资料、价格和其他信息。</w:t>
      </w:r>
      <w:r>
        <w:rPr>
          <w:rFonts w:hint="eastAsia" w:ascii="宋体" w:hAnsi="宋体" w:cs="宋体"/>
          <w:color w:val="auto"/>
          <w:kern w:val="0"/>
          <w:szCs w:val="21"/>
          <w:highlight w:val="none"/>
        </w:rPr>
        <w:t>谈判小组所有成员集中与响应人分别进行一轮或多轮谈判。</w:t>
      </w:r>
    </w:p>
    <w:p>
      <w:pPr>
        <w:pStyle w:val="5"/>
        <w:rPr>
          <w:rFonts w:ascii="宋体" w:hAnsi="宋体"/>
          <w:color w:val="auto"/>
          <w:highlight w:val="none"/>
        </w:rPr>
      </w:pPr>
      <w:r>
        <w:rPr>
          <w:rFonts w:hint="eastAsia" w:ascii="宋体" w:hAnsi="宋体"/>
          <w:color w:val="auto"/>
          <w:highlight w:val="none"/>
        </w:rPr>
        <w:t>3.3最终报价</w:t>
      </w:r>
    </w:p>
    <w:p>
      <w:pPr>
        <w:widowControl/>
        <w:tabs>
          <w:tab w:val="left" w:pos="540"/>
        </w:tabs>
        <w:spacing w:line="520" w:lineRule="exact"/>
        <w:ind w:firstLine="420" w:firstLineChars="200"/>
        <w:jc w:val="left"/>
        <w:rPr>
          <w:rFonts w:ascii="宋体" w:hAnsi="宋体"/>
          <w:color w:val="auto"/>
          <w:szCs w:val="21"/>
          <w:highlight w:val="none"/>
        </w:rPr>
      </w:pPr>
      <w:r>
        <w:rPr>
          <w:rFonts w:hint="eastAsia" w:ascii="宋体" w:hAnsi="宋体"/>
          <w:color w:val="auto"/>
          <w:szCs w:val="21"/>
          <w:highlight w:val="none"/>
        </w:rPr>
        <w:t>竞争性谈判报价原则上不少于两轮报价（含唱标报价），谈判小组应要求所有参加最后一轮谈判的供应商在规定的统一截止时间前提交最终密封报价（最终报价时间视谈判进程由谈判小组决定）。原则上最后一轮报价应进行公开唱标。</w:t>
      </w:r>
    </w:p>
    <w:p>
      <w:pPr>
        <w:widowControl/>
        <w:tabs>
          <w:tab w:val="left" w:pos="540"/>
        </w:tabs>
        <w:spacing w:line="520" w:lineRule="exact"/>
        <w:ind w:firstLine="420" w:firstLineChars="200"/>
        <w:jc w:val="left"/>
        <w:rPr>
          <w:rFonts w:ascii="宋体" w:hAnsi="宋体"/>
          <w:color w:val="auto"/>
          <w:szCs w:val="21"/>
          <w:highlight w:val="none"/>
        </w:rPr>
      </w:pPr>
      <w:r>
        <w:rPr>
          <w:rFonts w:hint="eastAsia" w:ascii="宋体" w:hAnsi="宋体"/>
          <w:color w:val="auto"/>
          <w:szCs w:val="21"/>
          <w:highlight w:val="none"/>
        </w:rPr>
        <w:t>除非在谈判中谈判小组调整或修改采购需求内容，否则采购方不接受高于前面轮次谈判报价的最终报价。</w:t>
      </w:r>
    </w:p>
    <w:p>
      <w:pPr>
        <w:widowControl/>
        <w:spacing w:line="52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响应人最终报价逾时不交的，可视为自动放弃评审资格。</w:t>
      </w:r>
    </w:p>
    <w:p>
      <w:pPr>
        <w:widowControl/>
        <w:tabs>
          <w:tab w:val="left" w:pos="540"/>
        </w:tabs>
        <w:spacing w:line="520" w:lineRule="exact"/>
        <w:jc w:val="left"/>
        <w:rPr>
          <w:rFonts w:ascii="宋体" w:hAnsi="宋体"/>
          <w:b/>
          <w:color w:val="auto"/>
          <w:sz w:val="28"/>
          <w:szCs w:val="28"/>
          <w:highlight w:val="none"/>
        </w:rPr>
      </w:pPr>
      <w:r>
        <w:rPr>
          <w:rFonts w:hint="eastAsia" w:ascii="宋体" w:hAnsi="宋体" w:cs="Courier New"/>
          <w:b/>
          <w:color w:val="auto"/>
          <w:sz w:val="28"/>
          <w:szCs w:val="28"/>
          <w:highlight w:val="none"/>
        </w:rPr>
        <w:t>3.4</w:t>
      </w:r>
      <w:r>
        <w:rPr>
          <w:rFonts w:hint="eastAsia" w:ascii="宋体" w:hAnsi="宋体"/>
          <w:b/>
          <w:color w:val="auto"/>
          <w:sz w:val="28"/>
          <w:szCs w:val="28"/>
          <w:highlight w:val="none"/>
        </w:rPr>
        <w:t>推荐成交候选人</w:t>
      </w:r>
    </w:p>
    <w:p>
      <w:pPr>
        <w:spacing w:line="520" w:lineRule="exact"/>
        <w:ind w:firstLine="420" w:firstLineChars="200"/>
        <w:rPr>
          <w:rFonts w:ascii="宋体" w:hAnsi="宋体" w:cs="宋体"/>
          <w:color w:val="auto"/>
          <w:kern w:val="0"/>
          <w:highlight w:val="none"/>
        </w:rPr>
      </w:pPr>
      <w:r>
        <w:rPr>
          <w:rFonts w:hint="eastAsia" w:ascii="宋体" w:hAnsi="宋体" w:cs="Courier New"/>
          <w:color w:val="auto"/>
          <w:szCs w:val="21"/>
          <w:highlight w:val="none"/>
        </w:rPr>
        <w:t>竞争性谈判以响应人最后一轮谈判的报价及承诺作为谈判小组向采购人推荐成交候选人的依据，谈判小组应当根据符合采购需求、质量和服务相等且报价最低的原则按顺序排列推荐成交侯选响应人。</w:t>
      </w:r>
      <w:r>
        <w:rPr>
          <w:rFonts w:hint="eastAsia" w:ascii="宋体" w:hAnsi="宋体" w:cs="宋体"/>
          <w:color w:val="auto"/>
          <w:kern w:val="0"/>
          <w:highlight w:val="none"/>
        </w:rPr>
        <w:t>如最低投标报价相同，由谈判小组按技术指标优劣顺序排列。如果无法进行合理排序，则采用现场随机抽签方式确定。（若出现次低报价相同影响评审结果的，同样按上述程序执行。）</w:t>
      </w:r>
    </w:p>
    <w:p>
      <w:pPr>
        <w:spacing w:line="52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谈判小组推荐非报价最低的谈判响应人为成交响应人的，须附书面报告说明理由且由谈判小组全体成员签字确认。</w:t>
      </w:r>
    </w:p>
    <w:p>
      <w:pPr>
        <w:spacing w:line="52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在推荐确定成交候选人之前，谈判小组认为，排在前面的成交候选人的最终报价或者某些分项报价明显不合理或者低于成本，有可能影响商品质量和不能诚信履约的，应当要求其在规定的期限内提供书面文件予以说明理由，并提交相关证明材料。否则，谈判小组可以取消该响应人的成交候选资格，按顺序由排在其次的成交候选人递补，以此类推。</w:t>
      </w:r>
    </w:p>
    <w:p>
      <w:pPr>
        <w:widowControl/>
        <w:tabs>
          <w:tab w:val="left" w:pos="540"/>
        </w:tabs>
        <w:spacing w:line="520" w:lineRule="exact"/>
        <w:jc w:val="left"/>
        <w:rPr>
          <w:rFonts w:ascii="宋体" w:hAnsi="宋体"/>
          <w:b/>
          <w:color w:val="auto"/>
          <w:sz w:val="28"/>
          <w:szCs w:val="28"/>
          <w:highlight w:val="none"/>
        </w:rPr>
      </w:pPr>
      <w:r>
        <w:rPr>
          <w:rFonts w:hint="eastAsia" w:ascii="宋体" w:hAnsi="宋体"/>
          <w:b/>
          <w:color w:val="auto"/>
          <w:sz w:val="28"/>
          <w:szCs w:val="28"/>
          <w:highlight w:val="none"/>
        </w:rPr>
        <w:t>3.5编写评审报告</w:t>
      </w:r>
    </w:p>
    <w:p>
      <w:pPr>
        <w:spacing w:line="520" w:lineRule="exact"/>
        <w:ind w:firstLine="570"/>
        <w:rPr>
          <w:rFonts w:ascii="宋体" w:hAnsi="宋体"/>
          <w:color w:val="auto"/>
          <w:szCs w:val="21"/>
          <w:highlight w:val="none"/>
        </w:rPr>
      </w:pPr>
      <w:r>
        <w:rPr>
          <w:rFonts w:hint="eastAsia" w:ascii="宋体" w:hAnsi="宋体"/>
          <w:color w:val="auto"/>
          <w:szCs w:val="21"/>
          <w:highlight w:val="none"/>
        </w:rPr>
        <w:t>竞争性谈判工作结束后，谈判小组根据全体成员签字的原始记录和结果编写评审报告。评审报告内容主要包括：(1)项目基本情况；(2)竞争性谈判过程介绍；(3)谈判小组构成；(4)谈判评审情况说明（包括详细评审评分、无效响应人名单及原因）；(5)响应人最终报价情况；(6)推荐成交候选人建议等。</w:t>
      </w:r>
    </w:p>
    <w:p>
      <w:pPr>
        <w:widowControl/>
        <w:jc w:val="left"/>
        <w:rPr>
          <w:color w:val="auto"/>
          <w:sz w:val="28"/>
          <w:szCs w:val="28"/>
          <w:highlight w:val="none"/>
        </w:rPr>
        <w:sectPr>
          <w:pgSz w:w="11906" w:h="16838"/>
          <w:pgMar w:top="1440" w:right="1800" w:bottom="1440" w:left="1800" w:header="851" w:footer="992" w:gutter="0"/>
          <w:cols w:space="720" w:num="1"/>
          <w:docGrid w:type="lines" w:linePitch="312" w:charSpace="0"/>
        </w:sectPr>
      </w:pPr>
      <w:r>
        <w:rPr>
          <w:rFonts w:ascii="宋体" w:hAnsi="宋体"/>
          <w:color w:val="auto"/>
          <w:szCs w:val="21"/>
          <w:highlight w:val="none"/>
        </w:rPr>
        <w:br w:type="page"/>
      </w:r>
      <w:bookmarkEnd w:id="109"/>
      <w:bookmarkEnd w:id="110"/>
      <w:bookmarkEnd w:id="111"/>
      <w:bookmarkEnd w:id="112"/>
      <w:bookmarkEnd w:id="113"/>
      <w:bookmarkEnd w:id="114"/>
      <w:bookmarkEnd w:id="115"/>
      <w:bookmarkEnd w:id="116"/>
      <w:bookmarkEnd w:id="120"/>
      <w:bookmarkStart w:id="124" w:name="_Toc456551944"/>
    </w:p>
    <w:bookmarkEnd w:id="124"/>
    <w:p>
      <w:pPr>
        <w:pStyle w:val="2"/>
        <w:spacing w:before="0" w:after="0" w:line="360" w:lineRule="auto"/>
        <w:jc w:val="center"/>
        <w:rPr>
          <w:rFonts w:hint="eastAsia" w:ascii="宋体" w:hAnsi="宋体"/>
          <w:color w:val="auto"/>
          <w:sz w:val="28"/>
          <w:szCs w:val="28"/>
          <w:highlight w:val="none"/>
        </w:rPr>
      </w:pPr>
      <w:bookmarkStart w:id="125" w:name="_3._其他说明_4."/>
      <w:bookmarkEnd w:id="125"/>
      <w:bookmarkStart w:id="126" w:name="_Toc338661803"/>
      <w:bookmarkStart w:id="127" w:name="_Toc246997096"/>
      <w:bookmarkStart w:id="128" w:name="_Toc247085870"/>
      <w:bookmarkStart w:id="129" w:name="_Toc246996353"/>
      <w:bookmarkStart w:id="130" w:name="_Toc179632804"/>
      <w:bookmarkStart w:id="131" w:name="_Toc456552075"/>
      <w:bookmarkStart w:id="132" w:name="_Toc5985"/>
      <w:r>
        <w:rPr>
          <w:rFonts w:hint="eastAsia" w:ascii="宋体" w:hAnsi="宋体"/>
          <w:color w:val="auto"/>
          <w:sz w:val="28"/>
          <w:szCs w:val="28"/>
          <w:highlight w:val="none"/>
        </w:rPr>
        <w:t xml:space="preserve">第四章 </w:t>
      </w:r>
      <w:bookmarkEnd w:id="126"/>
      <w:bookmarkEnd w:id="127"/>
      <w:bookmarkEnd w:id="128"/>
      <w:bookmarkEnd w:id="129"/>
      <w:bookmarkEnd w:id="130"/>
      <w:bookmarkEnd w:id="131"/>
      <w:r>
        <w:rPr>
          <w:rFonts w:hint="eastAsia" w:ascii="宋体" w:hAnsi="宋体"/>
          <w:color w:val="auto"/>
          <w:sz w:val="28"/>
          <w:szCs w:val="28"/>
          <w:highlight w:val="none"/>
        </w:rPr>
        <w:t>用户需求书/技术规范书</w:t>
      </w:r>
      <w:bookmarkEnd w:id="132"/>
    </w:p>
    <w:p>
      <w:pPr>
        <w:pStyle w:val="4"/>
        <w:spacing w:before="0" w:after="120" w:line="415" w:lineRule="auto"/>
        <w:jc w:val="center"/>
        <w:rPr>
          <w:rFonts w:ascii="黑体" w:hAnsi="黑体" w:eastAsia="黑体"/>
          <w:color w:val="auto"/>
          <w:sz w:val="28"/>
          <w:szCs w:val="28"/>
          <w:highlight w:val="none"/>
        </w:rPr>
      </w:pPr>
      <w:r>
        <w:rPr>
          <w:rFonts w:ascii="黑体" w:hAnsi="黑体" w:eastAsia="黑体"/>
          <w:color w:val="auto"/>
          <w:sz w:val="28"/>
          <w:szCs w:val="28"/>
          <w:highlight w:val="none"/>
        </w:rPr>
        <w:t>商务需求书</w:t>
      </w:r>
    </w:p>
    <w:tbl>
      <w:tblPr>
        <w:tblStyle w:val="39"/>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718" w:type="dxa"/>
            <w:vAlign w:val="center"/>
          </w:tcPr>
          <w:p>
            <w:pPr>
              <w:bidi w:val="0"/>
              <w:rPr>
                <w:rFonts w:ascii="宋体" w:hAnsi="宋体" w:cs="宋体"/>
                <w:color w:val="auto"/>
                <w:szCs w:val="21"/>
                <w:highlight w:val="none"/>
              </w:rPr>
            </w:pPr>
            <w:r>
              <w:rPr>
                <w:color w:val="auto"/>
                <w:highlight w:val="none"/>
              </w:rPr>
              <w:br w:type="page"/>
            </w:r>
            <w:r>
              <w:rPr>
                <w:rFonts w:hint="eastAsia" w:ascii="宋体" w:hAnsi="宋体" w:cs="宋体"/>
                <w:color w:val="auto"/>
                <w:szCs w:val="21"/>
                <w:highlight w:val="none"/>
              </w:rPr>
              <w:t>序号</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46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合格投标人</w:t>
            </w:r>
          </w:p>
        </w:tc>
        <w:tc>
          <w:tcPr>
            <w:tcW w:w="6466" w:type="dxa"/>
            <w:vAlign w:val="center"/>
          </w:tcPr>
          <w:p>
            <w:pPr>
              <w:pStyle w:val="108"/>
              <w:ind w:left="0" w:leftChars="0" w:firstLine="0" w:firstLineChars="0"/>
              <w:jc w:val="both"/>
              <w:rPr>
                <w:rFonts w:ascii="宋体" w:hAnsi="宋体" w:cs="宋体"/>
                <w:bCs/>
                <w:color w:val="auto"/>
                <w:kern w:val="44"/>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服务期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宋体" w:hAnsi="宋体" w:cs="宋体"/>
                <w:color w:val="auto"/>
                <w:szCs w:val="21"/>
                <w:highlight w:val="none"/>
              </w:rPr>
            </w:pPr>
            <w:r>
              <w:rPr>
                <w:rFonts w:hint="eastAsia" w:ascii="宋体" w:hAnsi="宋体" w:cs="宋体"/>
                <w:color w:val="auto"/>
                <w:szCs w:val="21"/>
                <w:highlight w:val="none"/>
              </w:rPr>
              <w:t>自合同签订之日起至 2025年12月 31日止。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付款方式</w:t>
            </w:r>
          </w:p>
        </w:tc>
        <w:tc>
          <w:tcPr>
            <w:tcW w:w="6466" w:type="dxa"/>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both"/>
              <w:textAlignment w:val="auto"/>
              <w:rPr>
                <w:rFonts w:ascii="宋体" w:hAnsi="宋体" w:cs="宋体"/>
                <w:color w:val="auto"/>
                <w:szCs w:val="21"/>
                <w:highlight w:val="none"/>
              </w:rPr>
            </w:pPr>
            <w:r>
              <w:rPr>
                <w:rFonts w:hint="eastAsia" w:ascii="宋体" w:eastAsia="宋体" w:cs="宋体"/>
                <w:color w:val="auto"/>
                <w:sz w:val="21"/>
                <w:szCs w:val="21"/>
                <w:highlight w:val="none"/>
              </w:rPr>
              <w:t>①按月对账，乙方每月26日提交本月（上月26日至本月25日）运费对账单及对应承运单等凭证发出请款需求，甲方收到上述请款资料在10个工作日内进行核实，双方确认无误后，乙方在5个工作日内开出增值税专用服务发票。②甲方在收到</w:t>
            </w:r>
            <w:r>
              <w:rPr>
                <w:rFonts w:hint="eastAsia" w:ascii="宋体" w:eastAsia="宋体" w:cs="宋体"/>
                <w:color w:val="auto"/>
                <w:sz w:val="21"/>
                <w:szCs w:val="21"/>
                <w:highlight w:val="none"/>
                <w:lang w:eastAsia="zh-CN"/>
              </w:rPr>
              <w:t>乙方</w:t>
            </w:r>
            <w:r>
              <w:rPr>
                <w:rFonts w:hint="eastAsia" w:ascii="宋体" w:eastAsia="宋体" w:cs="宋体"/>
                <w:color w:val="auto"/>
                <w:sz w:val="21"/>
                <w:szCs w:val="21"/>
                <w:highlight w:val="none"/>
              </w:rPr>
              <w:t>发票后</w:t>
            </w:r>
            <w:r>
              <w:rPr>
                <w:rFonts w:hint="eastAsia" w:ascii="宋体" w:cs="宋体"/>
                <w:color w:val="auto"/>
                <w:sz w:val="21"/>
                <w:szCs w:val="21"/>
                <w:highlight w:val="none"/>
                <w:lang w:val="en-US" w:eastAsia="zh-CN"/>
              </w:rPr>
              <w:t>15</w:t>
            </w:r>
            <w:r>
              <w:rPr>
                <w:rFonts w:hint="eastAsia" w:ascii="宋体" w:eastAsia="宋体" w:cs="宋体"/>
                <w:color w:val="auto"/>
                <w:sz w:val="21"/>
                <w:szCs w:val="21"/>
                <w:highlight w:val="none"/>
              </w:rPr>
              <w:t>个工作</w:t>
            </w:r>
            <w:r>
              <w:rPr>
                <w:rFonts w:hint="eastAsia" w:ascii="宋体" w:cs="宋体"/>
                <w:color w:val="auto"/>
                <w:sz w:val="21"/>
                <w:szCs w:val="21"/>
                <w:highlight w:val="none"/>
                <w:lang w:val="en-US" w:eastAsia="zh-CN"/>
              </w:rPr>
              <w:t>日</w:t>
            </w:r>
            <w:r>
              <w:rPr>
                <w:rFonts w:hint="eastAsia" w:ascii="宋体" w:eastAsia="宋体" w:cs="宋体"/>
                <w:color w:val="auto"/>
                <w:sz w:val="21"/>
                <w:szCs w:val="21"/>
                <w:highlight w:val="none"/>
              </w:rPr>
              <w:t>内将运输服务费支付给乙方。支付方式仅限于双方签约运输服务合同所列公司银行账号进行公对公银行转账。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服务地点</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要求</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响应报价应包括本项目所有服务内容的费用，包括所有</w:t>
            </w:r>
            <w:r>
              <w:rPr>
                <w:rFonts w:hint="eastAsia" w:ascii="宋体" w:hAnsi="宋体" w:eastAsia="宋体" w:cs="宋体"/>
                <w:color w:val="auto"/>
                <w:sz w:val="21"/>
                <w:szCs w:val="21"/>
                <w:highlight w:val="none"/>
                <w:lang w:val="zh-CN" w:eastAsia="zh-CN"/>
              </w:rPr>
              <w:t>材料、工具、人工、管理费、</w:t>
            </w:r>
            <w:r>
              <w:rPr>
                <w:rFonts w:hint="eastAsia" w:ascii="宋体" w:hAnsi="宋体" w:cs="宋体"/>
                <w:color w:val="auto"/>
                <w:sz w:val="21"/>
                <w:szCs w:val="21"/>
                <w:highlight w:val="none"/>
                <w:lang w:val="en-US" w:eastAsia="zh-CN"/>
              </w:rPr>
              <w:t>保险、</w:t>
            </w:r>
            <w:r>
              <w:rPr>
                <w:rFonts w:hint="eastAsia" w:ascii="宋体" w:hAnsi="宋体" w:eastAsia="宋体" w:cs="宋体"/>
                <w:color w:val="auto"/>
                <w:sz w:val="21"/>
                <w:szCs w:val="21"/>
                <w:highlight w:val="none"/>
                <w:lang w:val="zh-CN" w:eastAsia="zh-CN"/>
              </w:rPr>
              <w:t>利润、税金、风险等一切因素所有应该和可能发生的费用因素。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有效期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501"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cs="宋体"/>
                <w:color w:val="auto"/>
                <w:szCs w:val="21"/>
                <w:highlight w:val="none"/>
              </w:rPr>
            </w:pPr>
            <w:r>
              <w:rPr>
                <w:rFonts w:ascii="宋体" w:hAnsi="宋体" w:eastAsia="宋体"/>
                <w:color w:val="auto"/>
                <w:szCs w:val="21"/>
                <w:highlight w:val="none"/>
              </w:rPr>
              <w:t>其它要求</w:t>
            </w:r>
          </w:p>
        </w:tc>
        <w:tc>
          <w:tcPr>
            <w:tcW w:w="6466"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投标人应充分结合本招标文件上下文了解项目招标需求、采购文件未尽事宜，将在合同签订或项目执行过程中双方协商确定，供应商须无条件满足采购单位的合理要求。</w:t>
            </w:r>
          </w:p>
        </w:tc>
      </w:tr>
    </w:tbl>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rPr>
          <w:rFonts w:ascii="黑体" w:hAnsi="黑体" w:eastAsia="黑体"/>
          <w:color w:val="auto"/>
          <w:sz w:val="28"/>
          <w:szCs w:val="28"/>
          <w:highlight w:val="none"/>
        </w:rPr>
      </w:pPr>
    </w:p>
    <w:p>
      <w:pPr>
        <w:pStyle w:val="4"/>
        <w:spacing w:before="0" w:after="120" w:line="415" w:lineRule="auto"/>
        <w:jc w:val="center"/>
        <w:rPr>
          <w:rFonts w:ascii="黑体" w:hAnsi="黑体" w:eastAsia="黑体"/>
          <w:color w:val="auto"/>
          <w:sz w:val="28"/>
          <w:szCs w:val="28"/>
          <w:highlight w:val="none"/>
        </w:rPr>
      </w:pPr>
      <w:r>
        <w:rPr>
          <w:rFonts w:ascii="黑体" w:hAnsi="黑体" w:eastAsia="黑体"/>
          <w:color w:val="auto"/>
          <w:sz w:val="28"/>
          <w:szCs w:val="28"/>
          <w:highlight w:val="none"/>
        </w:rPr>
        <w:t>技术需求书</w:t>
      </w:r>
    </w:p>
    <w:p>
      <w:pPr>
        <w:spacing w:line="360" w:lineRule="auto"/>
        <w:rPr>
          <w:rFonts w:hint="eastAsia" w:ascii="宋体" w:hAnsi="宋体" w:eastAsia="宋体" w:cs="宋体"/>
          <w:b/>
          <w:bCs/>
          <w:color w:val="auto"/>
          <w:sz w:val="21"/>
          <w:szCs w:val="21"/>
          <w:highlight w:val="none"/>
        </w:rPr>
      </w:pPr>
      <w:bookmarkStart w:id="133" w:name="_Toc18199"/>
      <w:bookmarkStart w:id="134" w:name="_Toc438143778"/>
      <w:bookmarkStart w:id="135" w:name="_Toc438039969"/>
      <w:bookmarkStart w:id="136" w:name="_Toc456552076"/>
      <w:bookmarkStart w:id="137" w:name="_Toc435779386"/>
      <w:r>
        <w:rPr>
          <w:rFonts w:hint="eastAsia" w:ascii="宋体" w:hAnsi="宋体" w:eastAsia="宋体" w:cs="宋体"/>
          <w:b/>
          <w:bCs/>
          <w:color w:val="auto"/>
          <w:sz w:val="21"/>
          <w:szCs w:val="21"/>
          <w:highlight w:val="none"/>
        </w:rPr>
        <w:t>一、基本情况介绍</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（一）基本情况</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港澳码头位于滨海湾新区交椅礁侧，因历史遗留问题导致开发过程中此处产生大量渗滤液需运输至东莞市新东欣环保投资有限公司集中处理，现场渗滤液情况如下：</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废物名称</w:t>
            </w:r>
          </w:p>
        </w:tc>
        <w:tc>
          <w:tcPr>
            <w:tcW w:w="1704"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预计运输总量（吨）</w:t>
            </w:r>
          </w:p>
        </w:tc>
        <w:tc>
          <w:tcPr>
            <w:tcW w:w="1704"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预计日运输量（吨）</w:t>
            </w:r>
          </w:p>
        </w:tc>
        <w:tc>
          <w:tcPr>
            <w:tcW w:w="1704" w:type="dxa"/>
            <w:vAlign w:val="center"/>
          </w:tcPr>
          <w:p>
            <w:pPr>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运输单价最高限价（元/吨）</w:t>
            </w:r>
          </w:p>
        </w:tc>
        <w:tc>
          <w:tcPr>
            <w:tcW w:w="1704"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渗滤液</w:t>
            </w:r>
          </w:p>
        </w:tc>
        <w:tc>
          <w:tcPr>
            <w:tcW w:w="170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w:t>
            </w:r>
          </w:p>
        </w:tc>
        <w:tc>
          <w:tcPr>
            <w:tcW w:w="170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w:t>
            </w:r>
          </w:p>
        </w:tc>
        <w:tc>
          <w:tcPr>
            <w:tcW w:w="1704" w:type="dxa"/>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70.00</w:t>
            </w:r>
          </w:p>
        </w:tc>
        <w:tc>
          <w:tcPr>
            <w:tcW w:w="1704"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实际运输总量及日运输量不设上限或下限。</w:t>
            </w:r>
          </w:p>
        </w:tc>
      </w:tr>
    </w:tbl>
    <w:p>
      <w:pPr>
        <w:spacing w:line="36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运输起止点：</w:t>
      </w:r>
      <w:r>
        <w:rPr>
          <w:rFonts w:hint="eastAsia" w:ascii="宋体" w:hAnsi="宋体" w:eastAsia="宋体" w:cs="宋体"/>
          <w:b/>
          <w:bCs/>
          <w:color w:val="auto"/>
          <w:sz w:val="21"/>
          <w:szCs w:val="21"/>
          <w:highlight w:val="none"/>
        </w:rPr>
        <w:t>滨海湾新区交椅礁侧→东莞市新东欣环保投资有限公司（单程运距约45km）</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（二）现场情况</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港澳码头现场施工导致道路路况差，现场道路均无硬化路面铺设，同时因现场开挖导致既定道路突然挖断或变更的情况。</w:t>
      </w:r>
      <w:r>
        <w:rPr>
          <w:rFonts w:hint="eastAsia" w:ascii="宋体" w:hAnsi="宋体" w:cs="宋体"/>
          <w:color w:val="auto"/>
          <w:szCs w:val="21"/>
          <w:highlight w:val="none"/>
          <w:lang w:val="en-US" w:eastAsia="zh-CN"/>
        </w:rPr>
        <w:t>供应商报价时应充分考虑此风险，投标单价报价</w:t>
      </w:r>
      <w:r>
        <w:rPr>
          <w:rFonts w:hint="eastAsia" w:ascii="宋体" w:hAnsi="宋体" w:cs="宋体"/>
          <w:color w:val="auto"/>
          <w:sz w:val="21"/>
          <w:szCs w:val="21"/>
          <w:highlight w:val="none"/>
          <w:lang w:val="en-US" w:eastAsia="zh-CN"/>
        </w:rPr>
        <w:t>包括本项目</w:t>
      </w:r>
      <w:r>
        <w:rPr>
          <w:rFonts w:hint="eastAsia" w:ascii="宋体" w:hAnsi="宋体" w:eastAsia="宋体" w:cs="宋体"/>
          <w:color w:val="auto"/>
          <w:sz w:val="21"/>
          <w:szCs w:val="21"/>
          <w:highlight w:val="none"/>
          <w:lang w:val="en-US" w:eastAsia="zh-CN"/>
        </w:rPr>
        <w:t>所有服务内容的费用，包括所有</w:t>
      </w:r>
      <w:r>
        <w:rPr>
          <w:rFonts w:hint="eastAsia" w:ascii="宋体" w:hAnsi="宋体" w:eastAsia="宋体" w:cs="宋体"/>
          <w:color w:val="auto"/>
          <w:sz w:val="21"/>
          <w:szCs w:val="21"/>
          <w:highlight w:val="none"/>
          <w:lang w:val="zh-CN" w:eastAsia="zh-CN"/>
        </w:rPr>
        <w:t>材料、工具、人工、管理费、</w:t>
      </w:r>
      <w:r>
        <w:rPr>
          <w:rFonts w:hint="eastAsia" w:ascii="宋体" w:hAnsi="宋体" w:cs="宋体"/>
          <w:color w:val="auto"/>
          <w:sz w:val="21"/>
          <w:szCs w:val="21"/>
          <w:highlight w:val="none"/>
          <w:lang w:val="en-US" w:eastAsia="zh-CN"/>
        </w:rPr>
        <w:t>保险、</w:t>
      </w:r>
      <w:r>
        <w:rPr>
          <w:rFonts w:hint="eastAsia" w:ascii="宋体" w:hAnsi="宋体" w:eastAsia="宋体" w:cs="宋体"/>
          <w:color w:val="auto"/>
          <w:sz w:val="21"/>
          <w:szCs w:val="21"/>
          <w:highlight w:val="none"/>
          <w:lang w:val="zh-CN" w:eastAsia="zh-CN"/>
        </w:rPr>
        <w:t>利润、税金、风险等一切因素所有应该和可能发生的费用因素</w:t>
      </w:r>
      <w:r>
        <w:rPr>
          <w:rFonts w:hint="eastAsia" w:ascii="宋体" w:hAnsi="宋体" w:cs="宋体"/>
          <w:color w:val="auto"/>
          <w:sz w:val="21"/>
          <w:szCs w:val="21"/>
          <w:highlight w:val="none"/>
          <w:lang w:val="zh-CN" w:eastAsia="zh-CN"/>
        </w:rPr>
        <w:t>。</w:t>
      </w:r>
    </w:p>
    <w:p>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0" distR="0">
            <wp:extent cx="1890395" cy="2519680"/>
            <wp:effectExtent l="0" t="0" r="0" b="0"/>
            <wp:docPr id="9582094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09499"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90796" cy="2520000"/>
                    </a:xfrm>
                    <a:prstGeom prst="rect">
                      <a:avLst/>
                    </a:prstGeom>
                    <a:noFill/>
                    <a:ln>
                      <a:noFill/>
                    </a:ln>
                  </pic:spPr>
                </pic:pic>
              </a:graphicData>
            </a:graphic>
          </wp:inline>
        </w:drawing>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drawing>
          <wp:inline distT="0" distB="0" distL="0" distR="0">
            <wp:extent cx="1890395" cy="2519680"/>
            <wp:effectExtent l="0" t="0" r="0" b="0"/>
            <wp:docPr id="4166396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39664"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90797" cy="2520000"/>
                    </a:xfrm>
                    <a:prstGeom prst="rect">
                      <a:avLst/>
                    </a:prstGeom>
                    <a:noFill/>
                    <a:ln>
                      <a:noFill/>
                    </a:ln>
                  </pic:spPr>
                </pic:pic>
              </a:graphicData>
            </a:graphic>
          </wp:inline>
        </w:drawing>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二、技术需求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确保港澳码头周边地块综合整理项目渗滤液（以下简称：渗滤液）安全及规范运至东莞市新东欣环保投资有限公司（以下简称：新东欣），妥善协调及处理渗滤液收运现场相关工作必要流程及异常，现将渗滤液收运相关技术需求作如下要求：</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（一）车辆配置</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中标单位需配置足额数量的槽车/罐车，以满足日常收运渗滤液及随时可能发生异常情况下的紧急清运需求。其中槽车、罐车要求如下</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914"/>
        <w:gridCol w:w="943"/>
        <w:gridCol w:w="1665"/>
        <w:gridCol w:w="200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资质要求</w:t>
            </w:r>
          </w:p>
        </w:tc>
        <w:tc>
          <w:tcPr>
            <w:tcW w:w="914" w:type="dxa"/>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介质要求</w:t>
            </w:r>
          </w:p>
        </w:tc>
        <w:tc>
          <w:tcPr>
            <w:tcW w:w="943" w:type="dxa"/>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容积要求</w:t>
            </w:r>
          </w:p>
        </w:tc>
        <w:tc>
          <w:tcPr>
            <w:tcW w:w="1665" w:type="dxa"/>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罐体材质</w:t>
            </w:r>
          </w:p>
        </w:tc>
        <w:tc>
          <w:tcPr>
            <w:tcW w:w="2003" w:type="dxa"/>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其他要求</w:t>
            </w:r>
          </w:p>
        </w:tc>
        <w:tc>
          <w:tcPr>
            <w:tcW w:w="1862" w:type="dxa"/>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运输频次（预计）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无特殊要求</w:t>
            </w:r>
          </w:p>
        </w:tc>
        <w:tc>
          <w:tcPr>
            <w:tcW w:w="91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无特殊要求</w:t>
            </w:r>
          </w:p>
        </w:tc>
        <w:tc>
          <w:tcPr>
            <w:tcW w:w="94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28m³以上</w:t>
            </w:r>
          </w:p>
        </w:tc>
        <w:tc>
          <w:tcPr>
            <w:tcW w:w="166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衬塑或不锈钢或铝罐</w:t>
            </w:r>
          </w:p>
        </w:tc>
        <w:tc>
          <w:tcPr>
            <w:tcW w:w="200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罐内需保持干净，确保渗滤液不受罐内原残留物污染。</w:t>
            </w:r>
          </w:p>
        </w:tc>
        <w:tc>
          <w:tcPr>
            <w:tcW w:w="1862"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5车/天（特殊情况有增减）</w:t>
            </w: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备注：能满足突发情况下，大幅增加运力的需求。</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2、渗滤液运输车辆需自备卸料管道，卸料管道长度不短于10米，并自行配备DN80接头，连接新东欣废水卸货口卸货。</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（二）人员配置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中标单位必须配置与槽车、罐车相适配的运输人员，包括但不限于运输司机、现场协调人员等。其中运输司机至少5名；熟悉现场并能进行现场协调人员至少1名；负责项目对接人员至少1名。</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运输司机：运输公司必须持有适驾上述槽车的驾驶证，必须配合装货及卸货现场的指挥，不得外排渗滤液。</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现场协调人员：负责运输现场的协调工作，包括但不限于拍照固定事实、协调进场道路、沟通及调度车辆等。</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项目对接人：负责与新东欣对接对账、管理等事宜。</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4、人员劳保防护要求：反光劳保服、安全头盔</w:t>
      </w:r>
      <w:r>
        <w:rPr>
          <w:rFonts w:hint="eastAsia" w:ascii="宋体" w:hAnsi="宋体" w:eastAsia="宋体" w:cs="宋体"/>
          <w:color w:val="auto"/>
          <w:sz w:val="21"/>
          <w:szCs w:val="21"/>
          <w:highlight w:val="none"/>
        </w:rPr>
        <w:t>、劳保鞋、防护手套等</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（三）设备配置</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备柴油泵若干：渗滤液收运现场因无电源，且无抽水设备提供，中标单位需自行配备柴油抽水泵抽取渗滤液，同时应确保抽水管口不沉底，避免池底淤泥抽入罐内，进而影响新东欣公司渗滤液处理系统。中标</w:t>
      </w: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rPr>
        <w:t>自行配置的柴油泵由中标</w:t>
      </w: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rPr>
        <w:t>负责保管、维护。</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2、GPS定位系统 运输车需配备GPS定位系统，定期维护GPS系统，确保运输全过程均可由GPS记录运输轨迹</w:t>
      </w:r>
      <w:r>
        <w:rPr>
          <w:rFonts w:hint="eastAsia" w:ascii="宋体" w:hAnsi="宋体" w:eastAsia="宋体" w:cs="宋体"/>
          <w:color w:val="auto"/>
          <w:sz w:val="21"/>
          <w:szCs w:val="21"/>
          <w:highlight w:val="none"/>
        </w:rPr>
        <w:t>并导出GPS轨迹图</w:t>
      </w:r>
      <w:r>
        <w:rPr>
          <w:rFonts w:hint="eastAsia" w:ascii="宋体" w:hAnsi="宋体" w:eastAsia="宋体" w:cs="宋体"/>
          <w:color w:val="auto"/>
          <w:sz w:val="21"/>
          <w:szCs w:val="21"/>
          <w:highlight w:val="none"/>
        </w:rPr>
        <w:t>。</w:t>
      </w:r>
    </w:p>
    <w:p>
      <w:pPr>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（四）其他要求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1、中标单位需严格按照甲方及相关部门的要求进行收运，并做好拍照存档、每日收运情况汇报等工作。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2、中标单位需严格按照甲方及相关部门的要求做好车辆出厂前清洗工作，避免泥土带入市政道路。</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3、中标单位做好每月收运数据统计对账工作，提供相关对账资料。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4、甲方的业主单位提出新的资料提供要求的，中标单位应积极配合甲方予以提供。</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5、如有紧急情况，中标</w:t>
      </w:r>
      <w:r>
        <w:rPr>
          <w:rFonts w:hint="eastAsia" w:ascii="宋体" w:hAnsi="宋体" w:cs="宋体"/>
          <w:color w:val="auto"/>
          <w:sz w:val="21"/>
          <w:szCs w:val="21"/>
          <w:highlight w:val="none"/>
          <w:lang w:val="en-US" w:eastAsia="zh-CN"/>
        </w:rPr>
        <w:t>单位须</w:t>
      </w:r>
      <w:r>
        <w:rPr>
          <w:rFonts w:hint="eastAsia" w:ascii="宋体" w:hAnsi="宋体" w:eastAsia="宋体" w:cs="宋体"/>
          <w:color w:val="auto"/>
          <w:sz w:val="21"/>
          <w:szCs w:val="21"/>
          <w:highlight w:val="none"/>
          <w:lang w:val="en-US" w:eastAsia="zh-CN"/>
        </w:rPr>
        <w:t>为采购人提供应急服务</w:t>
      </w:r>
      <w:r>
        <w:rPr>
          <w:rFonts w:hint="eastAsia" w:ascii="宋体" w:hAnsi="宋体" w:cs="宋体"/>
          <w:color w:val="auto"/>
          <w:sz w:val="21"/>
          <w:szCs w:val="21"/>
          <w:highlight w:val="none"/>
          <w:lang w:val="en-US" w:eastAsia="zh-CN"/>
        </w:rPr>
        <w:t>，采购人不另承担额外费用。</w:t>
      </w:r>
    </w:p>
    <w:p>
      <w:pPr>
        <w:bidi w:val="0"/>
        <w:rPr>
          <w:rFonts w:hint="eastAsia"/>
          <w:color w:val="auto"/>
          <w:highlight w:val="none"/>
        </w:rPr>
      </w:pPr>
    </w:p>
    <w:p>
      <w:pPr>
        <w:bidi w:val="0"/>
        <w:rPr>
          <w:rFonts w:hint="eastAsia"/>
          <w:color w:val="auto"/>
          <w:highlight w:val="none"/>
        </w:rPr>
      </w:pPr>
    </w:p>
    <w:p>
      <w:pPr>
        <w:rPr>
          <w:rFonts w:hint="eastAsia"/>
          <w:color w:val="auto"/>
          <w:highlight w:val="none"/>
        </w:rPr>
      </w:pPr>
    </w:p>
    <w:p>
      <w:pPr>
        <w:bidi w:val="0"/>
        <w:rPr>
          <w:rFonts w:hint="eastAsia"/>
          <w:color w:val="auto"/>
          <w:highlight w:val="none"/>
        </w:rPr>
      </w:pPr>
    </w:p>
    <w:p>
      <w:pPr>
        <w:rPr>
          <w:rFonts w:hint="eastAsia"/>
          <w:color w:val="auto"/>
          <w:highlight w:val="none"/>
        </w:rPr>
      </w:pPr>
    </w:p>
    <w:p>
      <w:pPr>
        <w:bidi w:val="0"/>
        <w:rPr>
          <w:rFonts w:hint="eastAsia"/>
          <w:color w:val="auto"/>
          <w:highlight w:val="none"/>
        </w:rPr>
      </w:pPr>
    </w:p>
    <w:p>
      <w:pPr>
        <w:rPr>
          <w:rFonts w:hint="eastAsia"/>
          <w:color w:val="auto"/>
          <w:highlight w:val="none"/>
        </w:rPr>
      </w:pPr>
    </w:p>
    <w:p>
      <w:pPr>
        <w:bidi w:val="0"/>
        <w:rPr>
          <w:rFonts w:hint="eastAsia"/>
          <w:color w:val="auto"/>
          <w:highlight w:val="none"/>
        </w:rPr>
      </w:pPr>
    </w:p>
    <w:p>
      <w:pPr>
        <w:rPr>
          <w:rFonts w:hint="eastAsia"/>
          <w:color w:val="auto"/>
          <w:highlight w:val="none"/>
        </w:rPr>
      </w:pPr>
    </w:p>
    <w:p>
      <w:pPr>
        <w:bidi w:val="0"/>
        <w:rPr>
          <w:rFonts w:hint="eastAsia"/>
          <w:color w:val="auto"/>
          <w:highlight w:val="none"/>
        </w:rPr>
      </w:pPr>
    </w:p>
    <w:p>
      <w:pPr>
        <w:rPr>
          <w:rFonts w:hint="eastAsia"/>
          <w:color w:val="auto"/>
          <w:highlight w:val="none"/>
        </w:rPr>
      </w:pPr>
    </w:p>
    <w:p>
      <w:pPr>
        <w:bidi w:val="0"/>
        <w:rPr>
          <w:rFonts w:hint="eastAsia"/>
          <w:color w:val="auto"/>
          <w:highlight w:val="none"/>
        </w:rPr>
      </w:pPr>
    </w:p>
    <w:p>
      <w:pPr>
        <w:rPr>
          <w:rFonts w:hint="eastAsia"/>
          <w:color w:val="auto"/>
          <w:highlight w:val="none"/>
        </w:rPr>
      </w:pPr>
    </w:p>
    <w:p>
      <w:pPr>
        <w:bidi w:val="0"/>
        <w:rPr>
          <w:rFonts w:hint="eastAsia"/>
          <w:color w:val="auto"/>
          <w:highlight w:val="none"/>
        </w:rPr>
      </w:pPr>
    </w:p>
    <w:p>
      <w:pPr>
        <w:rPr>
          <w:rFonts w:hint="eastAsia"/>
          <w:color w:val="auto"/>
          <w:highlight w:val="none"/>
        </w:rPr>
      </w:pPr>
    </w:p>
    <w:p>
      <w:pPr>
        <w:bidi w:val="0"/>
        <w:rPr>
          <w:rFonts w:hint="eastAsia"/>
          <w:color w:val="auto"/>
          <w:highlight w:val="none"/>
        </w:rPr>
      </w:pPr>
    </w:p>
    <w:p>
      <w:pPr>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2"/>
        <w:jc w:val="center"/>
        <w:rPr>
          <w:rFonts w:ascii="宋体" w:hAnsi="宋体"/>
          <w:b/>
          <w:bCs/>
          <w:color w:val="auto"/>
          <w:kern w:val="44"/>
          <w:sz w:val="28"/>
          <w:szCs w:val="28"/>
          <w:highlight w:val="none"/>
        </w:rPr>
      </w:pPr>
      <w:r>
        <w:rPr>
          <w:rFonts w:hint="eastAsia"/>
          <w:color w:val="auto"/>
          <w:sz w:val="28"/>
          <w:szCs w:val="28"/>
          <w:highlight w:val="none"/>
        </w:rPr>
        <w:t>第五章 合同条款格式</w:t>
      </w:r>
      <w:bookmarkEnd w:id="133"/>
    </w:p>
    <w:p>
      <w:pPr>
        <w:pStyle w:val="2"/>
        <w:jc w:val="center"/>
        <w:rPr>
          <w:rFonts w:hint="default"/>
          <w:color w:val="auto"/>
          <w:highlight w:val="none"/>
          <w:lang w:val="en-US"/>
        </w:rPr>
      </w:pPr>
      <w:bookmarkStart w:id="138" w:name="_Toc4498"/>
      <w:r>
        <w:rPr>
          <w:rFonts w:hint="eastAsia" w:ascii="宋体" w:hAnsi="宋体"/>
          <w:color w:val="auto"/>
          <w:highlight w:val="none"/>
          <w:lang w:eastAsia="zh-CN"/>
        </w:rPr>
        <w:t>港澳码头周边地块综合整理项目渗滤液运输服务</w:t>
      </w:r>
      <w:r>
        <w:rPr>
          <w:rFonts w:hint="eastAsia" w:ascii="宋体" w:hAnsi="宋体"/>
          <w:color w:val="auto"/>
          <w:highlight w:val="none"/>
          <w:lang w:val="en-US" w:eastAsia="zh-CN"/>
        </w:rPr>
        <w:t>项目合同</w:t>
      </w:r>
    </w:p>
    <w:p>
      <w:pPr>
        <w:spacing w:line="360" w:lineRule="auto"/>
        <w:jc w:val="center"/>
        <w:rPr>
          <w:rFonts w:ascii="宋?fa" w:cs="Times New Roman"/>
          <w:b/>
          <w:bCs/>
          <w:color w:val="auto"/>
          <w:sz w:val="36"/>
          <w:szCs w:val="36"/>
          <w:highlight w:val="none"/>
        </w:rPr>
      </w:pPr>
    </w:p>
    <w:p>
      <w:pPr>
        <w:spacing w:line="360" w:lineRule="auto"/>
        <w:rPr>
          <w:rFonts w:ascii="宋?fa" w:cs="Times New Roman"/>
          <w:color w:val="auto"/>
          <w:highlight w:val="none"/>
        </w:rPr>
      </w:pPr>
      <w:r>
        <w:rPr>
          <w:rFonts w:hint="eastAsia" w:ascii="宋?fa" w:hAnsi="宋?fa" w:cs="宋?fa"/>
          <w:color w:val="auto"/>
          <w:highlight w:val="none"/>
        </w:rPr>
        <w:t>签订时间：</w:t>
      </w:r>
      <w:r>
        <w:rPr>
          <w:rFonts w:ascii="宋?fa" w:hAnsi="宋?fa" w:cs="宋?fa"/>
          <w:color w:val="auto"/>
          <w:highlight w:val="none"/>
        </w:rPr>
        <w:t>202</w:t>
      </w:r>
      <w:r>
        <w:rPr>
          <w:rFonts w:hint="eastAsia" w:ascii="宋?fa" w:hAnsi="宋?fa" w:cs="宋?fa"/>
          <w:color w:val="auto"/>
          <w:highlight w:val="none"/>
          <w:lang w:val="en-US" w:eastAsia="zh-CN"/>
        </w:rPr>
        <w:t>4</w:t>
      </w:r>
      <w:r>
        <w:rPr>
          <w:rFonts w:hint="eastAsia" w:ascii="宋?fa" w:hAnsi="宋?fa" w:cs="宋?fa"/>
          <w:color w:val="auto"/>
          <w:highlight w:val="none"/>
        </w:rPr>
        <w:t>年</w:t>
      </w:r>
      <w:r>
        <w:rPr>
          <w:rFonts w:hint="eastAsia" w:ascii="宋?fa" w:hAnsi="宋?fa" w:cs="宋?fa"/>
          <w:color w:val="auto"/>
          <w:highlight w:val="none"/>
          <w:lang w:val="en-US" w:eastAsia="zh-CN"/>
        </w:rPr>
        <w:t xml:space="preserve">  </w:t>
      </w:r>
      <w:r>
        <w:rPr>
          <w:rFonts w:hint="eastAsia" w:ascii="宋?fa" w:hAnsi="宋?fa" w:cs="宋?fa"/>
          <w:color w:val="auto"/>
          <w:highlight w:val="none"/>
        </w:rPr>
        <w:t>月</w:t>
      </w:r>
    </w:p>
    <w:p>
      <w:pPr>
        <w:spacing w:line="360" w:lineRule="auto"/>
        <w:rPr>
          <w:rFonts w:ascii="宋?fa" w:eastAsia="宋体" w:cs="Times New Roman"/>
          <w:color w:val="auto"/>
          <w:highlight w:val="none"/>
        </w:rPr>
      </w:pPr>
      <w:r>
        <w:rPr>
          <w:rFonts w:hint="eastAsia" w:ascii="宋?fa" w:hAnsi="宋?fa" w:cs="宋?fa"/>
          <w:color w:val="auto"/>
          <w:highlight w:val="none"/>
        </w:rPr>
        <w:t>签订地点：</w:t>
      </w:r>
      <w:r>
        <w:rPr>
          <w:rFonts w:hint="eastAsia" w:ascii="宋体" w:hAnsi="宋体" w:eastAsia="宋体" w:cs="宋?fa"/>
          <w:color w:val="auto"/>
          <w:highlight w:val="none"/>
        </w:rPr>
        <w:t>东莞</w:t>
      </w:r>
    </w:p>
    <w:p>
      <w:pPr>
        <w:spacing w:line="360" w:lineRule="auto"/>
        <w:rPr>
          <w:rFonts w:ascii="宋?fa" w:hAnsi="宋?fa" w:cs="宋?fa"/>
          <w:color w:val="auto"/>
          <w:highlight w:val="none"/>
        </w:rPr>
      </w:pPr>
      <w:r>
        <w:rPr>
          <w:rFonts w:hint="eastAsia" w:ascii="宋体" w:hAnsi="宋体" w:eastAsia="宋体" w:cs="宋?fa"/>
          <w:color w:val="auto"/>
          <w:highlight w:val="none"/>
        </w:rPr>
        <w:t>甲方</w:t>
      </w:r>
      <w:r>
        <w:rPr>
          <w:rFonts w:hint="eastAsia" w:ascii="宋?fa" w:hAnsi="宋?fa" w:cs="宋?fa"/>
          <w:color w:val="auto"/>
          <w:highlight w:val="none"/>
        </w:rPr>
        <w:t>合同编号</w:t>
      </w:r>
      <w:r>
        <w:rPr>
          <w:rFonts w:ascii="宋?fa" w:hAnsi="宋?fa" w:cs="宋?fa"/>
          <w:color w:val="auto"/>
          <w:highlight w:val="none"/>
        </w:rPr>
        <w:t>:</w:t>
      </w:r>
    </w:p>
    <w:p>
      <w:pPr>
        <w:spacing w:line="360" w:lineRule="auto"/>
        <w:rPr>
          <w:rFonts w:ascii="宋?fa" w:cs="Times New Roman"/>
          <w:color w:val="auto"/>
          <w:highlight w:val="none"/>
        </w:rPr>
      </w:pPr>
      <w:r>
        <w:rPr>
          <w:rFonts w:hint="eastAsia" w:ascii="宋体" w:hAnsi="宋体" w:eastAsia="宋体" w:cs="宋?fa"/>
          <w:color w:val="auto"/>
          <w:highlight w:val="none"/>
        </w:rPr>
        <w:t>乙方</w:t>
      </w:r>
      <w:r>
        <w:rPr>
          <w:rFonts w:hint="eastAsia" w:ascii="宋?fa" w:hAnsi="宋?fa" w:cs="宋?fa"/>
          <w:color w:val="auto"/>
          <w:highlight w:val="none"/>
        </w:rPr>
        <w:t>合同编号</w:t>
      </w:r>
      <w:r>
        <w:rPr>
          <w:rFonts w:ascii="宋?fa" w:hAnsi="宋?fa" w:cs="宋?fa"/>
          <w:color w:val="auto"/>
          <w:highlight w:val="none"/>
        </w:rPr>
        <w:t>:</w:t>
      </w:r>
    </w:p>
    <w:p>
      <w:pPr>
        <w:spacing w:line="360" w:lineRule="auto"/>
        <w:rPr>
          <w:rFonts w:ascii="宋?fa" w:eastAsia="宋体" w:cs="Times New Roman"/>
          <w:color w:val="auto"/>
          <w:highlight w:val="none"/>
        </w:rPr>
      </w:pPr>
    </w:p>
    <w:p>
      <w:pPr>
        <w:spacing w:line="360" w:lineRule="auto"/>
        <w:rPr>
          <w:rFonts w:ascii="宋?fa" w:cs="Times New Roman"/>
          <w:b/>
          <w:bCs/>
          <w:color w:val="auto"/>
          <w:sz w:val="24"/>
          <w:szCs w:val="24"/>
          <w:highlight w:val="none"/>
        </w:rPr>
      </w:pPr>
      <w:r>
        <w:rPr>
          <w:rFonts w:hint="eastAsia" w:ascii="宋?fa" w:hAnsi="宋?fa" w:cs="宋?fa"/>
          <w:b/>
          <w:bCs/>
          <w:color w:val="auto"/>
          <w:sz w:val="24"/>
          <w:szCs w:val="24"/>
          <w:highlight w:val="none"/>
        </w:rPr>
        <w:t>甲方（托运方）：</w:t>
      </w:r>
      <w:r>
        <w:rPr>
          <w:rFonts w:hint="eastAsia" w:cs="宋?fa" w:asciiTheme="minorEastAsia" w:hAnsiTheme="minorEastAsia" w:eastAsiaTheme="minorEastAsia"/>
          <w:b/>
          <w:bCs/>
          <w:color w:val="auto"/>
          <w:sz w:val="24"/>
          <w:szCs w:val="24"/>
          <w:highlight w:val="none"/>
        </w:rPr>
        <w:t>东莞市新东欣环保投资有限公司</w:t>
      </w:r>
      <w:r>
        <w:rPr>
          <w:rFonts w:ascii="宋?fa" w:cs="Times New Roman"/>
          <w:b/>
          <w:bCs/>
          <w:color w:val="auto"/>
          <w:sz w:val="24"/>
          <w:szCs w:val="24"/>
          <w:highlight w:val="none"/>
        </w:rPr>
        <w:t xml:space="preserve"> </w:t>
      </w:r>
    </w:p>
    <w:p>
      <w:pPr>
        <w:spacing w:line="360" w:lineRule="auto"/>
        <w:rPr>
          <w:rFonts w:ascii="宋?fa" w:hAnsi="宋?fa" w:cs="宋?fa"/>
          <w:b/>
          <w:bCs/>
          <w:color w:val="auto"/>
          <w:sz w:val="24"/>
          <w:szCs w:val="24"/>
          <w:highlight w:val="none"/>
        </w:rPr>
      </w:pPr>
      <w:r>
        <w:rPr>
          <w:rFonts w:hint="eastAsia" w:ascii="宋?fa" w:hAnsi="宋?fa" w:cs="宋?fa"/>
          <w:b/>
          <w:bCs/>
          <w:color w:val="auto"/>
          <w:sz w:val="24"/>
          <w:szCs w:val="24"/>
          <w:highlight w:val="none"/>
        </w:rPr>
        <w:t>乙方（承运方）：</w:t>
      </w:r>
    </w:p>
    <w:p>
      <w:pPr>
        <w:spacing w:line="360" w:lineRule="auto"/>
        <w:rPr>
          <w:rFonts w:ascii="宋?fa" w:cs="Times New Roman"/>
          <w:color w:val="auto"/>
          <w:sz w:val="24"/>
          <w:szCs w:val="24"/>
          <w:highlight w:val="none"/>
        </w:rPr>
      </w:pPr>
    </w:p>
    <w:p>
      <w:pPr>
        <w:spacing w:line="360" w:lineRule="auto"/>
        <w:ind w:firstLine="480" w:firstLineChars="200"/>
        <w:rPr>
          <w:rFonts w:ascii="宋?fa" w:cs="Times New Roman"/>
          <w:color w:val="auto"/>
          <w:sz w:val="24"/>
          <w:szCs w:val="24"/>
          <w:highlight w:val="none"/>
        </w:rPr>
      </w:pPr>
      <w:r>
        <w:rPr>
          <w:rFonts w:hint="eastAsia" w:ascii="宋?fa" w:hAnsi="宋?fa" w:cs="宋?fa"/>
          <w:color w:val="auto"/>
          <w:sz w:val="24"/>
          <w:szCs w:val="24"/>
          <w:highlight w:val="none"/>
        </w:rPr>
        <w:t>甲乙双方本着平等互利的原则，依据《中华人民共和国</w:t>
      </w:r>
      <w:r>
        <w:rPr>
          <w:rFonts w:hint="eastAsia" w:ascii="宋?fa" w:hAnsi="宋?fa" w:eastAsia="宋体" w:cs="宋?fa"/>
          <w:color w:val="auto"/>
          <w:sz w:val="24"/>
          <w:szCs w:val="24"/>
          <w:highlight w:val="none"/>
        </w:rPr>
        <w:t>民法典</w:t>
      </w:r>
      <w:r>
        <w:rPr>
          <w:rFonts w:hint="eastAsia" w:ascii="宋?fa" w:hAnsi="宋?fa" w:cs="宋?fa"/>
          <w:color w:val="auto"/>
          <w:sz w:val="24"/>
          <w:szCs w:val="24"/>
          <w:highlight w:val="none"/>
        </w:rPr>
        <w:t>》</w:t>
      </w:r>
      <w:r>
        <w:rPr>
          <w:rFonts w:hint="eastAsia" w:ascii="宋体" w:hAnsi="宋体" w:eastAsia="宋体" w:cs="宋?fa"/>
          <w:color w:val="auto"/>
          <w:sz w:val="24"/>
          <w:szCs w:val="24"/>
          <w:highlight w:val="none"/>
        </w:rPr>
        <w:t>及相关法律法规</w:t>
      </w:r>
      <w:r>
        <w:rPr>
          <w:rFonts w:hint="eastAsia" w:ascii="宋?fa" w:hAnsi="宋?fa" w:cs="宋?fa"/>
          <w:color w:val="auto"/>
          <w:sz w:val="24"/>
          <w:szCs w:val="24"/>
          <w:highlight w:val="none"/>
        </w:rPr>
        <w:t>的有关规定，经充分协商</w:t>
      </w:r>
      <w:r>
        <w:rPr>
          <w:rFonts w:ascii="宋?fa" w:cs="宋?fa"/>
          <w:color w:val="auto"/>
          <w:sz w:val="24"/>
          <w:szCs w:val="24"/>
          <w:highlight w:val="none"/>
        </w:rPr>
        <w:t>,</w:t>
      </w:r>
      <w:r>
        <w:rPr>
          <w:rFonts w:hint="eastAsia" w:ascii="宋?fa" w:hAnsi="宋?fa" w:cs="宋?fa"/>
          <w:color w:val="auto"/>
          <w:sz w:val="24"/>
          <w:szCs w:val="24"/>
          <w:highlight w:val="none"/>
        </w:rPr>
        <w:t>达成如下一致条款，以资双方共同遵守：</w:t>
      </w:r>
    </w:p>
    <w:p>
      <w:pPr>
        <w:tabs>
          <w:tab w:val="left" w:pos="840"/>
        </w:tabs>
        <w:spacing w:line="360" w:lineRule="auto"/>
        <w:rPr>
          <w:rFonts w:ascii="宋?fa" w:cs="Times New Roman"/>
          <w:b/>
          <w:bCs/>
          <w:color w:val="auto"/>
          <w:sz w:val="24"/>
          <w:szCs w:val="24"/>
          <w:highlight w:val="none"/>
        </w:rPr>
      </w:pPr>
      <w:r>
        <w:rPr>
          <w:rFonts w:hint="eastAsia" w:ascii="宋?fa" w:hAnsi="宋?fa" w:cs="宋?fa"/>
          <w:b/>
          <w:bCs/>
          <w:color w:val="auto"/>
          <w:sz w:val="24"/>
          <w:szCs w:val="24"/>
          <w:highlight w:val="none"/>
        </w:rPr>
        <w:t>一、服务内容及合作关系</w:t>
      </w:r>
    </w:p>
    <w:p>
      <w:pPr>
        <w:tabs>
          <w:tab w:val="left" w:pos="840"/>
        </w:tabs>
        <w:spacing w:line="360" w:lineRule="auto"/>
        <w:ind w:firstLine="480" w:firstLineChars="200"/>
        <w:rPr>
          <w:rFonts w:ascii="宋?fa" w:hAnsi="宋?fa" w:eastAsia="宋体" w:cs="宋?fa"/>
          <w:color w:val="auto"/>
          <w:sz w:val="24"/>
          <w:szCs w:val="24"/>
          <w:highlight w:val="none"/>
        </w:rPr>
      </w:pPr>
      <w:r>
        <w:rPr>
          <w:rFonts w:hint="eastAsia" w:ascii="宋?fa" w:hAnsi="宋?fa" w:cs="宋?fa"/>
          <w:color w:val="auto"/>
          <w:sz w:val="24"/>
          <w:szCs w:val="24"/>
          <w:highlight w:val="none"/>
        </w:rPr>
        <w:t>在乙方确保为甲方提供优质服务的前提下，甲方委托乙方为其提供港澳码头周边地块综合整理项目渗滤液运输服务</w:t>
      </w:r>
      <w:r>
        <w:rPr>
          <w:rFonts w:hint="eastAsia" w:ascii="宋?fa" w:hAnsi="宋?fa" w:cs="宋?fa"/>
          <w:color w:val="auto"/>
          <w:sz w:val="24"/>
          <w:szCs w:val="24"/>
          <w:highlight w:val="none"/>
          <w:lang w:eastAsia="zh-CN"/>
        </w:rPr>
        <w:t>。</w:t>
      </w:r>
      <w:r>
        <w:rPr>
          <w:rFonts w:hint="eastAsia" w:ascii="宋?fa" w:hAnsi="宋?fa" w:eastAsia="宋体" w:cs="宋?fa"/>
          <w:color w:val="auto"/>
          <w:sz w:val="24"/>
          <w:szCs w:val="24"/>
          <w:highlight w:val="none"/>
        </w:rPr>
        <w:t>运输业务标准按国家标准及法律法规执行。</w:t>
      </w:r>
    </w:p>
    <w:p>
      <w:pPr>
        <w:tabs>
          <w:tab w:val="left" w:pos="840"/>
        </w:tabs>
        <w:spacing w:line="360" w:lineRule="auto"/>
        <w:rPr>
          <w:rFonts w:ascii="宋?fa" w:hAnsi="宋?fa" w:cs="宋?fa" w:eastAsiaTheme="minorEastAsia"/>
          <w:b/>
          <w:bCs/>
          <w:color w:val="auto"/>
          <w:sz w:val="24"/>
          <w:szCs w:val="24"/>
          <w:highlight w:val="none"/>
        </w:rPr>
      </w:pPr>
      <w:r>
        <w:rPr>
          <w:rFonts w:hint="eastAsia" w:ascii="宋?fa" w:hAnsi="宋?fa" w:cs="宋?fa"/>
          <w:b/>
          <w:bCs/>
          <w:color w:val="auto"/>
          <w:sz w:val="24"/>
          <w:szCs w:val="24"/>
          <w:highlight w:val="none"/>
        </w:rPr>
        <w:t>二、合同执行期</w:t>
      </w:r>
    </w:p>
    <w:p>
      <w:pPr>
        <w:spacing w:line="360" w:lineRule="auto"/>
        <w:ind w:firstLine="480" w:firstLineChars="200"/>
        <w:rPr>
          <w:rFonts w:hint="eastAsia" w:cs="宋?fa" w:asciiTheme="minorEastAsia" w:hAnsiTheme="minorEastAsia" w:eastAsiaTheme="minorEastAsia"/>
          <w:color w:val="auto"/>
          <w:sz w:val="24"/>
          <w:szCs w:val="24"/>
          <w:highlight w:val="none"/>
        </w:rPr>
      </w:pPr>
      <w:r>
        <w:rPr>
          <w:rFonts w:hint="eastAsia" w:cs="宋?fa" w:asciiTheme="minorEastAsia" w:hAnsiTheme="minorEastAsia" w:eastAsiaTheme="minorEastAsia"/>
          <w:color w:val="auto"/>
          <w:sz w:val="24"/>
          <w:szCs w:val="24"/>
          <w:highlight w:val="none"/>
        </w:rPr>
        <w:t>自合同签订之日起至 2025年12月 31日止。</w:t>
      </w:r>
    </w:p>
    <w:p>
      <w:pPr>
        <w:tabs>
          <w:tab w:val="left" w:pos="840"/>
        </w:tabs>
        <w:spacing w:line="360" w:lineRule="auto"/>
        <w:ind w:firstLine="0" w:firstLineChars="0"/>
        <w:rPr>
          <w:rFonts w:hint="eastAsia" w:ascii="宋?fa" w:hAnsi="宋?fa" w:cs="宋?fa"/>
          <w:b/>
          <w:bCs/>
          <w:color w:val="auto"/>
          <w:sz w:val="24"/>
          <w:szCs w:val="24"/>
          <w:highlight w:val="none"/>
        </w:rPr>
      </w:pPr>
      <w:r>
        <w:rPr>
          <w:rFonts w:hint="eastAsia" w:ascii="宋?fa" w:hAnsi="宋?fa" w:cs="宋?fa"/>
          <w:b/>
          <w:bCs/>
          <w:color w:val="auto"/>
          <w:sz w:val="24"/>
          <w:szCs w:val="24"/>
          <w:highlight w:val="none"/>
          <w:lang w:val="en-US" w:eastAsia="zh-CN"/>
        </w:rPr>
        <w:t>三、</w:t>
      </w:r>
      <w:r>
        <w:rPr>
          <w:rFonts w:hint="eastAsia" w:ascii="宋?fa" w:hAnsi="宋?fa" w:cs="宋?fa"/>
          <w:b/>
          <w:bCs/>
          <w:color w:val="auto"/>
          <w:sz w:val="24"/>
          <w:szCs w:val="24"/>
          <w:highlight w:val="none"/>
        </w:rPr>
        <w:t>价格</w:t>
      </w:r>
    </w:p>
    <w:p>
      <w:pPr>
        <w:spacing w:line="360" w:lineRule="auto"/>
        <w:ind w:firstLine="480" w:firstLineChars="200"/>
        <w:rPr>
          <w:rFonts w:hint="eastAsia" w:ascii="宋体" w:hAnsi="宋体" w:eastAsia="宋体" w:cs="宋?fa"/>
          <w:color w:val="auto"/>
          <w:sz w:val="24"/>
          <w:szCs w:val="24"/>
          <w:highlight w:val="none"/>
        </w:rPr>
      </w:pPr>
      <w:r>
        <w:rPr>
          <w:rFonts w:hint="eastAsia" w:ascii="宋体" w:hAnsi="宋体" w:eastAsia="宋体" w:cs="宋?fa"/>
          <w:color w:val="auto"/>
          <w:sz w:val="24"/>
          <w:szCs w:val="24"/>
          <w:highlight w:val="none"/>
        </w:rPr>
        <w:t>1、合同</w:t>
      </w:r>
      <w:r>
        <w:rPr>
          <w:rFonts w:hint="eastAsia" w:ascii="宋体" w:hAnsi="宋体" w:eastAsia="宋体" w:cs="宋?fa"/>
          <w:color w:val="auto"/>
          <w:sz w:val="24"/>
          <w:szCs w:val="24"/>
          <w:highlight w:val="none"/>
          <w:lang w:val="en-US" w:eastAsia="zh-CN"/>
        </w:rPr>
        <w:t>单价</w:t>
      </w:r>
      <w:r>
        <w:rPr>
          <w:rFonts w:hint="eastAsia" w:ascii="宋体" w:hAnsi="宋体" w:eastAsia="宋体" w:cs="宋?fa"/>
          <w:color w:val="auto"/>
          <w:sz w:val="24"/>
          <w:szCs w:val="24"/>
          <w:highlight w:val="none"/>
        </w:rPr>
        <w:t>包含：</w:t>
      </w:r>
      <w:r>
        <w:rPr>
          <w:rFonts w:hint="eastAsia" w:ascii="宋体" w:hAnsi="宋体" w:eastAsia="宋体" w:cs="宋?fa"/>
          <w:color w:val="auto"/>
          <w:sz w:val="24"/>
          <w:szCs w:val="24"/>
          <w:highlight w:val="none"/>
          <w:lang w:val="en-US" w:eastAsia="zh-CN"/>
        </w:rPr>
        <w:t>所有</w:t>
      </w:r>
      <w:r>
        <w:rPr>
          <w:rFonts w:hint="eastAsia" w:ascii="宋体" w:hAnsi="宋体" w:eastAsia="宋体" w:cs="宋?fa"/>
          <w:color w:val="auto"/>
          <w:sz w:val="24"/>
          <w:szCs w:val="24"/>
          <w:highlight w:val="none"/>
          <w:lang w:val="zh-CN" w:eastAsia="zh-CN"/>
        </w:rPr>
        <w:t>材料、工具、人工、管理费、</w:t>
      </w:r>
      <w:r>
        <w:rPr>
          <w:rFonts w:hint="eastAsia" w:ascii="宋体" w:hAnsi="宋体" w:eastAsia="宋体" w:cs="宋?fa"/>
          <w:color w:val="auto"/>
          <w:sz w:val="24"/>
          <w:szCs w:val="24"/>
          <w:highlight w:val="none"/>
          <w:lang w:val="en-US" w:eastAsia="zh-CN"/>
        </w:rPr>
        <w:t>保险、</w:t>
      </w:r>
      <w:r>
        <w:rPr>
          <w:rFonts w:hint="eastAsia" w:ascii="宋体" w:hAnsi="宋体" w:eastAsia="宋体" w:cs="宋?fa"/>
          <w:color w:val="auto"/>
          <w:sz w:val="24"/>
          <w:szCs w:val="24"/>
          <w:highlight w:val="none"/>
          <w:lang w:val="zh-CN" w:eastAsia="zh-CN"/>
        </w:rPr>
        <w:t>利润、税金、风险等一切因素所有应该和可能发生的费用因素</w:t>
      </w:r>
      <w:r>
        <w:rPr>
          <w:rFonts w:hint="eastAsia" w:ascii="宋体" w:hAnsi="宋体" w:eastAsia="宋体" w:cs="宋?fa"/>
          <w:color w:val="auto"/>
          <w:sz w:val="24"/>
          <w:szCs w:val="24"/>
          <w:highlight w:val="none"/>
        </w:rPr>
        <w:t>。</w:t>
      </w:r>
    </w:p>
    <w:p>
      <w:pPr>
        <w:spacing w:line="360" w:lineRule="auto"/>
        <w:ind w:firstLine="480" w:firstLineChars="200"/>
        <w:rPr>
          <w:rFonts w:hint="eastAsia" w:ascii="宋体" w:hAnsi="宋体" w:eastAsia="宋体" w:cs="宋?fa"/>
          <w:color w:val="auto"/>
          <w:sz w:val="24"/>
          <w:szCs w:val="24"/>
          <w:highlight w:val="none"/>
        </w:rPr>
      </w:pPr>
      <w:r>
        <w:rPr>
          <w:rFonts w:hint="eastAsia" w:ascii="宋体" w:hAnsi="宋体" w:eastAsia="宋体" w:cs="宋?fa"/>
          <w:color w:val="auto"/>
          <w:sz w:val="24"/>
          <w:szCs w:val="24"/>
          <w:highlight w:val="none"/>
        </w:rPr>
        <w:t>2、合同单价:</w:t>
      </w:r>
      <w:r>
        <w:rPr>
          <w:rFonts w:hint="eastAsia" w:ascii="宋体" w:hAnsi="宋体" w:eastAsia="宋体" w:cs="宋?fa"/>
          <w:color w:val="auto"/>
          <w:sz w:val="24"/>
          <w:szCs w:val="24"/>
          <w:highlight w:val="none"/>
          <w:u w:val="single"/>
          <w:lang w:val="en-US" w:eastAsia="zh-CN"/>
        </w:rPr>
        <w:t xml:space="preserve">      </w:t>
      </w:r>
      <w:r>
        <w:rPr>
          <w:rFonts w:hint="eastAsia" w:ascii="宋体" w:hAnsi="宋体" w:eastAsia="宋体" w:cs="宋?fa"/>
          <w:color w:val="auto"/>
          <w:sz w:val="24"/>
          <w:szCs w:val="24"/>
          <w:highlight w:val="none"/>
        </w:rPr>
        <w:t>(元/吨),合同暂定总价:</w:t>
      </w:r>
      <w:r>
        <w:rPr>
          <w:rFonts w:hint="eastAsia" w:ascii="宋体" w:hAnsi="宋体" w:eastAsia="宋体" w:cs="宋?fa"/>
          <w:color w:val="auto"/>
          <w:sz w:val="24"/>
          <w:szCs w:val="24"/>
          <w:highlight w:val="none"/>
          <w:u w:val="single"/>
          <w:lang w:val="en-US" w:eastAsia="zh-CN"/>
        </w:rPr>
        <w:t xml:space="preserve">       </w:t>
      </w:r>
      <w:r>
        <w:rPr>
          <w:rFonts w:hint="eastAsia" w:ascii="宋体" w:hAnsi="宋体" w:eastAsia="宋体" w:cs="宋?fa"/>
          <w:color w:val="auto"/>
          <w:sz w:val="24"/>
          <w:szCs w:val="24"/>
          <w:highlight w:val="none"/>
        </w:rPr>
        <w:t>(元</w:t>
      </w:r>
      <w:r>
        <w:rPr>
          <w:rFonts w:hint="eastAsia" w:ascii="宋体" w:hAnsi="宋体" w:eastAsia="宋体" w:cs="宋?fa"/>
          <w:color w:val="auto"/>
          <w:sz w:val="24"/>
          <w:szCs w:val="24"/>
          <w:highlight w:val="none"/>
          <w:lang w:eastAsia="zh-CN"/>
        </w:rPr>
        <w:t>），</w:t>
      </w:r>
      <w:r>
        <w:rPr>
          <w:rFonts w:hint="eastAsia" w:ascii="宋体" w:hAnsi="宋体" w:eastAsia="宋体" w:cs="宋?fa"/>
          <w:color w:val="auto"/>
          <w:sz w:val="24"/>
          <w:szCs w:val="24"/>
          <w:highlight w:val="none"/>
        </w:rPr>
        <w:t>税率</w:t>
      </w:r>
      <w:r>
        <w:rPr>
          <w:rFonts w:hint="eastAsia" w:ascii="宋体" w:hAnsi="宋体" w:eastAsia="宋体" w:cs="宋?fa"/>
          <w:color w:val="auto"/>
          <w:sz w:val="24"/>
          <w:szCs w:val="24"/>
          <w:highlight w:val="none"/>
          <w:u w:val="single"/>
          <w:lang w:val="en-US" w:eastAsia="zh-CN"/>
        </w:rPr>
        <w:t xml:space="preserve">   </w:t>
      </w:r>
      <w:r>
        <w:rPr>
          <w:rFonts w:hint="eastAsia" w:ascii="宋体" w:hAnsi="宋体" w:eastAsia="宋体" w:cs="宋?fa"/>
          <w:color w:val="auto"/>
          <w:sz w:val="24"/>
          <w:szCs w:val="24"/>
          <w:highlight w:val="none"/>
        </w:rPr>
        <w:t>%，其中:不含税金额</w:t>
      </w:r>
      <w:r>
        <w:rPr>
          <w:rFonts w:hint="eastAsia" w:ascii="宋体" w:hAnsi="宋体" w:eastAsia="宋体" w:cs="宋?fa"/>
          <w:color w:val="auto"/>
          <w:sz w:val="24"/>
          <w:szCs w:val="24"/>
          <w:highlight w:val="none"/>
          <w:u w:val="single"/>
          <w:lang w:val="en-US" w:eastAsia="zh-CN"/>
        </w:rPr>
        <w:t xml:space="preserve">      </w:t>
      </w:r>
      <w:r>
        <w:rPr>
          <w:rFonts w:hint="eastAsia" w:ascii="宋体" w:hAnsi="宋体" w:eastAsia="宋体" w:cs="宋?fa"/>
          <w:color w:val="auto"/>
          <w:sz w:val="24"/>
          <w:szCs w:val="24"/>
          <w:highlight w:val="none"/>
        </w:rPr>
        <w:t>元，税金为</w:t>
      </w:r>
      <w:r>
        <w:rPr>
          <w:rFonts w:hint="eastAsia" w:ascii="宋体" w:hAnsi="宋体" w:eastAsia="宋体" w:cs="宋?fa"/>
          <w:color w:val="auto"/>
          <w:sz w:val="24"/>
          <w:szCs w:val="24"/>
          <w:highlight w:val="none"/>
          <w:u w:val="single"/>
          <w:lang w:val="en-US" w:eastAsia="zh-CN"/>
        </w:rPr>
        <w:t xml:space="preserve">      </w:t>
      </w:r>
      <w:r>
        <w:rPr>
          <w:rFonts w:hint="eastAsia" w:ascii="宋体" w:hAnsi="宋体" w:eastAsia="宋体" w:cs="宋?fa"/>
          <w:color w:val="auto"/>
          <w:sz w:val="24"/>
          <w:szCs w:val="24"/>
          <w:highlight w:val="none"/>
        </w:rPr>
        <w:t>元。</w:t>
      </w:r>
    </w:p>
    <w:p>
      <w:pPr>
        <w:spacing w:line="360" w:lineRule="auto"/>
        <w:ind w:firstLine="480" w:firstLineChars="200"/>
        <w:rPr>
          <w:rFonts w:hint="eastAsia" w:ascii="宋体" w:hAnsi="宋体" w:eastAsia="宋体" w:cs="宋?fa"/>
          <w:color w:val="auto"/>
          <w:sz w:val="24"/>
          <w:szCs w:val="24"/>
          <w:highlight w:val="none"/>
        </w:rPr>
      </w:pPr>
      <w:r>
        <w:rPr>
          <w:rFonts w:hint="eastAsia" w:ascii="宋体" w:hAnsi="宋体" w:eastAsia="宋体" w:cs="宋?fa"/>
          <w:color w:val="auto"/>
          <w:sz w:val="24"/>
          <w:szCs w:val="24"/>
          <w:highlight w:val="none"/>
        </w:rPr>
        <w:t>3、本合</w:t>
      </w:r>
      <w:r>
        <w:rPr>
          <w:rFonts w:hint="eastAsia" w:ascii="宋体" w:hAnsi="宋体" w:eastAsia="宋体" w:cs="宋?fa"/>
          <w:color w:val="auto"/>
          <w:sz w:val="24"/>
          <w:szCs w:val="24"/>
          <w:highlight w:val="none"/>
          <w:lang w:val="en-US" w:eastAsia="zh-CN"/>
        </w:rPr>
        <w:t>单价</w:t>
      </w:r>
      <w:r>
        <w:rPr>
          <w:rFonts w:hint="eastAsia" w:ascii="宋体" w:hAnsi="宋体" w:eastAsia="宋体" w:cs="宋?fa"/>
          <w:color w:val="auto"/>
          <w:sz w:val="24"/>
          <w:szCs w:val="24"/>
          <w:highlight w:val="none"/>
        </w:rPr>
        <w:t>为固定不变价。</w:t>
      </w:r>
    </w:p>
    <w:p>
      <w:pPr>
        <w:tabs>
          <w:tab w:val="left" w:pos="840"/>
        </w:tabs>
        <w:spacing w:line="360" w:lineRule="auto"/>
        <w:rPr>
          <w:rFonts w:ascii="宋?fa" w:cs="Times New Roman"/>
          <w:b/>
          <w:bCs/>
          <w:color w:val="auto"/>
          <w:sz w:val="24"/>
          <w:szCs w:val="24"/>
          <w:highlight w:val="none"/>
        </w:rPr>
      </w:pPr>
      <w:r>
        <w:rPr>
          <w:rFonts w:hint="eastAsia" w:ascii="宋?fa" w:hAnsi="宋?fa" w:cs="宋?fa"/>
          <w:b/>
          <w:bCs/>
          <w:color w:val="auto"/>
          <w:sz w:val="24"/>
          <w:szCs w:val="24"/>
          <w:highlight w:val="none"/>
          <w:lang w:val="en-US" w:eastAsia="zh-CN"/>
        </w:rPr>
        <w:t>四</w:t>
      </w:r>
      <w:r>
        <w:rPr>
          <w:rFonts w:hint="eastAsia" w:ascii="宋?fa" w:hAnsi="宋?fa" w:cs="宋?fa"/>
          <w:b/>
          <w:bCs/>
          <w:color w:val="auto"/>
          <w:sz w:val="24"/>
          <w:szCs w:val="24"/>
          <w:highlight w:val="none"/>
        </w:rPr>
        <w:t>、甲方的权利和义务</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1</w:t>
      </w:r>
      <w:r>
        <w:rPr>
          <w:rFonts w:hint="eastAsia" w:ascii="宋?fa" w:hAnsi="宋?fa" w:cs="宋?fa"/>
          <w:color w:val="auto"/>
          <w:sz w:val="24"/>
          <w:szCs w:val="24"/>
          <w:highlight w:val="none"/>
        </w:rPr>
        <w:t>、乙方负责将</w:t>
      </w:r>
      <w:r>
        <w:rPr>
          <w:rFonts w:hint="default" w:ascii="宋?fa" w:hAnsi="宋?fa" w:cs="宋?fa"/>
          <w:color w:val="auto"/>
          <w:sz w:val="24"/>
          <w:szCs w:val="24"/>
          <w:highlight w:val="none"/>
          <w:lang w:val="en-US"/>
        </w:rPr>
        <w:t>甲方货物</w:t>
      </w:r>
      <w:r>
        <w:rPr>
          <w:rFonts w:hint="eastAsia" w:ascii="宋?fa" w:hAnsi="宋?fa" w:cs="宋?fa"/>
          <w:color w:val="auto"/>
          <w:sz w:val="24"/>
          <w:szCs w:val="24"/>
          <w:highlight w:val="none"/>
        </w:rPr>
        <w:t>从</w:t>
      </w:r>
      <w:r>
        <w:rPr>
          <w:rFonts w:hint="eastAsia" w:ascii="宋体" w:hAnsi="宋体" w:eastAsia="宋体" w:cs="宋?fa"/>
          <w:color w:val="auto"/>
          <w:sz w:val="24"/>
          <w:szCs w:val="24"/>
          <w:highlight w:val="none"/>
        </w:rPr>
        <w:t>甲方指定地点</w:t>
      </w:r>
      <w:r>
        <w:rPr>
          <w:rFonts w:hint="eastAsia" w:ascii="宋?fa" w:hAnsi="宋?fa" w:cs="宋?fa"/>
          <w:color w:val="auto"/>
          <w:sz w:val="24"/>
          <w:szCs w:val="24"/>
          <w:highlight w:val="none"/>
        </w:rPr>
        <w:t>运送至</w:t>
      </w:r>
      <w:r>
        <w:rPr>
          <w:rFonts w:hint="eastAsia" w:cs="宋?fa" w:asciiTheme="minorEastAsia" w:hAnsiTheme="minorEastAsia" w:eastAsiaTheme="minorEastAsia"/>
          <w:color w:val="auto"/>
          <w:sz w:val="24"/>
          <w:szCs w:val="24"/>
          <w:highlight w:val="none"/>
        </w:rPr>
        <w:t>东莞市新东欣环保投资有限公司</w:t>
      </w:r>
      <w:r>
        <w:rPr>
          <w:rFonts w:hint="eastAsia" w:ascii="宋?fa" w:hAnsi="宋?fa" w:cs="宋?fa"/>
          <w:color w:val="auto"/>
          <w:sz w:val="24"/>
          <w:szCs w:val="24"/>
          <w:highlight w:val="none"/>
        </w:rPr>
        <w:t>。</w:t>
      </w:r>
    </w:p>
    <w:p>
      <w:pPr>
        <w:spacing w:line="360" w:lineRule="auto"/>
        <w:ind w:firstLine="480" w:firstLineChars="200"/>
        <w:rPr>
          <w:rFonts w:hint="eastAsia" w:ascii="宋?fa" w:eastAsia="宋体" w:cs="Times New Roman"/>
          <w:color w:val="auto"/>
          <w:sz w:val="24"/>
          <w:szCs w:val="24"/>
          <w:highlight w:val="none"/>
          <w:lang w:eastAsia="zh-CN"/>
        </w:rPr>
      </w:pPr>
      <w:r>
        <w:rPr>
          <w:rFonts w:ascii="宋?fa" w:hAnsi="宋?fa" w:cs="宋?fa"/>
          <w:color w:val="auto"/>
          <w:sz w:val="24"/>
          <w:szCs w:val="24"/>
          <w:highlight w:val="none"/>
        </w:rPr>
        <w:t>2</w:t>
      </w:r>
      <w:r>
        <w:rPr>
          <w:rFonts w:hint="eastAsia" w:ascii="宋?fa" w:hAnsi="宋?fa" w:cs="宋?fa"/>
          <w:color w:val="auto"/>
          <w:sz w:val="24"/>
          <w:szCs w:val="24"/>
          <w:highlight w:val="none"/>
        </w:rPr>
        <w:t>、甲方应</w:t>
      </w:r>
      <w:r>
        <w:rPr>
          <w:rFonts w:hint="eastAsia" w:ascii="宋?fa" w:hAnsi="宋?fa" w:cs="宋?fa"/>
          <w:color w:val="auto"/>
          <w:sz w:val="24"/>
          <w:szCs w:val="24"/>
          <w:highlight w:val="none"/>
        </w:rPr>
        <w:t>提前</w:t>
      </w:r>
      <w:r>
        <w:rPr>
          <w:rFonts w:hint="eastAsia" w:ascii="宋?fa" w:hAnsi="宋?fa" w:cs="宋?fa"/>
          <w:b/>
          <w:bCs/>
          <w:color w:val="auto"/>
          <w:sz w:val="24"/>
          <w:szCs w:val="24"/>
          <w:highlight w:val="none"/>
        </w:rPr>
        <w:t>【</w:t>
      </w:r>
      <w:r>
        <w:rPr>
          <w:rFonts w:ascii="宋?fa" w:hAnsi="宋?fa" w:cs="宋?fa"/>
          <w:b/>
          <w:bCs/>
          <w:color w:val="auto"/>
          <w:sz w:val="24"/>
          <w:szCs w:val="24"/>
          <w:highlight w:val="none"/>
        </w:rPr>
        <w:t>2</w:t>
      </w:r>
      <w:r>
        <w:rPr>
          <w:rFonts w:hint="eastAsia" w:ascii="宋?fa" w:hAnsi="宋?fa" w:cs="宋?fa"/>
          <w:b/>
          <w:bCs/>
          <w:color w:val="auto"/>
          <w:sz w:val="24"/>
          <w:szCs w:val="24"/>
          <w:highlight w:val="none"/>
        </w:rPr>
        <w:t>】</w:t>
      </w:r>
      <w:r>
        <w:rPr>
          <w:rFonts w:hint="eastAsia" w:ascii="宋?fa" w:hAnsi="宋?fa" w:cs="宋?fa"/>
          <w:color w:val="auto"/>
          <w:sz w:val="24"/>
          <w:szCs w:val="24"/>
          <w:highlight w:val="none"/>
        </w:rPr>
        <w:t>天向乙方</w:t>
      </w:r>
      <w:r>
        <w:rPr>
          <w:rFonts w:hint="eastAsia" w:ascii="宋?fa" w:hAnsi="宋?fa" w:cs="宋?fa"/>
          <w:color w:val="auto"/>
          <w:sz w:val="24"/>
          <w:szCs w:val="24"/>
          <w:highlight w:val="none"/>
          <w:lang w:val="en-US" w:eastAsia="zh-CN"/>
        </w:rPr>
        <w:t>发出</w:t>
      </w:r>
      <w:r>
        <w:rPr>
          <w:rFonts w:hint="eastAsia" w:ascii="宋?fa" w:hAnsi="宋?fa" w:cs="宋?fa"/>
          <w:color w:val="auto"/>
          <w:sz w:val="24"/>
          <w:szCs w:val="24"/>
          <w:highlight w:val="none"/>
        </w:rPr>
        <w:t>收运通知</w:t>
      </w:r>
      <w:r>
        <w:rPr>
          <w:rFonts w:hint="eastAsia" w:ascii="华文楷体" w:hAnsi="华文楷体" w:eastAsia="华文楷体" w:cs="华文楷体"/>
          <w:color w:val="auto"/>
          <w:highlight w:val="none"/>
        </w:rPr>
        <w:t>。</w:t>
      </w:r>
      <w:r>
        <w:rPr>
          <w:rFonts w:hint="eastAsia" w:ascii="宋?fa" w:hAnsi="宋?fa" w:cs="宋?fa"/>
          <w:color w:val="auto"/>
          <w:sz w:val="24"/>
          <w:szCs w:val="24"/>
          <w:highlight w:val="none"/>
        </w:rPr>
        <w:t>对甲方出具的收运通知，乙方应当办理</w:t>
      </w:r>
      <w:r>
        <w:rPr>
          <w:rFonts w:hint="eastAsia" w:ascii="宋体" w:hAnsi="宋体" w:eastAsia="宋体" w:cs="宋?fa"/>
          <w:color w:val="auto"/>
          <w:sz w:val="24"/>
          <w:szCs w:val="24"/>
          <w:highlight w:val="none"/>
        </w:rPr>
        <w:t>书面</w:t>
      </w:r>
      <w:r>
        <w:rPr>
          <w:rFonts w:hint="eastAsia" w:ascii="宋?fa" w:hAnsi="宋?fa" w:cs="宋?fa"/>
          <w:color w:val="auto"/>
          <w:sz w:val="24"/>
          <w:szCs w:val="24"/>
          <w:highlight w:val="none"/>
        </w:rPr>
        <w:t>签收手续，乙方签收联应提交甲方存档。乙方如发现收运通知之内容明细中，有任何不符合安全运输要求的，应及时事先通知甲方</w:t>
      </w:r>
      <w:r>
        <w:rPr>
          <w:rFonts w:hint="eastAsia" w:ascii="宋体" w:hAnsi="宋体" w:eastAsia="宋体" w:cs="宋?fa"/>
          <w:color w:val="auto"/>
          <w:sz w:val="24"/>
          <w:szCs w:val="24"/>
          <w:highlight w:val="none"/>
        </w:rPr>
        <w:t>，甲方有权委托第三方进行应急运输处理</w:t>
      </w:r>
      <w:r>
        <w:rPr>
          <w:rFonts w:hint="eastAsia" w:ascii="宋体" w:hAnsi="宋体" w:cs="宋?fa"/>
          <w:color w:val="auto"/>
          <w:sz w:val="24"/>
          <w:szCs w:val="24"/>
          <w:highlight w:val="none"/>
          <w:lang w:eastAsia="zh-CN"/>
        </w:rPr>
        <w:t>。</w:t>
      </w:r>
    </w:p>
    <w:p>
      <w:pPr>
        <w:spacing w:line="360" w:lineRule="auto"/>
        <w:ind w:firstLine="480" w:firstLineChars="200"/>
        <w:rPr>
          <w:rFonts w:hint="eastAsia" w:ascii="宋?fa" w:hAnsi="宋?fa" w:cs="宋?fa"/>
          <w:color w:val="auto"/>
          <w:sz w:val="24"/>
          <w:szCs w:val="24"/>
          <w:highlight w:val="none"/>
        </w:rPr>
      </w:pPr>
      <w:r>
        <w:rPr>
          <w:rFonts w:ascii="宋?fa" w:hAnsi="宋?fa" w:cs="宋?fa"/>
          <w:color w:val="auto"/>
          <w:sz w:val="24"/>
          <w:szCs w:val="24"/>
          <w:highlight w:val="none"/>
        </w:rPr>
        <w:t>3</w:t>
      </w:r>
      <w:r>
        <w:rPr>
          <w:rFonts w:hint="eastAsia" w:ascii="宋?fa" w:hAnsi="宋?fa" w:cs="宋?fa"/>
          <w:color w:val="auto"/>
          <w:sz w:val="24"/>
          <w:szCs w:val="24"/>
          <w:highlight w:val="none"/>
        </w:rPr>
        <w:t>、</w:t>
      </w:r>
      <w:r>
        <w:rPr>
          <w:rFonts w:hint="eastAsia" w:ascii="宋?fa" w:hAnsi="宋?fa" w:cs="宋?fa"/>
          <w:color w:val="auto"/>
          <w:sz w:val="24"/>
          <w:szCs w:val="24"/>
          <w:highlight w:val="none"/>
          <w:lang w:val="en-US" w:eastAsia="zh-CN"/>
        </w:rPr>
        <w:t>甲方</w:t>
      </w:r>
      <w:r>
        <w:rPr>
          <w:rFonts w:hint="eastAsia" w:ascii="宋?fa" w:hAnsi="宋?fa" w:cs="宋?fa"/>
          <w:color w:val="auto"/>
          <w:sz w:val="24"/>
          <w:szCs w:val="24"/>
          <w:highlight w:val="none"/>
        </w:rPr>
        <w:t>如需变更</w:t>
      </w:r>
      <w:r>
        <w:rPr>
          <w:rFonts w:hint="eastAsia" w:ascii="宋?fa" w:hAnsi="宋?fa" w:cs="宋?fa"/>
          <w:color w:val="auto"/>
          <w:sz w:val="24"/>
          <w:szCs w:val="24"/>
          <w:highlight w:val="none"/>
          <w:lang w:val="en-US" w:eastAsia="zh-CN"/>
        </w:rPr>
        <w:t>运输</w:t>
      </w:r>
      <w:r>
        <w:rPr>
          <w:rFonts w:hint="eastAsia" w:ascii="宋?fa" w:hAnsi="宋?fa" w:cs="宋?fa"/>
          <w:color w:val="auto"/>
          <w:sz w:val="24"/>
          <w:szCs w:val="24"/>
          <w:highlight w:val="none"/>
        </w:rPr>
        <w:t>计划，需在</w:t>
      </w:r>
      <w:r>
        <w:rPr>
          <w:rFonts w:hint="eastAsia" w:ascii="宋?fa" w:hAnsi="宋?fa" w:cs="宋?fa"/>
          <w:color w:val="auto"/>
          <w:sz w:val="24"/>
          <w:szCs w:val="24"/>
          <w:highlight w:val="none"/>
          <w:lang w:val="en-US" w:eastAsia="zh-CN"/>
        </w:rPr>
        <w:t>运输</w:t>
      </w:r>
      <w:r>
        <w:rPr>
          <w:rFonts w:hint="eastAsia" w:ascii="宋?fa" w:hAnsi="宋?fa" w:cs="宋?fa"/>
          <w:color w:val="auto"/>
          <w:sz w:val="24"/>
          <w:szCs w:val="24"/>
          <w:highlight w:val="none"/>
        </w:rPr>
        <w:t>前向乙方确认</w:t>
      </w:r>
      <w:r>
        <w:rPr>
          <w:rFonts w:hint="eastAsia" w:ascii="宋体" w:hAnsi="宋体" w:eastAsia="宋体" w:cs="宋?fa"/>
          <w:color w:val="auto"/>
          <w:sz w:val="24"/>
          <w:szCs w:val="24"/>
          <w:highlight w:val="none"/>
        </w:rPr>
        <w:t>，乙方应在收到变更</w:t>
      </w:r>
      <w:r>
        <w:rPr>
          <w:rFonts w:hint="eastAsia" w:ascii="宋体" w:hAnsi="宋体" w:cs="宋?fa"/>
          <w:color w:val="auto"/>
          <w:sz w:val="24"/>
          <w:szCs w:val="24"/>
          <w:highlight w:val="none"/>
          <w:lang w:val="en-US" w:eastAsia="zh-CN"/>
        </w:rPr>
        <w:t>的运输</w:t>
      </w:r>
      <w:r>
        <w:rPr>
          <w:rFonts w:hint="eastAsia" w:ascii="宋体" w:hAnsi="宋体" w:eastAsia="宋体" w:cs="宋?fa"/>
          <w:color w:val="auto"/>
          <w:sz w:val="24"/>
          <w:szCs w:val="24"/>
          <w:highlight w:val="none"/>
        </w:rPr>
        <w:t>计划</w:t>
      </w:r>
      <w:r>
        <w:rPr>
          <w:rFonts w:hint="eastAsia" w:ascii="宋体" w:hAnsi="宋体" w:cs="宋?fa"/>
          <w:color w:val="auto"/>
          <w:sz w:val="24"/>
          <w:szCs w:val="24"/>
          <w:highlight w:val="none"/>
          <w:lang w:val="en-US" w:eastAsia="zh-CN"/>
        </w:rPr>
        <w:t>后</w:t>
      </w:r>
      <w:r>
        <w:rPr>
          <w:rFonts w:hint="eastAsia" w:ascii="宋体" w:hAnsi="宋体" w:eastAsia="宋体" w:cs="宋?fa"/>
          <w:color w:val="auto"/>
          <w:sz w:val="24"/>
          <w:szCs w:val="24"/>
          <w:highlight w:val="none"/>
        </w:rPr>
        <w:t>1小时内回复能否响应</w:t>
      </w:r>
      <w:r>
        <w:rPr>
          <w:rFonts w:hint="eastAsia" w:ascii="宋?fa" w:hAnsi="宋?fa" w:cs="宋?fa"/>
          <w:color w:val="auto"/>
          <w:sz w:val="24"/>
          <w:szCs w:val="24"/>
          <w:highlight w:val="none"/>
        </w:rPr>
        <w:t>。如因甲方提供资料错误或出货推迟等原因造成乙方无法准时将</w:t>
      </w:r>
      <w:r>
        <w:rPr>
          <w:rFonts w:hint="eastAsia" w:ascii="宋?fa" w:hAnsi="宋?fa" w:cs="宋?fa"/>
          <w:color w:val="auto"/>
          <w:sz w:val="24"/>
          <w:szCs w:val="24"/>
          <w:highlight w:val="none"/>
          <w:lang w:val="en-US" w:eastAsia="zh-CN"/>
        </w:rPr>
        <w:t>渗滤液</w:t>
      </w:r>
      <w:r>
        <w:rPr>
          <w:rFonts w:hint="eastAsia" w:ascii="宋?fa" w:hAnsi="宋?fa" w:cs="宋?fa"/>
          <w:color w:val="auto"/>
          <w:sz w:val="24"/>
          <w:szCs w:val="24"/>
          <w:highlight w:val="none"/>
        </w:rPr>
        <w:t>送到目的地，乙方不承担任何责任。</w:t>
      </w:r>
    </w:p>
    <w:p>
      <w:pPr>
        <w:tabs>
          <w:tab w:val="left" w:pos="840"/>
        </w:tabs>
        <w:spacing w:line="360" w:lineRule="auto"/>
        <w:rPr>
          <w:rFonts w:ascii="宋?fa" w:cs="Times New Roman"/>
          <w:b/>
          <w:bCs/>
          <w:color w:val="auto"/>
          <w:sz w:val="24"/>
          <w:szCs w:val="24"/>
          <w:highlight w:val="none"/>
        </w:rPr>
      </w:pPr>
      <w:r>
        <w:rPr>
          <w:rFonts w:hint="eastAsia" w:ascii="宋?fa" w:hAnsi="宋?fa" w:cs="宋?fa"/>
          <w:b/>
          <w:bCs/>
          <w:color w:val="auto"/>
          <w:sz w:val="24"/>
          <w:szCs w:val="24"/>
          <w:highlight w:val="none"/>
          <w:lang w:val="en-US" w:eastAsia="zh-CN"/>
        </w:rPr>
        <w:t>五</w:t>
      </w:r>
      <w:r>
        <w:rPr>
          <w:rFonts w:hint="eastAsia" w:ascii="宋?fa" w:hAnsi="宋?fa" w:cs="宋?fa"/>
          <w:b/>
          <w:bCs/>
          <w:color w:val="auto"/>
          <w:sz w:val="24"/>
          <w:szCs w:val="24"/>
          <w:highlight w:val="none"/>
        </w:rPr>
        <w:t>、乙方的权利和义务</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1</w:t>
      </w:r>
      <w:r>
        <w:rPr>
          <w:rFonts w:hint="eastAsia" w:ascii="宋?fa" w:hAnsi="宋?fa" w:cs="宋?fa"/>
          <w:color w:val="auto"/>
          <w:sz w:val="24"/>
          <w:szCs w:val="24"/>
          <w:highlight w:val="none"/>
        </w:rPr>
        <w:t>、乙方保证其具有道路运输货物的经营许可证，经营资质完全合法</w:t>
      </w:r>
      <w:r>
        <w:rPr>
          <w:rFonts w:ascii="宋?fa" w:cs="宋?fa"/>
          <w:color w:val="auto"/>
          <w:sz w:val="24"/>
          <w:szCs w:val="24"/>
          <w:highlight w:val="none"/>
        </w:rPr>
        <w:t>,</w:t>
      </w:r>
      <w:r>
        <w:rPr>
          <w:rFonts w:hint="eastAsia" w:ascii="宋?fa" w:hAnsi="宋?fa" w:cs="宋?fa"/>
          <w:color w:val="auto"/>
          <w:sz w:val="24"/>
          <w:szCs w:val="24"/>
          <w:highlight w:val="none"/>
        </w:rPr>
        <w:t>开始运输之前，乙方应当将相关证件复印件盖章后提供甲方备案。</w:t>
      </w:r>
      <w:r>
        <w:rPr>
          <w:rFonts w:hint="eastAsia" w:ascii="宋体" w:hAnsi="宋体" w:eastAsia="宋体" w:cs="宋?fa"/>
          <w:color w:val="auto"/>
          <w:sz w:val="24"/>
          <w:szCs w:val="24"/>
          <w:highlight w:val="none"/>
        </w:rPr>
        <w:t>如乙方资质问题导致甲方损失或承担法律责任的，乙方承担甲方一切经济损失。</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2</w:t>
      </w:r>
      <w:r>
        <w:rPr>
          <w:rFonts w:hint="eastAsia" w:ascii="宋?fa" w:hAnsi="宋?fa" w:cs="宋?fa"/>
          <w:color w:val="auto"/>
          <w:sz w:val="24"/>
          <w:szCs w:val="24"/>
          <w:highlight w:val="none"/>
        </w:rPr>
        <w:t>、乙方保证其承运甲方</w:t>
      </w:r>
      <w:r>
        <w:rPr>
          <w:rFonts w:hint="default" w:ascii="宋?fa" w:hAnsi="宋?fa" w:cs="宋?fa"/>
          <w:color w:val="auto"/>
          <w:sz w:val="24"/>
          <w:szCs w:val="24"/>
          <w:highlight w:val="none"/>
          <w:lang w:val="en-US"/>
        </w:rPr>
        <w:t>货物</w:t>
      </w:r>
      <w:r>
        <w:rPr>
          <w:rFonts w:hint="eastAsia" w:ascii="宋?fa" w:hAnsi="宋?fa" w:cs="宋?fa"/>
          <w:color w:val="auto"/>
          <w:sz w:val="24"/>
          <w:szCs w:val="24"/>
          <w:highlight w:val="none"/>
        </w:rPr>
        <w:t>的车辆状况及车辆的设施配置状况，均符合本合同履行过程中的最新法律法规要求，车辆</w:t>
      </w:r>
      <w:r>
        <w:rPr>
          <w:rFonts w:hint="eastAsia" w:ascii="??" w:hAnsi="??" w:cs="宋?fa"/>
          <w:color w:val="auto"/>
          <w:sz w:val="24"/>
          <w:szCs w:val="24"/>
          <w:highlight w:val="none"/>
        </w:rPr>
        <w:t>应当根据所运货物的性质，配备必需的应急处理器材和安全防护设施设备</w:t>
      </w:r>
      <w:r>
        <w:rPr>
          <w:rFonts w:hint="eastAsia" w:ascii="宋?fa" w:hAnsi="宋?fa" w:cs="宋?fa"/>
          <w:color w:val="auto"/>
          <w:sz w:val="24"/>
          <w:szCs w:val="24"/>
          <w:highlight w:val="none"/>
        </w:rPr>
        <w:t>。开始运输之前，乙方应当将车辆的《行驶证》及</w:t>
      </w:r>
      <w:r>
        <w:rPr>
          <w:rFonts w:hint="eastAsia" w:ascii="??" w:hAnsi="??" w:cs="宋?fa"/>
          <w:color w:val="auto"/>
          <w:sz w:val="24"/>
          <w:szCs w:val="24"/>
          <w:highlight w:val="none"/>
        </w:rPr>
        <w:t>《道路运输证》</w:t>
      </w:r>
      <w:r>
        <w:rPr>
          <w:rFonts w:hint="eastAsia" w:ascii="宋?fa" w:hAnsi="宋?fa" w:cs="宋?fa"/>
          <w:color w:val="auto"/>
          <w:sz w:val="24"/>
          <w:szCs w:val="24"/>
          <w:highlight w:val="none"/>
        </w:rPr>
        <w:t>复印件盖章后提供给甲方备案。</w:t>
      </w:r>
      <w:r>
        <w:rPr>
          <w:rFonts w:hint="eastAsia" w:ascii="宋体" w:hAnsi="宋体" w:eastAsia="宋体" w:cs="宋?fa"/>
          <w:color w:val="auto"/>
          <w:sz w:val="24"/>
          <w:szCs w:val="24"/>
          <w:highlight w:val="none"/>
        </w:rPr>
        <w:t>如乙方资质问题导致甲方损失或承担法律责任的，乙方承担甲方一切经济损失。</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3</w:t>
      </w:r>
      <w:r>
        <w:rPr>
          <w:rFonts w:hint="eastAsia" w:ascii="宋?fa" w:hAnsi="宋?fa" w:cs="宋?fa"/>
          <w:color w:val="auto"/>
          <w:sz w:val="24"/>
          <w:szCs w:val="24"/>
          <w:highlight w:val="none"/>
        </w:rPr>
        <w:t>、从业人员应当符合从事</w:t>
      </w:r>
      <w:r>
        <w:rPr>
          <w:rFonts w:hint="default" w:ascii="宋?fa" w:hAnsi="宋?fa" w:cs="宋?fa"/>
          <w:color w:val="auto"/>
          <w:sz w:val="24"/>
          <w:szCs w:val="24"/>
          <w:highlight w:val="none"/>
          <w:lang w:val="en-US"/>
        </w:rPr>
        <w:t>货物</w:t>
      </w:r>
      <w:r>
        <w:rPr>
          <w:rFonts w:hint="eastAsia" w:ascii="宋?fa" w:hAnsi="宋?fa" w:cs="宋?fa"/>
          <w:color w:val="auto"/>
          <w:sz w:val="24"/>
          <w:szCs w:val="24"/>
          <w:highlight w:val="none"/>
        </w:rPr>
        <w:t>运输的要求</w:t>
      </w:r>
      <w:r>
        <w:rPr>
          <w:rFonts w:ascii="宋?fa" w:hAnsi="宋?fa" w:cs="宋?fa"/>
          <w:color w:val="auto"/>
          <w:sz w:val="24"/>
          <w:szCs w:val="24"/>
          <w:highlight w:val="none"/>
        </w:rPr>
        <w:t>:</w:t>
      </w:r>
      <w:r>
        <w:rPr>
          <w:rFonts w:hint="eastAsia" w:ascii="??" w:hAnsi="??" w:cs="宋?fa"/>
          <w:color w:val="auto"/>
          <w:sz w:val="24"/>
          <w:szCs w:val="24"/>
          <w:highlight w:val="none"/>
        </w:rPr>
        <w:t>驾驶人员、装卸管理人员</w:t>
      </w:r>
      <w:r>
        <w:rPr>
          <w:rFonts w:hint="eastAsia" w:ascii="宋?fa" w:hAnsi="宋?fa" w:cs="宋?fa"/>
          <w:color w:val="auto"/>
          <w:sz w:val="24"/>
          <w:szCs w:val="24"/>
          <w:highlight w:val="none"/>
        </w:rPr>
        <w:t>均应具有相应的从业资格证，本合同项下乙方从业人员的相关从业资格证、身份证、驾驶证、联系方式等复印件均应盖章后提供给甲方备案及联系。</w:t>
      </w:r>
      <w:r>
        <w:rPr>
          <w:rFonts w:hint="eastAsia" w:ascii="宋体" w:hAnsi="宋体" w:eastAsia="宋体" w:cs="宋?fa"/>
          <w:color w:val="auto"/>
          <w:sz w:val="24"/>
          <w:szCs w:val="24"/>
          <w:highlight w:val="none"/>
        </w:rPr>
        <w:t>如乙方人员资质问题导致甲方损失或承担法律责任的，乙方承担甲方一切经济损失。</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4</w:t>
      </w:r>
      <w:r>
        <w:rPr>
          <w:rFonts w:hint="eastAsia" w:ascii="宋?fa" w:hAnsi="宋?fa" w:cs="宋?fa"/>
          <w:color w:val="auto"/>
          <w:sz w:val="24"/>
          <w:szCs w:val="24"/>
          <w:highlight w:val="none"/>
        </w:rPr>
        <w:t>、应当提供车载</w:t>
      </w:r>
      <w:r>
        <w:rPr>
          <w:rFonts w:ascii="宋?fa" w:hAnsi="宋?fa" w:cs="宋?fa"/>
          <w:color w:val="auto"/>
          <w:sz w:val="24"/>
          <w:szCs w:val="24"/>
          <w:highlight w:val="none"/>
        </w:rPr>
        <w:t>GPS</w:t>
      </w:r>
      <w:r>
        <w:rPr>
          <w:rFonts w:hint="eastAsia" w:ascii="宋?fa" w:hAnsi="宋?fa" w:cs="宋?fa"/>
          <w:color w:val="auto"/>
          <w:sz w:val="24"/>
          <w:szCs w:val="24"/>
          <w:highlight w:val="none"/>
        </w:rPr>
        <w:t>监控，在运输过程中随时向甲方提供查询服务，并保障</w:t>
      </w:r>
      <w:r>
        <w:rPr>
          <w:rFonts w:ascii="宋?fa" w:hAnsi="宋?fa" w:cs="宋?fa"/>
          <w:color w:val="auto"/>
          <w:sz w:val="24"/>
          <w:szCs w:val="24"/>
          <w:highlight w:val="none"/>
        </w:rPr>
        <w:t>GPS</w:t>
      </w:r>
      <w:r>
        <w:rPr>
          <w:rFonts w:hint="eastAsia" w:ascii="宋?fa" w:hAnsi="宋?fa" w:cs="宋?fa"/>
          <w:color w:val="auto"/>
          <w:sz w:val="24"/>
          <w:szCs w:val="24"/>
          <w:highlight w:val="none"/>
        </w:rPr>
        <w:t>功能完好。</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5</w:t>
      </w:r>
      <w:r>
        <w:rPr>
          <w:rFonts w:hint="eastAsia" w:ascii="宋?fa" w:hAnsi="宋?fa" w:cs="宋?fa"/>
          <w:color w:val="auto"/>
          <w:sz w:val="24"/>
          <w:szCs w:val="24"/>
          <w:highlight w:val="none"/>
        </w:rPr>
        <w:t>、乙方应当按甲方操作要求，提前</w:t>
      </w:r>
      <w:r>
        <w:rPr>
          <w:rFonts w:hint="eastAsia" w:ascii="宋?fa" w:hAnsi="宋?fa" w:cs="宋?fa"/>
          <w:b/>
          <w:bCs/>
          <w:color w:val="auto"/>
          <w:sz w:val="24"/>
          <w:szCs w:val="24"/>
          <w:highlight w:val="none"/>
        </w:rPr>
        <w:t>【</w:t>
      </w:r>
      <w:r>
        <w:rPr>
          <w:rFonts w:ascii="宋?fa" w:hAnsi="宋?fa" w:cs="宋?fa"/>
          <w:b/>
          <w:bCs/>
          <w:color w:val="auto"/>
          <w:sz w:val="24"/>
          <w:szCs w:val="24"/>
          <w:highlight w:val="none"/>
        </w:rPr>
        <w:t>1</w:t>
      </w:r>
      <w:r>
        <w:rPr>
          <w:rFonts w:hint="eastAsia" w:ascii="宋?fa" w:hAnsi="宋?fa" w:cs="宋?fa"/>
          <w:b/>
          <w:bCs/>
          <w:color w:val="auto"/>
          <w:sz w:val="24"/>
          <w:szCs w:val="24"/>
          <w:highlight w:val="none"/>
        </w:rPr>
        <w:t>】</w:t>
      </w:r>
      <w:r>
        <w:rPr>
          <w:rFonts w:hint="eastAsia" w:ascii="宋?fa" w:hAnsi="宋?fa" w:cs="宋?fa"/>
          <w:color w:val="auto"/>
          <w:sz w:val="24"/>
          <w:szCs w:val="24"/>
          <w:highlight w:val="none"/>
        </w:rPr>
        <w:t>天（最迟在指定运输时间前</w:t>
      </w:r>
      <w:r>
        <w:rPr>
          <w:rFonts w:hint="eastAsia" w:ascii="宋?fa" w:hAnsi="宋?fa" w:cs="宋?fa"/>
          <w:b/>
          <w:bCs/>
          <w:color w:val="auto"/>
          <w:sz w:val="24"/>
          <w:szCs w:val="24"/>
          <w:highlight w:val="none"/>
        </w:rPr>
        <w:t>【</w:t>
      </w:r>
      <w:r>
        <w:rPr>
          <w:rFonts w:ascii="宋?fa" w:hAnsi="宋?fa" w:cs="宋?fa"/>
          <w:b/>
          <w:bCs/>
          <w:color w:val="auto"/>
          <w:sz w:val="24"/>
          <w:szCs w:val="24"/>
          <w:highlight w:val="none"/>
        </w:rPr>
        <w:t>3</w:t>
      </w:r>
      <w:r>
        <w:rPr>
          <w:rFonts w:hint="eastAsia" w:ascii="宋?fa" w:hAnsi="宋?fa" w:cs="宋?fa"/>
          <w:b/>
          <w:bCs/>
          <w:color w:val="auto"/>
          <w:sz w:val="24"/>
          <w:szCs w:val="24"/>
          <w:highlight w:val="none"/>
        </w:rPr>
        <w:t>】</w:t>
      </w:r>
      <w:r>
        <w:rPr>
          <w:rFonts w:hint="eastAsia" w:ascii="宋?fa" w:hAnsi="宋?fa" w:cs="宋?fa"/>
          <w:color w:val="auto"/>
          <w:sz w:val="24"/>
          <w:szCs w:val="24"/>
          <w:highlight w:val="none"/>
        </w:rPr>
        <w:t>小时）以邮件</w:t>
      </w:r>
      <w:r>
        <w:rPr>
          <w:rFonts w:ascii="宋?fa" w:hAnsi="宋?fa" w:cs="宋?fa"/>
          <w:color w:val="auto"/>
          <w:sz w:val="24"/>
          <w:szCs w:val="24"/>
          <w:highlight w:val="none"/>
        </w:rPr>
        <w:t>/</w:t>
      </w:r>
      <w:r>
        <w:rPr>
          <w:rFonts w:hint="eastAsia" w:ascii="宋?fa" w:hAnsi="宋?fa" w:cs="宋?fa"/>
          <w:color w:val="auto"/>
          <w:sz w:val="24"/>
          <w:szCs w:val="24"/>
          <w:highlight w:val="none"/>
        </w:rPr>
        <w:t>短信形式告知甲方其所派司机的详细资料以及司机到达</w:t>
      </w:r>
      <w:r>
        <w:rPr>
          <w:rFonts w:hint="eastAsia" w:ascii="宋?fa" w:hAnsi="宋?fa" w:cs="宋?fa"/>
          <w:color w:val="auto"/>
          <w:sz w:val="24"/>
          <w:szCs w:val="24"/>
          <w:highlight w:val="none"/>
          <w:lang w:val="en-US" w:eastAsia="zh-CN"/>
        </w:rPr>
        <w:t>装运地点</w:t>
      </w:r>
      <w:r>
        <w:rPr>
          <w:rFonts w:hint="eastAsia" w:ascii="宋?fa" w:hAnsi="宋?fa" w:cs="宋?fa"/>
          <w:color w:val="auto"/>
          <w:sz w:val="24"/>
          <w:szCs w:val="24"/>
          <w:highlight w:val="none"/>
        </w:rPr>
        <w:t>的具体时间。司机若不能及时到达或变更司机信息，应及时通知甲方有关司机实际到达的准确时间</w:t>
      </w:r>
      <w:r>
        <w:rPr>
          <w:rFonts w:hint="eastAsia" w:ascii="宋?fa" w:hAnsi="宋?fa" w:cs="宋?fa"/>
          <w:color w:val="auto"/>
          <w:sz w:val="24"/>
          <w:szCs w:val="24"/>
          <w:highlight w:val="none"/>
          <w:lang w:eastAsia="zh-CN"/>
        </w:rPr>
        <w:t>，</w:t>
      </w:r>
      <w:r>
        <w:rPr>
          <w:rFonts w:hint="eastAsia" w:ascii="宋?fa" w:hAnsi="宋?fa" w:cs="宋?fa"/>
          <w:color w:val="auto"/>
          <w:sz w:val="24"/>
          <w:szCs w:val="24"/>
          <w:highlight w:val="none"/>
        </w:rPr>
        <w:t>和及时将变更后的司机资料发邮件</w:t>
      </w:r>
      <w:r>
        <w:rPr>
          <w:rFonts w:ascii="宋?fa" w:hAnsi="宋?fa" w:cs="宋?fa"/>
          <w:color w:val="auto"/>
          <w:sz w:val="24"/>
          <w:szCs w:val="24"/>
          <w:highlight w:val="none"/>
        </w:rPr>
        <w:t>/</w:t>
      </w:r>
      <w:r>
        <w:rPr>
          <w:rFonts w:hint="eastAsia" w:ascii="宋?fa" w:hAnsi="宋?fa" w:cs="宋?fa"/>
          <w:color w:val="auto"/>
          <w:sz w:val="24"/>
          <w:szCs w:val="24"/>
          <w:highlight w:val="none"/>
        </w:rPr>
        <w:t>短信至甲方。如车辆不能按时抵达</w:t>
      </w:r>
      <w:r>
        <w:rPr>
          <w:rFonts w:hint="eastAsia" w:ascii="宋?fa" w:hAnsi="宋?fa" w:cs="宋?fa"/>
          <w:color w:val="auto"/>
          <w:sz w:val="24"/>
          <w:szCs w:val="24"/>
          <w:highlight w:val="none"/>
          <w:lang w:val="en-US" w:eastAsia="zh-CN"/>
        </w:rPr>
        <w:t>装运地</w:t>
      </w:r>
      <w:r>
        <w:rPr>
          <w:rFonts w:hint="eastAsia" w:ascii="宋?fa" w:hAnsi="宋?fa" w:cs="宋?fa"/>
          <w:color w:val="auto"/>
          <w:sz w:val="24"/>
          <w:szCs w:val="24"/>
          <w:highlight w:val="none"/>
        </w:rPr>
        <w:t>点，</w:t>
      </w:r>
      <w:r>
        <w:rPr>
          <w:rFonts w:hint="eastAsia" w:ascii="宋?fa" w:hAnsi="宋?fa" w:cs="宋?fa"/>
          <w:color w:val="auto"/>
          <w:sz w:val="24"/>
          <w:szCs w:val="24"/>
          <w:highlight w:val="none"/>
        </w:rPr>
        <w:t>乙方须在</w:t>
      </w:r>
      <w:r>
        <w:rPr>
          <w:rFonts w:hint="eastAsia" w:ascii="宋?fa" w:hAnsi="宋?fa" w:cs="宋?fa"/>
          <w:b/>
          <w:bCs/>
          <w:color w:val="auto"/>
          <w:sz w:val="24"/>
          <w:szCs w:val="24"/>
          <w:highlight w:val="none"/>
        </w:rPr>
        <w:t>【</w:t>
      </w:r>
      <w:r>
        <w:rPr>
          <w:rFonts w:ascii="宋?fa" w:hAnsi="宋?fa" w:cs="宋?fa"/>
          <w:b/>
          <w:bCs/>
          <w:color w:val="auto"/>
          <w:sz w:val="24"/>
          <w:szCs w:val="24"/>
          <w:highlight w:val="none"/>
        </w:rPr>
        <w:t>3</w:t>
      </w:r>
      <w:r>
        <w:rPr>
          <w:rFonts w:hint="eastAsia" w:ascii="宋?fa" w:hAnsi="宋?fa" w:cs="宋?fa"/>
          <w:b/>
          <w:bCs/>
          <w:color w:val="auto"/>
          <w:sz w:val="24"/>
          <w:szCs w:val="24"/>
          <w:highlight w:val="none"/>
        </w:rPr>
        <w:t>】</w:t>
      </w:r>
      <w:r>
        <w:rPr>
          <w:rFonts w:hint="eastAsia" w:ascii="宋?fa" w:hAnsi="宋?fa" w:cs="宋?fa"/>
          <w:color w:val="auto"/>
          <w:sz w:val="24"/>
          <w:szCs w:val="24"/>
          <w:highlight w:val="none"/>
        </w:rPr>
        <w:t>个小时前知会甲方，并迅速采取措施予以解决。</w:t>
      </w:r>
    </w:p>
    <w:p>
      <w:pPr>
        <w:spacing w:line="360" w:lineRule="auto"/>
        <w:ind w:firstLine="480" w:firstLineChars="200"/>
        <w:rPr>
          <w:rFonts w:hint="eastAsia" w:ascii="宋?fa" w:hAnsi="宋?fa" w:cs="宋?fa"/>
          <w:color w:val="auto"/>
          <w:sz w:val="24"/>
          <w:szCs w:val="24"/>
          <w:highlight w:val="none"/>
        </w:rPr>
      </w:pPr>
      <w:r>
        <w:rPr>
          <w:rFonts w:ascii="宋?fa" w:hAnsi="宋?fa" w:cs="宋?fa"/>
          <w:color w:val="auto"/>
          <w:sz w:val="24"/>
          <w:szCs w:val="24"/>
          <w:highlight w:val="none"/>
        </w:rPr>
        <w:t>6</w:t>
      </w:r>
      <w:r>
        <w:rPr>
          <w:rFonts w:hint="eastAsia" w:ascii="宋?fa" w:hAnsi="宋?fa" w:cs="宋?fa"/>
          <w:color w:val="auto"/>
          <w:sz w:val="24"/>
          <w:szCs w:val="24"/>
          <w:highlight w:val="none"/>
        </w:rPr>
        <w:t>、如甲方在出货当天增加运输任务</w:t>
      </w:r>
      <w:r>
        <w:rPr>
          <w:rFonts w:ascii="宋?fa" w:cs="宋?fa"/>
          <w:color w:val="auto"/>
          <w:sz w:val="24"/>
          <w:szCs w:val="24"/>
          <w:highlight w:val="none"/>
        </w:rPr>
        <w:t>,</w:t>
      </w:r>
      <w:r>
        <w:rPr>
          <w:rFonts w:hint="eastAsia" w:ascii="宋?fa" w:hAnsi="宋?fa" w:cs="宋?fa"/>
          <w:color w:val="auto"/>
          <w:sz w:val="24"/>
          <w:szCs w:val="24"/>
          <w:highlight w:val="none"/>
        </w:rPr>
        <w:t>乙方则视之为临时运输计划。乙方对临时运输计划亦应积极组织运力完成；如不能安排执行</w:t>
      </w:r>
      <w:r>
        <w:rPr>
          <w:rFonts w:ascii="宋?fa" w:cs="宋?fa"/>
          <w:color w:val="auto"/>
          <w:sz w:val="24"/>
          <w:szCs w:val="24"/>
          <w:highlight w:val="none"/>
        </w:rPr>
        <w:t>,</w:t>
      </w:r>
      <w:r>
        <w:rPr>
          <w:rFonts w:hint="eastAsia" w:ascii="宋?fa" w:hAnsi="宋?fa" w:cs="宋?fa"/>
          <w:color w:val="auto"/>
          <w:sz w:val="24"/>
          <w:szCs w:val="24"/>
          <w:highlight w:val="none"/>
        </w:rPr>
        <w:t>则乙方应及时通知甲方</w:t>
      </w:r>
      <w:r>
        <w:rPr>
          <w:rFonts w:ascii="宋?fa" w:cs="宋?fa"/>
          <w:color w:val="auto"/>
          <w:sz w:val="24"/>
          <w:szCs w:val="24"/>
          <w:highlight w:val="none"/>
        </w:rPr>
        <w:t>,</w:t>
      </w:r>
      <w:r>
        <w:rPr>
          <w:rFonts w:hint="eastAsia" w:ascii="宋?fa" w:hAnsi="宋?fa" w:cs="宋?fa"/>
          <w:color w:val="auto"/>
          <w:sz w:val="24"/>
          <w:szCs w:val="24"/>
          <w:highlight w:val="none"/>
        </w:rPr>
        <w:t>协商具体承运时间。</w:t>
      </w:r>
    </w:p>
    <w:p>
      <w:pPr>
        <w:spacing w:line="360" w:lineRule="auto"/>
        <w:ind w:firstLine="480" w:firstLineChars="200"/>
        <w:rPr>
          <w:rFonts w:hint="eastAsia" w:ascii="宋?fa" w:hAnsi="宋?fa" w:cs="宋?fa"/>
          <w:color w:val="auto"/>
          <w:sz w:val="24"/>
          <w:szCs w:val="24"/>
          <w:highlight w:val="none"/>
        </w:rPr>
      </w:pPr>
      <w:r>
        <w:rPr>
          <w:rFonts w:hint="eastAsia" w:ascii="宋?fa" w:hAnsi="宋?fa" w:cs="宋?fa"/>
          <w:color w:val="auto"/>
          <w:sz w:val="24"/>
          <w:szCs w:val="24"/>
          <w:highlight w:val="none"/>
          <w:lang w:val="en-US" w:eastAsia="zh-CN"/>
        </w:rPr>
        <w:t>7、</w:t>
      </w:r>
      <w:r>
        <w:rPr>
          <w:rFonts w:hint="eastAsia" w:ascii="宋?fa" w:hAnsi="宋?fa" w:cs="宋?fa"/>
          <w:color w:val="auto"/>
          <w:sz w:val="24"/>
          <w:szCs w:val="24"/>
          <w:highlight w:val="none"/>
        </w:rPr>
        <w:t>严禁违反国家有关规定超载、超限运输。</w:t>
      </w:r>
    </w:p>
    <w:p>
      <w:pPr>
        <w:spacing w:line="360" w:lineRule="auto"/>
        <w:ind w:firstLine="480" w:firstLineChars="200"/>
        <w:rPr>
          <w:rFonts w:ascii="宋?fa" w:cs="Times New Roman"/>
          <w:color w:val="auto"/>
          <w:sz w:val="24"/>
          <w:szCs w:val="24"/>
          <w:highlight w:val="none"/>
        </w:rPr>
      </w:pPr>
      <w:r>
        <w:rPr>
          <w:rFonts w:hint="eastAsia" w:ascii="宋?fa" w:hAnsi="宋?fa" w:cs="宋?fa"/>
          <w:color w:val="auto"/>
          <w:sz w:val="24"/>
          <w:szCs w:val="24"/>
          <w:highlight w:val="none"/>
          <w:lang w:val="en-US" w:eastAsia="zh-CN"/>
        </w:rPr>
        <w:t>8、</w:t>
      </w:r>
      <w:r>
        <w:rPr>
          <w:rFonts w:hint="eastAsia" w:ascii="宋?fa" w:hAnsi="宋?fa" w:cs="宋?fa"/>
          <w:color w:val="auto"/>
          <w:sz w:val="24"/>
          <w:szCs w:val="24"/>
          <w:highlight w:val="none"/>
        </w:rPr>
        <w:t>乙方在</w:t>
      </w:r>
      <w:r>
        <w:rPr>
          <w:rFonts w:hint="eastAsia" w:ascii="??" w:hAnsi="??" w:cs="宋?fa"/>
          <w:color w:val="auto"/>
          <w:sz w:val="24"/>
          <w:szCs w:val="24"/>
          <w:highlight w:val="none"/>
        </w:rPr>
        <w:t>运输货物时，应当遵守有关部门关于货物运输线路、时间、速度方面的有关规定，</w:t>
      </w:r>
      <w:r>
        <w:rPr>
          <w:rFonts w:hint="eastAsia" w:ascii="宋?fa" w:hAnsi="宋?fa" w:cs="宋?fa"/>
          <w:color w:val="auto"/>
          <w:sz w:val="24"/>
          <w:szCs w:val="24"/>
          <w:highlight w:val="none"/>
        </w:rPr>
        <w:t>确保将货物安全、及时、无损运抵指定地点。</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9</w:t>
      </w:r>
      <w:r>
        <w:rPr>
          <w:rFonts w:hint="eastAsia" w:ascii="宋?fa" w:hAnsi="宋?fa" w:cs="宋?fa"/>
          <w:color w:val="auto"/>
          <w:sz w:val="24"/>
          <w:szCs w:val="24"/>
          <w:highlight w:val="none"/>
        </w:rPr>
        <w:t>、确保收运现场作业的后续卫生，负责清理现场，保持干净。</w:t>
      </w:r>
    </w:p>
    <w:p>
      <w:pPr>
        <w:tabs>
          <w:tab w:val="left" w:pos="840"/>
        </w:tabs>
        <w:spacing w:line="360" w:lineRule="auto"/>
        <w:rPr>
          <w:rFonts w:ascii="宋?fa" w:cs="Times New Roman"/>
          <w:b/>
          <w:bCs/>
          <w:color w:val="auto"/>
          <w:sz w:val="24"/>
          <w:szCs w:val="24"/>
          <w:highlight w:val="none"/>
        </w:rPr>
      </w:pPr>
      <w:r>
        <w:rPr>
          <w:rFonts w:hint="eastAsia" w:ascii="宋?fa" w:hAnsi="宋?fa" w:cs="宋?fa"/>
          <w:b/>
          <w:bCs/>
          <w:color w:val="auto"/>
          <w:sz w:val="24"/>
          <w:szCs w:val="24"/>
          <w:highlight w:val="none"/>
          <w:lang w:val="en-US" w:eastAsia="zh-CN"/>
        </w:rPr>
        <w:t>六</w:t>
      </w:r>
      <w:r>
        <w:rPr>
          <w:rFonts w:hint="eastAsia" w:ascii="宋?fa" w:hAnsi="宋?fa" w:cs="宋?fa"/>
          <w:b/>
          <w:bCs/>
          <w:color w:val="auto"/>
          <w:sz w:val="24"/>
          <w:szCs w:val="24"/>
          <w:highlight w:val="none"/>
        </w:rPr>
        <w:t>、乙方运输车辆、司机的操作要求</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1</w:t>
      </w:r>
      <w:r>
        <w:rPr>
          <w:rFonts w:hint="eastAsia" w:ascii="宋?fa" w:hAnsi="宋?fa" w:cs="宋?fa"/>
          <w:color w:val="auto"/>
          <w:sz w:val="24"/>
          <w:szCs w:val="24"/>
          <w:highlight w:val="none"/>
        </w:rPr>
        <w:t>、车辆车况（如车厢、轮胎、防火罩等）应完好，不得有破损等现象。</w:t>
      </w:r>
    </w:p>
    <w:p>
      <w:pPr>
        <w:spacing w:line="360" w:lineRule="auto"/>
        <w:ind w:firstLine="480" w:firstLineChars="200"/>
        <w:rPr>
          <w:rFonts w:hint="default" w:ascii="宋?fa" w:eastAsia="宋体" w:cs="Times New Roman"/>
          <w:color w:val="auto"/>
          <w:sz w:val="24"/>
          <w:szCs w:val="24"/>
          <w:highlight w:val="none"/>
          <w:lang w:val="en-US" w:eastAsia="zh-CN"/>
        </w:rPr>
      </w:pPr>
      <w:r>
        <w:rPr>
          <w:rFonts w:ascii="宋?fa" w:hAnsi="宋?fa" w:cs="宋?fa"/>
          <w:color w:val="auto"/>
          <w:sz w:val="24"/>
          <w:szCs w:val="24"/>
          <w:highlight w:val="none"/>
        </w:rPr>
        <w:t>2</w:t>
      </w:r>
      <w:r>
        <w:rPr>
          <w:rFonts w:hint="eastAsia" w:ascii="宋?fa" w:hAnsi="宋?fa" w:cs="宋?fa"/>
          <w:color w:val="auto"/>
          <w:sz w:val="24"/>
          <w:szCs w:val="24"/>
          <w:highlight w:val="none"/>
        </w:rPr>
        <w:t>、对不符合货物包装要求的，乙方不得装载上车。</w:t>
      </w:r>
      <w:r>
        <w:rPr>
          <w:rFonts w:hint="eastAsia" w:ascii="宋?fa" w:hAnsi="宋?fa" w:cs="宋?fa"/>
          <w:color w:val="auto"/>
          <w:sz w:val="24"/>
          <w:szCs w:val="24"/>
          <w:highlight w:val="none"/>
          <w:lang w:val="en-US" w:eastAsia="zh-CN"/>
        </w:rPr>
        <w:t>由于本合同项下运输的货物为渗滤液，乙方在运输过程中需采取合理必要的措施保障渗滤液不滴漏。</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3</w:t>
      </w:r>
      <w:r>
        <w:rPr>
          <w:rFonts w:hint="eastAsia" w:ascii="宋?fa" w:hAnsi="宋?fa" w:cs="宋?fa"/>
          <w:color w:val="auto"/>
          <w:sz w:val="24"/>
          <w:szCs w:val="24"/>
          <w:highlight w:val="none"/>
        </w:rPr>
        <w:t>、运输途中，应密切注意车辆所装载的货物动态，根据货物性质，发现问题及时采取措施妥善处理，并向甲方调度汇报情况。</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4</w:t>
      </w:r>
      <w:r>
        <w:rPr>
          <w:rFonts w:hint="eastAsia" w:ascii="宋?fa" w:hAnsi="宋?fa" w:cs="宋?fa"/>
          <w:color w:val="auto"/>
          <w:sz w:val="24"/>
          <w:szCs w:val="24"/>
          <w:highlight w:val="none"/>
        </w:rPr>
        <w:t>、车辆中途临时停靠，应安排人员看管</w:t>
      </w:r>
      <w:r>
        <w:rPr>
          <w:rFonts w:hint="eastAsia" w:ascii="宋?fa" w:hAnsi="宋?fa" w:cs="宋?fa"/>
          <w:color w:val="auto"/>
          <w:sz w:val="24"/>
          <w:szCs w:val="24"/>
          <w:highlight w:val="none"/>
          <w:lang w:eastAsia="zh-CN"/>
        </w:rPr>
        <w:t>。</w:t>
      </w:r>
      <w:r>
        <w:rPr>
          <w:rFonts w:hint="eastAsia" w:ascii="宋?fa" w:hAnsi="宋?fa" w:cs="宋?fa"/>
          <w:color w:val="auto"/>
          <w:sz w:val="24"/>
          <w:szCs w:val="24"/>
          <w:highlight w:val="none"/>
        </w:rPr>
        <w:t>遇无法正常运输的情况时，应当及时通知甲方。</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5</w:t>
      </w:r>
      <w:r>
        <w:rPr>
          <w:rFonts w:hint="eastAsia" w:ascii="宋?fa" w:hAnsi="宋?fa" w:cs="宋?fa"/>
          <w:color w:val="auto"/>
          <w:sz w:val="24"/>
          <w:szCs w:val="24"/>
          <w:highlight w:val="none"/>
        </w:rPr>
        <w:t>、应遵守甲方所指定收货、卸货的厂区内的各项规章制度，按照指定线路及要求行驶速度行车，配合厂区内的各项临时安排；如因乙方违反以上各条规定引起厂区的相关处罚，应由乙方自行承担相应责任及后果。</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6</w:t>
      </w:r>
      <w:r>
        <w:rPr>
          <w:rFonts w:hint="eastAsia" w:ascii="宋?fa" w:hAnsi="宋?fa" w:cs="宋?fa"/>
          <w:color w:val="auto"/>
          <w:sz w:val="24"/>
          <w:szCs w:val="24"/>
          <w:highlight w:val="none"/>
        </w:rPr>
        <w:t>、禁止酒后或服违禁药品上岗。</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7</w:t>
      </w:r>
      <w:r>
        <w:rPr>
          <w:rFonts w:hint="eastAsia" w:ascii="宋?fa" w:hAnsi="宋?fa" w:cs="宋?fa"/>
          <w:color w:val="auto"/>
          <w:sz w:val="24"/>
          <w:szCs w:val="24"/>
          <w:highlight w:val="none"/>
        </w:rPr>
        <w:t>、禁止在指定</w:t>
      </w:r>
      <w:r>
        <w:rPr>
          <w:rFonts w:hint="eastAsia" w:ascii="宋?fa" w:hAnsi="宋?fa" w:cs="宋?fa"/>
          <w:color w:val="auto"/>
          <w:sz w:val="24"/>
          <w:szCs w:val="24"/>
          <w:highlight w:val="none"/>
          <w:lang w:val="en-US" w:eastAsia="zh-CN"/>
        </w:rPr>
        <w:t>禁用手机</w:t>
      </w:r>
      <w:r>
        <w:rPr>
          <w:rFonts w:hint="eastAsia" w:ascii="宋?fa" w:hAnsi="宋?fa" w:cs="宋?fa"/>
          <w:color w:val="auto"/>
          <w:sz w:val="24"/>
          <w:szCs w:val="24"/>
          <w:highlight w:val="none"/>
        </w:rPr>
        <w:t>厂区内使用手机。</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8</w:t>
      </w:r>
      <w:r>
        <w:rPr>
          <w:rFonts w:hint="eastAsia" w:ascii="宋?fa" w:hAnsi="宋?fa" w:cs="宋?fa"/>
          <w:color w:val="auto"/>
          <w:sz w:val="24"/>
          <w:szCs w:val="24"/>
          <w:highlight w:val="none"/>
        </w:rPr>
        <w:t>、禁止无证驾驶机动车辆。</w:t>
      </w:r>
    </w:p>
    <w:p>
      <w:pPr>
        <w:spacing w:line="360" w:lineRule="auto"/>
        <w:ind w:left="360" w:firstLine="120" w:firstLineChars="50"/>
        <w:rPr>
          <w:rFonts w:ascii="宋?fa" w:hAnsi="宋?fa" w:eastAsia="宋体" w:cs="宋?fa"/>
          <w:color w:val="auto"/>
          <w:sz w:val="24"/>
          <w:szCs w:val="24"/>
          <w:highlight w:val="none"/>
        </w:rPr>
      </w:pPr>
      <w:r>
        <w:rPr>
          <w:rFonts w:ascii="宋?fa" w:hAnsi="宋?fa" w:cs="宋?fa"/>
          <w:color w:val="auto"/>
          <w:sz w:val="24"/>
          <w:szCs w:val="24"/>
          <w:highlight w:val="none"/>
        </w:rPr>
        <w:t>9</w:t>
      </w:r>
      <w:r>
        <w:rPr>
          <w:rFonts w:hint="eastAsia" w:ascii="宋?fa" w:hAnsi="宋?fa" w:cs="宋?fa"/>
          <w:color w:val="auto"/>
          <w:sz w:val="24"/>
          <w:szCs w:val="24"/>
          <w:highlight w:val="none"/>
        </w:rPr>
        <w:t>、禁止在指定吸烟点外吸烟。</w:t>
      </w:r>
    </w:p>
    <w:p>
      <w:pPr>
        <w:spacing w:line="360" w:lineRule="auto"/>
        <w:ind w:left="360" w:firstLine="120" w:firstLineChars="50"/>
        <w:rPr>
          <w:rFonts w:ascii="宋?fa" w:hAnsi="宋?fa" w:eastAsia="宋体" w:cs="宋?fa"/>
          <w:color w:val="auto"/>
          <w:sz w:val="24"/>
          <w:szCs w:val="24"/>
          <w:highlight w:val="none"/>
        </w:rPr>
      </w:pPr>
      <w:r>
        <w:rPr>
          <w:rFonts w:hint="eastAsia" w:ascii="宋?fa" w:hAnsi="宋?fa" w:eastAsia="宋体" w:cs="宋?fa"/>
          <w:color w:val="auto"/>
          <w:sz w:val="24"/>
          <w:szCs w:val="24"/>
          <w:highlight w:val="none"/>
        </w:rPr>
        <w:t>10、</w:t>
      </w:r>
      <w:r>
        <w:rPr>
          <w:rFonts w:eastAsia="宋体"/>
          <w:bCs/>
          <w:color w:val="auto"/>
          <w:sz w:val="24"/>
          <w:szCs w:val="24"/>
          <w:highlight w:val="none"/>
        </w:rPr>
        <w:t>严禁违反国家有关规定超载、超限运输。</w:t>
      </w:r>
    </w:p>
    <w:p>
      <w:pPr>
        <w:spacing w:line="360" w:lineRule="auto"/>
        <w:ind w:left="360" w:firstLine="120" w:firstLineChars="50"/>
        <w:rPr>
          <w:rFonts w:eastAsia="宋体"/>
          <w:bCs/>
          <w:color w:val="auto"/>
          <w:sz w:val="24"/>
          <w:szCs w:val="24"/>
          <w:highlight w:val="none"/>
        </w:rPr>
      </w:pPr>
      <w:r>
        <w:rPr>
          <w:rFonts w:hint="eastAsia" w:ascii="宋?fa" w:hAnsi="宋?fa" w:eastAsia="宋体" w:cs="宋?fa"/>
          <w:color w:val="auto"/>
          <w:sz w:val="24"/>
          <w:szCs w:val="24"/>
          <w:highlight w:val="none"/>
        </w:rPr>
        <w:t>11、</w:t>
      </w:r>
      <w:r>
        <w:rPr>
          <w:rFonts w:hint="eastAsia" w:eastAsia="宋体"/>
          <w:bCs/>
          <w:color w:val="auto"/>
          <w:sz w:val="24"/>
          <w:szCs w:val="24"/>
          <w:highlight w:val="none"/>
        </w:rPr>
        <w:t>乙方运输车辆具备防扬尘、防撒漏条件，作业前后进行必要的喷洒消毒措施。</w:t>
      </w:r>
    </w:p>
    <w:p>
      <w:pPr>
        <w:spacing w:line="360" w:lineRule="auto"/>
        <w:ind w:left="360" w:firstLine="120" w:firstLineChars="50"/>
        <w:rPr>
          <w:rFonts w:ascii="宋?fa" w:eastAsia="宋体" w:cs="Times New Roman"/>
          <w:color w:val="auto"/>
          <w:sz w:val="24"/>
          <w:szCs w:val="24"/>
          <w:highlight w:val="none"/>
        </w:rPr>
      </w:pPr>
      <w:r>
        <w:rPr>
          <w:rFonts w:hint="eastAsia" w:eastAsia="宋体"/>
          <w:bCs/>
          <w:color w:val="auto"/>
          <w:sz w:val="24"/>
          <w:szCs w:val="24"/>
          <w:highlight w:val="none"/>
        </w:rPr>
        <w:t>1</w:t>
      </w:r>
      <w:r>
        <w:rPr>
          <w:rFonts w:hint="eastAsia"/>
          <w:bCs/>
          <w:color w:val="auto"/>
          <w:sz w:val="24"/>
          <w:szCs w:val="24"/>
          <w:highlight w:val="none"/>
          <w:lang w:val="en-US" w:eastAsia="zh-CN"/>
        </w:rPr>
        <w:t>2</w:t>
      </w:r>
      <w:r>
        <w:rPr>
          <w:rFonts w:hint="eastAsia" w:eastAsia="宋体"/>
          <w:bCs/>
          <w:color w:val="auto"/>
          <w:sz w:val="24"/>
          <w:szCs w:val="24"/>
          <w:highlight w:val="none"/>
        </w:rPr>
        <w:t>、乙方履行合同义务过程中应保证作业人员及现场的安全，如因乙方原因发生意外导致甲方、第三方财产受损、人员伤亡的，由乙方承担责任。</w:t>
      </w:r>
    </w:p>
    <w:p>
      <w:pPr>
        <w:spacing w:line="360" w:lineRule="auto"/>
        <w:rPr>
          <w:rFonts w:ascii="宋?fa" w:cs="Times New Roman"/>
          <w:b/>
          <w:bCs/>
          <w:color w:val="auto"/>
          <w:sz w:val="24"/>
          <w:szCs w:val="24"/>
          <w:highlight w:val="none"/>
        </w:rPr>
      </w:pPr>
      <w:r>
        <w:rPr>
          <w:rFonts w:hint="eastAsia" w:ascii="宋?fa" w:hAnsi="宋?fa" w:cs="宋?fa"/>
          <w:b/>
          <w:bCs/>
          <w:color w:val="auto"/>
          <w:sz w:val="24"/>
          <w:szCs w:val="24"/>
          <w:highlight w:val="none"/>
          <w:lang w:val="en-US" w:eastAsia="zh-CN"/>
        </w:rPr>
        <w:t>七</w:t>
      </w:r>
      <w:r>
        <w:rPr>
          <w:rFonts w:hint="eastAsia" w:ascii="宋?fa" w:hAnsi="宋?fa" w:cs="宋?fa"/>
          <w:b/>
          <w:bCs/>
          <w:color w:val="auto"/>
          <w:sz w:val="24"/>
          <w:szCs w:val="24"/>
          <w:highlight w:val="none"/>
        </w:rPr>
        <w:t>、货物及相关单据交接</w:t>
      </w:r>
    </w:p>
    <w:p>
      <w:pPr>
        <w:spacing w:line="360" w:lineRule="auto"/>
        <w:ind w:firstLine="480" w:firstLineChars="200"/>
        <w:rPr>
          <w:rFonts w:hint="eastAsia" w:ascii="宋?fa" w:eastAsia="宋体" w:cs="Times New Roman"/>
          <w:color w:val="auto"/>
          <w:sz w:val="24"/>
          <w:szCs w:val="24"/>
          <w:highlight w:val="none"/>
          <w:lang w:eastAsia="zh-CN"/>
        </w:rPr>
      </w:pPr>
      <w:r>
        <w:rPr>
          <w:rFonts w:hint="eastAsia" w:ascii="宋?fa" w:hAnsi="宋?fa" w:cs="宋?fa"/>
          <w:color w:val="auto"/>
          <w:sz w:val="24"/>
          <w:szCs w:val="24"/>
          <w:highlight w:val="none"/>
        </w:rPr>
        <w:t>乙方必须在责任范围内妥善运输和保管承运车厢内货物。</w:t>
      </w:r>
      <w:r>
        <w:rPr>
          <w:rFonts w:hint="eastAsia" w:ascii="宋?fa" w:hAnsi="宋?fa" w:cs="宋?fa"/>
          <w:color w:val="auto"/>
          <w:sz w:val="24"/>
          <w:szCs w:val="24"/>
          <w:highlight w:val="none"/>
          <w:lang w:val="en-US" w:eastAsia="zh-CN"/>
        </w:rPr>
        <w:t>渗滤液</w:t>
      </w:r>
      <w:r>
        <w:rPr>
          <w:rFonts w:hint="eastAsia" w:ascii="宋?fa" w:hAnsi="宋?fa" w:cs="宋?fa"/>
          <w:color w:val="auto"/>
          <w:sz w:val="24"/>
          <w:szCs w:val="24"/>
          <w:highlight w:val="none"/>
        </w:rPr>
        <w:t>运输至甲方指定地点后，</w:t>
      </w:r>
      <w:r>
        <w:rPr>
          <w:rFonts w:hint="eastAsia" w:ascii="宋?fa" w:hAnsi="宋?fa" w:cs="宋?fa"/>
          <w:color w:val="auto"/>
          <w:sz w:val="24"/>
          <w:szCs w:val="24"/>
          <w:highlight w:val="none"/>
          <w:lang w:val="en-US" w:eastAsia="zh-CN"/>
        </w:rPr>
        <w:t>经甲方接货人厂区过磅后，</w:t>
      </w:r>
      <w:r>
        <w:rPr>
          <w:rFonts w:hint="eastAsia" w:ascii="宋?fa" w:hAnsi="宋?fa" w:cs="宋?fa"/>
          <w:color w:val="auto"/>
          <w:sz w:val="24"/>
          <w:szCs w:val="24"/>
          <w:highlight w:val="none"/>
        </w:rPr>
        <w:t>乙方应如实开据</w:t>
      </w:r>
      <w:r>
        <w:rPr>
          <w:rFonts w:hint="eastAsia" w:ascii="宋?fa" w:hAnsi="宋?fa" w:cs="宋?fa"/>
          <w:color w:val="auto"/>
          <w:sz w:val="24"/>
          <w:szCs w:val="24"/>
          <w:highlight w:val="none"/>
          <w:lang w:eastAsia="zh-CN"/>
        </w:rPr>
        <w:t>送货单据</w:t>
      </w:r>
      <w:r>
        <w:rPr>
          <w:rFonts w:hint="eastAsia" w:ascii="宋?fa" w:hAnsi="宋?fa" w:cs="宋?fa"/>
          <w:color w:val="auto"/>
          <w:sz w:val="24"/>
          <w:szCs w:val="24"/>
          <w:highlight w:val="none"/>
        </w:rPr>
        <w:t>，</w:t>
      </w:r>
      <w:r>
        <w:rPr>
          <w:rFonts w:hint="eastAsia" w:ascii="宋体" w:hAnsi="宋体" w:eastAsia="宋体" w:cs="宋?fa"/>
          <w:color w:val="auto"/>
          <w:sz w:val="24"/>
          <w:szCs w:val="24"/>
          <w:highlight w:val="none"/>
        </w:rPr>
        <w:t>一车对应一张</w:t>
      </w:r>
      <w:r>
        <w:rPr>
          <w:rFonts w:hint="eastAsia" w:ascii="宋体" w:hAnsi="宋体" w:cs="宋?fa"/>
          <w:color w:val="auto"/>
          <w:sz w:val="24"/>
          <w:szCs w:val="24"/>
          <w:highlight w:val="none"/>
          <w:lang w:eastAsia="zh-CN"/>
        </w:rPr>
        <w:t>送货单据，送货单据</w:t>
      </w:r>
      <w:r>
        <w:rPr>
          <w:rFonts w:hint="eastAsia" w:ascii="宋体" w:hAnsi="宋体" w:cs="宋?fa"/>
          <w:color w:val="auto"/>
          <w:sz w:val="24"/>
          <w:szCs w:val="24"/>
          <w:highlight w:val="none"/>
          <w:lang w:val="en-US" w:eastAsia="zh-CN"/>
        </w:rPr>
        <w:t>应载明该车次所运货物的重量并由甲乙双方</w:t>
      </w:r>
      <w:r>
        <w:rPr>
          <w:rFonts w:hint="eastAsia" w:ascii="宋?fa" w:hAnsi="宋?fa" w:cs="宋?fa"/>
          <w:color w:val="auto"/>
          <w:sz w:val="24"/>
          <w:szCs w:val="24"/>
          <w:highlight w:val="none"/>
        </w:rPr>
        <w:t>签字确认</w:t>
      </w:r>
      <w:r>
        <w:rPr>
          <w:rFonts w:hint="eastAsia" w:ascii="宋?fa" w:hAnsi="宋?fa" w:cs="宋?fa"/>
          <w:color w:val="auto"/>
          <w:sz w:val="24"/>
          <w:szCs w:val="24"/>
          <w:highlight w:val="none"/>
          <w:lang w:eastAsia="zh-CN"/>
        </w:rPr>
        <w:t>，</w:t>
      </w:r>
      <w:r>
        <w:rPr>
          <w:rFonts w:hint="eastAsia" w:ascii="宋?fa" w:hAnsi="宋?fa" w:cs="宋?fa"/>
          <w:color w:val="auto"/>
          <w:sz w:val="24"/>
          <w:szCs w:val="24"/>
          <w:highlight w:val="none"/>
          <w:lang w:val="en-US" w:eastAsia="zh-CN"/>
        </w:rPr>
        <w:t>作为乙方结算运输费用的依据</w:t>
      </w:r>
      <w:r>
        <w:rPr>
          <w:rFonts w:hint="eastAsia" w:ascii="宋?fa" w:hAnsi="宋?fa" w:cs="宋?fa"/>
          <w:color w:val="auto"/>
          <w:sz w:val="24"/>
          <w:szCs w:val="24"/>
          <w:highlight w:val="none"/>
          <w:lang w:eastAsia="zh-CN"/>
        </w:rPr>
        <w:t>。</w:t>
      </w:r>
    </w:p>
    <w:p>
      <w:pPr>
        <w:spacing w:line="360" w:lineRule="auto"/>
        <w:rPr>
          <w:rFonts w:ascii="宋?fa" w:cs="Times New Roman"/>
          <w:b/>
          <w:bCs/>
          <w:color w:val="auto"/>
          <w:sz w:val="24"/>
          <w:szCs w:val="24"/>
          <w:highlight w:val="none"/>
        </w:rPr>
      </w:pPr>
      <w:r>
        <w:rPr>
          <w:rFonts w:hint="eastAsia" w:ascii="宋?fa" w:hAnsi="宋?fa" w:cs="宋?fa"/>
          <w:b/>
          <w:bCs/>
          <w:color w:val="auto"/>
          <w:sz w:val="24"/>
          <w:szCs w:val="24"/>
          <w:highlight w:val="none"/>
          <w:lang w:val="en-US" w:eastAsia="zh-CN"/>
        </w:rPr>
        <w:t>八</w:t>
      </w:r>
      <w:r>
        <w:rPr>
          <w:rFonts w:hint="eastAsia" w:ascii="宋?fa" w:hAnsi="宋?fa" w:cs="宋?fa"/>
          <w:b/>
          <w:bCs/>
          <w:color w:val="auto"/>
          <w:sz w:val="24"/>
          <w:szCs w:val="24"/>
          <w:highlight w:val="none"/>
        </w:rPr>
        <w:t>、违约责任</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1</w:t>
      </w:r>
      <w:r>
        <w:rPr>
          <w:rFonts w:hint="eastAsia" w:ascii="宋?fa" w:hAnsi="宋?fa" w:cs="宋?fa"/>
          <w:color w:val="auto"/>
          <w:sz w:val="24"/>
          <w:szCs w:val="24"/>
          <w:highlight w:val="none"/>
        </w:rPr>
        <w:t>．乙方不按</w:t>
      </w:r>
      <w:r>
        <w:rPr>
          <w:rFonts w:hint="eastAsia" w:ascii="宋?fa" w:hAnsi="宋?fa" w:eastAsia="宋体" w:cs="宋?fa"/>
          <w:color w:val="auto"/>
          <w:sz w:val="24"/>
          <w:szCs w:val="24"/>
          <w:highlight w:val="none"/>
        </w:rPr>
        <w:t>甲方</w:t>
      </w:r>
      <w:r>
        <w:rPr>
          <w:rFonts w:hint="eastAsia" w:ascii="宋?fa" w:hAnsi="宋?fa" w:cs="宋?fa"/>
          <w:color w:val="auto"/>
          <w:sz w:val="24"/>
          <w:szCs w:val="24"/>
          <w:highlight w:val="none"/>
        </w:rPr>
        <w:t>规定的时间和要求配车发运的，</w:t>
      </w:r>
      <w:r>
        <w:rPr>
          <w:rFonts w:hint="eastAsia" w:ascii="宋体" w:hAnsi="宋体" w:eastAsia="宋体" w:cs="宋?fa"/>
          <w:color w:val="auto"/>
          <w:sz w:val="24"/>
          <w:szCs w:val="24"/>
          <w:highlight w:val="none"/>
        </w:rPr>
        <w:t>每次</w:t>
      </w:r>
      <w:r>
        <w:rPr>
          <w:rFonts w:hint="eastAsia" w:ascii="宋?fa" w:hAnsi="宋?fa" w:cs="宋?fa"/>
          <w:color w:val="auto"/>
          <w:sz w:val="24"/>
          <w:szCs w:val="24"/>
          <w:highlight w:val="none"/>
        </w:rPr>
        <w:t>乙方应向甲方支付</w:t>
      </w:r>
      <w:r>
        <w:rPr>
          <w:rFonts w:hint="eastAsia" w:ascii="宋?fa" w:hAnsi="宋?fa" w:eastAsia="宋体" w:cs="宋?fa"/>
          <w:color w:val="auto"/>
          <w:sz w:val="24"/>
          <w:szCs w:val="24"/>
          <w:highlight w:val="none"/>
        </w:rPr>
        <w:t>该车运费的30%</w:t>
      </w:r>
      <w:r>
        <w:rPr>
          <w:rFonts w:hint="eastAsia" w:ascii="宋?fa" w:hAnsi="宋?fa" w:cs="宋?fa"/>
          <w:color w:val="auto"/>
          <w:sz w:val="24"/>
          <w:szCs w:val="24"/>
          <w:highlight w:val="none"/>
          <w:lang w:val="en-US" w:eastAsia="zh-CN"/>
        </w:rPr>
        <w:t>作为</w:t>
      </w:r>
      <w:r>
        <w:rPr>
          <w:rFonts w:hint="eastAsia" w:ascii="宋?fa" w:hAnsi="宋?fa" w:cs="宋?fa"/>
          <w:color w:val="auto"/>
          <w:sz w:val="24"/>
          <w:szCs w:val="24"/>
          <w:highlight w:val="none"/>
        </w:rPr>
        <w:t>违约金</w:t>
      </w:r>
      <w:r>
        <w:rPr>
          <w:rFonts w:hint="eastAsia" w:ascii="宋?fa" w:hAnsi="宋?fa" w:eastAsia="宋体" w:cs="宋?fa"/>
          <w:color w:val="auto"/>
          <w:sz w:val="24"/>
          <w:szCs w:val="24"/>
          <w:highlight w:val="none"/>
        </w:rPr>
        <w:t>，</w:t>
      </w:r>
      <w:r>
        <w:rPr>
          <w:rFonts w:hint="eastAsia" w:ascii="宋?fa" w:hAnsi="宋?fa" w:cs="宋?fa"/>
          <w:color w:val="auto"/>
          <w:sz w:val="24"/>
          <w:szCs w:val="24"/>
          <w:highlight w:val="none"/>
        </w:rPr>
        <w:t>如</w:t>
      </w:r>
      <w:r>
        <w:rPr>
          <w:rFonts w:hint="eastAsia" w:ascii="宋?fa" w:hAnsi="宋?fa" w:cs="宋?fa"/>
          <w:color w:val="auto"/>
          <w:sz w:val="24"/>
          <w:szCs w:val="24"/>
          <w:highlight w:val="none"/>
          <w:lang w:val="en-US" w:eastAsia="zh-CN"/>
        </w:rPr>
        <w:t>前述违约金不足以弥补</w:t>
      </w:r>
      <w:r>
        <w:rPr>
          <w:rFonts w:hint="eastAsia" w:ascii="宋?fa" w:hAnsi="宋?fa" w:cs="宋?fa"/>
          <w:color w:val="auto"/>
          <w:sz w:val="24"/>
          <w:szCs w:val="24"/>
          <w:highlight w:val="none"/>
        </w:rPr>
        <w:t>造成甲方损失的</w:t>
      </w:r>
      <w:r>
        <w:rPr>
          <w:rFonts w:hint="eastAsia" w:ascii="宋?fa" w:hAnsi="宋?fa" w:cs="宋?fa"/>
          <w:color w:val="auto"/>
          <w:sz w:val="24"/>
          <w:szCs w:val="24"/>
          <w:highlight w:val="none"/>
          <w:lang w:eastAsia="zh-CN"/>
        </w:rPr>
        <w:t>，</w:t>
      </w:r>
      <w:r>
        <w:rPr>
          <w:rFonts w:hint="eastAsia" w:ascii="宋?fa" w:hAnsi="宋?fa" w:cs="宋?fa"/>
          <w:color w:val="auto"/>
          <w:sz w:val="24"/>
          <w:szCs w:val="24"/>
          <w:highlight w:val="none"/>
          <w:lang w:val="en-US" w:eastAsia="zh-CN"/>
        </w:rPr>
        <w:t>不足部分乙方</w:t>
      </w:r>
      <w:r>
        <w:rPr>
          <w:rFonts w:hint="eastAsia" w:ascii="宋?fa" w:hAnsi="宋?fa" w:cs="宋?fa"/>
          <w:color w:val="auto"/>
          <w:sz w:val="24"/>
          <w:szCs w:val="24"/>
          <w:highlight w:val="none"/>
        </w:rPr>
        <w:t>需另作赔偿。</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2</w:t>
      </w:r>
      <w:r>
        <w:rPr>
          <w:rFonts w:hint="eastAsia" w:ascii="宋?fa" w:hAnsi="宋?fa" w:cs="宋?fa"/>
          <w:color w:val="auto"/>
          <w:sz w:val="24"/>
          <w:szCs w:val="24"/>
          <w:highlight w:val="none"/>
        </w:rPr>
        <w:t>．乙方如将货物错运到货地点或接货人，应无偿运至合同规定的到货地点或接货人；如果货物逾期达到，乙方应偿付逾期交货的违约金</w:t>
      </w:r>
      <w:r>
        <w:rPr>
          <w:rFonts w:hint="eastAsia" w:ascii="宋体" w:hAnsi="宋体" w:eastAsia="宋体" w:cs="宋?fa"/>
          <w:color w:val="auto"/>
          <w:sz w:val="24"/>
          <w:szCs w:val="24"/>
          <w:highlight w:val="none"/>
        </w:rPr>
        <w:t>，违约金为该车运费的30%</w:t>
      </w:r>
      <w:r>
        <w:rPr>
          <w:rFonts w:hint="eastAsia" w:ascii="宋?fa" w:hAnsi="宋?fa" w:cs="宋?fa"/>
          <w:color w:val="auto"/>
          <w:sz w:val="24"/>
          <w:szCs w:val="24"/>
          <w:highlight w:val="none"/>
        </w:rPr>
        <w:t>。</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3</w:t>
      </w:r>
      <w:r>
        <w:rPr>
          <w:rFonts w:hint="eastAsia" w:ascii="宋?fa" w:hAnsi="宋?fa" w:cs="宋?fa"/>
          <w:color w:val="auto"/>
          <w:sz w:val="24"/>
          <w:szCs w:val="24"/>
          <w:highlight w:val="none"/>
        </w:rPr>
        <w:t>．运输过程中货物</w:t>
      </w:r>
      <w:r>
        <w:rPr>
          <w:rFonts w:hint="eastAsia" w:ascii="宋?fa" w:hAnsi="宋?fa" w:cs="宋?fa"/>
          <w:color w:val="auto"/>
          <w:sz w:val="24"/>
          <w:szCs w:val="24"/>
          <w:highlight w:val="none"/>
          <w:lang w:val="en-US" w:eastAsia="zh-CN"/>
        </w:rPr>
        <w:t>跑冒滴漏，给甲方造成损失或不良影响的，乙方应承担赔偿甲方损失或消除不良影响的责任</w:t>
      </w:r>
      <w:r>
        <w:rPr>
          <w:rFonts w:hint="eastAsia" w:ascii="宋?fa" w:hAnsi="宋?fa" w:cs="宋?fa"/>
          <w:color w:val="auto"/>
          <w:sz w:val="24"/>
          <w:szCs w:val="24"/>
          <w:highlight w:val="none"/>
        </w:rPr>
        <w:t>。</w:t>
      </w:r>
    </w:p>
    <w:p>
      <w:pPr>
        <w:spacing w:line="360" w:lineRule="auto"/>
        <w:ind w:firstLine="480" w:firstLineChars="200"/>
        <w:rPr>
          <w:rFonts w:hint="default" w:ascii="宋?fa" w:hAnsi="宋?fa" w:eastAsia="宋体" w:cs="宋?fa"/>
          <w:color w:val="auto"/>
          <w:sz w:val="24"/>
          <w:szCs w:val="24"/>
          <w:highlight w:val="none"/>
        </w:rPr>
      </w:pPr>
      <w:r>
        <w:rPr>
          <w:rFonts w:ascii="宋?fa" w:hAnsi="宋?fa" w:cs="宋?fa"/>
          <w:color w:val="auto"/>
          <w:sz w:val="24"/>
          <w:szCs w:val="24"/>
          <w:highlight w:val="none"/>
        </w:rPr>
        <w:t>4.</w:t>
      </w:r>
      <w:r>
        <w:rPr>
          <w:rFonts w:hint="default" w:ascii="宋?fa" w:hAnsi="宋?fa" w:cs="宋?fa"/>
          <w:color w:val="auto"/>
          <w:sz w:val="24"/>
          <w:szCs w:val="24"/>
          <w:highlight w:val="none"/>
        </w:rPr>
        <w:t>由于下列原因造成货物灭失、减少、变质、损坏的，乙方不承担责任：法律规定的不可抗力（包括但不限于自然灾害、台风、地震、战争等）免责情形。</w:t>
      </w:r>
    </w:p>
    <w:p>
      <w:pPr>
        <w:spacing w:line="360" w:lineRule="auto"/>
        <w:ind w:firstLine="480" w:firstLineChars="200"/>
        <w:rPr>
          <w:rFonts w:hint="default" w:ascii="宋?fa" w:hAnsi="宋?fa" w:eastAsia="宋体" w:cs="宋?fa"/>
          <w:color w:val="auto"/>
          <w:sz w:val="24"/>
          <w:szCs w:val="24"/>
          <w:highlight w:val="none"/>
          <w:lang w:val="en-US" w:eastAsia="zh-CN"/>
        </w:rPr>
      </w:pPr>
      <w:r>
        <w:rPr>
          <w:rFonts w:hint="default" w:ascii="宋?fa" w:hAnsi="宋?fa" w:eastAsia="宋体" w:cs="宋?fa"/>
          <w:b w:val="0"/>
          <w:bCs w:val="0"/>
          <w:color w:val="auto"/>
          <w:kern w:val="2"/>
          <w:sz w:val="24"/>
          <w:szCs w:val="24"/>
          <w:highlight w:val="none"/>
          <w:lang w:val="en-US" w:eastAsia="zh-CN"/>
        </w:rPr>
        <w:t>5.</w:t>
      </w:r>
      <w:r>
        <w:rPr>
          <w:rFonts w:hint="default" w:ascii="宋?fa" w:hAnsi="宋?fa" w:eastAsia="宋体" w:cs="宋?fa"/>
          <w:b w:val="0"/>
          <w:bCs w:val="0"/>
          <w:color w:val="auto"/>
          <w:kern w:val="2"/>
          <w:sz w:val="24"/>
          <w:szCs w:val="24"/>
          <w:highlight w:val="none"/>
        </w:rPr>
        <w:t>乙方无正当理由拒不履行本合同约定，经甲方书面通知后，仍未在限期内整改的，甲方有权解除合同，乙方应向甲方退回所有已收取款项，且应按</w:t>
      </w:r>
      <w:r>
        <w:rPr>
          <w:rFonts w:hint="default" w:ascii="宋?fa" w:hAnsi="宋?fa" w:eastAsia="宋体" w:cs="宋?fa"/>
          <w:b w:val="0"/>
          <w:bCs w:val="0"/>
          <w:color w:val="auto"/>
          <w:kern w:val="2"/>
          <w:sz w:val="24"/>
          <w:szCs w:val="24"/>
          <w:highlight w:val="none"/>
          <w:lang w:val="en-US" w:eastAsia="zh-CN"/>
        </w:rPr>
        <w:t>甲方已支付乙方的</w:t>
      </w:r>
      <w:r>
        <w:rPr>
          <w:rFonts w:hint="default" w:ascii="宋?fa" w:hAnsi="宋?fa" w:eastAsia="宋体" w:cs="宋?fa"/>
          <w:b w:val="0"/>
          <w:bCs w:val="0"/>
          <w:color w:val="auto"/>
          <w:kern w:val="2"/>
          <w:sz w:val="24"/>
          <w:szCs w:val="24"/>
          <w:highlight w:val="none"/>
        </w:rPr>
        <w:t>付款总</w:t>
      </w:r>
      <w:r>
        <w:rPr>
          <w:rFonts w:hint="default" w:ascii="宋?fa" w:hAnsi="宋?fa" w:eastAsia="宋体" w:cs="宋?fa"/>
          <w:b w:val="0"/>
          <w:bCs w:val="0"/>
          <w:color w:val="auto"/>
          <w:kern w:val="2"/>
          <w:sz w:val="24"/>
          <w:szCs w:val="24"/>
          <w:highlight w:val="none"/>
          <w:lang w:eastAsia="zh-CN"/>
        </w:rPr>
        <w:t>额</w:t>
      </w:r>
      <w:r>
        <w:rPr>
          <w:rFonts w:hint="default" w:ascii="宋?fa" w:hAnsi="宋?fa" w:eastAsia="宋体" w:cs="宋?fa"/>
          <w:b w:val="0"/>
          <w:bCs w:val="0"/>
          <w:color w:val="auto"/>
          <w:kern w:val="2"/>
          <w:sz w:val="24"/>
          <w:szCs w:val="24"/>
          <w:highlight w:val="none"/>
        </w:rPr>
        <w:t>的20%向甲方支付违约金</w:t>
      </w:r>
      <w:r>
        <w:rPr>
          <w:rFonts w:hint="default" w:ascii="宋?fa" w:hAnsi="宋?fa" w:eastAsia="宋体" w:cs="宋?fa"/>
          <w:b w:val="0"/>
          <w:bCs w:val="0"/>
          <w:color w:val="auto"/>
          <w:kern w:val="2"/>
          <w:sz w:val="24"/>
          <w:szCs w:val="24"/>
          <w:highlight w:val="none"/>
          <w:lang w:eastAsia="zh-CN"/>
        </w:rPr>
        <w:t>。</w:t>
      </w:r>
    </w:p>
    <w:p>
      <w:pPr>
        <w:spacing w:line="360" w:lineRule="auto"/>
        <w:ind w:firstLine="480" w:firstLineChars="200"/>
        <w:rPr>
          <w:rFonts w:hint="default" w:eastAsia="宋体"/>
          <w:color w:val="auto"/>
          <w:highlight w:val="none"/>
          <w:lang w:val="en-US" w:eastAsia="zh-CN"/>
        </w:rPr>
      </w:pPr>
      <w:r>
        <w:rPr>
          <w:rFonts w:hint="eastAsia" w:ascii="宋?fa" w:hAnsi="宋?fa" w:eastAsia="宋体" w:cs="宋?fa"/>
          <w:color w:val="auto"/>
          <w:sz w:val="24"/>
          <w:szCs w:val="24"/>
          <w:highlight w:val="none"/>
          <w:lang w:val="en-US" w:eastAsia="zh-CN"/>
        </w:rPr>
        <w:t>6.</w:t>
      </w:r>
      <w:r>
        <w:rPr>
          <w:rFonts w:hint="eastAsia" w:ascii="宋?fa" w:hAnsi="宋?fa" w:eastAsia="宋体" w:cs="宋?fa"/>
          <w:color w:val="auto"/>
          <w:sz w:val="24"/>
          <w:szCs w:val="24"/>
          <w:highlight w:val="none"/>
        </w:rPr>
        <w:t>乙方在履约过程中因违约应承担违约金、罚款或甲方损失的，甲方有权直接从履约保证金中扣除相应金额。如履约保证金不足以扣除的，乙方应当补足，乙方未在甲方通知的时间内补足的，甲方有权在向乙方支付的任何款项中扣除，仍不足的，甲方有权另行追偿</w:t>
      </w:r>
      <w:r>
        <w:rPr>
          <w:rFonts w:hint="eastAsia" w:ascii="宋?fa" w:hAnsi="宋?fa" w:eastAsia="宋体" w:cs="宋?fa"/>
          <w:color w:val="auto"/>
          <w:sz w:val="24"/>
          <w:szCs w:val="24"/>
          <w:highlight w:val="none"/>
          <w:lang w:eastAsia="zh-CN"/>
        </w:rPr>
        <w:t>。</w:t>
      </w:r>
    </w:p>
    <w:p>
      <w:pPr>
        <w:spacing w:line="360" w:lineRule="auto"/>
        <w:rPr>
          <w:rFonts w:ascii="宋?fa" w:cs="Times New Roman"/>
          <w:b/>
          <w:bCs/>
          <w:color w:val="auto"/>
          <w:sz w:val="24"/>
          <w:szCs w:val="24"/>
          <w:highlight w:val="none"/>
        </w:rPr>
      </w:pPr>
      <w:r>
        <w:rPr>
          <w:rFonts w:hint="eastAsia" w:ascii="宋?fa" w:hAnsi="宋?fa" w:cs="宋?fa"/>
          <w:b/>
          <w:bCs/>
          <w:color w:val="auto"/>
          <w:sz w:val="24"/>
          <w:szCs w:val="24"/>
          <w:highlight w:val="none"/>
          <w:lang w:val="en-US" w:eastAsia="zh-CN"/>
        </w:rPr>
        <w:t>九</w:t>
      </w:r>
      <w:r>
        <w:rPr>
          <w:rFonts w:hint="eastAsia" w:ascii="宋?fa" w:hAnsi="宋?fa" w:cs="宋?fa"/>
          <w:b/>
          <w:bCs/>
          <w:color w:val="auto"/>
          <w:sz w:val="24"/>
          <w:szCs w:val="24"/>
          <w:highlight w:val="none"/>
        </w:rPr>
        <w:t>、费用及结算</w:t>
      </w:r>
    </w:p>
    <w:p>
      <w:pPr>
        <w:tabs>
          <w:tab w:val="left" w:pos="180"/>
          <w:tab w:val="left" w:pos="360"/>
        </w:tabs>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1</w:t>
      </w:r>
      <w:r>
        <w:rPr>
          <w:rFonts w:hint="eastAsia" w:ascii="宋?fa" w:hAnsi="宋?fa" w:cs="宋?fa"/>
          <w:color w:val="auto"/>
          <w:sz w:val="24"/>
          <w:szCs w:val="24"/>
          <w:highlight w:val="none"/>
        </w:rPr>
        <w:t>、甲乙双方按照本合同附件一《运输费报价单》中约定的价格和确认的实际运输数量进行结算。</w:t>
      </w:r>
    </w:p>
    <w:p>
      <w:pPr>
        <w:tabs>
          <w:tab w:val="left" w:pos="180"/>
          <w:tab w:val="left" w:pos="360"/>
        </w:tabs>
        <w:spacing w:line="360" w:lineRule="auto"/>
        <w:ind w:firstLine="480" w:firstLineChars="200"/>
        <w:rPr>
          <w:rFonts w:hint="eastAsia" w:ascii="宋?fa" w:eastAsia="宋体" w:cs="Times New Roman"/>
          <w:color w:val="auto"/>
          <w:sz w:val="24"/>
          <w:szCs w:val="24"/>
          <w:highlight w:val="none"/>
          <w:lang w:eastAsia="zh-CN"/>
        </w:rPr>
      </w:pPr>
      <w:r>
        <w:rPr>
          <w:rFonts w:ascii="宋?fa" w:hAnsi="宋?fa" w:cs="宋?fa"/>
          <w:color w:val="auto"/>
          <w:sz w:val="24"/>
          <w:szCs w:val="24"/>
          <w:highlight w:val="none"/>
        </w:rPr>
        <w:t>2</w:t>
      </w:r>
      <w:r>
        <w:rPr>
          <w:rFonts w:hint="eastAsia" w:ascii="宋?fa" w:hAnsi="宋?fa" w:cs="宋?fa"/>
          <w:color w:val="auto"/>
          <w:sz w:val="24"/>
          <w:szCs w:val="24"/>
          <w:highlight w:val="none"/>
        </w:rPr>
        <w:t>、双方运费的结算方式：按月结算。</w:t>
      </w:r>
      <w:r>
        <w:rPr>
          <w:rFonts w:hint="eastAsia" w:ascii="宋?fa" w:hAnsi="宋?fa" w:cs="宋?fa"/>
          <w:color w:val="auto"/>
          <w:sz w:val="24"/>
          <w:szCs w:val="24"/>
          <w:highlight w:val="none"/>
          <w:lang w:val="en-US" w:eastAsia="zh-CN"/>
        </w:rPr>
        <w:t>运费</w:t>
      </w:r>
      <w:r>
        <w:rPr>
          <w:rFonts w:hint="eastAsia" w:ascii="宋?fa" w:hAnsi="宋?fa" w:cs="宋?fa"/>
          <w:color w:val="auto"/>
          <w:sz w:val="24"/>
          <w:szCs w:val="24"/>
          <w:highlight w:val="none"/>
        </w:rPr>
        <w:t>结算</w:t>
      </w:r>
      <w:r>
        <w:rPr>
          <w:rFonts w:hint="eastAsia" w:ascii="宋?fa" w:hAnsi="宋?fa" w:cs="宋?fa"/>
          <w:color w:val="auto"/>
          <w:sz w:val="24"/>
          <w:szCs w:val="24"/>
          <w:highlight w:val="none"/>
          <w:lang w:val="en-US" w:eastAsia="zh-CN"/>
        </w:rPr>
        <w:t>费用</w:t>
      </w:r>
      <w:r>
        <w:rPr>
          <w:rFonts w:hint="eastAsia" w:ascii="宋?fa" w:hAnsi="宋?fa" w:cs="宋?fa"/>
          <w:color w:val="auto"/>
          <w:sz w:val="24"/>
          <w:szCs w:val="24"/>
          <w:highlight w:val="none"/>
          <w:lang w:eastAsia="zh-CN"/>
        </w:rPr>
        <w:t>（</w:t>
      </w:r>
      <w:r>
        <w:rPr>
          <w:rFonts w:hint="eastAsia" w:ascii="宋?fa" w:hAnsi="宋?fa" w:cs="宋?fa"/>
          <w:color w:val="auto"/>
          <w:sz w:val="24"/>
          <w:szCs w:val="24"/>
          <w:highlight w:val="none"/>
          <w:lang w:val="en-US" w:eastAsia="zh-CN"/>
        </w:rPr>
        <w:t>元</w:t>
      </w:r>
      <w:r>
        <w:rPr>
          <w:rFonts w:hint="eastAsia" w:ascii="宋?fa" w:hAnsi="宋?fa" w:cs="宋?fa"/>
          <w:color w:val="auto"/>
          <w:sz w:val="24"/>
          <w:szCs w:val="24"/>
          <w:highlight w:val="none"/>
          <w:lang w:eastAsia="zh-CN"/>
        </w:rPr>
        <w:t>）</w:t>
      </w:r>
      <w:r>
        <w:rPr>
          <w:rFonts w:hint="eastAsia" w:ascii="宋?fa" w:hAnsi="宋?fa" w:cs="宋?fa"/>
          <w:color w:val="auto"/>
          <w:sz w:val="24"/>
          <w:szCs w:val="24"/>
          <w:highlight w:val="none"/>
        </w:rPr>
        <w:t>=</w:t>
      </w:r>
      <w:r>
        <w:rPr>
          <w:rFonts w:hint="eastAsia" w:ascii="宋?fa" w:hAnsi="宋?fa" w:cs="宋?fa"/>
          <w:color w:val="auto"/>
          <w:sz w:val="24"/>
          <w:szCs w:val="24"/>
          <w:highlight w:val="none"/>
          <w:lang w:val="en-US" w:eastAsia="zh-CN"/>
        </w:rPr>
        <w:t>运输</w:t>
      </w:r>
      <w:r>
        <w:rPr>
          <w:rFonts w:hint="eastAsia" w:ascii="宋?fa" w:hAnsi="宋?fa" w:cs="宋?fa"/>
          <w:color w:val="auto"/>
          <w:sz w:val="24"/>
          <w:szCs w:val="24"/>
          <w:highlight w:val="none"/>
        </w:rPr>
        <w:t>单价</w:t>
      </w:r>
      <w:r>
        <w:rPr>
          <w:rFonts w:hint="eastAsia" w:ascii="宋?fa" w:hAnsi="宋?fa" w:cs="宋?fa"/>
          <w:color w:val="auto"/>
          <w:sz w:val="24"/>
          <w:szCs w:val="24"/>
          <w:highlight w:val="none"/>
          <w:lang w:eastAsia="zh-CN"/>
        </w:rPr>
        <w:t>（</w:t>
      </w:r>
      <w:r>
        <w:rPr>
          <w:rFonts w:hint="eastAsia" w:ascii="宋?fa" w:hAnsi="宋?fa" w:cs="宋?fa"/>
          <w:color w:val="auto"/>
          <w:sz w:val="24"/>
          <w:szCs w:val="24"/>
          <w:highlight w:val="none"/>
          <w:lang w:val="en-US" w:eastAsia="zh-CN"/>
        </w:rPr>
        <w:t>元/吨</w:t>
      </w:r>
      <w:r>
        <w:rPr>
          <w:rFonts w:hint="eastAsia" w:ascii="宋?fa" w:hAnsi="宋?fa" w:cs="宋?fa"/>
          <w:color w:val="auto"/>
          <w:sz w:val="24"/>
          <w:szCs w:val="24"/>
          <w:highlight w:val="none"/>
          <w:lang w:eastAsia="zh-CN"/>
        </w:rPr>
        <w:t>）</w:t>
      </w:r>
      <w:r>
        <w:rPr>
          <w:rFonts w:hint="eastAsia" w:ascii="宋?fa" w:hAnsi="宋?fa" w:cs="宋?fa"/>
          <w:color w:val="auto"/>
          <w:sz w:val="24"/>
          <w:szCs w:val="24"/>
          <w:highlight w:val="none"/>
        </w:rPr>
        <w:t>×运输数量</w:t>
      </w:r>
      <w:r>
        <w:rPr>
          <w:rFonts w:hint="eastAsia" w:ascii="宋?fa" w:hAnsi="宋?fa" w:cs="宋?fa"/>
          <w:color w:val="auto"/>
          <w:sz w:val="24"/>
          <w:szCs w:val="24"/>
          <w:highlight w:val="none"/>
          <w:lang w:eastAsia="zh-CN"/>
        </w:rPr>
        <w:t>（</w:t>
      </w:r>
      <w:r>
        <w:rPr>
          <w:rFonts w:hint="eastAsia" w:ascii="宋?fa" w:hAnsi="宋?fa" w:cs="宋?fa"/>
          <w:color w:val="auto"/>
          <w:sz w:val="24"/>
          <w:szCs w:val="24"/>
          <w:highlight w:val="none"/>
          <w:lang w:val="en-US" w:eastAsia="zh-CN"/>
        </w:rPr>
        <w:t>吨</w:t>
      </w:r>
      <w:r>
        <w:rPr>
          <w:rFonts w:hint="eastAsia" w:ascii="宋?fa" w:hAnsi="宋?fa" w:cs="宋?fa"/>
          <w:color w:val="auto"/>
          <w:sz w:val="24"/>
          <w:szCs w:val="24"/>
          <w:highlight w:val="none"/>
          <w:lang w:eastAsia="zh-CN"/>
        </w:rPr>
        <w:t>）。</w:t>
      </w:r>
    </w:p>
    <w:p>
      <w:pPr>
        <w:tabs>
          <w:tab w:val="left" w:pos="180"/>
          <w:tab w:val="left" w:pos="360"/>
        </w:tabs>
        <w:spacing w:line="360" w:lineRule="auto"/>
        <w:ind w:firstLine="480" w:firstLineChars="200"/>
        <w:rPr>
          <w:rFonts w:hint="eastAsia" w:ascii="宋?fa" w:hAnsi="宋?fa" w:cs="宋?fa"/>
          <w:color w:val="auto"/>
          <w:sz w:val="24"/>
          <w:szCs w:val="24"/>
          <w:highlight w:val="none"/>
        </w:rPr>
      </w:pPr>
      <w:r>
        <w:rPr>
          <w:rFonts w:hint="eastAsia" w:ascii="宋?fa" w:hAnsi="宋?fa" w:cs="宋?fa"/>
          <w:color w:val="auto"/>
          <w:sz w:val="24"/>
          <w:szCs w:val="24"/>
          <w:highlight w:val="none"/>
        </w:rPr>
        <w:t>①乙方每月26日提交本月（上月26日至本月25日）运费对账单及对应</w:t>
      </w:r>
      <w:r>
        <w:rPr>
          <w:rFonts w:hint="eastAsia" w:ascii="宋?fa" w:hAnsi="宋?fa" w:cs="宋?fa"/>
          <w:color w:val="auto"/>
          <w:sz w:val="24"/>
          <w:szCs w:val="24"/>
          <w:highlight w:val="none"/>
          <w:lang w:val="en-US" w:eastAsia="zh-CN"/>
        </w:rPr>
        <w:t>送货单</w:t>
      </w:r>
      <w:r>
        <w:rPr>
          <w:rFonts w:hint="eastAsia" w:ascii="宋?fa" w:hAnsi="宋?fa" w:cs="宋?fa"/>
          <w:color w:val="auto"/>
          <w:sz w:val="24"/>
          <w:szCs w:val="24"/>
          <w:highlight w:val="none"/>
        </w:rPr>
        <w:t>等凭证发出请款需求，甲方收到上述请款资料</w:t>
      </w:r>
      <w:r>
        <w:rPr>
          <w:rFonts w:hint="eastAsia" w:ascii="宋?fa" w:hAnsi="宋?fa" w:cs="宋?fa"/>
          <w:color w:val="auto"/>
          <w:sz w:val="24"/>
          <w:szCs w:val="24"/>
          <w:highlight w:val="none"/>
          <w:lang w:val="en-US" w:eastAsia="zh-CN"/>
        </w:rPr>
        <w:t>后</w:t>
      </w:r>
      <w:r>
        <w:rPr>
          <w:rFonts w:hint="eastAsia" w:ascii="宋?fa" w:hAnsi="宋?fa" w:cs="宋?fa"/>
          <w:color w:val="auto"/>
          <w:sz w:val="24"/>
          <w:szCs w:val="24"/>
          <w:highlight w:val="none"/>
        </w:rPr>
        <w:t>10个工作日内进行核实，双方确认无误后，乙方在5个工作日内开出增值税专用服务发票。</w:t>
      </w:r>
    </w:p>
    <w:p>
      <w:pPr>
        <w:tabs>
          <w:tab w:val="left" w:pos="180"/>
          <w:tab w:val="left" w:pos="360"/>
        </w:tabs>
        <w:spacing w:line="360" w:lineRule="auto"/>
        <w:ind w:firstLine="480" w:firstLineChars="200"/>
        <w:rPr>
          <w:rFonts w:hint="eastAsia" w:ascii="宋?fa" w:hAnsi="宋?fa" w:cs="宋?fa"/>
          <w:color w:val="auto"/>
          <w:sz w:val="24"/>
          <w:szCs w:val="24"/>
          <w:highlight w:val="none"/>
        </w:rPr>
      </w:pPr>
      <w:r>
        <w:rPr>
          <w:rFonts w:hint="eastAsia" w:ascii="宋?fa" w:hAnsi="宋?fa" w:cs="宋?fa"/>
          <w:color w:val="auto"/>
          <w:sz w:val="24"/>
          <w:szCs w:val="24"/>
          <w:highlight w:val="none"/>
        </w:rPr>
        <w:t>②甲方在收到</w:t>
      </w:r>
      <w:r>
        <w:rPr>
          <w:rFonts w:hint="eastAsia" w:ascii="宋?fa" w:hAnsi="宋?fa" w:cs="宋?fa"/>
          <w:color w:val="auto"/>
          <w:sz w:val="24"/>
          <w:szCs w:val="24"/>
          <w:highlight w:val="none"/>
          <w:lang w:eastAsia="zh-CN"/>
        </w:rPr>
        <w:t>乙方</w:t>
      </w:r>
      <w:r>
        <w:rPr>
          <w:rFonts w:hint="eastAsia" w:ascii="宋?fa" w:hAnsi="宋?fa" w:cs="宋?fa"/>
          <w:color w:val="auto"/>
          <w:sz w:val="24"/>
          <w:szCs w:val="24"/>
          <w:highlight w:val="none"/>
        </w:rPr>
        <w:t>发票后</w:t>
      </w:r>
      <w:r>
        <w:rPr>
          <w:rFonts w:hint="eastAsia" w:ascii="宋?fa" w:hAnsi="宋?fa" w:cs="宋?fa"/>
          <w:color w:val="auto"/>
          <w:sz w:val="24"/>
          <w:szCs w:val="24"/>
          <w:highlight w:val="none"/>
          <w:lang w:val="en-US" w:eastAsia="zh-CN"/>
        </w:rPr>
        <w:t>15</w:t>
      </w:r>
      <w:r>
        <w:rPr>
          <w:rFonts w:hint="eastAsia" w:ascii="宋?fa" w:hAnsi="宋?fa" w:cs="宋?fa"/>
          <w:color w:val="auto"/>
          <w:sz w:val="24"/>
          <w:szCs w:val="24"/>
          <w:highlight w:val="none"/>
        </w:rPr>
        <w:t>个工作内将运输服务费支付给乙方。支付方式仅限于双方签约运输服务合同所列公司银行账号进行公对公银行转账。</w:t>
      </w:r>
    </w:p>
    <w:p>
      <w:pPr>
        <w:tabs>
          <w:tab w:val="left" w:pos="180"/>
          <w:tab w:val="left" w:pos="360"/>
        </w:tabs>
        <w:spacing w:line="360" w:lineRule="auto"/>
        <w:ind w:firstLine="480" w:firstLineChars="200"/>
        <w:rPr>
          <w:rFonts w:hint="eastAsia" w:ascii="宋?fa" w:hAnsi="宋?fa" w:cs="宋?fa"/>
          <w:color w:val="auto"/>
          <w:sz w:val="24"/>
          <w:highlight w:val="none"/>
        </w:rPr>
      </w:pPr>
      <w:r>
        <w:rPr>
          <w:rFonts w:hint="eastAsia" w:ascii="宋?fa" w:hAnsi="宋?fa" w:cs="宋?fa"/>
          <w:color w:val="auto"/>
          <w:sz w:val="24"/>
          <w:highlight w:val="none"/>
        </w:rPr>
        <w:t>乙方请款前需向甲方提供请款材料和开具合法有效等额的增值税专用发票，否则甲方有权拒绝付款</w:t>
      </w:r>
      <w:r>
        <w:rPr>
          <w:rFonts w:hint="eastAsia" w:ascii="宋?fa" w:hAnsi="宋?fa" w:cs="宋?fa"/>
          <w:color w:val="auto"/>
          <w:sz w:val="24"/>
          <w:highlight w:val="none"/>
          <w:lang w:val="en-US" w:eastAsia="zh-CN"/>
        </w:rPr>
        <w:t>且不视为甲方违约</w:t>
      </w:r>
      <w:r>
        <w:rPr>
          <w:rFonts w:hint="eastAsia" w:ascii="宋?fa" w:hAnsi="宋?fa" w:cs="宋?fa"/>
          <w:color w:val="auto"/>
          <w:sz w:val="24"/>
          <w:highlight w:val="none"/>
        </w:rPr>
        <w:t>。</w:t>
      </w:r>
    </w:p>
    <w:p>
      <w:pPr>
        <w:tabs>
          <w:tab w:val="left" w:pos="180"/>
          <w:tab w:val="left" w:pos="360"/>
        </w:tabs>
        <w:spacing w:line="360" w:lineRule="auto"/>
        <w:ind w:firstLine="480" w:firstLineChars="200"/>
        <w:rPr>
          <w:rFonts w:hint="eastAsia" w:ascii="宋?fa" w:hAnsi="宋?fa" w:cs="宋?fa"/>
          <w:color w:val="auto"/>
          <w:sz w:val="24"/>
          <w:szCs w:val="24"/>
          <w:highlight w:val="none"/>
        </w:rPr>
      </w:pPr>
      <w:r>
        <w:rPr>
          <w:rFonts w:hint="eastAsia" w:ascii="宋?fa" w:hAnsi="宋?fa" w:cs="宋?fa"/>
          <w:color w:val="auto"/>
          <w:sz w:val="24"/>
          <w:szCs w:val="24"/>
          <w:highlight w:val="none"/>
          <w:lang w:val="en-US" w:eastAsia="zh-CN"/>
        </w:rPr>
        <w:t>3</w:t>
      </w:r>
      <w:r>
        <w:rPr>
          <w:rFonts w:hint="eastAsia" w:ascii="宋?fa" w:hAnsi="宋?fa" w:cs="宋?fa"/>
          <w:color w:val="auto"/>
          <w:sz w:val="24"/>
          <w:szCs w:val="24"/>
          <w:highlight w:val="none"/>
        </w:rPr>
        <w:t>、乙方的收款账户信息如下：</w:t>
      </w:r>
    </w:p>
    <w:p>
      <w:pPr>
        <w:tabs>
          <w:tab w:val="left" w:pos="180"/>
        </w:tabs>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乙方的收款账户如下：</w:t>
      </w:r>
    </w:p>
    <w:p>
      <w:pPr>
        <w:tabs>
          <w:tab w:val="left" w:pos="180"/>
        </w:tabs>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开户银行：</w:t>
      </w:r>
      <w:r>
        <w:rPr>
          <w:rFonts w:ascii="宋体" w:hAnsi="宋体" w:eastAsia="宋体" w:cs="Times New Roman"/>
          <w:bCs/>
          <w:color w:val="auto"/>
          <w:sz w:val="24"/>
          <w:szCs w:val="24"/>
          <w:highlight w:val="none"/>
        </w:rPr>
        <w:t xml:space="preserve"> </w:t>
      </w:r>
    </w:p>
    <w:p>
      <w:pPr>
        <w:tabs>
          <w:tab w:val="left" w:pos="180"/>
        </w:tabs>
        <w:spacing w:line="360" w:lineRule="auto"/>
        <w:ind w:firstLine="480" w:firstLineChars="200"/>
        <w:rPr>
          <w:rFonts w:ascii="宋?fa" w:hAnsi="宋?fa" w:cs="宋?fa"/>
          <w:color w:val="auto"/>
          <w:sz w:val="24"/>
          <w:szCs w:val="24"/>
          <w:highlight w:val="none"/>
        </w:rPr>
      </w:pPr>
      <w:r>
        <w:rPr>
          <w:rFonts w:hint="eastAsia" w:ascii="宋体" w:hAnsi="宋体" w:eastAsia="宋体" w:cs="Times New Roman"/>
          <w:bCs/>
          <w:color w:val="auto"/>
          <w:sz w:val="24"/>
          <w:szCs w:val="24"/>
          <w:highlight w:val="none"/>
        </w:rPr>
        <w:t>收款单位账号：</w:t>
      </w:r>
    </w:p>
    <w:p>
      <w:pPr>
        <w:tabs>
          <w:tab w:val="left" w:pos="180"/>
        </w:tabs>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收款单位名称：</w:t>
      </w:r>
    </w:p>
    <w:p>
      <w:pPr>
        <w:tabs>
          <w:tab w:val="left" w:pos="180"/>
        </w:tabs>
        <w:spacing w:line="360" w:lineRule="auto"/>
        <w:ind w:firstLine="480" w:firstLineChars="200"/>
        <w:rPr>
          <w:rFonts w:hint="eastAsia" w:ascii="宋?fa" w:hAnsi="宋?fa" w:cs="宋?fa"/>
          <w:b w:val="0"/>
          <w:bCs w:val="0"/>
          <w:color w:val="auto"/>
          <w:kern w:val="2"/>
          <w:sz w:val="24"/>
          <w:szCs w:val="24"/>
          <w:highlight w:val="none"/>
          <w:lang w:val="en-US" w:eastAsia="zh-CN"/>
        </w:rPr>
      </w:pPr>
      <w:r>
        <w:rPr>
          <w:rFonts w:hint="eastAsia" w:ascii="宋?fa" w:hAnsi="宋?fa" w:cs="宋?fa"/>
          <w:b w:val="0"/>
          <w:bCs w:val="0"/>
          <w:color w:val="auto"/>
          <w:sz w:val="24"/>
          <w:szCs w:val="24"/>
          <w:highlight w:val="none"/>
          <w:lang w:val="en-US" w:eastAsia="zh-CN"/>
        </w:rPr>
        <w:t>4、</w:t>
      </w:r>
      <w:r>
        <w:rPr>
          <w:rFonts w:hint="eastAsia" w:ascii="宋?fa" w:hAnsi="宋?fa" w:cs="宋?fa"/>
          <w:b w:val="0"/>
          <w:bCs w:val="0"/>
          <w:color w:val="auto"/>
          <w:kern w:val="2"/>
          <w:sz w:val="24"/>
          <w:szCs w:val="24"/>
          <w:highlight w:val="none"/>
          <w:lang w:val="en-US" w:eastAsia="zh-CN"/>
        </w:rPr>
        <w:t>甲方的开票信息如下：</w:t>
      </w:r>
    </w:p>
    <w:p>
      <w:pPr>
        <w:tabs>
          <w:tab w:val="left" w:pos="180"/>
        </w:tabs>
        <w:spacing w:line="360" w:lineRule="auto"/>
        <w:ind w:firstLine="420" w:firstLineChars="200"/>
        <w:rPr>
          <w:rFonts w:hint="default"/>
          <w:color w:val="auto"/>
          <w:highlight w:val="none"/>
          <w:lang w:val="en-US" w:eastAsia="zh-CN"/>
        </w:rPr>
      </w:pPr>
      <w:r>
        <w:rPr>
          <w:rFonts w:hint="eastAsia"/>
          <w:color w:val="auto"/>
          <w:highlight w:val="none"/>
          <w:lang w:val="en-US" w:eastAsia="zh-CN"/>
        </w:rPr>
        <w:t>发票抬头：</w:t>
      </w:r>
    </w:p>
    <w:p>
      <w:pPr>
        <w:tabs>
          <w:tab w:val="left" w:pos="180"/>
        </w:tabs>
        <w:spacing w:line="360" w:lineRule="auto"/>
        <w:ind w:firstLine="420" w:firstLineChars="200"/>
        <w:rPr>
          <w:rFonts w:hint="eastAsia"/>
          <w:color w:val="auto"/>
          <w:highlight w:val="none"/>
          <w:lang w:val="en-US" w:eastAsia="zh-CN"/>
        </w:rPr>
      </w:pPr>
      <w:r>
        <w:rPr>
          <w:rFonts w:hint="eastAsia"/>
          <w:color w:val="auto"/>
          <w:highlight w:val="none"/>
          <w:lang w:val="en-US" w:eastAsia="zh-CN"/>
        </w:rPr>
        <w:t>纳税人识别号：</w:t>
      </w:r>
    </w:p>
    <w:p>
      <w:pPr>
        <w:tabs>
          <w:tab w:val="left" w:pos="180"/>
        </w:tabs>
        <w:spacing w:line="360" w:lineRule="auto"/>
        <w:ind w:firstLine="420" w:firstLineChars="200"/>
        <w:rPr>
          <w:rFonts w:hint="eastAsia"/>
          <w:color w:val="auto"/>
          <w:highlight w:val="none"/>
          <w:lang w:val="en-US" w:eastAsia="zh-CN"/>
        </w:rPr>
      </w:pPr>
      <w:r>
        <w:rPr>
          <w:rFonts w:hint="eastAsia"/>
          <w:color w:val="auto"/>
          <w:highlight w:val="none"/>
          <w:lang w:val="en-US" w:eastAsia="zh-CN"/>
        </w:rPr>
        <w:t>开户银行：</w:t>
      </w:r>
    </w:p>
    <w:p>
      <w:pPr>
        <w:tabs>
          <w:tab w:val="left" w:pos="180"/>
        </w:tabs>
        <w:spacing w:line="360" w:lineRule="auto"/>
        <w:ind w:firstLine="420" w:firstLineChars="200"/>
        <w:rPr>
          <w:rFonts w:hint="default"/>
          <w:color w:val="auto"/>
          <w:highlight w:val="none"/>
          <w:lang w:val="en-US" w:eastAsia="zh-CN"/>
        </w:rPr>
      </w:pPr>
      <w:r>
        <w:rPr>
          <w:rFonts w:hint="eastAsia"/>
          <w:color w:val="auto"/>
          <w:highlight w:val="none"/>
          <w:lang w:val="en-US" w:eastAsia="zh-CN"/>
        </w:rPr>
        <w:t>银行账号：</w:t>
      </w:r>
    </w:p>
    <w:p>
      <w:pPr>
        <w:numPr>
          <w:ilvl w:val="0"/>
          <w:numId w:val="9"/>
        </w:numPr>
        <w:spacing w:line="360" w:lineRule="auto"/>
        <w:rPr>
          <w:rFonts w:hint="eastAsia" w:ascii="宋?fa" w:hAnsi="宋?fa" w:cs="宋?fa"/>
          <w:b/>
          <w:bCs/>
          <w:color w:val="auto"/>
          <w:sz w:val="24"/>
          <w:highlight w:val="none"/>
          <w:lang w:val="en-US" w:eastAsia="zh-CN"/>
        </w:rPr>
      </w:pPr>
      <w:r>
        <w:rPr>
          <w:rFonts w:hint="eastAsia" w:ascii="宋?fa" w:hAnsi="宋?fa" w:cs="宋?fa"/>
          <w:b/>
          <w:bCs/>
          <w:color w:val="auto"/>
          <w:sz w:val="24"/>
          <w:highlight w:val="none"/>
          <w:lang w:val="en-US" w:eastAsia="zh-CN"/>
        </w:rPr>
        <w:t>履约保证金</w:t>
      </w:r>
    </w:p>
    <w:p>
      <w:pPr>
        <w:tabs>
          <w:tab w:val="left" w:pos="180"/>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lang w:val="zh-CN"/>
        </w:rPr>
        <w:t>履约担保金额：人民币10000.00元</w:t>
      </w:r>
    </w:p>
    <w:p>
      <w:pPr>
        <w:tabs>
          <w:tab w:val="left" w:pos="180"/>
        </w:tabs>
        <w:spacing w:line="360" w:lineRule="auto"/>
        <w:ind w:firstLine="480" w:firstLineChars="200"/>
        <w:rPr>
          <w:rFonts w:hint="eastAsia" w:ascii="宋体" w:hAnsi="宋体" w:cs="Times New Roman"/>
          <w:bCs/>
          <w:color w:val="auto"/>
          <w:sz w:val="24"/>
          <w:szCs w:val="24"/>
          <w:highlight w:val="none"/>
          <w:u w:val="none"/>
        </w:rPr>
      </w:pPr>
      <w:r>
        <w:rPr>
          <w:rFonts w:hint="eastAsia" w:ascii="宋体" w:hAnsi="宋体" w:cs="Times New Roman"/>
          <w:bCs/>
          <w:color w:val="auto"/>
          <w:sz w:val="24"/>
          <w:szCs w:val="24"/>
          <w:highlight w:val="none"/>
        </w:rPr>
        <w:t>2.履约担保方式：</w:t>
      </w:r>
      <w:r>
        <w:rPr>
          <w:rFonts w:hint="eastAsia" w:ascii="宋体" w:hAnsi="宋体" w:cs="Times New Roman"/>
          <w:bCs/>
          <w:color w:val="auto"/>
          <w:sz w:val="24"/>
          <w:szCs w:val="24"/>
          <w:highlight w:val="none"/>
          <w:u w:val="none"/>
        </w:rPr>
        <w:t>（现金/银行汇票/银行支票/银行保函）</w:t>
      </w:r>
    </w:p>
    <w:p>
      <w:pPr>
        <w:tabs>
          <w:tab w:val="left" w:pos="180"/>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3.</w:t>
      </w:r>
      <w:r>
        <w:rPr>
          <w:rFonts w:hint="eastAsia" w:ascii="宋体" w:hAnsi="宋体"/>
          <w:bCs/>
          <w:color w:val="auto"/>
          <w:sz w:val="24"/>
          <w:szCs w:val="24"/>
          <w:highlight w:val="none"/>
          <w:lang w:val="en-US" w:eastAsia="zh-CN"/>
        </w:rPr>
        <w:t>乙方</w:t>
      </w:r>
      <w:r>
        <w:rPr>
          <w:rFonts w:hint="eastAsia" w:ascii="宋体" w:hAnsi="宋体"/>
          <w:bCs/>
          <w:color w:val="auto"/>
          <w:sz w:val="24"/>
          <w:szCs w:val="24"/>
          <w:highlight w:val="none"/>
          <w:lang w:val="zh-CN"/>
        </w:rPr>
        <w:t>在合同签订前提交履约担保，履约担保金额不超过成交合同金额的10%，如果</w:t>
      </w:r>
      <w:r>
        <w:rPr>
          <w:rFonts w:hint="eastAsia" w:ascii="宋体" w:hAnsi="宋体"/>
          <w:bCs/>
          <w:color w:val="auto"/>
          <w:sz w:val="24"/>
          <w:szCs w:val="24"/>
          <w:highlight w:val="none"/>
          <w:lang w:val="en-US" w:eastAsia="zh-CN"/>
        </w:rPr>
        <w:t>乙方</w:t>
      </w:r>
      <w:r>
        <w:rPr>
          <w:rFonts w:hint="eastAsia" w:ascii="宋体" w:hAnsi="宋体"/>
          <w:bCs/>
          <w:color w:val="auto"/>
          <w:sz w:val="24"/>
          <w:szCs w:val="24"/>
          <w:highlight w:val="none"/>
          <w:lang w:val="zh-CN"/>
        </w:rPr>
        <w:t>提交的履约保函的有效期先于合同要求的履约保函有效期到达，</w:t>
      </w:r>
      <w:r>
        <w:rPr>
          <w:rFonts w:hint="eastAsia" w:ascii="宋体" w:hAnsi="宋体"/>
          <w:bCs/>
          <w:color w:val="auto"/>
          <w:sz w:val="24"/>
          <w:szCs w:val="24"/>
          <w:highlight w:val="none"/>
          <w:lang w:val="en-US" w:eastAsia="zh-CN"/>
        </w:rPr>
        <w:t>乙方</w:t>
      </w:r>
      <w:r>
        <w:rPr>
          <w:rFonts w:hint="eastAsia" w:ascii="宋体" w:hAnsi="宋体"/>
          <w:bCs/>
          <w:color w:val="auto"/>
          <w:sz w:val="24"/>
          <w:szCs w:val="24"/>
          <w:highlight w:val="none"/>
          <w:lang w:val="zh-CN"/>
        </w:rPr>
        <w:t>应在原提交的履约保函有效期满前15天，无条件办理保函延期手续。否则，视为</w:t>
      </w:r>
      <w:r>
        <w:rPr>
          <w:rFonts w:hint="eastAsia" w:ascii="宋体" w:hAnsi="宋体"/>
          <w:bCs/>
          <w:color w:val="auto"/>
          <w:sz w:val="24"/>
          <w:szCs w:val="24"/>
          <w:highlight w:val="none"/>
          <w:lang w:val="en-US" w:eastAsia="zh-CN"/>
        </w:rPr>
        <w:t>乙方</w:t>
      </w:r>
      <w:r>
        <w:rPr>
          <w:rFonts w:hint="eastAsia" w:ascii="宋体" w:hAnsi="宋体"/>
          <w:bCs/>
          <w:color w:val="auto"/>
          <w:sz w:val="24"/>
          <w:szCs w:val="24"/>
          <w:highlight w:val="none"/>
          <w:lang w:val="zh-CN"/>
        </w:rPr>
        <w:t>违约，</w:t>
      </w:r>
      <w:r>
        <w:rPr>
          <w:rFonts w:hint="eastAsia" w:ascii="宋体" w:hAnsi="宋体"/>
          <w:bCs/>
          <w:color w:val="auto"/>
          <w:sz w:val="24"/>
          <w:szCs w:val="24"/>
          <w:highlight w:val="none"/>
          <w:lang w:val="en-US" w:eastAsia="zh-CN"/>
        </w:rPr>
        <w:t>甲方</w:t>
      </w:r>
      <w:r>
        <w:rPr>
          <w:rFonts w:hint="eastAsia" w:ascii="宋体" w:hAnsi="宋体"/>
          <w:bCs/>
          <w:color w:val="auto"/>
          <w:sz w:val="24"/>
          <w:szCs w:val="24"/>
          <w:highlight w:val="none"/>
          <w:lang w:val="zh-CN"/>
        </w:rPr>
        <w:t>可在保函到期前将保函金额转为现金存入履约保证金帐户。</w:t>
      </w:r>
    </w:p>
    <w:p>
      <w:pPr>
        <w:tabs>
          <w:tab w:val="left" w:pos="180"/>
        </w:tabs>
        <w:spacing w:line="360" w:lineRule="auto"/>
        <w:ind w:firstLine="480" w:firstLineChars="200"/>
        <w:rPr>
          <w:rFonts w:hint="default"/>
          <w:color w:val="auto"/>
          <w:highlight w:val="none"/>
          <w:lang w:val="en-US" w:eastAsia="zh-CN"/>
        </w:rPr>
      </w:pPr>
      <w:r>
        <w:rPr>
          <w:rFonts w:hint="eastAsia" w:ascii="宋体" w:hAnsi="宋体"/>
          <w:bCs/>
          <w:color w:val="auto"/>
          <w:sz w:val="24"/>
          <w:szCs w:val="24"/>
          <w:highlight w:val="none"/>
          <w:lang w:val="zh-CN"/>
        </w:rPr>
        <w:t>4.履约担保期限</w:t>
      </w:r>
      <w:r>
        <w:rPr>
          <w:rFonts w:hint="eastAsia" w:ascii="宋体" w:hAnsi="宋体"/>
          <w:bCs/>
          <w:color w:val="auto"/>
          <w:sz w:val="24"/>
          <w:szCs w:val="24"/>
          <w:highlight w:val="none"/>
          <w:u w:val="none"/>
          <w:lang w:val="zh-CN"/>
        </w:rPr>
        <w:t>从合同签订之日起至项目完工验收合格并结算完毕后，经</w:t>
      </w:r>
      <w:r>
        <w:rPr>
          <w:rFonts w:hint="eastAsia" w:ascii="宋体" w:hAnsi="宋体"/>
          <w:bCs/>
          <w:color w:val="auto"/>
          <w:sz w:val="24"/>
          <w:szCs w:val="24"/>
          <w:highlight w:val="none"/>
          <w:u w:val="none"/>
          <w:lang w:val="en-US" w:eastAsia="zh-CN"/>
        </w:rPr>
        <w:t>甲乙</w:t>
      </w:r>
      <w:r>
        <w:rPr>
          <w:rFonts w:hint="eastAsia" w:ascii="宋体" w:hAnsi="宋体"/>
          <w:bCs/>
          <w:color w:val="auto"/>
          <w:sz w:val="24"/>
          <w:szCs w:val="24"/>
          <w:highlight w:val="none"/>
          <w:u w:val="none"/>
          <w:lang w:val="zh-CN"/>
        </w:rPr>
        <w:t>双方签字7天内保持有效</w:t>
      </w:r>
      <w:r>
        <w:rPr>
          <w:rFonts w:hint="eastAsia" w:ascii="宋体" w:hAnsi="宋体"/>
          <w:bCs/>
          <w:color w:val="auto"/>
          <w:sz w:val="24"/>
          <w:szCs w:val="24"/>
          <w:highlight w:val="none"/>
          <w:lang w:val="zh-CN"/>
        </w:rPr>
        <w:t>。</w:t>
      </w:r>
    </w:p>
    <w:p>
      <w:pPr>
        <w:spacing w:line="360" w:lineRule="auto"/>
        <w:rPr>
          <w:rFonts w:ascii="宋?fa" w:cs="Times New Roman"/>
          <w:b/>
          <w:bCs/>
          <w:color w:val="auto"/>
          <w:sz w:val="24"/>
          <w:szCs w:val="24"/>
          <w:highlight w:val="none"/>
        </w:rPr>
      </w:pPr>
      <w:r>
        <w:rPr>
          <w:rFonts w:hint="eastAsia" w:ascii="宋?fa" w:hAnsi="宋?fa" w:cs="宋?fa"/>
          <w:b/>
          <w:bCs/>
          <w:color w:val="auto"/>
          <w:sz w:val="24"/>
          <w:szCs w:val="24"/>
          <w:highlight w:val="none"/>
          <w:lang w:val="en-US" w:eastAsia="zh-CN"/>
        </w:rPr>
        <w:t>十一</w:t>
      </w:r>
      <w:r>
        <w:rPr>
          <w:rFonts w:hint="eastAsia" w:ascii="宋?fa" w:hAnsi="宋?fa" w:cs="宋?fa"/>
          <w:b/>
          <w:bCs/>
          <w:color w:val="auto"/>
          <w:sz w:val="24"/>
          <w:szCs w:val="24"/>
          <w:highlight w:val="none"/>
        </w:rPr>
        <w:t>、保密及廉洁协议</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1</w:t>
      </w:r>
      <w:r>
        <w:rPr>
          <w:rFonts w:hint="eastAsia" w:ascii="宋?fa" w:hAnsi="宋?fa" w:cs="宋?fa"/>
          <w:color w:val="auto"/>
          <w:sz w:val="24"/>
          <w:szCs w:val="24"/>
          <w:highlight w:val="none"/>
        </w:rPr>
        <w:t>、本合同任何一方在合作过程中所知悉的对方未向社会公开的技术情报、经营信息、客户信息等商业秘密负有保密义务，未经对方书面许可，任何一方不得将其泄露给第三方</w:t>
      </w:r>
      <w:r>
        <w:rPr>
          <w:rFonts w:hint="eastAsia" w:ascii="宋体" w:hAnsi="宋体" w:eastAsia="宋体" w:cs="宋?fa"/>
          <w:color w:val="auto"/>
          <w:sz w:val="24"/>
          <w:szCs w:val="24"/>
          <w:highlight w:val="none"/>
        </w:rPr>
        <w:t>，泄密方承担给对方造成的一切经济损失</w:t>
      </w:r>
      <w:r>
        <w:rPr>
          <w:rFonts w:hint="eastAsia" w:ascii="宋?fa" w:hAnsi="宋?fa" w:cs="宋?fa"/>
          <w:color w:val="auto"/>
          <w:sz w:val="24"/>
          <w:szCs w:val="24"/>
          <w:highlight w:val="none"/>
        </w:rPr>
        <w:t>。</w:t>
      </w:r>
    </w:p>
    <w:p>
      <w:pPr>
        <w:spacing w:line="360" w:lineRule="auto"/>
        <w:ind w:firstLine="480" w:firstLineChars="200"/>
        <w:rPr>
          <w:rFonts w:ascii="宋?fa" w:eastAsia="宋体" w:cs="Times New Roman"/>
          <w:color w:val="auto"/>
          <w:sz w:val="24"/>
          <w:szCs w:val="24"/>
          <w:highlight w:val="none"/>
        </w:rPr>
      </w:pPr>
      <w:r>
        <w:rPr>
          <w:rFonts w:ascii="宋?fa" w:hAnsi="宋?fa" w:cs="宋?fa"/>
          <w:color w:val="auto"/>
          <w:sz w:val="24"/>
          <w:szCs w:val="24"/>
          <w:highlight w:val="none"/>
        </w:rPr>
        <w:t>2</w:t>
      </w:r>
      <w:r>
        <w:rPr>
          <w:rFonts w:hint="eastAsia" w:ascii="宋?fa" w:hAnsi="宋?fa" w:cs="宋?fa"/>
          <w:color w:val="auto"/>
          <w:sz w:val="24"/>
          <w:szCs w:val="24"/>
          <w:highlight w:val="none"/>
        </w:rPr>
        <w:t>、本合同签订后，乙方不得以任何形式宴请甲方工作人员，不得以任何名目向甲方工作人员赠送钱财、物品或输送利益；如有违此条款</w:t>
      </w:r>
      <w:r>
        <w:rPr>
          <w:rFonts w:ascii="宋?fa" w:cs="宋?fa"/>
          <w:color w:val="auto"/>
          <w:sz w:val="24"/>
          <w:szCs w:val="24"/>
          <w:highlight w:val="none"/>
        </w:rPr>
        <w:t>,</w:t>
      </w:r>
      <w:r>
        <w:rPr>
          <w:rFonts w:hint="eastAsia" w:ascii="宋?fa" w:hAnsi="宋?fa" w:cs="宋?fa"/>
          <w:color w:val="auto"/>
          <w:sz w:val="24"/>
          <w:szCs w:val="24"/>
          <w:highlight w:val="none"/>
        </w:rPr>
        <w:t>甲方随时终止合同；乙方在签订本合同的同时，必须签订并愿意遵守甲方的供应商守则。</w:t>
      </w:r>
    </w:p>
    <w:p>
      <w:pPr>
        <w:spacing w:line="360" w:lineRule="auto"/>
        <w:rPr>
          <w:rFonts w:ascii="宋?fa" w:cs="Times New Roman"/>
          <w:b/>
          <w:bCs/>
          <w:color w:val="auto"/>
          <w:sz w:val="24"/>
          <w:szCs w:val="24"/>
          <w:highlight w:val="none"/>
        </w:rPr>
      </w:pPr>
      <w:r>
        <w:rPr>
          <w:rFonts w:hint="eastAsia" w:ascii="宋?fa" w:hAnsi="宋?fa" w:cs="宋?fa"/>
          <w:b/>
          <w:bCs/>
          <w:color w:val="auto"/>
          <w:sz w:val="24"/>
          <w:szCs w:val="24"/>
          <w:highlight w:val="none"/>
          <w:lang w:val="en-US" w:eastAsia="zh-CN"/>
        </w:rPr>
        <w:t>十二</w:t>
      </w:r>
      <w:r>
        <w:rPr>
          <w:rFonts w:hint="eastAsia" w:ascii="宋?fa" w:hAnsi="宋?fa" w:cs="宋?fa"/>
          <w:b/>
          <w:bCs/>
          <w:color w:val="auto"/>
          <w:sz w:val="24"/>
          <w:szCs w:val="24"/>
          <w:highlight w:val="none"/>
        </w:rPr>
        <w:t>、风险划分及赔偿</w:t>
      </w:r>
    </w:p>
    <w:p>
      <w:pPr>
        <w:tabs>
          <w:tab w:val="left" w:pos="900"/>
        </w:tabs>
        <w:spacing w:line="360" w:lineRule="auto"/>
        <w:ind w:firstLine="480" w:firstLineChars="200"/>
        <w:rPr>
          <w:rFonts w:hint="eastAsia" w:ascii="宋?fa" w:hAnsi="宋?fa" w:cs="宋?fa"/>
          <w:color w:val="auto"/>
          <w:sz w:val="24"/>
          <w:szCs w:val="24"/>
          <w:highlight w:val="none"/>
          <w:lang w:eastAsia="zh-CN"/>
        </w:rPr>
      </w:pPr>
      <w:r>
        <w:rPr>
          <w:rFonts w:ascii="宋?fa" w:hAnsi="宋?fa" w:cs="宋?fa"/>
          <w:color w:val="auto"/>
          <w:sz w:val="24"/>
          <w:szCs w:val="24"/>
          <w:highlight w:val="none"/>
        </w:rPr>
        <w:t>1</w:t>
      </w:r>
      <w:r>
        <w:rPr>
          <w:rFonts w:hint="eastAsia" w:ascii="宋?fa" w:hAnsi="宋?fa" w:cs="宋?fa"/>
          <w:color w:val="auto"/>
          <w:sz w:val="24"/>
          <w:szCs w:val="24"/>
          <w:highlight w:val="none"/>
        </w:rPr>
        <w:t>、乙方承担在运输过程中的发生一切责任，在本合同的期限内，如发生与车辆有关的任何事故或违法行为，均由</w:t>
      </w:r>
      <w:r>
        <w:rPr>
          <w:rFonts w:hint="eastAsia" w:ascii="宋体" w:hAnsi="宋体" w:eastAsia="宋体" w:cs="宋?fa"/>
          <w:color w:val="auto"/>
          <w:sz w:val="24"/>
          <w:szCs w:val="24"/>
          <w:highlight w:val="none"/>
        </w:rPr>
        <w:t>乙</w:t>
      </w:r>
      <w:r>
        <w:rPr>
          <w:rFonts w:hint="eastAsia" w:ascii="宋?fa" w:hAnsi="宋?fa" w:cs="宋?fa"/>
          <w:color w:val="auto"/>
          <w:sz w:val="24"/>
          <w:szCs w:val="24"/>
          <w:highlight w:val="none"/>
        </w:rPr>
        <w:t>方承担全部责任，包括但不限于因车辆导致人、车、货或环境等受到的伤害或损失</w:t>
      </w:r>
      <w:r>
        <w:rPr>
          <w:rFonts w:hint="eastAsia" w:ascii="宋?fa" w:hAnsi="宋?fa" w:cs="宋?fa"/>
          <w:color w:val="auto"/>
          <w:sz w:val="24"/>
          <w:szCs w:val="24"/>
          <w:highlight w:val="none"/>
          <w:lang w:eastAsia="zh-CN"/>
        </w:rPr>
        <w:t>。</w:t>
      </w:r>
    </w:p>
    <w:p>
      <w:pPr>
        <w:tabs>
          <w:tab w:val="left" w:pos="900"/>
        </w:tabs>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2</w:t>
      </w:r>
      <w:r>
        <w:rPr>
          <w:rFonts w:hint="eastAsia" w:ascii="宋?fa" w:hAnsi="宋?fa" w:cs="宋?fa"/>
          <w:color w:val="auto"/>
          <w:sz w:val="24"/>
          <w:szCs w:val="24"/>
          <w:highlight w:val="none"/>
        </w:rPr>
        <w:t>、在运输过程中，如因乙方人为操作不当等原因，导致甲方托运货物损失的，甲方有权按照本合同第六条的约定向乙方追究违约责任。</w:t>
      </w:r>
    </w:p>
    <w:p>
      <w:pPr>
        <w:tabs>
          <w:tab w:val="left" w:pos="900"/>
        </w:tabs>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3</w:t>
      </w:r>
      <w:r>
        <w:rPr>
          <w:rFonts w:hint="eastAsia" w:ascii="宋?fa" w:hAnsi="宋?fa" w:cs="宋?fa"/>
          <w:color w:val="auto"/>
          <w:sz w:val="24"/>
          <w:szCs w:val="24"/>
          <w:highlight w:val="none"/>
        </w:rPr>
        <w:t>、如在运输过程中，货物由于不可抗力造成的损失或污染，乙方应负责与货物出险处或货运中转处的有关部门办妥相关的货运记录，应当及时通知甲方，乙方应向甲方提供相关证明，必要时协助甲方向保险公司索赔。</w:t>
      </w:r>
    </w:p>
    <w:p>
      <w:pPr>
        <w:tabs>
          <w:tab w:val="left" w:pos="900"/>
        </w:tabs>
        <w:spacing w:line="360" w:lineRule="auto"/>
        <w:ind w:firstLine="480" w:firstLineChars="200"/>
        <w:rPr>
          <w:rFonts w:ascii="宋体" w:hAnsi="宋体" w:eastAsia="宋体" w:cs="宋?fa"/>
          <w:color w:val="auto"/>
          <w:sz w:val="24"/>
          <w:szCs w:val="24"/>
          <w:highlight w:val="none"/>
        </w:rPr>
      </w:pPr>
      <w:r>
        <w:rPr>
          <w:rFonts w:ascii="宋?fa" w:hAnsi="宋?fa" w:cs="宋?fa"/>
          <w:color w:val="auto"/>
          <w:sz w:val="24"/>
          <w:szCs w:val="24"/>
          <w:highlight w:val="none"/>
        </w:rPr>
        <w:t>4</w:t>
      </w:r>
      <w:r>
        <w:rPr>
          <w:rFonts w:hint="eastAsia" w:ascii="宋?fa" w:hAnsi="宋?fa" w:cs="宋?fa"/>
          <w:color w:val="auto"/>
          <w:sz w:val="24"/>
          <w:szCs w:val="24"/>
          <w:highlight w:val="none"/>
        </w:rPr>
        <w:t>、</w:t>
      </w:r>
      <w:r>
        <w:rPr>
          <w:rFonts w:hint="eastAsia" w:ascii="宋体" w:hAnsi="宋体" w:eastAsia="宋体" w:cs="宋?fa"/>
          <w:color w:val="auto"/>
          <w:sz w:val="24"/>
          <w:szCs w:val="24"/>
          <w:highlight w:val="none"/>
        </w:rPr>
        <w:t>乙</w:t>
      </w:r>
      <w:r>
        <w:rPr>
          <w:rFonts w:hint="eastAsia" w:ascii="宋?fa" w:hAnsi="宋?fa" w:cs="宋?fa"/>
          <w:color w:val="auto"/>
          <w:sz w:val="24"/>
          <w:szCs w:val="24"/>
          <w:highlight w:val="none"/>
        </w:rPr>
        <w:t>方承担在</w:t>
      </w:r>
      <w:r>
        <w:rPr>
          <w:rFonts w:hint="eastAsia" w:ascii="宋体" w:hAnsi="宋体" w:eastAsia="宋体" w:cs="宋?fa"/>
          <w:color w:val="auto"/>
          <w:sz w:val="24"/>
          <w:szCs w:val="24"/>
          <w:highlight w:val="none"/>
        </w:rPr>
        <w:t>合同</w:t>
      </w:r>
      <w:r>
        <w:rPr>
          <w:rFonts w:hint="eastAsia" w:ascii="宋?fa" w:hAnsi="宋?fa" w:cs="宋?fa"/>
          <w:color w:val="auto"/>
          <w:sz w:val="24"/>
          <w:szCs w:val="24"/>
          <w:highlight w:val="none"/>
        </w:rPr>
        <w:t>内发生的车辆毁损和灭失的风险。在车辆发生毁损或灭失时，</w:t>
      </w:r>
      <w:r>
        <w:rPr>
          <w:rFonts w:hint="eastAsia" w:ascii="宋体" w:hAnsi="宋体" w:eastAsia="宋体" w:cs="宋?fa"/>
          <w:color w:val="auto"/>
          <w:sz w:val="24"/>
          <w:szCs w:val="24"/>
          <w:highlight w:val="none"/>
        </w:rPr>
        <w:t>乙</w:t>
      </w:r>
      <w:r>
        <w:rPr>
          <w:rFonts w:hint="eastAsia" w:ascii="宋?fa" w:hAnsi="宋?fa" w:cs="宋?fa"/>
          <w:color w:val="auto"/>
          <w:sz w:val="24"/>
          <w:szCs w:val="24"/>
          <w:highlight w:val="none"/>
        </w:rPr>
        <w:t>方应立即通知</w:t>
      </w:r>
      <w:r>
        <w:rPr>
          <w:rFonts w:hint="eastAsia" w:ascii="宋体" w:hAnsi="宋体" w:eastAsia="宋体" w:cs="宋?fa"/>
          <w:color w:val="auto"/>
          <w:sz w:val="24"/>
          <w:szCs w:val="24"/>
          <w:highlight w:val="none"/>
        </w:rPr>
        <w:t>甲</w:t>
      </w:r>
      <w:r>
        <w:rPr>
          <w:rFonts w:hint="eastAsia" w:ascii="宋?fa" w:hAnsi="宋?fa" w:cs="宋?fa"/>
          <w:color w:val="auto"/>
          <w:sz w:val="24"/>
          <w:szCs w:val="24"/>
          <w:highlight w:val="none"/>
        </w:rPr>
        <w:t>方</w:t>
      </w:r>
      <w:r>
        <w:rPr>
          <w:rFonts w:hint="eastAsia" w:ascii="宋体" w:hAnsi="宋体" w:eastAsia="宋体" w:cs="宋?fa"/>
          <w:color w:val="auto"/>
          <w:sz w:val="24"/>
          <w:szCs w:val="24"/>
          <w:highlight w:val="none"/>
        </w:rPr>
        <w:t>并立即更换车辆为甲方完成合同下服务。</w:t>
      </w:r>
    </w:p>
    <w:p>
      <w:pPr>
        <w:tabs>
          <w:tab w:val="left" w:pos="900"/>
        </w:tabs>
        <w:spacing w:line="360" w:lineRule="auto"/>
        <w:ind w:firstLine="480" w:firstLineChars="200"/>
        <w:rPr>
          <w:rFonts w:ascii="宋?fa" w:hAnsi="宋?fa" w:cs="宋?fa"/>
          <w:color w:val="auto"/>
          <w:sz w:val="24"/>
          <w:szCs w:val="24"/>
          <w:highlight w:val="none"/>
        </w:rPr>
      </w:pPr>
      <w:r>
        <w:rPr>
          <w:rFonts w:hint="eastAsia" w:ascii="宋体" w:hAnsi="宋体" w:eastAsia="宋体" w:cs="宋?fa"/>
          <w:color w:val="auto"/>
          <w:sz w:val="24"/>
          <w:szCs w:val="24"/>
          <w:highlight w:val="none"/>
        </w:rPr>
        <w:t>5、</w:t>
      </w:r>
      <w:r>
        <w:rPr>
          <w:rFonts w:hint="eastAsia" w:ascii="宋体" w:hAnsi="宋体" w:eastAsia="宋体"/>
          <w:color w:val="auto"/>
          <w:sz w:val="24"/>
          <w:szCs w:val="24"/>
          <w:highlight w:val="none"/>
        </w:rPr>
        <w:t>乙方运输人员应按照《道路运输从业人员管理规定》具备道路危险货物运输从业人员从业资格并具备相应的危废运输经验，乙方应对其指派开展运输业务的人员购买人身伤害责任险；对其车辆购买承运险、交强险和商业险</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乙方人员不与甲方建立任何劳动或劳务关系</w:t>
      </w:r>
      <w:r>
        <w:rPr>
          <w:rFonts w:hint="eastAsia" w:ascii="宋体" w:hAnsi="宋体" w:eastAsia="宋体"/>
          <w:color w:val="auto"/>
          <w:sz w:val="24"/>
          <w:szCs w:val="24"/>
          <w:highlight w:val="none"/>
        </w:rPr>
        <w:t>。</w:t>
      </w:r>
    </w:p>
    <w:p>
      <w:pPr>
        <w:tabs>
          <w:tab w:val="left" w:pos="900"/>
        </w:tabs>
        <w:spacing w:line="360" w:lineRule="auto"/>
        <w:rPr>
          <w:rFonts w:ascii="宋体" w:hAnsi="宋体" w:eastAsia="宋体" w:cs="宋?fa"/>
          <w:b/>
          <w:bCs/>
          <w:color w:val="auto"/>
          <w:sz w:val="24"/>
          <w:szCs w:val="24"/>
          <w:highlight w:val="none"/>
        </w:rPr>
      </w:pPr>
      <w:r>
        <w:rPr>
          <w:rFonts w:hint="eastAsia" w:ascii="宋体" w:hAnsi="宋体" w:eastAsia="宋体" w:cs="宋?fa"/>
          <w:b/>
          <w:bCs/>
          <w:color w:val="auto"/>
          <w:sz w:val="24"/>
          <w:szCs w:val="24"/>
          <w:highlight w:val="none"/>
        </w:rPr>
        <w:t>十</w:t>
      </w:r>
      <w:r>
        <w:rPr>
          <w:rFonts w:hint="eastAsia" w:ascii="宋体" w:hAnsi="宋体" w:cs="宋?fa"/>
          <w:b/>
          <w:bCs/>
          <w:color w:val="auto"/>
          <w:sz w:val="24"/>
          <w:szCs w:val="24"/>
          <w:highlight w:val="none"/>
          <w:lang w:val="en-US" w:eastAsia="zh-CN"/>
        </w:rPr>
        <w:t>三</w:t>
      </w:r>
      <w:r>
        <w:rPr>
          <w:rFonts w:hint="eastAsia" w:ascii="宋体" w:hAnsi="宋体" w:eastAsia="宋体" w:cs="宋?fa"/>
          <w:b/>
          <w:bCs/>
          <w:color w:val="auto"/>
          <w:sz w:val="24"/>
          <w:szCs w:val="24"/>
          <w:highlight w:val="none"/>
        </w:rPr>
        <w:t>、送达</w:t>
      </w:r>
    </w:p>
    <w:p>
      <w:pPr>
        <w:tabs>
          <w:tab w:val="left" w:pos="900"/>
        </w:tabs>
        <w:spacing w:line="360" w:lineRule="auto"/>
        <w:ind w:firstLine="480" w:firstLineChars="200"/>
        <w:rPr>
          <w:rFonts w:hint="eastAsia" w:ascii="宋体" w:hAnsi="宋体" w:eastAsia="宋体" w:cs="宋?fa"/>
          <w:color w:val="auto"/>
          <w:sz w:val="24"/>
          <w:szCs w:val="24"/>
          <w:highlight w:val="none"/>
        </w:rPr>
      </w:pPr>
      <w:r>
        <w:rPr>
          <w:rFonts w:hint="eastAsia" w:ascii="宋体" w:hAnsi="宋体" w:eastAsia="宋体" w:cs="宋?fa"/>
          <w:color w:val="auto"/>
          <w:sz w:val="24"/>
          <w:szCs w:val="24"/>
          <w:highlight w:val="none"/>
        </w:rPr>
        <w:t>凡本协议履行过程中的通知、文件、法律文书等，均以下述方式作为甲乙双方确认之有效送达方式。如任一方变更，须提前书面通知对方，否则，由此导致的相关通知、文件、法律文书等退件、拒收、无法送达等情形均视为送达成功。且如采用邮寄方式送达，自发出之日起三日后即视为成功送达，如采用电子方式送达的，自相关信息发出之日即视为成功送达。</w:t>
      </w:r>
    </w:p>
    <w:p>
      <w:pPr>
        <w:tabs>
          <w:tab w:val="left" w:pos="900"/>
        </w:tabs>
        <w:spacing w:line="360" w:lineRule="auto"/>
        <w:ind w:firstLine="480" w:firstLineChars="200"/>
        <w:rPr>
          <w:rFonts w:hint="eastAsia" w:ascii="宋体" w:hAnsi="宋体" w:cs="宋?fa"/>
          <w:b w:val="0"/>
          <w:bCs w:val="0"/>
          <w:color w:val="auto"/>
          <w:kern w:val="2"/>
          <w:sz w:val="24"/>
          <w:szCs w:val="24"/>
          <w:highlight w:val="none"/>
        </w:rPr>
      </w:pPr>
      <w:r>
        <w:rPr>
          <w:rFonts w:hint="eastAsia" w:ascii="宋体" w:hAnsi="宋体" w:cs="宋?fa"/>
          <w:b w:val="0"/>
          <w:bCs w:val="0"/>
          <w:color w:val="auto"/>
          <w:kern w:val="2"/>
          <w:sz w:val="24"/>
          <w:szCs w:val="24"/>
          <w:highlight w:val="none"/>
          <w:lang w:val="en-US" w:eastAsia="zh-CN"/>
        </w:rPr>
        <w:t>甲方</w:t>
      </w:r>
      <w:r>
        <w:rPr>
          <w:rFonts w:hint="eastAsia" w:ascii="宋体" w:hAnsi="宋体" w:cs="宋?fa"/>
          <w:b w:val="0"/>
          <w:bCs w:val="0"/>
          <w:color w:val="auto"/>
          <w:kern w:val="2"/>
          <w:sz w:val="24"/>
          <w:szCs w:val="24"/>
          <w:highlight w:val="none"/>
        </w:rPr>
        <w:t>联系人：</w:t>
      </w:r>
      <w:r>
        <w:rPr>
          <w:rFonts w:hint="eastAsia" w:ascii="宋体" w:hAnsi="宋体" w:cs="宋?fa"/>
          <w:b w:val="0"/>
          <w:bCs w:val="0"/>
          <w:color w:val="auto"/>
          <w:kern w:val="2"/>
          <w:sz w:val="24"/>
          <w:szCs w:val="24"/>
          <w:highlight w:val="none"/>
          <w:lang w:val="en-US" w:eastAsia="zh-CN"/>
        </w:rPr>
        <w:t xml:space="preserve">       </w:t>
      </w:r>
      <w:r>
        <w:rPr>
          <w:rFonts w:hint="eastAsia" w:ascii="宋体" w:hAnsi="宋体" w:cs="宋?fa"/>
          <w:b w:val="0"/>
          <w:bCs w:val="0"/>
          <w:color w:val="auto"/>
          <w:kern w:val="2"/>
          <w:sz w:val="24"/>
          <w:szCs w:val="24"/>
          <w:highlight w:val="none"/>
        </w:rPr>
        <w:t>联系电话：</w:t>
      </w:r>
      <w:r>
        <w:rPr>
          <w:rFonts w:hint="eastAsia" w:ascii="宋体" w:hAnsi="宋体" w:cs="宋?fa"/>
          <w:b w:val="0"/>
          <w:bCs w:val="0"/>
          <w:color w:val="auto"/>
          <w:kern w:val="2"/>
          <w:sz w:val="24"/>
          <w:szCs w:val="24"/>
          <w:highlight w:val="none"/>
          <w:lang w:val="en-US" w:eastAsia="zh-CN"/>
        </w:rPr>
        <w:t xml:space="preserve">          </w:t>
      </w:r>
      <w:r>
        <w:rPr>
          <w:rFonts w:hint="eastAsia" w:ascii="宋体" w:hAnsi="宋体" w:cs="宋?fa"/>
          <w:b w:val="0"/>
          <w:bCs w:val="0"/>
          <w:color w:val="auto"/>
          <w:kern w:val="2"/>
          <w:sz w:val="24"/>
          <w:szCs w:val="24"/>
          <w:highlight w:val="none"/>
        </w:rPr>
        <w:t>联系地址：</w:t>
      </w:r>
    </w:p>
    <w:p>
      <w:pPr>
        <w:tabs>
          <w:tab w:val="left" w:pos="900"/>
        </w:tabs>
        <w:spacing w:line="360" w:lineRule="auto"/>
        <w:ind w:firstLine="480" w:firstLineChars="200"/>
        <w:rPr>
          <w:rFonts w:hint="default" w:eastAsia="宋体"/>
          <w:color w:val="auto"/>
          <w:highlight w:val="none"/>
          <w:lang w:val="en-US" w:eastAsia="zh-CN"/>
        </w:rPr>
      </w:pPr>
      <w:r>
        <w:rPr>
          <w:rFonts w:hint="eastAsia" w:ascii="宋体" w:hAnsi="宋体" w:cs="宋?fa"/>
          <w:b w:val="0"/>
          <w:bCs w:val="0"/>
          <w:color w:val="auto"/>
          <w:kern w:val="2"/>
          <w:sz w:val="24"/>
          <w:szCs w:val="24"/>
          <w:highlight w:val="none"/>
          <w:lang w:val="en-US" w:eastAsia="zh-CN"/>
        </w:rPr>
        <w:t>邮箱地址：</w:t>
      </w:r>
    </w:p>
    <w:p>
      <w:pPr>
        <w:tabs>
          <w:tab w:val="left" w:pos="900"/>
        </w:tabs>
        <w:spacing w:line="360" w:lineRule="auto"/>
        <w:ind w:firstLine="480" w:firstLineChars="200"/>
        <w:rPr>
          <w:rFonts w:hint="eastAsia" w:ascii="宋体" w:hAnsi="宋体" w:cs="宋?fa"/>
          <w:b w:val="0"/>
          <w:bCs w:val="0"/>
          <w:color w:val="auto"/>
          <w:kern w:val="2"/>
          <w:sz w:val="24"/>
          <w:szCs w:val="24"/>
          <w:highlight w:val="none"/>
        </w:rPr>
      </w:pPr>
      <w:r>
        <w:rPr>
          <w:rFonts w:hint="eastAsia" w:ascii="宋体" w:hAnsi="宋体" w:cs="宋?fa"/>
          <w:b w:val="0"/>
          <w:bCs w:val="0"/>
          <w:color w:val="auto"/>
          <w:kern w:val="2"/>
          <w:sz w:val="24"/>
          <w:szCs w:val="24"/>
          <w:highlight w:val="none"/>
          <w:lang w:val="en-US" w:eastAsia="zh-CN"/>
        </w:rPr>
        <w:t>乙</w:t>
      </w:r>
      <w:r>
        <w:rPr>
          <w:rFonts w:hint="eastAsia" w:ascii="宋体" w:hAnsi="宋体" w:cs="宋?fa"/>
          <w:b w:val="0"/>
          <w:bCs w:val="0"/>
          <w:color w:val="auto"/>
          <w:kern w:val="2"/>
          <w:sz w:val="24"/>
          <w:szCs w:val="24"/>
          <w:highlight w:val="none"/>
        </w:rPr>
        <w:t>方联系人：       联系电话：          联系地址：</w:t>
      </w:r>
    </w:p>
    <w:p>
      <w:pPr>
        <w:tabs>
          <w:tab w:val="left" w:pos="900"/>
        </w:tabs>
        <w:spacing w:line="360" w:lineRule="auto"/>
        <w:ind w:firstLine="480" w:firstLineChars="200"/>
        <w:rPr>
          <w:rFonts w:hint="eastAsia"/>
          <w:color w:val="auto"/>
          <w:highlight w:val="none"/>
        </w:rPr>
      </w:pPr>
      <w:r>
        <w:rPr>
          <w:rFonts w:hint="eastAsia" w:ascii="宋体" w:hAnsi="宋体" w:cs="宋?fa"/>
          <w:b w:val="0"/>
          <w:bCs w:val="0"/>
          <w:color w:val="auto"/>
          <w:kern w:val="2"/>
          <w:sz w:val="24"/>
          <w:szCs w:val="24"/>
          <w:highlight w:val="none"/>
        </w:rPr>
        <w:t>邮箱地址：</w:t>
      </w:r>
    </w:p>
    <w:p>
      <w:pPr>
        <w:tabs>
          <w:tab w:val="left" w:pos="840"/>
        </w:tabs>
        <w:spacing w:line="360" w:lineRule="auto"/>
        <w:rPr>
          <w:rFonts w:hint="default" w:ascii="宋?fa" w:eastAsia="宋体" w:cs="Times New Roman"/>
          <w:b/>
          <w:bCs/>
          <w:color w:val="auto"/>
          <w:sz w:val="24"/>
          <w:szCs w:val="24"/>
          <w:highlight w:val="none"/>
          <w:lang w:val="en-US" w:eastAsia="zh-CN"/>
        </w:rPr>
      </w:pPr>
      <w:r>
        <w:rPr>
          <w:rFonts w:hint="eastAsia" w:ascii="宋?fa" w:hAnsi="宋?fa" w:cs="宋?fa"/>
          <w:b/>
          <w:bCs/>
          <w:color w:val="auto"/>
          <w:sz w:val="24"/>
          <w:szCs w:val="24"/>
          <w:highlight w:val="none"/>
        </w:rPr>
        <w:t>十</w:t>
      </w:r>
      <w:r>
        <w:rPr>
          <w:rFonts w:hint="eastAsia" w:ascii="宋?fa" w:hAnsi="宋?fa" w:cs="宋?fa"/>
          <w:b/>
          <w:bCs/>
          <w:color w:val="auto"/>
          <w:sz w:val="24"/>
          <w:szCs w:val="24"/>
          <w:highlight w:val="none"/>
          <w:lang w:val="en-US" w:eastAsia="zh-CN"/>
        </w:rPr>
        <w:t>四</w:t>
      </w:r>
      <w:r>
        <w:rPr>
          <w:rFonts w:hint="eastAsia" w:ascii="宋?fa" w:hAnsi="宋?fa" w:cs="宋?fa"/>
          <w:b/>
          <w:bCs/>
          <w:color w:val="auto"/>
          <w:sz w:val="24"/>
          <w:szCs w:val="24"/>
          <w:highlight w:val="none"/>
        </w:rPr>
        <w:t>、不可抗力</w:t>
      </w:r>
      <w:r>
        <w:rPr>
          <w:rFonts w:hint="eastAsia" w:ascii="宋?fa" w:hAnsi="宋?fa" w:cs="宋?fa"/>
          <w:b/>
          <w:bCs/>
          <w:color w:val="auto"/>
          <w:sz w:val="24"/>
          <w:szCs w:val="24"/>
          <w:highlight w:val="none"/>
          <w:lang w:val="en-US" w:eastAsia="zh-CN"/>
        </w:rPr>
        <w:t>与保密</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1</w:t>
      </w:r>
      <w:r>
        <w:rPr>
          <w:rFonts w:hint="eastAsia" w:ascii="宋?fa" w:hAnsi="宋?fa" w:cs="宋?fa"/>
          <w:color w:val="auto"/>
          <w:sz w:val="24"/>
          <w:szCs w:val="24"/>
          <w:highlight w:val="none"/>
        </w:rPr>
        <w:t>、不可抗力是指本协议双方不可预见并不能避免的客观情况，该事件妨碍、影响或延误任何一方根据本协议履行其全部或部分义务，该事件包括：地震、台风、洪水、火灾或其它自然灾害、战争或任何其他类似事件；</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2</w:t>
      </w:r>
      <w:r>
        <w:rPr>
          <w:rFonts w:hint="eastAsia" w:ascii="宋?fa" w:hAnsi="宋?fa" w:cs="宋?fa"/>
          <w:color w:val="auto"/>
          <w:sz w:val="24"/>
          <w:szCs w:val="24"/>
          <w:highlight w:val="none"/>
        </w:rPr>
        <w:t>、如发生不可抗力事件，遭受该事件的一方应立即用最快捷的方式通知另一方该事件发生的详细情况及处理方案，以及该事件阻碍通知方履行本合同规定义务的程度；</w:t>
      </w:r>
    </w:p>
    <w:p>
      <w:pPr>
        <w:spacing w:line="360" w:lineRule="auto"/>
        <w:ind w:firstLine="480" w:firstLineChars="200"/>
        <w:rPr>
          <w:rFonts w:hint="eastAsia" w:ascii="宋?fa" w:hAnsi="宋?fa" w:cs="宋?fa"/>
          <w:color w:val="auto"/>
          <w:sz w:val="24"/>
          <w:szCs w:val="24"/>
          <w:highlight w:val="none"/>
        </w:rPr>
      </w:pPr>
      <w:r>
        <w:rPr>
          <w:rFonts w:ascii="宋?fa" w:hAnsi="宋?fa" w:cs="宋?fa"/>
          <w:color w:val="auto"/>
          <w:sz w:val="24"/>
          <w:szCs w:val="24"/>
          <w:highlight w:val="none"/>
        </w:rPr>
        <w:t>3</w:t>
      </w:r>
      <w:r>
        <w:rPr>
          <w:rFonts w:hint="eastAsia" w:ascii="宋?fa" w:hAnsi="宋?fa" w:cs="宋?fa"/>
          <w:color w:val="auto"/>
          <w:sz w:val="24"/>
          <w:szCs w:val="24"/>
          <w:highlight w:val="none"/>
        </w:rPr>
        <w:t>、遭受不可抗力事件的一方可暂时中止履行本合同规定的义务直至不可抗力事件的影响消除为止，但应尽最大努力克服该事件并减轻其负面影响。</w:t>
      </w:r>
    </w:p>
    <w:p>
      <w:pPr>
        <w:spacing w:line="360" w:lineRule="auto"/>
        <w:ind w:firstLine="480" w:firstLineChars="200"/>
        <w:rPr>
          <w:rFonts w:hint="eastAsia" w:ascii="宋?fa" w:hAnsi="宋?fa" w:eastAsia="宋体" w:cs="宋?fa"/>
          <w:color w:val="auto"/>
          <w:sz w:val="24"/>
          <w:szCs w:val="24"/>
          <w:highlight w:val="none"/>
        </w:rPr>
      </w:pPr>
      <w:r>
        <w:rPr>
          <w:rFonts w:hint="default" w:ascii="宋?fa" w:hAnsi="宋?fa" w:eastAsia="宋体" w:cs="宋?fa"/>
          <w:bCs w:val="0"/>
          <w:color w:val="auto"/>
          <w:sz w:val="24"/>
          <w:szCs w:val="24"/>
          <w:highlight w:val="none"/>
          <w:lang w:val="en-US" w:eastAsia="zh-CN"/>
        </w:rPr>
        <w:t>4、</w:t>
      </w:r>
      <w:r>
        <w:rPr>
          <w:rFonts w:hint="default" w:ascii="宋?fa" w:hAnsi="宋?fa" w:eastAsia="宋体" w:cs="宋?fa"/>
          <w:bCs w:val="0"/>
          <w:color w:val="auto"/>
          <w:sz w:val="24"/>
          <w:szCs w:val="24"/>
          <w:highlight w:val="none"/>
        </w:rPr>
        <w:t>除本</w:t>
      </w:r>
      <w:r>
        <w:rPr>
          <w:rFonts w:hint="default" w:ascii="宋?fa" w:hAnsi="宋?fa" w:eastAsia="宋体" w:cs="宋?fa"/>
          <w:bCs w:val="0"/>
          <w:color w:val="auto"/>
          <w:sz w:val="24"/>
          <w:szCs w:val="24"/>
          <w:highlight w:val="none"/>
          <w:lang w:val="en-US" w:eastAsia="zh-CN"/>
        </w:rPr>
        <w:t>合同</w:t>
      </w:r>
      <w:r>
        <w:rPr>
          <w:rFonts w:hint="default" w:ascii="宋?fa" w:hAnsi="宋?fa" w:eastAsia="宋体" w:cs="宋?fa"/>
          <w:bCs w:val="0"/>
          <w:color w:val="auto"/>
          <w:sz w:val="24"/>
          <w:szCs w:val="24"/>
          <w:highlight w:val="none"/>
        </w:rPr>
        <w:t>另有约定或为履行本</w:t>
      </w:r>
      <w:r>
        <w:rPr>
          <w:rFonts w:hint="default" w:ascii="宋?fa" w:hAnsi="宋?fa" w:eastAsia="宋体" w:cs="宋?fa"/>
          <w:bCs w:val="0"/>
          <w:color w:val="auto"/>
          <w:sz w:val="24"/>
          <w:szCs w:val="24"/>
          <w:highlight w:val="none"/>
          <w:lang w:val="en-US" w:eastAsia="zh-CN"/>
        </w:rPr>
        <w:t>合同</w:t>
      </w:r>
      <w:r>
        <w:rPr>
          <w:rFonts w:hint="default" w:ascii="宋?fa" w:hAnsi="宋?fa" w:eastAsia="宋体" w:cs="宋?fa"/>
          <w:bCs w:val="0"/>
          <w:color w:val="auto"/>
          <w:sz w:val="24"/>
          <w:szCs w:val="24"/>
          <w:highlight w:val="none"/>
        </w:rPr>
        <w:t>的需要外，</w:t>
      </w:r>
      <w:r>
        <w:rPr>
          <w:rFonts w:hint="default" w:ascii="宋?fa" w:hAnsi="宋?fa" w:eastAsia="宋体" w:cs="宋?fa"/>
          <w:bCs w:val="0"/>
          <w:color w:val="auto"/>
          <w:sz w:val="24"/>
          <w:szCs w:val="24"/>
          <w:highlight w:val="none"/>
          <w:lang w:val="en-US" w:eastAsia="zh-CN"/>
        </w:rPr>
        <w:t>乙</w:t>
      </w:r>
      <w:r>
        <w:rPr>
          <w:rFonts w:hint="default" w:ascii="宋?fa" w:hAnsi="宋?fa" w:eastAsia="宋体" w:cs="宋?fa"/>
          <w:bCs w:val="0"/>
          <w:color w:val="auto"/>
          <w:sz w:val="24"/>
          <w:szCs w:val="24"/>
          <w:highlight w:val="none"/>
        </w:rPr>
        <w:t>方应对其通过工作接触和履行合同过程中得知的有关</w:t>
      </w:r>
      <w:r>
        <w:rPr>
          <w:rFonts w:hint="default" w:ascii="宋?fa" w:hAnsi="宋?fa" w:eastAsia="宋体" w:cs="宋?fa"/>
          <w:bCs w:val="0"/>
          <w:color w:val="auto"/>
          <w:sz w:val="24"/>
          <w:szCs w:val="24"/>
          <w:highlight w:val="none"/>
          <w:lang w:val="en-US" w:eastAsia="zh-CN"/>
        </w:rPr>
        <w:t>甲</w:t>
      </w:r>
      <w:r>
        <w:rPr>
          <w:rFonts w:hint="default" w:ascii="宋?fa" w:hAnsi="宋?fa" w:eastAsia="宋体" w:cs="宋?fa"/>
          <w:bCs w:val="0"/>
          <w:color w:val="auto"/>
          <w:sz w:val="24"/>
          <w:szCs w:val="24"/>
          <w:highlight w:val="none"/>
        </w:rPr>
        <w:t>方的商业秘密严格保密，未经</w:t>
      </w:r>
      <w:r>
        <w:rPr>
          <w:rFonts w:hint="default" w:ascii="宋?fa" w:hAnsi="宋?fa" w:eastAsia="宋体" w:cs="宋?fa"/>
          <w:bCs w:val="0"/>
          <w:color w:val="auto"/>
          <w:sz w:val="24"/>
          <w:szCs w:val="24"/>
          <w:highlight w:val="none"/>
          <w:lang w:val="en-US" w:eastAsia="zh-CN"/>
        </w:rPr>
        <w:t>甲</w:t>
      </w:r>
      <w:r>
        <w:rPr>
          <w:rFonts w:hint="default" w:ascii="宋?fa" w:hAnsi="宋?fa" w:eastAsia="宋体" w:cs="宋?fa"/>
          <w:bCs w:val="0"/>
          <w:color w:val="auto"/>
          <w:sz w:val="24"/>
          <w:szCs w:val="24"/>
          <w:highlight w:val="none"/>
        </w:rPr>
        <w:t>方事先书面同意，不得向其他人披露</w:t>
      </w:r>
      <w:r>
        <w:rPr>
          <w:rFonts w:hint="default" w:ascii="宋?fa" w:hAnsi="宋?fa" w:eastAsia="宋体" w:cs="宋?fa"/>
          <w:bCs w:val="0"/>
          <w:color w:val="auto"/>
          <w:sz w:val="24"/>
          <w:szCs w:val="24"/>
          <w:highlight w:val="none"/>
          <w:lang w:eastAsia="zh-CN"/>
        </w:rPr>
        <w:t>，</w:t>
      </w:r>
      <w:r>
        <w:rPr>
          <w:rFonts w:hint="default" w:ascii="宋?fa" w:hAnsi="宋?fa" w:eastAsia="宋体" w:cs="宋?fa"/>
          <w:bCs w:val="0"/>
          <w:color w:val="auto"/>
          <w:sz w:val="24"/>
          <w:szCs w:val="24"/>
          <w:highlight w:val="none"/>
          <w:lang w:val="en-US" w:eastAsia="zh-CN"/>
        </w:rPr>
        <w:t>乙</w:t>
      </w:r>
      <w:r>
        <w:rPr>
          <w:rFonts w:hint="default" w:ascii="宋?fa" w:hAnsi="宋?fa" w:eastAsia="宋体" w:cs="宋?fa"/>
          <w:bCs w:val="0"/>
          <w:color w:val="auto"/>
          <w:sz w:val="24"/>
          <w:szCs w:val="24"/>
          <w:highlight w:val="none"/>
        </w:rPr>
        <w:t>方违反上述保密义务，造成</w:t>
      </w:r>
      <w:r>
        <w:rPr>
          <w:rFonts w:hint="default" w:ascii="宋?fa" w:hAnsi="宋?fa" w:eastAsia="宋体" w:cs="宋?fa"/>
          <w:bCs w:val="0"/>
          <w:color w:val="auto"/>
          <w:sz w:val="24"/>
          <w:szCs w:val="24"/>
          <w:highlight w:val="none"/>
          <w:lang w:val="en-US" w:eastAsia="zh-CN"/>
        </w:rPr>
        <w:t>甲</w:t>
      </w:r>
      <w:r>
        <w:rPr>
          <w:rFonts w:hint="default" w:ascii="宋?fa" w:hAnsi="宋?fa" w:eastAsia="宋体" w:cs="宋?fa"/>
          <w:bCs w:val="0"/>
          <w:color w:val="auto"/>
          <w:sz w:val="24"/>
          <w:szCs w:val="24"/>
          <w:highlight w:val="none"/>
        </w:rPr>
        <w:t>方损失的，应向</w:t>
      </w:r>
      <w:r>
        <w:rPr>
          <w:rFonts w:hint="default" w:ascii="宋?fa" w:hAnsi="宋?fa" w:eastAsia="宋体" w:cs="宋?fa"/>
          <w:bCs w:val="0"/>
          <w:color w:val="auto"/>
          <w:sz w:val="24"/>
          <w:szCs w:val="24"/>
          <w:highlight w:val="none"/>
          <w:lang w:val="en-US" w:eastAsia="zh-CN"/>
        </w:rPr>
        <w:t>甲方支付10万元/次的违约金</w:t>
      </w:r>
      <w:r>
        <w:rPr>
          <w:rFonts w:hint="default" w:ascii="宋?fa" w:hAnsi="宋?fa" w:eastAsia="宋体" w:cs="宋?fa"/>
          <w:bCs w:val="0"/>
          <w:color w:val="auto"/>
          <w:sz w:val="24"/>
          <w:szCs w:val="24"/>
          <w:highlight w:val="none"/>
        </w:rPr>
        <w:t>。保密义务不因本合同</w:t>
      </w:r>
      <w:r>
        <w:rPr>
          <w:rFonts w:hint="default" w:ascii="宋?fa" w:hAnsi="宋?fa" w:eastAsia="宋体" w:cs="宋?fa"/>
          <w:bCs w:val="0"/>
          <w:color w:val="auto"/>
          <w:sz w:val="24"/>
          <w:szCs w:val="24"/>
          <w:highlight w:val="none"/>
          <w:lang w:val="en-US" w:eastAsia="zh-CN"/>
        </w:rPr>
        <w:t>终止</w:t>
      </w:r>
      <w:r>
        <w:rPr>
          <w:rFonts w:hint="default" w:ascii="宋?fa" w:hAnsi="宋?fa" w:eastAsia="宋体" w:cs="宋?fa"/>
          <w:bCs w:val="0"/>
          <w:color w:val="auto"/>
          <w:sz w:val="24"/>
          <w:szCs w:val="24"/>
          <w:highlight w:val="none"/>
        </w:rPr>
        <w:t>而终止。</w:t>
      </w:r>
    </w:p>
    <w:p>
      <w:pPr>
        <w:spacing w:line="360" w:lineRule="auto"/>
        <w:rPr>
          <w:rFonts w:ascii="宋?fa" w:cs="Times New Roman"/>
          <w:color w:val="auto"/>
          <w:sz w:val="24"/>
          <w:szCs w:val="24"/>
          <w:highlight w:val="none"/>
        </w:rPr>
      </w:pPr>
      <w:r>
        <w:rPr>
          <w:rFonts w:hint="eastAsia" w:ascii="宋?fa" w:hAnsi="宋?fa" w:cs="宋?fa"/>
          <w:b/>
          <w:bCs/>
          <w:color w:val="auto"/>
          <w:sz w:val="24"/>
          <w:szCs w:val="24"/>
          <w:highlight w:val="none"/>
        </w:rPr>
        <w:t>十</w:t>
      </w:r>
      <w:r>
        <w:rPr>
          <w:rFonts w:hint="eastAsia" w:ascii="宋?fa" w:hAnsi="宋?fa" w:cs="宋?fa"/>
          <w:b/>
          <w:bCs/>
          <w:color w:val="auto"/>
          <w:sz w:val="24"/>
          <w:szCs w:val="24"/>
          <w:highlight w:val="none"/>
          <w:lang w:val="en-US" w:eastAsia="zh-CN"/>
        </w:rPr>
        <w:t>五</w:t>
      </w:r>
      <w:r>
        <w:rPr>
          <w:rFonts w:hint="eastAsia" w:ascii="宋?fa" w:hAnsi="宋?fa" w:cs="宋?fa"/>
          <w:b/>
          <w:bCs/>
          <w:color w:val="auto"/>
          <w:sz w:val="24"/>
          <w:szCs w:val="24"/>
          <w:highlight w:val="none"/>
        </w:rPr>
        <w:t>、合同的生效、修改、续约及提前终止</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1</w:t>
      </w:r>
      <w:r>
        <w:rPr>
          <w:rFonts w:hint="eastAsia" w:ascii="宋?fa" w:hAnsi="宋?fa" w:cs="宋?fa"/>
          <w:color w:val="auto"/>
          <w:sz w:val="24"/>
          <w:szCs w:val="24"/>
          <w:highlight w:val="none"/>
        </w:rPr>
        <w:t>、本合同经由甲乙双方法定代表人或其授权人签名并盖章后生效；</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2</w:t>
      </w:r>
      <w:r>
        <w:rPr>
          <w:rFonts w:hint="eastAsia" w:ascii="宋?fa" w:hAnsi="宋?fa" w:cs="宋?fa"/>
          <w:color w:val="auto"/>
          <w:sz w:val="24"/>
          <w:szCs w:val="24"/>
          <w:highlight w:val="none"/>
        </w:rPr>
        <w:t>、合同的任何一方出现下列任何情形，另一方有权以书面通知的形式单方</w:t>
      </w:r>
    </w:p>
    <w:p>
      <w:pPr>
        <w:spacing w:line="360" w:lineRule="auto"/>
        <w:rPr>
          <w:rFonts w:ascii="宋?fa" w:cs="Times New Roman"/>
          <w:color w:val="auto"/>
          <w:sz w:val="24"/>
          <w:szCs w:val="24"/>
          <w:highlight w:val="none"/>
        </w:rPr>
      </w:pPr>
      <w:r>
        <w:rPr>
          <w:rFonts w:hint="eastAsia" w:ascii="宋?fa" w:hAnsi="宋?fa" w:cs="宋?fa"/>
          <w:color w:val="auto"/>
          <w:sz w:val="24"/>
          <w:szCs w:val="24"/>
          <w:highlight w:val="none"/>
        </w:rPr>
        <w:t>提前终止本合同：</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1</w:t>
      </w:r>
      <w:r>
        <w:rPr>
          <w:rFonts w:hint="eastAsia" w:ascii="宋?fa" w:hAnsi="宋?fa" w:cs="宋?fa"/>
          <w:color w:val="auto"/>
          <w:sz w:val="24"/>
          <w:szCs w:val="24"/>
          <w:highlight w:val="none"/>
        </w:rPr>
        <w:t>）一方盗卖货物行为的；</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2</w:t>
      </w:r>
      <w:r>
        <w:rPr>
          <w:rFonts w:hint="eastAsia" w:ascii="宋?fa" w:hAnsi="宋?fa" w:cs="宋?fa"/>
          <w:color w:val="auto"/>
          <w:sz w:val="24"/>
          <w:szCs w:val="24"/>
          <w:highlight w:val="none"/>
        </w:rPr>
        <w:t>）一方违约，并且在守约方依本协议有关条款发出书面通知后十日内仍不</w:t>
      </w:r>
    </w:p>
    <w:p>
      <w:pPr>
        <w:spacing w:line="360" w:lineRule="auto"/>
        <w:rPr>
          <w:rFonts w:ascii="宋?fa" w:cs="Times New Roman"/>
          <w:color w:val="auto"/>
          <w:sz w:val="24"/>
          <w:szCs w:val="24"/>
          <w:highlight w:val="none"/>
        </w:rPr>
      </w:pPr>
      <w:r>
        <w:rPr>
          <w:rFonts w:hint="eastAsia" w:ascii="宋?fa" w:hAnsi="宋?fa" w:cs="宋?fa"/>
          <w:color w:val="auto"/>
          <w:sz w:val="24"/>
          <w:szCs w:val="24"/>
          <w:highlight w:val="none"/>
        </w:rPr>
        <w:t>纠正其违约行为或未采取充分、有效、及时的措施消除违约后果</w:t>
      </w:r>
      <w:r>
        <w:rPr>
          <w:rFonts w:hint="eastAsia" w:ascii="宋?fa" w:hAnsi="宋?fa" w:cs="宋?fa"/>
          <w:color w:val="auto"/>
          <w:sz w:val="24"/>
          <w:szCs w:val="24"/>
          <w:highlight w:val="none"/>
          <w:lang w:val="en-US" w:eastAsia="zh-CN"/>
        </w:rPr>
        <w:t>的</w:t>
      </w:r>
      <w:r>
        <w:rPr>
          <w:rFonts w:hint="eastAsia" w:ascii="宋?fa" w:hAnsi="宋?fa" w:cs="宋?fa"/>
          <w:color w:val="auto"/>
          <w:sz w:val="24"/>
          <w:szCs w:val="24"/>
          <w:highlight w:val="none"/>
        </w:rPr>
        <w:t>。</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3</w:t>
      </w:r>
      <w:r>
        <w:rPr>
          <w:rFonts w:hint="eastAsia" w:ascii="宋?fa" w:hAnsi="宋?fa" w:cs="宋?fa"/>
          <w:color w:val="auto"/>
          <w:sz w:val="24"/>
          <w:szCs w:val="24"/>
          <w:highlight w:val="none"/>
        </w:rPr>
        <w:t>）一方由于不可抗力事件而无法继续履行本合同。</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3</w:t>
      </w:r>
      <w:r>
        <w:rPr>
          <w:rFonts w:hint="eastAsia" w:ascii="宋?fa" w:hAnsi="宋?fa" w:cs="宋?fa"/>
          <w:color w:val="auto"/>
          <w:sz w:val="24"/>
          <w:szCs w:val="24"/>
          <w:highlight w:val="none"/>
        </w:rPr>
        <w:t>、合同执行期间如因乙方服务质量及安全规范无法满足甲方要求并经甲方要求整改仍无改进，甲方将以书面通知形式单方面提前终止本合同。</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4</w:t>
      </w:r>
      <w:r>
        <w:rPr>
          <w:rFonts w:hint="eastAsia" w:ascii="宋?fa" w:hAnsi="宋?fa" w:cs="宋?fa"/>
          <w:color w:val="auto"/>
          <w:sz w:val="24"/>
          <w:szCs w:val="24"/>
          <w:highlight w:val="none"/>
        </w:rPr>
        <w:t>、前款所述的书面通知中应列明提前终止本合同的理由，自该书面通知发出之日起，本合同即告终止。</w:t>
      </w:r>
    </w:p>
    <w:p>
      <w:pPr>
        <w:spacing w:line="360" w:lineRule="auto"/>
        <w:ind w:firstLine="480" w:firstLineChars="200"/>
        <w:rPr>
          <w:rFonts w:ascii="宋?fa" w:cs="Times New Roman"/>
          <w:color w:val="auto"/>
          <w:sz w:val="24"/>
          <w:szCs w:val="24"/>
          <w:highlight w:val="none"/>
        </w:rPr>
      </w:pPr>
      <w:r>
        <w:rPr>
          <w:rFonts w:ascii="宋?fa" w:hAnsi="宋?fa" w:cs="宋?fa"/>
          <w:color w:val="auto"/>
          <w:sz w:val="24"/>
          <w:szCs w:val="24"/>
          <w:highlight w:val="none"/>
        </w:rPr>
        <w:t>5</w:t>
      </w:r>
      <w:r>
        <w:rPr>
          <w:rFonts w:hint="eastAsia" w:ascii="宋?fa" w:hAnsi="宋?fa" w:cs="宋?fa"/>
          <w:color w:val="auto"/>
          <w:sz w:val="24"/>
          <w:szCs w:val="24"/>
          <w:highlight w:val="none"/>
        </w:rPr>
        <w:t>、本合同的解除不影响双方于解除日之前根据本协议已产生的权利和义务。</w:t>
      </w:r>
    </w:p>
    <w:p>
      <w:pPr>
        <w:tabs>
          <w:tab w:val="left" w:pos="840"/>
        </w:tabs>
        <w:spacing w:line="360" w:lineRule="auto"/>
        <w:rPr>
          <w:rFonts w:ascii="宋?fa" w:cs="Times New Roman"/>
          <w:b/>
          <w:bCs/>
          <w:color w:val="auto"/>
          <w:sz w:val="24"/>
          <w:szCs w:val="24"/>
          <w:highlight w:val="none"/>
        </w:rPr>
      </w:pPr>
      <w:r>
        <w:rPr>
          <w:rFonts w:hint="eastAsia" w:ascii="宋?fa" w:hAnsi="宋?fa" w:cs="宋?fa"/>
          <w:b/>
          <w:bCs/>
          <w:color w:val="auto"/>
          <w:sz w:val="24"/>
          <w:szCs w:val="24"/>
          <w:highlight w:val="none"/>
        </w:rPr>
        <w:t>十</w:t>
      </w:r>
      <w:r>
        <w:rPr>
          <w:rFonts w:hint="eastAsia" w:ascii="宋?fa" w:hAnsi="宋?fa" w:cs="宋?fa"/>
          <w:b/>
          <w:bCs/>
          <w:color w:val="auto"/>
          <w:sz w:val="24"/>
          <w:szCs w:val="24"/>
          <w:highlight w:val="none"/>
          <w:lang w:val="en-US" w:eastAsia="zh-CN"/>
        </w:rPr>
        <w:t>六</w:t>
      </w:r>
      <w:r>
        <w:rPr>
          <w:rFonts w:hint="eastAsia" w:ascii="宋?fa" w:hAnsi="宋?fa" w:cs="宋?fa"/>
          <w:b/>
          <w:bCs/>
          <w:color w:val="auto"/>
          <w:sz w:val="24"/>
          <w:szCs w:val="24"/>
          <w:highlight w:val="none"/>
        </w:rPr>
        <w:t>、争议解决和适用法律</w:t>
      </w:r>
    </w:p>
    <w:p>
      <w:pPr>
        <w:pStyle w:val="14"/>
        <w:spacing w:line="360" w:lineRule="auto"/>
        <w:ind w:firstLine="480" w:firstLineChars="200"/>
        <w:rPr>
          <w:rFonts w:ascii="华文楷体" w:hAnsi="华文楷体" w:eastAsia="华文楷体" w:cs="Times New Roman"/>
          <w:color w:val="auto"/>
          <w:highlight w:val="none"/>
          <w:u w:val="single"/>
        </w:rPr>
      </w:pPr>
      <w:r>
        <w:rPr>
          <w:rFonts w:hint="eastAsia" w:cs="宋?fa"/>
          <w:color w:val="auto"/>
          <w:sz w:val="24"/>
          <w:szCs w:val="24"/>
          <w:highlight w:val="none"/>
        </w:rPr>
        <w:t>甲乙双方应共同遵守本合同，在执行过程中发生纠纷，当事人双方应协商解决，协商不成时，任何一方可向</w:t>
      </w:r>
      <w:r>
        <w:rPr>
          <w:rFonts w:hint="eastAsia" w:ascii="宋?fa" w:hAnsi="宋?fa" w:cs="宋?fa"/>
          <w:color w:val="auto"/>
          <w:sz w:val="24"/>
          <w:szCs w:val="24"/>
          <w:highlight w:val="none"/>
        </w:rPr>
        <w:t>甲方所在地法院提起诉讼</w:t>
      </w:r>
      <w:r>
        <w:rPr>
          <w:rFonts w:hint="eastAsia" w:cs="宋?fa"/>
          <w:color w:val="auto"/>
          <w:highlight w:val="none"/>
        </w:rPr>
        <w:t>。</w:t>
      </w:r>
      <w:r>
        <w:rPr>
          <w:rFonts w:hint="eastAsia" w:ascii="宋?fa" w:hAnsi="宋?fa" w:cs="宋?fa"/>
          <w:color w:val="auto"/>
          <w:sz w:val="24"/>
          <w:szCs w:val="24"/>
          <w:highlight w:val="none"/>
        </w:rPr>
        <w:t>本合同的订立、执行和解释及争议的解决方案均适用中国法律。</w:t>
      </w:r>
    </w:p>
    <w:p>
      <w:pPr>
        <w:tabs>
          <w:tab w:val="left" w:pos="840"/>
        </w:tabs>
        <w:spacing w:line="360" w:lineRule="auto"/>
        <w:rPr>
          <w:rFonts w:ascii="宋?fa" w:cs="Times New Roman"/>
          <w:b/>
          <w:bCs/>
          <w:color w:val="auto"/>
          <w:sz w:val="24"/>
          <w:szCs w:val="24"/>
          <w:highlight w:val="none"/>
        </w:rPr>
      </w:pPr>
      <w:r>
        <w:rPr>
          <w:rFonts w:hint="eastAsia" w:ascii="宋?fa" w:hAnsi="宋?fa" w:cs="宋?fa"/>
          <w:b/>
          <w:bCs/>
          <w:color w:val="auto"/>
          <w:sz w:val="24"/>
          <w:szCs w:val="24"/>
          <w:highlight w:val="none"/>
        </w:rPr>
        <w:t>十</w:t>
      </w:r>
      <w:r>
        <w:rPr>
          <w:rFonts w:hint="eastAsia" w:ascii="宋?fa" w:hAnsi="宋?fa" w:cs="宋?fa"/>
          <w:b/>
          <w:bCs/>
          <w:color w:val="auto"/>
          <w:sz w:val="24"/>
          <w:szCs w:val="24"/>
          <w:highlight w:val="none"/>
          <w:lang w:val="en-US" w:eastAsia="zh-CN"/>
        </w:rPr>
        <w:t>七</w:t>
      </w:r>
      <w:r>
        <w:rPr>
          <w:rFonts w:hint="eastAsia" w:ascii="宋?fa" w:hAnsi="宋?fa" w:cs="宋?fa"/>
          <w:b/>
          <w:bCs/>
          <w:color w:val="auto"/>
          <w:sz w:val="24"/>
          <w:szCs w:val="24"/>
          <w:highlight w:val="none"/>
        </w:rPr>
        <w:t>、其他</w:t>
      </w:r>
    </w:p>
    <w:p>
      <w:pPr>
        <w:spacing w:line="360" w:lineRule="auto"/>
        <w:ind w:firstLine="480" w:firstLineChars="200"/>
        <w:rPr>
          <w:rFonts w:hint="eastAsia" w:ascii="宋?fa" w:hAnsi="宋?fa" w:cs="宋?fa"/>
          <w:color w:val="auto"/>
          <w:sz w:val="24"/>
          <w:szCs w:val="24"/>
          <w:highlight w:val="none"/>
        </w:rPr>
      </w:pPr>
      <w:r>
        <w:rPr>
          <w:rFonts w:ascii="宋?fa" w:hAnsi="宋?fa" w:cs="宋?fa"/>
          <w:color w:val="auto"/>
          <w:sz w:val="24"/>
          <w:szCs w:val="24"/>
          <w:highlight w:val="none"/>
        </w:rPr>
        <w:t>1</w:t>
      </w:r>
      <w:r>
        <w:rPr>
          <w:rFonts w:hint="eastAsia" w:ascii="宋?fa" w:hAnsi="宋?fa" w:cs="宋?fa"/>
          <w:color w:val="auto"/>
          <w:sz w:val="24"/>
          <w:szCs w:val="24"/>
          <w:highlight w:val="none"/>
        </w:rPr>
        <w:t>、在本合同履行过程中，甲乙双方可根据业务进展情况随时增加补充条款，经双方盖章后该协议的补充条款是本合同不可分割的一部分，具有与本合同同等法律效力。</w:t>
      </w:r>
    </w:p>
    <w:p>
      <w:pPr>
        <w:spacing w:line="360" w:lineRule="auto"/>
        <w:ind w:firstLine="480" w:firstLineChars="200"/>
        <w:rPr>
          <w:rFonts w:hint="eastAsia" w:ascii="宋?fa" w:hAnsi="宋?fa" w:cs="宋?fa"/>
          <w:b w:val="0"/>
          <w:bCs w:val="0"/>
          <w:color w:val="auto"/>
          <w:kern w:val="2"/>
          <w:sz w:val="24"/>
          <w:szCs w:val="24"/>
          <w:highlight w:val="none"/>
        </w:rPr>
      </w:pPr>
      <w:r>
        <w:rPr>
          <w:rFonts w:hint="eastAsia" w:ascii="宋?fa" w:hAnsi="宋?fa" w:cs="宋?fa"/>
          <w:color w:val="auto"/>
          <w:sz w:val="24"/>
          <w:szCs w:val="24"/>
          <w:highlight w:val="none"/>
          <w:lang w:val="en-US" w:eastAsia="zh-CN"/>
        </w:rPr>
        <w:t>2.</w:t>
      </w:r>
      <w:r>
        <w:rPr>
          <w:rFonts w:hint="eastAsia" w:ascii="宋?fa" w:hAnsi="宋?fa" w:cs="宋?fa"/>
          <w:b w:val="0"/>
          <w:bCs w:val="0"/>
          <w:color w:val="auto"/>
          <w:kern w:val="2"/>
          <w:sz w:val="24"/>
          <w:szCs w:val="24"/>
          <w:highlight w:val="none"/>
        </w:rPr>
        <w:t>本合同所有附件、竞争性谈判文件、报价文件、</w:t>
      </w:r>
      <w:r>
        <w:rPr>
          <w:rFonts w:hint="eastAsia" w:ascii="宋?fa" w:hAnsi="宋?fa" w:cs="宋?fa"/>
          <w:b w:val="0"/>
          <w:bCs w:val="0"/>
          <w:color w:val="auto"/>
          <w:kern w:val="2"/>
          <w:sz w:val="24"/>
          <w:szCs w:val="24"/>
          <w:highlight w:val="none"/>
          <w:lang w:val="en-US" w:eastAsia="zh-CN"/>
        </w:rPr>
        <w:t>成交</w:t>
      </w:r>
      <w:r>
        <w:rPr>
          <w:rFonts w:hint="eastAsia" w:ascii="宋?fa" w:hAnsi="宋?fa" w:cs="宋?fa"/>
          <w:b w:val="0"/>
          <w:bCs w:val="0"/>
          <w:color w:val="auto"/>
          <w:kern w:val="2"/>
          <w:sz w:val="24"/>
          <w:szCs w:val="24"/>
          <w:highlight w:val="none"/>
        </w:rPr>
        <w:t>结果确认函均为本合同的有效组成部分，与本合同具有同等法律效力</w:t>
      </w:r>
      <w:r>
        <w:rPr>
          <w:rFonts w:hint="eastAsia" w:ascii="宋?fa" w:hAnsi="宋?fa" w:cs="宋?fa"/>
          <w:b w:val="0"/>
          <w:bCs w:val="0"/>
          <w:color w:val="auto"/>
          <w:kern w:val="2"/>
          <w:sz w:val="24"/>
          <w:szCs w:val="24"/>
          <w:highlight w:val="none"/>
          <w:lang w:eastAsia="zh-CN"/>
        </w:rPr>
        <w:t>，</w:t>
      </w:r>
      <w:r>
        <w:rPr>
          <w:rFonts w:hint="eastAsia" w:ascii="宋?fa" w:hAnsi="宋?fa" w:cs="宋?fa"/>
          <w:b w:val="0"/>
          <w:bCs w:val="0"/>
          <w:color w:val="auto"/>
          <w:kern w:val="2"/>
          <w:sz w:val="24"/>
          <w:szCs w:val="24"/>
          <w:highlight w:val="none"/>
          <w:lang w:val="en-US" w:eastAsia="zh-CN"/>
        </w:rPr>
        <w:t>如有冲突，以有利甲方为准</w:t>
      </w:r>
      <w:r>
        <w:rPr>
          <w:rFonts w:hint="eastAsia" w:ascii="宋?fa" w:hAnsi="宋?fa" w:cs="宋?fa"/>
          <w:b w:val="0"/>
          <w:bCs w:val="0"/>
          <w:color w:val="auto"/>
          <w:kern w:val="2"/>
          <w:sz w:val="24"/>
          <w:szCs w:val="24"/>
          <w:highlight w:val="none"/>
        </w:rPr>
        <w:t>。</w:t>
      </w:r>
    </w:p>
    <w:p>
      <w:pPr>
        <w:spacing w:line="360" w:lineRule="auto"/>
        <w:ind w:firstLine="480" w:firstLineChars="200"/>
        <w:rPr>
          <w:rFonts w:ascii="宋?fa" w:cs="Times New Roman"/>
          <w:color w:val="auto"/>
          <w:sz w:val="24"/>
          <w:szCs w:val="24"/>
          <w:highlight w:val="none"/>
        </w:rPr>
      </w:pPr>
      <w:r>
        <w:rPr>
          <w:rFonts w:hint="eastAsia" w:ascii="宋?fa" w:hAnsi="宋?fa" w:cs="宋?fa"/>
          <w:color w:val="auto"/>
          <w:sz w:val="24"/>
          <w:szCs w:val="24"/>
          <w:highlight w:val="none"/>
          <w:lang w:val="en-US" w:eastAsia="zh-CN"/>
        </w:rPr>
        <w:t>3</w:t>
      </w:r>
      <w:r>
        <w:rPr>
          <w:rFonts w:hint="eastAsia" w:ascii="宋?fa" w:hAnsi="宋?fa" w:cs="宋?fa"/>
          <w:color w:val="auto"/>
          <w:sz w:val="24"/>
          <w:szCs w:val="24"/>
          <w:highlight w:val="none"/>
        </w:rPr>
        <w:t>、本合同一式【</w:t>
      </w:r>
      <w:r>
        <w:rPr>
          <w:rFonts w:ascii="宋?fa" w:hAnsi="宋?fa" w:cs="宋?fa"/>
          <w:color w:val="auto"/>
          <w:sz w:val="24"/>
          <w:szCs w:val="24"/>
          <w:highlight w:val="none"/>
        </w:rPr>
        <w:t>5</w:t>
      </w:r>
      <w:r>
        <w:rPr>
          <w:rFonts w:hint="eastAsia" w:ascii="宋?fa" w:hAnsi="宋?fa" w:cs="宋?fa"/>
          <w:color w:val="auto"/>
          <w:sz w:val="24"/>
          <w:szCs w:val="24"/>
          <w:highlight w:val="none"/>
        </w:rPr>
        <w:t>】份，甲</w:t>
      </w:r>
      <w:r>
        <w:rPr>
          <w:rFonts w:hint="eastAsia" w:ascii="宋体" w:hAnsi="宋体" w:eastAsia="宋体" w:cs="宋?fa"/>
          <w:color w:val="auto"/>
          <w:sz w:val="24"/>
          <w:szCs w:val="24"/>
          <w:highlight w:val="none"/>
        </w:rPr>
        <w:t>方</w:t>
      </w:r>
      <w:r>
        <w:rPr>
          <w:rFonts w:hint="eastAsia" w:ascii="宋?fa" w:hAnsi="宋?fa" w:cs="宋?fa"/>
          <w:color w:val="auto"/>
          <w:sz w:val="24"/>
          <w:szCs w:val="24"/>
          <w:highlight w:val="none"/>
        </w:rPr>
        <w:t>【</w:t>
      </w:r>
      <w:r>
        <w:rPr>
          <w:rFonts w:ascii="宋?fa" w:hAnsi="宋?fa" w:cs="宋?fa"/>
          <w:color w:val="auto"/>
          <w:sz w:val="24"/>
          <w:szCs w:val="24"/>
          <w:highlight w:val="none"/>
        </w:rPr>
        <w:t>4</w:t>
      </w:r>
      <w:r>
        <w:rPr>
          <w:rFonts w:hint="eastAsia" w:ascii="宋?fa" w:hAnsi="宋?fa" w:cs="宋?fa"/>
          <w:color w:val="auto"/>
          <w:sz w:val="24"/>
          <w:szCs w:val="24"/>
          <w:highlight w:val="none"/>
        </w:rPr>
        <w:t>】</w:t>
      </w:r>
      <w:r>
        <w:rPr>
          <w:rFonts w:hint="eastAsia" w:ascii="宋体" w:hAnsi="宋体" w:eastAsia="宋体" w:cs="宋?fa"/>
          <w:color w:val="auto"/>
          <w:sz w:val="24"/>
          <w:szCs w:val="24"/>
          <w:highlight w:val="none"/>
        </w:rPr>
        <w:t>份</w:t>
      </w:r>
      <w:r>
        <w:rPr>
          <w:rFonts w:hint="eastAsia" w:ascii="宋?fa" w:hAnsi="宋?fa" w:cs="宋?fa"/>
          <w:color w:val="auto"/>
          <w:sz w:val="24"/>
          <w:szCs w:val="24"/>
          <w:highlight w:val="none"/>
        </w:rPr>
        <w:t>乙方【</w:t>
      </w:r>
      <w:r>
        <w:rPr>
          <w:rFonts w:ascii="宋?fa" w:hAnsi="宋?fa" w:cs="宋?fa"/>
          <w:color w:val="auto"/>
          <w:sz w:val="24"/>
          <w:szCs w:val="24"/>
          <w:highlight w:val="none"/>
        </w:rPr>
        <w:t>1</w:t>
      </w:r>
      <w:r>
        <w:rPr>
          <w:rFonts w:hint="eastAsia" w:ascii="宋?fa" w:hAnsi="宋?fa" w:cs="宋?fa"/>
          <w:color w:val="auto"/>
          <w:sz w:val="24"/>
          <w:szCs w:val="24"/>
          <w:highlight w:val="none"/>
        </w:rPr>
        <w:t>】份，具有同等法律效力。</w:t>
      </w:r>
    </w:p>
    <w:p>
      <w:pPr>
        <w:spacing w:line="360" w:lineRule="auto"/>
        <w:ind w:firstLine="480" w:firstLineChars="200"/>
        <w:rPr>
          <w:rFonts w:ascii="宋?fa" w:cs="Times New Roman"/>
          <w:color w:val="auto"/>
          <w:sz w:val="24"/>
          <w:szCs w:val="24"/>
          <w:highlight w:val="none"/>
        </w:rPr>
      </w:pPr>
      <w:r>
        <w:rPr>
          <w:rFonts w:hint="eastAsia" w:ascii="宋?fa" w:hAnsi="宋?fa" w:cs="宋?fa"/>
          <w:color w:val="auto"/>
          <w:sz w:val="24"/>
          <w:szCs w:val="24"/>
          <w:highlight w:val="none"/>
          <w:lang w:val="en-US" w:eastAsia="zh-CN"/>
        </w:rPr>
        <w:t>4</w:t>
      </w:r>
      <w:r>
        <w:rPr>
          <w:rFonts w:hint="eastAsia" w:ascii="宋?fa" w:hAnsi="宋?fa" w:cs="宋?fa"/>
          <w:color w:val="auto"/>
          <w:sz w:val="24"/>
          <w:szCs w:val="24"/>
          <w:highlight w:val="none"/>
        </w:rPr>
        <w:t>、合同有效期从</w:t>
      </w:r>
      <w:r>
        <w:rPr>
          <w:rFonts w:hint="eastAsia" w:ascii="宋体" w:hAnsi="宋体" w:eastAsia="宋体" w:cs="宋?fa"/>
          <w:color w:val="auto"/>
          <w:sz w:val="24"/>
          <w:szCs w:val="24"/>
          <w:highlight w:val="none"/>
        </w:rPr>
        <w:t>签订合同之日起至合同约定义务履行完毕之日</w:t>
      </w:r>
      <w:r>
        <w:rPr>
          <w:rFonts w:hint="eastAsia" w:ascii="宋?fa" w:hAnsi="宋?fa" w:cs="宋?fa"/>
          <w:color w:val="auto"/>
          <w:sz w:val="24"/>
          <w:szCs w:val="24"/>
          <w:highlight w:val="none"/>
        </w:rPr>
        <w:t>止。</w:t>
      </w:r>
    </w:p>
    <w:p>
      <w:pPr>
        <w:spacing w:line="360" w:lineRule="auto"/>
        <w:ind w:firstLine="480" w:firstLineChars="200"/>
        <w:rPr>
          <w:rFonts w:ascii="宋?fa" w:cs="Times New Roman"/>
          <w:color w:val="auto"/>
          <w:sz w:val="24"/>
          <w:szCs w:val="24"/>
          <w:highlight w:val="none"/>
        </w:rPr>
      </w:pPr>
      <w:r>
        <w:rPr>
          <w:rFonts w:hint="eastAsia" w:ascii="宋?fa" w:hAnsi="宋?fa" w:cs="宋?fa"/>
          <w:color w:val="auto"/>
          <w:sz w:val="24"/>
          <w:szCs w:val="24"/>
          <w:highlight w:val="none"/>
          <w:lang w:val="en-US" w:eastAsia="zh-CN"/>
        </w:rPr>
        <w:t>5</w:t>
      </w:r>
      <w:r>
        <w:rPr>
          <w:rFonts w:hint="eastAsia" w:ascii="宋?fa" w:hAnsi="宋?fa" w:cs="宋?fa"/>
          <w:color w:val="auto"/>
          <w:sz w:val="24"/>
          <w:szCs w:val="24"/>
          <w:highlight w:val="none"/>
        </w:rPr>
        <w:t>、合同附件：</w:t>
      </w:r>
    </w:p>
    <w:p>
      <w:pPr>
        <w:numPr>
          <w:ilvl w:val="0"/>
          <w:numId w:val="0"/>
        </w:numPr>
        <w:spacing w:line="360" w:lineRule="auto"/>
        <w:ind w:firstLine="480" w:firstLineChars="200"/>
        <w:rPr>
          <w:rFonts w:hint="default" w:ascii="宋?fa" w:hAnsi="宋?fa" w:eastAsia="宋体" w:cs="宋?fa"/>
          <w:color w:val="auto"/>
          <w:sz w:val="24"/>
          <w:highlight w:val="none"/>
          <w:lang w:val="en-US" w:eastAsia="zh-CN"/>
        </w:rPr>
      </w:pPr>
      <w:r>
        <w:rPr>
          <w:rFonts w:hint="default" w:ascii="宋?fa" w:hAnsi="宋?fa" w:eastAsia="宋体" w:cs="宋?fa"/>
          <w:color w:val="auto"/>
          <w:sz w:val="24"/>
          <w:highlight w:val="none"/>
          <w:lang w:val="en-US" w:eastAsia="zh-CN"/>
        </w:rPr>
        <w:t>附件1</w:t>
      </w:r>
      <w:r>
        <w:rPr>
          <w:rFonts w:hint="default" w:ascii="宋?fa" w:hAnsi="宋?fa" w:eastAsia="宋体" w:cs="宋?fa"/>
          <w:color w:val="auto"/>
          <w:sz w:val="24"/>
          <w:szCs w:val="24"/>
          <w:highlight w:val="none"/>
        </w:rPr>
        <w:t>《运输费报价单》</w:t>
      </w:r>
    </w:p>
    <w:p>
      <w:pPr>
        <w:numPr>
          <w:ilvl w:val="0"/>
          <w:numId w:val="0"/>
        </w:numPr>
        <w:spacing w:line="360" w:lineRule="auto"/>
        <w:ind w:firstLine="480" w:firstLineChars="200"/>
        <w:rPr>
          <w:rFonts w:hint="default" w:ascii="宋?fa" w:hAnsi="宋?fa" w:eastAsia="宋体" w:cs="宋?fa"/>
          <w:color w:val="auto"/>
          <w:sz w:val="24"/>
          <w:highlight w:val="none"/>
          <w:lang w:val="en-US" w:eastAsia="zh-CN"/>
        </w:rPr>
      </w:pPr>
      <w:r>
        <w:rPr>
          <w:rFonts w:hint="eastAsia" w:ascii="宋?fa" w:hAnsi="宋?fa" w:cs="宋?fa"/>
          <w:color w:val="auto"/>
          <w:sz w:val="24"/>
          <w:highlight w:val="none"/>
          <w:lang w:val="en-US" w:eastAsia="zh-CN"/>
        </w:rPr>
        <w:t>附件2</w:t>
      </w:r>
      <w:r>
        <w:rPr>
          <w:rFonts w:hint="default" w:ascii="宋?fa" w:hAnsi="宋?fa" w:eastAsia="宋体" w:cs="宋?fa"/>
          <w:color w:val="auto"/>
          <w:sz w:val="24"/>
          <w:highlight w:val="none"/>
          <w:lang w:val="en-US" w:eastAsia="zh-CN"/>
        </w:rPr>
        <w:t>《东莞市新东欣环保投资有限公司承运单位违规行为处罚条款》</w:t>
      </w:r>
    </w:p>
    <w:p>
      <w:pPr>
        <w:numPr>
          <w:ilvl w:val="0"/>
          <w:numId w:val="0"/>
        </w:numPr>
        <w:spacing w:line="360" w:lineRule="auto"/>
        <w:ind w:firstLine="480" w:firstLineChars="200"/>
        <w:rPr>
          <w:rFonts w:hint="default" w:ascii="宋?fa" w:hAnsi="宋?fa" w:eastAsia="宋体" w:cs="宋?fa"/>
          <w:color w:val="auto"/>
          <w:sz w:val="24"/>
          <w:highlight w:val="none"/>
          <w:lang w:val="en-US" w:eastAsia="zh-CN"/>
        </w:rPr>
      </w:pPr>
      <w:r>
        <w:rPr>
          <w:rFonts w:hint="default" w:ascii="宋?fa" w:hAnsi="宋?fa" w:eastAsia="宋体" w:cs="宋?fa"/>
          <w:color w:val="auto"/>
          <w:sz w:val="24"/>
          <w:highlight w:val="none"/>
          <w:lang w:val="en-US" w:eastAsia="zh-CN"/>
        </w:rPr>
        <w:t>附件</w:t>
      </w:r>
      <w:r>
        <w:rPr>
          <w:rFonts w:hint="eastAsia" w:ascii="宋?fa" w:hAnsi="宋?fa" w:cs="宋?fa"/>
          <w:color w:val="auto"/>
          <w:sz w:val="24"/>
          <w:highlight w:val="none"/>
          <w:lang w:val="en-US" w:eastAsia="zh-CN"/>
        </w:rPr>
        <w:t>3</w:t>
      </w:r>
      <w:r>
        <w:rPr>
          <w:rFonts w:hint="default" w:ascii="宋?fa" w:hAnsi="宋?fa" w:cs="宋?fa"/>
          <w:color w:val="auto"/>
          <w:sz w:val="24"/>
          <w:highlight w:val="none"/>
          <w:lang w:val="en-US" w:eastAsia="zh-CN"/>
        </w:rPr>
        <w:t>阳光合作协议</w:t>
      </w:r>
    </w:p>
    <w:p>
      <w:pPr>
        <w:numPr>
          <w:ilvl w:val="0"/>
          <w:numId w:val="0"/>
        </w:numPr>
        <w:spacing w:line="360" w:lineRule="auto"/>
        <w:ind w:firstLine="480" w:firstLineChars="200"/>
        <w:rPr>
          <w:rFonts w:hint="default" w:ascii="宋?fa" w:hAnsi="宋?fa" w:eastAsia="宋体" w:cs="宋?fa"/>
          <w:color w:val="auto"/>
          <w:sz w:val="24"/>
          <w:highlight w:val="none"/>
          <w:lang w:val="en-US" w:eastAsia="zh-CN"/>
        </w:rPr>
      </w:pPr>
      <w:r>
        <w:rPr>
          <w:rFonts w:hint="default" w:ascii="宋?fa" w:hAnsi="宋?fa" w:eastAsia="宋体" w:cs="宋?fa"/>
          <w:color w:val="auto"/>
          <w:sz w:val="24"/>
          <w:highlight w:val="none"/>
          <w:lang w:val="en-US" w:eastAsia="zh-CN"/>
        </w:rPr>
        <w:t>附件</w:t>
      </w:r>
      <w:r>
        <w:rPr>
          <w:rFonts w:hint="eastAsia" w:ascii="宋?fa" w:hAnsi="宋?fa" w:cs="宋?fa"/>
          <w:color w:val="auto"/>
          <w:sz w:val="24"/>
          <w:highlight w:val="none"/>
          <w:lang w:val="en-US" w:eastAsia="zh-CN"/>
        </w:rPr>
        <w:t>4</w:t>
      </w:r>
      <w:r>
        <w:rPr>
          <w:rFonts w:hint="default" w:ascii="宋?fa" w:hAnsi="宋?fa" w:cs="宋?fa"/>
          <w:color w:val="auto"/>
          <w:sz w:val="24"/>
          <w:highlight w:val="none"/>
          <w:lang w:val="en-US" w:eastAsia="zh-CN"/>
        </w:rPr>
        <w:t>中标通知书</w:t>
      </w:r>
    </w:p>
    <w:p>
      <w:pPr>
        <w:numPr>
          <w:ilvl w:val="0"/>
          <w:numId w:val="0"/>
        </w:numPr>
        <w:spacing w:line="360" w:lineRule="auto"/>
        <w:ind w:firstLine="480" w:firstLineChars="200"/>
        <w:rPr>
          <w:rFonts w:hint="default" w:ascii="宋?fa" w:hAnsi="宋?fa" w:eastAsia="宋体" w:cs="宋?fa"/>
          <w:color w:val="auto"/>
          <w:sz w:val="24"/>
          <w:highlight w:val="none"/>
          <w:lang w:val="en-US" w:eastAsia="zh-CN"/>
        </w:rPr>
      </w:pPr>
      <w:r>
        <w:rPr>
          <w:rFonts w:hint="default" w:ascii="宋?fa" w:hAnsi="宋?fa" w:eastAsia="宋体" w:cs="宋?fa"/>
          <w:color w:val="auto"/>
          <w:sz w:val="24"/>
          <w:highlight w:val="none"/>
          <w:lang w:val="en-US" w:eastAsia="zh-CN"/>
        </w:rPr>
        <w:t>附件</w:t>
      </w:r>
      <w:r>
        <w:rPr>
          <w:rFonts w:hint="eastAsia" w:ascii="宋?fa" w:hAnsi="宋?fa" w:cs="宋?fa"/>
          <w:color w:val="auto"/>
          <w:sz w:val="24"/>
          <w:highlight w:val="none"/>
          <w:lang w:val="en-US" w:eastAsia="zh-CN"/>
        </w:rPr>
        <w:t>5</w:t>
      </w:r>
      <w:r>
        <w:rPr>
          <w:rFonts w:hint="default" w:ascii="宋?fa" w:hAnsi="宋?fa" w:eastAsia="宋体" w:cs="宋?fa"/>
          <w:color w:val="auto"/>
          <w:sz w:val="24"/>
          <w:highlight w:val="none"/>
          <w:lang w:val="en-US" w:eastAsia="zh-CN"/>
        </w:rPr>
        <w:t>本项目谈判文件及澄清文件</w:t>
      </w:r>
    </w:p>
    <w:p>
      <w:pPr>
        <w:numPr>
          <w:ilvl w:val="0"/>
          <w:numId w:val="0"/>
        </w:numPr>
        <w:spacing w:line="360" w:lineRule="auto"/>
        <w:ind w:firstLine="480" w:firstLineChars="200"/>
        <w:rPr>
          <w:rFonts w:hint="default" w:ascii="宋?fa" w:hAnsi="宋?fa" w:eastAsia="宋体" w:cs="宋?fa"/>
          <w:color w:val="auto"/>
          <w:sz w:val="24"/>
          <w:highlight w:val="none"/>
          <w:lang w:val="en-US" w:eastAsia="zh-CN"/>
        </w:rPr>
      </w:pPr>
      <w:r>
        <w:rPr>
          <w:rFonts w:hint="default" w:ascii="宋?fa" w:hAnsi="宋?fa" w:eastAsia="宋体" w:cs="宋?fa"/>
          <w:color w:val="auto"/>
          <w:sz w:val="24"/>
          <w:highlight w:val="none"/>
          <w:lang w:val="en-US" w:eastAsia="zh-CN"/>
        </w:rPr>
        <w:t>附件</w:t>
      </w:r>
      <w:r>
        <w:rPr>
          <w:rFonts w:hint="eastAsia" w:ascii="宋?fa" w:hAnsi="宋?fa" w:cs="宋?fa"/>
          <w:color w:val="auto"/>
          <w:sz w:val="24"/>
          <w:highlight w:val="none"/>
          <w:lang w:val="en-US" w:eastAsia="zh-CN"/>
        </w:rPr>
        <w:t>6</w:t>
      </w:r>
      <w:r>
        <w:rPr>
          <w:rFonts w:hint="default" w:ascii="宋?fa" w:hAnsi="宋?fa" w:eastAsia="宋体" w:cs="宋?fa"/>
          <w:color w:val="auto"/>
          <w:sz w:val="24"/>
          <w:highlight w:val="none"/>
          <w:lang w:val="en-US" w:eastAsia="zh-CN"/>
        </w:rPr>
        <w:t>报价响应文件</w:t>
      </w:r>
    </w:p>
    <w:p>
      <w:pPr>
        <w:spacing w:line="360" w:lineRule="auto"/>
        <w:rPr>
          <w:rFonts w:ascii="宋?fa" w:eastAsia="宋体" w:cs="Times New Roman"/>
          <w:color w:val="auto"/>
          <w:sz w:val="24"/>
          <w:szCs w:val="24"/>
          <w:highlight w:val="none"/>
        </w:rPr>
      </w:pPr>
      <w:r>
        <w:rPr>
          <w:rFonts w:hint="eastAsia" w:ascii="宋体" w:hAnsi="宋体" w:eastAsia="宋体" w:cs="宋?fa"/>
          <w:color w:val="auto"/>
          <w:sz w:val="24"/>
          <w:szCs w:val="24"/>
          <w:highlight w:val="none"/>
        </w:rPr>
        <w:t>（</w:t>
      </w:r>
      <w:r>
        <w:rPr>
          <w:rFonts w:hint="eastAsia" w:ascii="宋?fa" w:hAnsi="宋?fa" w:cs="宋?fa"/>
          <w:color w:val="auto"/>
          <w:sz w:val="24"/>
          <w:szCs w:val="24"/>
          <w:highlight w:val="none"/>
        </w:rPr>
        <w:t>以下无正文</w:t>
      </w:r>
      <w:r>
        <w:rPr>
          <w:rFonts w:hint="eastAsia" w:ascii="宋体" w:hAnsi="宋体" w:eastAsia="宋体" w:cs="宋?fa"/>
          <w:color w:val="auto"/>
          <w:sz w:val="24"/>
          <w:szCs w:val="24"/>
          <w:highlight w:val="none"/>
        </w:rPr>
        <w:t>）</w:t>
      </w:r>
    </w:p>
    <w:p>
      <w:pPr>
        <w:spacing w:line="360" w:lineRule="auto"/>
        <w:rPr>
          <w:rFonts w:cs="Times New Roman"/>
          <w:color w:val="auto"/>
          <w:sz w:val="24"/>
          <w:szCs w:val="24"/>
          <w:highlight w:val="none"/>
        </w:rPr>
      </w:pPr>
    </w:p>
    <w:tbl>
      <w:tblPr>
        <w:tblStyle w:val="39"/>
        <w:tblpPr w:leftFromText="180" w:rightFromText="180" w:vertAnchor="text" w:horzAnchor="page" w:tblpX="1651" w:tblpY="327"/>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2"/>
        <w:gridCol w:w="4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4642" w:type="dxa"/>
          </w:tcPr>
          <w:p>
            <w:pPr>
              <w:spacing w:line="360" w:lineRule="auto"/>
              <w:rPr>
                <w:rFonts w:ascii="宋?fa" w:hAnsi="宋?fa" w:cs="宋?fa" w:eastAsiaTheme="minorEastAsia"/>
                <w:color w:val="auto"/>
                <w:sz w:val="24"/>
                <w:szCs w:val="24"/>
                <w:highlight w:val="none"/>
              </w:rPr>
            </w:pPr>
          </w:p>
          <w:p>
            <w:pPr>
              <w:spacing w:line="360" w:lineRule="auto"/>
              <w:rPr>
                <w:rFonts w:ascii="宋?fa" w:cs="Times New Roman"/>
                <w:color w:val="auto"/>
                <w:sz w:val="18"/>
                <w:szCs w:val="18"/>
                <w:highlight w:val="none"/>
              </w:rPr>
            </w:pPr>
            <w:r>
              <w:rPr>
                <w:rFonts w:hint="eastAsia" w:ascii="宋?fa" w:hAnsi="宋?fa" w:cs="宋?fa"/>
                <w:color w:val="auto"/>
                <w:sz w:val="24"/>
                <w:szCs w:val="24"/>
                <w:highlight w:val="none"/>
              </w:rPr>
              <w:t>甲方（盖章）：东莞市新东</w:t>
            </w:r>
            <w:r>
              <w:rPr>
                <w:rFonts w:hint="eastAsia" w:cs="宋?fa" w:asciiTheme="minorEastAsia" w:hAnsiTheme="minorEastAsia" w:eastAsiaTheme="minorEastAsia"/>
                <w:color w:val="auto"/>
                <w:sz w:val="24"/>
                <w:szCs w:val="24"/>
                <w:highlight w:val="none"/>
              </w:rPr>
              <w:t>欣环保投资有限公司</w:t>
            </w:r>
          </w:p>
          <w:p>
            <w:pPr>
              <w:spacing w:line="360" w:lineRule="auto"/>
              <w:rPr>
                <w:rFonts w:ascii="宋?fa" w:hAnsi="宋?fa" w:cs="宋?fa" w:eastAsiaTheme="minorEastAsia"/>
                <w:color w:val="auto"/>
                <w:sz w:val="24"/>
                <w:szCs w:val="24"/>
                <w:highlight w:val="none"/>
              </w:rPr>
            </w:pPr>
            <w:r>
              <w:rPr>
                <w:rFonts w:hint="eastAsia" w:ascii="宋?fa" w:hAnsi="宋?fa" w:cs="宋?fa"/>
                <w:color w:val="auto"/>
                <w:sz w:val="24"/>
                <w:szCs w:val="24"/>
                <w:highlight w:val="none"/>
              </w:rPr>
              <w:t>法定代表人</w:t>
            </w:r>
            <w:r>
              <w:rPr>
                <w:rFonts w:hint="eastAsia" w:cs="宋?fa" w:asciiTheme="minorEastAsia" w:hAnsiTheme="minorEastAsia" w:eastAsiaTheme="minorEastAsia"/>
                <w:color w:val="auto"/>
                <w:sz w:val="24"/>
                <w:szCs w:val="24"/>
                <w:highlight w:val="none"/>
              </w:rPr>
              <w:t>（签字）：</w:t>
            </w:r>
          </w:p>
          <w:p>
            <w:pPr>
              <w:spacing w:line="360" w:lineRule="auto"/>
              <w:rPr>
                <w:rFonts w:hint="eastAsia" w:ascii="宋?fa" w:hAnsi="宋?fa" w:cs="宋?fa"/>
                <w:color w:val="auto"/>
                <w:sz w:val="24"/>
                <w:szCs w:val="24"/>
                <w:highlight w:val="none"/>
              </w:rPr>
            </w:pPr>
            <w:r>
              <w:rPr>
                <w:rFonts w:hint="eastAsia" w:ascii="宋?fa" w:hAnsi="宋?fa" w:cs="宋?fa"/>
                <w:color w:val="auto"/>
                <w:sz w:val="24"/>
                <w:szCs w:val="24"/>
                <w:highlight w:val="none"/>
              </w:rPr>
              <w:t>委托代理人：</w:t>
            </w:r>
          </w:p>
          <w:p>
            <w:pPr>
              <w:spacing w:line="360" w:lineRule="auto"/>
              <w:rPr>
                <w:color w:val="auto"/>
                <w:highlight w:val="none"/>
              </w:rPr>
            </w:pPr>
          </w:p>
        </w:tc>
        <w:tc>
          <w:tcPr>
            <w:tcW w:w="4442" w:type="dxa"/>
          </w:tcPr>
          <w:p>
            <w:pPr>
              <w:spacing w:line="360" w:lineRule="auto"/>
              <w:rPr>
                <w:rFonts w:ascii="宋?fa" w:hAnsi="宋?fa" w:cs="宋?fa" w:eastAsiaTheme="minorEastAsia"/>
                <w:color w:val="auto"/>
                <w:sz w:val="24"/>
                <w:szCs w:val="24"/>
                <w:highlight w:val="none"/>
              </w:rPr>
            </w:pPr>
          </w:p>
          <w:p>
            <w:pPr>
              <w:spacing w:line="360" w:lineRule="auto"/>
              <w:rPr>
                <w:rFonts w:hint="eastAsia" w:ascii="宋?fa" w:hAnsi="宋?fa" w:cs="宋?fa"/>
                <w:color w:val="auto"/>
                <w:sz w:val="24"/>
                <w:szCs w:val="24"/>
                <w:highlight w:val="none"/>
              </w:rPr>
            </w:pPr>
            <w:r>
              <w:rPr>
                <w:rFonts w:hint="eastAsia" w:cs="宋?fa" w:asciiTheme="minorEastAsia" w:hAnsiTheme="minorEastAsia" w:eastAsiaTheme="minorEastAsia"/>
                <w:color w:val="auto"/>
                <w:sz w:val="24"/>
                <w:szCs w:val="24"/>
                <w:highlight w:val="none"/>
              </w:rPr>
              <w:t>乙方</w:t>
            </w:r>
            <w:r>
              <w:rPr>
                <w:rFonts w:hint="eastAsia" w:ascii="宋?fa" w:hAnsi="宋?fa" w:cs="宋?fa"/>
                <w:color w:val="auto"/>
                <w:sz w:val="24"/>
                <w:szCs w:val="24"/>
                <w:highlight w:val="none"/>
              </w:rPr>
              <w:t>（盖章）：</w:t>
            </w:r>
          </w:p>
          <w:p>
            <w:pPr>
              <w:spacing w:line="360" w:lineRule="auto"/>
              <w:rPr>
                <w:rFonts w:ascii="宋?fa" w:hAnsi="宋?fa" w:cs="宋?fa"/>
                <w:color w:val="auto"/>
                <w:sz w:val="24"/>
                <w:szCs w:val="24"/>
                <w:highlight w:val="none"/>
              </w:rPr>
            </w:pPr>
            <w:r>
              <w:rPr>
                <w:rFonts w:hint="eastAsia" w:ascii="宋?fa" w:hAnsi="宋?fa" w:cs="宋?fa"/>
                <w:color w:val="auto"/>
                <w:sz w:val="24"/>
                <w:szCs w:val="24"/>
                <w:highlight w:val="none"/>
              </w:rPr>
              <w:t>法定代表人</w:t>
            </w:r>
            <w:r>
              <w:rPr>
                <w:rFonts w:hint="eastAsia" w:cs="宋?fa" w:asciiTheme="minorEastAsia" w:hAnsiTheme="minorEastAsia" w:eastAsiaTheme="minorEastAsia"/>
                <w:color w:val="auto"/>
                <w:sz w:val="24"/>
                <w:szCs w:val="24"/>
                <w:highlight w:val="none"/>
              </w:rPr>
              <w:t>（签字）</w:t>
            </w:r>
            <w:r>
              <w:rPr>
                <w:rFonts w:hint="eastAsia" w:ascii="宋?fa" w:hAnsi="宋?fa" w:cs="宋?fa"/>
                <w:color w:val="auto"/>
                <w:sz w:val="24"/>
                <w:szCs w:val="24"/>
                <w:highlight w:val="none"/>
              </w:rPr>
              <w:t>：</w:t>
            </w:r>
            <w:r>
              <w:rPr>
                <w:rFonts w:ascii="宋?fa" w:hAnsi="宋?fa" w:cs="宋?fa"/>
                <w:color w:val="auto"/>
                <w:sz w:val="24"/>
                <w:szCs w:val="24"/>
                <w:highlight w:val="none"/>
              </w:rPr>
              <w:t xml:space="preserve"> </w:t>
            </w:r>
          </w:p>
          <w:p>
            <w:pPr>
              <w:spacing w:line="360" w:lineRule="auto"/>
              <w:rPr>
                <w:rFonts w:hint="eastAsia" w:ascii="宋?fa" w:hAnsi="宋?fa" w:cs="宋?fa"/>
                <w:color w:val="auto"/>
                <w:sz w:val="24"/>
                <w:szCs w:val="24"/>
                <w:highlight w:val="none"/>
              </w:rPr>
            </w:pPr>
            <w:r>
              <w:rPr>
                <w:rFonts w:hint="eastAsia" w:ascii="宋?fa" w:hAnsi="宋?fa" w:cs="宋?fa"/>
                <w:color w:val="auto"/>
                <w:sz w:val="24"/>
                <w:szCs w:val="24"/>
                <w:highlight w:val="none"/>
              </w:rPr>
              <w:t>委托代理人：</w:t>
            </w:r>
          </w:p>
          <w:p>
            <w:pPr>
              <w:spacing w:line="360" w:lineRule="auto"/>
              <w:rPr>
                <w:color w:val="auto"/>
                <w:highlight w:val="none"/>
              </w:rPr>
            </w:pPr>
          </w:p>
        </w:tc>
      </w:tr>
    </w:tbl>
    <w:p>
      <w:pPr>
        <w:spacing w:line="360" w:lineRule="auto"/>
        <w:ind w:right="720"/>
        <w:jc w:val="right"/>
        <w:rPr>
          <w:rFonts w:cs="Times New Roman" w:asciiTheme="minorEastAsia" w:hAnsiTheme="minorEastAsia" w:eastAsiaTheme="minorEastAsia"/>
          <w:color w:val="auto"/>
          <w:sz w:val="24"/>
          <w:szCs w:val="24"/>
          <w:highlight w:val="none"/>
        </w:rPr>
      </w:pPr>
    </w:p>
    <w:p>
      <w:pPr>
        <w:spacing w:line="360" w:lineRule="auto"/>
        <w:ind w:right="720"/>
        <w:jc w:val="right"/>
        <w:rPr>
          <w:rFonts w:eastAsiaTheme="minorEastAsia"/>
          <w:b/>
          <w:color w:val="auto"/>
          <w:sz w:val="28"/>
          <w:szCs w:val="28"/>
          <w:highlight w:val="none"/>
        </w:rPr>
      </w:pPr>
      <w:r>
        <w:rPr>
          <w:rFonts w:hint="eastAsia" w:cs="Times New Roman" w:asciiTheme="minorEastAsia" w:hAnsiTheme="minorEastAsia" w:eastAsiaTheme="minorEastAsia"/>
          <w:color w:val="auto"/>
          <w:sz w:val="24"/>
          <w:szCs w:val="24"/>
          <w:highlight w:val="none"/>
        </w:rPr>
        <w:t>签订日期：</w:t>
      </w:r>
    </w:p>
    <w:p>
      <w:pPr>
        <w:spacing w:after="62" w:line="480" w:lineRule="exact"/>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附件1：</w:t>
      </w:r>
    </w:p>
    <w:p>
      <w:pPr>
        <w:spacing w:line="360" w:lineRule="auto"/>
        <w:jc w:val="center"/>
        <w:rPr>
          <w:b/>
          <w:color w:val="auto"/>
          <w:sz w:val="32"/>
          <w:szCs w:val="32"/>
          <w:highlight w:val="none"/>
        </w:rPr>
      </w:pPr>
      <w:r>
        <w:rPr>
          <w:rFonts w:hint="eastAsia"/>
          <w:b/>
          <w:color w:val="auto"/>
          <w:sz w:val="32"/>
          <w:szCs w:val="32"/>
          <w:highlight w:val="none"/>
        </w:rPr>
        <w:t>运输费报价单</w:t>
      </w:r>
    </w:p>
    <w:p>
      <w:pPr>
        <w:spacing w:line="360" w:lineRule="auto"/>
        <w:rPr>
          <w:rFonts w:ascii="宋?fa" w:hAnsi="宋?fa" w:cs="宋?fa" w:eastAsiaTheme="minorEastAsia"/>
          <w:color w:val="auto"/>
          <w:sz w:val="24"/>
          <w:szCs w:val="24"/>
          <w:highlight w:val="none"/>
        </w:rPr>
      </w:pPr>
      <w:r>
        <w:rPr>
          <w:rFonts w:ascii="宋?fa" w:hAnsi="宋?fa" w:eastAsia="宋体" w:cs="宋?fa"/>
          <w:color w:val="auto"/>
          <w:sz w:val="24"/>
          <w:szCs w:val="24"/>
          <w:highlight w:val="none"/>
        </w:rPr>
        <w:t xml:space="preserve">             </w:t>
      </w:r>
    </w:p>
    <w:p>
      <w:pPr>
        <w:spacing w:line="40" w:lineRule="atLeast"/>
        <w:rPr>
          <w:rFonts w:hint="eastAsia" w:ascii="宋体" w:hAnsi="宋体"/>
          <w:color w:val="auto"/>
          <w:sz w:val="24"/>
          <w:highlight w:val="none"/>
        </w:rPr>
      </w:pPr>
      <w:r>
        <w:rPr>
          <w:rFonts w:hint="eastAsia" w:ascii="宋体" w:hAnsi="宋体"/>
          <w:color w:val="auto"/>
          <w:sz w:val="24"/>
          <w:highlight w:val="none"/>
        </w:rPr>
        <w:t xml:space="preserve">    </w:t>
      </w:r>
    </w:p>
    <w:tbl>
      <w:tblPr>
        <w:tblStyle w:val="40"/>
        <w:tblW w:w="8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300"/>
        <w:gridCol w:w="1542"/>
        <w:gridCol w:w="1571"/>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242" w:type="dxa"/>
            <w:vAlign w:val="center"/>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废物名称</w:t>
            </w:r>
          </w:p>
        </w:tc>
        <w:tc>
          <w:tcPr>
            <w:tcW w:w="2300" w:type="dxa"/>
            <w:vAlign w:val="center"/>
          </w:tcPr>
          <w:p>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运输</w:t>
            </w:r>
            <w:r>
              <w:rPr>
                <w:rFonts w:hint="eastAsia" w:ascii="宋体" w:hAnsi="宋体" w:eastAsia="宋体" w:cs="宋体"/>
                <w:b w:val="0"/>
                <w:bCs w:val="0"/>
                <w:color w:val="auto"/>
                <w:sz w:val="21"/>
                <w:szCs w:val="21"/>
                <w:highlight w:val="none"/>
              </w:rPr>
              <w:t>起止点</w:t>
            </w:r>
          </w:p>
        </w:tc>
        <w:tc>
          <w:tcPr>
            <w:tcW w:w="1542" w:type="dxa"/>
            <w:vAlign w:val="center"/>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运输</w:t>
            </w:r>
            <w:r>
              <w:rPr>
                <w:rFonts w:hint="eastAsia" w:ascii="宋体" w:hAnsi="宋体" w:eastAsia="宋体" w:cs="宋体"/>
                <w:b w:val="0"/>
                <w:bCs w:val="0"/>
                <w:color w:val="auto"/>
                <w:sz w:val="21"/>
                <w:szCs w:val="21"/>
                <w:highlight w:val="none"/>
                <w:lang w:val="en-US" w:eastAsia="zh-CN"/>
              </w:rPr>
              <w:t>暂定</w:t>
            </w:r>
            <w:r>
              <w:rPr>
                <w:rFonts w:hint="eastAsia" w:ascii="宋体" w:hAnsi="宋体" w:eastAsia="宋体" w:cs="宋体"/>
                <w:b w:val="0"/>
                <w:bCs w:val="0"/>
                <w:color w:val="auto"/>
                <w:sz w:val="21"/>
                <w:szCs w:val="21"/>
                <w:highlight w:val="none"/>
              </w:rPr>
              <w:t>总量（吨）</w:t>
            </w:r>
          </w:p>
        </w:tc>
        <w:tc>
          <w:tcPr>
            <w:tcW w:w="1571" w:type="dxa"/>
            <w:vAlign w:val="center"/>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日运输</w:t>
            </w:r>
            <w:r>
              <w:rPr>
                <w:rFonts w:hint="eastAsia" w:ascii="宋体" w:hAnsi="宋体" w:eastAsia="宋体" w:cs="宋体"/>
                <w:b w:val="0"/>
                <w:bCs w:val="0"/>
                <w:color w:val="auto"/>
                <w:sz w:val="21"/>
                <w:szCs w:val="21"/>
                <w:highlight w:val="none"/>
                <w:lang w:val="en-US" w:eastAsia="zh-CN"/>
              </w:rPr>
              <w:t>暂定</w:t>
            </w:r>
            <w:r>
              <w:rPr>
                <w:rFonts w:hint="eastAsia" w:ascii="宋体" w:hAnsi="宋体" w:eastAsia="宋体" w:cs="宋体"/>
                <w:b w:val="0"/>
                <w:bCs w:val="0"/>
                <w:color w:val="auto"/>
                <w:sz w:val="21"/>
                <w:szCs w:val="21"/>
                <w:highlight w:val="none"/>
              </w:rPr>
              <w:t>量（吨）</w:t>
            </w:r>
          </w:p>
        </w:tc>
        <w:tc>
          <w:tcPr>
            <w:tcW w:w="1542" w:type="dxa"/>
            <w:vAlign w:val="center"/>
          </w:tcPr>
          <w:p>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含税运输单价（元/吨）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242" w:type="dxa"/>
            <w:vAlign w:val="center"/>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渗滤液</w:t>
            </w:r>
          </w:p>
        </w:tc>
        <w:tc>
          <w:tcPr>
            <w:tcW w:w="2300" w:type="dxa"/>
            <w:vAlign w:val="center"/>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滨海湾新区交椅礁侧→东莞市新东欣环保投资有限公司</w:t>
            </w:r>
          </w:p>
        </w:tc>
        <w:tc>
          <w:tcPr>
            <w:tcW w:w="1542" w:type="dxa"/>
            <w:vAlign w:val="center"/>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20000</w:t>
            </w:r>
          </w:p>
        </w:tc>
        <w:tc>
          <w:tcPr>
            <w:tcW w:w="1571" w:type="dxa"/>
            <w:vAlign w:val="center"/>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150</w:t>
            </w:r>
          </w:p>
        </w:tc>
        <w:tc>
          <w:tcPr>
            <w:tcW w:w="1542" w:type="dxa"/>
            <w:vAlign w:val="center"/>
          </w:tcPr>
          <w:p>
            <w:pPr>
              <w:spacing w:line="360" w:lineRule="auto"/>
              <w:jc w:val="center"/>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8197" w:type="dxa"/>
            <w:gridSpan w:val="5"/>
            <w:vAlign w:val="center"/>
          </w:tcPr>
          <w:p>
            <w:pPr>
              <w:spacing w:line="360" w:lineRule="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备注：</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实际运输总量及日运输量不设上限或下限。</w:t>
            </w:r>
          </w:p>
          <w:p>
            <w:pPr>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丶此报价含增值税，如果相关税收法律法规对适用的增值税税率进行更改，则适用新的增值税税率。</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丶本报价</w:t>
            </w:r>
            <w:r>
              <w:rPr>
                <w:rFonts w:hint="eastAsia" w:ascii="宋体" w:hAnsi="宋体" w:eastAsia="宋体" w:cs="宋体"/>
                <w:b w:val="0"/>
                <w:bCs w:val="0"/>
                <w:color w:val="auto"/>
                <w:sz w:val="21"/>
                <w:szCs w:val="21"/>
                <w:highlight w:val="none"/>
                <w:lang w:val="en-US" w:eastAsia="zh-CN"/>
              </w:rPr>
              <w:t>为固定总价包干</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包含运输费丶装卸费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人工费等一切满足本项目实施的费用</w:t>
            </w:r>
            <w:r>
              <w:rPr>
                <w:rFonts w:hint="eastAsia" w:ascii="宋体" w:hAnsi="宋体" w:eastAsia="宋体" w:cs="宋体"/>
                <w:b w:val="0"/>
                <w:bCs w:val="0"/>
                <w:color w:val="auto"/>
                <w:sz w:val="21"/>
                <w:szCs w:val="21"/>
                <w:highlight w:val="none"/>
              </w:rPr>
              <w:t>。</w:t>
            </w:r>
          </w:p>
        </w:tc>
      </w:tr>
    </w:tbl>
    <w:p>
      <w:pPr>
        <w:spacing w:line="360" w:lineRule="auto"/>
        <w:ind w:firstLine="422" w:firstLineChars="200"/>
        <w:jc w:val="left"/>
        <w:rPr>
          <w:rFonts w:hint="eastAsia" w:ascii="宋体" w:hAnsi="宋体" w:eastAsia="宋体" w:cs="宋体"/>
          <w:b/>
          <w:bCs/>
          <w:color w:val="auto"/>
          <w:sz w:val="21"/>
          <w:szCs w:val="21"/>
          <w:highlight w:val="none"/>
        </w:rPr>
      </w:pPr>
    </w:p>
    <w:p>
      <w:pPr>
        <w:spacing w:line="40" w:lineRule="atLeast"/>
        <w:rPr>
          <w:rFonts w:hint="eastAsia" w:ascii="宋体" w:hAnsi="宋体"/>
          <w:color w:val="auto"/>
          <w:sz w:val="24"/>
          <w:highlight w:val="none"/>
        </w:rPr>
      </w:pPr>
    </w:p>
    <w:p>
      <w:pPr>
        <w:spacing w:line="40" w:lineRule="atLeas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eastAsia="宋体"/>
          <w:color w:val="auto"/>
          <w:sz w:val="24"/>
          <w:highlight w:val="none"/>
        </w:rPr>
        <w:t>乙方：</w:t>
      </w:r>
      <w:r>
        <w:rPr>
          <w:rFonts w:hint="eastAsia" w:ascii="宋体" w:hAnsi="宋体"/>
          <w:color w:val="auto"/>
          <w:sz w:val="24"/>
          <w:highlight w:val="none"/>
        </w:rPr>
        <w:t>（</w:t>
      </w:r>
      <w:r>
        <w:rPr>
          <w:rFonts w:hint="eastAsia" w:asciiTheme="minorEastAsia" w:hAnsiTheme="minorEastAsia" w:eastAsiaTheme="minorEastAsia"/>
          <w:color w:val="auto"/>
          <w:sz w:val="24"/>
          <w:highlight w:val="none"/>
        </w:rPr>
        <w:t>盖章</w:t>
      </w:r>
      <w:r>
        <w:rPr>
          <w:rFonts w:hint="eastAsia" w:ascii="宋体" w:hAnsi="宋体"/>
          <w:color w:val="auto"/>
          <w:sz w:val="24"/>
          <w:highlight w:val="none"/>
        </w:rPr>
        <w:t xml:space="preserve">）： </w:t>
      </w:r>
    </w:p>
    <w:p>
      <w:pPr>
        <w:pStyle w:val="34"/>
        <w:widowControl w:val="0"/>
        <w:spacing w:line="440" w:lineRule="exact"/>
        <w:jc w:val="both"/>
        <w:rPr>
          <w:rFonts w:hint="eastAsia" w:ascii="宋体" w:hAnsi="宋体"/>
          <w:color w:val="auto"/>
          <w:sz w:val="24"/>
          <w:highlight w:val="none"/>
        </w:rPr>
      </w:pPr>
      <w:r>
        <w:rPr>
          <w:rFonts w:hint="eastAsia" w:ascii="宋体" w:hAnsi="宋体"/>
          <w:color w:val="auto"/>
          <w:sz w:val="24"/>
          <w:highlight w:val="none"/>
        </w:rPr>
        <w:t xml:space="preserve">              </w:t>
      </w:r>
    </w:p>
    <w:p>
      <w:pPr>
        <w:pStyle w:val="34"/>
        <w:widowControl w:val="0"/>
        <w:spacing w:line="440" w:lineRule="exact"/>
        <w:jc w:val="both"/>
        <w:rPr>
          <w:rFonts w:hint="eastAsia" w:ascii="宋体" w:hAnsi="宋体"/>
          <w:color w:val="auto"/>
          <w:sz w:val="24"/>
          <w:highlight w:val="none"/>
        </w:rPr>
      </w:pPr>
    </w:p>
    <w:p>
      <w:pPr>
        <w:pStyle w:val="34"/>
        <w:widowControl w:val="0"/>
        <w:spacing w:line="440" w:lineRule="exact"/>
        <w:jc w:val="both"/>
        <w:rPr>
          <w:rFonts w:hint="eastAsia" w:ascii="宋体" w:hAnsi="宋体"/>
          <w:color w:val="auto"/>
          <w:sz w:val="24"/>
          <w:highlight w:val="none"/>
        </w:rPr>
      </w:pPr>
    </w:p>
    <w:p>
      <w:pPr>
        <w:pStyle w:val="34"/>
        <w:widowControl w:val="0"/>
        <w:spacing w:line="440" w:lineRule="exact"/>
        <w:jc w:val="both"/>
        <w:rPr>
          <w:rFonts w:hint="eastAsia" w:ascii="宋体" w:hAnsi="宋体"/>
          <w:color w:val="auto"/>
          <w:sz w:val="24"/>
          <w:highlight w:val="none"/>
        </w:rPr>
      </w:pPr>
    </w:p>
    <w:p>
      <w:pPr>
        <w:pStyle w:val="34"/>
        <w:widowControl w:val="0"/>
        <w:spacing w:line="440" w:lineRule="exact"/>
        <w:jc w:val="both"/>
        <w:rPr>
          <w:rFonts w:hint="eastAsia" w:ascii="宋体" w:hAnsi="宋体"/>
          <w:color w:val="auto"/>
          <w:sz w:val="24"/>
          <w:highlight w:val="none"/>
        </w:rPr>
      </w:pPr>
    </w:p>
    <w:p>
      <w:pPr>
        <w:pStyle w:val="34"/>
        <w:widowControl w:val="0"/>
        <w:spacing w:line="440" w:lineRule="exact"/>
        <w:jc w:val="both"/>
        <w:rPr>
          <w:rFonts w:hint="eastAsia" w:ascii="宋体" w:hAnsi="宋体"/>
          <w:color w:val="auto"/>
          <w:sz w:val="24"/>
          <w:highlight w:val="none"/>
        </w:rPr>
      </w:pPr>
    </w:p>
    <w:p>
      <w:pPr>
        <w:pStyle w:val="34"/>
        <w:widowControl w:val="0"/>
        <w:spacing w:line="440" w:lineRule="exact"/>
        <w:jc w:val="both"/>
        <w:rPr>
          <w:rFonts w:hint="eastAsia" w:ascii="宋体" w:hAnsi="宋体"/>
          <w:color w:val="auto"/>
          <w:sz w:val="24"/>
          <w:highlight w:val="none"/>
        </w:rPr>
      </w:pPr>
    </w:p>
    <w:p>
      <w:pPr>
        <w:spacing w:line="360" w:lineRule="auto"/>
        <w:jc w:val="left"/>
        <w:rPr>
          <w:rFonts w:hint="eastAsia" w:ascii="宋体" w:hAnsi="宋体" w:eastAsia="宋体" w:cs="宋体"/>
          <w:bCs/>
          <w:color w:val="auto"/>
          <w:sz w:val="32"/>
          <w:szCs w:val="32"/>
          <w:highlight w:val="none"/>
          <w:lang w:val="en-US" w:eastAsia="zh-CN"/>
        </w:rPr>
      </w:pPr>
      <w:r>
        <w:rPr>
          <w:rFonts w:hint="eastAsia" w:ascii="Times New Roman" w:hAnsi="Times New Roman"/>
          <w:b/>
          <w:color w:val="auto"/>
          <w:sz w:val="32"/>
          <w:szCs w:val="32"/>
          <w:highlight w:val="none"/>
        </w:rPr>
        <w:t xml:space="preserve"> </w:t>
      </w:r>
      <w:r>
        <w:rPr>
          <w:rFonts w:hint="eastAsia" w:ascii="宋体" w:hAnsi="宋体" w:eastAsia="宋体" w:cs="宋体"/>
          <w:bCs/>
          <w:color w:val="auto"/>
          <w:sz w:val="32"/>
          <w:szCs w:val="32"/>
          <w:highlight w:val="none"/>
        </w:rPr>
        <w:t>附件</w:t>
      </w:r>
      <w:r>
        <w:rPr>
          <w:rFonts w:hint="eastAsia" w:ascii="宋体" w:hAnsi="宋体" w:cs="宋体"/>
          <w:bCs/>
          <w:color w:val="auto"/>
          <w:sz w:val="32"/>
          <w:szCs w:val="32"/>
          <w:highlight w:val="none"/>
          <w:lang w:val="en-US" w:eastAsia="zh-CN"/>
        </w:rPr>
        <w:t>2</w:t>
      </w:r>
    </w:p>
    <w:p>
      <w:pPr>
        <w:spacing w:line="360" w:lineRule="auto"/>
        <w:jc w:val="center"/>
        <w:rPr>
          <w:rFonts w:ascii="仿宋" w:hAnsi="仿宋" w:eastAsia="仿宋" w:cs="宋体"/>
          <w:b/>
          <w:color w:val="auto"/>
          <w:sz w:val="22"/>
          <w:szCs w:val="22"/>
          <w:highlight w:val="none"/>
          <w:lang w:bidi="ar"/>
        </w:rPr>
      </w:pPr>
      <w:r>
        <w:rPr>
          <w:rFonts w:hint="eastAsia" w:cs="Times New Roman"/>
          <w:b/>
          <w:color w:val="auto"/>
          <w:kern w:val="2"/>
          <w:sz w:val="32"/>
          <w:szCs w:val="32"/>
          <w:highlight w:val="none"/>
          <w:lang w:bidi="ar"/>
        </w:rPr>
        <w:t>《东莞市新东欣环保投资有限公司承运单位违规行为处罚条款》</w:t>
      </w:r>
    </w:p>
    <w:tbl>
      <w:tblPr>
        <w:tblStyle w:val="39"/>
        <w:tblW w:w="9338" w:type="dxa"/>
        <w:jc w:val="center"/>
        <w:tblLayout w:type="autofit"/>
        <w:tblCellMar>
          <w:top w:w="0" w:type="dxa"/>
          <w:left w:w="108" w:type="dxa"/>
          <w:bottom w:w="0" w:type="dxa"/>
          <w:right w:w="108" w:type="dxa"/>
        </w:tblCellMar>
      </w:tblPr>
      <w:tblGrid>
        <w:gridCol w:w="843"/>
        <w:gridCol w:w="589"/>
        <w:gridCol w:w="5674"/>
        <w:gridCol w:w="2232"/>
      </w:tblGrid>
      <w:tr>
        <w:tblPrEx>
          <w:tblCellMar>
            <w:top w:w="0" w:type="dxa"/>
            <w:left w:w="108" w:type="dxa"/>
            <w:bottom w:w="0" w:type="dxa"/>
            <w:right w:w="108" w:type="dxa"/>
          </w:tblCellMar>
        </w:tblPrEx>
        <w:trPr>
          <w:trHeight w:val="613"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b/>
                <w:color w:val="auto"/>
                <w:szCs w:val="21"/>
                <w:highlight w:val="none"/>
              </w:rPr>
            </w:pPr>
            <w:r>
              <w:rPr>
                <w:rFonts w:hint="eastAsia" w:ascii="宋体" w:hAnsi="宋体" w:eastAsia="宋体" w:cs="宋体"/>
                <w:b/>
                <w:color w:val="auto"/>
                <w:kern w:val="0"/>
                <w:szCs w:val="21"/>
                <w:highlight w:val="none"/>
                <w:lang w:bidi="ar"/>
              </w:rPr>
              <w:t>项目分类</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b/>
                <w:color w:val="auto"/>
                <w:szCs w:val="21"/>
                <w:highlight w:val="none"/>
              </w:rPr>
            </w:pPr>
            <w:r>
              <w:rPr>
                <w:rFonts w:hint="eastAsia" w:ascii="宋体" w:hAnsi="宋体" w:eastAsia="宋体" w:cs="宋体"/>
                <w:b/>
                <w:color w:val="auto"/>
                <w:kern w:val="0"/>
                <w:szCs w:val="21"/>
                <w:highlight w:val="none"/>
                <w:lang w:bidi="ar"/>
              </w:rPr>
              <w:t>序号</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b/>
                <w:color w:val="auto"/>
                <w:szCs w:val="21"/>
                <w:highlight w:val="none"/>
              </w:rPr>
            </w:pPr>
            <w:r>
              <w:rPr>
                <w:rFonts w:hint="eastAsia" w:ascii="宋体" w:hAnsi="宋体" w:eastAsia="宋体" w:cs="宋体"/>
                <w:b/>
                <w:color w:val="auto"/>
                <w:kern w:val="0"/>
                <w:szCs w:val="21"/>
                <w:highlight w:val="none"/>
                <w:lang w:bidi="ar"/>
              </w:rPr>
              <w:t>违规行为</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b/>
                <w:color w:val="auto"/>
                <w:szCs w:val="21"/>
                <w:highlight w:val="none"/>
              </w:rPr>
            </w:pPr>
            <w:r>
              <w:rPr>
                <w:rFonts w:hint="eastAsia" w:ascii="宋体" w:hAnsi="宋体" w:eastAsia="宋体" w:cs="宋体"/>
                <w:b/>
                <w:color w:val="auto"/>
                <w:kern w:val="0"/>
                <w:szCs w:val="21"/>
                <w:highlight w:val="none"/>
                <w:lang w:bidi="ar"/>
              </w:rPr>
              <w:t>处罚措施</w:t>
            </w:r>
          </w:p>
        </w:tc>
      </w:tr>
      <w:tr>
        <w:tblPrEx>
          <w:tblCellMar>
            <w:top w:w="0" w:type="dxa"/>
            <w:left w:w="108" w:type="dxa"/>
            <w:bottom w:w="0" w:type="dxa"/>
            <w:right w:w="108" w:type="dxa"/>
          </w:tblCellMar>
        </w:tblPrEx>
        <w:trPr>
          <w:trHeight w:val="613" w:hRule="atLeast"/>
          <w:jc w:val="center"/>
        </w:trPr>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b/>
                <w:color w:val="auto"/>
                <w:szCs w:val="21"/>
                <w:highlight w:val="none"/>
              </w:rPr>
            </w:pPr>
            <w:r>
              <w:rPr>
                <w:rFonts w:hint="eastAsia" w:ascii="宋体" w:hAnsi="宋体" w:eastAsia="宋体" w:cs="宋体"/>
                <w:b/>
                <w:color w:val="auto"/>
                <w:kern w:val="0"/>
                <w:szCs w:val="21"/>
                <w:highlight w:val="none"/>
                <w:lang w:bidi="ar"/>
              </w:rPr>
              <w:t>条款明细</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运输作业人员未按照正常操作规程作业，导致人员伤害或设备损坏的；</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赔偿并罚款300元</w:t>
            </w:r>
          </w:p>
        </w:tc>
      </w:tr>
      <w:tr>
        <w:tblPrEx>
          <w:tblCellMar>
            <w:top w:w="0" w:type="dxa"/>
            <w:left w:w="108" w:type="dxa"/>
            <w:bottom w:w="0" w:type="dxa"/>
            <w:right w:w="108" w:type="dxa"/>
          </w:tblCellMar>
        </w:tblPrEx>
        <w:trPr>
          <w:trHeight w:val="523"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运输作业人员在我司厂区内未按要求佩戴劳保用品的；</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每人罚款100元</w:t>
            </w:r>
          </w:p>
        </w:tc>
      </w:tr>
      <w:tr>
        <w:tblPrEx>
          <w:tblCellMar>
            <w:top w:w="0" w:type="dxa"/>
            <w:left w:w="108" w:type="dxa"/>
            <w:bottom w:w="0" w:type="dxa"/>
            <w:right w:w="108" w:type="dxa"/>
          </w:tblCellMar>
        </w:tblPrEx>
        <w:trPr>
          <w:trHeight w:val="523"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运输作业人员在厂内“禁止吸烟区”吸烟；</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每人罚款500元</w:t>
            </w:r>
          </w:p>
        </w:tc>
      </w:tr>
      <w:tr>
        <w:tblPrEx>
          <w:tblCellMar>
            <w:top w:w="0" w:type="dxa"/>
            <w:left w:w="108" w:type="dxa"/>
            <w:bottom w:w="0" w:type="dxa"/>
            <w:right w:w="108" w:type="dxa"/>
          </w:tblCellMar>
        </w:tblPrEx>
        <w:trPr>
          <w:trHeight w:val="523"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运输作业人员未按照我司限速规定行驶；</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每车罚款200元</w:t>
            </w:r>
          </w:p>
        </w:tc>
      </w:tr>
      <w:tr>
        <w:tblPrEx>
          <w:tblCellMar>
            <w:top w:w="0" w:type="dxa"/>
            <w:left w:w="108" w:type="dxa"/>
            <w:bottom w:w="0" w:type="dxa"/>
            <w:right w:w="108" w:type="dxa"/>
          </w:tblCellMar>
        </w:tblPrEx>
        <w:trPr>
          <w:trHeight w:val="523"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运输作业人员私自变卖我司有价物资；</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等价赔偿并解除合同</w:t>
            </w:r>
          </w:p>
        </w:tc>
      </w:tr>
      <w:tr>
        <w:tblPrEx>
          <w:tblCellMar>
            <w:top w:w="0" w:type="dxa"/>
            <w:left w:w="108" w:type="dxa"/>
            <w:bottom w:w="0" w:type="dxa"/>
            <w:right w:w="108" w:type="dxa"/>
          </w:tblCellMar>
        </w:tblPrEx>
        <w:trPr>
          <w:trHeight w:val="613"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运输作业人员未遵守客户现场管理制度并引发客户投诉且经确认属实的；</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每一单罚款500元</w:t>
            </w:r>
          </w:p>
        </w:tc>
      </w:tr>
      <w:tr>
        <w:tblPrEx>
          <w:tblCellMar>
            <w:top w:w="0" w:type="dxa"/>
            <w:left w:w="108" w:type="dxa"/>
            <w:bottom w:w="0" w:type="dxa"/>
            <w:right w:w="108" w:type="dxa"/>
          </w:tblCellMar>
        </w:tblPrEx>
        <w:trPr>
          <w:trHeight w:val="613"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7</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运输作业人员在客户现场未识别出“未贴标示、标签的废物”并装车收运入场的；</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每车罚款200元</w:t>
            </w:r>
          </w:p>
        </w:tc>
      </w:tr>
      <w:tr>
        <w:tblPrEx>
          <w:tblCellMar>
            <w:top w:w="0" w:type="dxa"/>
            <w:left w:w="108" w:type="dxa"/>
            <w:bottom w:w="0" w:type="dxa"/>
            <w:right w:w="108" w:type="dxa"/>
          </w:tblCellMar>
        </w:tblPrEx>
        <w:trPr>
          <w:trHeight w:val="523"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运输作业人员在运输途中车辆泄漏未及时汇报且处置不当；</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每车罚款300元</w:t>
            </w:r>
          </w:p>
        </w:tc>
      </w:tr>
      <w:tr>
        <w:tblPrEx>
          <w:tblCellMar>
            <w:top w:w="0" w:type="dxa"/>
            <w:left w:w="108" w:type="dxa"/>
            <w:bottom w:w="0" w:type="dxa"/>
            <w:right w:w="108" w:type="dxa"/>
          </w:tblCellMar>
        </w:tblPrEx>
        <w:trPr>
          <w:trHeight w:val="523"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9</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运输作业人员中途倾倒废物；</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报警处理并罚款500元</w:t>
            </w:r>
          </w:p>
        </w:tc>
      </w:tr>
      <w:tr>
        <w:tblPrEx>
          <w:tblCellMar>
            <w:top w:w="0" w:type="dxa"/>
            <w:left w:w="108" w:type="dxa"/>
            <w:bottom w:w="0" w:type="dxa"/>
            <w:right w:w="108" w:type="dxa"/>
          </w:tblCellMar>
        </w:tblPrEx>
        <w:trPr>
          <w:trHeight w:val="613"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10</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运输作业人员未听从我司的指挥，未在指定的地点装卸货，不按照要求携带包装物，或私自领取包装物；</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每车罚款500元</w:t>
            </w:r>
          </w:p>
        </w:tc>
      </w:tr>
      <w:tr>
        <w:tblPrEx>
          <w:tblCellMar>
            <w:top w:w="0" w:type="dxa"/>
            <w:left w:w="108" w:type="dxa"/>
            <w:bottom w:w="0" w:type="dxa"/>
            <w:right w:w="108" w:type="dxa"/>
          </w:tblCellMar>
        </w:tblPrEx>
        <w:trPr>
          <w:trHeight w:val="914"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12</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未安装防火罩、无导静电胶条或胶条未触地的，未配置相应的消防应急设施；消防应急设施未定期检查、保养、未在有效期限内的；</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每车罚款500元</w:t>
            </w:r>
          </w:p>
        </w:tc>
      </w:tr>
      <w:tr>
        <w:tblPrEx>
          <w:tblCellMar>
            <w:top w:w="0" w:type="dxa"/>
            <w:left w:w="108" w:type="dxa"/>
            <w:bottom w:w="0" w:type="dxa"/>
            <w:right w:w="108" w:type="dxa"/>
          </w:tblCellMar>
        </w:tblPrEx>
        <w:trPr>
          <w:trHeight w:val="613"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13</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车技未过关、未在检验有效期内的，或安排运输的车辆证照过期或无效的。</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每车罚款1000元</w:t>
            </w:r>
          </w:p>
        </w:tc>
      </w:tr>
      <w:tr>
        <w:tblPrEx>
          <w:tblCellMar>
            <w:top w:w="0" w:type="dxa"/>
            <w:left w:w="108" w:type="dxa"/>
            <w:bottom w:w="0" w:type="dxa"/>
            <w:right w:w="108" w:type="dxa"/>
          </w:tblCellMar>
        </w:tblPrEx>
        <w:trPr>
          <w:trHeight w:val="523"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运输作业人员未持证上岗或所持资格证过期失效的。</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每人罚款500元</w:t>
            </w:r>
          </w:p>
        </w:tc>
      </w:tr>
      <w:tr>
        <w:tblPrEx>
          <w:tblCellMar>
            <w:top w:w="0" w:type="dxa"/>
            <w:left w:w="108" w:type="dxa"/>
            <w:bottom w:w="0" w:type="dxa"/>
            <w:right w:w="108" w:type="dxa"/>
          </w:tblCellMar>
        </w:tblPrEx>
        <w:trPr>
          <w:trHeight w:val="1225"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15</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非不可抗力因素不安排车辆，无正当理由不安排车辆</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color w:val="auto"/>
                <w:sz w:val="20"/>
                <w:szCs w:val="20"/>
                <w:highlight w:val="none"/>
              </w:rPr>
            </w:pPr>
            <w:r>
              <w:rPr>
                <w:rFonts w:hint="eastAsia" w:ascii="宋体" w:hAnsi="宋体" w:eastAsia="宋体" w:cs="宋体"/>
                <w:color w:val="auto"/>
                <w:kern w:val="0"/>
                <w:sz w:val="20"/>
                <w:szCs w:val="20"/>
                <w:highlight w:val="none"/>
                <w:lang w:bidi="ar"/>
              </w:rPr>
              <w:t>每次扣除500元/次，超3次/月的解除合同，（非乙方自身原因，乙方可向甲方申请豁免）</w:t>
            </w:r>
          </w:p>
        </w:tc>
      </w:tr>
    </w:tbl>
    <w:p>
      <w:pPr>
        <w:spacing w:line="40" w:lineRule="atLeast"/>
        <w:rPr>
          <w:rFonts w:ascii="宋体" w:hAnsi="宋体"/>
          <w:color w:val="auto"/>
          <w:sz w:val="24"/>
          <w:highlight w:val="none"/>
        </w:rPr>
        <w:sectPr>
          <w:headerReference r:id="rId4" w:type="default"/>
          <w:footerReference r:id="rId5" w:type="default"/>
          <w:pgSz w:w="11906" w:h="16838"/>
          <w:pgMar w:top="1440" w:right="1800" w:bottom="1440" w:left="1800" w:header="851" w:footer="992" w:gutter="0"/>
          <w:cols w:space="720" w:num="1"/>
          <w:docGrid w:type="lines" w:linePitch="312" w:charSpace="0"/>
        </w:sectPr>
      </w:pPr>
      <w:r>
        <w:rPr>
          <w:rFonts w:hint="eastAsia" w:ascii="宋体" w:hAnsi="宋体"/>
          <w:color w:val="auto"/>
          <w:sz w:val="24"/>
          <w:highlight w:val="none"/>
        </w:rPr>
        <w:t xml:space="preserve">                        </w:t>
      </w:r>
    </w:p>
    <w:p>
      <w:pPr>
        <w:spacing w:line="360" w:lineRule="auto"/>
        <w:jc w:val="left"/>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附件</w:t>
      </w:r>
      <w:r>
        <w:rPr>
          <w:rFonts w:hint="eastAsia" w:ascii="宋体" w:hAnsi="宋体" w:cs="宋体"/>
          <w:bCs/>
          <w:color w:val="auto"/>
          <w:sz w:val="32"/>
          <w:szCs w:val="32"/>
          <w:highlight w:val="none"/>
          <w:lang w:val="en-US" w:eastAsia="zh-CN"/>
        </w:rPr>
        <w:t>3</w:t>
      </w:r>
    </w:p>
    <w:p>
      <w:pPr>
        <w:spacing w:line="360" w:lineRule="auto"/>
        <w:ind w:firstLine="883" w:firstLineChars="200"/>
        <w:jc w:val="center"/>
        <w:rPr>
          <w:rFonts w:ascii="方正小标宋简体" w:hAnsi="黑体" w:eastAsia="方正小标宋简体"/>
          <w:b/>
          <w:color w:val="auto"/>
          <w:sz w:val="44"/>
          <w:szCs w:val="44"/>
          <w:highlight w:val="none"/>
        </w:rPr>
      </w:pPr>
      <w:r>
        <w:rPr>
          <w:rFonts w:hint="eastAsia" w:ascii="方正小标宋简体" w:hAnsi="黑体" w:eastAsia="方正小标宋简体"/>
          <w:b/>
          <w:color w:val="auto"/>
          <w:sz w:val="44"/>
          <w:szCs w:val="44"/>
          <w:highlight w:val="none"/>
        </w:rPr>
        <w:t>阳光合作协议</w:t>
      </w:r>
    </w:p>
    <w:p>
      <w:pPr>
        <w:spacing w:line="360" w:lineRule="auto"/>
        <w:ind w:firstLine="562" w:firstLineChars="200"/>
        <w:jc w:val="center"/>
        <w:rPr>
          <w:rFonts w:ascii="宋体"/>
          <w:b/>
          <w:color w:val="auto"/>
          <w:sz w:val="28"/>
          <w:szCs w:val="28"/>
          <w:highlight w:val="none"/>
        </w:rPr>
      </w:pPr>
    </w:p>
    <w:p>
      <w:pPr>
        <w:spacing w:before="156" w:beforeLines="50" w:after="156" w:afterLines="50" w:line="360" w:lineRule="auto"/>
        <w:ind w:firstLine="420" w:firstLineChars="200"/>
        <w:contextualSpacing/>
        <w:rPr>
          <w:rFonts w:hint="eastAsia" w:ascii="宋体" w:hAnsi="宋体"/>
          <w:color w:val="auto"/>
          <w:highlight w:val="none"/>
          <w:u w:val="single"/>
        </w:rPr>
      </w:pPr>
      <w:r>
        <w:rPr>
          <w:rFonts w:hint="eastAsia" w:ascii="宋体" w:hAnsi="宋体"/>
          <w:color w:val="auto"/>
          <w:highlight w:val="none"/>
        </w:rPr>
        <w:t>甲方：</w:t>
      </w:r>
      <w:r>
        <w:rPr>
          <w:rFonts w:hint="eastAsia" w:ascii="宋体" w:hAnsi="宋体"/>
          <w:color w:val="auto"/>
          <w:highlight w:val="none"/>
          <w:u w:val="single"/>
        </w:rPr>
        <w:t>东莞市新东</w:t>
      </w:r>
      <w:r>
        <w:rPr>
          <w:rFonts w:hint="eastAsia" w:asciiTheme="minorEastAsia" w:hAnsiTheme="minorEastAsia" w:eastAsiaTheme="minorEastAsia"/>
          <w:color w:val="auto"/>
          <w:highlight w:val="none"/>
          <w:u w:val="single"/>
        </w:rPr>
        <w:t>欣环保投资</w:t>
      </w:r>
      <w:r>
        <w:rPr>
          <w:rFonts w:hint="eastAsia" w:ascii="宋体" w:hAnsi="宋体"/>
          <w:color w:val="auto"/>
          <w:highlight w:val="none"/>
          <w:u w:val="single"/>
        </w:rPr>
        <w:t>有限公司</w:t>
      </w:r>
    </w:p>
    <w:p>
      <w:pPr>
        <w:bidi w:val="0"/>
        <w:rPr>
          <w:color w:val="auto"/>
          <w:highlight w:val="none"/>
        </w:rPr>
      </w:pPr>
    </w:p>
    <w:p>
      <w:pPr>
        <w:spacing w:before="156" w:beforeLines="50" w:after="156" w:afterLines="50" w:line="360" w:lineRule="auto"/>
        <w:ind w:firstLine="420" w:firstLineChars="200"/>
        <w:contextualSpacing/>
        <w:rPr>
          <w:rFonts w:ascii="宋体" w:hAnsi="宋体"/>
          <w:color w:val="auto"/>
          <w:highlight w:val="none"/>
        </w:rPr>
      </w:pPr>
      <w:r>
        <w:rPr>
          <w:rFonts w:hint="eastAsia" w:ascii="宋体" w:hAnsi="宋体"/>
          <w:color w:val="auto"/>
          <w:highlight w:val="none"/>
        </w:rPr>
        <w:t>乙方：</w:t>
      </w:r>
    </w:p>
    <w:p>
      <w:pPr>
        <w:pStyle w:val="16"/>
        <w:rPr>
          <w:color w:val="auto"/>
          <w:highlight w:val="none"/>
        </w:rPr>
      </w:pPr>
    </w:p>
    <w:p>
      <w:pPr>
        <w:spacing w:line="360" w:lineRule="auto"/>
        <w:jc w:val="left"/>
        <w:rPr>
          <w:rFonts w:ascii="宋体" w:hAnsi="宋体"/>
          <w:color w:val="auto"/>
          <w:highlight w:val="none"/>
        </w:rPr>
      </w:pPr>
      <w:r>
        <w:rPr>
          <w:rFonts w:hint="eastAsia" w:ascii="宋体" w:hAnsi="宋体"/>
          <w:color w:val="auto"/>
          <w:highlight w:val="none"/>
        </w:rPr>
        <w:t>甲乙双方于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日签署了《</w:t>
      </w:r>
      <w:r>
        <w:rPr>
          <w:rFonts w:hint="eastAsia" w:ascii="宋体" w:hAnsi="宋体"/>
          <w:color w:val="auto"/>
          <w:highlight w:val="none"/>
          <w:lang w:eastAsia="zh-CN"/>
        </w:rPr>
        <w:t>港澳码头周边地块综合整理项目渗滤液运输服务</w:t>
      </w:r>
      <w:r>
        <w:rPr>
          <w:rFonts w:hint="eastAsia" w:ascii="宋体" w:hAnsi="宋体"/>
          <w:color w:val="auto"/>
          <w:highlight w:val="none"/>
          <w:lang w:val="en-US" w:eastAsia="zh-CN"/>
        </w:rPr>
        <w:t>合同</w:t>
      </w:r>
      <w:r>
        <w:rPr>
          <w:rFonts w:hint="eastAsia" w:ascii="宋体" w:hAnsi="宋体"/>
          <w:color w:val="auto"/>
          <w:highlight w:val="none"/>
        </w:rPr>
        <w:t>》（以下简称原合同），为加强双方阳光合作，保证职员职业安全，甲乙双方经协商签订本协议并作为双方共同遵守的阳光合作行为准则。</w:t>
      </w:r>
    </w:p>
    <w:p>
      <w:pPr>
        <w:spacing w:before="156" w:beforeLines="50" w:after="156" w:afterLines="50" w:line="360" w:lineRule="auto"/>
        <w:ind w:left="420" w:leftChars="200"/>
        <w:contextualSpacing/>
        <w:rPr>
          <w:rFonts w:ascii="宋体" w:hAnsi="宋体"/>
          <w:b/>
          <w:color w:val="auto"/>
          <w:highlight w:val="none"/>
        </w:rPr>
      </w:pPr>
      <w:r>
        <w:rPr>
          <w:rFonts w:hint="eastAsia" w:ascii="宋体" w:hAnsi="宋体"/>
          <w:b/>
          <w:color w:val="auto"/>
          <w:highlight w:val="none"/>
        </w:rPr>
        <w:t>一、甲方责任</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1.甲方有责任向乙方介绍本单位有关采购管理通用原则和本协议的规定。</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2.甲方有责任对本单位相关人员进行阳光合作教育。</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4.甲方人员如违反阳光合作管理制度及本协议规定，甲方视情节轻重、影响大小给予行政及经济处罚。</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5．对于乙方举报甲方人员违反阳光合作规定的情况，甲方应及时进行调查，根据调查情况进行处理，并将调查结果向乙方反馈。</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6.接受举报的一方应为举报方保密，不得对举报方进行报复，对举报属实和严格遵守《阳光合作协议》的合作方，在同等条件下给予后续合作的优先权。</w:t>
      </w:r>
    </w:p>
    <w:p>
      <w:pPr>
        <w:spacing w:before="156" w:beforeLines="50" w:after="156" w:afterLines="50" w:line="360" w:lineRule="auto"/>
        <w:ind w:left="420" w:leftChars="200"/>
        <w:contextualSpacing/>
        <w:rPr>
          <w:rFonts w:ascii="宋体" w:hAnsi="宋体"/>
          <w:b/>
          <w:color w:val="auto"/>
          <w:highlight w:val="none"/>
        </w:rPr>
      </w:pPr>
      <w:r>
        <w:rPr>
          <w:rFonts w:hint="eastAsia" w:ascii="宋体" w:hAnsi="宋体"/>
          <w:b/>
          <w:color w:val="auto"/>
          <w:highlight w:val="none"/>
        </w:rPr>
        <w:t>二、乙方责任</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1.乙方应保证乙方人员了解甲方有关采购管理通用原则和及本协议的规定，并遵照执行。</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2.乙方不得以任何形式给予甲方人员回扣、赠送实物、现金、有价证券、礼券等有价物品或提供旅游等其他可能影响职务行为公正履行的活动（以下统称“财物”）。</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3.乙方有责任接受甲方对乙方在合作期间阳光合作管理执行情况的监督，并对甲方相关调查工作主动配合。</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4.乙方有义务就甲方人员任何形式的索取或收受财物行为及时向甲方（直接联系人为</w:t>
      </w:r>
      <w:r>
        <w:rPr>
          <w:rFonts w:hint="eastAsia" w:ascii="宋体" w:hAnsi="宋体" w:eastAsia="宋体" w:cs="宋体"/>
          <w:color w:val="auto"/>
          <w:highlight w:val="none"/>
        </w:rPr>
        <w:t>广东东实环境股份有限公司经营管理</w:t>
      </w:r>
      <w:r>
        <w:rPr>
          <w:rFonts w:hint="eastAsia" w:ascii="宋体" w:hAnsi="宋体"/>
          <w:color w:val="auto"/>
          <w:highlight w:val="none"/>
        </w:rPr>
        <w:t>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w:t>
      </w:r>
      <w:r>
        <w:rPr>
          <w:rFonts w:hint="eastAsia" w:ascii="宋体" w:hAnsi="宋体" w:eastAsia="宋体" w:cs="宋体"/>
          <w:color w:val="auto"/>
          <w:highlight w:val="none"/>
        </w:rPr>
        <w:t>广东东实环境股份有限公司</w:t>
      </w:r>
      <w:r>
        <w:rPr>
          <w:rFonts w:hint="eastAsia" w:ascii="宋体" w:hAnsi="宋体"/>
          <w:color w:val="auto"/>
          <w:highlight w:val="none"/>
        </w:rPr>
        <w:t>及下属子公司合格供应商。</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5．甲方接受乙方实名或匿名举报，保证为举报者的信息保密，常设举报部门及电</w:t>
      </w:r>
      <w:r>
        <w:rPr>
          <w:rFonts w:hint="eastAsia" w:ascii="宋体" w:hAnsi="宋体" w:eastAsia="宋体"/>
          <w:color w:val="auto"/>
          <w:highlight w:val="none"/>
        </w:rPr>
        <w:t>话</w:t>
      </w:r>
      <w:r>
        <w:rPr>
          <w:rFonts w:hint="eastAsia" w:ascii="宋体" w:hAnsi="宋体"/>
          <w:color w:val="auto"/>
          <w:highlight w:val="none"/>
        </w:rPr>
        <w:t xml:space="preserve">： </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举报受理部门：东莞实业投资控股集团有限公司法律合规部</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东实集团举报邮箱：dgsyxf@163.com</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东实集团举报电话：0769-28820703（周一至周五9:00-12:00和14:00-18:00）</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邮寄地址：东莞市东城区八一路1号机关二号大院9号楼，东莞实业投资控股集团有限公司法律合规部收，邮编523000。</w:t>
      </w:r>
    </w:p>
    <w:p>
      <w:pPr>
        <w:spacing w:before="156" w:beforeLines="50" w:after="156" w:afterLines="50" w:line="360" w:lineRule="auto"/>
        <w:ind w:left="420" w:leftChars="200"/>
        <w:contextualSpacing/>
        <w:rPr>
          <w:rFonts w:ascii="宋体" w:hAnsi="宋体"/>
          <w:b/>
          <w:color w:val="auto"/>
          <w:highlight w:val="none"/>
        </w:rPr>
      </w:pPr>
      <w:r>
        <w:rPr>
          <w:rFonts w:hint="eastAsia" w:ascii="宋体" w:hAnsi="宋体"/>
          <w:b/>
          <w:color w:val="auto"/>
          <w:highlight w:val="none"/>
        </w:rPr>
        <w:t>三、其他</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1.本协议是原合同的补充协议，与原合同有同等法律效力。</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2.</w:t>
      </w:r>
      <w:r>
        <w:rPr>
          <w:rFonts w:ascii="宋体" w:hAnsi="宋体"/>
          <w:color w:val="auto"/>
          <w:highlight w:val="none"/>
        </w:rPr>
        <w:t>本</w:t>
      </w:r>
      <w:r>
        <w:rPr>
          <w:rFonts w:hint="eastAsia" w:ascii="宋体" w:hAnsi="宋体"/>
          <w:color w:val="auto"/>
          <w:highlight w:val="none"/>
        </w:rPr>
        <w:t>协议</w:t>
      </w:r>
      <w:r>
        <w:rPr>
          <w:rFonts w:ascii="宋体" w:hAnsi="宋体"/>
          <w:color w:val="auto"/>
          <w:highlight w:val="none"/>
        </w:rPr>
        <w:t>一式</w:t>
      </w:r>
      <w:r>
        <w:rPr>
          <w:rFonts w:hint="eastAsia" w:ascii="宋体" w:hAnsi="宋体"/>
          <w:color w:val="auto"/>
          <w:highlight w:val="none"/>
        </w:rPr>
        <w:t>叁</w:t>
      </w:r>
      <w:r>
        <w:rPr>
          <w:rFonts w:ascii="宋体" w:hAnsi="宋体"/>
          <w:color w:val="auto"/>
          <w:highlight w:val="none"/>
        </w:rPr>
        <w:t>份，甲方执</w:t>
      </w:r>
      <w:r>
        <w:rPr>
          <w:rFonts w:hint="eastAsia" w:ascii="宋体" w:hAnsi="宋体"/>
          <w:color w:val="auto"/>
          <w:highlight w:val="none"/>
        </w:rPr>
        <w:t>贰</w:t>
      </w:r>
      <w:r>
        <w:rPr>
          <w:rFonts w:ascii="宋体" w:hAnsi="宋体"/>
          <w:color w:val="auto"/>
          <w:highlight w:val="none"/>
        </w:rPr>
        <w:t>份，乙方执</w:t>
      </w:r>
      <w:r>
        <w:rPr>
          <w:rFonts w:hint="eastAsia" w:ascii="宋体" w:hAnsi="宋体" w:eastAsia="宋体" w:cs="宋体"/>
          <w:color w:val="auto"/>
          <w:highlight w:val="none"/>
        </w:rPr>
        <w:t>壹</w:t>
      </w:r>
      <w:r>
        <w:rPr>
          <w:rFonts w:ascii="宋体" w:hAnsi="宋体"/>
          <w:color w:val="auto"/>
          <w:highlight w:val="none"/>
        </w:rPr>
        <w:t>份</w:t>
      </w:r>
      <w:r>
        <w:rPr>
          <w:rFonts w:hint="eastAsia" w:ascii="宋体" w:hAnsi="宋体"/>
          <w:color w:val="auto"/>
          <w:highlight w:val="none"/>
        </w:rPr>
        <w:t>,具有同等法律效力。</w:t>
      </w:r>
    </w:p>
    <w:p>
      <w:pPr>
        <w:spacing w:before="156" w:beforeLines="50" w:after="156" w:afterLines="50" w:line="360" w:lineRule="auto"/>
        <w:ind w:left="105" w:leftChars="50" w:firstLine="420" w:firstLineChars="200"/>
        <w:contextualSpacing/>
        <w:rPr>
          <w:rFonts w:ascii="宋体" w:hAnsi="宋体"/>
          <w:color w:val="auto"/>
          <w:highlight w:val="none"/>
        </w:rPr>
      </w:pPr>
      <w:r>
        <w:rPr>
          <w:rFonts w:hint="eastAsia" w:ascii="宋体" w:hAnsi="宋体"/>
          <w:color w:val="auto"/>
          <w:highlight w:val="none"/>
        </w:rPr>
        <w:t>3.本协议经双方签署后生效。</w:t>
      </w:r>
    </w:p>
    <w:p>
      <w:pPr>
        <w:spacing w:before="156" w:beforeLines="50" w:after="156" w:afterLines="50" w:line="360" w:lineRule="auto"/>
        <w:ind w:firstLine="420" w:firstLineChars="200"/>
        <w:contextualSpacing/>
        <w:rPr>
          <w:rFonts w:ascii="宋体" w:hAnsi="宋体"/>
          <w:color w:val="auto"/>
          <w:highlight w:val="none"/>
        </w:rPr>
      </w:pPr>
    </w:p>
    <w:p>
      <w:pPr>
        <w:spacing w:before="156" w:beforeLines="50" w:after="156" w:afterLines="50" w:line="360" w:lineRule="auto"/>
        <w:ind w:firstLine="420" w:firstLineChars="200"/>
        <w:contextualSpacing/>
        <w:rPr>
          <w:rFonts w:ascii="宋体"/>
          <w:color w:val="auto"/>
          <w:highlight w:val="none"/>
        </w:rPr>
      </w:pPr>
      <w:r>
        <w:rPr>
          <w:rFonts w:hint="eastAsia" w:ascii="宋体" w:hAnsi="宋体"/>
          <w:color w:val="auto"/>
          <w:highlight w:val="none"/>
        </w:rPr>
        <w:t xml:space="preserve">甲方（盖章）：                      </w:t>
      </w:r>
      <w:r>
        <w:rPr>
          <w:rFonts w:ascii="宋体" w:hAnsi="宋体"/>
          <w:color w:val="auto"/>
          <w:highlight w:val="none"/>
        </w:rPr>
        <w:t xml:space="preserve">   </w:t>
      </w:r>
      <w:r>
        <w:rPr>
          <w:rFonts w:hint="eastAsia" w:ascii="宋体" w:hAnsi="宋体"/>
          <w:color w:val="auto"/>
          <w:highlight w:val="none"/>
        </w:rPr>
        <w:t>乙方（盖章）：</w:t>
      </w:r>
      <w:r>
        <w:rPr>
          <w:rFonts w:ascii="宋体"/>
          <w:color w:val="auto"/>
          <w:highlight w:val="none"/>
        </w:rPr>
        <w:t xml:space="preserve"> </w:t>
      </w:r>
    </w:p>
    <w:p>
      <w:pPr>
        <w:spacing w:before="156" w:beforeLines="50" w:after="156" w:afterLines="50" w:line="360" w:lineRule="auto"/>
        <w:ind w:firstLine="420" w:firstLineChars="200"/>
        <w:contextualSpacing/>
        <w:rPr>
          <w:rFonts w:ascii="宋体" w:hAnsi="宋体"/>
          <w:color w:val="auto"/>
          <w:highlight w:val="none"/>
        </w:rPr>
      </w:pPr>
    </w:p>
    <w:p>
      <w:pPr>
        <w:spacing w:before="156" w:beforeLines="50" w:after="156" w:afterLines="50" w:line="360" w:lineRule="auto"/>
        <w:ind w:firstLine="420" w:firstLineChars="200"/>
        <w:contextualSpacing/>
        <w:rPr>
          <w:rFonts w:ascii="宋体"/>
          <w:color w:val="auto"/>
          <w:highlight w:val="none"/>
        </w:rPr>
      </w:pPr>
      <w:r>
        <w:rPr>
          <w:rFonts w:hint="eastAsia" w:ascii="宋体" w:hAnsi="宋体"/>
          <w:color w:val="auto"/>
          <w:highlight w:val="none"/>
        </w:rPr>
        <w:t>法定代表人（授权代表）：</w:t>
      </w:r>
      <w:r>
        <w:rPr>
          <w:rFonts w:hint="eastAsia" w:ascii="宋体"/>
          <w:color w:val="auto"/>
          <w:highlight w:val="none"/>
        </w:rPr>
        <w:tab/>
      </w:r>
      <w:r>
        <w:rPr>
          <w:rFonts w:hint="eastAsia" w:ascii="宋体"/>
          <w:color w:val="auto"/>
          <w:highlight w:val="none"/>
        </w:rPr>
        <w:tab/>
      </w:r>
      <w:r>
        <w:rPr>
          <w:rFonts w:hint="eastAsia" w:ascii="宋体"/>
          <w:color w:val="auto"/>
          <w:highlight w:val="none"/>
        </w:rPr>
        <w:t xml:space="preserve">  </w:t>
      </w:r>
      <w:r>
        <w:rPr>
          <w:rFonts w:hint="eastAsia" w:ascii="宋体"/>
          <w:color w:val="auto"/>
          <w:highlight w:val="none"/>
        </w:rPr>
        <w:tab/>
      </w:r>
      <w:r>
        <w:rPr>
          <w:rFonts w:hint="eastAsia" w:ascii="宋体"/>
          <w:color w:val="auto"/>
          <w:highlight w:val="none"/>
        </w:rPr>
        <w:t xml:space="preserve">   </w:t>
      </w:r>
      <w:r>
        <w:rPr>
          <w:rFonts w:hint="eastAsia" w:ascii="宋体" w:hAnsi="宋体"/>
          <w:color w:val="auto"/>
          <w:highlight w:val="none"/>
        </w:rPr>
        <w:t>法定代表人（授权代表）：</w:t>
      </w:r>
    </w:p>
    <w:p>
      <w:pPr>
        <w:spacing w:before="156" w:beforeLines="50" w:after="156" w:afterLines="50" w:line="360" w:lineRule="auto"/>
        <w:ind w:firstLine="420" w:firstLineChars="200"/>
        <w:contextualSpacing/>
        <w:rPr>
          <w:rFonts w:ascii="宋体" w:hAnsi="宋体"/>
          <w:color w:val="auto"/>
          <w:highlight w:val="none"/>
        </w:rPr>
      </w:pPr>
    </w:p>
    <w:p>
      <w:pPr>
        <w:spacing w:before="156" w:beforeLines="50" w:after="156" w:afterLines="50" w:line="360" w:lineRule="auto"/>
        <w:ind w:firstLine="420" w:firstLineChars="200"/>
        <w:contextualSpacing/>
        <w:rPr>
          <w:color w:val="auto"/>
          <w:highlight w:val="none"/>
        </w:rPr>
      </w:pPr>
      <w:r>
        <w:rPr>
          <w:rFonts w:hint="eastAsia" w:ascii="宋体" w:hAnsi="宋体"/>
          <w:color w:val="auto"/>
          <w:highlight w:val="none"/>
        </w:rPr>
        <w:t>签约日期：   年   月   日</w:t>
      </w:r>
      <w:bookmarkStart w:id="139" w:name="设计变更通知单"/>
      <w:bookmarkEnd w:id="139"/>
      <w:bookmarkStart w:id="140" w:name="现场签证通知单"/>
      <w:bookmarkEnd w:id="140"/>
      <w:r>
        <w:rPr>
          <w:color w:val="auto"/>
          <w:highlight w:val="none"/>
        </w:rPr>
        <w:tab/>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ascii="宋体" w:hAnsi="宋体"/>
          <w:color w:val="auto"/>
          <w:highlight w:val="none"/>
        </w:rPr>
        <w:t>签约日期：   年   月   日</w:t>
      </w:r>
    </w:p>
    <w:p>
      <w:pPr>
        <w:spacing w:after="62" w:line="480" w:lineRule="exact"/>
        <w:jc w:val="left"/>
        <w:rPr>
          <w:rFonts w:eastAsia="仿宋_GB2312"/>
          <w:color w:val="auto"/>
          <w:sz w:val="32"/>
          <w:szCs w:val="32"/>
          <w:highlight w:val="none"/>
        </w:rPr>
      </w:pPr>
    </w:p>
    <w:p>
      <w:pPr>
        <w:spacing w:after="62"/>
        <w:rPr>
          <w:color w:val="auto"/>
          <w:highlight w:val="none"/>
        </w:rPr>
      </w:pPr>
    </w:p>
    <w:p>
      <w:pPr>
        <w:widowControl/>
        <w:jc w:val="left"/>
        <w:rPr>
          <w:rFonts w:ascii="宋体" w:hAnsi="宋体"/>
          <w:b/>
          <w:bCs/>
          <w:color w:val="auto"/>
          <w:kern w:val="44"/>
          <w:sz w:val="28"/>
          <w:szCs w:val="28"/>
          <w:highlight w:val="none"/>
        </w:rPr>
      </w:pPr>
      <w:r>
        <w:rPr>
          <w:rFonts w:ascii="宋体" w:hAnsi="宋体"/>
          <w:b/>
          <w:color w:val="auto"/>
          <w:sz w:val="24"/>
          <w:highlight w:val="none"/>
        </w:rPr>
        <w:br w:type="page"/>
      </w:r>
    </w:p>
    <w:p>
      <w:pPr>
        <w:pStyle w:val="2"/>
        <w:jc w:val="center"/>
        <w:rPr>
          <w:rFonts w:ascii="宋体" w:hAnsi="宋体"/>
          <w:color w:val="auto"/>
          <w:sz w:val="28"/>
          <w:szCs w:val="28"/>
          <w:highlight w:val="none"/>
        </w:rPr>
      </w:pPr>
      <w:r>
        <w:rPr>
          <w:rFonts w:hint="eastAsia" w:ascii="宋体" w:hAnsi="宋体"/>
          <w:color w:val="auto"/>
          <w:sz w:val="28"/>
          <w:szCs w:val="28"/>
          <w:highlight w:val="none"/>
        </w:rPr>
        <w:t>第六章 响应文件格式</w:t>
      </w:r>
      <w:bookmarkEnd w:id="134"/>
      <w:bookmarkEnd w:id="135"/>
      <w:bookmarkEnd w:id="136"/>
      <w:bookmarkEnd w:id="137"/>
      <w:bookmarkEnd w:id="138"/>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jc w:val="center"/>
        <w:rPr>
          <w:rFonts w:ascii="黑体" w:hAnsi="宋体" w:eastAsia="黑体"/>
          <w:color w:val="auto"/>
          <w:sz w:val="32"/>
          <w:szCs w:val="32"/>
          <w:highlight w:val="none"/>
        </w:rPr>
      </w:pPr>
    </w:p>
    <w:p>
      <w:pPr>
        <w:spacing w:line="480" w:lineRule="auto"/>
        <w:rPr>
          <w:rFonts w:eastAsia="黑体"/>
          <w:color w:val="auto"/>
          <w:sz w:val="20"/>
          <w:szCs w:val="20"/>
          <w:highlight w:val="none"/>
        </w:rPr>
      </w:pPr>
    </w:p>
    <w:p>
      <w:pPr>
        <w:spacing w:line="480" w:lineRule="auto"/>
        <w:jc w:val="center"/>
        <w:rPr>
          <w:rFonts w:eastAsia="黑体"/>
          <w:color w:val="auto"/>
          <w:sz w:val="20"/>
          <w:szCs w:val="20"/>
          <w:highlight w:val="none"/>
        </w:rPr>
      </w:pPr>
      <w:r>
        <w:rPr>
          <w:rFonts w:hint="eastAsia" w:eastAsia="黑体"/>
          <w:color w:val="auto"/>
          <w:sz w:val="28"/>
          <w:szCs w:val="28"/>
          <w:highlight w:val="none"/>
          <w:u w:val="single"/>
        </w:rPr>
        <w:t xml:space="preserve">    </w:t>
      </w:r>
      <w:r>
        <w:rPr>
          <w:rFonts w:eastAsia="黑体"/>
          <w:color w:val="auto"/>
          <w:sz w:val="28"/>
          <w:szCs w:val="28"/>
          <w:highlight w:val="none"/>
          <w:u w:val="single"/>
        </w:rPr>
        <w:t>（项目名称）</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p>
    <w:p>
      <w:pPr>
        <w:spacing w:line="480" w:lineRule="auto"/>
        <w:jc w:val="center"/>
        <w:rPr>
          <w:rFonts w:eastAsia="黑体"/>
          <w:color w:val="auto"/>
          <w:sz w:val="20"/>
          <w:szCs w:val="20"/>
          <w:highlight w:val="none"/>
        </w:rPr>
      </w:pPr>
    </w:p>
    <w:p>
      <w:pPr>
        <w:spacing w:line="480" w:lineRule="auto"/>
        <w:jc w:val="center"/>
        <w:rPr>
          <w:rFonts w:eastAsia="黑体"/>
          <w:color w:val="auto"/>
          <w:sz w:val="20"/>
          <w:szCs w:val="20"/>
          <w:highlight w:val="none"/>
        </w:rPr>
      </w:pPr>
    </w:p>
    <w:p>
      <w:pPr>
        <w:spacing w:line="480" w:lineRule="auto"/>
        <w:jc w:val="center"/>
        <w:rPr>
          <w:rFonts w:ascii="宋体" w:hAnsi="宋体"/>
          <w:b/>
          <w:color w:val="auto"/>
          <w:sz w:val="52"/>
          <w:szCs w:val="52"/>
          <w:highlight w:val="none"/>
        </w:rPr>
      </w:pPr>
      <w:r>
        <w:rPr>
          <w:rFonts w:hint="eastAsia" w:ascii="宋体" w:hAnsi="宋体"/>
          <w:b/>
          <w:color w:val="auto"/>
          <w:sz w:val="52"/>
          <w:szCs w:val="52"/>
          <w:highlight w:val="none"/>
        </w:rPr>
        <w:t>响</w:t>
      </w:r>
      <w:r>
        <w:rPr>
          <w:rFonts w:ascii="宋体" w:hAnsi="宋体"/>
          <w:b/>
          <w:color w:val="auto"/>
          <w:sz w:val="52"/>
          <w:szCs w:val="52"/>
          <w:highlight w:val="none"/>
        </w:rPr>
        <w:t xml:space="preserve">  </w:t>
      </w:r>
      <w:r>
        <w:rPr>
          <w:rFonts w:hint="eastAsia" w:ascii="宋体" w:hAnsi="宋体"/>
          <w:b/>
          <w:color w:val="auto"/>
          <w:sz w:val="52"/>
          <w:szCs w:val="52"/>
          <w:highlight w:val="none"/>
        </w:rPr>
        <w:t>应</w:t>
      </w:r>
      <w:r>
        <w:rPr>
          <w:rFonts w:ascii="宋体" w:hAnsi="宋体"/>
          <w:b/>
          <w:color w:val="auto"/>
          <w:sz w:val="52"/>
          <w:szCs w:val="52"/>
          <w:highlight w:val="none"/>
        </w:rPr>
        <w:t xml:space="preserve">  文  件</w:t>
      </w:r>
    </w:p>
    <w:p>
      <w:pPr>
        <w:jc w:val="center"/>
        <w:rPr>
          <w:rFonts w:eastAsia="黑体"/>
          <w:color w:val="auto"/>
          <w:sz w:val="28"/>
          <w:szCs w:val="28"/>
          <w:highlight w:val="none"/>
        </w:rPr>
      </w:pPr>
    </w:p>
    <w:p>
      <w:pPr>
        <w:jc w:val="cente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360" w:lineRule="auto"/>
        <w:jc w:val="center"/>
        <w:rPr>
          <w:rFonts w:eastAsia="黑体"/>
          <w:color w:val="auto"/>
          <w:sz w:val="28"/>
          <w:szCs w:val="28"/>
          <w:highlight w:val="none"/>
          <w:u w:val="single"/>
        </w:rPr>
      </w:pPr>
      <w:r>
        <w:rPr>
          <w:rFonts w:eastAsia="黑体"/>
          <w:color w:val="auto"/>
          <w:sz w:val="28"/>
          <w:szCs w:val="28"/>
          <w:highlight w:val="none"/>
        </w:rPr>
        <w:t>响应人：</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（盖单位</w:t>
      </w:r>
      <w:r>
        <w:rPr>
          <w:rFonts w:hint="eastAsia" w:eastAsia="黑体"/>
          <w:color w:val="auto"/>
          <w:sz w:val="28"/>
          <w:szCs w:val="28"/>
          <w:highlight w:val="none"/>
        </w:rPr>
        <w:t>公</w:t>
      </w:r>
      <w:r>
        <w:rPr>
          <w:rFonts w:eastAsia="黑体"/>
          <w:color w:val="auto"/>
          <w:sz w:val="28"/>
          <w:szCs w:val="28"/>
          <w:highlight w:val="none"/>
        </w:rPr>
        <w:t>章）</w:t>
      </w:r>
    </w:p>
    <w:p>
      <w:pPr>
        <w:spacing w:line="360" w:lineRule="auto"/>
        <w:jc w:val="center"/>
        <w:rPr>
          <w:rFonts w:eastAsia="黑体"/>
          <w:color w:val="auto"/>
          <w:sz w:val="28"/>
          <w:szCs w:val="28"/>
          <w:highlight w:val="none"/>
        </w:rPr>
      </w:pPr>
      <w:r>
        <w:rPr>
          <w:rFonts w:eastAsia="黑体"/>
          <w:color w:val="auto"/>
          <w:sz w:val="28"/>
          <w:szCs w:val="28"/>
          <w:highlight w:val="none"/>
        </w:rPr>
        <w:t>法定代表人或其委托代理人：</w:t>
      </w:r>
      <w:r>
        <w:rPr>
          <w:rFonts w:eastAsia="黑体"/>
          <w:color w:val="auto"/>
          <w:sz w:val="28"/>
          <w:szCs w:val="28"/>
          <w:highlight w:val="none"/>
          <w:u w:val="single"/>
        </w:rPr>
        <w:t xml:space="preserve">         </w:t>
      </w:r>
      <w:r>
        <w:rPr>
          <w:rFonts w:eastAsia="黑体"/>
          <w:color w:val="auto"/>
          <w:sz w:val="28"/>
          <w:szCs w:val="28"/>
          <w:highlight w:val="none"/>
        </w:rPr>
        <w:t>（签字）</w:t>
      </w:r>
    </w:p>
    <w:p>
      <w:pPr>
        <w:spacing w:line="360" w:lineRule="auto"/>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pPr>
        <w:jc w:val="center"/>
        <w:rPr>
          <w:rFonts w:eastAsia="黑体"/>
          <w:color w:val="auto"/>
          <w:sz w:val="28"/>
          <w:szCs w:val="28"/>
          <w:highlight w:val="none"/>
        </w:rPr>
      </w:pPr>
    </w:p>
    <w:p>
      <w:pPr>
        <w:widowControl/>
        <w:jc w:val="left"/>
        <w:rPr>
          <w:color w:val="auto"/>
          <w:highlight w:val="none"/>
        </w:rPr>
      </w:pPr>
      <w:r>
        <w:rPr>
          <w:color w:val="auto"/>
          <w:highlight w:val="none"/>
        </w:rPr>
        <w:br w:type="page"/>
      </w:r>
    </w:p>
    <w:p>
      <w:pPr>
        <w:pStyle w:val="3"/>
        <w:jc w:val="center"/>
        <w:rPr>
          <w:rFonts w:ascii="黑体" w:hAnsi="宋体"/>
          <w:b w:val="0"/>
          <w:color w:val="auto"/>
          <w:szCs w:val="28"/>
          <w:highlight w:val="none"/>
        </w:rPr>
      </w:pPr>
      <w:bookmarkStart w:id="141" w:name="_Toc20859"/>
      <w:r>
        <w:rPr>
          <w:rFonts w:hint="eastAsia"/>
          <w:color w:val="auto"/>
          <w:highlight w:val="none"/>
        </w:rPr>
        <w:fldChar w:fldCharType="begin"/>
      </w:r>
      <w:r>
        <w:rPr>
          <w:color w:val="auto"/>
          <w:highlight w:val="none"/>
        </w:rPr>
        <w:instrText xml:space="preserve"> HYPERLINK \l "_Toc338661805" </w:instrText>
      </w:r>
      <w:r>
        <w:rPr>
          <w:rFonts w:hint="eastAsia"/>
          <w:color w:val="auto"/>
          <w:highlight w:val="none"/>
        </w:rPr>
        <w:fldChar w:fldCharType="separate"/>
      </w:r>
      <w:bookmarkStart w:id="142" w:name="_Toc475407552"/>
      <w:r>
        <w:rPr>
          <w:rFonts w:hint="eastAsia" w:ascii="黑体" w:hAnsi="宋体"/>
          <w:b w:val="0"/>
          <w:color w:val="auto"/>
          <w:szCs w:val="28"/>
          <w:highlight w:val="none"/>
        </w:rPr>
        <w:t>目    录</w:t>
      </w:r>
      <w:bookmarkEnd w:id="142"/>
      <w:r>
        <w:rPr>
          <w:rFonts w:hint="eastAsia" w:ascii="黑体" w:hAnsi="宋体"/>
          <w:b w:val="0"/>
          <w:color w:val="auto"/>
          <w:szCs w:val="28"/>
          <w:highlight w:val="none"/>
        </w:rPr>
        <w:fldChar w:fldCharType="end"/>
      </w:r>
      <w:bookmarkEnd w:id="141"/>
    </w:p>
    <w:p>
      <w:pPr>
        <w:spacing w:line="540" w:lineRule="exact"/>
        <w:rPr>
          <w:rFonts w:eastAsia="黑体"/>
          <w:color w:val="auto"/>
          <w:sz w:val="20"/>
          <w:szCs w:val="20"/>
          <w:highlight w:val="none"/>
        </w:rPr>
      </w:pPr>
      <w:r>
        <w:rPr>
          <w:color w:val="auto"/>
          <w:highlight w:val="none"/>
        </w:rPr>
        <w:br w:type="page"/>
      </w:r>
    </w:p>
    <w:p>
      <w:pPr>
        <w:pStyle w:val="3"/>
        <w:jc w:val="left"/>
        <w:rPr>
          <w:color w:val="auto"/>
          <w:highlight w:val="none"/>
        </w:rPr>
      </w:pPr>
      <w:bookmarkStart w:id="143" w:name="_Toc338669151"/>
      <w:bookmarkStart w:id="144" w:name="_Toc327827430"/>
      <w:bookmarkStart w:id="145" w:name="_Toc28455"/>
      <w:bookmarkStart w:id="146" w:name="_Toc152042577"/>
      <w:bookmarkStart w:id="147" w:name="_Toc179632808"/>
      <w:bookmarkStart w:id="148" w:name="_Toc246996356"/>
      <w:bookmarkStart w:id="149" w:name="_Toc152045788"/>
      <w:bookmarkStart w:id="150" w:name="_Toc246997099"/>
      <w:bookmarkStart w:id="151" w:name="_Toc247085874"/>
      <w:bookmarkStart w:id="152" w:name="_Toc144974857"/>
      <w:r>
        <w:rPr>
          <w:rFonts w:hint="eastAsia"/>
          <w:color w:val="auto"/>
          <w:highlight w:val="none"/>
        </w:rPr>
        <w:t>第一部分</w:t>
      </w:r>
      <w:r>
        <w:rPr>
          <w:color w:val="auto"/>
          <w:highlight w:val="none"/>
        </w:rPr>
        <w:t xml:space="preserve">  </w:t>
      </w:r>
      <w:r>
        <w:rPr>
          <w:rFonts w:hint="eastAsia"/>
          <w:color w:val="auto"/>
          <w:highlight w:val="none"/>
        </w:rPr>
        <w:t>技术商务</w:t>
      </w:r>
      <w:bookmarkEnd w:id="143"/>
      <w:bookmarkEnd w:id="144"/>
      <w:r>
        <w:rPr>
          <w:rFonts w:hint="eastAsia"/>
          <w:color w:val="auto"/>
          <w:highlight w:val="none"/>
        </w:rPr>
        <w:t>部分</w:t>
      </w:r>
      <w:bookmarkEnd w:id="145"/>
    </w:p>
    <w:p>
      <w:pPr>
        <w:pStyle w:val="3"/>
        <w:jc w:val="center"/>
        <w:rPr>
          <w:rFonts w:ascii="黑体" w:hAnsi="宋体"/>
          <w:b w:val="0"/>
          <w:color w:val="auto"/>
          <w:szCs w:val="28"/>
          <w:highlight w:val="none"/>
        </w:rPr>
      </w:pPr>
      <w:bookmarkStart w:id="153" w:name="_Toc475483721"/>
      <w:bookmarkStart w:id="154" w:name="_Toc2970"/>
      <w:bookmarkStart w:id="155" w:name="_Toc338669152"/>
      <w:r>
        <w:rPr>
          <w:rFonts w:hint="eastAsia"/>
          <w:color w:val="auto"/>
          <w:highlight w:val="none"/>
        </w:rPr>
        <w:t>一、</w:t>
      </w:r>
      <w:r>
        <w:rPr>
          <w:rFonts w:hint="eastAsia" w:ascii="黑体" w:hAnsi="宋体"/>
          <w:b w:val="0"/>
          <w:color w:val="auto"/>
          <w:szCs w:val="28"/>
          <w:highlight w:val="none"/>
        </w:rPr>
        <w:t>评审索引表</w:t>
      </w:r>
      <w:bookmarkEnd w:id="153"/>
      <w:bookmarkEnd w:id="154"/>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2405"/>
        <w:gridCol w:w="1701"/>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6" w:type="dxa"/>
            <w:vAlign w:val="center"/>
          </w:tcPr>
          <w:p>
            <w:pPr>
              <w:jc w:val="center"/>
              <w:rPr>
                <w:rFonts w:ascii="宋体" w:hAnsi="宋体"/>
                <w:color w:val="auto"/>
                <w:sz w:val="24"/>
                <w:highlight w:val="none"/>
              </w:rPr>
            </w:pPr>
            <w:r>
              <w:rPr>
                <w:rFonts w:ascii="宋体" w:hAnsi="宋体"/>
                <w:color w:val="auto"/>
                <w:sz w:val="24"/>
                <w:highlight w:val="none"/>
              </w:rPr>
              <w:t>条款号</w:t>
            </w:r>
          </w:p>
        </w:tc>
        <w:tc>
          <w:tcPr>
            <w:tcW w:w="2405" w:type="dxa"/>
            <w:vAlign w:val="center"/>
          </w:tcPr>
          <w:p>
            <w:pPr>
              <w:jc w:val="center"/>
              <w:rPr>
                <w:rFonts w:ascii="宋体" w:hAnsi="宋体"/>
                <w:color w:val="auto"/>
                <w:sz w:val="24"/>
                <w:highlight w:val="none"/>
              </w:rPr>
            </w:pPr>
            <w:r>
              <w:rPr>
                <w:rFonts w:ascii="宋体" w:hAnsi="宋体"/>
                <w:color w:val="auto"/>
                <w:sz w:val="24"/>
                <w:highlight w:val="none"/>
              </w:rPr>
              <w:t>评审因素</w:t>
            </w:r>
          </w:p>
        </w:tc>
        <w:tc>
          <w:tcPr>
            <w:tcW w:w="1701" w:type="dxa"/>
            <w:vAlign w:val="center"/>
          </w:tcPr>
          <w:p>
            <w:pPr>
              <w:jc w:val="center"/>
              <w:rPr>
                <w:rFonts w:ascii="宋体" w:hAnsi="宋体"/>
                <w:color w:val="auto"/>
                <w:sz w:val="24"/>
                <w:highlight w:val="none"/>
              </w:rPr>
            </w:pPr>
            <w:r>
              <w:rPr>
                <w:rFonts w:hint="eastAsia" w:ascii="宋体" w:hAnsi="宋体"/>
                <w:color w:val="auto"/>
                <w:sz w:val="24"/>
                <w:highlight w:val="none"/>
              </w:rPr>
              <w:t>响应情况</w:t>
            </w:r>
          </w:p>
        </w:tc>
        <w:tc>
          <w:tcPr>
            <w:tcW w:w="1701" w:type="dxa"/>
            <w:vAlign w:val="center"/>
          </w:tcPr>
          <w:p>
            <w:pPr>
              <w:jc w:val="center"/>
              <w:rPr>
                <w:rFonts w:ascii="宋体" w:hAnsi="宋体"/>
                <w:color w:val="auto"/>
                <w:sz w:val="24"/>
                <w:highlight w:val="none"/>
              </w:rPr>
            </w:pPr>
            <w:r>
              <w:rPr>
                <w:rFonts w:hint="eastAsia" w:ascii="宋体" w:hAnsi="宋体"/>
                <w:color w:val="auto"/>
                <w:sz w:val="24"/>
                <w:highlight w:val="none"/>
              </w:rPr>
              <w:t>对应页码</w:t>
            </w:r>
          </w:p>
        </w:tc>
        <w:tc>
          <w:tcPr>
            <w:tcW w:w="2126" w:type="dxa"/>
            <w:vAlign w:val="center"/>
          </w:tcPr>
          <w:p>
            <w:pPr>
              <w:jc w:val="center"/>
              <w:rPr>
                <w:rFonts w:ascii="宋体" w:hAnsi="宋体"/>
                <w:color w:val="auto"/>
                <w:sz w:val="24"/>
                <w:highlight w:val="none"/>
              </w:rPr>
            </w:pPr>
            <w:r>
              <w:rPr>
                <w:rFonts w:hint="eastAsia" w:ascii="宋体" w:hAnsi="宋体"/>
                <w:color w:val="auto"/>
                <w:sz w:val="24"/>
                <w:highlight w:val="none"/>
              </w:rPr>
              <w:t>备注或说明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6" w:type="dxa"/>
            <w:vAlign w:val="center"/>
          </w:tcPr>
          <w:p>
            <w:pPr>
              <w:tabs>
                <w:tab w:val="left" w:pos="720"/>
              </w:tabs>
              <w:spacing w:line="360" w:lineRule="auto"/>
              <w:ind w:left="-2" w:firstLine="1"/>
              <w:jc w:val="center"/>
              <w:rPr>
                <w:rFonts w:ascii="宋体" w:hAnsi="宋体"/>
                <w:color w:val="auto"/>
                <w:sz w:val="24"/>
                <w:highlight w:val="none"/>
              </w:rPr>
            </w:pPr>
            <w:r>
              <w:rPr>
                <w:rFonts w:ascii="宋体" w:hAnsi="宋体"/>
                <w:color w:val="auto"/>
                <w:sz w:val="24"/>
                <w:highlight w:val="none"/>
              </w:rPr>
              <w:t>…</w:t>
            </w:r>
          </w:p>
        </w:tc>
        <w:tc>
          <w:tcPr>
            <w:tcW w:w="2405" w:type="dxa"/>
            <w:vAlign w:val="center"/>
          </w:tcPr>
          <w:p>
            <w:pPr>
              <w:tabs>
                <w:tab w:val="left" w:pos="720"/>
              </w:tabs>
              <w:spacing w:line="360" w:lineRule="auto"/>
              <w:ind w:left="-2" w:firstLine="1"/>
              <w:jc w:val="center"/>
              <w:rPr>
                <w:rFonts w:ascii="宋体" w:hAnsi="宋体"/>
                <w:color w:val="auto"/>
                <w:sz w:val="24"/>
                <w:highlight w:val="none"/>
              </w:rPr>
            </w:pPr>
            <w:r>
              <w:rPr>
                <w:rFonts w:ascii="宋体" w:hAnsi="宋体"/>
                <w:color w:val="auto"/>
                <w:sz w:val="24"/>
                <w:highlight w:val="none"/>
              </w:rPr>
              <w:t>…</w:t>
            </w:r>
          </w:p>
        </w:tc>
        <w:tc>
          <w:tcPr>
            <w:tcW w:w="1701" w:type="dxa"/>
          </w:tcPr>
          <w:p>
            <w:pPr>
              <w:tabs>
                <w:tab w:val="left" w:pos="720"/>
              </w:tabs>
              <w:spacing w:line="360" w:lineRule="auto"/>
              <w:jc w:val="center"/>
              <w:rPr>
                <w:rFonts w:ascii="宋体" w:hAnsi="宋体"/>
                <w:color w:val="auto"/>
                <w:sz w:val="24"/>
                <w:highlight w:val="none"/>
              </w:rPr>
            </w:pPr>
          </w:p>
        </w:tc>
        <w:tc>
          <w:tcPr>
            <w:tcW w:w="1701" w:type="dxa"/>
            <w:vAlign w:val="center"/>
          </w:tcPr>
          <w:p>
            <w:pPr>
              <w:tabs>
                <w:tab w:val="left" w:pos="720"/>
              </w:tabs>
              <w:spacing w:line="360" w:lineRule="auto"/>
              <w:jc w:val="center"/>
              <w:rPr>
                <w:rFonts w:ascii="宋体" w:hAnsi="宋体"/>
                <w:color w:val="auto"/>
                <w:sz w:val="24"/>
                <w:highlight w:val="none"/>
              </w:rPr>
            </w:pPr>
          </w:p>
        </w:tc>
        <w:tc>
          <w:tcPr>
            <w:tcW w:w="2126" w:type="dxa"/>
            <w:vAlign w:val="center"/>
          </w:tcPr>
          <w:p>
            <w:pPr>
              <w:tabs>
                <w:tab w:val="left" w:pos="720"/>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6" w:type="dxa"/>
            <w:vAlign w:val="center"/>
          </w:tcPr>
          <w:p>
            <w:pPr>
              <w:tabs>
                <w:tab w:val="left" w:pos="720"/>
              </w:tabs>
              <w:spacing w:line="360" w:lineRule="auto"/>
              <w:jc w:val="center"/>
              <w:rPr>
                <w:rFonts w:ascii="宋体" w:hAnsi="宋体"/>
                <w:color w:val="auto"/>
                <w:sz w:val="24"/>
                <w:highlight w:val="none"/>
              </w:rPr>
            </w:pPr>
          </w:p>
        </w:tc>
        <w:tc>
          <w:tcPr>
            <w:tcW w:w="2405" w:type="dxa"/>
            <w:vAlign w:val="center"/>
          </w:tcPr>
          <w:p>
            <w:pPr>
              <w:tabs>
                <w:tab w:val="left" w:pos="720"/>
              </w:tabs>
              <w:spacing w:line="360" w:lineRule="auto"/>
              <w:jc w:val="center"/>
              <w:rPr>
                <w:rFonts w:ascii="宋体" w:hAnsi="宋体"/>
                <w:color w:val="auto"/>
                <w:sz w:val="24"/>
                <w:highlight w:val="none"/>
              </w:rPr>
            </w:pPr>
          </w:p>
        </w:tc>
        <w:tc>
          <w:tcPr>
            <w:tcW w:w="1701" w:type="dxa"/>
          </w:tcPr>
          <w:p>
            <w:pPr>
              <w:tabs>
                <w:tab w:val="left" w:pos="720"/>
              </w:tabs>
              <w:spacing w:line="360" w:lineRule="auto"/>
              <w:jc w:val="center"/>
              <w:rPr>
                <w:rFonts w:ascii="宋体" w:hAnsi="宋体"/>
                <w:color w:val="auto"/>
                <w:sz w:val="24"/>
                <w:highlight w:val="none"/>
              </w:rPr>
            </w:pPr>
          </w:p>
        </w:tc>
        <w:tc>
          <w:tcPr>
            <w:tcW w:w="1701" w:type="dxa"/>
            <w:vAlign w:val="center"/>
          </w:tcPr>
          <w:p>
            <w:pPr>
              <w:tabs>
                <w:tab w:val="left" w:pos="720"/>
              </w:tabs>
              <w:spacing w:line="360" w:lineRule="auto"/>
              <w:jc w:val="center"/>
              <w:rPr>
                <w:rFonts w:ascii="宋体" w:hAnsi="宋体"/>
                <w:color w:val="auto"/>
                <w:sz w:val="24"/>
                <w:highlight w:val="none"/>
              </w:rPr>
            </w:pPr>
          </w:p>
        </w:tc>
        <w:tc>
          <w:tcPr>
            <w:tcW w:w="2126" w:type="dxa"/>
            <w:vAlign w:val="center"/>
          </w:tcPr>
          <w:p>
            <w:pPr>
              <w:tabs>
                <w:tab w:val="left" w:pos="720"/>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6" w:type="dxa"/>
            <w:vAlign w:val="center"/>
          </w:tcPr>
          <w:p>
            <w:pPr>
              <w:tabs>
                <w:tab w:val="left" w:pos="720"/>
              </w:tabs>
              <w:spacing w:line="360" w:lineRule="auto"/>
              <w:jc w:val="center"/>
              <w:rPr>
                <w:rFonts w:ascii="宋体" w:hAnsi="宋体"/>
                <w:color w:val="auto"/>
                <w:sz w:val="24"/>
                <w:highlight w:val="none"/>
              </w:rPr>
            </w:pPr>
          </w:p>
        </w:tc>
        <w:tc>
          <w:tcPr>
            <w:tcW w:w="2405" w:type="dxa"/>
            <w:vAlign w:val="center"/>
          </w:tcPr>
          <w:p>
            <w:pPr>
              <w:tabs>
                <w:tab w:val="left" w:pos="720"/>
              </w:tabs>
              <w:spacing w:line="360" w:lineRule="auto"/>
              <w:jc w:val="center"/>
              <w:rPr>
                <w:rFonts w:ascii="宋体" w:hAnsi="宋体"/>
                <w:color w:val="auto"/>
                <w:sz w:val="24"/>
                <w:highlight w:val="none"/>
              </w:rPr>
            </w:pPr>
          </w:p>
        </w:tc>
        <w:tc>
          <w:tcPr>
            <w:tcW w:w="1701" w:type="dxa"/>
          </w:tcPr>
          <w:p>
            <w:pPr>
              <w:tabs>
                <w:tab w:val="left" w:pos="720"/>
              </w:tabs>
              <w:spacing w:line="360" w:lineRule="auto"/>
              <w:jc w:val="center"/>
              <w:rPr>
                <w:rFonts w:ascii="宋体" w:hAnsi="宋体"/>
                <w:color w:val="auto"/>
                <w:sz w:val="24"/>
                <w:highlight w:val="none"/>
              </w:rPr>
            </w:pPr>
          </w:p>
        </w:tc>
        <w:tc>
          <w:tcPr>
            <w:tcW w:w="1701" w:type="dxa"/>
            <w:vAlign w:val="center"/>
          </w:tcPr>
          <w:p>
            <w:pPr>
              <w:tabs>
                <w:tab w:val="left" w:pos="720"/>
              </w:tabs>
              <w:spacing w:line="360" w:lineRule="auto"/>
              <w:jc w:val="center"/>
              <w:rPr>
                <w:rFonts w:ascii="宋体" w:hAnsi="宋体"/>
                <w:color w:val="auto"/>
                <w:sz w:val="24"/>
                <w:highlight w:val="none"/>
              </w:rPr>
            </w:pPr>
          </w:p>
        </w:tc>
        <w:tc>
          <w:tcPr>
            <w:tcW w:w="2126" w:type="dxa"/>
            <w:vAlign w:val="center"/>
          </w:tcPr>
          <w:p>
            <w:pPr>
              <w:tabs>
                <w:tab w:val="left" w:pos="720"/>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6" w:type="dxa"/>
            <w:vAlign w:val="center"/>
          </w:tcPr>
          <w:p>
            <w:pPr>
              <w:tabs>
                <w:tab w:val="left" w:pos="720"/>
              </w:tabs>
              <w:spacing w:line="360" w:lineRule="auto"/>
              <w:jc w:val="center"/>
              <w:rPr>
                <w:rFonts w:ascii="宋体" w:hAnsi="宋体"/>
                <w:color w:val="auto"/>
                <w:sz w:val="24"/>
                <w:highlight w:val="none"/>
              </w:rPr>
            </w:pPr>
          </w:p>
        </w:tc>
        <w:tc>
          <w:tcPr>
            <w:tcW w:w="2405" w:type="dxa"/>
            <w:vAlign w:val="center"/>
          </w:tcPr>
          <w:p>
            <w:pPr>
              <w:tabs>
                <w:tab w:val="left" w:pos="720"/>
              </w:tabs>
              <w:spacing w:line="360" w:lineRule="auto"/>
              <w:jc w:val="center"/>
              <w:rPr>
                <w:rFonts w:ascii="宋体" w:hAnsi="宋体"/>
                <w:color w:val="auto"/>
                <w:sz w:val="24"/>
                <w:highlight w:val="none"/>
              </w:rPr>
            </w:pPr>
          </w:p>
        </w:tc>
        <w:tc>
          <w:tcPr>
            <w:tcW w:w="1701" w:type="dxa"/>
          </w:tcPr>
          <w:p>
            <w:pPr>
              <w:tabs>
                <w:tab w:val="left" w:pos="720"/>
              </w:tabs>
              <w:spacing w:line="360" w:lineRule="auto"/>
              <w:jc w:val="center"/>
              <w:rPr>
                <w:rFonts w:ascii="宋体" w:hAnsi="宋体"/>
                <w:color w:val="auto"/>
                <w:sz w:val="24"/>
                <w:highlight w:val="none"/>
              </w:rPr>
            </w:pPr>
          </w:p>
        </w:tc>
        <w:tc>
          <w:tcPr>
            <w:tcW w:w="1701" w:type="dxa"/>
            <w:vAlign w:val="center"/>
          </w:tcPr>
          <w:p>
            <w:pPr>
              <w:tabs>
                <w:tab w:val="left" w:pos="720"/>
              </w:tabs>
              <w:spacing w:line="360" w:lineRule="auto"/>
              <w:jc w:val="center"/>
              <w:rPr>
                <w:rFonts w:ascii="宋体" w:hAnsi="宋体"/>
                <w:color w:val="auto"/>
                <w:sz w:val="24"/>
                <w:highlight w:val="none"/>
              </w:rPr>
            </w:pPr>
          </w:p>
        </w:tc>
        <w:tc>
          <w:tcPr>
            <w:tcW w:w="2126" w:type="dxa"/>
            <w:vAlign w:val="center"/>
          </w:tcPr>
          <w:p>
            <w:pPr>
              <w:tabs>
                <w:tab w:val="left" w:pos="720"/>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6" w:type="dxa"/>
            <w:vAlign w:val="center"/>
          </w:tcPr>
          <w:p>
            <w:pPr>
              <w:tabs>
                <w:tab w:val="left" w:pos="720"/>
              </w:tabs>
              <w:spacing w:line="360" w:lineRule="auto"/>
              <w:jc w:val="center"/>
              <w:rPr>
                <w:rFonts w:ascii="宋体" w:hAnsi="宋体"/>
                <w:color w:val="auto"/>
                <w:sz w:val="24"/>
                <w:highlight w:val="none"/>
              </w:rPr>
            </w:pPr>
          </w:p>
        </w:tc>
        <w:tc>
          <w:tcPr>
            <w:tcW w:w="2405" w:type="dxa"/>
            <w:vAlign w:val="center"/>
          </w:tcPr>
          <w:p>
            <w:pPr>
              <w:tabs>
                <w:tab w:val="left" w:pos="720"/>
              </w:tabs>
              <w:spacing w:line="360" w:lineRule="auto"/>
              <w:jc w:val="center"/>
              <w:rPr>
                <w:rFonts w:ascii="宋体" w:hAnsi="宋体"/>
                <w:color w:val="auto"/>
                <w:sz w:val="24"/>
                <w:highlight w:val="none"/>
              </w:rPr>
            </w:pPr>
          </w:p>
        </w:tc>
        <w:tc>
          <w:tcPr>
            <w:tcW w:w="1701" w:type="dxa"/>
          </w:tcPr>
          <w:p>
            <w:pPr>
              <w:tabs>
                <w:tab w:val="left" w:pos="720"/>
              </w:tabs>
              <w:spacing w:line="360" w:lineRule="auto"/>
              <w:jc w:val="center"/>
              <w:rPr>
                <w:rFonts w:ascii="宋体" w:hAnsi="宋体"/>
                <w:color w:val="auto"/>
                <w:sz w:val="24"/>
                <w:highlight w:val="none"/>
              </w:rPr>
            </w:pPr>
          </w:p>
        </w:tc>
        <w:tc>
          <w:tcPr>
            <w:tcW w:w="1701" w:type="dxa"/>
            <w:vAlign w:val="center"/>
          </w:tcPr>
          <w:p>
            <w:pPr>
              <w:tabs>
                <w:tab w:val="left" w:pos="720"/>
              </w:tabs>
              <w:spacing w:line="360" w:lineRule="auto"/>
              <w:jc w:val="center"/>
              <w:rPr>
                <w:rFonts w:ascii="宋体" w:hAnsi="宋体"/>
                <w:color w:val="auto"/>
                <w:sz w:val="24"/>
                <w:highlight w:val="none"/>
              </w:rPr>
            </w:pPr>
          </w:p>
        </w:tc>
        <w:tc>
          <w:tcPr>
            <w:tcW w:w="2126" w:type="dxa"/>
            <w:vAlign w:val="center"/>
          </w:tcPr>
          <w:p>
            <w:pPr>
              <w:tabs>
                <w:tab w:val="left" w:pos="720"/>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6" w:type="dxa"/>
            <w:vAlign w:val="center"/>
          </w:tcPr>
          <w:p>
            <w:pPr>
              <w:tabs>
                <w:tab w:val="left" w:pos="720"/>
              </w:tabs>
              <w:spacing w:line="360" w:lineRule="auto"/>
              <w:jc w:val="center"/>
              <w:rPr>
                <w:rFonts w:ascii="宋体" w:hAnsi="宋体"/>
                <w:color w:val="auto"/>
                <w:sz w:val="24"/>
                <w:highlight w:val="none"/>
              </w:rPr>
            </w:pPr>
          </w:p>
        </w:tc>
        <w:tc>
          <w:tcPr>
            <w:tcW w:w="2405" w:type="dxa"/>
            <w:vAlign w:val="center"/>
          </w:tcPr>
          <w:p>
            <w:pPr>
              <w:tabs>
                <w:tab w:val="left" w:pos="720"/>
              </w:tabs>
              <w:spacing w:line="360" w:lineRule="auto"/>
              <w:jc w:val="center"/>
              <w:rPr>
                <w:rFonts w:ascii="宋体" w:hAnsi="宋体"/>
                <w:color w:val="auto"/>
                <w:sz w:val="24"/>
                <w:highlight w:val="none"/>
              </w:rPr>
            </w:pPr>
          </w:p>
        </w:tc>
        <w:tc>
          <w:tcPr>
            <w:tcW w:w="1701" w:type="dxa"/>
          </w:tcPr>
          <w:p>
            <w:pPr>
              <w:tabs>
                <w:tab w:val="left" w:pos="720"/>
              </w:tabs>
              <w:spacing w:line="360" w:lineRule="auto"/>
              <w:jc w:val="center"/>
              <w:rPr>
                <w:rFonts w:ascii="宋体" w:hAnsi="宋体"/>
                <w:color w:val="auto"/>
                <w:sz w:val="24"/>
                <w:highlight w:val="none"/>
              </w:rPr>
            </w:pPr>
          </w:p>
        </w:tc>
        <w:tc>
          <w:tcPr>
            <w:tcW w:w="1701" w:type="dxa"/>
            <w:vAlign w:val="center"/>
          </w:tcPr>
          <w:p>
            <w:pPr>
              <w:tabs>
                <w:tab w:val="left" w:pos="720"/>
              </w:tabs>
              <w:spacing w:line="360" w:lineRule="auto"/>
              <w:jc w:val="center"/>
              <w:rPr>
                <w:rFonts w:ascii="宋体" w:hAnsi="宋体"/>
                <w:color w:val="auto"/>
                <w:sz w:val="24"/>
                <w:highlight w:val="none"/>
              </w:rPr>
            </w:pPr>
          </w:p>
        </w:tc>
        <w:tc>
          <w:tcPr>
            <w:tcW w:w="2126" w:type="dxa"/>
            <w:vAlign w:val="center"/>
          </w:tcPr>
          <w:p>
            <w:pPr>
              <w:tabs>
                <w:tab w:val="left" w:pos="720"/>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6" w:type="dxa"/>
            <w:vAlign w:val="center"/>
          </w:tcPr>
          <w:p>
            <w:pPr>
              <w:tabs>
                <w:tab w:val="left" w:pos="720"/>
              </w:tabs>
              <w:spacing w:line="360" w:lineRule="auto"/>
              <w:jc w:val="center"/>
              <w:rPr>
                <w:rFonts w:ascii="宋体" w:hAnsi="宋体"/>
                <w:color w:val="auto"/>
                <w:sz w:val="24"/>
                <w:highlight w:val="none"/>
              </w:rPr>
            </w:pPr>
          </w:p>
        </w:tc>
        <w:tc>
          <w:tcPr>
            <w:tcW w:w="2405" w:type="dxa"/>
            <w:vAlign w:val="center"/>
          </w:tcPr>
          <w:p>
            <w:pPr>
              <w:tabs>
                <w:tab w:val="left" w:pos="720"/>
              </w:tabs>
              <w:spacing w:line="360" w:lineRule="auto"/>
              <w:jc w:val="center"/>
              <w:rPr>
                <w:rFonts w:ascii="宋体" w:hAnsi="宋体"/>
                <w:color w:val="auto"/>
                <w:sz w:val="24"/>
                <w:highlight w:val="none"/>
              </w:rPr>
            </w:pPr>
          </w:p>
        </w:tc>
        <w:tc>
          <w:tcPr>
            <w:tcW w:w="1701" w:type="dxa"/>
          </w:tcPr>
          <w:p>
            <w:pPr>
              <w:tabs>
                <w:tab w:val="left" w:pos="720"/>
              </w:tabs>
              <w:spacing w:line="360" w:lineRule="auto"/>
              <w:jc w:val="center"/>
              <w:rPr>
                <w:rFonts w:ascii="宋体" w:hAnsi="宋体"/>
                <w:color w:val="auto"/>
                <w:sz w:val="24"/>
                <w:highlight w:val="none"/>
              </w:rPr>
            </w:pPr>
          </w:p>
        </w:tc>
        <w:tc>
          <w:tcPr>
            <w:tcW w:w="1701" w:type="dxa"/>
            <w:vAlign w:val="center"/>
          </w:tcPr>
          <w:p>
            <w:pPr>
              <w:tabs>
                <w:tab w:val="left" w:pos="720"/>
              </w:tabs>
              <w:spacing w:line="360" w:lineRule="auto"/>
              <w:jc w:val="center"/>
              <w:rPr>
                <w:rFonts w:ascii="宋体" w:hAnsi="宋体"/>
                <w:color w:val="auto"/>
                <w:sz w:val="24"/>
                <w:highlight w:val="none"/>
              </w:rPr>
            </w:pPr>
          </w:p>
        </w:tc>
        <w:tc>
          <w:tcPr>
            <w:tcW w:w="2126" w:type="dxa"/>
            <w:vAlign w:val="center"/>
          </w:tcPr>
          <w:p>
            <w:pPr>
              <w:tabs>
                <w:tab w:val="left" w:pos="720"/>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6" w:type="dxa"/>
            <w:vAlign w:val="center"/>
          </w:tcPr>
          <w:p>
            <w:pPr>
              <w:tabs>
                <w:tab w:val="left" w:pos="720"/>
              </w:tabs>
              <w:spacing w:line="360" w:lineRule="auto"/>
              <w:jc w:val="center"/>
              <w:rPr>
                <w:rFonts w:ascii="宋体" w:hAnsi="宋体"/>
                <w:color w:val="auto"/>
                <w:sz w:val="24"/>
                <w:highlight w:val="none"/>
              </w:rPr>
            </w:pPr>
          </w:p>
        </w:tc>
        <w:tc>
          <w:tcPr>
            <w:tcW w:w="2405" w:type="dxa"/>
            <w:vAlign w:val="center"/>
          </w:tcPr>
          <w:p>
            <w:pPr>
              <w:tabs>
                <w:tab w:val="left" w:pos="720"/>
              </w:tabs>
              <w:spacing w:line="360" w:lineRule="auto"/>
              <w:jc w:val="center"/>
              <w:rPr>
                <w:rFonts w:ascii="宋体" w:hAnsi="宋体"/>
                <w:color w:val="auto"/>
                <w:sz w:val="24"/>
                <w:highlight w:val="none"/>
              </w:rPr>
            </w:pPr>
          </w:p>
        </w:tc>
        <w:tc>
          <w:tcPr>
            <w:tcW w:w="1701" w:type="dxa"/>
          </w:tcPr>
          <w:p>
            <w:pPr>
              <w:tabs>
                <w:tab w:val="left" w:pos="720"/>
              </w:tabs>
              <w:spacing w:line="360" w:lineRule="auto"/>
              <w:jc w:val="center"/>
              <w:rPr>
                <w:rFonts w:ascii="宋体" w:hAnsi="宋体"/>
                <w:color w:val="auto"/>
                <w:sz w:val="24"/>
                <w:highlight w:val="none"/>
              </w:rPr>
            </w:pPr>
          </w:p>
        </w:tc>
        <w:tc>
          <w:tcPr>
            <w:tcW w:w="1701" w:type="dxa"/>
            <w:vAlign w:val="center"/>
          </w:tcPr>
          <w:p>
            <w:pPr>
              <w:tabs>
                <w:tab w:val="left" w:pos="720"/>
              </w:tabs>
              <w:spacing w:line="360" w:lineRule="auto"/>
              <w:jc w:val="center"/>
              <w:rPr>
                <w:rFonts w:ascii="宋体" w:hAnsi="宋体"/>
                <w:color w:val="auto"/>
                <w:sz w:val="24"/>
                <w:highlight w:val="none"/>
              </w:rPr>
            </w:pPr>
          </w:p>
        </w:tc>
        <w:tc>
          <w:tcPr>
            <w:tcW w:w="2126" w:type="dxa"/>
            <w:vAlign w:val="center"/>
          </w:tcPr>
          <w:p>
            <w:pPr>
              <w:tabs>
                <w:tab w:val="left" w:pos="720"/>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6" w:type="dxa"/>
            <w:vAlign w:val="center"/>
          </w:tcPr>
          <w:p>
            <w:pPr>
              <w:tabs>
                <w:tab w:val="left" w:pos="720"/>
              </w:tabs>
              <w:spacing w:line="360" w:lineRule="auto"/>
              <w:jc w:val="center"/>
              <w:rPr>
                <w:rFonts w:ascii="宋体" w:hAnsi="宋体"/>
                <w:color w:val="auto"/>
                <w:sz w:val="24"/>
                <w:highlight w:val="none"/>
              </w:rPr>
            </w:pPr>
          </w:p>
        </w:tc>
        <w:tc>
          <w:tcPr>
            <w:tcW w:w="2405" w:type="dxa"/>
            <w:vAlign w:val="center"/>
          </w:tcPr>
          <w:p>
            <w:pPr>
              <w:tabs>
                <w:tab w:val="left" w:pos="720"/>
              </w:tabs>
              <w:spacing w:line="360" w:lineRule="auto"/>
              <w:jc w:val="center"/>
              <w:rPr>
                <w:rFonts w:ascii="宋体" w:hAnsi="宋体"/>
                <w:color w:val="auto"/>
                <w:sz w:val="24"/>
                <w:highlight w:val="none"/>
              </w:rPr>
            </w:pPr>
          </w:p>
        </w:tc>
        <w:tc>
          <w:tcPr>
            <w:tcW w:w="1701" w:type="dxa"/>
          </w:tcPr>
          <w:p>
            <w:pPr>
              <w:tabs>
                <w:tab w:val="left" w:pos="720"/>
              </w:tabs>
              <w:spacing w:line="360" w:lineRule="auto"/>
              <w:ind w:left="420"/>
              <w:jc w:val="center"/>
              <w:rPr>
                <w:rFonts w:ascii="宋体" w:hAnsi="宋体"/>
                <w:color w:val="auto"/>
                <w:sz w:val="24"/>
                <w:highlight w:val="none"/>
              </w:rPr>
            </w:pPr>
          </w:p>
        </w:tc>
        <w:tc>
          <w:tcPr>
            <w:tcW w:w="1701" w:type="dxa"/>
            <w:vAlign w:val="center"/>
          </w:tcPr>
          <w:p>
            <w:pPr>
              <w:tabs>
                <w:tab w:val="left" w:pos="720"/>
              </w:tabs>
              <w:spacing w:line="360" w:lineRule="auto"/>
              <w:ind w:left="420"/>
              <w:jc w:val="center"/>
              <w:rPr>
                <w:rFonts w:ascii="宋体" w:hAnsi="宋体"/>
                <w:color w:val="auto"/>
                <w:sz w:val="24"/>
                <w:highlight w:val="none"/>
              </w:rPr>
            </w:pPr>
          </w:p>
        </w:tc>
        <w:tc>
          <w:tcPr>
            <w:tcW w:w="2126" w:type="dxa"/>
            <w:vAlign w:val="center"/>
          </w:tcPr>
          <w:p>
            <w:pPr>
              <w:tabs>
                <w:tab w:val="left" w:pos="720"/>
              </w:tabs>
              <w:spacing w:line="360" w:lineRule="auto"/>
              <w:ind w:left="42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6" w:type="dxa"/>
            <w:vAlign w:val="center"/>
          </w:tcPr>
          <w:p>
            <w:pPr>
              <w:tabs>
                <w:tab w:val="left" w:pos="720"/>
              </w:tabs>
              <w:spacing w:line="360" w:lineRule="auto"/>
              <w:jc w:val="center"/>
              <w:rPr>
                <w:rFonts w:ascii="宋体" w:hAnsi="宋体"/>
                <w:color w:val="auto"/>
                <w:sz w:val="24"/>
                <w:highlight w:val="none"/>
              </w:rPr>
            </w:pPr>
          </w:p>
        </w:tc>
        <w:tc>
          <w:tcPr>
            <w:tcW w:w="2405" w:type="dxa"/>
            <w:vAlign w:val="center"/>
          </w:tcPr>
          <w:p>
            <w:pPr>
              <w:tabs>
                <w:tab w:val="left" w:pos="720"/>
              </w:tabs>
              <w:spacing w:line="360" w:lineRule="auto"/>
              <w:jc w:val="center"/>
              <w:rPr>
                <w:rFonts w:ascii="宋体" w:hAnsi="宋体"/>
                <w:color w:val="auto"/>
                <w:sz w:val="24"/>
                <w:highlight w:val="none"/>
              </w:rPr>
            </w:pPr>
          </w:p>
        </w:tc>
        <w:tc>
          <w:tcPr>
            <w:tcW w:w="1701" w:type="dxa"/>
          </w:tcPr>
          <w:p>
            <w:pPr>
              <w:tabs>
                <w:tab w:val="left" w:pos="720"/>
              </w:tabs>
              <w:spacing w:line="360" w:lineRule="auto"/>
              <w:ind w:left="420"/>
              <w:jc w:val="center"/>
              <w:rPr>
                <w:rFonts w:ascii="宋体" w:hAnsi="宋体"/>
                <w:color w:val="auto"/>
                <w:sz w:val="24"/>
                <w:highlight w:val="none"/>
              </w:rPr>
            </w:pPr>
          </w:p>
        </w:tc>
        <w:tc>
          <w:tcPr>
            <w:tcW w:w="1701" w:type="dxa"/>
            <w:vAlign w:val="center"/>
          </w:tcPr>
          <w:p>
            <w:pPr>
              <w:tabs>
                <w:tab w:val="left" w:pos="720"/>
              </w:tabs>
              <w:spacing w:line="360" w:lineRule="auto"/>
              <w:ind w:left="420"/>
              <w:jc w:val="center"/>
              <w:rPr>
                <w:rFonts w:ascii="宋体" w:hAnsi="宋体"/>
                <w:color w:val="auto"/>
                <w:sz w:val="24"/>
                <w:highlight w:val="none"/>
              </w:rPr>
            </w:pPr>
          </w:p>
        </w:tc>
        <w:tc>
          <w:tcPr>
            <w:tcW w:w="2126" w:type="dxa"/>
            <w:vAlign w:val="center"/>
          </w:tcPr>
          <w:p>
            <w:pPr>
              <w:tabs>
                <w:tab w:val="left" w:pos="720"/>
              </w:tabs>
              <w:spacing w:line="360" w:lineRule="auto"/>
              <w:ind w:left="42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6" w:type="dxa"/>
            <w:vAlign w:val="center"/>
          </w:tcPr>
          <w:p>
            <w:pPr>
              <w:tabs>
                <w:tab w:val="left" w:pos="720"/>
              </w:tabs>
              <w:spacing w:line="360" w:lineRule="auto"/>
              <w:jc w:val="center"/>
              <w:rPr>
                <w:rFonts w:ascii="宋体" w:hAnsi="宋体"/>
                <w:color w:val="auto"/>
                <w:sz w:val="24"/>
                <w:highlight w:val="none"/>
              </w:rPr>
            </w:pPr>
          </w:p>
        </w:tc>
        <w:tc>
          <w:tcPr>
            <w:tcW w:w="2405" w:type="dxa"/>
            <w:vAlign w:val="center"/>
          </w:tcPr>
          <w:p>
            <w:pPr>
              <w:tabs>
                <w:tab w:val="left" w:pos="720"/>
              </w:tabs>
              <w:spacing w:line="360" w:lineRule="auto"/>
              <w:jc w:val="center"/>
              <w:rPr>
                <w:rFonts w:ascii="宋体" w:hAnsi="宋体"/>
                <w:color w:val="auto"/>
                <w:sz w:val="24"/>
                <w:highlight w:val="none"/>
              </w:rPr>
            </w:pPr>
          </w:p>
        </w:tc>
        <w:tc>
          <w:tcPr>
            <w:tcW w:w="1701" w:type="dxa"/>
          </w:tcPr>
          <w:p>
            <w:pPr>
              <w:tabs>
                <w:tab w:val="left" w:pos="720"/>
              </w:tabs>
              <w:spacing w:line="360" w:lineRule="auto"/>
              <w:jc w:val="center"/>
              <w:rPr>
                <w:rFonts w:ascii="宋体" w:hAnsi="宋体"/>
                <w:color w:val="auto"/>
                <w:sz w:val="24"/>
                <w:highlight w:val="none"/>
              </w:rPr>
            </w:pPr>
          </w:p>
        </w:tc>
        <w:tc>
          <w:tcPr>
            <w:tcW w:w="1701" w:type="dxa"/>
            <w:vAlign w:val="center"/>
          </w:tcPr>
          <w:p>
            <w:pPr>
              <w:tabs>
                <w:tab w:val="left" w:pos="720"/>
              </w:tabs>
              <w:spacing w:line="360" w:lineRule="auto"/>
              <w:jc w:val="center"/>
              <w:rPr>
                <w:rFonts w:ascii="宋体" w:hAnsi="宋体"/>
                <w:color w:val="auto"/>
                <w:sz w:val="24"/>
                <w:highlight w:val="none"/>
              </w:rPr>
            </w:pPr>
          </w:p>
        </w:tc>
        <w:tc>
          <w:tcPr>
            <w:tcW w:w="2126" w:type="dxa"/>
            <w:vAlign w:val="center"/>
          </w:tcPr>
          <w:p>
            <w:pPr>
              <w:tabs>
                <w:tab w:val="left" w:pos="720"/>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6" w:type="dxa"/>
            <w:vAlign w:val="center"/>
          </w:tcPr>
          <w:p>
            <w:pPr>
              <w:tabs>
                <w:tab w:val="left" w:pos="720"/>
              </w:tabs>
              <w:spacing w:line="360" w:lineRule="auto"/>
              <w:jc w:val="center"/>
              <w:rPr>
                <w:rFonts w:ascii="宋体" w:hAnsi="宋体"/>
                <w:color w:val="auto"/>
                <w:sz w:val="24"/>
                <w:highlight w:val="none"/>
              </w:rPr>
            </w:pPr>
          </w:p>
        </w:tc>
        <w:tc>
          <w:tcPr>
            <w:tcW w:w="2405" w:type="dxa"/>
            <w:vAlign w:val="center"/>
          </w:tcPr>
          <w:p>
            <w:pPr>
              <w:tabs>
                <w:tab w:val="left" w:pos="720"/>
              </w:tabs>
              <w:spacing w:line="360" w:lineRule="auto"/>
              <w:jc w:val="center"/>
              <w:rPr>
                <w:rFonts w:ascii="宋体" w:hAnsi="宋体"/>
                <w:color w:val="auto"/>
                <w:sz w:val="24"/>
                <w:highlight w:val="none"/>
              </w:rPr>
            </w:pPr>
          </w:p>
        </w:tc>
        <w:tc>
          <w:tcPr>
            <w:tcW w:w="1701" w:type="dxa"/>
          </w:tcPr>
          <w:p>
            <w:pPr>
              <w:tabs>
                <w:tab w:val="left" w:pos="720"/>
              </w:tabs>
              <w:spacing w:line="360" w:lineRule="auto"/>
              <w:jc w:val="center"/>
              <w:rPr>
                <w:rFonts w:ascii="宋体" w:hAnsi="宋体"/>
                <w:color w:val="auto"/>
                <w:sz w:val="24"/>
                <w:highlight w:val="none"/>
              </w:rPr>
            </w:pPr>
          </w:p>
        </w:tc>
        <w:tc>
          <w:tcPr>
            <w:tcW w:w="1701" w:type="dxa"/>
            <w:vAlign w:val="center"/>
          </w:tcPr>
          <w:p>
            <w:pPr>
              <w:tabs>
                <w:tab w:val="left" w:pos="720"/>
              </w:tabs>
              <w:spacing w:line="360" w:lineRule="auto"/>
              <w:jc w:val="center"/>
              <w:rPr>
                <w:rFonts w:ascii="宋体" w:hAnsi="宋体"/>
                <w:color w:val="auto"/>
                <w:sz w:val="24"/>
                <w:highlight w:val="none"/>
              </w:rPr>
            </w:pPr>
          </w:p>
        </w:tc>
        <w:tc>
          <w:tcPr>
            <w:tcW w:w="2126" w:type="dxa"/>
            <w:vAlign w:val="center"/>
          </w:tcPr>
          <w:p>
            <w:pPr>
              <w:tabs>
                <w:tab w:val="left" w:pos="720"/>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6" w:type="dxa"/>
            <w:vAlign w:val="center"/>
          </w:tcPr>
          <w:p>
            <w:pPr>
              <w:tabs>
                <w:tab w:val="left" w:pos="720"/>
              </w:tabs>
              <w:spacing w:line="360" w:lineRule="auto"/>
              <w:jc w:val="center"/>
              <w:rPr>
                <w:rFonts w:ascii="宋体" w:hAnsi="宋体"/>
                <w:color w:val="auto"/>
                <w:sz w:val="24"/>
                <w:highlight w:val="none"/>
              </w:rPr>
            </w:pPr>
          </w:p>
        </w:tc>
        <w:tc>
          <w:tcPr>
            <w:tcW w:w="2405" w:type="dxa"/>
            <w:vAlign w:val="center"/>
          </w:tcPr>
          <w:p>
            <w:pPr>
              <w:tabs>
                <w:tab w:val="left" w:pos="720"/>
              </w:tabs>
              <w:spacing w:line="360" w:lineRule="auto"/>
              <w:jc w:val="center"/>
              <w:rPr>
                <w:rFonts w:ascii="宋体" w:hAnsi="宋体"/>
                <w:color w:val="auto"/>
                <w:sz w:val="24"/>
                <w:highlight w:val="none"/>
              </w:rPr>
            </w:pPr>
          </w:p>
        </w:tc>
        <w:tc>
          <w:tcPr>
            <w:tcW w:w="1701" w:type="dxa"/>
          </w:tcPr>
          <w:p>
            <w:pPr>
              <w:tabs>
                <w:tab w:val="left" w:pos="720"/>
              </w:tabs>
              <w:spacing w:line="360" w:lineRule="auto"/>
              <w:jc w:val="center"/>
              <w:rPr>
                <w:rFonts w:ascii="宋体" w:hAnsi="宋体"/>
                <w:color w:val="auto"/>
                <w:sz w:val="24"/>
                <w:highlight w:val="none"/>
              </w:rPr>
            </w:pPr>
          </w:p>
        </w:tc>
        <w:tc>
          <w:tcPr>
            <w:tcW w:w="1701" w:type="dxa"/>
            <w:vAlign w:val="center"/>
          </w:tcPr>
          <w:p>
            <w:pPr>
              <w:tabs>
                <w:tab w:val="left" w:pos="720"/>
              </w:tabs>
              <w:spacing w:line="360" w:lineRule="auto"/>
              <w:jc w:val="center"/>
              <w:rPr>
                <w:rFonts w:ascii="宋体" w:hAnsi="宋体"/>
                <w:color w:val="auto"/>
                <w:sz w:val="24"/>
                <w:highlight w:val="none"/>
              </w:rPr>
            </w:pPr>
          </w:p>
        </w:tc>
        <w:tc>
          <w:tcPr>
            <w:tcW w:w="2126" w:type="dxa"/>
            <w:vAlign w:val="center"/>
          </w:tcPr>
          <w:p>
            <w:pPr>
              <w:tabs>
                <w:tab w:val="left" w:pos="720"/>
              </w:tabs>
              <w:spacing w:line="360" w:lineRule="auto"/>
              <w:jc w:val="center"/>
              <w:rPr>
                <w:rFonts w:ascii="宋体" w:hAnsi="宋体"/>
                <w:color w:val="auto"/>
                <w:sz w:val="24"/>
                <w:highlight w:val="none"/>
              </w:rPr>
            </w:pPr>
          </w:p>
        </w:tc>
      </w:tr>
    </w:tbl>
    <w:p>
      <w:pPr>
        <w:pStyle w:val="3"/>
        <w:jc w:val="center"/>
        <w:rPr>
          <w:color w:val="auto"/>
          <w:highlight w:val="none"/>
        </w:rPr>
      </w:pPr>
      <w:r>
        <w:rPr>
          <w:color w:val="auto"/>
          <w:highlight w:val="none"/>
        </w:rPr>
        <w:br w:type="page"/>
      </w:r>
      <w:bookmarkStart w:id="156" w:name="_Toc27847"/>
      <w:r>
        <w:rPr>
          <w:rFonts w:hint="eastAsia"/>
          <w:color w:val="auto"/>
          <w:highlight w:val="none"/>
        </w:rPr>
        <w:t>二</w:t>
      </w:r>
      <w:r>
        <w:rPr>
          <w:color w:val="auto"/>
          <w:highlight w:val="none"/>
        </w:rPr>
        <w:t>、竞争性谈判</w:t>
      </w:r>
      <w:r>
        <w:rPr>
          <w:rFonts w:hint="eastAsia"/>
          <w:color w:val="auto"/>
          <w:highlight w:val="none"/>
        </w:rPr>
        <w:t>响应</w:t>
      </w:r>
      <w:r>
        <w:rPr>
          <w:color w:val="auto"/>
          <w:highlight w:val="none"/>
        </w:rPr>
        <w:t>函</w:t>
      </w:r>
      <w:bookmarkEnd w:id="146"/>
      <w:bookmarkEnd w:id="147"/>
      <w:bookmarkEnd w:id="148"/>
      <w:bookmarkEnd w:id="149"/>
      <w:bookmarkEnd w:id="150"/>
      <w:bookmarkEnd w:id="151"/>
      <w:bookmarkEnd w:id="152"/>
      <w:bookmarkEnd w:id="155"/>
      <w:bookmarkEnd w:id="156"/>
    </w:p>
    <w:p>
      <w:pPr>
        <w:spacing w:line="400" w:lineRule="exact"/>
        <w:rPr>
          <w:color w:val="auto"/>
          <w:szCs w:val="21"/>
          <w:highlight w:val="none"/>
        </w:rPr>
      </w:pPr>
      <w:r>
        <w:rPr>
          <w:rFonts w:hint="eastAsia"/>
          <w:color w:val="auto"/>
          <w:szCs w:val="21"/>
          <w:highlight w:val="none"/>
        </w:rPr>
        <w:t>致：</w:t>
      </w:r>
      <w:r>
        <w:rPr>
          <w:color w:val="auto"/>
          <w:szCs w:val="21"/>
          <w:highlight w:val="none"/>
          <w:u w:val="single"/>
        </w:rPr>
        <w:t xml:space="preserve">       （采购人名称）</w:t>
      </w:r>
      <w:r>
        <w:rPr>
          <w:rFonts w:hint="eastAsia"/>
          <w:color w:val="auto"/>
          <w:szCs w:val="21"/>
          <w:highlight w:val="none"/>
          <w:u w:val="single"/>
        </w:rPr>
        <w:t xml:space="preserve">        </w:t>
      </w:r>
      <w:r>
        <w:rPr>
          <w:color w:val="auto"/>
          <w:szCs w:val="21"/>
          <w:highlight w:val="none"/>
        </w:rPr>
        <w:t>：</w:t>
      </w:r>
    </w:p>
    <w:p>
      <w:pPr>
        <w:spacing w:line="400" w:lineRule="exact"/>
        <w:ind w:firstLine="422" w:firstLineChars="200"/>
        <w:rPr>
          <w:color w:val="auto"/>
          <w:szCs w:val="21"/>
          <w:highlight w:val="none"/>
        </w:rPr>
      </w:pPr>
      <w:r>
        <w:rPr>
          <w:b/>
          <w:color w:val="auto"/>
          <w:szCs w:val="21"/>
          <w:highlight w:val="none"/>
          <w:u w:val="single"/>
        </w:rPr>
        <w:t xml:space="preserve"> </w:t>
      </w:r>
      <w:r>
        <w:rPr>
          <w:rFonts w:hint="eastAsia"/>
          <w:color w:val="auto"/>
          <w:szCs w:val="21"/>
          <w:highlight w:val="none"/>
          <w:u w:val="single"/>
        </w:rPr>
        <w:t>（响应人名称）（以下简称我方）</w:t>
      </w:r>
      <w:r>
        <w:rPr>
          <w:color w:val="auto"/>
          <w:szCs w:val="21"/>
          <w:highlight w:val="none"/>
        </w:rPr>
        <w:t>已仔细研究了</w:t>
      </w:r>
      <w:r>
        <w:rPr>
          <w:color w:val="auto"/>
          <w:szCs w:val="21"/>
          <w:highlight w:val="none"/>
          <w:u w:val="single"/>
        </w:rPr>
        <w:t xml:space="preserve"> （项目名称）</w:t>
      </w:r>
      <w:r>
        <w:rPr>
          <w:rFonts w:hint="eastAsia"/>
          <w:color w:val="auto"/>
          <w:szCs w:val="21"/>
          <w:highlight w:val="none"/>
          <w:u w:val="single"/>
        </w:rPr>
        <w:t>（</w:t>
      </w:r>
      <w:r>
        <w:rPr>
          <w:rFonts w:hint="eastAsia"/>
          <w:color w:val="auto"/>
          <w:szCs w:val="21"/>
          <w:highlight w:val="none"/>
        </w:rPr>
        <w:t>项目编号：</w:t>
      </w:r>
      <w:r>
        <w:rPr>
          <w:rFonts w:hint="eastAsia"/>
          <w:color w:val="auto"/>
          <w:szCs w:val="21"/>
          <w:highlight w:val="none"/>
          <w:u w:val="single"/>
        </w:rPr>
        <w:t xml:space="preserve">        ）</w:t>
      </w:r>
      <w:r>
        <w:rPr>
          <w:color w:val="auto"/>
          <w:szCs w:val="21"/>
          <w:highlight w:val="none"/>
        </w:rPr>
        <w:t>竞争性谈判文件的全部内容</w:t>
      </w:r>
      <w:r>
        <w:rPr>
          <w:rFonts w:hint="eastAsia"/>
          <w:color w:val="auto"/>
          <w:szCs w:val="21"/>
          <w:highlight w:val="none"/>
        </w:rPr>
        <w:t>，</w:t>
      </w:r>
      <w:r>
        <w:rPr>
          <w:rFonts w:hAnsi="宋体"/>
          <w:bCs/>
          <w:color w:val="auto"/>
          <w:szCs w:val="21"/>
          <w:highlight w:val="none"/>
        </w:rPr>
        <w:t>包括</w:t>
      </w:r>
      <w:r>
        <w:rPr>
          <w:rFonts w:hint="eastAsia" w:hAnsi="宋体"/>
          <w:bCs/>
          <w:color w:val="auto"/>
          <w:szCs w:val="21"/>
          <w:highlight w:val="none"/>
        </w:rPr>
        <w:t>澄清、</w:t>
      </w:r>
      <w:r>
        <w:rPr>
          <w:rFonts w:hAnsi="宋体"/>
          <w:bCs/>
          <w:color w:val="auto"/>
          <w:szCs w:val="21"/>
          <w:highlight w:val="none"/>
        </w:rPr>
        <w:t>修改文件</w:t>
      </w:r>
      <w:r>
        <w:rPr>
          <w:rFonts w:hint="eastAsia" w:hAnsi="宋体"/>
          <w:bCs/>
          <w:color w:val="auto"/>
          <w:szCs w:val="21"/>
          <w:highlight w:val="none"/>
        </w:rPr>
        <w:t>以</w:t>
      </w:r>
      <w:r>
        <w:rPr>
          <w:rFonts w:hAnsi="宋体"/>
          <w:bCs/>
          <w:color w:val="auto"/>
          <w:szCs w:val="21"/>
          <w:highlight w:val="none"/>
        </w:rPr>
        <w:t>及有关附件</w:t>
      </w:r>
      <w:r>
        <w:rPr>
          <w:color w:val="auto"/>
          <w:szCs w:val="21"/>
          <w:highlight w:val="none"/>
        </w:rPr>
        <w:t>，</w:t>
      </w:r>
      <w:r>
        <w:rPr>
          <w:color w:val="auto"/>
          <w:szCs w:val="21"/>
          <w:highlight w:val="none"/>
          <w:u w:val="single"/>
        </w:rPr>
        <w:t>愿意以</w:t>
      </w:r>
      <w:r>
        <w:rPr>
          <w:rFonts w:hint="eastAsia"/>
          <w:color w:val="auto"/>
          <w:szCs w:val="21"/>
          <w:highlight w:val="none"/>
          <w:u w:val="single"/>
        </w:rPr>
        <w:t>《报价一览表》的价格</w:t>
      </w:r>
      <w:r>
        <w:rPr>
          <w:rFonts w:hint="eastAsia"/>
          <w:color w:val="auto"/>
          <w:szCs w:val="21"/>
          <w:highlight w:val="none"/>
        </w:rPr>
        <w:t>，</w:t>
      </w:r>
      <w:r>
        <w:rPr>
          <w:color w:val="auto"/>
          <w:szCs w:val="21"/>
          <w:highlight w:val="none"/>
        </w:rPr>
        <w:t>按合同约定实施和完成</w:t>
      </w:r>
      <w:r>
        <w:rPr>
          <w:rFonts w:hint="eastAsia"/>
          <w:color w:val="auto"/>
          <w:szCs w:val="21"/>
          <w:highlight w:val="none"/>
        </w:rPr>
        <w:t>上述</w:t>
      </w:r>
      <w:r>
        <w:rPr>
          <w:color w:val="auto"/>
          <w:szCs w:val="21"/>
          <w:highlight w:val="none"/>
        </w:rPr>
        <w:t>项目的相关服务。</w:t>
      </w:r>
    </w:p>
    <w:p>
      <w:pPr>
        <w:spacing w:line="400" w:lineRule="exact"/>
        <w:ind w:firstLine="420" w:firstLineChars="200"/>
        <w:rPr>
          <w:color w:val="auto"/>
          <w:szCs w:val="21"/>
          <w:highlight w:val="none"/>
        </w:rPr>
      </w:pPr>
      <w:r>
        <w:rPr>
          <w:rFonts w:hint="eastAsia"/>
          <w:color w:val="auto"/>
          <w:szCs w:val="21"/>
          <w:highlight w:val="none"/>
        </w:rPr>
        <w:t>我方承诺如下内容：</w:t>
      </w:r>
    </w:p>
    <w:p>
      <w:pPr>
        <w:spacing w:line="400" w:lineRule="exact"/>
        <w:ind w:firstLine="420" w:firstLineChars="200"/>
        <w:rPr>
          <w:color w:val="auto"/>
          <w:szCs w:val="21"/>
          <w:highlight w:val="none"/>
        </w:rPr>
      </w:pPr>
      <w:r>
        <w:rPr>
          <w:rFonts w:hint="eastAsia"/>
          <w:color w:val="auto"/>
          <w:szCs w:val="21"/>
          <w:highlight w:val="none"/>
        </w:rPr>
        <w:t>1.我方的响应文件包含第二章“竞争性谈判响应须知”第</w:t>
      </w:r>
      <w:r>
        <w:rPr>
          <w:color w:val="auto"/>
          <w:highlight w:val="none"/>
        </w:rPr>
        <w:t>3.1</w:t>
      </w:r>
      <w:r>
        <w:rPr>
          <w:rFonts w:hint="eastAsia"/>
          <w:color w:val="auto"/>
          <w:szCs w:val="21"/>
          <w:highlight w:val="none"/>
        </w:rPr>
        <w:t>款规定的全部内容。</w:t>
      </w:r>
    </w:p>
    <w:p>
      <w:pPr>
        <w:spacing w:line="400" w:lineRule="exact"/>
        <w:ind w:firstLine="420" w:firstLineChars="200"/>
        <w:rPr>
          <w:color w:val="auto"/>
          <w:szCs w:val="21"/>
          <w:highlight w:val="none"/>
        </w:rPr>
      </w:pPr>
      <w:r>
        <w:rPr>
          <w:rFonts w:hint="eastAsia"/>
          <w:color w:val="auto"/>
          <w:szCs w:val="21"/>
          <w:highlight w:val="none"/>
        </w:rPr>
        <w:t>2.</w:t>
      </w:r>
      <w:r>
        <w:rPr>
          <w:color w:val="auto"/>
          <w:szCs w:val="21"/>
          <w:highlight w:val="none"/>
        </w:rPr>
        <w:t>我方承诺在</w:t>
      </w:r>
      <w:r>
        <w:rPr>
          <w:rFonts w:hint="eastAsia"/>
          <w:color w:val="auto"/>
          <w:szCs w:val="21"/>
          <w:highlight w:val="none"/>
        </w:rPr>
        <w:t>竞争性谈判文件规定的</w:t>
      </w:r>
      <w:r>
        <w:rPr>
          <w:color w:val="auto"/>
          <w:szCs w:val="21"/>
          <w:highlight w:val="none"/>
        </w:rPr>
        <w:t>竞争性谈判有效期</w:t>
      </w:r>
      <w:r>
        <w:rPr>
          <w:rFonts w:hint="eastAsia"/>
          <w:color w:val="auto"/>
          <w:szCs w:val="21"/>
          <w:highlight w:val="none"/>
        </w:rPr>
        <w:t>（竞争性谈判有效期为</w:t>
      </w:r>
      <w:r>
        <w:rPr>
          <w:rFonts w:hint="eastAsia"/>
          <w:color w:val="auto"/>
          <w:szCs w:val="21"/>
          <w:highlight w:val="none"/>
          <w:u w:val="single"/>
        </w:rPr>
        <w:t xml:space="preserve">    </w:t>
      </w:r>
      <w:r>
        <w:rPr>
          <w:rFonts w:hint="eastAsia"/>
          <w:color w:val="auto"/>
          <w:szCs w:val="21"/>
          <w:highlight w:val="none"/>
        </w:rPr>
        <w:t>天）</w:t>
      </w:r>
      <w:r>
        <w:rPr>
          <w:color w:val="auto"/>
          <w:szCs w:val="21"/>
          <w:highlight w:val="none"/>
        </w:rPr>
        <w:t>内不修改、撤销响应文件。</w:t>
      </w:r>
    </w:p>
    <w:p>
      <w:pPr>
        <w:spacing w:line="400" w:lineRule="exact"/>
        <w:ind w:firstLine="420" w:firstLineChars="200"/>
        <w:jc w:val="left"/>
        <w:rPr>
          <w:color w:val="auto"/>
          <w:szCs w:val="21"/>
          <w:highlight w:val="none"/>
        </w:rPr>
      </w:pPr>
      <w:r>
        <w:rPr>
          <w:rFonts w:hint="eastAsia"/>
          <w:color w:val="auto"/>
          <w:szCs w:val="21"/>
          <w:highlight w:val="none"/>
        </w:rPr>
        <w:t>3.</w:t>
      </w:r>
      <w:r>
        <w:rPr>
          <w:color w:val="auto"/>
          <w:szCs w:val="21"/>
          <w:highlight w:val="none"/>
        </w:rPr>
        <w:t>随同本竞争性谈判响应函提交竞争性谈判保证金一份，金额为人民币（大写）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400" w:lineRule="exact"/>
        <w:ind w:firstLine="420" w:firstLineChars="200"/>
        <w:rPr>
          <w:color w:val="auto"/>
          <w:szCs w:val="21"/>
          <w:highlight w:val="none"/>
        </w:rPr>
      </w:pPr>
      <w:r>
        <w:rPr>
          <w:rFonts w:hint="eastAsia"/>
          <w:color w:val="auto"/>
          <w:szCs w:val="21"/>
          <w:highlight w:val="none"/>
        </w:rPr>
        <w:t>4.我方在评审过程中根据谈判小组要求提供的符合相关规定的澄清文件，构成响应文件的组成部分。</w:t>
      </w:r>
    </w:p>
    <w:p>
      <w:pPr>
        <w:spacing w:line="400" w:lineRule="exact"/>
        <w:ind w:firstLine="420" w:firstLineChars="200"/>
        <w:rPr>
          <w:color w:val="auto"/>
          <w:szCs w:val="21"/>
          <w:highlight w:val="none"/>
        </w:rPr>
      </w:pPr>
      <w:r>
        <w:rPr>
          <w:rFonts w:hint="eastAsia"/>
          <w:color w:val="auto"/>
          <w:szCs w:val="21"/>
          <w:highlight w:val="none"/>
        </w:rPr>
        <w:t>5.我方同意提供贵方可能要求的与竞争性谈判有关的一切数据或者资料，并完全理解贵方不一定接受最低价的竞争性谈判。</w:t>
      </w:r>
    </w:p>
    <w:p>
      <w:pPr>
        <w:spacing w:line="400" w:lineRule="exact"/>
        <w:ind w:firstLine="420" w:firstLineChars="200"/>
        <w:rPr>
          <w:color w:val="auto"/>
          <w:szCs w:val="21"/>
          <w:highlight w:val="none"/>
        </w:rPr>
      </w:pPr>
      <w:r>
        <w:rPr>
          <w:rFonts w:hint="eastAsia"/>
          <w:color w:val="auto"/>
          <w:szCs w:val="21"/>
          <w:highlight w:val="none"/>
        </w:rPr>
        <w:t>6.我方承诺不向第三方透露与竞争性谈判相关的所有信息。</w:t>
      </w:r>
    </w:p>
    <w:p>
      <w:pPr>
        <w:spacing w:line="400" w:lineRule="exact"/>
        <w:ind w:firstLine="420" w:firstLineChars="200"/>
        <w:rPr>
          <w:color w:val="auto"/>
          <w:szCs w:val="21"/>
          <w:highlight w:val="none"/>
        </w:rPr>
      </w:pPr>
      <w:r>
        <w:rPr>
          <w:rFonts w:hint="eastAsia"/>
          <w:color w:val="auto"/>
          <w:szCs w:val="21"/>
          <w:highlight w:val="none"/>
        </w:rPr>
        <w:t>7.</w:t>
      </w:r>
      <w:r>
        <w:rPr>
          <w:color w:val="auto"/>
          <w:szCs w:val="21"/>
          <w:highlight w:val="none"/>
        </w:rPr>
        <w:t>如我方成交：</w:t>
      </w:r>
    </w:p>
    <w:p>
      <w:pPr>
        <w:spacing w:line="400" w:lineRule="exact"/>
        <w:ind w:firstLine="422" w:firstLineChars="201"/>
        <w:rPr>
          <w:color w:val="auto"/>
          <w:szCs w:val="21"/>
          <w:highlight w:val="none"/>
        </w:rPr>
      </w:pPr>
      <w:r>
        <w:rPr>
          <w:color w:val="auto"/>
          <w:szCs w:val="21"/>
          <w:highlight w:val="none"/>
        </w:rPr>
        <w:t>（1）我方承诺在收到成交通知书后，在成交通知书规定的期限内与你方签订合同。</w:t>
      </w:r>
    </w:p>
    <w:p>
      <w:pPr>
        <w:spacing w:line="400" w:lineRule="exact"/>
        <w:ind w:firstLine="422" w:firstLineChars="201"/>
        <w:rPr>
          <w:color w:val="auto"/>
          <w:szCs w:val="21"/>
          <w:highlight w:val="none"/>
        </w:rPr>
      </w:pPr>
      <w:r>
        <w:rPr>
          <w:color w:val="auto"/>
          <w:szCs w:val="21"/>
          <w:highlight w:val="none"/>
        </w:rPr>
        <w:t>（2）我方承诺按照竞争性谈判文件规定递交履约担保</w:t>
      </w:r>
      <w:r>
        <w:rPr>
          <w:rFonts w:hint="eastAsia"/>
          <w:color w:val="auto"/>
          <w:szCs w:val="21"/>
          <w:highlight w:val="none"/>
        </w:rPr>
        <w:t>、支付采购代理服务费</w:t>
      </w:r>
      <w:r>
        <w:rPr>
          <w:color w:val="auto"/>
          <w:szCs w:val="21"/>
          <w:highlight w:val="none"/>
        </w:rPr>
        <w:t>。</w:t>
      </w:r>
    </w:p>
    <w:p>
      <w:pPr>
        <w:spacing w:line="400" w:lineRule="exact"/>
        <w:ind w:firstLine="422" w:firstLineChars="201"/>
        <w:rPr>
          <w:color w:val="auto"/>
          <w:szCs w:val="21"/>
          <w:highlight w:val="none"/>
        </w:rPr>
      </w:pPr>
      <w:r>
        <w:rPr>
          <w:rFonts w:hint="eastAsia"/>
          <w:color w:val="auto"/>
          <w:szCs w:val="21"/>
          <w:highlight w:val="none"/>
        </w:rPr>
        <w:t>（3）按照竞争性谈判文件的规定及合同约定履行相关责任和义务。</w:t>
      </w:r>
    </w:p>
    <w:p>
      <w:pPr>
        <w:spacing w:line="400" w:lineRule="exact"/>
        <w:ind w:firstLine="420" w:firstLineChars="200"/>
        <w:rPr>
          <w:b/>
          <w:color w:val="auto"/>
          <w:szCs w:val="21"/>
          <w:highlight w:val="none"/>
        </w:rPr>
      </w:pPr>
      <w:r>
        <w:rPr>
          <w:rFonts w:hint="eastAsia"/>
          <w:color w:val="auto"/>
          <w:highlight w:val="none"/>
        </w:rPr>
        <w:t>我方在此声明，所递交的响应文件以及有关资料内容完整、真实和准确，且不存在第二章“竞争性谈判响应须知”第1.</w:t>
      </w:r>
      <w:r>
        <w:rPr>
          <w:color w:val="auto"/>
          <w:highlight w:val="none"/>
        </w:rPr>
        <w:t>7</w:t>
      </w:r>
      <w:r>
        <w:rPr>
          <w:rFonts w:hint="eastAsia"/>
          <w:color w:val="auto"/>
          <w:highlight w:val="none"/>
        </w:rPr>
        <w:t>款规定的任何一种情形。</w:t>
      </w:r>
      <w:r>
        <w:rPr>
          <w:rFonts w:hAnsi="宋体"/>
          <w:bCs/>
          <w:color w:val="auto"/>
          <w:szCs w:val="21"/>
          <w:highlight w:val="none"/>
        </w:rPr>
        <w:t>如有弄虚作假，将承担相应的法律责任，并赔偿由此造成的一切损失。</w:t>
      </w:r>
    </w:p>
    <w:p>
      <w:pPr>
        <w:spacing w:line="400" w:lineRule="exact"/>
        <w:ind w:firstLine="420" w:firstLineChars="200"/>
        <w:rPr>
          <w:color w:val="auto"/>
          <w:szCs w:val="21"/>
          <w:highlight w:val="none"/>
        </w:rPr>
      </w:pPr>
      <w:r>
        <w:rPr>
          <w:rFonts w:hint="eastAsia"/>
          <w:color w:val="auto"/>
          <w:szCs w:val="21"/>
          <w:highlight w:val="none"/>
        </w:rPr>
        <w:t>8．</w:t>
      </w:r>
      <w:r>
        <w:rPr>
          <w:color w:val="auto"/>
          <w:szCs w:val="21"/>
          <w:highlight w:val="none"/>
          <w:u w:val="single"/>
        </w:rPr>
        <w:t xml:space="preserve">    （</w:t>
      </w:r>
      <w:r>
        <w:rPr>
          <w:rFonts w:hint="eastAsia"/>
          <w:color w:val="auto"/>
          <w:szCs w:val="21"/>
          <w:highlight w:val="none"/>
          <w:u w:val="single"/>
        </w:rPr>
        <w:t>其他</w:t>
      </w:r>
      <w:r>
        <w:rPr>
          <w:color w:val="auto"/>
          <w:szCs w:val="21"/>
          <w:highlight w:val="none"/>
          <w:u w:val="single"/>
        </w:rPr>
        <w:t xml:space="preserve">补充说明）         </w:t>
      </w:r>
      <w:r>
        <w:rPr>
          <w:color w:val="auto"/>
          <w:szCs w:val="21"/>
          <w:highlight w:val="none"/>
        </w:rPr>
        <w:t>。</w:t>
      </w:r>
    </w:p>
    <w:p>
      <w:pPr>
        <w:spacing w:line="400" w:lineRule="exact"/>
        <w:ind w:firstLine="3675" w:firstLineChars="1750"/>
        <w:rPr>
          <w:color w:val="auto"/>
          <w:szCs w:val="21"/>
          <w:highlight w:val="none"/>
        </w:rPr>
      </w:pPr>
      <w:r>
        <w:rPr>
          <w:rFonts w:hint="eastAsia"/>
          <w:color w:val="auto"/>
          <w:szCs w:val="21"/>
          <w:highlight w:val="none"/>
        </w:rPr>
        <w:t>响应</w:t>
      </w:r>
      <w:r>
        <w:rPr>
          <w:color w:val="auto"/>
          <w:szCs w:val="21"/>
          <w:highlight w:val="none"/>
        </w:rPr>
        <w:t>人：</w:t>
      </w:r>
      <w:r>
        <w:rPr>
          <w:color w:val="auto"/>
          <w:szCs w:val="21"/>
          <w:highlight w:val="none"/>
          <w:u w:val="single"/>
        </w:rPr>
        <w:t xml:space="preserve">                      </w:t>
      </w:r>
      <w:r>
        <w:rPr>
          <w:color w:val="auto"/>
          <w:szCs w:val="21"/>
          <w:highlight w:val="none"/>
        </w:rPr>
        <w:t>（盖单位公章）</w:t>
      </w:r>
    </w:p>
    <w:p>
      <w:pPr>
        <w:spacing w:line="40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00" w:lineRule="exact"/>
        <w:ind w:firstLine="3675" w:firstLineChars="1750"/>
        <w:rPr>
          <w:color w:val="auto"/>
          <w:szCs w:val="21"/>
          <w:highlight w:val="none"/>
        </w:rPr>
      </w:pPr>
      <w:r>
        <w:rPr>
          <w:color w:val="auto"/>
          <w:szCs w:val="21"/>
          <w:highlight w:val="none"/>
        </w:rPr>
        <w:t>地址：</w:t>
      </w:r>
      <w:r>
        <w:rPr>
          <w:color w:val="auto"/>
          <w:szCs w:val="21"/>
          <w:highlight w:val="none"/>
          <w:u w:val="single"/>
        </w:rPr>
        <w:t xml:space="preserve">                                     </w:t>
      </w:r>
    </w:p>
    <w:p>
      <w:pPr>
        <w:spacing w:line="400" w:lineRule="exact"/>
        <w:ind w:firstLine="3675" w:firstLineChars="1750"/>
        <w:rPr>
          <w:color w:val="auto"/>
          <w:szCs w:val="21"/>
          <w:highlight w:val="none"/>
          <w:u w:val="single"/>
        </w:rPr>
      </w:pPr>
      <w:r>
        <w:rPr>
          <w:color w:val="auto"/>
          <w:szCs w:val="21"/>
          <w:highlight w:val="none"/>
        </w:rPr>
        <w:t>邮政编码：</w:t>
      </w:r>
      <w:r>
        <w:rPr>
          <w:color w:val="auto"/>
          <w:szCs w:val="21"/>
          <w:highlight w:val="none"/>
          <w:u w:val="single"/>
        </w:rPr>
        <w:t xml:space="preserve">                                 </w:t>
      </w:r>
    </w:p>
    <w:p>
      <w:pPr>
        <w:spacing w:line="400" w:lineRule="exact"/>
        <w:ind w:firstLine="3675" w:firstLineChars="1750"/>
        <w:rPr>
          <w:color w:val="auto"/>
          <w:szCs w:val="21"/>
          <w:highlight w:val="none"/>
        </w:rPr>
      </w:pPr>
      <w:r>
        <w:rPr>
          <w:color w:val="auto"/>
          <w:szCs w:val="21"/>
          <w:highlight w:val="none"/>
        </w:rPr>
        <w:t>电话：</w:t>
      </w:r>
      <w:r>
        <w:rPr>
          <w:color w:val="auto"/>
          <w:szCs w:val="21"/>
          <w:highlight w:val="none"/>
          <w:u w:val="single"/>
        </w:rPr>
        <w:t xml:space="preserve">                                     </w:t>
      </w:r>
    </w:p>
    <w:p>
      <w:pPr>
        <w:spacing w:line="400" w:lineRule="exact"/>
        <w:ind w:firstLine="3675" w:firstLineChars="1750"/>
        <w:rPr>
          <w:color w:val="auto"/>
          <w:szCs w:val="21"/>
          <w:highlight w:val="none"/>
        </w:rPr>
      </w:pPr>
      <w:r>
        <w:rPr>
          <w:color w:val="auto"/>
          <w:szCs w:val="21"/>
          <w:highlight w:val="none"/>
        </w:rPr>
        <w:t>传真：</w:t>
      </w:r>
      <w:r>
        <w:rPr>
          <w:color w:val="auto"/>
          <w:szCs w:val="21"/>
          <w:highlight w:val="none"/>
          <w:u w:val="single"/>
        </w:rPr>
        <w:t xml:space="preserve">                                     </w:t>
      </w:r>
    </w:p>
    <w:p>
      <w:pPr>
        <w:spacing w:line="400" w:lineRule="exact"/>
        <w:ind w:firstLine="3675" w:firstLineChars="1750"/>
        <w:rPr>
          <w:color w:val="auto"/>
          <w:szCs w:val="21"/>
          <w:highlight w:val="none"/>
        </w:rPr>
      </w:pPr>
      <w:r>
        <w:rPr>
          <w:rFonts w:hint="eastAsia"/>
          <w:color w:val="auto"/>
          <w:szCs w:val="21"/>
          <w:highlight w:val="none"/>
        </w:rPr>
        <w:t>电子邮箱</w:t>
      </w:r>
      <w:r>
        <w:rPr>
          <w:color w:val="auto"/>
          <w:szCs w:val="21"/>
          <w:highlight w:val="none"/>
        </w:rPr>
        <w:t>：</w:t>
      </w:r>
      <w:r>
        <w:rPr>
          <w:color w:val="auto"/>
          <w:szCs w:val="21"/>
          <w:highlight w:val="none"/>
          <w:u w:val="single"/>
        </w:rPr>
        <w:t xml:space="preserve">                                 </w:t>
      </w:r>
    </w:p>
    <w:p>
      <w:pPr>
        <w:spacing w:line="400" w:lineRule="exact"/>
        <w:ind w:firstLine="3675" w:firstLineChars="1750"/>
        <w:rPr>
          <w:color w:val="auto"/>
          <w:szCs w:val="21"/>
          <w:highlight w:val="none"/>
        </w:rPr>
      </w:pPr>
    </w:p>
    <w:p>
      <w:pPr>
        <w:spacing w:line="440" w:lineRule="exact"/>
        <w:jc w:val="right"/>
        <w:rPr>
          <w:rFonts w:eastAsia="黑体"/>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spacing w:line="440" w:lineRule="exact"/>
        <w:rPr>
          <w:rFonts w:eastAsia="黑体"/>
          <w:color w:val="auto"/>
          <w:sz w:val="20"/>
          <w:szCs w:val="20"/>
          <w:highlight w:val="none"/>
        </w:rPr>
      </w:pPr>
      <w:r>
        <w:rPr>
          <w:rFonts w:eastAsia="黑体"/>
          <w:color w:val="auto"/>
          <w:sz w:val="20"/>
          <w:szCs w:val="20"/>
          <w:highlight w:val="none"/>
        </w:rPr>
        <w:br w:type="page"/>
      </w:r>
    </w:p>
    <w:p>
      <w:pPr>
        <w:pStyle w:val="3"/>
        <w:jc w:val="center"/>
        <w:rPr>
          <w:rFonts w:ascii="黑体"/>
          <w:b w:val="0"/>
          <w:color w:val="auto"/>
          <w:highlight w:val="none"/>
        </w:rPr>
      </w:pPr>
      <w:bookmarkStart w:id="157" w:name="_Toc475483723"/>
      <w:bookmarkStart w:id="158" w:name="_Toc8418"/>
      <w:r>
        <w:rPr>
          <w:rFonts w:hint="eastAsia" w:ascii="黑体"/>
          <w:b w:val="0"/>
          <w:color w:val="auto"/>
          <w:highlight w:val="none"/>
        </w:rPr>
        <w:t>三、联合体协议书（如有）</w:t>
      </w:r>
      <w:bookmarkEnd w:id="157"/>
      <w:bookmarkEnd w:id="158"/>
    </w:p>
    <w:p>
      <w:pPr>
        <w:pStyle w:val="11"/>
        <w:spacing w:line="440" w:lineRule="exact"/>
        <w:rPr>
          <w:color w:val="auto"/>
          <w:szCs w:val="21"/>
          <w:highlight w:val="none"/>
        </w:rPr>
      </w:pPr>
      <w:r>
        <w:rPr>
          <w:rFonts w:hint="eastAsia"/>
          <w:color w:val="auto"/>
          <w:szCs w:val="21"/>
          <w:highlight w:val="none"/>
          <w:u w:val="single"/>
        </w:rPr>
        <w:t xml:space="preserve">（所有成员单位名单）  </w:t>
      </w:r>
      <w:r>
        <w:rPr>
          <w:rFonts w:hAnsi="宋体"/>
          <w:color w:val="auto"/>
          <w:szCs w:val="21"/>
          <w:highlight w:val="none"/>
        </w:rPr>
        <w:t>自愿组成：</w:t>
      </w:r>
      <w:r>
        <w:rPr>
          <w:rFonts w:hint="eastAsia"/>
          <w:color w:val="auto"/>
          <w:szCs w:val="21"/>
          <w:highlight w:val="none"/>
          <w:u w:val="single"/>
        </w:rPr>
        <w:t xml:space="preserve">    </w:t>
      </w:r>
      <w:r>
        <w:rPr>
          <w:rFonts w:hAnsi="宋体"/>
          <w:color w:val="auto"/>
          <w:szCs w:val="21"/>
          <w:highlight w:val="none"/>
          <w:u w:val="single"/>
        </w:rPr>
        <w:t>（联合体名称）</w:t>
      </w:r>
      <w:r>
        <w:rPr>
          <w:rFonts w:hint="eastAsia" w:hAnsi="宋体"/>
          <w:color w:val="auto"/>
          <w:szCs w:val="21"/>
          <w:highlight w:val="none"/>
          <w:u w:val="single"/>
        </w:rPr>
        <w:t xml:space="preserve">  </w:t>
      </w:r>
      <w:r>
        <w:rPr>
          <w:rFonts w:hAnsi="宋体"/>
          <w:color w:val="auto"/>
          <w:szCs w:val="21"/>
          <w:highlight w:val="none"/>
        </w:rPr>
        <w:t>联合体，共同参加</w:t>
      </w:r>
      <w:r>
        <w:rPr>
          <w:rFonts w:hAnsi="宋体"/>
          <w:color w:val="auto"/>
          <w:szCs w:val="21"/>
          <w:highlight w:val="none"/>
          <w:u w:val="single"/>
        </w:rPr>
        <w:t>（竞争性谈判项目名称）</w:t>
      </w:r>
      <w:r>
        <w:rPr>
          <w:rFonts w:hAnsi="宋体"/>
          <w:color w:val="auto"/>
          <w:szCs w:val="21"/>
          <w:highlight w:val="none"/>
        </w:rPr>
        <w:t>竞争性谈判。现就联合体竞争性谈判事宜订立如下协议</w:t>
      </w:r>
      <w:r>
        <w:rPr>
          <w:rFonts w:hint="eastAsia" w:hAnsi="宋体"/>
          <w:color w:val="auto"/>
          <w:szCs w:val="21"/>
          <w:highlight w:val="none"/>
        </w:rPr>
        <w:t>：</w:t>
      </w:r>
    </w:p>
    <w:p>
      <w:pPr>
        <w:pStyle w:val="11"/>
        <w:spacing w:line="440" w:lineRule="exact"/>
        <w:rPr>
          <w:color w:val="auto"/>
          <w:szCs w:val="21"/>
          <w:highlight w:val="none"/>
        </w:rPr>
      </w:pPr>
      <w:r>
        <w:rPr>
          <w:color w:val="auto"/>
          <w:szCs w:val="21"/>
          <w:highlight w:val="none"/>
        </w:rPr>
        <w:t>1</w:t>
      </w:r>
      <w:r>
        <w:rPr>
          <w:rFonts w:hint="eastAsia"/>
          <w:color w:val="auto"/>
          <w:szCs w:val="21"/>
          <w:highlight w:val="none"/>
        </w:rPr>
        <w:t>．</w:t>
      </w:r>
      <w:r>
        <w:rPr>
          <w:rFonts w:hAnsi="宋体"/>
          <w:color w:val="auto"/>
          <w:szCs w:val="21"/>
          <w:highlight w:val="none"/>
          <w:u w:val="single"/>
        </w:rPr>
        <w:t>（成员单位名称）</w:t>
      </w:r>
      <w:r>
        <w:rPr>
          <w:rFonts w:hAnsi="宋体"/>
          <w:color w:val="auto"/>
          <w:szCs w:val="21"/>
          <w:highlight w:val="none"/>
        </w:rPr>
        <w:t>为</w:t>
      </w:r>
      <w:r>
        <w:rPr>
          <w:rFonts w:hAnsi="宋体"/>
          <w:color w:val="auto"/>
          <w:szCs w:val="21"/>
          <w:highlight w:val="none"/>
          <w:u w:val="single"/>
        </w:rPr>
        <w:t>（联合体名称）</w:t>
      </w:r>
      <w:r>
        <w:rPr>
          <w:rFonts w:hAnsi="宋体"/>
          <w:color w:val="auto"/>
          <w:szCs w:val="21"/>
          <w:highlight w:val="none"/>
        </w:rPr>
        <w:t>牵头人。</w:t>
      </w:r>
    </w:p>
    <w:p>
      <w:pPr>
        <w:pStyle w:val="11"/>
        <w:spacing w:line="440" w:lineRule="exact"/>
        <w:rPr>
          <w:color w:val="auto"/>
          <w:szCs w:val="21"/>
          <w:highlight w:val="none"/>
        </w:rPr>
      </w:pPr>
      <w:r>
        <w:rPr>
          <w:color w:val="auto"/>
          <w:szCs w:val="21"/>
          <w:highlight w:val="none"/>
        </w:rPr>
        <w:t>2</w:t>
      </w:r>
      <w:r>
        <w:rPr>
          <w:rFonts w:hint="eastAsia"/>
          <w:color w:val="auto"/>
          <w:szCs w:val="21"/>
          <w:highlight w:val="none"/>
        </w:rPr>
        <w:t>．</w:t>
      </w:r>
      <w:r>
        <w:rPr>
          <w:rFonts w:hAnsi="宋体"/>
          <w:color w:val="auto"/>
          <w:szCs w:val="21"/>
          <w:highlight w:val="none"/>
        </w:rPr>
        <w:t>联合体牵头人合法代表联合体各成员，负责本竞争性谈判项目响应文件编制和合同谈判活动，并代表联合体成员</w:t>
      </w:r>
      <w:r>
        <w:rPr>
          <w:rFonts w:hint="eastAsia" w:hAnsi="宋体"/>
          <w:color w:val="auto"/>
          <w:szCs w:val="21"/>
          <w:highlight w:val="none"/>
        </w:rPr>
        <w:t>递</w:t>
      </w:r>
      <w:r>
        <w:rPr>
          <w:rFonts w:hAnsi="宋体"/>
          <w:color w:val="auto"/>
          <w:szCs w:val="21"/>
          <w:highlight w:val="none"/>
        </w:rPr>
        <w:t>交和接受相关的资料、信息及指示，并处理与之有关的一切事务，负责合同实施阶段的主办、组织和协调工作。</w:t>
      </w:r>
    </w:p>
    <w:p>
      <w:pPr>
        <w:pStyle w:val="11"/>
        <w:spacing w:line="440" w:lineRule="exact"/>
        <w:rPr>
          <w:rFonts w:hAnsi="宋体"/>
          <w:color w:val="auto"/>
          <w:szCs w:val="21"/>
          <w:highlight w:val="none"/>
        </w:rPr>
      </w:pPr>
      <w:r>
        <w:rPr>
          <w:color w:val="auto"/>
          <w:szCs w:val="21"/>
          <w:highlight w:val="none"/>
        </w:rPr>
        <w:t>3</w:t>
      </w:r>
      <w:r>
        <w:rPr>
          <w:rFonts w:hint="eastAsia"/>
          <w:color w:val="auto"/>
          <w:szCs w:val="21"/>
          <w:highlight w:val="none"/>
        </w:rPr>
        <w:t>．</w:t>
      </w:r>
      <w:r>
        <w:rPr>
          <w:rFonts w:hAnsi="宋体"/>
          <w:color w:val="auto"/>
          <w:szCs w:val="21"/>
          <w:highlight w:val="none"/>
        </w:rPr>
        <w:t>联合体将严格按照竞争性谈判文件的各项要求，递交响应文件，履行合同，并对外承担连带责任。</w:t>
      </w:r>
    </w:p>
    <w:p>
      <w:pPr>
        <w:pStyle w:val="11"/>
        <w:spacing w:line="440" w:lineRule="exact"/>
        <w:rPr>
          <w:color w:val="auto"/>
          <w:szCs w:val="21"/>
          <w:highlight w:val="none"/>
        </w:rPr>
      </w:pPr>
      <w:r>
        <w:rPr>
          <w:color w:val="auto"/>
          <w:szCs w:val="21"/>
          <w:highlight w:val="none"/>
        </w:rPr>
        <w:t>4</w:t>
      </w:r>
      <w:r>
        <w:rPr>
          <w:rFonts w:hint="eastAsia"/>
          <w:color w:val="auto"/>
          <w:szCs w:val="21"/>
          <w:highlight w:val="none"/>
        </w:rPr>
        <w:t>．</w:t>
      </w:r>
      <w:r>
        <w:rPr>
          <w:rFonts w:hAnsi="宋体"/>
          <w:color w:val="auto"/>
          <w:szCs w:val="21"/>
          <w:highlight w:val="none"/>
        </w:rPr>
        <w:t>联合体各成员单位内部的职责分工</w:t>
      </w:r>
      <w:r>
        <w:rPr>
          <w:rFonts w:hint="eastAsia" w:hAnsi="宋体"/>
          <w:color w:val="auto"/>
          <w:szCs w:val="21"/>
          <w:highlight w:val="none"/>
        </w:rPr>
        <w:t>以及资质等级</w:t>
      </w:r>
      <w:r>
        <w:rPr>
          <w:rFonts w:hAnsi="宋体"/>
          <w:color w:val="auto"/>
          <w:szCs w:val="21"/>
          <w:highlight w:val="none"/>
        </w:rPr>
        <w:t>如下：</w:t>
      </w:r>
      <w:r>
        <w:rPr>
          <w:color w:val="auto"/>
          <w:szCs w:val="21"/>
          <w:highlight w:val="none"/>
        </w:rPr>
        <w:t>_________________</w:t>
      </w:r>
      <w:r>
        <w:rPr>
          <w:rFonts w:hint="eastAsia"/>
          <w:color w:val="auto"/>
          <w:szCs w:val="21"/>
          <w:highlight w:val="none"/>
        </w:rPr>
        <w:t>。</w:t>
      </w:r>
    </w:p>
    <w:p>
      <w:pPr>
        <w:pStyle w:val="11"/>
        <w:spacing w:line="440" w:lineRule="exact"/>
        <w:rPr>
          <w:rFonts w:ascii="宋体" w:hAnsi="宋体"/>
          <w:color w:val="auto"/>
          <w:szCs w:val="21"/>
          <w:highlight w:val="none"/>
        </w:rPr>
      </w:pPr>
      <w:r>
        <w:rPr>
          <w:rFonts w:hint="eastAsia" w:ascii="宋体" w:hAnsi="宋体"/>
          <w:color w:val="auto"/>
          <w:szCs w:val="21"/>
          <w:highlight w:val="none"/>
        </w:rPr>
        <w:t>按照本条上述分工，联合体成员单位各自所承担的合同工作量比例如下：</w:t>
      </w:r>
      <w:r>
        <w:rPr>
          <w:rFonts w:hint="eastAsia" w:ascii="宋体" w:hAnsi="宋体"/>
          <w:color w:val="auto"/>
          <w:szCs w:val="21"/>
          <w:highlight w:val="none"/>
          <w:u w:val="single"/>
        </w:rPr>
        <w:t xml:space="preserve">           </w:t>
      </w:r>
    </w:p>
    <w:p>
      <w:pPr>
        <w:spacing w:line="44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40" w:lineRule="exact"/>
        <w:ind w:firstLine="424" w:firstLineChars="202"/>
        <w:rPr>
          <w:color w:val="auto"/>
          <w:szCs w:val="21"/>
          <w:highlight w:val="none"/>
        </w:rPr>
      </w:pPr>
      <w:r>
        <w:rPr>
          <w:color w:val="auto"/>
          <w:szCs w:val="21"/>
          <w:highlight w:val="none"/>
        </w:rPr>
        <w:t>5</w:t>
      </w:r>
      <w:r>
        <w:rPr>
          <w:rFonts w:hint="eastAsia"/>
          <w:color w:val="auto"/>
          <w:szCs w:val="21"/>
          <w:highlight w:val="none"/>
        </w:rPr>
        <w:t xml:space="preserve">． </w:t>
      </w:r>
      <w:r>
        <w:rPr>
          <w:color w:val="auto"/>
          <w:szCs w:val="21"/>
          <w:highlight w:val="none"/>
        </w:rPr>
        <w:t>竞争性谈判工作以及联合体在成交后</w:t>
      </w:r>
      <w:r>
        <w:rPr>
          <w:rFonts w:hint="eastAsia"/>
          <w:color w:val="auto"/>
          <w:szCs w:val="21"/>
          <w:highlight w:val="none"/>
        </w:rPr>
        <w:t>项目</w:t>
      </w:r>
      <w:r>
        <w:rPr>
          <w:color w:val="auto"/>
          <w:szCs w:val="21"/>
          <w:highlight w:val="none"/>
        </w:rPr>
        <w:t>实施过程中的有关费用按</w:t>
      </w:r>
      <w:r>
        <w:rPr>
          <w:rFonts w:hint="eastAsia"/>
          <w:color w:val="auto"/>
          <w:szCs w:val="21"/>
          <w:highlight w:val="none"/>
        </w:rPr>
        <w:t>照</w:t>
      </w:r>
      <w:r>
        <w:rPr>
          <w:color w:val="auto"/>
          <w:szCs w:val="21"/>
          <w:highlight w:val="none"/>
        </w:rPr>
        <w:t>各自承担的工作量分摊。</w:t>
      </w:r>
    </w:p>
    <w:p>
      <w:pPr>
        <w:spacing w:line="440" w:lineRule="exact"/>
        <w:ind w:firstLine="424" w:firstLineChars="202"/>
        <w:rPr>
          <w:color w:val="auto"/>
          <w:szCs w:val="21"/>
          <w:highlight w:val="none"/>
        </w:rPr>
      </w:pPr>
      <w:r>
        <w:rPr>
          <w:color w:val="auto"/>
          <w:szCs w:val="21"/>
          <w:highlight w:val="none"/>
        </w:rPr>
        <w:t>6</w:t>
      </w:r>
      <w:r>
        <w:rPr>
          <w:rFonts w:hint="eastAsia"/>
          <w:color w:val="auto"/>
          <w:szCs w:val="21"/>
          <w:highlight w:val="none"/>
        </w:rPr>
        <w:t>．</w:t>
      </w:r>
      <w:r>
        <w:rPr>
          <w:color w:val="auto"/>
          <w:szCs w:val="21"/>
          <w:highlight w:val="none"/>
        </w:rPr>
        <w:t>联合体成交后，本联合体协议是合同的附件，对联合体各成员单位有合同约束力。</w:t>
      </w:r>
    </w:p>
    <w:p>
      <w:pPr>
        <w:pStyle w:val="11"/>
        <w:tabs>
          <w:tab w:val="left" w:pos="6645"/>
        </w:tabs>
        <w:spacing w:line="440" w:lineRule="exact"/>
        <w:rPr>
          <w:color w:val="auto"/>
          <w:szCs w:val="21"/>
          <w:highlight w:val="none"/>
        </w:rPr>
      </w:pPr>
      <w:r>
        <w:rPr>
          <w:rFonts w:hint="eastAsia"/>
          <w:color w:val="auto"/>
          <w:szCs w:val="21"/>
          <w:highlight w:val="none"/>
        </w:rPr>
        <w:t>7．</w:t>
      </w:r>
      <w:r>
        <w:rPr>
          <w:color w:val="auto"/>
          <w:szCs w:val="21"/>
          <w:highlight w:val="none"/>
        </w:rPr>
        <w:t>本协议书自签</w:t>
      </w:r>
      <w:r>
        <w:rPr>
          <w:rFonts w:hint="eastAsia"/>
          <w:color w:val="auto"/>
          <w:szCs w:val="21"/>
          <w:highlight w:val="none"/>
        </w:rPr>
        <w:t>署</w:t>
      </w:r>
      <w:r>
        <w:rPr>
          <w:color w:val="auto"/>
          <w:szCs w:val="21"/>
          <w:highlight w:val="none"/>
        </w:rPr>
        <w:t>之日起生效，合同履行完毕后自动失效。</w:t>
      </w:r>
    </w:p>
    <w:p>
      <w:pPr>
        <w:pStyle w:val="11"/>
        <w:spacing w:line="440" w:lineRule="exact"/>
        <w:rPr>
          <w:color w:val="auto"/>
          <w:szCs w:val="21"/>
          <w:highlight w:val="none"/>
        </w:rPr>
      </w:pPr>
      <w:r>
        <w:rPr>
          <w:rFonts w:hint="eastAsia"/>
          <w:color w:val="auto"/>
          <w:szCs w:val="21"/>
          <w:highlight w:val="none"/>
        </w:rPr>
        <w:t>8．</w:t>
      </w:r>
      <w:r>
        <w:rPr>
          <w:color w:val="auto"/>
          <w:szCs w:val="21"/>
          <w:highlight w:val="none"/>
        </w:rPr>
        <w:t>本协议书一式____份，联合体成员</w:t>
      </w:r>
      <w:r>
        <w:rPr>
          <w:rFonts w:hint="eastAsia"/>
          <w:color w:val="auto"/>
          <w:szCs w:val="21"/>
          <w:highlight w:val="none"/>
        </w:rPr>
        <w:t>和</w:t>
      </w:r>
      <w:r>
        <w:rPr>
          <w:color w:val="auto"/>
          <w:szCs w:val="21"/>
          <w:highlight w:val="none"/>
        </w:rPr>
        <w:t>采购人各执一份。</w:t>
      </w:r>
    </w:p>
    <w:p>
      <w:pPr>
        <w:pStyle w:val="11"/>
        <w:spacing w:line="440" w:lineRule="exact"/>
        <w:rPr>
          <w:color w:val="auto"/>
          <w:szCs w:val="21"/>
          <w:highlight w:val="none"/>
        </w:rPr>
      </w:pPr>
      <w:r>
        <w:rPr>
          <w:rFonts w:hAnsi="宋体"/>
          <w:color w:val="auto"/>
          <w:szCs w:val="21"/>
          <w:highlight w:val="none"/>
        </w:rPr>
        <w:t>注：本协议书由委托人签字的，应附法定代表人签字的授权委托书。</w:t>
      </w:r>
    </w:p>
    <w:p>
      <w:pPr>
        <w:pStyle w:val="11"/>
        <w:wordWrap w:val="0"/>
        <w:spacing w:line="360" w:lineRule="auto"/>
        <w:jc w:val="right"/>
        <w:rPr>
          <w:color w:val="auto"/>
          <w:szCs w:val="21"/>
          <w:highlight w:val="none"/>
        </w:rPr>
      </w:pPr>
      <w:r>
        <w:rPr>
          <w:rFonts w:hAnsi="宋体"/>
          <w:color w:val="auto"/>
          <w:szCs w:val="21"/>
          <w:highlight w:val="none"/>
        </w:rPr>
        <w:t>牵头人名称：</w:t>
      </w:r>
      <w:r>
        <w:rPr>
          <w:color w:val="auto"/>
          <w:szCs w:val="21"/>
          <w:highlight w:val="none"/>
        </w:rPr>
        <w:t>_______________________</w:t>
      </w:r>
      <w:r>
        <w:rPr>
          <w:rFonts w:hAnsi="宋体"/>
          <w:color w:val="auto"/>
          <w:szCs w:val="21"/>
          <w:highlight w:val="none"/>
        </w:rPr>
        <w:t>（盖单位公章）</w:t>
      </w:r>
    </w:p>
    <w:p>
      <w:pPr>
        <w:pStyle w:val="11"/>
        <w:spacing w:line="360" w:lineRule="auto"/>
        <w:jc w:val="right"/>
        <w:rPr>
          <w:color w:val="auto"/>
          <w:szCs w:val="21"/>
          <w:highlight w:val="none"/>
        </w:rPr>
      </w:pPr>
      <w:r>
        <w:rPr>
          <w:rFonts w:hAnsi="宋体"/>
          <w:color w:val="auto"/>
          <w:szCs w:val="21"/>
          <w:highlight w:val="none"/>
        </w:rPr>
        <w:t>法定代表人或其委托代理人：</w:t>
      </w:r>
      <w:r>
        <w:rPr>
          <w:color w:val="auto"/>
          <w:szCs w:val="21"/>
          <w:highlight w:val="none"/>
        </w:rPr>
        <w:t>_____________</w:t>
      </w:r>
      <w:r>
        <w:rPr>
          <w:rFonts w:hAnsi="宋体"/>
          <w:color w:val="auto"/>
          <w:szCs w:val="21"/>
          <w:highlight w:val="none"/>
        </w:rPr>
        <w:t>（签字）</w:t>
      </w:r>
    </w:p>
    <w:p>
      <w:pPr>
        <w:pStyle w:val="11"/>
        <w:spacing w:line="360" w:lineRule="auto"/>
        <w:jc w:val="right"/>
        <w:rPr>
          <w:color w:val="auto"/>
          <w:szCs w:val="21"/>
          <w:highlight w:val="none"/>
        </w:rPr>
      </w:pPr>
    </w:p>
    <w:p>
      <w:pPr>
        <w:pStyle w:val="11"/>
        <w:wordWrap w:val="0"/>
        <w:spacing w:line="360" w:lineRule="auto"/>
        <w:jc w:val="right"/>
        <w:rPr>
          <w:color w:val="auto"/>
          <w:szCs w:val="21"/>
          <w:highlight w:val="none"/>
        </w:rPr>
      </w:pPr>
      <w:r>
        <w:rPr>
          <w:rFonts w:hAnsi="宋体"/>
          <w:color w:val="auto"/>
          <w:szCs w:val="21"/>
          <w:highlight w:val="none"/>
        </w:rPr>
        <w:t>成员一名称：</w:t>
      </w:r>
      <w:r>
        <w:rPr>
          <w:color w:val="auto"/>
          <w:szCs w:val="21"/>
          <w:highlight w:val="none"/>
        </w:rPr>
        <w:t>_______________________</w:t>
      </w:r>
      <w:r>
        <w:rPr>
          <w:rFonts w:hAnsi="宋体"/>
          <w:color w:val="auto"/>
          <w:szCs w:val="21"/>
          <w:highlight w:val="none"/>
        </w:rPr>
        <w:t>（盖单位公章）</w:t>
      </w:r>
    </w:p>
    <w:p>
      <w:pPr>
        <w:pStyle w:val="11"/>
        <w:spacing w:line="360" w:lineRule="auto"/>
        <w:jc w:val="right"/>
        <w:rPr>
          <w:color w:val="auto"/>
          <w:szCs w:val="21"/>
          <w:highlight w:val="none"/>
        </w:rPr>
      </w:pPr>
      <w:r>
        <w:rPr>
          <w:rFonts w:hAnsi="宋体"/>
          <w:color w:val="auto"/>
          <w:szCs w:val="21"/>
          <w:highlight w:val="none"/>
        </w:rPr>
        <w:t>法定代表人或其委托代理人：</w:t>
      </w:r>
      <w:r>
        <w:rPr>
          <w:color w:val="auto"/>
          <w:szCs w:val="21"/>
          <w:highlight w:val="none"/>
        </w:rPr>
        <w:t>_____________</w:t>
      </w:r>
      <w:r>
        <w:rPr>
          <w:rFonts w:hAnsi="宋体"/>
          <w:color w:val="auto"/>
          <w:szCs w:val="21"/>
          <w:highlight w:val="none"/>
        </w:rPr>
        <w:t>（签字）</w:t>
      </w:r>
    </w:p>
    <w:p>
      <w:pPr>
        <w:pStyle w:val="11"/>
        <w:spacing w:line="360" w:lineRule="auto"/>
        <w:jc w:val="right"/>
        <w:rPr>
          <w:color w:val="auto"/>
          <w:szCs w:val="21"/>
          <w:highlight w:val="none"/>
        </w:rPr>
      </w:pPr>
    </w:p>
    <w:p>
      <w:pPr>
        <w:pStyle w:val="11"/>
        <w:spacing w:line="360" w:lineRule="auto"/>
        <w:jc w:val="right"/>
        <w:rPr>
          <w:color w:val="auto"/>
          <w:szCs w:val="21"/>
          <w:highlight w:val="none"/>
        </w:rPr>
      </w:pPr>
      <w:r>
        <w:rPr>
          <w:rFonts w:hAnsi="宋体"/>
          <w:color w:val="auto"/>
          <w:szCs w:val="21"/>
          <w:highlight w:val="none"/>
        </w:rPr>
        <w:t>成员二名称：</w:t>
      </w:r>
      <w:r>
        <w:rPr>
          <w:color w:val="auto"/>
          <w:szCs w:val="21"/>
          <w:highlight w:val="none"/>
        </w:rPr>
        <w:t>_______________________</w:t>
      </w:r>
      <w:r>
        <w:rPr>
          <w:rFonts w:hAnsi="宋体"/>
          <w:color w:val="auto"/>
          <w:szCs w:val="21"/>
          <w:highlight w:val="none"/>
        </w:rPr>
        <w:t>（盖单位公章）</w:t>
      </w:r>
    </w:p>
    <w:p>
      <w:pPr>
        <w:pStyle w:val="11"/>
        <w:spacing w:line="360" w:lineRule="auto"/>
        <w:jc w:val="right"/>
        <w:rPr>
          <w:rFonts w:hAnsi="宋体"/>
          <w:color w:val="auto"/>
          <w:szCs w:val="21"/>
          <w:highlight w:val="none"/>
        </w:rPr>
      </w:pPr>
      <w:r>
        <w:rPr>
          <w:rFonts w:hAnsi="宋体"/>
          <w:color w:val="auto"/>
          <w:szCs w:val="21"/>
          <w:highlight w:val="none"/>
        </w:rPr>
        <w:t>法定代表人或其委托代理人：</w:t>
      </w:r>
      <w:r>
        <w:rPr>
          <w:color w:val="auto"/>
          <w:szCs w:val="21"/>
          <w:highlight w:val="none"/>
        </w:rPr>
        <w:t>_____________</w:t>
      </w:r>
      <w:r>
        <w:rPr>
          <w:rFonts w:hAnsi="宋体"/>
          <w:color w:val="auto"/>
          <w:szCs w:val="21"/>
          <w:highlight w:val="none"/>
        </w:rPr>
        <w:t>（签字）</w:t>
      </w:r>
    </w:p>
    <w:p>
      <w:pPr>
        <w:pStyle w:val="11"/>
        <w:spacing w:line="360" w:lineRule="auto"/>
        <w:ind w:right="840"/>
        <w:rPr>
          <w:rFonts w:hAnsi="宋体"/>
          <w:color w:val="auto"/>
          <w:szCs w:val="21"/>
          <w:highlight w:val="none"/>
        </w:rPr>
      </w:pPr>
      <w:r>
        <w:rPr>
          <w:rFonts w:hint="eastAsia" w:hAnsi="宋体"/>
          <w:color w:val="auto"/>
          <w:szCs w:val="21"/>
          <w:highlight w:val="none"/>
        </w:rPr>
        <w:t xml:space="preserve">                             </w:t>
      </w:r>
      <w:r>
        <w:rPr>
          <w:rFonts w:hAnsi="宋体"/>
          <w:color w:val="auto"/>
          <w:szCs w:val="21"/>
          <w:highlight w:val="none"/>
        </w:rPr>
        <w:t>……</w:t>
      </w:r>
    </w:p>
    <w:p>
      <w:pPr>
        <w:spacing w:line="360" w:lineRule="auto"/>
        <w:ind w:firstLine="2879" w:firstLineChars="1371"/>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日</w:t>
      </w:r>
    </w:p>
    <w:p>
      <w:pPr>
        <w:pStyle w:val="3"/>
        <w:jc w:val="center"/>
        <w:rPr>
          <w:color w:val="auto"/>
          <w:szCs w:val="21"/>
          <w:highlight w:val="none"/>
        </w:rPr>
      </w:pPr>
      <w:bookmarkStart w:id="159" w:name="_Toc475483724"/>
      <w:bookmarkStart w:id="160" w:name="_Toc19484"/>
      <w:r>
        <w:rPr>
          <w:rFonts w:hint="eastAsia"/>
          <w:b w:val="0"/>
          <w:color w:val="auto"/>
          <w:highlight w:val="none"/>
        </w:rPr>
        <w:t>四、法定代表人身份证明</w:t>
      </w:r>
      <w:bookmarkEnd w:id="159"/>
      <w:bookmarkEnd w:id="160"/>
    </w:p>
    <w:p>
      <w:pPr>
        <w:jc w:val="center"/>
        <w:rPr>
          <w:color w:val="auto"/>
          <w:szCs w:val="21"/>
          <w:highlight w:val="none"/>
        </w:rPr>
      </w:pPr>
    </w:p>
    <w:p>
      <w:pPr>
        <w:topLinePunct/>
        <w:spacing w:line="600" w:lineRule="exact"/>
        <w:rPr>
          <w:bCs/>
          <w:color w:val="auto"/>
          <w:szCs w:val="21"/>
          <w:highlight w:val="none"/>
          <w:u w:val="single"/>
        </w:rPr>
      </w:pPr>
      <w:r>
        <w:rPr>
          <w:rFonts w:hint="eastAsia"/>
          <w:bCs/>
          <w:color w:val="auto"/>
          <w:szCs w:val="21"/>
          <w:highlight w:val="none"/>
        </w:rPr>
        <w:t>响应人</w:t>
      </w:r>
      <w:r>
        <w:rPr>
          <w:bCs/>
          <w:color w:val="auto"/>
          <w:szCs w:val="21"/>
          <w:highlight w:val="none"/>
        </w:rPr>
        <w:t>名称：</w:t>
      </w:r>
      <w:r>
        <w:rPr>
          <w:bCs/>
          <w:color w:val="auto"/>
          <w:szCs w:val="21"/>
          <w:highlight w:val="none"/>
          <w:u w:val="single"/>
        </w:rPr>
        <w:t xml:space="preserve">                         </w:t>
      </w:r>
    </w:p>
    <w:p>
      <w:pPr>
        <w:topLinePunct/>
        <w:spacing w:line="600" w:lineRule="exact"/>
        <w:rPr>
          <w:bCs/>
          <w:color w:val="auto"/>
          <w:szCs w:val="21"/>
          <w:highlight w:val="none"/>
        </w:rPr>
      </w:pPr>
      <w:r>
        <w:rPr>
          <w:bCs/>
          <w:color w:val="auto"/>
          <w:szCs w:val="21"/>
          <w:highlight w:val="none"/>
        </w:rPr>
        <w:t>单位性质：</w:t>
      </w:r>
      <w:r>
        <w:rPr>
          <w:bCs/>
          <w:color w:val="auto"/>
          <w:szCs w:val="21"/>
          <w:highlight w:val="none"/>
          <w:u w:val="single"/>
        </w:rPr>
        <w:t xml:space="preserve">                           </w:t>
      </w:r>
    </w:p>
    <w:p>
      <w:pPr>
        <w:topLinePunct/>
        <w:spacing w:line="600" w:lineRule="exact"/>
        <w:rPr>
          <w:bCs/>
          <w:color w:val="auto"/>
          <w:szCs w:val="21"/>
          <w:highlight w:val="none"/>
        </w:rPr>
      </w:pPr>
      <w:r>
        <w:rPr>
          <w:bCs/>
          <w:color w:val="auto"/>
          <w:szCs w:val="21"/>
          <w:highlight w:val="none"/>
        </w:rPr>
        <w:t>成立时间：</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w:t>
      </w:r>
    </w:p>
    <w:p>
      <w:pPr>
        <w:topLinePunct/>
        <w:spacing w:line="600" w:lineRule="exact"/>
        <w:rPr>
          <w:bCs/>
          <w:color w:val="auto"/>
          <w:szCs w:val="21"/>
          <w:highlight w:val="none"/>
        </w:rPr>
      </w:pPr>
      <w:r>
        <w:rPr>
          <w:bCs/>
          <w:color w:val="auto"/>
          <w:szCs w:val="21"/>
          <w:highlight w:val="none"/>
        </w:rPr>
        <w:t>经营期限：</w:t>
      </w:r>
      <w:r>
        <w:rPr>
          <w:bCs/>
          <w:color w:val="auto"/>
          <w:szCs w:val="21"/>
          <w:highlight w:val="none"/>
          <w:u w:val="single"/>
        </w:rPr>
        <w:t xml:space="preserve">            </w:t>
      </w:r>
    </w:p>
    <w:p>
      <w:pPr>
        <w:topLinePunct/>
        <w:spacing w:line="600" w:lineRule="exact"/>
        <w:rPr>
          <w:bCs/>
          <w:color w:val="auto"/>
          <w:szCs w:val="21"/>
          <w:highlight w:val="none"/>
          <w:u w:val="single"/>
        </w:rPr>
      </w:pPr>
      <w:r>
        <w:rPr>
          <w:bCs/>
          <w:color w:val="auto"/>
          <w:szCs w:val="21"/>
          <w:highlight w:val="none"/>
        </w:rPr>
        <w:t>姓名：</w:t>
      </w:r>
      <w:r>
        <w:rPr>
          <w:bCs/>
          <w:color w:val="auto"/>
          <w:szCs w:val="21"/>
          <w:highlight w:val="none"/>
          <w:u w:val="single"/>
        </w:rPr>
        <w:t xml:space="preserve">         </w:t>
      </w:r>
      <w:r>
        <w:rPr>
          <w:bCs/>
          <w:color w:val="auto"/>
          <w:szCs w:val="21"/>
          <w:highlight w:val="none"/>
        </w:rPr>
        <w:t>性别：</w:t>
      </w:r>
      <w:r>
        <w:rPr>
          <w:bCs/>
          <w:color w:val="auto"/>
          <w:szCs w:val="21"/>
          <w:highlight w:val="none"/>
          <w:u w:val="single"/>
        </w:rPr>
        <w:t xml:space="preserve">          </w:t>
      </w:r>
      <w:r>
        <w:rPr>
          <w:bCs/>
          <w:color w:val="auto"/>
          <w:szCs w:val="21"/>
          <w:highlight w:val="none"/>
        </w:rPr>
        <w:t>年龄：</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rPr>
        <w:t>职务：</w:t>
      </w:r>
      <w:r>
        <w:rPr>
          <w:bCs/>
          <w:color w:val="auto"/>
          <w:szCs w:val="21"/>
          <w:highlight w:val="none"/>
          <w:u w:val="single"/>
        </w:rPr>
        <w:t xml:space="preserve">        </w:t>
      </w:r>
      <w:r>
        <w:rPr>
          <w:rFonts w:hint="eastAsia"/>
          <w:bCs/>
          <w:color w:val="auto"/>
          <w:szCs w:val="21"/>
          <w:highlight w:val="none"/>
          <w:u w:val="single"/>
        </w:rPr>
        <w:t xml:space="preserve"> </w:t>
      </w:r>
    </w:p>
    <w:p>
      <w:pPr>
        <w:topLinePunct/>
        <w:spacing w:line="600" w:lineRule="exact"/>
        <w:rPr>
          <w:bCs/>
          <w:color w:val="auto"/>
          <w:szCs w:val="21"/>
          <w:highlight w:val="none"/>
        </w:rPr>
      </w:pPr>
      <w:r>
        <w:rPr>
          <w:bCs/>
          <w:color w:val="auto"/>
          <w:szCs w:val="21"/>
          <w:highlight w:val="none"/>
        </w:rPr>
        <w:t>系</w:t>
      </w:r>
      <w:r>
        <w:rPr>
          <w:bCs/>
          <w:color w:val="auto"/>
          <w:szCs w:val="21"/>
          <w:highlight w:val="none"/>
          <w:u w:val="single"/>
        </w:rPr>
        <w:t xml:space="preserve">                   </w:t>
      </w:r>
      <w:r>
        <w:rPr>
          <w:rFonts w:hint="eastAsia"/>
          <w:bCs/>
          <w:color w:val="auto"/>
          <w:szCs w:val="21"/>
          <w:highlight w:val="none"/>
        </w:rPr>
        <w:t>（响应人</w:t>
      </w:r>
      <w:r>
        <w:rPr>
          <w:bCs/>
          <w:color w:val="auto"/>
          <w:szCs w:val="21"/>
          <w:highlight w:val="none"/>
        </w:rPr>
        <w:t>名称</w:t>
      </w:r>
      <w:r>
        <w:rPr>
          <w:rFonts w:hint="eastAsia"/>
          <w:bCs/>
          <w:color w:val="auto"/>
          <w:szCs w:val="21"/>
          <w:highlight w:val="none"/>
        </w:rPr>
        <w:t>）</w:t>
      </w:r>
      <w:r>
        <w:rPr>
          <w:bCs/>
          <w:color w:val="auto"/>
          <w:szCs w:val="21"/>
          <w:highlight w:val="none"/>
        </w:rPr>
        <w:t>的法定代表人。</w:t>
      </w:r>
    </w:p>
    <w:p>
      <w:pPr>
        <w:topLinePunct/>
        <w:spacing w:line="600" w:lineRule="exact"/>
        <w:ind w:firstLine="420" w:firstLineChars="200"/>
        <w:rPr>
          <w:bCs/>
          <w:color w:val="auto"/>
          <w:szCs w:val="21"/>
          <w:highlight w:val="none"/>
        </w:rPr>
      </w:pPr>
      <w:r>
        <w:rPr>
          <w:bCs/>
          <w:color w:val="auto"/>
          <w:szCs w:val="21"/>
          <w:highlight w:val="none"/>
        </w:rPr>
        <w:t>特此证明。</w:t>
      </w:r>
    </w:p>
    <w:p>
      <w:pPr>
        <w:topLinePunct/>
        <w:spacing w:line="440" w:lineRule="exact"/>
        <w:rPr>
          <w:color w:val="auto"/>
          <w:highlight w:val="none"/>
        </w:rPr>
      </w:pPr>
      <w:r>
        <w:rPr>
          <w:color w:val="auto"/>
          <w:highlight w:val="none"/>
        </w:rPr>
        <w:t>附：法定代表人身份证复印件</w:t>
      </w:r>
      <w:r>
        <w:rPr>
          <w:rFonts w:hint="eastAsia"/>
          <w:color w:val="auto"/>
          <w:highlight w:val="none"/>
        </w:rPr>
        <w:t>（</w:t>
      </w:r>
      <w:r>
        <w:rPr>
          <w:rFonts w:hint="eastAsia" w:ascii="宋体" w:hAnsi="宋体"/>
          <w:color w:val="auto"/>
          <w:szCs w:val="21"/>
          <w:highlight w:val="none"/>
        </w:rPr>
        <w:t>需同时提供正面及背面</w:t>
      </w:r>
      <w:r>
        <w:rPr>
          <w:rFonts w:hint="eastAsia"/>
          <w:color w:val="auto"/>
          <w:highlight w:val="none"/>
        </w:rPr>
        <w:t>）</w:t>
      </w:r>
    </w:p>
    <w:p>
      <w:pPr>
        <w:spacing w:line="440" w:lineRule="exact"/>
        <w:rPr>
          <w:color w:val="auto"/>
          <w:szCs w:val="21"/>
          <w:highlight w:val="none"/>
        </w:rPr>
      </w:pPr>
    </w:p>
    <w:p>
      <w:pPr>
        <w:spacing w:line="500" w:lineRule="exact"/>
        <w:rPr>
          <w:rFonts w:ascii="宋体" w:hAnsi="宋体"/>
          <w:color w:val="auto"/>
          <w:szCs w:val="21"/>
          <w:highlight w:val="none"/>
        </w:rPr>
      </w:pPr>
    </w:p>
    <w:p>
      <w:pPr>
        <w:spacing w:line="440" w:lineRule="exact"/>
        <w:rPr>
          <w:color w:val="auto"/>
          <w:szCs w:val="21"/>
          <w:highlight w:val="none"/>
        </w:rPr>
      </w:pPr>
    </w:p>
    <w:p>
      <w:pPr>
        <w:spacing w:line="500" w:lineRule="exact"/>
        <w:rPr>
          <w:rFonts w:ascii="宋体" w:hAnsi="宋体"/>
          <w:color w:val="auto"/>
          <w:szCs w:val="21"/>
          <w:highlight w:val="none"/>
        </w:rPr>
      </w:pPr>
    </w:p>
    <w:p>
      <w:pPr>
        <w:spacing w:line="440" w:lineRule="exact"/>
        <w:rPr>
          <w:color w:val="auto"/>
          <w:szCs w:val="21"/>
          <w:highlight w:val="none"/>
        </w:rPr>
      </w:pPr>
    </w:p>
    <w:p>
      <w:pPr>
        <w:spacing w:line="500" w:lineRule="exact"/>
        <w:rPr>
          <w:rFonts w:ascii="宋体" w:hAnsi="宋体"/>
          <w:color w:val="auto"/>
          <w:szCs w:val="21"/>
          <w:highlight w:val="none"/>
        </w:rPr>
      </w:pPr>
    </w:p>
    <w:p>
      <w:pPr>
        <w:spacing w:line="440" w:lineRule="exact"/>
        <w:rPr>
          <w:color w:val="auto"/>
          <w:szCs w:val="21"/>
          <w:highlight w:val="none"/>
        </w:rPr>
      </w:pPr>
    </w:p>
    <w:p>
      <w:pPr>
        <w:spacing w:line="500" w:lineRule="exact"/>
        <w:rPr>
          <w:rFonts w:ascii="宋体" w:hAnsi="宋体"/>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ind w:firstLine="4305" w:firstLineChars="2050"/>
        <w:rPr>
          <w:color w:val="auto"/>
          <w:szCs w:val="21"/>
          <w:highlight w:val="none"/>
        </w:rPr>
      </w:pPr>
    </w:p>
    <w:p>
      <w:pPr>
        <w:spacing w:line="440" w:lineRule="exact"/>
        <w:ind w:firstLine="4305" w:firstLineChars="2050"/>
        <w:rPr>
          <w:color w:val="auto"/>
          <w:szCs w:val="21"/>
          <w:highlight w:val="none"/>
        </w:rPr>
      </w:pPr>
      <w:r>
        <w:rPr>
          <w:color w:val="auto"/>
          <w:szCs w:val="21"/>
          <w:highlight w:val="none"/>
        </w:rPr>
        <w:t>响应人：</w:t>
      </w:r>
      <w:r>
        <w:rPr>
          <w:color w:val="auto"/>
          <w:szCs w:val="21"/>
          <w:highlight w:val="none"/>
          <w:u w:val="single"/>
        </w:rPr>
        <w:t xml:space="preserve">                 </w:t>
      </w:r>
      <w:r>
        <w:rPr>
          <w:color w:val="auto"/>
          <w:szCs w:val="21"/>
          <w:highlight w:val="none"/>
        </w:rPr>
        <w:t>（盖单位公章）</w:t>
      </w:r>
    </w:p>
    <w:p>
      <w:pPr>
        <w:spacing w:line="440" w:lineRule="exact"/>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widowControl/>
        <w:jc w:val="left"/>
        <w:rPr>
          <w:rFonts w:ascii="Arial" w:hAnsi="Arial" w:eastAsia="黑体"/>
          <w:bCs/>
          <w:color w:val="auto"/>
          <w:sz w:val="32"/>
          <w:szCs w:val="32"/>
          <w:highlight w:val="none"/>
        </w:rPr>
      </w:pPr>
      <w:bookmarkStart w:id="161" w:name="_Toc475483725"/>
      <w:r>
        <w:rPr>
          <w:b/>
          <w:color w:val="auto"/>
          <w:highlight w:val="none"/>
        </w:rPr>
        <w:br w:type="page"/>
      </w:r>
    </w:p>
    <w:p>
      <w:pPr>
        <w:pStyle w:val="3"/>
        <w:jc w:val="center"/>
        <w:rPr>
          <w:b w:val="0"/>
          <w:color w:val="auto"/>
          <w:highlight w:val="none"/>
        </w:rPr>
      </w:pPr>
      <w:bookmarkStart w:id="162" w:name="_Toc18550"/>
      <w:r>
        <w:rPr>
          <w:rFonts w:hint="eastAsia"/>
          <w:b w:val="0"/>
          <w:color w:val="auto"/>
          <w:highlight w:val="none"/>
        </w:rPr>
        <w:t>五、法定代表人</w:t>
      </w:r>
      <w:r>
        <w:rPr>
          <w:b w:val="0"/>
          <w:color w:val="auto"/>
          <w:highlight w:val="none"/>
        </w:rPr>
        <w:t>授权委托书</w:t>
      </w:r>
      <w:bookmarkEnd w:id="161"/>
      <w:bookmarkEnd w:id="162"/>
    </w:p>
    <w:p>
      <w:pPr>
        <w:topLinePunct/>
        <w:spacing w:line="440" w:lineRule="exact"/>
        <w:ind w:firstLine="420" w:firstLineChars="200"/>
        <w:rPr>
          <w:color w:val="auto"/>
          <w:szCs w:val="21"/>
          <w:highlight w:val="none"/>
        </w:rPr>
      </w:pPr>
      <w:r>
        <w:rPr>
          <w:color w:val="auto"/>
          <w:szCs w:val="21"/>
          <w:highlight w:val="none"/>
        </w:rPr>
        <w:t>本人</w:t>
      </w:r>
      <w:r>
        <w:rPr>
          <w:color w:val="auto"/>
          <w:szCs w:val="21"/>
          <w:highlight w:val="none"/>
          <w:u w:val="single"/>
        </w:rPr>
        <w:t xml:space="preserve">       （姓名）</w:t>
      </w:r>
      <w:r>
        <w:rPr>
          <w:color w:val="auto"/>
          <w:szCs w:val="21"/>
          <w:highlight w:val="none"/>
        </w:rPr>
        <w:t>系</w:t>
      </w:r>
      <w:r>
        <w:rPr>
          <w:color w:val="auto"/>
          <w:szCs w:val="21"/>
          <w:highlight w:val="none"/>
          <w:u w:val="single"/>
        </w:rPr>
        <w:t xml:space="preserve"> （响应人名称）</w:t>
      </w:r>
      <w:r>
        <w:rPr>
          <w:color w:val="auto"/>
          <w:szCs w:val="21"/>
          <w:highlight w:val="none"/>
        </w:rPr>
        <w:t>的法定代表人，现委托</w:t>
      </w:r>
      <w:r>
        <w:rPr>
          <w:color w:val="auto"/>
          <w:szCs w:val="21"/>
          <w:highlight w:val="none"/>
          <w:u w:val="single"/>
        </w:rPr>
        <w:t xml:space="preserve"> </w:t>
      </w:r>
      <w:r>
        <w:rPr>
          <w:rFonts w:hint="eastAsia"/>
          <w:color w:val="auto"/>
          <w:szCs w:val="21"/>
          <w:highlight w:val="none"/>
          <w:u w:val="single"/>
        </w:rPr>
        <w:t>（姓名）</w:t>
      </w:r>
      <w:r>
        <w:rPr>
          <w:color w:val="auto"/>
          <w:szCs w:val="21"/>
          <w:highlight w:val="none"/>
        </w:rPr>
        <w:t>为我方代理人。代理人根据授权，以我方名义</w:t>
      </w:r>
      <w:r>
        <w:rPr>
          <w:rFonts w:hint="eastAsia"/>
          <w:color w:val="auto"/>
          <w:szCs w:val="21"/>
          <w:highlight w:val="none"/>
        </w:rPr>
        <w:t>全权处理</w:t>
      </w:r>
      <w:r>
        <w:rPr>
          <w:rFonts w:hint="eastAsia"/>
          <w:color w:val="auto"/>
          <w:szCs w:val="21"/>
          <w:highlight w:val="none"/>
          <w:u w:val="single"/>
        </w:rPr>
        <w:t xml:space="preserve">      </w:t>
      </w:r>
      <w:r>
        <w:rPr>
          <w:color w:val="auto"/>
          <w:szCs w:val="21"/>
          <w:highlight w:val="none"/>
          <w:u w:val="single"/>
        </w:rPr>
        <w:t>（项目名称）</w:t>
      </w:r>
      <w:r>
        <w:rPr>
          <w:rFonts w:hint="eastAsia"/>
          <w:color w:val="auto"/>
          <w:szCs w:val="21"/>
          <w:highlight w:val="none"/>
          <w:u w:val="single"/>
        </w:rPr>
        <w:t xml:space="preserve">     </w:t>
      </w:r>
      <w:r>
        <w:rPr>
          <w:rFonts w:hint="eastAsia"/>
          <w:color w:val="auto"/>
          <w:szCs w:val="21"/>
          <w:highlight w:val="none"/>
        </w:rPr>
        <w:t>标段（</w:t>
      </w:r>
      <w:r>
        <w:rPr>
          <w:color w:val="auto"/>
          <w:szCs w:val="21"/>
          <w:highlight w:val="none"/>
        </w:rPr>
        <w:t>签署、澄清</w:t>
      </w:r>
      <w:r>
        <w:rPr>
          <w:rFonts w:hint="eastAsia"/>
          <w:color w:val="auto"/>
          <w:szCs w:val="21"/>
          <w:highlight w:val="none"/>
        </w:rPr>
        <w:t>、说明、补正</w:t>
      </w:r>
      <w:r>
        <w:rPr>
          <w:color w:val="auto"/>
          <w:szCs w:val="21"/>
          <w:highlight w:val="none"/>
        </w:rPr>
        <w:t>、递交、撤回、修改响应文件</w:t>
      </w:r>
      <w:r>
        <w:rPr>
          <w:rFonts w:hint="eastAsia"/>
          <w:color w:val="auto"/>
          <w:szCs w:val="21"/>
          <w:highlight w:val="none"/>
        </w:rPr>
        <w:t>，</w:t>
      </w:r>
      <w:r>
        <w:rPr>
          <w:color w:val="auto"/>
          <w:szCs w:val="21"/>
          <w:highlight w:val="none"/>
        </w:rPr>
        <w:t>签订合同和处理</w:t>
      </w:r>
      <w:r>
        <w:rPr>
          <w:rFonts w:hint="eastAsia"/>
          <w:color w:val="auto"/>
          <w:szCs w:val="21"/>
          <w:highlight w:val="none"/>
        </w:rPr>
        <w:t>一切</w:t>
      </w:r>
      <w:r>
        <w:rPr>
          <w:color w:val="auto"/>
          <w:szCs w:val="21"/>
          <w:highlight w:val="none"/>
        </w:rPr>
        <w:t>有关事宜</w:t>
      </w:r>
      <w:r>
        <w:rPr>
          <w:rFonts w:hint="eastAsia"/>
          <w:color w:val="auto"/>
          <w:szCs w:val="21"/>
          <w:highlight w:val="none"/>
        </w:rPr>
        <w:t>）</w:t>
      </w:r>
      <w:r>
        <w:rPr>
          <w:color w:val="auto"/>
          <w:szCs w:val="21"/>
          <w:highlight w:val="none"/>
        </w:rPr>
        <w:t>，其法律后果由我方承担。</w:t>
      </w:r>
    </w:p>
    <w:p>
      <w:pPr>
        <w:spacing w:line="440" w:lineRule="exact"/>
        <w:rPr>
          <w:color w:val="auto"/>
          <w:szCs w:val="21"/>
          <w:highlight w:val="none"/>
        </w:rPr>
      </w:pPr>
      <w:r>
        <w:rPr>
          <w:color w:val="auto"/>
          <w:szCs w:val="21"/>
          <w:highlight w:val="none"/>
        </w:rPr>
        <w:t xml:space="preserve">    委托期限：</w:t>
      </w:r>
      <w:r>
        <w:rPr>
          <w:color w:val="auto"/>
          <w:szCs w:val="21"/>
          <w:highlight w:val="none"/>
          <w:u w:val="single"/>
        </w:rPr>
        <w:t xml:space="preserve">             </w:t>
      </w:r>
      <w:r>
        <w:rPr>
          <w:rFonts w:hint="eastAsia"/>
          <w:color w:val="auto"/>
          <w:szCs w:val="21"/>
          <w:highlight w:val="none"/>
        </w:rPr>
        <w:t>。</w:t>
      </w:r>
    </w:p>
    <w:p>
      <w:pPr>
        <w:spacing w:line="440" w:lineRule="exact"/>
        <w:ind w:firstLine="420" w:firstLineChars="200"/>
        <w:rPr>
          <w:color w:val="auto"/>
          <w:szCs w:val="21"/>
          <w:highlight w:val="none"/>
        </w:rPr>
      </w:pPr>
      <w:r>
        <w:rPr>
          <w:color w:val="auto"/>
          <w:szCs w:val="21"/>
          <w:highlight w:val="none"/>
        </w:rPr>
        <w:t>代理人无转委托权。</w:t>
      </w:r>
    </w:p>
    <w:p>
      <w:pPr>
        <w:spacing w:line="440" w:lineRule="exact"/>
        <w:rPr>
          <w:rFonts w:ascii="宋体" w:hAnsi="宋体"/>
          <w:color w:val="auto"/>
          <w:szCs w:val="21"/>
          <w:highlight w:val="none"/>
        </w:rPr>
      </w:pPr>
      <w:r>
        <w:rPr>
          <w:rFonts w:hint="eastAsia" w:ascii="宋体" w:hAnsi="宋体"/>
          <w:color w:val="auto"/>
          <w:szCs w:val="21"/>
          <w:highlight w:val="none"/>
        </w:rPr>
        <w:t>附：委托代理人身份证复印件(需同时提供正面及背面)</w:t>
      </w:r>
    </w:p>
    <w:p>
      <w:pPr>
        <w:spacing w:line="500" w:lineRule="exact"/>
        <w:rPr>
          <w:rFonts w:ascii="宋体" w:hAnsi="宋体"/>
          <w:color w:val="auto"/>
          <w:szCs w:val="21"/>
          <w:highlight w:val="none"/>
        </w:rPr>
      </w:pPr>
    </w:p>
    <w:p>
      <w:pPr>
        <w:spacing w:line="440" w:lineRule="exact"/>
        <w:rPr>
          <w:color w:val="auto"/>
          <w:szCs w:val="21"/>
          <w:highlight w:val="none"/>
        </w:rPr>
      </w:pPr>
    </w:p>
    <w:p>
      <w:pPr>
        <w:spacing w:line="500" w:lineRule="exact"/>
        <w:rPr>
          <w:rFonts w:ascii="宋体" w:hAnsi="宋体"/>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jc w:val="right"/>
        <w:rPr>
          <w:color w:val="auto"/>
          <w:szCs w:val="21"/>
          <w:highlight w:val="none"/>
        </w:rPr>
      </w:pPr>
      <w:r>
        <w:rPr>
          <w:color w:val="auto"/>
          <w:szCs w:val="21"/>
          <w:highlight w:val="none"/>
        </w:rPr>
        <w:t>响应人</w:t>
      </w:r>
      <w:r>
        <w:rPr>
          <w:rFonts w:hint="eastAsia"/>
          <w:color w:val="auto"/>
          <w:szCs w:val="21"/>
          <w:highlight w:val="none"/>
        </w:rPr>
        <w:t>名称</w:t>
      </w:r>
      <w:r>
        <w:rPr>
          <w:color w:val="auto"/>
          <w:szCs w:val="21"/>
          <w:highlight w:val="none"/>
        </w:rPr>
        <w:t>：</w:t>
      </w:r>
      <w:r>
        <w:rPr>
          <w:color w:val="auto"/>
          <w:szCs w:val="21"/>
          <w:highlight w:val="none"/>
          <w:u w:val="single"/>
        </w:rPr>
        <w:t xml:space="preserve">                         </w:t>
      </w:r>
      <w:r>
        <w:rPr>
          <w:color w:val="auto"/>
          <w:szCs w:val="21"/>
          <w:highlight w:val="none"/>
        </w:rPr>
        <w:t>（盖单位公章）</w:t>
      </w:r>
    </w:p>
    <w:p>
      <w:pPr>
        <w:spacing w:line="440" w:lineRule="exact"/>
        <w:jc w:val="right"/>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（签字）</w:t>
      </w:r>
    </w:p>
    <w:p>
      <w:pPr>
        <w:spacing w:line="440" w:lineRule="exact"/>
        <w:ind w:right="420" w:firstLine="2940" w:firstLineChars="1400"/>
        <w:rPr>
          <w:color w:val="auto"/>
          <w:szCs w:val="21"/>
          <w:highlight w:val="none"/>
        </w:rPr>
      </w:pPr>
      <w:r>
        <w:rPr>
          <w:color w:val="auto"/>
          <w:szCs w:val="21"/>
          <w:highlight w:val="none"/>
        </w:rPr>
        <w:t>身份证号码：</w:t>
      </w:r>
      <w:r>
        <w:rPr>
          <w:color w:val="auto"/>
          <w:szCs w:val="21"/>
          <w:highlight w:val="none"/>
          <w:u w:val="single"/>
        </w:rPr>
        <w:t xml:space="preserve">                                     </w:t>
      </w:r>
    </w:p>
    <w:p>
      <w:pPr>
        <w:spacing w:line="440" w:lineRule="exact"/>
        <w:ind w:right="105"/>
        <w:jc w:val="right"/>
        <w:rPr>
          <w:color w:val="auto"/>
          <w:szCs w:val="21"/>
          <w:highlight w:val="none"/>
        </w:rPr>
      </w:pPr>
      <w:r>
        <w:rPr>
          <w:color w:val="auto"/>
          <w:szCs w:val="21"/>
          <w:highlight w:val="none"/>
        </w:rPr>
        <w:t>委托代理人：</w:t>
      </w:r>
      <w:r>
        <w:rPr>
          <w:color w:val="auto"/>
          <w:szCs w:val="21"/>
          <w:highlight w:val="none"/>
          <w:u w:val="single"/>
        </w:rPr>
        <w:t xml:space="preserve">                              </w:t>
      </w:r>
      <w:r>
        <w:rPr>
          <w:color w:val="auto"/>
          <w:szCs w:val="21"/>
          <w:highlight w:val="none"/>
        </w:rPr>
        <w:t xml:space="preserve">（签字） </w:t>
      </w:r>
    </w:p>
    <w:p>
      <w:pPr>
        <w:spacing w:line="440" w:lineRule="exact"/>
        <w:ind w:right="420" w:firstLine="2940" w:firstLineChars="1400"/>
        <w:rPr>
          <w:color w:val="auto"/>
          <w:szCs w:val="21"/>
          <w:highlight w:val="none"/>
        </w:rPr>
      </w:pPr>
      <w:r>
        <w:rPr>
          <w:color w:val="auto"/>
          <w:szCs w:val="21"/>
          <w:highlight w:val="none"/>
        </w:rPr>
        <w:t>身份证号码：</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440" w:lineRule="exact"/>
        <w:ind w:firstLine="2310" w:firstLineChars="1100"/>
        <w:jc w:val="right"/>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pStyle w:val="3"/>
        <w:spacing w:before="0"/>
        <w:jc w:val="center"/>
        <w:rPr>
          <w:color w:val="auto"/>
          <w:highlight w:val="none"/>
        </w:rPr>
        <w:sectPr>
          <w:pgSz w:w="11906" w:h="16838"/>
          <w:pgMar w:top="1418" w:right="1800" w:bottom="1440" w:left="1800" w:header="851" w:footer="992" w:gutter="0"/>
          <w:cols w:space="720" w:num="1"/>
          <w:docGrid w:type="lines" w:linePitch="312" w:charSpace="0"/>
        </w:sectPr>
      </w:pPr>
    </w:p>
    <w:p>
      <w:pPr>
        <w:spacing w:line="400" w:lineRule="exact"/>
        <w:rPr>
          <w:rFonts w:eastAsia="黑体"/>
          <w:color w:val="auto"/>
          <w:sz w:val="27"/>
          <w:szCs w:val="27"/>
          <w:highlight w:val="none"/>
        </w:rPr>
      </w:pPr>
    </w:p>
    <w:p>
      <w:pPr>
        <w:pStyle w:val="3"/>
        <w:jc w:val="center"/>
        <w:rPr>
          <w:color w:val="auto"/>
          <w:highlight w:val="none"/>
        </w:rPr>
      </w:pPr>
      <w:bookmarkStart w:id="163" w:name="_Toc179632816"/>
      <w:bookmarkStart w:id="164" w:name="_Toc144974864"/>
      <w:bookmarkStart w:id="165" w:name="_Toc247085882"/>
      <w:bookmarkStart w:id="166" w:name="_Toc246997107"/>
      <w:bookmarkStart w:id="167" w:name="_Toc6978"/>
      <w:bookmarkStart w:id="168" w:name="_Toc338669155"/>
      <w:bookmarkStart w:id="169" w:name="_Toc152045796"/>
      <w:bookmarkStart w:id="170" w:name="_Toc246996364"/>
      <w:bookmarkStart w:id="171" w:name="_Toc152042585"/>
      <w:r>
        <w:rPr>
          <w:rFonts w:hint="eastAsia"/>
          <w:color w:val="auto"/>
          <w:highlight w:val="none"/>
        </w:rPr>
        <w:t>六</w:t>
      </w:r>
      <w:r>
        <w:rPr>
          <w:color w:val="auto"/>
          <w:highlight w:val="none"/>
        </w:rPr>
        <w:t>、</w:t>
      </w:r>
      <w:r>
        <w:rPr>
          <w:rFonts w:hint="eastAsia"/>
          <w:color w:val="auto"/>
          <w:highlight w:val="none"/>
        </w:rPr>
        <w:t>项目实施</w:t>
      </w:r>
      <w:r>
        <w:rPr>
          <w:color w:val="auto"/>
          <w:highlight w:val="none"/>
        </w:rPr>
        <w:t>方案</w:t>
      </w:r>
      <w:bookmarkEnd w:id="163"/>
      <w:bookmarkEnd w:id="164"/>
      <w:bookmarkEnd w:id="165"/>
      <w:bookmarkEnd w:id="166"/>
      <w:bookmarkEnd w:id="167"/>
      <w:bookmarkEnd w:id="168"/>
      <w:bookmarkEnd w:id="169"/>
      <w:bookmarkEnd w:id="170"/>
      <w:bookmarkEnd w:id="171"/>
    </w:p>
    <w:p>
      <w:pPr>
        <w:spacing w:line="440" w:lineRule="exact"/>
        <w:rPr>
          <w:color w:val="auto"/>
          <w:szCs w:val="21"/>
          <w:highlight w:val="none"/>
        </w:rPr>
      </w:pPr>
      <w:r>
        <w:rPr>
          <w:rFonts w:hint="eastAsia"/>
          <w:color w:val="auto"/>
          <w:szCs w:val="21"/>
          <w:highlight w:val="none"/>
        </w:rPr>
        <w:t>响应人应根据第四章“用户需求书/技术规范书”中的要求制定项目实施方案。竞争性谈判方可以根据实际情况增加内容，但不得擅自减少有关内容。格式自拟。</w:t>
      </w:r>
    </w:p>
    <w:p>
      <w:pPr>
        <w:widowControl/>
        <w:jc w:val="left"/>
        <w:rPr>
          <w:color w:val="auto"/>
          <w:szCs w:val="21"/>
          <w:highlight w:val="none"/>
        </w:rPr>
      </w:pPr>
      <w:r>
        <w:rPr>
          <w:color w:val="auto"/>
          <w:szCs w:val="21"/>
          <w:highlight w:val="none"/>
        </w:rPr>
        <w:br w:type="page"/>
      </w:r>
    </w:p>
    <w:p>
      <w:pPr>
        <w:pStyle w:val="3"/>
        <w:jc w:val="center"/>
        <w:rPr>
          <w:color w:val="auto"/>
          <w:szCs w:val="21"/>
          <w:highlight w:val="none"/>
        </w:rPr>
      </w:pPr>
      <w:bookmarkStart w:id="172" w:name="_Toc17796"/>
      <w:r>
        <w:rPr>
          <w:rFonts w:hint="eastAsia"/>
          <w:color w:val="auto"/>
          <w:highlight w:val="none"/>
        </w:rPr>
        <w:t>七</w:t>
      </w:r>
      <w:r>
        <w:rPr>
          <w:color w:val="auto"/>
          <w:highlight w:val="none"/>
        </w:rPr>
        <w:t>、项目管理机构</w:t>
      </w:r>
      <w:bookmarkEnd w:id="172"/>
    </w:p>
    <w:p>
      <w:pPr>
        <w:spacing w:before="312" w:beforeLines="100" w:after="312" w:afterLines="100" w:line="440" w:lineRule="exact"/>
        <w:jc w:val="center"/>
        <w:rPr>
          <w:rFonts w:ascii="Arial" w:hAnsi="Arial" w:eastAsia="黑体"/>
          <w:b/>
          <w:bCs/>
          <w:color w:val="auto"/>
          <w:sz w:val="32"/>
          <w:szCs w:val="32"/>
          <w:highlight w:val="none"/>
        </w:rPr>
      </w:pPr>
      <w:bookmarkStart w:id="173" w:name="_Toc247085888"/>
      <w:bookmarkStart w:id="174" w:name="_Toc179632824"/>
      <w:bookmarkStart w:id="175" w:name="_Toc326223615"/>
      <w:bookmarkStart w:id="176" w:name="_Toc152045804"/>
      <w:bookmarkStart w:id="177" w:name="_Toc334766997"/>
      <w:bookmarkStart w:id="178" w:name="_Toc332188244"/>
      <w:bookmarkStart w:id="179" w:name="_Toc246996370"/>
      <w:bookmarkStart w:id="180" w:name="_Toc144974872"/>
      <w:bookmarkStart w:id="181" w:name="_Toc152042593"/>
      <w:bookmarkStart w:id="182" w:name="_Toc246997113"/>
      <w:r>
        <w:rPr>
          <w:rFonts w:ascii="Arial" w:hAnsi="Arial" w:eastAsia="黑体"/>
          <w:b/>
          <w:bCs/>
          <w:color w:val="auto"/>
          <w:sz w:val="32"/>
          <w:szCs w:val="32"/>
          <w:highlight w:val="none"/>
        </w:rPr>
        <w:t>（一）项目管理机构组成表</w:t>
      </w:r>
      <w:bookmarkEnd w:id="173"/>
      <w:bookmarkEnd w:id="174"/>
      <w:bookmarkEnd w:id="175"/>
      <w:bookmarkEnd w:id="176"/>
      <w:bookmarkEnd w:id="177"/>
      <w:bookmarkEnd w:id="178"/>
      <w:bookmarkEnd w:id="179"/>
      <w:bookmarkEnd w:id="180"/>
      <w:bookmarkEnd w:id="181"/>
      <w:bookmarkEnd w:id="182"/>
    </w:p>
    <w:tbl>
      <w:tblPr>
        <w:tblStyle w:val="39"/>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958"/>
        <w:gridCol w:w="709"/>
        <w:gridCol w:w="850"/>
        <w:gridCol w:w="709"/>
        <w:gridCol w:w="709"/>
        <w:gridCol w:w="709"/>
        <w:gridCol w:w="992"/>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Merge w:val="restart"/>
            <w:vAlign w:val="center"/>
          </w:tcPr>
          <w:p>
            <w:pPr>
              <w:spacing w:line="440" w:lineRule="exact"/>
              <w:jc w:val="center"/>
              <w:rPr>
                <w:color w:val="auto"/>
                <w:szCs w:val="21"/>
                <w:highlight w:val="none"/>
              </w:rPr>
            </w:pPr>
            <w:r>
              <w:rPr>
                <w:color w:val="auto"/>
                <w:szCs w:val="21"/>
                <w:highlight w:val="none"/>
              </w:rPr>
              <w:t>职务</w:t>
            </w:r>
          </w:p>
        </w:tc>
        <w:tc>
          <w:tcPr>
            <w:tcW w:w="993" w:type="dxa"/>
            <w:vMerge w:val="restart"/>
            <w:vAlign w:val="center"/>
          </w:tcPr>
          <w:p>
            <w:pPr>
              <w:spacing w:line="440" w:lineRule="exact"/>
              <w:jc w:val="center"/>
              <w:rPr>
                <w:color w:val="auto"/>
                <w:szCs w:val="21"/>
                <w:highlight w:val="none"/>
              </w:rPr>
            </w:pPr>
            <w:r>
              <w:rPr>
                <w:color w:val="auto"/>
                <w:szCs w:val="21"/>
                <w:highlight w:val="none"/>
              </w:rPr>
              <w:t>姓名</w:t>
            </w:r>
          </w:p>
        </w:tc>
        <w:tc>
          <w:tcPr>
            <w:tcW w:w="958" w:type="dxa"/>
            <w:vMerge w:val="restart"/>
            <w:vAlign w:val="center"/>
          </w:tcPr>
          <w:p>
            <w:pPr>
              <w:spacing w:line="440" w:lineRule="exact"/>
              <w:jc w:val="center"/>
              <w:rPr>
                <w:color w:val="auto"/>
                <w:szCs w:val="21"/>
                <w:highlight w:val="none"/>
              </w:rPr>
            </w:pPr>
            <w:r>
              <w:rPr>
                <w:color w:val="auto"/>
                <w:szCs w:val="21"/>
                <w:highlight w:val="none"/>
              </w:rPr>
              <w:t>职称</w:t>
            </w:r>
          </w:p>
        </w:tc>
        <w:tc>
          <w:tcPr>
            <w:tcW w:w="709" w:type="dxa"/>
            <w:vMerge w:val="restart"/>
            <w:vAlign w:val="center"/>
          </w:tcPr>
          <w:p>
            <w:pPr>
              <w:spacing w:line="440" w:lineRule="exact"/>
              <w:jc w:val="center"/>
              <w:rPr>
                <w:color w:val="auto"/>
                <w:szCs w:val="21"/>
                <w:highlight w:val="none"/>
              </w:rPr>
            </w:pPr>
            <w:r>
              <w:rPr>
                <w:rFonts w:hint="eastAsia"/>
                <w:color w:val="auto"/>
                <w:szCs w:val="21"/>
                <w:highlight w:val="none"/>
              </w:rPr>
              <w:t>学历</w:t>
            </w:r>
          </w:p>
        </w:tc>
        <w:tc>
          <w:tcPr>
            <w:tcW w:w="2977" w:type="dxa"/>
            <w:gridSpan w:val="4"/>
            <w:vAlign w:val="center"/>
          </w:tcPr>
          <w:p>
            <w:pPr>
              <w:spacing w:line="440" w:lineRule="exact"/>
              <w:jc w:val="center"/>
              <w:rPr>
                <w:color w:val="auto"/>
                <w:szCs w:val="21"/>
                <w:highlight w:val="none"/>
              </w:rPr>
            </w:pPr>
            <w:r>
              <w:rPr>
                <w:color w:val="auto"/>
                <w:szCs w:val="21"/>
                <w:highlight w:val="none"/>
              </w:rPr>
              <w:t>执业或职业资格证明</w:t>
            </w:r>
          </w:p>
        </w:tc>
        <w:tc>
          <w:tcPr>
            <w:tcW w:w="992" w:type="dxa"/>
            <w:vMerge w:val="restart"/>
            <w:vAlign w:val="center"/>
          </w:tcPr>
          <w:p>
            <w:pPr>
              <w:spacing w:line="440" w:lineRule="exact"/>
              <w:jc w:val="center"/>
              <w:rPr>
                <w:color w:val="auto"/>
                <w:szCs w:val="21"/>
                <w:highlight w:val="none"/>
              </w:rPr>
            </w:pPr>
            <w:r>
              <w:rPr>
                <w:rFonts w:hint="eastAsia"/>
                <w:color w:val="auto"/>
                <w:szCs w:val="21"/>
                <w:highlight w:val="none"/>
              </w:rPr>
              <w:t>同类项目工作年限（年）</w:t>
            </w:r>
          </w:p>
        </w:tc>
        <w:tc>
          <w:tcPr>
            <w:tcW w:w="1876" w:type="dxa"/>
            <w:vMerge w:val="restart"/>
            <w:vAlign w:val="center"/>
          </w:tcPr>
          <w:p>
            <w:pPr>
              <w:spacing w:line="440" w:lineRule="exact"/>
              <w:jc w:val="center"/>
              <w:rPr>
                <w:color w:val="auto"/>
                <w:szCs w:val="21"/>
                <w:highlight w:val="none"/>
              </w:rPr>
            </w:pPr>
            <w:r>
              <w:rPr>
                <w:rFonts w:hint="eastAsia"/>
                <w:color w:val="auto"/>
                <w:szCs w:val="21"/>
                <w:highlight w:val="none"/>
              </w:rPr>
              <w:t>工作简介（项目经验）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Merge w:val="continue"/>
            <w:vAlign w:val="center"/>
          </w:tcPr>
          <w:p>
            <w:pPr>
              <w:spacing w:line="440" w:lineRule="exact"/>
              <w:jc w:val="center"/>
              <w:rPr>
                <w:color w:val="auto"/>
                <w:szCs w:val="21"/>
                <w:highlight w:val="none"/>
              </w:rPr>
            </w:pPr>
          </w:p>
        </w:tc>
        <w:tc>
          <w:tcPr>
            <w:tcW w:w="993" w:type="dxa"/>
            <w:vMerge w:val="continue"/>
            <w:vAlign w:val="center"/>
          </w:tcPr>
          <w:p>
            <w:pPr>
              <w:spacing w:line="440" w:lineRule="exact"/>
              <w:jc w:val="center"/>
              <w:rPr>
                <w:color w:val="auto"/>
                <w:szCs w:val="21"/>
                <w:highlight w:val="none"/>
              </w:rPr>
            </w:pPr>
          </w:p>
        </w:tc>
        <w:tc>
          <w:tcPr>
            <w:tcW w:w="958" w:type="dxa"/>
            <w:vMerge w:val="continue"/>
            <w:vAlign w:val="center"/>
          </w:tcPr>
          <w:p>
            <w:pPr>
              <w:spacing w:line="440" w:lineRule="exact"/>
              <w:jc w:val="center"/>
              <w:rPr>
                <w:color w:val="auto"/>
                <w:szCs w:val="21"/>
                <w:highlight w:val="none"/>
              </w:rPr>
            </w:pPr>
          </w:p>
        </w:tc>
        <w:tc>
          <w:tcPr>
            <w:tcW w:w="709" w:type="dxa"/>
            <w:vMerge w:val="continue"/>
            <w:vAlign w:val="center"/>
          </w:tcPr>
          <w:p>
            <w:pPr>
              <w:spacing w:line="440" w:lineRule="exact"/>
              <w:jc w:val="center"/>
              <w:rPr>
                <w:color w:val="auto"/>
                <w:szCs w:val="21"/>
                <w:highlight w:val="none"/>
              </w:rPr>
            </w:pPr>
          </w:p>
        </w:tc>
        <w:tc>
          <w:tcPr>
            <w:tcW w:w="850" w:type="dxa"/>
            <w:vAlign w:val="center"/>
          </w:tcPr>
          <w:p>
            <w:pPr>
              <w:spacing w:line="440" w:lineRule="exact"/>
              <w:jc w:val="center"/>
              <w:rPr>
                <w:color w:val="auto"/>
                <w:szCs w:val="21"/>
                <w:highlight w:val="none"/>
              </w:rPr>
            </w:pPr>
            <w:r>
              <w:rPr>
                <w:color w:val="auto"/>
                <w:szCs w:val="21"/>
                <w:highlight w:val="none"/>
              </w:rPr>
              <w:t>证书名称</w:t>
            </w:r>
          </w:p>
        </w:tc>
        <w:tc>
          <w:tcPr>
            <w:tcW w:w="709" w:type="dxa"/>
            <w:vAlign w:val="center"/>
          </w:tcPr>
          <w:p>
            <w:pPr>
              <w:spacing w:line="440" w:lineRule="exact"/>
              <w:jc w:val="center"/>
              <w:rPr>
                <w:color w:val="auto"/>
                <w:szCs w:val="21"/>
                <w:highlight w:val="none"/>
              </w:rPr>
            </w:pPr>
            <w:r>
              <w:rPr>
                <w:color w:val="auto"/>
                <w:szCs w:val="21"/>
                <w:highlight w:val="none"/>
              </w:rPr>
              <w:t>级别</w:t>
            </w:r>
          </w:p>
        </w:tc>
        <w:tc>
          <w:tcPr>
            <w:tcW w:w="709" w:type="dxa"/>
            <w:vAlign w:val="center"/>
          </w:tcPr>
          <w:p>
            <w:pPr>
              <w:spacing w:line="440" w:lineRule="exact"/>
              <w:jc w:val="center"/>
              <w:rPr>
                <w:color w:val="auto"/>
                <w:szCs w:val="21"/>
                <w:highlight w:val="none"/>
              </w:rPr>
            </w:pPr>
            <w:r>
              <w:rPr>
                <w:color w:val="auto"/>
                <w:szCs w:val="21"/>
                <w:highlight w:val="none"/>
              </w:rPr>
              <w:t>证号</w:t>
            </w:r>
          </w:p>
        </w:tc>
        <w:tc>
          <w:tcPr>
            <w:tcW w:w="709" w:type="dxa"/>
            <w:vAlign w:val="center"/>
          </w:tcPr>
          <w:p>
            <w:pPr>
              <w:spacing w:line="440" w:lineRule="exact"/>
              <w:jc w:val="center"/>
              <w:rPr>
                <w:color w:val="auto"/>
                <w:szCs w:val="21"/>
                <w:highlight w:val="none"/>
              </w:rPr>
            </w:pPr>
            <w:r>
              <w:rPr>
                <w:color w:val="auto"/>
                <w:szCs w:val="21"/>
                <w:highlight w:val="none"/>
              </w:rPr>
              <w:t>专业</w:t>
            </w:r>
          </w:p>
        </w:tc>
        <w:tc>
          <w:tcPr>
            <w:tcW w:w="992" w:type="dxa"/>
            <w:vMerge w:val="continue"/>
            <w:vAlign w:val="center"/>
          </w:tcPr>
          <w:p>
            <w:pPr>
              <w:spacing w:line="440" w:lineRule="exact"/>
              <w:jc w:val="center"/>
              <w:rPr>
                <w:color w:val="auto"/>
                <w:szCs w:val="21"/>
                <w:highlight w:val="none"/>
              </w:rPr>
            </w:pPr>
          </w:p>
        </w:tc>
        <w:tc>
          <w:tcPr>
            <w:tcW w:w="1876" w:type="dxa"/>
            <w:vMerge w:val="continue"/>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440" w:lineRule="exact"/>
              <w:jc w:val="center"/>
              <w:rPr>
                <w:color w:val="auto"/>
                <w:szCs w:val="21"/>
                <w:highlight w:val="none"/>
              </w:rPr>
            </w:pPr>
          </w:p>
        </w:tc>
        <w:tc>
          <w:tcPr>
            <w:tcW w:w="993" w:type="dxa"/>
            <w:vAlign w:val="center"/>
          </w:tcPr>
          <w:p>
            <w:pPr>
              <w:spacing w:line="440" w:lineRule="exact"/>
              <w:jc w:val="center"/>
              <w:rPr>
                <w:color w:val="auto"/>
                <w:szCs w:val="21"/>
                <w:highlight w:val="none"/>
              </w:rPr>
            </w:pPr>
          </w:p>
        </w:tc>
        <w:tc>
          <w:tcPr>
            <w:tcW w:w="958" w:type="dxa"/>
            <w:vAlign w:val="center"/>
          </w:tcPr>
          <w:p>
            <w:pPr>
              <w:spacing w:line="440" w:lineRule="exact"/>
              <w:jc w:val="center"/>
              <w:rPr>
                <w:color w:val="auto"/>
                <w:szCs w:val="21"/>
                <w:highlight w:val="none"/>
              </w:rPr>
            </w:pPr>
          </w:p>
        </w:tc>
        <w:tc>
          <w:tcPr>
            <w:tcW w:w="709" w:type="dxa"/>
            <w:vAlign w:val="center"/>
          </w:tcPr>
          <w:p>
            <w:pPr>
              <w:spacing w:line="440" w:lineRule="exact"/>
              <w:jc w:val="center"/>
              <w:rPr>
                <w:color w:val="auto"/>
                <w:szCs w:val="21"/>
                <w:highlight w:val="none"/>
              </w:rPr>
            </w:pPr>
          </w:p>
        </w:tc>
        <w:tc>
          <w:tcPr>
            <w:tcW w:w="850" w:type="dxa"/>
            <w:vAlign w:val="center"/>
          </w:tcPr>
          <w:p>
            <w:pPr>
              <w:spacing w:line="440" w:lineRule="exact"/>
              <w:jc w:val="center"/>
              <w:rPr>
                <w:color w:val="auto"/>
                <w:szCs w:val="21"/>
                <w:highlight w:val="none"/>
              </w:rPr>
            </w:pPr>
          </w:p>
        </w:tc>
        <w:tc>
          <w:tcPr>
            <w:tcW w:w="709" w:type="dxa"/>
            <w:vAlign w:val="center"/>
          </w:tcPr>
          <w:p>
            <w:pPr>
              <w:spacing w:line="440" w:lineRule="exact"/>
              <w:jc w:val="center"/>
              <w:rPr>
                <w:color w:val="auto"/>
                <w:szCs w:val="21"/>
                <w:highlight w:val="none"/>
              </w:rPr>
            </w:pPr>
          </w:p>
        </w:tc>
        <w:tc>
          <w:tcPr>
            <w:tcW w:w="709" w:type="dxa"/>
            <w:vAlign w:val="center"/>
          </w:tcPr>
          <w:p>
            <w:pPr>
              <w:spacing w:line="440" w:lineRule="exact"/>
              <w:jc w:val="center"/>
              <w:rPr>
                <w:color w:val="auto"/>
                <w:szCs w:val="21"/>
                <w:highlight w:val="none"/>
              </w:rPr>
            </w:pPr>
          </w:p>
        </w:tc>
        <w:tc>
          <w:tcPr>
            <w:tcW w:w="709" w:type="dxa"/>
            <w:vAlign w:val="center"/>
          </w:tcPr>
          <w:p>
            <w:pPr>
              <w:spacing w:line="440" w:lineRule="exact"/>
              <w:jc w:val="center"/>
              <w:rPr>
                <w:color w:val="auto"/>
                <w:szCs w:val="21"/>
                <w:highlight w:val="none"/>
              </w:rPr>
            </w:pPr>
          </w:p>
        </w:tc>
        <w:tc>
          <w:tcPr>
            <w:tcW w:w="992" w:type="dxa"/>
            <w:vAlign w:val="center"/>
          </w:tcPr>
          <w:p>
            <w:pPr>
              <w:spacing w:line="440" w:lineRule="exact"/>
              <w:jc w:val="center"/>
              <w:rPr>
                <w:color w:val="auto"/>
                <w:szCs w:val="21"/>
                <w:highlight w:val="none"/>
              </w:rPr>
            </w:pPr>
          </w:p>
        </w:tc>
        <w:tc>
          <w:tcPr>
            <w:tcW w:w="1876"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440" w:lineRule="exact"/>
              <w:jc w:val="center"/>
              <w:rPr>
                <w:color w:val="auto"/>
                <w:szCs w:val="21"/>
                <w:highlight w:val="none"/>
              </w:rPr>
            </w:pPr>
          </w:p>
        </w:tc>
        <w:tc>
          <w:tcPr>
            <w:tcW w:w="993" w:type="dxa"/>
          </w:tcPr>
          <w:p>
            <w:pPr>
              <w:spacing w:line="440" w:lineRule="exact"/>
              <w:jc w:val="center"/>
              <w:rPr>
                <w:color w:val="auto"/>
                <w:szCs w:val="21"/>
                <w:highlight w:val="none"/>
              </w:rPr>
            </w:pPr>
          </w:p>
        </w:tc>
        <w:tc>
          <w:tcPr>
            <w:tcW w:w="958"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850"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992" w:type="dxa"/>
          </w:tcPr>
          <w:p>
            <w:pPr>
              <w:spacing w:line="440" w:lineRule="exact"/>
              <w:jc w:val="center"/>
              <w:rPr>
                <w:color w:val="auto"/>
                <w:szCs w:val="21"/>
                <w:highlight w:val="none"/>
              </w:rPr>
            </w:pPr>
          </w:p>
        </w:tc>
        <w:tc>
          <w:tcPr>
            <w:tcW w:w="1876"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440" w:lineRule="exact"/>
              <w:jc w:val="center"/>
              <w:rPr>
                <w:color w:val="auto"/>
                <w:szCs w:val="21"/>
                <w:highlight w:val="none"/>
              </w:rPr>
            </w:pPr>
          </w:p>
        </w:tc>
        <w:tc>
          <w:tcPr>
            <w:tcW w:w="993" w:type="dxa"/>
          </w:tcPr>
          <w:p>
            <w:pPr>
              <w:spacing w:line="440" w:lineRule="exact"/>
              <w:jc w:val="center"/>
              <w:rPr>
                <w:color w:val="auto"/>
                <w:szCs w:val="21"/>
                <w:highlight w:val="none"/>
              </w:rPr>
            </w:pPr>
          </w:p>
        </w:tc>
        <w:tc>
          <w:tcPr>
            <w:tcW w:w="958"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850"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992" w:type="dxa"/>
          </w:tcPr>
          <w:p>
            <w:pPr>
              <w:spacing w:line="440" w:lineRule="exact"/>
              <w:jc w:val="center"/>
              <w:rPr>
                <w:color w:val="auto"/>
                <w:szCs w:val="21"/>
                <w:highlight w:val="none"/>
              </w:rPr>
            </w:pPr>
          </w:p>
        </w:tc>
        <w:tc>
          <w:tcPr>
            <w:tcW w:w="1876"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440" w:lineRule="exact"/>
              <w:jc w:val="center"/>
              <w:rPr>
                <w:color w:val="auto"/>
                <w:szCs w:val="21"/>
                <w:highlight w:val="none"/>
              </w:rPr>
            </w:pPr>
          </w:p>
        </w:tc>
        <w:tc>
          <w:tcPr>
            <w:tcW w:w="993" w:type="dxa"/>
          </w:tcPr>
          <w:p>
            <w:pPr>
              <w:spacing w:line="440" w:lineRule="exact"/>
              <w:jc w:val="center"/>
              <w:rPr>
                <w:color w:val="auto"/>
                <w:szCs w:val="21"/>
                <w:highlight w:val="none"/>
              </w:rPr>
            </w:pPr>
          </w:p>
        </w:tc>
        <w:tc>
          <w:tcPr>
            <w:tcW w:w="958"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850"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992" w:type="dxa"/>
          </w:tcPr>
          <w:p>
            <w:pPr>
              <w:spacing w:line="440" w:lineRule="exact"/>
              <w:jc w:val="center"/>
              <w:rPr>
                <w:color w:val="auto"/>
                <w:szCs w:val="21"/>
                <w:highlight w:val="none"/>
              </w:rPr>
            </w:pPr>
          </w:p>
        </w:tc>
        <w:tc>
          <w:tcPr>
            <w:tcW w:w="1876"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440" w:lineRule="exact"/>
              <w:jc w:val="center"/>
              <w:rPr>
                <w:color w:val="auto"/>
                <w:szCs w:val="21"/>
                <w:highlight w:val="none"/>
              </w:rPr>
            </w:pPr>
            <w:r>
              <w:rPr>
                <w:color w:val="auto"/>
                <w:szCs w:val="21"/>
                <w:highlight w:val="none"/>
              </w:rPr>
              <w:t>……</w:t>
            </w:r>
          </w:p>
        </w:tc>
        <w:tc>
          <w:tcPr>
            <w:tcW w:w="993" w:type="dxa"/>
          </w:tcPr>
          <w:p>
            <w:pPr>
              <w:spacing w:line="440" w:lineRule="exact"/>
              <w:jc w:val="center"/>
              <w:rPr>
                <w:color w:val="auto"/>
                <w:szCs w:val="21"/>
                <w:highlight w:val="none"/>
              </w:rPr>
            </w:pPr>
          </w:p>
        </w:tc>
        <w:tc>
          <w:tcPr>
            <w:tcW w:w="958"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850"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992" w:type="dxa"/>
          </w:tcPr>
          <w:p>
            <w:pPr>
              <w:spacing w:line="440" w:lineRule="exact"/>
              <w:jc w:val="center"/>
              <w:rPr>
                <w:color w:val="auto"/>
                <w:szCs w:val="21"/>
                <w:highlight w:val="none"/>
              </w:rPr>
            </w:pPr>
          </w:p>
        </w:tc>
        <w:tc>
          <w:tcPr>
            <w:tcW w:w="1876"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440" w:lineRule="exact"/>
              <w:jc w:val="center"/>
              <w:rPr>
                <w:color w:val="auto"/>
                <w:szCs w:val="21"/>
                <w:highlight w:val="none"/>
              </w:rPr>
            </w:pPr>
            <w:r>
              <w:rPr>
                <w:color w:val="auto"/>
                <w:szCs w:val="21"/>
                <w:highlight w:val="none"/>
              </w:rPr>
              <w:t>……</w:t>
            </w:r>
            <w:r>
              <w:rPr>
                <w:rFonts w:hint="eastAsia"/>
                <w:color w:val="auto"/>
                <w:szCs w:val="21"/>
                <w:highlight w:val="none"/>
              </w:rPr>
              <w:t>.</w:t>
            </w:r>
          </w:p>
        </w:tc>
        <w:tc>
          <w:tcPr>
            <w:tcW w:w="993" w:type="dxa"/>
          </w:tcPr>
          <w:p>
            <w:pPr>
              <w:spacing w:line="440" w:lineRule="exact"/>
              <w:jc w:val="center"/>
              <w:rPr>
                <w:color w:val="auto"/>
                <w:szCs w:val="21"/>
                <w:highlight w:val="none"/>
              </w:rPr>
            </w:pPr>
          </w:p>
        </w:tc>
        <w:tc>
          <w:tcPr>
            <w:tcW w:w="958"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850"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992" w:type="dxa"/>
          </w:tcPr>
          <w:p>
            <w:pPr>
              <w:spacing w:line="440" w:lineRule="exact"/>
              <w:jc w:val="center"/>
              <w:rPr>
                <w:color w:val="auto"/>
                <w:szCs w:val="21"/>
                <w:highlight w:val="none"/>
              </w:rPr>
            </w:pPr>
          </w:p>
        </w:tc>
        <w:tc>
          <w:tcPr>
            <w:tcW w:w="1876"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440" w:lineRule="exact"/>
              <w:jc w:val="center"/>
              <w:rPr>
                <w:color w:val="auto"/>
                <w:szCs w:val="21"/>
                <w:highlight w:val="none"/>
              </w:rPr>
            </w:pPr>
            <w:r>
              <w:rPr>
                <w:color w:val="auto"/>
                <w:szCs w:val="21"/>
                <w:highlight w:val="none"/>
              </w:rPr>
              <w:t>……</w:t>
            </w:r>
            <w:r>
              <w:rPr>
                <w:rFonts w:hint="eastAsia"/>
                <w:color w:val="auto"/>
                <w:szCs w:val="21"/>
                <w:highlight w:val="none"/>
              </w:rPr>
              <w:t>.</w:t>
            </w:r>
          </w:p>
        </w:tc>
        <w:tc>
          <w:tcPr>
            <w:tcW w:w="993" w:type="dxa"/>
          </w:tcPr>
          <w:p>
            <w:pPr>
              <w:spacing w:line="440" w:lineRule="exact"/>
              <w:jc w:val="center"/>
              <w:rPr>
                <w:color w:val="auto"/>
                <w:szCs w:val="21"/>
                <w:highlight w:val="none"/>
              </w:rPr>
            </w:pPr>
          </w:p>
        </w:tc>
        <w:tc>
          <w:tcPr>
            <w:tcW w:w="958"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850"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992" w:type="dxa"/>
          </w:tcPr>
          <w:p>
            <w:pPr>
              <w:spacing w:line="440" w:lineRule="exact"/>
              <w:jc w:val="center"/>
              <w:rPr>
                <w:color w:val="auto"/>
                <w:szCs w:val="21"/>
                <w:highlight w:val="none"/>
              </w:rPr>
            </w:pPr>
          </w:p>
        </w:tc>
        <w:tc>
          <w:tcPr>
            <w:tcW w:w="1876"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440" w:lineRule="exact"/>
              <w:jc w:val="center"/>
              <w:rPr>
                <w:color w:val="auto"/>
                <w:szCs w:val="21"/>
                <w:highlight w:val="none"/>
              </w:rPr>
            </w:pPr>
          </w:p>
        </w:tc>
        <w:tc>
          <w:tcPr>
            <w:tcW w:w="993" w:type="dxa"/>
          </w:tcPr>
          <w:p>
            <w:pPr>
              <w:spacing w:line="440" w:lineRule="exact"/>
              <w:jc w:val="center"/>
              <w:rPr>
                <w:color w:val="auto"/>
                <w:szCs w:val="21"/>
                <w:highlight w:val="none"/>
              </w:rPr>
            </w:pPr>
          </w:p>
        </w:tc>
        <w:tc>
          <w:tcPr>
            <w:tcW w:w="958"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850"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992" w:type="dxa"/>
          </w:tcPr>
          <w:p>
            <w:pPr>
              <w:spacing w:line="440" w:lineRule="exact"/>
              <w:jc w:val="center"/>
              <w:rPr>
                <w:color w:val="auto"/>
                <w:szCs w:val="21"/>
                <w:highlight w:val="none"/>
              </w:rPr>
            </w:pPr>
          </w:p>
        </w:tc>
        <w:tc>
          <w:tcPr>
            <w:tcW w:w="1876"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440" w:lineRule="exact"/>
              <w:jc w:val="center"/>
              <w:rPr>
                <w:color w:val="auto"/>
                <w:szCs w:val="21"/>
                <w:highlight w:val="none"/>
              </w:rPr>
            </w:pPr>
          </w:p>
        </w:tc>
        <w:tc>
          <w:tcPr>
            <w:tcW w:w="993" w:type="dxa"/>
          </w:tcPr>
          <w:p>
            <w:pPr>
              <w:spacing w:line="440" w:lineRule="exact"/>
              <w:jc w:val="center"/>
              <w:rPr>
                <w:color w:val="auto"/>
                <w:szCs w:val="21"/>
                <w:highlight w:val="none"/>
              </w:rPr>
            </w:pPr>
          </w:p>
        </w:tc>
        <w:tc>
          <w:tcPr>
            <w:tcW w:w="958"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850"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709" w:type="dxa"/>
          </w:tcPr>
          <w:p>
            <w:pPr>
              <w:spacing w:line="440" w:lineRule="exact"/>
              <w:jc w:val="center"/>
              <w:rPr>
                <w:color w:val="auto"/>
                <w:szCs w:val="21"/>
                <w:highlight w:val="none"/>
              </w:rPr>
            </w:pPr>
          </w:p>
        </w:tc>
        <w:tc>
          <w:tcPr>
            <w:tcW w:w="992" w:type="dxa"/>
          </w:tcPr>
          <w:p>
            <w:pPr>
              <w:spacing w:line="440" w:lineRule="exact"/>
              <w:jc w:val="center"/>
              <w:rPr>
                <w:color w:val="auto"/>
                <w:szCs w:val="21"/>
                <w:highlight w:val="none"/>
              </w:rPr>
            </w:pPr>
          </w:p>
        </w:tc>
        <w:tc>
          <w:tcPr>
            <w:tcW w:w="1876"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876"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876"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876"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876"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876"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876"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876"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876"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876"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bl>
    <w:p>
      <w:pPr>
        <w:topLinePunct/>
        <w:spacing w:line="440" w:lineRule="exact"/>
        <w:jc w:val="center"/>
        <w:rPr>
          <w:color w:val="auto"/>
          <w:sz w:val="20"/>
          <w:highlight w:val="none"/>
        </w:rPr>
      </w:pPr>
    </w:p>
    <w:p>
      <w:pPr>
        <w:topLinePunct/>
        <w:spacing w:line="440" w:lineRule="exact"/>
        <w:jc w:val="center"/>
        <w:rPr>
          <w:color w:val="auto"/>
          <w:sz w:val="20"/>
          <w:highlight w:val="none"/>
        </w:rPr>
      </w:pPr>
      <w:r>
        <w:rPr>
          <w:color w:val="auto"/>
          <w:sz w:val="20"/>
          <w:highlight w:val="none"/>
        </w:rPr>
        <w:br w:type="page"/>
      </w:r>
    </w:p>
    <w:p>
      <w:pPr>
        <w:spacing w:before="312" w:beforeLines="100" w:after="312" w:afterLines="100" w:line="440" w:lineRule="exact"/>
        <w:jc w:val="center"/>
        <w:rPr>
          <w:rFonts w:ascii="Arial" w:hAnsi="Arial" w:eastAsia="黑体"/>
          <w:b/>
          <w:bCs/>
          <w:color w:val="auto"/>
          <w:sz w:val="32"/>
          <w:szCs w:val="32"/>
          <w:highlight w:val="none"/>
        </w:rPr>
      </w:pPr>
      <w:bookmarkStart w:id="183" w:name="_Toc179632825"/>
      <w:bookmarkStart w:id="184" w:name="_Toc332188245"/>
      <w:bookmarkStart w:id="185" w:name="_Toc152045805"/>
      <w:bookmarkStart w:id="186" w:name="_Toc246997114"/>
      <w:bookmarkStart w:id="187" w:name="_Toc247085889"/>
      <w:bookmarkStart w:id="188" w:name="_Toc152042594"/>
      <w:bookmarkStart w:id="189" w:name="_Toc326223616"/>
      <w:bookmarkStart w:id="190" w:name="_Toc144974873"/>
      <w:bookmarkStart w:id="191" w:name="_Toc334766998"/>
      <w:bookmarkStart w:id="192" w:name="_Toc246996371"/>
      <w:r>
        <w:rPr>
          <w:rFonts w:ascii="Arial" w:hAnsi="Arial" w:eastAsia="黑体"/>
          <w:b/>
          <w:bCs/>
          <w:color w:val="auto"/>
          <w:sz w:val="32"/>
          <w:szCs w:val="32"/>
          <w:highlight w:val="none"/>
        </w:rPr>
        <w:t>（二）</w:t>
      </w:r>
      <w:r>
        <w:rPr>
          <w:rFonts w:hint="eastAsia" w:ascii="Arial" w:hAnsi="Arial" w:eastAsia="黑体"/>
          <w:b/>
          <w:bCs/>
          <w:color w:val="auto"/>
          <w:sz w:val="32"/>
          <w:szCs w:val="32"/>
          <w:highlight w:val="none"/>
        </w:rPr>
        <w:t>项目负责人</w:t>
      </w:r>
      <w:r>
        <w:rPr>
          <w:rFonts w:ascii="Arial" w:hAnsi="Arial" w:eastAsia="黑体"/>
          <w:b/>
          <w:bCs/>
          <w:color w:val="auto"/>
          <w:sz w:val="32"/>
          <w:szCs w:val="32"/>
          <w:highlight w:val="none"/>
        </w:rPr>
        <w:t>简历表</w:t>
      </w:r>
      <w:bookmarkEnd w:id="183"/>
      <w:bookmarkEnd w:id="184"/>
      <w:bookmarkEnd w:id="185"/>
      <w:bookmarkEnd w:id="186"/>
      <w:bookmarkEnd w:id="187"/>
      <w:bookmarkEnd w:id="188"/>
      <w:bookmarkEnd w:id="189"/>
      <w:bookmarkEnd w:id="190"/>
      <w:bookmarkEnd w:id="191"/>
      <w:bookmarkEnd w:id="192"/>
    </w:p>
    <w:p>
      <w:pPr>
        <w:spacing w:line="400" w:lineRule="exact"/>
        <w:ind w:firstLine="420" w:firstLineChars="200"/>
        <w:rPr>
          <w:color w:val="auto"/>
          <w:highlight w:val="none"/>
        </w:rPr>
      </w:pPr>
      <w:r>
        <w:rPr>
          <w:rFonts w:hint="eastAsia"/>
          <w:color w:val="auto"/>
          <w:highlight w:val="none"/>
        </w:rPr>
        <w:t>项目负责人应附项目负责人身份证、职称证、学历证复印件，管理过的项目业绩须附合同协议书复印件。</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73"/>
        <w:gridCol w:w="765"/>
        <w:gridCol w:w="314"/>
        <w:gridCol w:w="927"/>
        <w:gridCol w:w="446"/>
        <w:gridCol w:w="619"/>
        <w:gridCol w:w="708"/>
        <w:gridCol w:w="1097"/>
        <w:gridCol w:w="32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gridSpan w:val="2"/>
            <w:vAlign w:val="center"/>
          </w:tcPr>
          <w:p>
            <w:pPr>
              <w:spacing w:line="440" w:lineRule="exact"/>
              <w:jc w:val="center"/>
              <w:rPr>
                <w:rFonts w:ascii="宋体" w:hAnsi="宋体"/>
                <w:color w:val="auto"/>
                <w:szCs w:val="21"/>
                <w:highlight w:val="none"/>
              </w:rPr>
            </w:pPr>
            <w:r>
              <w:rPr>
                <w:rFonts w:ascii="宋体" w:hAnsi="宋体"/>
                <w:color w:val="auto"/>
                <w:szCs w:val="21"/>
                <w:highlight w:val="none"/>
              </w:rPr>
              <w:t>姓  名</w:t>
            </w:r>
          </w:p>
        </w:tc>
        <w:tc>
          <w:tcPr>
            <w:tcW w:w="1079" w:type="dxa"/>
            <w:gridSpan w:val="2"/>
            <w:vAlign w:val="center"/>
          </w:tcPr>
          <w:p>
            <w:pPr>
              <w:spacing w:line="440" w:lineRule="exact"/>
              <w:jc w:val="center"/>
              <w:rPr>
                <w:rFonts w:ascii="宋体" w:hAnsi="宋体"/>
                <w:color w:val="auto"/>
                <w:szCs w:val="21"/>
                <w:highlight w:val="none"/>
              </w:rPr>
            </w:pPr>
          </w:p>
        </w:tc>
        <w:tc>
          <w:tcPr>
            <w:tcW w:w="927"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年 龄</w:t>
            </w:r>
          </w:p>
        </w:tc>
        <w:tc>
          <w:tcPr>
            <w:tcW w:w="1065" w:type="dxa"/>
            <w:gridSpan w:val="2"/>
            <w:vAlign w:val="center"/>
          </w:tcPr>
          <w:p>
            <w:pPr>
              <w:spacing w:line="440" w:lineRule="exact"/>
              <w:jc w:val="center"/>
              <w:rPr>
                <w:rFonts w:ascii="宋体" w:hAnsi="宋体"/>
                <w:color w:val="auto"/>
                <w:szCs w:val="21"/>
                <w:highlight w:val="none"/>
              </w:rPr>
            </w:pPr>
          </w:p>
        </w:tc>
        <w:tc>
          <w:tcPr>
            <w:tcW w:w="2130" w:type="dxa"/>
            <w:gridSpan w:val="3"/>
            <w:vAlign w:val="center"/>
          </w:tcPr>
          <w:p>
            <w:pPr>
              <w:spacing w:line="440" w:lineRule="exact"/>
              <w:jc w:val="center"/>
              <w:rPr>
                <w:rFonts w:ascii="宋体" w:hAnsi="宋体"/>
                <w:color w:val="auto"/>
                <w:szCs w:val="21"/>
                <w:highlight w:val="none"/>
              </w:rPr>
            </w:pPr>
            <w:r>
              <w:rPr>
                <w:rFonts w:ascii="宋体" w:hAnsi="宋体"/>
                <w:color w:val="auto"/>
                <w:szCs w:val="21"/>
                <w:highlight w:val="none"/>
              </w:rPr>
              <w:t>学历</w:t>
            </w:r>
          </w:p>
        </w:tc>
        <w:tc>
          <w:tcPr>
            <w:tcW w:w="2135" w:type="dxa"/>
            <w:vAlign w:val="center"/>
          </w:tcPr>
          <w:p>
            <w:pPr>
              <w:spacing w:line="4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gridSpan w:val="2"/>
            <w:vAlign w:val="center"/>
          </w:tcPr>
          <w:p>
            <w:pPr>
              <w:spacing w:line="440" w:lineRule="exact"/>
              <w:jc w:val="center"/>
              <w:rPr>
                <w:rFonts w:ascii="宋体" w:hAnsi="宋体"/>
                <w:color w:val="auto"/>
                <w:szCs w:val="21"/>
                <w:highlight w:val="none"/>
              </w:rPr>
            </w:pPr>
            <w:r>
              <w:rPr>
                <w:rFonts w:ascii="宋体" w:hAnsi="宋体"/>
                <w:color w:val="auto"/>
                <w:szCs w:val="21"/>
                <w:highlight w:val="none"/>
              </w:rPr>
              <w:t>职  称</w:t>
            </w:r>
          </w:p>
        </w:tc>
        <w:tc>
          <w:tcPr>
            <w:tcW w:w="1079" w:type="dxa"/>
            <w:gridSpan w:val="2"/>
            <w:vAlign w:val="center"/>
          </w:tcPr>
          <w:p>
            <w:pPr>
              <w:spacing w:line="440" w:lineRule="exact"/>
              <w:jc w:val="center"/>
              <w:rPr>
                <w:rFonts w:ascii="宋体" w:hAnsi="宋体"/>
                <w:color w:val="auto"/>
                <w:szCs w:val="21"/>
                <w:highlight w:val="none"/>
              </w:rPr>
            </w:pPr>
          </w:p>
        </w:tc>
        <w:tc>
          <w:tcPr>
            <w:tcW w:w="927"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职 务</w:t>
            </w:r>
          </w:p>
        </w:tc>
        <w:tc>
          <w:tcPr>
            <w:tcW w:w="1065" w:type="dxa"/>
            <w:gridSpan w:val="2"/>
            <w:vAlign w:val="center"/>
          </w:tcPr>
          <w:p>
            <w:pPr>
              <w:spacing w:line="440" w:lineRule="exact"/>
              <w:jc w:val="center"/>
              <w:rPr>
                <w:rFonts w:ascii="宋体" w:hAnsi="宋体"/>
                <w:color w:val="auto"/>
                <w:szCs w:val="21"/>
                <w:highlight w:val="none"/>
              </w:rPr>
            </w:pPr>
          </w:p>
        </w:tc>
        <w:tc>
          <w:tcPr>
            <w:tcW w:w="2130" w:type="dxa"/>
            <w:gridSpan w:val="3"/>
            <w:vAlign w:val="center"/>
          </w:tcPr>
          <w:p>
            <w:pPr>
              <w:spacing w:line="440" w:lineRule="exact"/>
              <w:jc w:val="center"/>
              <w:rPr>
                <w:rFonts w:ascii="宋体" w:hAnsi="宋体"/>
                <w:color w:val="auto"/>
                <w:szCs w:val="21"/>
                <w:highlight w:val="none"/>
              </w:rPr>
            </w:pPr>
            <w:r>
              <w:rPr>
                <w:rFonts w:ascii="宋体" w:hAnsi="宋体"/>
                <w:color w:val="auto"/>
                <w:szCs w:val="21"/>
                <w:highlight w:val="none"/>
              </w:rPr>
              <w:t>拟在本合同任职</w:t>
            </w:r>
          </w:p>
        </w:tc>
        <w:tc>
          <w:tcPr>
            <w:tcW w:w="2135" w:type="dxa"/>
            <w:vAlign w:val="center"/>
          </w:tcPr>
          <w:p>
            <w:pPr>
              <w:spacing w:line="4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gridSpan w:val="2"/>
            <w:vAlign w:val="center"/>
          </w:tcPr>
          <w:p>
            <w:pPr>
              <w:spacing w:line="440" w:lineRule="exact"/>
              <w:rPr>
                <w:rFonts w:ascii="宋体" w:hAnsi="宋体"/>
                <w:color w:val="auto"/>
                <w:szCs w:val="21"/>
                <w:highlight w:val="none"/>
              </w:rPr>
            </w:pPr>
            <w:r>
              <w:rPr>
                <w:rFonts w:ascii="宋体" w:hAnsi="宋体"/>
                <w:color w:val="auto"/>
                <w:szCs w:val="21"/>
                <w:highlight w:val="none"/>
              </w:rPr>
              <w:t>毕业学校</w:t>
            </w:r>
          </w:p>
        </w:tc>
        <w:tc>
          <w:tcPr>
            <w:tcW w:w="7336" w:type="dxa"/>
            <w:gridSpan w:val="9"/>
          </w:tcPr>
          <w:p>
            <w:pPr>
              <w:spacing w:line="440" w:lineRule="exact"/>
              <w:rPr>
                <w:rFonts w:ascii="宋体" w:hAnsi="宋体"/>
                <w:color w:val="auto"/>
                <w:szCs w:val="21"/>
                <w:highlight w:val="none"/>
              </w:rPr>
            </w:pPr>
            <w:r>
              <w:rPr>
                <w:rFonts w:ascii="宋体" w:hAnsi="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gridSpan w:val="2"/>
            <w:vAlign w:val="center"/>
          </w:tcPr>
          <w:p>
            <w:pPr>
              <w:spacing w:line="440" w:lineRule="exact"/>
              <w:rPr>
                <w:rFonts w:ascii="宋体" w:hAnsi="宋体"/>
                <w:color w:val="auto"/>
                <w:szCs w:val="21"/>
                <w:highlight w:val="none"/>
              </w:rPr>
            </w:pPr>
            <w:r>
              <w:rPr>
                <w:rFonts w:hint="eastAsia" w:ascii="宋体" w:hAnsi="宋体"/>
                <w:color w:val="auto"/>
                <w:szCs w:val="21"/>
                <w:highlight w:val="none"/>
              </w:rPr>
              <w:t>同类项目工作年限（年）：</w:t>
            </w:r>
          </w:p>
        </w:tc>
        <w:tc>
          <w:tcPr>
            <w:tcW w:w="7336" w:type="dxa"/>
            <w:gridSpan w:val="9"/>
          </w:tcPr>
          <w:p>
            <w:pPr>
              <w:spacing w:line="4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11"/>
            <w:vAlign w:val="center"/>
          </w:tcPr>
          <w:p>
            <w:pPr>
              <w:spacing w:line="440" w:lineRule="exact"/>
              <w:rPr>
                <w:rFonts w:ascii="宋体" w:hAnsi="宋体"/>
                <w:color w:val="auto"/>
                <w:szCs w:val="21"/>
                <w:highlight w:val="none"/>
              </w:rPr>
            </w:pPr>
            <w:r>
              <w:rPr>
                <w:rFonts w:ascii="宋体" w:hAnsi="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dxa"/>
            <w:vAlign w:val="center"/>
          </w:tcPr>
          <w:p>
            <w:pPr>
              <w:spacing w:line="440" w:lineRule="exact"/>
              <w:rPr>
                <w:rFonts w:ascii="宋体" w:hAnsi="宋体"/>
                <w:color w:val="auto"/>
                <w:szCs w:val="21"/>
                <w:highlight w:val="none"/>
              </w:rPr>
            </w:pPr>
            <w:r>
              <w:rPr>
                <w:rFonts w:ascii="宋体" w:hAnsi="宋体"/>
                <w:color w:val="auto"/>
                <w:szCs w:val="21"/>
                <w:highlight w:val="none"/>
              </w:rPr>
              <w:t>时  间</w:t>
            </w:r>
          </w:p>
        </w:tc>
        <w:tc>
          <w:tcPr>
            <w:tcW w:w="938" w:type="dxa"/>
            <w:gridSpan w:val="2"/>
            <w:vAlign w:val="center"/>
          </w:tcPr>
          <w:p>
            <w:pPr>
              <w:spacing w:line="440" w:lineRule="exact"/>
              <w:rPr>
                <w:rFonts w:ascii="宋体" w:hAnsi="宋体"/>
                <w:color w:val="auto"/>
                <w:szCs w:val="21"/>
                <w:highlight w:val="none"/>
              </w:rPr>
            </w:pPr>
            <w:r>
              <w:rPr>
                <w:rFonts w:hint="eastAsia" w:ascii="宋体" w:hAnsi="宋体"/>
                <w:color w:val="auto"/>
                <w:szCs w:val="21"/>
                <w:highlight w:val="none"/>
              </w:rPr>
              <w:t>甲方名称</w:t>
            </w:r>
          </w:p>
        </w:tc>
        <w:tc>
          <w:tcPr>
            <w:tcW w:w="1687" w:type="dxa"/>
            <w:gridSpan w:val="3"/>
            <w:vAlign w:val="center"/>
          </w:tcPr>
          <w:p>
            <w:pPr>
              <w:spacing w:line="440" w:lineRule="exact"/>
              <w:rPr>
                <w:rFonts w:ascii="宋体" w:hAnsi="宋体"/>
                <w:color w:val="auto"/>
                <w:szCs w:val="21"/>
                <w:highlight w:val="none"/>
              </w:rPr>
            </w:pPr>
            <w:r>
              <w:rPr>
                <w:rFonts w:ascii="宋体" w:hAnsi="宋体"/>
                <w:color w:val="auto"/>
                <w:szCs w:val="21"/>
                <w:highlight w:val="none"/>
              </w:rPr>
              <w:t>参加过的类似项目</w:t>
            </w:r>
            <w:r>
              <w:rPr>
                <w:rFonts w:hint="eastAsia" w:ascii="宋体" w:hAnsi="宋体"/>
                <w:color w:val="auto"/>
                <w:szCs w:val="21"/>
                <w:highlight w:val="none"/>
              </w:rPr>
              <w:t>(项目名称)</w:t>
            </w:r>
          </w:p>
        </w:tc>
        <w:tc>
          <w:tcPr>
            <w:tcW w:w="1327" w:type="dxa"/>
            <w:gridSpan w:val="2"/>
            <w:vAlign w:val="center"/>
          </w:tcPr>
          <w:p>
            <w:pPr>
              <w:spacing w:line="440" w:lineRule="exact"/>
              <w:rPr>
                <w:rFonts w:ascii="宋体" w:hAnsi="宋体"/>
                <w:color w:val="auto"/>
                <w:szCs w:val="21"/>
                <w:highlight w:val="none"/>
              </w:rPr>
            </w:pPr>
            <w:r>
              <w:rPr>
                <w:rFonts w:hint="eastAsia" w:ascii="宋体" w:hAnsi="宋体"/>
                <w:color w:val="auto"/>
                <w:szCs w:val="21"/>
                <w:highlight w:val="none"/>
              </w:rPr>
              <w:t>合同金额（万元）</w:t>
            </w:r>
          </w:p>
        </w:tc>
        <w:tc>
          <w:tcPr>
            <w:tcW w:w="1097" w:type="dxa"/>
            <w:vAlign w:val="center"/>
          </w:tcPr>
          <w:p>
            <w:pPr>
              <w:spacing w:line="440" w:lineRule="exact"/>
              <w:rPr>
                <w:rFonts w:ascii="宋体" w:hAnsi="宋体"/>
                <w:color w:val="auto"/>
                <w:szCs w:val="21"/>
                <w:highlight w:val="none"/>
              </w:rPr>
            </w:pPr>
            <w:r>
              <w:rPr>
                <w:rFonts w:ascii="宋体" w:hAnsi="宋体"/>
                <w:color w:val="auto"/>
                <w:szCs w:val="21"/>
                <w:highlight w:val="none"/>
              </w:rPr>
              <w:t>担任职务</w:t>
            </w:r>
          </w:p>
        </w:tc>
        <w:tc>
          <w:tcPr>
            <w:tcW w:w="2460" w:type="dxa"/>
            <w:gridSpan w:val="2"/>
            <w:vAlign w:val="center"/>
          </w:tcPr>
          <w:p>
            <w:pPr>
              <w:spacing w:line="440" w:lineRule="exact"/>
              <w:rPr>
                <w:rFonts w:ascii="宋体" w:hAnsi="宋体"/>
                <w:color w:val="auto"/>
                <w:szCs w:val="21"/>
                <w:highlight w:val="none"/>
              </w:rPr>
            </w:pPr>
            <w:r>
              <w:rPr>
                <w:rFonts w:hint="eastAsia" w:ascii="宋体" w:hAnsi="宋体"/>
                <w:color w:val="auto"/>
                <w:szCs w:val="21"/>
                <w:highlight w:val="none"/>
              </w:rPr>
              <w:t>甲方联系人</w:t>
            </w:r>
            <w:r>
              <w:rPr>
                <w:rFonts w:ascii="宋体" w:hAnsi="宋体"/>
                <w:color w:val="auto"/>
                <w:szCs w:val="21"/>
                <w:highlight w:val="none"/>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13" w:type="dxa"/>
          </w:tcPr>
          <w:p>
            <w:pPr>
              <w:spacing w:line="440" w:lineRule="exact"/>
              <w:rPr>
                <w:rFonts w:eastAsia="黑体"/>
                <w:color w:val="auto"/>
                <w:szCs w:val="21"/>
                <w:highlight w:val="none"/>
              </w:rPr>
            </w:pPr>
          </w:p>
        </w:tc>
        <w:tc>
          <w:tcPr>
            <w:tcW w:w="938" w:type="dxa"/>
            <w:gridSpan w:val="2"/>
          </w:tcPr>
          <w:p>
            <w:pPr>
              <w:spacing w:line="440" w:lineRule="exact"/>
              <w:rPr>
                <w:rFonts w:eastAsia="黑体"/>
                <w:color w:val="auto"/>
                <w:szCs w:val="21"/>
                <w:highlight w:val="none"/>
              </w:rPr>
            </w:pPr>
          </w:p>
        </w:tc>
        <w:tc>
          <w:tcPr>
            <w:tcW w:w="1687" w:type="dxa"/>
            <w:gridSpan w:val="3"/>
          </w:tcPr>
          <w:p>
            <w:pPr>
              <w:spacing w:line="440" w:lineRule="exact"/>
              <w:rPr>
                <w:rFonts w:eastAsia="黑体"/>
                <w:color w:val="auto"/>
                <w:szCs w:val="21"/>
                <w:highlight w:val="none"/>
              </w:rPr>
            </w:pPr>
          </w:p>
        </w:tc>
        <w:tc>
          <w:tcPr>
            <w:tcW w:w="1327" w:type="dxa"/>
            <w:gridSpan w:val="2"/>
          </w:tcPr>
          <w:p>
            <w:pPr>
              <w:spacing w:line="440" w:lineRule="exact"/>
              <w:rPr>
                <w:rFonts w:eastAsia="黑体"/>
                <w:color w:val="auto"/>
                <w:szCs w:val="21"/>
                <w:highlight w:val="none"/>
              </w:rPr>
            </w:pPr>
          </w:p>
        </w:tc>
        <w:tc>
          <w:tcPr>
            <w:tcW w:w="1097" w:type="dxa"/>
          </w:tcPr>
          <w:p>
            <w:pPr>
              <w:spacing w:line="440" w:lineRule="exact"/>
              <w:rPr>
                <w:rFonts w:eastAsia="黑体"/>
                <w:color w:val="auto"/>
                <w:szCs w:val="21"/>
                <w:highlight w:val="none"/>
              </w:rPr>
            </w:pPr>
          </w:p>
        </w:tc>
        <w:tc>
          <w:tcPr>
            <w:tcW w:w="2460"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13" w:type="dxa"/>
          </w:tcPr>
          <w:p>
            <w:pPr>
              <w:spacing w:line="440" w:lineRule="exact"/>
              <w:rPr>
                <w:rFonts w:eastAsia="黑体"/>
                <w:color w:val="auto"/>
                <w:szCs w:val="21"/>
                <w:highlight w:val="none"/>
              </w:rPr>
            </w:pPr>
          </w:p>
        </w:tc>
        <w:tc>
          <w:tcPr>
            <w:tcW w:w="938" w:type="dxa"/>
            <w:gridSpan w:val="2"/>
          </w:tcPr>
          <w:p>
            <w:pPr>
              <w:spacing w:line="440" w:lineRule="exact"/>
              <w:rPr>
                <w:rFonts w:eastAsia="黑体"/>
                <w:color w:val="auto"/>
                <w:szCs w:val="21"/>
                <w:highlight w:val="none"/>
              </w:rPr>
            </w:pPr>
          </w:p>
        </w:tc>
        <w:tc>
          <w:tcPr>
            <w:tcW w:w="1687" w:type="dxa"/>
            <w:gridSpan w:val="3"/>
          </w:tcPr>
          <w:p>
            <w:pPr>
              <w:spacing w:line="440" w:lineRule="exact"/>
              <w:rPr>
                <w:rFonts w:eastAsia="黑体"/>
                <w:color w:val="auto"/>
                <w:szCs w:val="21"/>
                <w:highlight w:val="none"/>
              </w:rPr>
            </w:pPr>
          </w:p>
        </w:tc>
        <w:tc>
          <w:tcPr>
            <w:tcW w:w="1327" w:type="dxa"/>
            <w:gridSpan w:val="2"/>
          </w:tcPr>
          <w:p>
            <w:pPr>
              <w:spacing w:line="440" w:lineRule="exact"/>
              <w:rPr>
                <w:rFonts w:eastAsia="黑体"/>
                <w:color w:val="auto"/>
                <w:szCs w:val="21"/>
                <w:highlight w:val="none"/>
              </w:rPr>
            </w:pPr>
          </w:p>
        </w:tc>
        <w:tc>
          <w:tcPr>
            <w:tcW w:w="1097" w:type="dxa"/>
          </w:tcPr>
          <w:p>
            <w:pPr>
              <w:spacing w:line="440" w:lineRule="exact"/>
              <w:rPr>
                <w:rFonts w:eastAsia="黑体"/>
                <w:color w:val="auto"/>
                <w:szCs w:val="21"/>
                <w:highlight w:val="none"/>
              </w:rPr>
            </w:pPr>
          </w:p>
        </w:tc>
        <w:tc>
          <w:tcPr>
            <w:tcW w:w="2460"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13" w:type="dxa"/>
          </w:tcPr>
          <w:p>
            <w:pPr>
              <w:spacing w:line="440" w:lineRule="exact"/>
              <w:rPr>
                <w:rFonts w:eastAsia="黑体"/>
                <w:color w:val="auto"/>
                <w:szCs w:val="21"/>
                <w:highlight w:val="none"/>
              </w:rPr>
            </w:pPr>
          </w:p>
        </w:tc>
        <w:tc>
          <w:tcPr>
            <w:tcW w:w="938" w:type="dxa"/>
            <w:gridSpan w:val="2"/>
          </w:tcPr>
          <w:p>
            <w:pPr>
              <w:spacing w:line="440" w:lineRule="exact"/>
              <w:rPr>
                <w:rFonts w:eastAsia="黑体"/>
                <w:color w:val="auto"/>
                <w:szCs w:val="21"/>
                <w:highlight w:val="none"/>
              </w:rPr>
            </w:pPr>
          </w:p>
        </w:tc>
        <w:tc>
          <w:tcPr>
            <w:tcW w:w="1687" w:type="dxa"/>
            <w:gridSpan w:val="3"/>
          </w:tcPr>
          <w:p>
            <w:pPr>
              <w:spacing w:line="440" w:lineRule="exact"/>
              <w:rPr>
                <w:rFonts w:eastAsia="黑体"/>
                <w:color w:val="auto"/>
                <w:szCs w:val="21"/>
                <w:highlight w:val="none"/>
              </w:rPr>
            </w:pPr>
          </w:p>
        </w:tc>
        <w:tc>
          <w:tcPr>
            <w:tcW w:w="1327" w:type="dxa"/>
            <w:gridSpan w:val="2"/>
          </w:tcPr>
          <w:p>
            <w:pPr>
              <w:spacing w:line="440" w:lineRule="exact"/>
              <w:rPr>
                <w:rFonts w:eastAsia="黑体"/>
                <w:color w:val="auto"/>
                <w:szCs w:val="21"/>
                <w:highlight w:val="none"/>
              </w:rPr>
            </w:pPr>
          </w:p>
        </w:tc>
        <w:tc>
          <w:tcPr>
            <w:tcW w:w="1097" w:type="dxa"/>
          </w:tcPr>
          <w:p>
            <w:pPr>
              <w:spacing w:line="440" w:lineRule="exact"/>
              <w:rPr>
                <w:rFonts w:eastAsia="黑体"/>
                <w:color w:val="auto"/>
                <w:szCs w:val="21"/>
                <w:highlight w:val="none"/>
              </w:rPr>
            </w:pPr>
          </w:p>
        </w:tc>
        <w:tc>
          <w:tcPr>
            <w:tcW w:w="2460"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13" w:type="dxa"/>
          </w:tcPr>
          <w:p>
            <w:pPr>
              <w:spacing w:line="440" w:lineRule="exact"/>
              <w:rPr>
                <w:rFonts w:eastAsia="黑体"/>
                <w:color w:val="auto"/>
                <w:szCs w:val="21"/>
                <w:highlight w:val="none"/>
              </w:rPr>
            </w:pPr>
          </w:p>
        </w:tc>
        <w:tc>
          <w:tcPr>
            <w:tcW w:w="938" w:type="dxa"/>
            <w:gridSpan w:val="2"/>
          </w:tcPr>
          <w:p>
            <w:pPr>
              <w:spacing w:line="440" w:lineRule="exact"/>
              <w:rPr>
                <w:rFonts w:eastAsia="黑体"/>
                <w:color w:val="auto"/>
                <w:szCs w:val="21"/>
                <w:highlight w:val="none"/>
              </w:rPr>
            </w:pPr>
          </w:p>
        </w:tc>
        <w:tc>
          <w:tcPr>
            <w:tcW w:w="1687" w:type="dxa"/>
            <w:gridSpan w:val="3"/>
          </w:tcPr>
          <w:p>
            <w:pPr>
              <w:spacing w:line="440" w:lineRule="exact"/>
              <w:rPr>
                <w:rFonts w:eastAsia="黑体"/>
                <w:color w:val="auto"/>
                <w:szCs w:val="21"/>
                <w:highlight w:val="none"/>
              </w:rPr>
            </w:pPr>
          </w:p>
        </w:tc>
        <w:tc>
          <w:tcPr>
            <w:tcW w:w="1327" w:type="dxa"/>
            <w:gridSpan w:val="2"/>
          </w:tcPr>
          <w:p>
            <w:pPr>
              <w:spacing w:line="440" w:lineRule="exact"/>
              <w:rPr>
                <w:rFonts w:eastAsia="黑体"/>
                <w:color w:val="auto"/>
                <w:szCs w:val="21"/>
                <w:highlight w:val="none"/>
              </w:rPr>
            </w:pPr>
          </w:p>
        </w:tc>
        <w:tc>
          <w:tcPr>
            <w:tcW w:w="1097" w:type="dxa"/>
          </w:tcPr>
          <w:p>
            <w:pPr>
              <w:spacing w:line="440" w:lineRule="exact"/>
              <w:rPr>
                <w:rFonts w:eastAsia="黑体"/>
                <w:color w:val="auto"/>
                <w:szCs w:val="21"/>
                <w:highlight w:val="none"/>
              </w:rPr>
            </w:pPr>
          </w:p>
        </w:tc>
        <w:tc>
          <w:tcPr>
            <w:tcW w:w="2460"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13" w:type="dxa"/>
          </w:tcPr>
          <w:p>
            <w:pPr>
              <w:spacing w:line="440" w:lineRule="exact"/>
              <w:rPr>
                <w:rFonts w:eastAsia="黑体"/>
                <w:color w:val="auto"/>
                <w:szCs w:val="21"/>
                <w:highlight w:val="none"/>
              </w:rPr>
            </w:pPr>
          </w:p>
        </w:tc>
        <w:tc>
          <w:tcPr>
            <w:tcW w:w="938" w:type="dxa"/>
            <w:gridSpan w:val="2"/>
          </w:tcPr>
          <w:p>
            <w:pPr>
              <w:spacing w:line="440" w:lineRule="exact"/>
              <w:rPr>
                <w:rFonts w:eastAsia="黑体"/>
                <w:color w:val="auto"/>
                <w:szCs w:val="21"/>
                <w:highlight w:val="none"/>
              </w:rPr>
            </w:pPr>
          </w:p>
        </w:tc>
        <w:tc>
          <w:tcPr>
            <w:tcW w:w="1687" w:type="dxa"/>
            <w:gridSpan w:val="3"/>
          </w:tcPr>
          <w:p>
            <w:pPr>
              <w:spacing w:line="440" w:lineRule="exact"/>
              <w:rPr>
                <w:rFonts w:eastAsia="黑体"/>
                <w:color w:val="auto"/>
                <w:szCs w:val="21"/>
                <w:highlight w:val="none"/>
              </w:rPr>
            </w:pPr>
          </w:p>
        </w:tc>
        <w:tc>
          <w:tcPr>
            <w:tcW w:w="1327" w:type="dxa"/>
            <w:gridSpan w:val="2"/>
          </w:tcPr>
          <w:p>
            <w:pPr>
              <w:spacing w:line="440" w:lineRule="exact"/>
              <w:rPr>
                <w:rFonts w:eastAsia="黑体"/>
                <w:color w:val="auto"/>
                <w:szCs w:val="21"/>
                <w:highlight w:val="none"/>
              </w:rPr>
            </w:pPr>
          </w:p>
        </w:tc>
        <w:tc>
          <w:tcPr>
            <w:tcW w:w="1097" w:type="dxa"/>
          </w:tcPr>
          <w:p>
            <w:pPr>
              <w:spacing w:line="440" w:lineRule="exact"/>
              <w:rPr>
                <w:rFonts w:eastAsia="黑体"/>
                <w:color w:val="auto"/>
                <w:szCs w:val="21"/>
                <w:highlight w:val="none"/>
              </w:rPr>
            </w:pPr>
          </w:p>
        </w:tc>
        <w:tc>
          <w:tcPr>
            <w:tcW w:w="2460"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13" w:type="dxa"/>
          </w:tcPr>
          <w:p>
            <w:pPr>
              <w:spacing w:line="440" w:lineRule="exact"/>
              <w:rPr>
                <w:rFonts w:eastAsia="黑体"/>
                <w:color w:val="auto"/>
                <w:szCs w:val="21"/>
                <w:highlight w:val="none"/>
              </w:rPr>
            </w:pPr>
          </w:p>
        </w:tc>
        <w:tc>
          <w:tcPr>
            <w:tcW w:w="938" w:type="dxa"/>
            <w:gridSpan w:val="2"/>
          </w:tcPr>
          <w:p>
            <w:pPr>
              <w:spacing w:line="440" w:lineRule="exact"/>
              <w:rPr>
                <w:rFonts w:eastAsia="黑体"/>
                <w:color w:val="auto"/>
                <w:szCs w:val="21"/>
                <w:highlight w:val="none"/>
              </w:rPr>
            </w:pPr>
          </w:p>
        </w:tc>
        <w:tc>
          <w:tcPr>
            <w:tcW w:w="1687" w:type="dxa"/>
            <w:gridSpan w:val="3"/>
          </w:tcPr>
          <w:p>
            <w:pPr>
              <w:spacing w:line="440" w:lineRule="exact"/>
              <w:rPr>
                <w:rFonts w:eastAsia="黑体"/>
                <w:color w:val="auto"/>
                <w:szCs w:val="21"/>
                <w:highlight w:val="none"/>
              </w:rPr>
            </w:pPr>
          </w:p>
        </w:tc>
        <w:tc>
          <w:tcPr>
            <w:tcW w:w="1327" w:type="dxa"/>
            <w:gridSpan w:val="2"/>
          </w:tcPr>
          <w:p>
            <w:pPr>
              <w:spacing w:line="440" w:lineRule="exact"/>
              <w:rPr>
                <w:rFonts w:eastAsia="黑体"/>
                <w:color w:val="auto"/>
                <w:szCs w:val="21"/>
                <w:highlight w:val="none"/>
              </w:rPr>
            </w:pPr>
          </w:p>
        </w:tc>
        <w:tc>
          <w:tcPr>
            <w:tcW w:w="1097" w:type="dxa"/>
          </w:tcPr>
          <w:p>
            <w:pPr>
              <w:spacing w:line="440" w:lineRule="exact"/>
              <w:rPr>
                <w:rFonts w:eastAsia="黑体"/>
                <w:color w:val="auto"/>
                <w:szCs w:val="21"/>
                <w:highlight w:val="none"/>
              </w:rPr>
            </w:pPr>
          </w:p>
        </w:tc>
        <w:tc>
          <w:tcPr>
            <w:tcW w:w="2460"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13" w:type="dxa"/>
          </w:tcPr>
          <w:p>
            <w:pPr>
              <w:spacing w:line="440" w:lineRule="exact"/>
              <w:rPr>
                <w:rFonts w:eastAsia="黑体"/>
                <w:color w:val="auto"/>
                <w:szCs w:val="21"/>
                <w:highlight w:val="none"/>
              </w:rPr>
            </w:pPr>
          </w:p>
        </w:tc>
        <w:tc>
          <w:tcPr>
            <w:tcW w:w="938" w:type="dxa"/>
            <w:gridSpan w:val="2"/>
          </w:tcPr>
          <w:p>
            <w:pPr>
              <w:spacing w:line="440" w:lineRule="exact"/>
              <w:rPr>
                <w:rFonts w:eastAsia="黑体"/>
                <w:color w:val="auto"/>
                <w:szCs w:val="21"/>
                <w:highlight w:val="none"/>
              </w:rPr>
            </w:pPr>
          </w:p>
        </w:tc>
        <w:tc>
          <w:tcPr>
            <w:tcW w:w="1687" w:type="dxa"/>
            <w:gridSpan w:val="3"/>
          </w:tcPr>
          <w:p>
            <w:pPr>
              <w:spacing w:line="440" w:lineRule="exact"/>
              <w:rPr>
                <w:rFonts w:eastAsia="黑体"/>
                <w:color w:val="auto"/>
                <w:szCs w:val="21"/>
                <w:highlight w:val="none"/>
              </w:rPr>
            </w:pPr>
          </w:p>
        </w:tc>
        <w:tc>
          <w:tcPr>
            <w:tcW w:w="1327" w:type="dxa"/>
            <w:gridSpan w:val="2"/>
          </w:tcPr>
          <w:p>
            <w:pPr>
              <w:spacing w:line="440" w:lineRule="exact"/>
              <w:rPr>
                <w:rFonts w:eastAsia="黑体"/>
                <w:color w:val="auto"/>
                <w:szCs w:val="21"/>
                <w:highlight w:val="none"/>
              </w:rPr>
            </w:pPr>
          </w:p>
        </w:tc>
        <w:tc>
          <w:tcPr>
            <w:tcW w:w="1097" w:type="dxa"/>
          </w:tcPr>
          <w:p>
            <w:pPr>
              <w:spacing w:line="440" w:lineRule="exact"/>
              <w:rPr>
                <w:rFonts w:eastAsia="黑体"/>
                <w:color w:val="auto"/>
                <w:szCs w:val="21"/>
                <w:highlight w:val="none"/>
              </w:rPr>
            </w:pPr>
          </w:p>
        </w:tc>
        <w:tc>
          <w:tcPr>
            <w:tcW w:w="2460"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13" w:type="dxa"/>
          </w:tcPr>
          <w:p>
            <w:pPr>
              <w:spacing w:line="440" w:lineRule="exact"/>
              <w:rPr>
                <w:rFonts w:eastAsia="黑体"/>
                <w:color w:val="auto"/>
                <w:szCs w:val="21"/>
                <w:highlight w:val="none"/>
              </w:rPr>
            </w:pPr>
          </w:p>
        </w:tc>
        <w:tc>
          <w:tcPr>
            <w:tcW w:w="938" w:type="dxa"/>
            <w:gridSpan w:val="2"/>
          </w:tcPr>
          <w:p>
            <w:pPr>
              <w:spacing w:line="440" w:lineRule="exact"/>
              <w:rPr>
                <w:rFonts w:eastAsia="黑体"/>
                <w:color w:val="auto"/>
                <w:szCs w:val="21"/>
                <w:highlight w:val="none"/>
              </w:rPr>
            </w:pPr>
          </w:p>
        </w:tc>
        <w:tc>
          <w:tcPr>
            <w:tcW w:w="1687" w:type="dxa"/>
            <w:gridSpan w:val="3"/>
          </w:tcPr>
          <w:p>
            <w:pPr>
              <w:spacing w:line="440" w:lineRule="exact"/>
              <w:rPr>
                <w:rFonts w:eastAsia="黑体"/>
                <w:color w:val="auto"/>
                <w:szCs w:val="21"/>
                <w:highlight w:val="none"/>
              </w:rPr>
            </w:pPr>
          </w:p>
        </w:tc>
        <w:tc>
          <w:tcPr>
            <w:tcW w:w="1327" w:type="dxa"/>
            <w:gridSpan w:val="2"/>
          </w:tcPr>
          <w:p>
            <w:pPr>
              <w:spacing w:line="440" w:lineRule="exact"/>
              <w:rPr>
                <w:rFonts w:eastAsia="黑体"/>
                <w:color w:val="auto"/>
                <w:szCs w:val="21"/>
                <w:highlight w:val="none"/>
              </w:rPr>
            </w:pPr>
          </w:p>
        </w:tc>
        <w:tc>
          <w:tcPr>
            <w:tcW w:w="1097" w:type="dxa"/>
          </w:tcPr>
          <w:p>
            <w:pPr>
              <w:spacing w:line="440" w:lineRule="exact"/>
              <w:rPr>
                <w:rFonts w:eastAsia="黑体"/>
                <w:color w:val="auto"/>
                <w:szCs w:val="21"/>
                <w:highlight w:val="none"/>
              </w:rPr>
            </w:pPr>
          </w:p>
        </w:tc>
        <w:tc>
          <w:tcPr>
            <w:tcW w:w="2460"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13" w:type="dxa"/>
          </w:tcPr>
          <w:p>
            <w:pPr>
              <w:spacing w:line="440" w:lineRule="exact"/>
              <w:rPr>
                <w:rFonts w:eastAsia="黑体"/>
                <w:color w:val="auto"/>
                <w:szCs w:val="21"/>
                <w:highlight w:val="none"/>
              </w:rPr>
            </w:pPr>
          </w:p>
        </w:tc>
        <w:tc>
          <w:tcPr>
            <w:tcW w:w="938" w:type="dxa"/>
            <w:gridSpan w:val="2"/>
          </w:tcPr>
          <w:p>
            <w:pPr>
              <w:spacing w:line="440" w:lineRule="exact"/>
              <w:rPr>
                <w:rFonts w:eastAsia="黑体"/>
                <w:color w:val="auto"/>
                <w:szCs w:val="21"/>
                <w:highlight w:val="none"/>
              </w:rPr>
            </w:pPr>
          </w:p>
        </w:tc>
        <w:tc>
          <w:tcPr>
            <w:tcW w:w="1687" w:type="dxa"/>
            <w:gridSpan w:val="3"/>
          </w:tcPr>
          <w:p>
            <w:pPr>
              <w:spacing w:line="440" w:lineRule="exact"/>
              <w:rPr>
                <w:rFonts w:eastAsia="黑体"/>
                <w:color w:val="auto"/>
                <w:szCs w:val="21"/>
                <w:highlight w:val="none"/>
              </w:rPr>
            </w:pPr>
          </w:p>
        </w:tc>
        <w:tc>
          <w:tcPr>
            <w:tcW w:w="1327" w:type="dxa"/>
            <w:gridSpan w:val="2"/>
          </w:tcPr>
          <w:p>
            <w:pPr>
              <w:spacing w:line="440" w:lineRule="exact"/>
              <w:rPr>
                <w:rFonts w:eastAsia="黑体"/>
                <w:color w:val="auto"/>
                <w:szCs w:val="21"/>
                <w:highlight w:val="none"/>
              </w:rPr>
            </w:pPr>
          </w:p>
        </w:tc>
        <w:tc>
          <w:tcPr>
            <w:tcW w:w="1097" w:type="dxa"/>
          </w:tcPr>
          <w:p>
            <w:pPr>
              <w:spacing w:line="440" w:lineRule="exact"/>
              <w:rPr>
                <w:rFonts w:eastAsia="黑体"/>
                <w:color w:val="auto"/>
                <w:szCs w:val="21"/>
                <w:highlight w:val="none"/>
              </w:rPr>
            </w:pPr>
          </w:p>
        </w:tc>
        <w:tc>
          <w:tcPr>
            <w:tcW w:w="2460"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13" w:type="dxa"/>
          </w:tcPr>
          <w:p>
            <w:pPr>
              <w:spacing w:line="440" w:lineRule="exact"/>
              <w:rPr>
                <w:rFonts w:eastAsia="黑体"/>
                <w:color w:val="auto"/>
                <w:szCs w:val="21"/>
                <w:highlight w:val="none"/>
              </w:rPr>
            </w:pPr>
          </w:p>
        </w:tc>
        <w:tc>
          <w:tcPr>
            <w:tcW w:w="938" w:type="dxa"/>
            <w:gridSpan w:val="2"/>
          </w:tcPr>
          <w:p>
            <w:pPr>
              <w:spacing w:line="440" w:lineRule="exact"/>
              <w:rPr>
                <w:rFonts w:eastAsia="黑体"/>
                <w:color w:val="auto"/>
                <w:szCs w:val="21"/>
                <w:highlight w:val="none"/>
              </w:rPr>
            </w:pPr>
          </w:p>
        </w:tc>
        <w:tc>
          <w:tcPr>
            <w:tcW w:w="1687" w:type="dxa"/>
            <w:gridSpan w:val="3"/>
          </w:tcPr>
          <w:p>
            <w:pPr>
              <w:spacing w:line="440" w:lineRule="exact"/>
              <w:rPr>
                <w:rFonts w:eastAsia="黑体"/>
                <w:color w:val="auto"/>
                <w:szCs w:val="21"/>
                <w:highlight w:val="none"/>
              </w:rPr>
            </w:pPr>
          </w:p>
        </w:tc>
        <w:tc>
          <w:tcPr>
            <w:tcW w:w="1327" w:type="dxa"/>
            <w:gridSpan w:val="2"/>
          </w:tcPr>
          <w:p>
            <w:pPr>
              <w:spacing w:line="440" w:lineRule="exact"/>
              <w:rPr>
                <w:rFonts w:eastAsia="黑体"/>
                <w:color w:val="auto"/>
                <w:szCs w:val="21"/>
                <w:highlight w:val="none"/>
              </w:rPr>
            </w:pPr>
          </w:p>
        </w:tc>
        <w:tc>
          <w:tcPr>
            <w:tcW w:w="1097" w:type="dxa"/>
          </w:tcPr>
          <w:p>
            <w:pPr>
              <w:spacing w:line="440" w:lineRule="exact"/>
              <w:rPr>
                <w:rFonts w:eastAsia="黑体"/>
                <w:color w:val="auto"/>
                <w:szCs w:val="21"/>
                <w:highlight w:val="none"/>
              </w:rPr>
            </w:pPr>
          </w:p>
        </w:tc>
        <w:tc>
          <w:tcPr>
            <w:tcW w:w="2460" w:type="dxa"/>
            <w:gridSpan w:val="2"/>
          </w:tcPr>
          <w:p>
            <w:pPr>
              <w:spacing w:line="440" w:lineRule="exact"/>
              <w:rPr>
                <w:rFonts w:eastAsia="黑体"/>
                <w:color w:val="auto"/>
                <w:szCs w:val="21"/>
                <w:highlight w:val="none"/>
              </w:rPr>
            </w:pPr>
          </w:p>
        </w:tc>
      </w:tr>
    </w:tbl>
    <w:p>
      <w:pPr>
        <w:spacing w:line="440" w:lineRule="exact"/>
        <w:rPr>
          <w:color w:val="auto"/>
          <w:szCs w:val="21"/>
          <w:highlight w:val="none"/>
        </w:rPr>
      </w:pPr>
    </w:p>
    <w:p>
      <w:pPr>
        <w:widowControl/>
        <w:jc w:val="left"/>
        <w:rPr>
          <w:color w:val="auto"/>
          <w:szCs w:val="21"/>
          <w:highlight w:val="none"/>
        </w:rPr>
      </w:pPr>
      <w:r>
        <w:rPr>
          <w:color w:val="auto"/>
          <w:szCs w:val="21"/>
          <w:highlight w:val="none"/>
        </w:rPr>
        <w:br w:type="page"/>
      </w:r>
    </w:p>
    <w:p>
      <w:pPr>
        <w:pStyle w:val="3"/>
        <w:jc w:val="center"/>
        <w:rPr>
          <w:rFonts w:ascii="黑体"/>
          <w:color w:val="auto"/>
          <w:highlight w:val="none"/>
        </w:rPr>
      </w:pPr>
      <w:bookmarkStart w:id="193" w:name="_Toc486425436"/>
      <w:bookmarkStart w:id="194" w:name="_Toc475483727"/>
      <w:bookmarkStart w:id="195" w:name="_Toc12349"/>
      <w:r>
        <w:rPr>
          <w:rFonts w:hint="eastAsia" w:ascii="黑体"/>
          <w:color w:val="auto"/>
          <w:highlight w:val="none"/>
        </w:rPr>
        <w:t>八、</w:t>
      </w:r>
      <w:r>
        <w:rPr>
          <w:color w:val="auto"/>
          <w:highlight w:val="none"/>
        </w:rPr>
        <w:fldChar w:fldCharType="begin"/>
      </w:r>
      <w:r>
        <w:rPr>
          <w:color w:val="auto"/>
          <w:highlight w:val="none"/>
        </w:rPr>
        <w:instrText xml:space="preserve"> HYPERLINK \l "_Toc338661813" </w:instrText>
      </w:r>
      <w:r>
        <w:rPr>
          <w:color w:val="auto"/>
          <w:highlight w:val="none"/>
        </w:rPr>
        <w:fldChar w:fldCharType="separate"/>
      </w:r>
      <w:r>
        <w:rPr>
          <w:rFonts w:hint="eastAsia" w:ascii="黑体"/>
          <w:b w:val="0"/>
          <w:color w:val="auto"/>
          <w:highlight w:val="none"/>
        </w:rPr>
        <w:t>实质性条款偏离表</w:t>
      </w:r>
      <w:bookmarkEnd w:id="193"/>
      <w:bookmarkEnd w:id="194"/>
      <w:r>
        <w:rPr>
          <w:rFonts w:hint="eastAsia" w:ascii="黑体"/>
          <w:b w:val="0"/>
          <w:color w:val="auto"/>
          <w:highlight w:val="none"/>
        </w:rPr>
        <w:fldChar w:fldCharType="end"/>
      </w:r>
      <w:bookmarkEnd w:id="195"/>
    </w:p>
    <w:p>
      <w:pPr>
        <w:rPr>
          <w:color w:val="auto"/>
          <w:highlight w:val="non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rPr>
        <w:t xml:space="preserve">  项目编号：</w:t>
      </w:r>
      <w:r>
        <w:rPr>
          <w:rFonts w:hint="eastAsia"/>
          <w:color w:val="auto"/>
          <w:highlight w:val="none"/>
          <w:u w:val="single"/>
        </w:rPr>
        <w:t xml:space="preserve">               </w:t>
      </w:r>
    </w:p>
    <w:tbl>
      <w:tblPr>
        <w:tblStyle w:val="39"/>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701"/>
        <w:gridCol w:w="2126"/>
        <w:gridCol w:w="269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widowControl/>
              <w:snapToGrid w:val="0"/>
              <w:spacing w:before="156" w:beforeLines="50" w:line="360" w:lineRule="auto"/>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1701" w:type="dxa"/>
            <w:vAlign w:val="center"/>
          </w:tcPr>
          <w:p>
            <w:pPr>
              <w:widowControl/>
              <w:snapToGrid w:val="0"/>
              <w:spacing w:before="156" w:beforeLines="50" w:line="360" w:lineRule="auto"/>
              <w:jc w:val="center"/>
              <w:rPr>
                <w:rFonts w:ascii="宋体" w:hAnsi="宋体"/>
                <w:color w:val="auto"/>
                <w:kern w:val="0"/>
                <w:szCs w:val="21"/>
                <w:highlight w:val="none"/>
              </w:rPr>
            </w:pPr>
            <w:r>
              <w:rPr>
                <w:rFonts w:hint="eastAsia" w:ascii="宋体" w:hAnsi="宋体"/>
                <w:color w:val="auto"/>
                <w:kern w:val="0"/>
                <w:szCs w:val="21"/>
                <w:highlight w:val="none"/>
              </w:rPr>
              <w:t>竞争性谈判文件条目号</w:t>
            </w:r>
          </w:p>
        </w:tc>
        <w:tc>
          <w:tcPr>
            <w:tcW w:w="2126" w:type="dxa"/>
            <w:vAlign w:val="center"/>
          </w:tcPr>
          <w:p>
            <w:pPr>
              <w:widowControl/>
              <w:snapToGrid w:val="0"/>
              <w:spacing w:before="156" w:beforeLines="50" w:line="360" w:lineRule="auto"/>
              <w:jc w:val="center"/>
              <w:rPr>
                <w:rFonts w:ascii="宋体" w:hAnsi="宋体"/>
                <w:color w:val="auto"/>
                <w:kern w:val="0"/>
                <w:szCs w:val="21"/>
                <w:highlight w:val="none"/>
              </w:rPr>
            </w:pPr>
            <w:r>
              <w:rPr>
                <w:rFonts w:hint="eastAsia" w:ascii="宋体" w:hAnsi="宋体"/>
                <w:color w:val="auto"/>
                <w:kern w:val="0"/>
                <w:szCs w:val="21"/>
                <w:highlight w:val="none"/>
              </w:rPr>
              <w:t>竞争性谈判文件</w:t>
            </w:r>
            <w:r>
              <w:rPr>
                <w:rFonts w:hint="eastAsia" w:ascii="宋体" w:hAnsi="宋体" w:cs="宋体"/>
                <w:color w:val="auto"/>
                <w:szCs w:val="21"/>
                <w:highlight w:val="none"/>
              </w:rPr>
              <w:t>“</w:t>
            </w:r>
            <w:r>
              <w:rPr>
                <w:rFonts w:eastAsia="黑体"/>
                <w:color w:val="auto"/>
                <w:sz w:val="32"/>
                <w:szCs w:val="32"/>
                <w:highlight w:val="none"/>
              </w:rPr>
              <w:sym w:font="Wingdings" w:char="00AB"/>
            </w:r>
            <w:r>
              <w:rPr>
                <w:rFonts w:hint="eastAsia" w:ascii="宋体" w:hAnsi="宋体" w:cs="宋体"/>
                <w:color w:val="auto"/>
                <w:szCs w:val="21"/>
                <w:highlight w:val="none"/>
              </w:rPr>
              <w:t>”</w:t>
            </w:r>
            <w:r>
              <w:rPr>
                <w:rFonts w:hint="eastAsia" w:ascii="宋体" w:hAnsi="宋体"/>
                <w:color w:val="auto"/>
                <w:kern w:val="0"/>
                <w:szCs w:val="21"/>
                <w:highlight w:val="none"/>
              </w:rPr>
              <w:t>条款</w:t>
            </w:r>
          </w:p>
        </w:tc>
        <w:tc>
          <w:tcPr>
            <w:tcW w:w="2694" w:type="dxa"/>
            <w:vAlign w:val="center"/>
          </w:tcPr>
          <w:p>
            <w:pPr>
              <w:widowControl/>
              <w:snapToGrid w:val="0"/>
              <w:spacing w:before="156" w:beforeLines="50"/>
              <w:jc w:val="center"/>
              <w:rPr>
                <w:rFonts w:ascii="宋体" w:hAnsi="宋体"/>
                <w:color w:val="auto"/>
                <w:kern w:val="0"/>
                <w:szCs w:val="21"/>
                <w:highlight w:val="none"/>
              </w:rPr>
            </w:pPr>
            <w:r>
              <w:rPr>
                <w:rFonts w:hint="eastAsia" w:ascii="宋体" w:hAnsi="宋体"/>
                <w:color w:val="auto"/>
                <w:kern w:val="0"/>
                <w:szCs w:val="21"/>
                <w:highlight w:val="none"/>
              </w:rPr>
              <w:t>竞争性谈判响应文件偏离情况</w:t>
            </w:r>
          </w:p>
          <w:p>
            <w:pPr>
              <w:widowControl/>
              <w:snapToGrid w:val="0"/>
              <w:spacing w:before="156" w:beforeLines="50" w:line="360" w:lineRule="auto"/>
              <w:jc w:val="center"/>
              <w:rPr>
                <w:rFonts w:ascii="宋体" w:hAnsi="宋体"/>
                <w:color w:val="auto"/>
                <w:kern w:val="0"/>
                <w:szCs w:val="21"/>
                <w:highlight w:val="none"/>
              </w:rPr>
            </w:pPr>
            <w:r>
              <w:rPr>
                <w:rFonts w:hint="eastAsia" w:ascii="宋体" w:hAnsi="宋体"/>
                <w:color w:val="auto"/>
                <w:kern w:val="0"/>
                <w:szCs w:val="21"/>
                <w:highlight w:val="none"/>
              </w:rPr>
              <w:t>（正偏离/负偏离/无偏离）</w:t>
            </w:r>
          </w:p>
        </w:tc>
        <w:tc>
          <w:tcPr>
            <w:tcW w:w="1134" w:type="dxa"/>
            <w:vAlign w:val="center"/>
          </w:tcPr>
          <w:p>
            <w:pPr>
              <w:widowControl/>
              <w:snapToGrid w:val="0"/>
              <w:spacing w:before="156" w:beforeLines="50"/>
              <w:jc w:val="center"/>
              <w:rPr>
                <w:rFonts w:ascii="宋体" w:hAnsi="宋体"/>
                <w:color w:val="auto"/>
                <w:kern w:val="0"/>
                <w:szCs w:val="21"/>
                <w:highlight w:val="none"/>
              </w:rPr>
            </w:pPr>
            <w:r>
              <w:rPr>
                <w:rFonts w:hint="eastAsia" w:ascii="宋体" w:hAnsi="宋体"/>
                <w:color w:val="auto"/>
                <w:kern w:val="0"/>
                <w:szCs w:val="21"/>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851"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1701"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2126"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2694" w:type="dxa"/>
            <w:vAlign w:val="center"/>
          </w:tcPr>
          <w:p>
            <w:pPr>
              <w:widowControl/>
              <w:snapToGrid w:val="0"/>
              <w:spacing w:before="156" w:beforeLines="50"/>
              <w:jc w:val="center"/>
              <w:rPr>
                <w:rFonts w:ascii="宋体" w:hAnsi="宋体"/>
                <w:color w:val="auto"/>
                <w:kern w:val="0"/>
                <w:szCs w:val="21"/>
                <w:highlight w:val="none"/>
              </w:rPr>
            </w:pPr>
          </w:p>
        </w:tc>
        <w:tc>
          <w:tcPr>
            <w:tcW w:w="1134" w:type="dxa"/>
            <w:vAlign w:val="center"/>
          </w:tcPr>
          <w:p>
            <w:pPr>
              <w:widowControl/>
              <w:snapToGrid w:val="0"/>
              <w:spacing w:before="156" w:beforeLines="50"/>
              <w:jc w:val="center"/>
              <w:rPr>
                <w:rFonts w:ascii="宋体" w:hAnsi="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851"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1701"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2126"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2694" w:type="dxa"/>
            <w:vAlign w:val="center"/>
          </w:tcPr>
          <w:p>
            <w:pPr>
              <w:widowControl/>
              <w:snapToGrid w:val="0"/>
              <w:spacing w:before="156" w:beforeLines="50"/>
              <w:jc w:val="center"/>
              <w:rPr>
                <w:rFonts w:ascii="宋体" w:hAnsi="宋体"/>
                <w:color w:val="auto"/>
                <w:kern w:val="0"/>
                <w:szCs w:val="21"/>
                <w:highlight w:val="none"/>
              </w:rPr>
            </w:pPr>
          </w:p>
        </w:tc>
        <w:tc>
          <w:tcPr>
            <w:tcW w:w="1134" w:type="dxa"/>
            <w:vAlign w:val="center"/>
          </w:tcPr>
          <w:p>
            <w:pPr>
              <w:widowControl/>
              <w:snapToGrid w:val="0"/>
              <w:spacing w:before="156" w:beforeLines="50"/>
              <w:jc w:val="center"/>
              <w:rPr>
                <w:rFonts w:ascii="宋体" w:hAnsi="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851"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1701"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2126"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2694" w:type="dxa"/>
            <w:vAlign w:val="center"/>
          </w:tcPr>
          <w:p>
            <w:pPr>
              <w:widowControl/>
              <w:snapToGrid w:val="0"/>
              <w:spacing w:before="156" w:beforeLines="50"/>
              <w:jc w:val="center"/>
              <w:rPr>
                <w:rFonts w:ascii="宋体" w:hAnsi="宋体"/>
                <w:color w:val="auto"/>
                <w:kern w:val="0"/>
                <w:szCs w:val="21"/>
                <w:highlight w:val="none"/>
              </w:rPr>
            </w:pPr>
          </w:p>
        </w:tc>
        <w:tc>
          <w:tcPr>
            <w:tcW w:w="1134" w:type="dxa"/>
            <w:vAlign w:val="center"/>
          </w:tcPr>
          <w:p>
            <w:pPr>
              <w:widowControl/>
              <w:snapToGrid w:val="0"/>
              <w:spacing w:before="156" w:beforeLines="50"/>
              <w:jc w:val="center"/>
              <w:rPr>
                <w:rFonts w:ascii="宋体" w:hAnsi="宋体"/>
                <w:color w:val="auto"/>
                <w:kern w:val="0"/>
                <w:szCs w:val="21"/>
                <w:highlight w:val="none"/>
              </w:rPr>
            </w:pPr>
          </w:p>
        </w:tc>
      </w:tr>
    </w:tbl>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注：1.响应人应当逐条对照竞争性谈判通知书</w:t>
      </w:r>
      <w:r>
        <w:rPr>
          <w:rFonts w:hint="eastAsia" w:ascii="宋体" w:hAnsi="宋体" w:cs="宋体"/>
          <w:color w:val="auto"/>
          <w:szCs w:val="21"/>
          <w:highlight w:val="none"/>
        </w:rPr>
        <w:t>“</w:t>
      </w:r>
      <w:r>
        <w:rPr>
          <w:rFonts w:eastAsia="黑体"/>
          <w:color w:val="auto"/>
          <w:sz w:val="32"/>
          <w:szCs w:val="32"/>
          <w:highlight w:val="none"/>
        </w:rPr>
        <w:sym w:font="Wingdings" w:char="00AB"/>
      </w:r>
      <w:r>
        <w:rPr>
          <w:rFonts w:hint="eastAsia" w:ascii="宋体" w:hAnsi="宋体" w:cs="宋体"/>
          <w:color w:val="auto"/>
          <w:szCs w:val="21"/>
          <w:highlight w:val="none"/>
        </w:rPr>
        <w:t>”</w:t>
      </w:r>
      <w:r>
        <w:rPr>
          <w:rFonts w:hint="eastAsia" w:ascii="宋体" w:hAnsi="宋体"/>
          <w:color w:val="auto"/>
          <w:kern w:val="0"/>
          <w:szCs w:val="21"/>
          <w:highlight w:val="none"/>
        </w:rPr>
        <w:t>条款内容</w:t>
      </w:r>
      <w:r>
        <w:rPr>
          <w:rFonts w:hint="eastAsia" w:ascii="宋体" w:hAnsi="宋体"/>
          <w:color w:val="auto"/>
          <w:szCs w:val="21"/>
          <w:highlight w:val="none"/>
        </w:rPr>
        <w:t>，就竞争性谈判响应文件对实质性条款存在的偏差与例外逐条做出说明；</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2.如竞争性谈判响应文件对合同条款无任何偏差，响应人仅需在本偏离表中填写“无偏离”即可。</w:t>
      </w:r>
    </w:p>
    <w:p>
      <w:pPr>
        <w:spacing w:after="120"/>
        <w:rPr>
          <w:rFonts w:ascii="宋体" w:hAnsi="宋体"/>
          <w:color w:val="auto"/>
          <w:szCs w:val="21"/>
          <w:highlight w:val="none"/>
        </w:rPr>
      </w:pPr>
    </w:p>
    <w:p>
      <w:pPr>
        <w:spacing w:line="360" w:lineRule="auto"/>
        <w:ind w:firstLine="3675" w:firstLineChars="1750"/>
        <w:rPr>
          <w:color w:val="auto"/>
          <w:szCs w:val="21"/>
          <w:highlight w:val="none"/>
        </w:rPr>
      </w:pPr>
      <w:r>
        <w:rPr>
          <w:rFonts w:hint="eastAsia"/>
          <w:color w:val="auto"/>
          <w:szCs w:val="21"/>
          <w:highlight w:val="none"/>
        </w:rPr>
        <w:t>响应</w:t>
      </w:r>
      <w:r>
        <w:rPr>
          <w:color w:val="auto"/>
          <w:szCs w:val="21"/>
          <w:highlight w:val="none"/>
        </w:rPr>
        <w:t>人：</w:t>
      </w:r>
      <w:r>
        <w:rPr>
          <w:color w:val="auto"/>
          <w:szCs w:val="21"/>
          <w:highlight w:val="none"/>
          <w:u w:val="single"/>
        </w:rPr>
        <w:t xml:space="preserve">                      </w:t>
      </w:r>
      <w:r>
        <w:rPr>
          <w:color w:val="auto"/>
          <w:szCs w:val="21"/>
          <w:highlight w:val="none"/>
        </w:rPr>
        <w:t>（盖单位公章）</w:t>
      </w:r>
    </w:p>
    <w:p>
      <w:pPr>
        <w:spacing w:line="360" w:lineRule="auto"/>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80" w:lineRule="auto"/>
        <w:rPr>
          <w:rFonts w:ascii="黑体" w:hAnsi="宋体"/>
          <w:color w:val="auto"/>
          <w:highlight w:val="none"/>
        </w:rPr>
      </w:pPr>
      <w:r>
        <w:rPr>
          <w:rFonts w:hint="eastAsia"/>
          <w:color w:val="auto"/>
          <w:szCs w:val="21"/>
          <w:highlight w:val="none"/>
        </w:rPr>
        <w:t xml:space="preserve">                                     </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widowControl/>
        <w:jc w:val="left"/>
        <w:rPr>
          <w:color w:val="auto"/>
          <w:szCs w:val="21"/>
          <w:highlight w:val="none"/>
        </w:rPr>
      </w:pPr>
      <w:r>
        <w:rPr>
          <w:color w:val="auto"/>
          <w:szCs w:val="21"/>
          <w:highlight w:val="none"/>
        </w:rPr>
        <w:br w:type="page"/>
      </w:r>
    </w:p>
    <w:p>
      <w:pPr>
        <w:pStyle w:val="3"/>
        <w:jc w:val="center"/>
        <w:rPr>
          <w:rFonts w:ascii="黑体"/>
          <w:color w:val="auto"/>
          <w:highlight w:val="none"/>
        </w:rPr>
      </w:pPr>
      <w:bookmarkStart w:id="196" w:name="_Toc32581"/>
      <w:r>
        <w:rPr>
          <w:rFonts w:hint="eastAsia" w:ascii="黑体"/>
          <w:color w:val="auto"/>
          <w:highlight w:val="none"/>
        </w:rPr>
        <w:t>九、</w:t>
      </w:r>
      <w:r>
        <w:rPr>
          <w:color w:val="auto"/>
          <w:highlight w:val="none"/>
        </w:rPr>
        <w:fldChar w:fldCharType="begin"/>
      </w:r>
      <w:r>
        <w:rPr>
          <w:color w:val="auto"/>
          <w:highlight w:val="none"/>
        </w:rPr>
        <w:instrText xml:space="preserve"> HYPERLINK \l "_Toc338661813" </w:instrText>
      </w:r>
      <w:r>
        <w:rPr>
          <w:color w:val="auto"/>
          <w:highlight w:val="none"/>
        </w:rPr>
        <w:fldChar w:fldCharType="separate"/>
      </w:r>
      <w:r>
        <w:rPr>
          <w:rFonts w:hint="eastAsia" w:ascii="黑体"/>
          <w:b w:val="0"/>
          <w:color w:val="auto"/>
          <w:highlight w:val="none"/>
        </w:rPr>
        <w:t>技术条款偏离表</w:t>
      </w:r>
      <w:r>
        <w:rPr>
          <w:rFonts w:hint="eastAsia" w:ascii="黑体"/>
          <w:b w:val="0"/>
          <w:color w:val="auto"/>
          <w:highlight w:val="none"/>
        </w:rPr>
        <w:fldChar w:fldCharType="end"/>
      </w:r>
      <w:bookmarkEnd w:id="196"/>
    </w:p>
    <w:p>
      <w:pPr>
        <w:rPr>
          <w:color w:val="auto"/>
          <w:highlight w:val="non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rPr>
        <w:t xml:space="preserve">  项目编号：</w:t>
      </w:r>
      <w:r>
        <w:rPr>
          <w:rFonts w:hint="eastAsia"/>
          <w:color w:val="auto"/>
          <w:highlight w:val="none"/>
          <w:u w:val="single"/>
        </w:rPr>
        <w:t xml:space="preserve">               </w:t>
      </w:r>
      <w:r>
        <w:rPr>
          <w:rFonts w:hint="eastAsia"/>
          <w:color w:val="auto"/>
          <w:highlight w:val="none"/>
        </w:rPr>
        <w:t xml:space="preserve"> </w:t>
      </w:r>
    </w:p>
    <w:tbl>
      <w:tblPr>
        <w:tblStyle w:val="39"/>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701"/>
        <w:gridCol w:w="2126"/>
        <w:gridCol w:w="269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widowControl/>
              <w:snapToGrid w:val="0"/>
              <w:spacing w:before="156" w:beforeLines="50" w:line="360" w:lineRule="auto"/>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1701" w:type="dxa"/>
            <w:vAlign w:val="center"/>
          </w:tcPr>
          <w:p>
            <w:pPr>
              <w:widowControl/>
              <w:snapToGrid w:val="0"/>
              <w:spacing w:before="156" w:beforeLines="50" w:line="360" w:lineRule="auto"/>
              <w:jc w:val="center"/>
              <w:rPr>
                <w:rFonts w:ascii="宋体" w:hAnsi="宋体"/>
                <w:color w:val="auto"/>
                <w:kern w:val="0"/>
                <w:szCs w:val="21"/>
                <w:highlight w:val="none"/>
              </w:rPr>
            </w:pPr>
            <w:r>
              <w:rPr>
                <w:rFonts w:hint="eastAsia" w:ascii="宋体" w:hAnsi="宋体"/>
                <w:color w:val="auto"/>
                <w:kern w:val="0"/>
                <w:szCs w:val="21"/>
                <w:highlight w:val="none"/>
              </w:rPr>
              <w:t>竞争性谈判文件条目号</w:t>
            </w:r>
          </w:p>
        </w:tc>
        <w:tc>
          <w:tcPr>
            <w:tcW w:w="2126" w:type="dxa"/>
            <w:vAlign w:val="center"/>
          </w:tcPr>
          <w:p>
            <w:pPr>
              <w:widowControl/>
              <w:snapToGrid w:val="0"/>
              <w:spacing w:before="156" w:beforeLines="50" w:line="360" w:lineRule="auto"/>
              <w:jc w:val="center"/>
              <w:rPr>
                <w:rFonts w:ascii="宋体" w:hAnsi="宋体"/>
                <w:color w:val="auto"/>
                <w:kern w:val="0"/>
                <w:szCs w:val="21"/>
                <w:highlight w:val="none"/>
              </w:rPr>
            </w:pPr>
            <w:r>
              <w:rPr>
                <w:rFonts w:hint="eastAsia" w:ascii="宋体" w:hAnsi="宋体"/>
                <w:color w:val="auto"/>
                <w:kern w:val="0"/>
                <w:szCs w:val="21"/>
                <w:highlight w:val="none"/>
              </w:rPr>
              <w:t>竞争性谈判文件《用户需求书/技术规范书》的技术条款</w:t>
            </w:r>
          </w:p>
        </w:tc>
        <w:tc>
          <w:tcPr>
            <w:tcW w:w="2694" w:type="dxa"/>
            <w:vAlign w:val="center"/>
          </w:tcPr>
          <w:p>
            <w:pPr>
              <w:widowControl/>
              <w:snapToGrid w:val="0"/>
              <w:spacing w:before="156" w:beforeLines="50"/>
              <w:jc w:val="center"/>
              <w:rPr>
                <w:rFonts w:ascii="宋体" w:hAnsi="宋体"/>
                <w:color w:val="auto"/>
                <w:kern w:val="0"/>
                <w:szCs w:val="21"/>
                <w:highlight w:val="none"/>
              </w:rPr>
            </w:pPr>
            <w:r>
              <w:rPr>
                <w:rFonts w:hint="eastAsia" w:ascii="宋体" w:hAnsi="宋体"/>
                <w:color w:val="auto"/>
                <w:kern w:val="0"/>
                <w:szCs w:val="21"/>
                <w:highlight w:val="none"/>
              </w:rPr>
              <w:t>竞争性谈判响应文件偏离情况</w:t>
            </w:r>
          </w:p>
          <w:p>
            <w:pPr>
              <w:widowControl/>
              <w:snapToGrid w:val="0"/>
              <w:spacing w:before="156" w:beforeLines="50" w:line="360" w:lineRule="auto"/>
              <w:jc w:val="center"/>
              <w:rPr>
                <w:rFonts w:ascii="宋体" w:hAnsi="宋体"/>
                <w:color w:val="auto"/>
                <w:kern w:val="0"/>
                <w:szCs w:val="21"/>
                <w:highlight w:val="none"/>
              </w:rPr>
            </w:pPr>
            <w:r>
              <w:rPr>
                <w:rFonts w:hint="eastAsia" w:ascii="宋体" w:hAnsi="宋体"/>
                <w:color w:val="auto"/>
                <w:kern w:val="0"/>
                <w:szCs w:val="21"/>
                <w:highlight w:val="none"/>
              </w:rPr>
              <w:t>（正偏离/负偏离/无偏离）</w:t>
            </w:r>
          </w:p>
        </w:tc>
        <w:tc>
          <w:tcPr>
            <w:tcW w:w="1134" w:type="dxa"/>
            <w:vAlign w:val="center"/>
          </w:tcPr>
          <w:p>
            <w:pPr>
              <w:widowControl/>
              <w:snapToGrid w:val="0"/>
              <w:spacing w:before="156" w:beforeLines="50"/>
              <w:jc w:val="center"/>
              <w:rPr>
                <w:rFonts w:ascii="宋体" w:hAnsi="宋体"/>
                <w:color w:val="auto"/>
                <w:kern w:val="0"/>
                <w:szCs w:val="21"/>
                <w:highlight w:val="none"/>
              </w:rPr>
            </w:pPr>
            <w:r>
              <w:rPr>
                <w:rFonts w:hint="eastAsia" w:ascii="宋体" w:hAnsi="宋体"/>
                <w:color w:val="auto"/>
                <w:kern w:val="0"/>
                <w:szCs w:val="21"/>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851"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1701"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2126"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2694" w:type="dxa"/>
            <w:vAlign w:val="center"/>
          </w:tcPr>
          <w:p>
            <w:pPr>
              <w:widowControl/>
              <w:snapToGrid w:val="0"/>
              <w:spacing w:before="156" w:beforeLines="50"/>
              <w:jc w:val="center"/>
              <w:rPr>
                <w:rFonts w:ascii="宋体" w:hAnsi="宋体"/>
                <w:color w:val="auto"/>
                <w:kern w:val="0"/>
                <w:szCs w:val="21"/>
                <w:highlight w:val="none"/>
              </w:rPr>
            </w:pPr>
          </w:p>
        </w:tc>
        <w:tc>
          <w:tcPr>
            <w:tcW w:w="1134" w:type="dxa"/>
            <w:vAlign w:val="center"/>
          </w:tcPr>
          <w:p>
            <w:pPr>
              <w:widowControl/>
              <w:snapToGrid w:val="0"/>
              <w:spacing w:before="156" w:beforeLines="50"/>
              <w:jc w:val="center"/>
              <w:rPr>
                <w:rFonts w:ascii="宋体" w:hAnsi="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851"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1701"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2126"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2694" w:type="dxa"/>
            <w:vAlign w:val="center"/>
          </w:tcPr>
          <w:p>
            <w:pPr>
              <w:widowControl/>
              <w:snapToGrid w:val="0"/>
              <w:spacing w:before="156" w:beforeLines="50"/>
              <w:jc w:val="center"/>
              <w:rPr>
                <w:rFonts w:ascii="宋体" w:hAnsi="宋体"/>
                <w:color w:val="auto"/>
                <w:kern w:val="0"/>
                <w:szCs w:val="21"/>
                <w:highlight w:val="none"/>
              </w:rPr>
            </w:pPr>
          </w:p>
        </w:tc>
        <w:tc>
          <w:tcPr>
            <w:tcW w:w="1134" w:type="dxa"/>
            <w:vAlign w:val="center"/>
          </w:tcPr>
          <w:p>
            <w:pPr>
              <w:widowControl/>
              <w:snapToGrid w:val="0"/>
              <w:spacing w:before="156" w:beforeLines="50"/>
              <w:jc w:val="center"/>
              <w:rPr>
                <w:rFonts w:ascii="宋体" w:hAnsi="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851"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1701"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2126" w:type="dxa"/>
            <w:vAlign w:val="center"/>
          </w:tcPr>
          <w:p>
            <w:pPr>
              <w:widowControl/>
              <w:snapToGrid w:val="0"/>
              <w:spacing w:before="156" w:beforeLines="50" w:line="360" w:lineRule="auto"/>
              <w:jc w:val="center"/>
              <w:rPr>
                <w:rFonts w:ascii="宋体" w:hAnsi="宋体"/>
                <w:color w:val="auto"/>
                <w:kern w:val="0"/>
                <w:szCs w:val="21"/>
                <w:highlight w:val="none"/>
              </w:rPr>
            </w:pPr>
          </w:p>
        </w:tc>
        <w:tc>
          <w:tcPr>
            <w:tcW w:w="2694" w:type="dxa"/>
            <w:vAlign w:val="center"/>
          </w:tcPr>
          <w:p>
            <w:pPr>
              <w:widowControl/>
              <w:snapToGrid w:val="0"/>
              <w:spacing w:before="156" w:beforeLines="50"/>
              <w:jc w:val="center"/>
              <w:rPr>
                <w:rFonts w:ascii="宋体" w:hAnsi="宋体"/>
                <w:color w:val="auto"/>
                <w:kern w:val="0"/>
                <w:szCs w:val="21"/>
                <w:highlight w:val="none"/>
              </w:rPr>
            </w:pPr>
          </w:p>
        </w:tc>
        <w:tc>
          <w:tcPr>
            <w:tcW w:w="1134" w:type="dxa"/>
            <w:vAlign w:val="center"/>
          </w:tcPr>
          <w:p>
            <w:pPr>
              <w:widowControl/>
              <w:snapToGrid w:val="0"/>
              <w:spacing w:before="156" w:beforeLines="50"/>
              <w:jc w:val="center"/>
              <w:rPr>
                <w:rFonts w:ascii="宋体" w:hAnsi="宋体"/>
                <w:color w:val="auto"/>
                <w:kern w:val="0"/>
                <w:szCs w:val="21"/>
                <w:highlight w:val="none"/>
              </w:rPr>
            </w:pPr>
          </w:p>
        </w:tc>
      </w:tr>
    </w:tbl>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注：1.响应人应当逐条对照</w:t>
      </w:r>
      <w:r>
        <w:rPr>
          <w:rFonts w:hint="eastAsia" w:ascii="宋体" w:hAnsi="宋体"/>
          <w:color w:val="auto"/>
          <w:kern w:val="0"/>
          <w:szCs w:val="21"/>
          <w:highlight w:val="none"/>
        </w:rPr>
        <w:t>竞争性谈判文件《用户需求书/技术规范书》的技术条款</w:t>
      </w:r>
      <w:r>
        <w:rPr>
          <w:rFonts w:hint="eastAsia" w:ascii="宋体" w:hAnsi="宋体"/>
          <w:color w:val="auto"/>
          <w:szCs w:val="21"/>
          <w:highlight w:val="none"/>
        </w:rPr>
        <w:t>，就竞争性谈判响应文件对技术条款存在的偏差与例外逐条做出说明；</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2.如竞争性谈判响应文件对技术条款无任何偏差，响应人仅需在本偏离表中填写“无偏离”即可。</w:t>
      </w:r>
    </w:p>
    <w:p>
      <w:pPr>
        <w:spacing w:after="120"/>
        <w:rPr>
          <w:rFonts w:ascii="宋体" w:hAnsi="宋体"/>
          <w:color w:val="auto"/>
          <w:szCs w:val="21"/>
          <w:highlight w:val="none"/>
        </w:rPr>
      </w:pPr>
    </w:p>
    <w:p>
      <w:pPr>
        <w:spacing w:line="360" w:lineRule="auto"/>
        <w:ind w:firstLine="3675" w:firstLineChars="1750"/>
        <w:rPr>
          <w:color w:val="auto"/>
          <w:szCs w:val="21"/>
          <w:highlight w:val="none"/>
        </w:rPr>
      </w:pPr>
      <w:r>
        <w:rPr>
          <w:rFonts w:hint="eastAsia"/>
          <w:color w:val="auto"/>
          <w:szCs w:val="21"/>
          <w:highlight w:val="none"/>
        </w:rPr>
        <w:t>响应</w:t>
      </w:r>
      <w:r>
        <w:rPr>
          <w:color w:val="auto"/>
          <w:szCs w:val="21"/>
          <w:highlight w:val="none"/>
        </w:rPr>
        <w:t>人：</w:t>
      </w:r>
      <w:r>
        <w:rPr>
          <w:color w:val="auto"/>
          <w:szCs w:val="21"/>
          <w:highlight w:val="none"/>
          <w:u w:val="single"/>
        </w:rPr>
        <w:t xml:space="preserve">                      </w:t>
      </w:r>
      <w:r>
        <w:rPr>
          <w:color w:val="auto"/>
          <w:szCs w:val="21"/>
          <w:highlight w:val="none"/>
        </w:rPr>
        <w:t>（盖单位公章）</w:t>
      </w:r>
    </w:p>
    <w:p>
      <w:pPr>
        <w:spacing w:line="360" w:lineRule="auto"/>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80" w:lineRule="auto"/>
        <w:rPr>
          <w:rFonts w:ascii="黑体" w:hAnsi="宋体"/>
          <w:color w:val="auto"/>
          <w:highlight w:val="none"/>
        </w:rPr>
      </w:pPr>
      <w:r>
        <w:rPr>
          <w:rFonts w:hint="eastAsia"/>
          <w:color w:val="auto"/>
          <w:szCs w:val="21"/>
          <w:highlight w:val="none"/>
        </w:rPr>
        <w:t xml:space="preserve">                                     </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pStyle w:val="3"/>
        <w:spacing w:before="0"/>
        <w:jc w:val="center"/>
        <w:rPr>
          <w:color w:val="auto"/>
          <w:highlight w:val="none"/>
        </w:rPr>
        <w:sectPr>
          <w:pgSz w:w="11906" w:h="16838"/>
          <w:pgMar w:top="1418" w:right="1800" w:bottom="1440" w:left="1800" w:header="851" w:footer="992" w:gutter="0"/>
          <w:cols w:space="720" w:num="1"/>
          <w:docGrid w:type="lines" w:linePitch="312" w:charSpace="0"/>
        </w:sectPr>
      </w:pPr>
    </w:p>
    <w:p>
      <w:pPr>
        <w:pStyle w:val="3"/>
        <w:jc w:val="center"/>
        <w:rPr>
          <w:color w:val="auto"/>
          <w:highlight w:val="none"/>
        </w:rPr>
      </w:pPr>
      <w:bookmarkStart w:id="197" w:name="_Toc144974875"/>
      <w:bookmarkStart w:id="198" w:name="_Toc179632827"/>
      <w:bookmarkStart w:id="199" w:name="_Toc246996372"/>
      <w:bookmarkStart w:id="200" w:name="_Toc152042596"/>
      <w:bookmarkStart w:id="201" w:name="_Toc486425440"/>
      <w:bookmarkStart w:id="202" w:name="_Toc247085890"/>
      <w:bookmarkStart w:id="203" w:name="_Toc246997115"/>
      <w:bookmarkStart w:id="204" w:name="_Toc338669161"/>
      <w:bookmarkStart w:id="205" w:name="_Toc16773"/>
      <w:bookmarkStart w:id="206" w:name="_Toc152045807"/>
      <w:r>
        <w:rPr>
          <w:rFonts w:hint="eastAsia"/>
          <w:color w:val="auto"/>
          <w:highlight w:val="none"/>
        </w:rPr>
        <w:t>十</w:t>
      </w:r>
      <w:r>
        <w:rPr>
          <w:color w:val="auto"/>
          <w:highlight w:val="none"/>
        </w:rPr>
        <w:t>、资格审查资料</w:t>
      </w:r>
      <w:bookmarkEnd w:id="197"/>
      <w:bookmarkEnd w:id="198"/>
      <w:bookmarkEnd w:id="199"/>
      <w:bookmarkEnd w:id="200"/>
      <w:bookmarkEnd w:id="201"/>
      <w:bookmarkEnd w:id="202"/>
      <w:bookmarkEnd w:id="203"/>
      <w:bookmarkEnd w:id="204"/>
      <w:bookmarkEnd w:id="205"/>
      <w:bookmarkEnd w:id="206"/>
    </w:p>
    <w:p>
      <w:pPr>
        <w:widowControl/>
        <w:jc w:val="left"/>
        <w:rPr>
          <w:color w:val="auto"/>
          <w:szCs w:val="21"/>
          <w:highlight w:val="none"/>
        </w:rPr>
      </w:pPr>
      <w:r>
        <w:rPr>
          <w:color w:val="auto"/>
          <w:szCs w:val="21"/>
          <w:highlight w:val="none"/>
        </w:rPr>
        <w:br w:type="page"/>
      </w:r>
    </w:p>
    <w:p>
      <w:pPr>
        <w:rPr>
          <w:color w:val="auto"/>
          <w:highlight w:val="none"/>
        </w:rPr>
        <w:sectPr>
          <w:pgSz w:w="11906" w:h="16838"/>
          <w:pgMar w:top="1440" w:right="1800" w:bottom="1440" w:left="1800" w:header="851" w:footer="992" w:gutter="0"/>
          <w:cols w:space="720" w:num="1"/>
          <w:docGrid w:type="lines" w:linePitch="312" w:charSpace="0"/>
        </w:sectPr>
      </w:pPr>
    </w:p>
    <w:p>
      <w:pPr>
        <w:keepNext/>
        <w:keepLines/>
        <w:spacing w:before="260" w:after="260" w:line="416" w:lineRule="auto"/>
        <w:jc w:val="center"/>
        <w:outlineLvl w:val="1"/>
        <w:rPr>
          <w:rFonts w:ascii="Arial" w:hAnsi="Arial" w:eastAsia="黑体"/>
          <w:b/>
          <w:bCs/>
          <w:color w:val="auto"/>
          <w:sz w:val="32"/>
          <w:szCs w:val="32"/>
          <w:highlight w:val="none"/>
        </w:rPr>
      </w:pPr>
      <w:bookmarkStart w:id="207" w:name="_Toc5610"/>
      <w:r>
        <w:rPr>
          <w:rFonts w:hint="eastAsia" w:ascii="Arial" w:hAnsi="Arial" w:eastAsia="黑体"/>
          <w:b/>
          <w:bCs/>
          <w:color w:val="auto"/>
          <w:sz w:val="32"/>
          <w:szCs w:val="32"/>
          <w:highlight w:val="none"/>
        </w:rPr>
        <w:t>十一、不可撤销履约保函</w:t>
      </w:r>
      <w:bookmarkEnd w:id="207"/>
    </w:p>
    <w:p>
      <w:pPr>
        <w:widowControl/>
        <w:adjustRightInd w:val="0"/>
        <w:snapToGrid w:val="0"/>
        <w:spacing w:line="360" w:lineRule="auto"/>
        <w:jc w:val="center"/>
        <w:rPr>
          <w:rFonts w:ascii="宋体" w:hAnsi="宋体"/>
          <w:color w:val="auto"/>
          <w:kern w:val="0"/>
          <w:szCs w:val="22"/>
          <w:highlight w:val="none"/>
        </w:rPr>
      </w:pPr>
    </w:p>
    <w:p>
      <w:pPr>
        <w:widowControl/>
        <w:adjustRightInd w:val="0"/>
        <w:snapToGrid w:val="0"/>
        <w:spacing w:line="360" w:lineRule="auto"/>
        <w:jc w:val="center"/>
        <w:rPr>
          <w:rFonts w:ascii="宋体" w:hAnsi="宋体"/>
          <w:color w:val="auto"/>
          <w:kern w:val="0"/>
          <w:szCs w:val="22"/>
          <w:highlight w:val="none"/>
        </w:rPr>
      </w:pPr>
      <w:r>
        <w:rPr>
          <w:rFonts w:hint="eastAsia" w:ascii="宋体" w:hAnsi="宋体"/>
          <w:color w:val="auto"/>
          <w:kern w:val="0"/>
          <w:szCs w:val="22"/>
          <w:highlight w:val="none"/>
        </w:rPr>
        <w:t>银行编号：</w:t>
      </w:r>
    </w:p>
    <w:p>
      <w:pPr>
        <w:widowControl/>
        <w:adjustRightInd w:val="0"/>
        <w:snapToGrid w:val="0"/>
        <w:spacing w:line="360" w:lineRule="auto"/>
        <w:jc w:val="left"/>
        <w:rPr>
          <w:rFonts w:ascii="宋体" w:hAnsi="宋体"/>
          <w:color w:val="auto"/>
          <w:kern w:val="0"/>
          <w:szCs w:val="22"/>
          <w:highlight w:val="none"/>
        </w:rPr>
      </w:pPr>
      <w:r>
        <w:rPr>
          <w:rFonts w:ascii="宋体" w:hAnsi="宋体"/>
          <w:color w:val="auto"/>
          <w:kern w:val="0"/>
          <w:szCs w:val="22"/>
          <w:highlight w:val="none"/>
        </w:rPr>
        <w:t>致：</w:t>
      </w:r>
      <w:r>
        <w:rPr>
          <w:rFonts w:hint="eastAsia" w:ascii="宋体" w:hAnsi="宋体"/>
          <w:color w:val="auto"/>
          <w:kern w:val="0"/>
          <w:szCs w:val="22"/>
          <w:highlight w:val="none"/>
          <w:u w:val="single"/>
        </w:rPr>
        <w:t xml:space="preserve">                        </w:t>
      </w:r>
      <w:r>
        <w:rPr>
          <w:rFonts w:hint="eastAsia" w:ascii="宋体" w:hAnsi="宋体"/>
          <w:color w:val="auto"/>
          <w:kern w:val="0"/>
          <w:szCs w:val="22"/>
          <w:highlight w:val="none"/>
        </w:rPr>
        <w:t>（</w:t>
      </w:r>
      <w:r>
        <w:rPr>
          <w:rFonts w:hint="eastAsia" w:ascii="Tahoma" w:hAnsi="Tahoma"/>
          <w:color w:val="auto"/>
          <w:kern w:val="0"/>
          <w:szCs w:val="22"/>
          <w:highlight w:val="none"/>
        </w:rPr>
        <w:t>甲方</w:t>
      </w:r>
      <w:r>
        <w:rPr>
          <w:rFonts w:hint="eastAsia" w:ascii="宋体" w:hAnsi="宋体"/>
          <w:color w:val="auto"/>
          <w:kern w:val="0"/>
          <w:szCs w:val="22"/>
          <w:highlight w:val="none"/>
        </w:rPr>
        <w:t>）</w:t>
      </w:r>
    </w:p>
    <w:p>
      <w:pPr>
        <w:widowControl/>
        <w:adjustRightInd w:val="0"/>
        <w:snapToGrid w:val="0"/>
        <w:spacing w:line="360" w:lineRule="auto"/>
        <w:ind w:firstLine="420" w:firstLineChars="200"/>
        <w:jc w:val="left"/>
        <w:rPr>
          <w:rFonts w:ascii="宋体" w:hAnsi="宋体"/>
          <w:color w:val="auto"/>
          <w:kern w:val="0"/>
          <w:szCs w:val="22"/>
          <w:highlight w:val="none"/>
        </w:rPr>
      </w:pPr>
      <w:r>
        <w:rPr>
          <w:rFonts w:hint="eastAsia" w:ascii="宋体" w:hAnsi="宋体"/>
          <w:color w:val="auto"/>
          <w:kern w:val="0"/>
          <w:szCs w:val="22"/>
          <w:highlight w:val="none"/>
        </w:rPr>
        <w:t>鉴于</w:t>
      </w:r>
      <w:r>
        <w:rPr>
          <w:rFonts w:hint="eastAsia" w:ascii="宋体" w:hAnsi="宋体"/>
          <w:color w:val="auto"/>
          <w:kern w:val="0"/>
          <w:szCs w:val="22"/>
          <w:highlight w:val="none"/>
          <w:u w:val="single"/>
        </w:rPr>
        <w:t xml:space="preserve">         （地址：          ，下称 “乙方” ）</w:t>
      </w:r>
      <w:r>
        <w:rPr>
          <w:rFonts w:hint="eastAsia" w:ascii="宋体" w:hAnsi="宋体"/>
          <w:color w:val="auto"/>
          <w:kern w:val="0"/>
          <w:szCs w:val="22"/>
          <w:highlight w:val="none"/>
        </w:rPr>
        <w:t>已保证按</w:t>
      </w:r>
      <w:r>
        <w:rPr>
          <w:rFonts w:hint="eastAsia" w:ascii="宋体" w:hAnsi="宋体"/>
          <w:color w:val="auto"/>
          <w:kern w:val="0"/>
          <w:szCs w:val="22"/>
          <w:highlight w:val="none"/>
          <w:u w:val="single"/>
        </w:rPr>
        <w:t xml:space="preserve">        承包合同书（合同编号：    ）</w:t>
      </w:r>
      <w:r>
        <w:rPr>
          <w:rFonts w:hint="eastAsia" w:ascii="宋体" w:hAnsi="宋体"/>
          <w:color w:val="auto"/>
          <w:kern w:val="0"/>
          <w:szCs w:val="22"/>
          <w:highlight w:val="none"/>
        </w:rPr>
        <w:t>中规定的义务履行合同。</w:t>
      </w:r>
    </w:p>
    <w:p>
      <w:pPr>
        <w:widowControl/>
        <w:adjustRightInd w:val="0"/>
        <w:snapToGrid w:val="0"/>
        <w:spacing w:line="360" w:lineRule="auto"/>
        <w:ind w:firstLine="420" w:firstLineChars="200"/>
        <w:jc w:val="left"/>
        <w:rPr>
          <w:rFonts w:ascii="宋体" w:hAnsi="宋体"/>
          <w:color w:val="auto"/>
          <w:kern w:val="0"/>
          <w:szCs w:val="22"/>
          <w:highlight w:val="none"/>
        </w:rPr>
      </w:pPr>
      <w:r>
        <w:rPr>
          <w:rFonts w:hint="eastAsia" w:ascii="宋体" w:hAnsi="宋体"/>
          <w:color w:val="auto"/>
          <w:kern w:val="0"/>
          <w:szCs w:val="22"/>
          <w:highlight w:val="none"/>
        </w:rPr>
        <w:t>根据上述合同约定，乙方应向</w:t>
      </w:r>
      <w:r>
        <w:rPr>
          <w:rFonts w:hint="eastAsia" w:ascii="Tahoma" w:hAnsi="Tahoma"/>
          <w:color w:val="auto"/>
          <w:kern w:val="0"/>
          <w:szCs w:val="22"/>
          <w:highlight w:val="none"/>
        </w:rPr>
        <w:t>甲方</w:t>
      </w:r>
      <w:r>
        <w:rPr>
          <w:rFonts w:hint="eastAsia" w:ascii="宋体" w:hAnsi="宋体"/>
          <w:color w:val="auto"/>
          <w:kern w:val="0"/>
          <w:szCs w:val="22"/>
          <w:highlight w:val="none"/>
        </w:rPr>
        <w:t>提供一份金额为合同总价的10%即</w:t>
      </w:r>
      <w:r>
        <w:rPr>
          <w:rFonts w:hint="eastAsia" w:ascii="宋体" w:hAnsi="宋体"/>
          <w:color w:val="auto"/>
          <w:kern w:val="0"/>
          <w:szCs w:val="22"/>
          <w:highlight w:val="none"/>
          <w:u w:val="single"/>
        </w:rPr>
        <w:t>人民币      （RMB    元）</w:t>
      </w:r>
      <w:r>
        <w:rPr>
          <w:rFonts w:hint="eastAsia" w:ascii="宋体" w:hAnsi="宋体"/>
          <w:color w:val="auto"/>
          <w:kern w:val="0"/>
          <w:szCs w:val="22"/>
          <w:highlight w:val="none"/>
        </w:rPr>
        <w:t>的</w:t>
      </w:r>
      <w:r>
        <w:rPr>
          <w:rFonts w:hint="eastAsia" w:ascii="宋体" w:hAnsi="宋体"/>
          <w:bCs/>
          <w:color w:val="auto"/>
          <w:kern w:val="0"/>
          <w:szCs w:val="22"/>
          <w:highlight w:val="none"/>
        </w:rPr>
        <w:t>不可撤销</w:t>
      </w:r>
      <w:r>
        <w:rPr>
          <w:rFonts w:hint="eastAsia" w:ascii="宋体" w:hAnsi="宋体"/>
          <w:color w:val="auto"/>
          <w:kern w:val="0"/>
          <w:szCs w:val="22"/>
          <w:highlight w:val="none"/>
        </w:rPr>
        <w:t>银行履约保函，作为乙方履行上述合同的担保。</w:t>
      </w:r>
    </w:p>
    <w:p>
      <w:pPr>
        <w:widowControl/>
        <w:adjustRightInd w:val="0"/>
        <w:snapToGrid w:val="0"/>
        <w:spacing w:line="360" w:lineRule="auto"/>
        <w:ind w:firstLine="420" w:firstLineChars="200"/>
        <w:jc w:val="left"/>
        <w:rPr>
          <w:rFonts w:ascii="宋体" w:hAnsi="宋体"/>
          <w:color w:val="auto"/>
          <w:kern w:val="0"/>
          <w:szCs w:val="22"/>
          <w:highlight w:val="none"/>
        </w:rPr>
      </w:pPr>
      <w:r>
        <w:rPr>
          <w:rFonts w:hint="eastAsia" w:ascii="宋体" w:hAnsi="宋体"/>
          <w:color w:val="auto"/>
          <w:kern w:val="0"/>
          <w:szCs w:val="22"/>
          <w:highlight w:val="none"/>
        </w:rPr>
        <w:t>我方</w:t>
      </w:r>
      <w:r>
        <w:rPr>
          <w:rFonts w:hint="eastAsia" w:ascii="宋体" w:hAnsi="宋体"/>
          <w:color w:val="auto"/>
          <w:kern w:val="0"/>
          <w:szCs w:val="22"/>
          <w:highlight w:val="none"/>
          <w:u w:val="single"/>
        </w:rPr>
        <w:t xml:space="preserve">            （银行名称）</w:t>
      </w:r>
      <w:r>
        <w:rPr>
          <w:rFonts w:hint="eastAsia" w:ascii="宋体" w:hAnsi="宋体"/>
          <w:color w:val="auto"/>
          <w:kern w:val="0"/>
          <w:szCs w:val="22"/>
          <w:highlight w:val="none"/>
        </w:rPr>
        <w:t>，受乙方的委托，不仅作为连带责任保证人而且作为主要的责任人，无条件和不可撤销地同意在</w:t>
      </w:r>
      <w:r>
        <w:rPr>
          <w:rFonts w:hint="eastAsia" w:ascii="Tahoma" w:hAnsi="Tahoma"/>
          <w:color w:val="auto"/>
          <w:kern w:val="0"/>
          <w:szCs w:val="22"/>
          <w:highlight w:val="none"/>
        </w:rPr>
        <w:t>甲方</w:t>
      </w:r>
      <w:r>
        <w:rPr>
          <w:rFonts w:hint="eastAsia" w:ascii="宋体" w:hAnsi="宋体"/>
          <w:color w:val="auto"/>
          <w:kern w:val="0"/>
          <w:szCs w:val="22"/>
          <w:highlight w:val="none"/>
        </w:rPr>
        <w:t>提出因乙方没有履行上述合同规定，而要求扣划保证金的书面要求后，7个工作日内为</w:t>
      </w:r>
      <w:r>
        <w:rPr>
          <w:rFonts w:hint="eastAsia" w:ascii="Tahoma" w:hAnsi="Tahoma"/>
          <w:color w:val="auto"/>
          <w:kern w:val="0"/>
          <w:szCs w:val="22"/>
          <w:highlight w:val="none"/>
        </w:rPr>
        <w:t>甲方</w:t>
      </w:r>
      <w:r>
        <w:rPr>
          <w:rFonts w:hint="eastAsia" w:ascii="宋体" w:hAnsi="宋体"/>
          <w:color w:val="auto"/>
          <w:kern w:val="0"/>
          <w:szCs w:val="22"/>
          <w:highlight w:val="none"/>
        </w:rPr>
        <w:t>扣划金额不超过</w:t>
      </w:r>
      <w:r>
        <w:rPr>
          <w:rFonts w:hint="eastAsia" w:ascii="宋体" w:hAnsi="宋体"/>
          <w:color w:val="auto"/>
          <w:kern w:val="0"/>
          <w:szCs w:val="22"/>
          <w:highlight w:val="none"/>
          <w:u w:val="single"/>
        </w:rPr>
        <w:t>人民币          （RMB       元）</w:t>
      </w:r>
      <w:r>
        <w:rPr>
          <w:rFonts w:hint="eastAsia" w:ascii="宋体" w:hAnsi="宋体"/>
          <w:color w:val="auto"/>
          <w:kern w:val="0"/>
          <w:szCs w:val="22"/>
          <w:highlight w:val="none"/>
        </w:rPr>
        <w:t>的保证金。</w:t>
      </w:r>
    </w:p>
    <w:p>
      <w:pPr>
        <w:widowControl/>
        <w:adjustRightInd w:val="0"/>
        <w:snapToGrid w:val="0"/>
        <w:spacing w:line="360" w:lineRule="auto"/>
        <w:ind w:firstLine="420" w:firstLineChars="200"/>
        <w:jc w:val="left"/>
        <w:rPr>
          <w:rFonts w:ascii="Tahoma" w:hAnsi="Tahoma"/>
          <w:color w:val="auto"/>
          <w:kern w:val="0"/>
          <w:szCs w:val="22"/>
          <w:highlight w:val="none"/>
        </w:rPr>
      </w:pPr>
      <w:r>
        <w:rPr>
          <w:rFonts w:hint="eastAsia" w:ascii="宋体" w:hAnsi="宋体"/>
          <w:color w:val="auto"/>
          <w:kern w:val="0"/>
          <w:szCs w:val="22"/>
          <w:highlight w:val="none"/>
        </w:rPr>
        <w:t>我</w:t>
      </w:r>
      <w:r>
        <w:rPr>
          <w:rFonts w:hint="eastAsia" w:ascii="Tahoma" w:hAnsi="Tahoma"/>
          <w:color w:val="auto"/>
          <w:kern w:val="0"/>
          <w:szCs w:val="22"/>
          <w:highlight w:val="none"/>
        </w:rPr>
        <w:t>方还同意，任何甲方与乙方之间可能对合同条款的修改、规范或其他合同文件的变动补充，都不能免除我方按本保函所承担的责任。因此，有关上述变动、补充和修改无须通知我方。</w:t>
      </w:r>
    </w:p>
    <w:p>
      <w:pPr>
        <w:widowControl/>
        <w:adjustRightInd w:val="0"/>
        <w:snapToGrid w:val="0"/>
        <w:spacing w:line="360" w:lineRule="auto"/>
        <w:ind w:firstLine="420" w:firstLineChars="200"/>
        <w:jc w:val="left"/>
        <w:rPr>
          <w:rFonts w:ascii="Tahoma" w:hAnsi="Tahoma"/>
          <w:color w:val="auto"/>
          <w:kern w:val="0"/>
          <w:szCs w:val="22"/>
          <w:highlight w:val="none"/>
        </w:rPr>
      </w:pPr>
      <w:r>
        <w:rPr>
          <w:rFonts w:hint="eastAsia" w:ascii="Tahoma" w:hAnsi="Tahoma"/>
          <w:color w:val="auto"/>
          <w:kern w:val="0"/>
          <w:szCs w:val="22"/>
          <w:highlight w:val="none"/>
        </w:rPr>
        <w:t>本保函从上述合同签订之日起至项目服务期结束验收合格并完成结算后，双方签字之日起7天内保持有效。</w:t>
      </w:r>
    </w:p>
    <w:p>
      <w:pPr>
        <w:widowControl/>
        <w:adjustRightInd w:val="0"/>
        <w:snapToGrid w:val="0"/>
        <w:spacing w:line="360" w:lineRule="auto"/>
        <w:ind w:firstLine="2824" w:firstLineChars="1345"/>
        <w:jc w:val="left"/>
        <w:rPr>
          <w:rFonts w:ascii="宋体" w:hAnsi="宋体"/>
          <w:color w:val="auto"/>
          <w:kern w:val="0"/>
          <w:szCs w:val="22"/>
          <w:highlight w:val="none"/>
        </w:rPr>
      </w:pPr>
    </w:p>
    <w:p>
      <w:pPr>
        <w:widowControl/>
        <w:adjustRightInd w:val="0"/>
        <w:snapToGrid w:val="0"/>
        <w:spacing w:line="360" w:lineRule="auto"/>
        <w:ind w:firstLine="5040" w:firstLineChars="2400"/>
        <w:jc w:val="left"/>
        <w:rPr>
          <w:rFonts w:ascii="宋体" w:hAnsi="宋体"/>
          <w:color w:val="auto"/>
          <w:kern w:val="0"/>
          <w:szCs w:val="22"/>
          <w:highlight w:val="none"/>
        </w:rPr>
      </w:pPr>
      <w:r>
        <w:rPr>
          <w:rFonts w:hint="eastAsia" w:ascii="宋体" w:hAnsi="宋体"/>
          <w:color w:val="auto"/>
          <w:kern w:val="0"/>
          <w:szCs w:val="22"/>
          <w:highlight w:val="none"/>
        </w:rPr>
        <w:t>保证人：（盖章）</w:t>
      </w:r>
      <w:r>
        <w:rPr>
          <w:rFonts w:hint="eastAsia" w:ascii="宋体" w:hAnsi="宋体"/>
          <w:color w:val="auto"/>
          <w:kern w:val="0"/>
          <w:szCs w:val="22"/>
          <w:highlight w:val="none"/>
          <w:u w:val="single"/>
        </w:rPr>
        <w:t xml:space="preserve">                        </w:t>
      </w:r>
    </w:p>
    <w:p>
      <w:pPr>
        <w:widowControl/>
        <w:adjustRightInd w:val="0"/>
        <w:snapToGrid w:val="0"/>
        <w:spacing w:line="360" w:lineRule="auto"/>
        <w:ind w:firstLine="5040" w:firstLineChars="2400"/>
        <w:jc w:val="left"/>
        <w:rPr>
          <w:rFonts w:ascii="宋体" w:hAnsi="宋体"/>
          <w:color w:val="auto"/>
          <w:kern w:val="0"/>
          <w:szCs w:val="22"/>
          <w:highlight w:val="none"/>
        </w:rPr>
      </w:pPr>
      <w:r>
        <w:rPr>
          <w:rFonts w:hint="eastAsia" w:ascii="宋体" w:hAnsi="宋体"/>
          <w:color w:val="auto"/>
          <w:kern w:val="0"/>
          <w:szCs w:val="22"/>
          <w:highlight w:val="none"/>
        </w:rPr>
        <w:t>负责人：（签字）</w:t>
      </w:r>
      <w:r>
        <w:rPr>
          <w:rFonts w:hint="eastAsia" w:ascii="宋体" w:hAnsi="宋体"/>
          <w:color w:val="auto"/>
          <w:kern w:val="0"/>
          <w:szCs w:val="22"/>
          <w:highlight w:val="none"/>
          <w:u w:val="single"/>
        </w:rPr>
        <w:t xml:space="preserve">                        </w:t>
      </w:r>
    </w:p>
    <w:p>
      <w:pPr>
        <w:widowControl/>
        <w:adjustRightInd w:val="0"/>
        <w:snapToGrid w:val="0"/>
        <w:spacing w:line="360" w:lineRule="auto"/>
        <w:ind w:firstLine="5040" w:firstLineChars="2400"/>
        <w:jc w:val="left"/>
        <w:rPr>
          <w:rFonts w:ascii="宋体" w:hAnsi="宋体"/>
          <w:color w:val="auto"/>
          <w:kern w:val="0"/>
          <w:szCs w:val="22"/>
          <w:highlight w:val="none"/>
        </w:rPr>
      </w:pPr>
      <w:r>
        <w:rPr>
          <w:rFonts w:hint="eastAsia" w:ascii="宋体" w:hAnsi="宋体"/>
          <w:color w:val="auto"/>
          <w:kern w:val="0"/>
          <w:szCs w:val="22"/>
          <w:highlight w:val="none"/>
        </w:rPr>
        <w:t>联系人：</w:t>
      </w:r>
      <w:r>
        <w:rPr>
          <w:rFonts w:hint="eastAsia" w:ascii="宋体" w:hAnsi="宋体"/>
          <w:color w:val="auto"/>
          <w:kern w:val="0"/>
          <w:szCs w:val="22"/>
          <w:highlight w:val="none"/>
          <w:u w:val="single"/>
        </w:rPr>
        <w:t xml:space="preserve">                               </w:t>
      </w:r>
      <w:r>
        <w:rPr>
          <w:rFonts w:hint="eastAsia" w:ascii="宋体" w:hAnsi="宋体"/>
          <w:color w:val="auto"/>
          <w:kern w:val="0"/>
          <w:szCs w:val="22"/>
          <w:highlight w:val="none"/>
        </w:rPr>
        <w:t xml:space="preserve">   </w:t>
      </w:r>
    </w:p>
    <w:p>
      <w:pPr>
        <w:widowControl/>
        <w:adjustRightInd w:val="0"/>
        <w:snapToGrid w:val="0"/>
        <w:spacing w:line="360" w:lineRule="auto"/>
        <w:ind w:firstLine="5040" w:firstLineChars="2400"/>
        <w:jc w:val="left"/>
        <w:rPr>
          <w:rFonts w:ascii="宋体" w:hAnsi="宋体"/>
          <w:color w:val="auto"/>
          <w:kern w:val="0"/>
          <w:szCs w:val="22"/>
          <w:highlight w:val="none"/>
        </w:rPr>
      </w:pPr>
      <w:r>
        <w:rPr>
          <w:rFonts w:hint="eastAsia" w:ascii="宋体" w:hAnsi="宋体"/>
          <w:color w:val="auto"/>
          <w:kern w:val="0"/>
          <w:szCs w:val="22"/>
          <w:highlight w:val="none"/>
        </w:rPr>
        <w:t>联系电话：</w:t>
      </w:r>
      <w:r>
        <w:rPr>
          <w:rFonts w:hint="eastAsia" w:ascii="宋体" w:hAnsi="宋体"/>
          <w:color w:val="auto"/>
          <w:kern w:val="0"/>
          <w:szCs w:val="22"/>
          <w:highlight w:val="none"/>
          <w:u w:val="single"/>
        </w:rPr>
        <w:t xml:space="preserve">                             </w:t>
      </w:r>
    </w:p>
    <w:p>
      <w:pPr>
        <w:widowControl/>
        <w:adjustRightInd w:val="0"/>
        <w:snapToGrid w:val="0"/>
        <w:spacing w:line="360" w:lineRule="auto"/>
        <w:ind w:firstLine="5040" w:firstLineChars="2400"/>
        <w:jc w:val="left"/>
        <w:rPr>
          <w:rFonts w:ascii="宋体" w:hAnsi="宋体"/>
          <w:color w:val="auto"/>
          <w:kern w:val="0"/>
          <w:szCs w:val="22"/>
          <w:highlight w:val="none"/>
        </w:rPr>
      </w:pPr>
      <w:r>
        <w:rPr>
          <w:rFonts w:hint="eastAsia" w:ascii="宋体" w:hAnsi="宋体"/>
          <w:color w:val="auto"/>
          <w:kern w:val="0"/>
          <w:szCs w:val="22"/>
          <w:highlight w:val="none"/>
        </w:rPr>
        <w:t>日期：</w:t>
      </w:r>
      <w:r>
        <w:rPr>
          <w:rFonts w:hint="eastAsia" w:ascii="宋体" w:hAnsi="宋体"/>
          <w:color w:val="auto"/>
          <w:kern w:val="0"/>
          <w:szCs w:val="22"/>
          <w:highlight w:val="none"/>
          <w:u w:val="single"/>
        </w:rPr>
        <w:t xml:space="preserve">                               </w:t>
      </w:r>
    </w:p>
    <w:p>
      <w:pPr>
        <w:adjustRightInd w:val="0"/>
        <w:snapToGrid w:val="0"/>
        <w:spacing w:line="360" w:lineRule="auto"/>
        <w:ind w:left="359" w:leftChars="171" w:firstLine="179" w:firstLineChars="85"/>
        <w:rPr>
          <w:rFonts w:ascii="宋体" w:hAnsi="宋体" w:cstheme="minorBidi"/>
          <w:b/>
          <w:bCs/>
          <w:color w:val="auto"/>
          <w:highlight w:val="none"/>
        </w:rPr>
      </w:pPr>
    </w:p>
    <w:p>
      <w:pPr>
        <w:adjustRightInd w:val="0"/>
        <w:snapToGrid w:val="0"/>
        <w:spacing w:line="360" w:lineRule="auto"/>
        <w:ind w:left="359" w:leftChars="171" w:firstLine="179" w:firstLineChars="85"/>
        <w:rPr>
          <w:color w:val="auto"/>
          <w:highlight w:val="none"/>
        </w:rPr>
        <w:sectPr>
          <w:pgSz w:w="11906" w:h="16838"/>
          <w:pgMar w:top="1440" w:right="1800" w:bottom="1440" w:left="1800" w:header="851" w:footer="992" w:gutter="0"/>
          <w:cols w:space="720" w:num="1"/>
          <w:docGrid w:type="lines" w:linePitch="312" w:charSpace="0"/>
        </w:sectPr>
      </w:pPr>
      <w:r>
        <w:rPr>
          <w:rFonts w:hint="eastAsia" w:ascii="宋体" w:hAnsi="宋体" w:cstheme="minorBidi"/>
          <w:b/>
          <w:bCs/>
          <w:color w:val="auto"/>
          <w:highlight w:val="none"/>
        </w:rPr>
        <w:t>说明：响应人在投标时不需提交正式保函，在响应文件中盖响应人公章确认保函格式即可，乙方</w:t>
      </w:r>
      <w:r>
        <w:rPr>
          <w:rFonts w:hint="eastAsia" w:ascii="宋体" w:hAnsi="宋体" w:cstheme="minorBidi"/>
          <w:b/>
          <w:bCs/>
          <w:color w:val="auto"/>
          <w:szCs w:val="26"/>
          <w:highlight w:val="none"/>
        </w:rPr>
        <w:t>在签订合同时</w:t>
      </w:r>
      <w:r>
        <w:rPr>
          <w:rFonts w:hint="eastAsia" w:ascii="宋体" w:hAnsi="宋体" w:cstheme="minorBidi"/>
          <w:b/>
          <w:bCs/>
          <w:color w:val="auto"/>
          <w:highlight w:val="none"/>
        </w:rPr>
        <w:t>提交正式保函。</w:t>
      </w:r>
    </w:p>
    <w:p>
      <w:pPr>
        <w:pStyle w:val="3"/>
        <w:jc w:val="center"/>
        <w:rPr>
          <w:color w:val="auto"/>
          <w:highlight w:val="none"/>
        </w:rPr>
      </w:pPr>
      <w:bookmarkStart w:id="208" w:name="_Toc3001"/>
      <w:r>
        <w:rPr>
          <w:rFonts w:hint="eastAsia"/>
          <w:color w:val="auto"/>
          <w:highlight w:val="none"/>
        </w:rPr>
        <w:t>十二</w:t>
      </w:r>
      <w:r>
        <w:rPr>
          <w:color w:val="auto"/>
          <w:highlight w:val="none"/>
        </w:rPr>
        <w:t>、</w:t>
      </w:r>
      <w:r>
        <w:rPr>
          <w:rFonts w:hint="eastAsia"/>
          <w:color w:val="auto"/>
          <w:highlight w:val="none"/>
        </w:rPr>
        <w:t>其他需要补充的</w:t>
      </w:r>
      <w:r>
        <w:rPr>
          <w:color w:val="auto"/>
          <w:highlight w:val="none"/>
        </w:rPr>
        <w:t>资料</w:t>
      </w:r>
      <w:bookmarkEnd w:id="208"/>
    </w:p>
    <w:p>
      <w:pPr>
        <w:widowControl/>
        <w:jc w:val="left"/>
        <w:rPr>
          <w:color w:val="auto"/>
          <w:szCs w:val="21"/>
          <w:highlight w:val="none"/>
        </w:rPr>
      </w:pPr>
      <w:r>
        <w:rPr>
          <w:color w:val="auto"/>
          <w:szCs w:val="21"/>
          <w:highlight w:val="none"/>
        </w:rPr>
        <w:br w:type="page"/>
      </w:r>
    </w:p>
    <w:p>
      <w:pPr>
        <w:pStyle w:val="3"/>
        <w:jc w:val="left"/>
        <w:rPr>
          <w:color w:val="auto"/>
          <w:highlight w:val="none"/>
        </w:rPr>
      </w:pPr>
      <w:bookmarkStart w:id="209" w:name="_Toc486425443"/>
      <w:bookmarkStart w:id="210" w:name="_Toc17415"/>
      <w:r>
        <w:rPr>
          <w:rFonts w:hint="eastAsia"/>
          <w:color w:val="auto"/>
          <w:highlight w:val="none"/>
        </w:rPr>
        <w:t>第二部分</w:t>
      </w:r>
      <w:r>
        <w:rPr>
          <w:color w:val="auto"/>
          <w:highlight w:val="none"/>
        </w:rPr>
        <w:t xml:space="preserve">  </w:t>
      </w:r>
      <w:r>
        <w:rPr>
          <w:rFonts w:hint="eastAsia"/>
          <w:color w:val="auto"/>
          <w:highlight w:val="none"/>
        </w:rPr>
        <w:t>经济部分</w:t>
      </w:r>
      <w:bookmarkEnd w:id="209"/>
      <w:bookmarkEnd w:id="210"/>
    </w:p>
    <w:p>
      <w:pPr>
        <w:pStyle w:val="3"/>
        <w:spacing w:line="240" w:lineRule="auto"/>
        <w:rPr>
          <w:rFonts w:ascii="黑体" w:hAnsi="Times New Roman"/>
          <w:b w:val="0"/>
          <w:bCs w:val="0"/>
          <w:color w:val="auto"/>
          <w:sz w:val="28"/>
          <w:szCs w:val="28"/>
          <w:highlight w:val="none"/>
        </w:rPr>
      </w:pPr>
      <w:bookmarkStart w:id="211" w:name="_Toc486425444"/>
      <w:bookmarkStart w:id="212" w:name="_Toc13792"/>
      <w:bookmarkStart w:id="213" w:name="_Toc338669163"/>
      <w:r>
        <w:rPr>
          <w:rFonts w:hint="eastAsia" w:ascii="黑体" w:hAnsi="Times New Roman"/>
          <w:b w:val="0"/>
          <w:bCs w:val="0"/>
          <w:color w:val="auto"/>
          <w:sz w:val="28"/>
          <w:szCs w:val="28"/>
          <w:highlight w:val="none"/>
        </w:rPr>
        <w:t>一、报价一览表</w:t>
      </w:r>
      <w:bookmarkEnd w:id="211"/>
      <w:bookmarkEnd w:id="212"/>
      <w:bookmarkEnd w:id="213"/>
    </w:p>
    <w:p>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响应人名称：</w:t>
      </w:r>
    </w:p>
    <w:p>
      <w:pPr>
        <w:rPr>
          <w:rFonts w:asciiTheme="majorEastAsia" w:hAnsiTheme="majorEastAsia" w:eastAsiaTheme="majorEastAsia"/>
          <w:color w:val="auto"/>
          <w:highlight w:val="none"/>
        </w:rPr>
      </w:pPr>
      <w:r>
        <w:rPr>
          <w:rFonts w:hint="eastAsia" w:asciiTheme="majorEastAsia" w:hAnsiTheme="majorEastAsia" w:eastAsiaTheme="majorEastAsia"/>
          <w:color w:val="auto"/>
          <w:szCs w:val="21"/>
          <w:highlight w:val="none"/>
        </w:rPr>
        <w:t>采购项目编号：</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3201"/>
        <w:gridCol w:w="1263"/>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263" w:type="pct"/>
            <w:vAlign w:val="center"/>
          </w:tcPr>
          <w:p>
            <w:pPr>
              <w:jc w:val="center"/>
              <w:rPr>
                <w:rFonts w:cs="宋体" w:asciiTheme="majorEastAsia" w:hAnsiTheme="majorEastAsia" w:eastAsiaTheme="majorEastAsia"/>
                <w:color w:val="auto"/>
                <w:kern w:val="28"/>
                <w:szCs w:val="21"/>
                <w:highlight w:val="none"/>
              </w:rPr>
            </w:pPr>
            <w:r>
              <w:rPr>
                <w:rFonts w:hint="eastAsia" w:asciiTheme="majorEastAsia" w:hAnsiTheme="majorEastAsia" w:eastAsiaTheme="majorEastAsia"/>
                <w:color w:val="auto"/>
                <w:szCs w:val="21"/>
                <w:highlight w:val="none"/>
              </w:rPr>
              <w:t>项目名称</w:t>
            </w:r>
          </w:p>
        </w:tc>
        <w:tc>
          <w:tcPr>
            <w:tcW w:w="1878" w:type="pct"/>
            <w:vAlign w:val="center"/>
          </w:tcPr>
          <w:p>
            <w:pPr>
              <w:jc w:val="center"/>
              <w:rPr>
                <w:rFonts w:cs="宋体" w:asciiTheme="majorEastAsia" w:hAnsiTheme="majorEastAsia" w:eastAsiaTheme="majorEastAsia"/>
                <w:color w:val="auto"/>
                <w:kern w:val="28"/>
                <w:szCs w:val="21"/>
                <w:highlight w:val="none"/>
              </w:rPr>
            </w:pPr>
            <w:r>
              <w:rPr>
                <w:rFonts w:hint="eastAsia" w:ascii="宋体" w:hAnsi="宋体" w:cs="宋体"/>
                <w:b/>
                <w:bCs/>
                <w:color w:val="auto"/>
                <w:sz w:val="21"/>
                <w:szCs w:val="21"/>
                <w:highlight w:val="none"/>
                <w:lang w:val="en-US" w:eastAsia="zh-CN"/>
              </w:rPr>
              <w:t>含税运输单价（元/吨）</w:t>
            </w:r>
          </w:p>
        </w:tc>
        <w:tc>
          <w:tcPr>
            <w:tcW w:w="741" w:type="pct"/>
            <w:vAlign w:val="center"/>
          </w:tcPr>
          <w:p>
            <w:pPr>
              <w:jc w:val="center"/>
              <w:rPr>
                <w:rFonts w:cs="宋体" w:asciiTheme="majorEastAsia" w:hAnsiTheme="majorEastAsia" w:eastAsiaTheme="majorEastAsia"/>
                <w:color w:val="auto"/>
                <w:kern w:val="28"/>
                <w:szCs w:val="21"/>
                <w:highlight w:val="none"/>
              </w:rPr>
            </w:pPr>
            <w:r>
              <w:rPr>
                <w:rFonts w:hint="eastAsia" w:cs="宋体" w:asciiTheme="majorEastAsia" w:hAnsiTheme="majorEastAsia" w:eastAsiaTheme="majorEastAsia"/>
                <w:color w:val="auto"/>
                <w:kern w:val="28"/>
                <w:szCs w:val="21"/>
                <w:highlight w:val="none"/>
              </w:rPr>
              <w:t>税率</w:t>
            </w:r>
          </w:p>
        </w:tc>
        <w:tc>
          <w:tcPr>
            <w:tcW w:w="1118" w:type="pct"/>
            <w:vAlign w:val="center"/>
          </w:tcPr>
          <w:p>
            <w:pPr>
              <w:jc w:val="center"/>
              <w:rPr>
                <w:rFonts w:cs="宋体" w:asciiTheme="majorEastAsia" w:hAnsiTheme="majorEastAsia" w:eastAsiaTheme="majorEastAsia"/>
                <w:color w:val="auto"/>
                <w:kern w:val="28"/>
                <w:szCs w:val="21"/>
                <w:highlight w:val="none"/>
              </w:rPr>
            </w:pPr>
            <w:r>
              <w:rPr>
                <w:rFonts w:hint="eastAsia" w:cs="宋体" w:asciiTheme="majorEastAsia" w:hAnsiTheme="majorEastAsia" w:eastAsiaTheme="majorEastAsia"/>
                <w:color w:val="auto"/>
                <w:kern w:val="28"/>
                <w:szCs w:val="21"/>
                <w:highlight w:val="none"/>
                <w:lang w:val="en-US" w:eastAsia="zh-CN"/>
              </w:rPr>
              <w:t>服务</w:t>
            </w:r>
            <w:r>
              <w:rPr>
                <w:rFonts w:hint="eastAsia" w:cs="宋体" w:asciiTheme="majorEastAsia" w:hAnsiTheme="majorEastAsia" w:eastAsiaTheme="majorEastAsia"/>
                <w:color w:val="auto"/>
                <w:kern w:val="28"/>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263" w:type="pct"/>
            <w:vAlign w:val="center"/>
          </w:tcPr>
          <w:p>
            <w:pPr>
              <w:jc w:val="center"/>
              <w:rPr>
                <w:rFonts w:cs="宋体" w:asciiTheme="majorEastAsia" w:hAnsiTheme="majorEastAsia" w:eastAsiaTheme="majorEastAsia"/>
                <w:color w:val="auto"/>
                <w:szCs w:val="21"/>
                <w:highlight w:val="none"/>
              </w:rPr>
            </w:pPr>
          </w:p>
        </w:tc>
        <w:tc>
          <w:tcPr>
            <w:tcW w:w="1878" w:type="pct"/>
            <w:vAlign w:val="center"/>
          </w:tcPr>
          <w:p>
            <w:pP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小写：</w:t>
            </w:r>
          </w:p>
          <w:p>
            <w:pP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大写：</w:t>
            </w:r>
          </w:p>
        </w:tc>
        <w:tc>
          <w:tcPr>
            <w:tcW w:w="741" w:type="pct"/>
            <w:vAlign w:val="center"/>
          </w:tcPr>
          <w:p>
            <w:pPr>
              <w:pStyle w:val="110"/>
              <w:jc w:val="center"/>
              <w:rPr>
                <w:rFonts w:hint="default" w:asciiTheme="majorEastAsia" w:hAnsiTheme="majorEastAsia" w:eastAsiaTheme="majorEastAsia"/>
                <w:color w:val="auto"/>
                <w:sz w:val="21"/>
                <w:szCs w:val="21"/>
                <w:highlight w:val="none"/>
                <w:lang w:val="en-US" w:eastAsia="zh-CN"/>
              </w:rPr>
            </w:pPr>
          </w:p>
        </w:tc>
        <w:tc>
          <w:tcPr>
            <w:tcW w:w="1118" w:type="pct"/>
            <w:vAlign w:val="center"/>
          </w:tcPr>
          <w:p>
            <w:pPr>
              <w:pStyle w:val="110"/>
              <w:jc w:val="center"/>
              <w:rPr>
                <w:rFonts w:asciiTheme="majorEastAsia" w:hAnsiTheme="majorEastAsia" w:eastAsiaTheme="majorEastAsia"/>
                <w:color w:val="auto"/>
                <w:sz w:val="21"/>
                <w:szCs w:val="21"/>
                <w:highlight w:val="none"/>
              </w:rPr>
            </w:pPr>
          </w:p>
        </w:tc>
      </w:tr>
    </w:tbl>
    <w:p>
      <w:pPr>
        <w:rPr>
          <w:rFonts w:asciiTheme="majorEastAsia" w:hAnsiTheme="majorEastAsia" w:eastAsiaTheme="majorEastAsia"/>
          <w:color w:val="auto"/>
          <w:szCs w:val="21"/>
          <w:highlight w:val="none"/>
        </w:rPr>
      </w:pPr>
    </w:p>
    <w:p>
      <w:pPr>
        <w:ind w:firstLine="359" w:firstLineChars="171"/>
        <w:rPr>
          <w:rFonts w:asciiTheme="majorEastAsia" w:hAnsiTheme="majorEastAsia" w:eastAsiaTheme="majorEastAsia"/>
          <w:color w:val="auto"/>
          <w:szCs w:val="21"/>
          <w:highlight w:val="none"/>
        </w:rPr>
      </w:pPr>
    </w:p>
    <w:p>
      <w:pPr>
        <w:ind w:firstLine="359" w:firstLineChars="17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响应人代表签字：</w:t>
      </w:r>
    </w:p>
    <w:p>
      <w:pPr>
        <w:ind w:firstLine="359" w:firstLineChars="17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响应人盖章：</w:t>
      </w:r>
    </w:p>
    <w:p>
      <w:pPr>
        <w:ind w:firstLine="359" w:firstLineChars="17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日期：</w:t>
      </w:r>
    </w:p>
    <w:p>
      <w:pPr>
        <w:ind w:firstLine="359" w:firstLineChars="171"/>
        <w:rPr>
          <w:rFonts w:asciiTheme="majorEastAsia" w:hAnsiTheme="majorEastAsia" w:eastAsiaTheme="majorEastAsia"/>
          <w:color w:val="auto"/>
          <w:szCs w:val="21"/>
          <w:highlight w:val="none"/>
        </w:rPr>
      </w:pPr>
    </w:p>
    <w:p>
      <w:pPr>
        <w:ind w:left="391" w:hanging="390" w:hangingChars="186"/>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    注：</w:t>
      </w:r>
    </w:p>
    <w:p>
      <w:pPr>
        <w:ind w:firstLine="420" w:firstLineChars="200"/>
        <w:rPr>
          <w:rFonts w:hint="eastAsia"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1.本项目采用固定单价方式报价，报价超过单价最高限价的，将被视为非实质性响应而予以投标无效处理。</w:t>
      </w:r>
    </w:p>
    <w:p>
      <w:pPr>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2</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报价</w:t>
      </w:r>
      <w:r>
        <w:rPr>
          <w:rFonts w:hint="eastAsia" w:asciiTheme="majorEastAsia" w:hAnsiTheme="majorEastAsia" w:eastAsiaTheme="majorEastAsia"/>
          <w:color w:val="auto"/>
          <w:szCs w:val="21"/>
          <w:highlight w:val="none"/>
        </w:rPr>
        <w:t>栏须用大写金额和小写金额两种方式</w:t>
      </w:r>
      <w:r>
        <w:rPr>
          <w:rFonts w:asciiTheme="majorEastAsia" w:hAnsiTheme="majorEastAsia" w:eastAsiaTheme="majorEastAsia"/>
          <w:color w:val="auto"/>
          <w:szCs w:val="21"/>
          <w:highlight w:val="none"/>
        </w:rPr>
        <w:t>表示的</w:t>
      </w:r>
      <w:r>
        <w:rPr>
          <w:rFonts w:hint="eastAsia" w:asciiTheme="majorEastAsia" w:hAnsiTheme="majorEastAsia" w:eastAsiaTheme="majorEastAsia"/>
          <w:color w:val="auto"/>
          <w:szCs w:val="21"/>
          <w:highlight w:val="none"/>
          <w:lang w:val="en-US" w:eastAsia="zh-CN"/>
        </w:rPr>
        <w:t>报价</w:t>
      </w:r>
      <w:r>
        <w:rPr>
          <w:rFonts w:hint="eastAsia" w:asciiTheme="majorEastAsia" w:hAnsiTheme="majorEastAsia" w:eastAsiaTheme="majorEastAsia"/>
          <w:color w:val="auto"/>
          <w:szCs w:val="21"/>
          <w:highlight w:val="none"/>
        </w:rPr>
        <w:t>，报价保留小数点后两位。</w:t>
      </w:r>
      <w:r>
        <w:rPr>
          <w:rFonts w:hint="eastAsia" w:asciiTheme="majorEastAsia" w:hAnsiTheme="majorEastAsia" w:eastAsiaTheme="majorEastAsia"/>
          <w:color w:val="auto"/>
          <w:szCs w:val="21"/>
          <w:highlight w:val="none"/>
          <w:lang w:val="en-US" w:eastAsia="zh-CN"/>
        </w:rPr>
        <w:t>报价</w:t>
      </w:r>
      <w:r>
        <w:rPr>
          <w:rFonts w:hint="eastAsia" w:asciiTheme="majorEastAsia" w:hAnsiTheme="majorEastAsia" w:eastAsiaTheme="majorEastAsia"/>
          <w:color w:val="auto"/>
          <w:szCs w:val="21"/>
          <w:highlight w:val="none"/>
        </w:rPr>
        <w:t>大小写不一致，以大写为准。</w:t>
      </w:r>
      <w:r>
        <w:rPr>
          <w:rFonts w:hint="eastAsia" w:asciiTheme="majorEastAsia" w:hAnsiTheme="majorEastAsia" w:eastAsiaTheme="majorEastAsia"/>
          <w:color w:val="auto"/>
          <w:szCs w:val="21"/>
          <w:highlight w:val="none"/>
          <w:lang w:val="en-US" w:eastAsia="zh-CN"/>
        </w:rPr>
        <w:t>报价</w:t>
      </w:r>
      <w:r>
        <w:rPr>
          <w:rFonts w:hint="eastAsia" w:asciiTheme="majorEastAsia" w:hAnsiTheme="majorEastAsia" w:eastAsiaTheme="majorEastAsia"/>
          <w:color w:val="auto"/>
          <w:szCs w:val="21"/>
          <w:highlight w:val="none"/>
        </w:rPr>
        <w:t>必须准确唯一且应包含采购文件要求的所有费用。</w:t>
      </w:r>
    </w:p>
    <w:p>
      <w:pPr>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3</w:t>
      </w:r>
      <w:r>
        <w:rPr>
          <w:rFonts w:hint="eastAsia" w:asciiTheme="majorEastAsia" w:hAnsiTheme="majorEastAsia" w:eastAsiaTheme="majorEastAsia"/>
          <w:color w:val="auto"/>
          <w:szCs w:val="21"/>
          <w:highlight w:val="none"/>
        </w:rPr>
        <w:t>、温馨提示：未按采购文件要求报价、填写开标一览表是导致响应人废标的常见问题，请响应人仔细填写，认真核对。</w:t>
      </w:r>
    </w:p>
    <w:p>
      <w:pPr>
        <w:rPr>
          <w:color w:val="auto"/>
          <w:highlight w:val="none"/>
        </w:rPr>
      </w:pPr>
    </w:p>
    <w:p>
      <w:pPr>
        <w:widowControl/>
        <w:jc w:val="left"/>
        <w:rPr>
          <w:rFonts w:ascii="黑体" w:eastAsia="黑体"/>
          <w:color w:val="auto"/>
          <w:sz w:val="28"/>
          <w:szCs w:val="28"/>
          <w:highlight w:val="none"/>
        </w:rPr>
      </w:pPr>
      <w:bookmarkStart w:id="214" w:name="_Toc486425445"/>
      <w:bookmarkStart w:id="215" w:name="_Toc338669164"/>
      <w:bookmarkStart w:id="216" w:name="_Toc6200"/>
      <w:r>
        <w:rPr>
          <w:rFonts w:ascii="黑体"/>
          <w:b/>
          <w:bCs/>
          <w:color w:val="auto"/>
          <w:sz w:val="28"/>
          <w:szCs w:val="28"/>
          <w:highlight w:val="none"/>
        </w:rPr>
        <w:br w:type="page"/>
      </w:r>
    </w:p>
    <w:bookmarkEnd w:id="214"/>
    <w:bookmarkEnd w:id="215"/>
    <w:bookmarkEnd w:id="216"/>
    <w:p>
      <w:pPr>
        <w:pStyle w:val="3"/>
        <w:jc w:val="left"/>
        <w:rPr>
          <w:color w:val="auto"/>
          <w:highlight w:val="none"/>
        </w:rPr>
      </w:pPr>
      <w:bookmarkStart w:id="217" w:name="_Toc28919"/>
      <w:r>
        <w:rPr>
          <w:rFonts w:hint="eastAsia"/>
          <w:color w:val="auto"/>
          <w:highlight w:val="none"/>
        </w:rPr>
        <w:t>第三部分</w:t>
      </w:r>
      <w:r>
        <w:rPr>
          <w:color w:val="auto"/>
          <w:highlight w:val="none"/>
        </w:rPr>
        <w:t xml:space="preserve">  </w:t>
      </w:r>
      <w:r>
        <w:rPr>
          <w:rFonts w:hint="eastAsia"/>
          <w:color w:val="auto"/>
          <w:highlight w:val="none"/>
        </w:rPr>
        <w:t>唱标信封（单独密封）</w:t>
      </w:r>
      <w:bookmarkEnd w:id="217"/>
    </w:p>
    <w:p>
      <w:pPr>
        <w:spacing w:line="360" w:lineRule="auto"/>
        <w:ind w:left="796" w:leftChars="178" w:hanging="422" w:hangingChars="201"/>
        <w:rPr>
          <w:rFonts w:hAnsi="宋体"/>
          <w:color w:val="auto"/>
          <w:szCs w:val="21"/>
          <w:highlight w:val="none"/>
        </w:rPr>
      </w:pPr>
    </w:p>
    <w:p>
      <w:pPr>
        <w:spacing w:line="360" w:lineRule="auto"/>
        <w:ind w:left="796" w:leftChars="178" w:hanging="422" w:hangingChars="201"/>
        <w:rPr>
          <w:rFonts w:hAnsi="宋体"/>
          <w:color w:val="auto"/>
          <w:szCs w:val="21"/>
          <w:highlight w:val="none"/>
        </w:rPr>
      </w:pPr>
      <w:r>
        <w:rPr>
          <w:rFonts w:hint="eastAsia" w:hAnsi="宋体"/>
          <w:color w:val="auto"/>
          <w:szCs w:val="21"/>
          <w:highlight w:val="none"/>
        </w:rPr>
        <w:t>唱标信封内装：</w:t>
      </w:r>
    </w:p>
    <w:p>
      <w:pPr>
        <w:numPr>
          <w:ilvl w:val="0"/>
          <w:numId w:val="10"/>
        </w:numPr>
        <w:autoSpaceDE w:val="0"/>
        <w:autoSpaceDN w:val="0"/>
        <w:adjustRightInd w:val="0"/>
        <w:spacing w:line="360" w:lineRule="auto"/>
        <w:ind w:firstLineChars="200"/>
        <w:jc w:val="left"/>
        <w:rPr>
          <w:rFonts w:hAnsi="宋体"/>
          <w:color w:val="auto"/>
          <w:szCs w:val="21"/>
          <w:highlight w:val="none"/>
        </w:rPr>
      </w:pPr>
      <w:r>
        <w:rPr>
          <w:rFonts w:hint="eastAsia" w:hAnsi="宋体"/>
          <w:color w:val="auto"/>
          <w:szCs w:val="21"/>
          <w:highlight w:val="none"/>
        </w:rPr>
        <w:t>竞争性谈判响应函复印件加盖公章；</w:t>
      </w:r>
    </w:p>
    <w:p>
      <w:pPr>
        <w:numPr>
          <w:ilvl w:val="0"/>
          <w:numId w:val="10"/>
        </w:numPr>
        <w:autoSpaceDE w:val="0"/>
        <w:autoSpaceDN w:val="0"/>
        <w:adjustRightInd w:val="0"/>
        <w:spacing w:line="360" w:lineRule="auto"/>
        <w:ind w:firstLineChars="200"/>
        <w:jc w:val="left"/>
        <w:rPr>
          <w:rFonts w:hAnsi="宋体"/>
          <w:color w:val="auto"/>
          <w:szCs w:val="21"/>
          <w:highlight w:val="none"/>
        </w:rPr>
      </w:pPr>
      <w:r>
        <w:rPr>
          <w:rFonts w:hint="eastAsia" w:hAnsi="宋体"/>
          <w:color w:val="auto"/>
          <w:szCs w:val="21"/>
          <w:highlight w:val="none"/>
        </w:rPr>
        <w:t>法定代表人证明书复印件加盖公章；</w:t>
      </w:r>
    </w:p>
    <w:p>
      <w:pPr>
        <w:numPr>
          <w:ilvl w:val="0"/>
          <w:numId w:val="10"/>
        </w:numPr>
        <w:autoSpaceDE w:val="0"/>
        <w:autoSpaceDN w:val="0"/>
        <w:adjustRightInd w:val="0"/>
        <w:spacing w:line="360" w:lineRule="auto"/>
        <w:ind w:firstLineChars="200"/>
        <w:jc w:val="left"/>
        <w:rPr>
          <w:rFonts w:hAnsi="宋体"/>
          <w:color w:val="auto"/>
          <w:szCs w:val="21"/>
          <w:highlight w:val="none"/>
        </w:rPr>
      </w:pPr>
      <w:r>
        <w:rPr>
          <w:rFonts w:hint="eastAsia" w:hAnsi="宋体"/>
          <w:color w:val="auto"/>
          <w:szCs w:val="21"/>
          <w:highlight w:val="none"/>
        </w:rPr>
        <w:t>法定代表人授权委托书复印件加盖公章（法定代表人投标的除外）；</w:t>
      </w:r>
    </w:p>
    <w:p>
      <w:pPr>
        <w:numPr>
          <w:ilvl w:val="0"/>
          <w:numId w:val="10"/>
        </w:numPr>
        <w:autoSpaceDE w:val="0"/>
        <w:autoSpaceDN w:val="0"/>
        <w:adjustRightInd w:val="0"/>
        <w:spacing w:line="360" w:lineRule="auto"/>
        <w:ind w:firstLineChars="200"/>
        <w:jc w:val="left"/>
        <w:rPr>
          <w:rFonts w:hAnsi="宋体"/>
          <w:color w:val="auto"/>
          <w:szCs w:val="21"/>
          <w:highlight w:val="none"/>
        </w:rPr>
      </w:pPr>
      <w:r>
        <w:rPr>
          <w:rFonts w:hint="eastAsia" w:hAnsi="宋体"/>
          <w:color w:val="auto"/>
          <w:szCs w:val="21"/>
          <w:highlight w:val="none"/>
        </w:rPr>
        <w:t>报价一览表复印件加盖公章；</w:t>
      </w:r>
    </w:p>
    <w:p>
      <w:pPr>
        <w:numPr>
          <w:ilvl w:val="0"/>
          <w:numId w:val="10"/>
        </w:numPr>
        <w:autoSpaceDE w:val="0"/>
        <w:autoSpaceDN w:val="0"/>
        <w:adjustRightInd w:val="0"/>
        <w:spacing w:line="360" w:lineRule="auto"/>
        <w:ind w:firstLineChars="200"/>
        <w:jc w:val="left"/>
        <w:rPr>
          <w:rFonts w:hAnsi="宋体"/>
          <w:color w:val="auto"/>
          <w:szCs w:val="21"/>
          <w:highlight w:val="none"/>
        </w:rPr>
      </w:pPr>
      <w:r>
        <w:rPr>
          <w:rFonts w:hint="eastAsia" w:hAnsi="宋体"/>
          <w:color w:val="auto"/>
          <w:szCs w:val="21"/>
          <w:highlight w:val="none"/>
        </w:rPr>
        <w:t>谈判保证金银行汇款凭证复印件加盖公章；</w:t>
      </w:r>
    </w:p>
    <w:p>
      <w:pPr>
        <w:numPr>
          <w:ilvl w:val="0"/>
          <w:numId w:val="10"/>
        </w:numPr>
        <w:autoSpaceDE w:val="0"/>
        <w:autoSpaceDN w:val="0"/>
        <w:adjustRightInd w:val="0"/>
        <w:spacing w:line="360" w:lineRule="auto"/>
        <w:ind w:firstLineChars="200"/>
        <w:jc w:val="left"/>
        <w:rPr>
          <w:rFonts w:hAnsi="宋体"/>
          <w:color w:val="auto"/>
          <w:szCs w:val="21"/>
          <w:highlight w:val="none"/>
        </w:rPr>
      </w:pPr>
      <w:r>
        <w:rPr>
          <w:rFonts w:hint="eastAsia" w:hAnsi="宋体"/>
          <w:color w:val="auto"/>
          <w:szCs w:val="21"/>
          <w:highlight w:val="none"/>
        </w:rPr>
        <w:t>响应文件电子文件（U盘）；</w:t>
      </w:r>
    </w:p>
    <w:p>
      <w:pPr>
        <w:tabs>
          <w:tab w:val="left" w:pos="720"/>
        </w:tabs>
        <w:spacing w:line="440" w:lineRule="exact"/>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方正书宋简体">
    <w:altName w:val="宋体"/>
    <w:panose1 w:val="02000000000000000000"/>
    <w:charset w:val="86"/>
    <w:family w:val="auto"/>
    <w:pitch w:val="default"/>
    <w:sig w:usb0="00000000" w:usb1="00000000" w:usb2="00000012"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宋?fa">
    <w:altName w:val="宋体"/>
    <w:panose1 w:val="00000000000000000000"/>
    <w:charset w:val="81"/>
    <w:family w:val="roman"/>
    <w:pitch w:val="default"/>
    <w:sig w:usb0="00000000" w:usb1="00000000" w:usb2="00000010" w:usb3="00000000" w:csb0="0008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3175" r="635"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j5xr/QsCAAACBAAADgAAAAAAAAABACAAAAAf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cs="Times New Roman"/>
      </w:rPr>
    </w:pPr>
    <w:r>
      <w:fldChar w:fldCharType="begin"/>
    </w:r>
    <w:r>
      <w:instrText xml:space="preserve"> PAGE   \* MERGEFORMAT </w:instrText>
    </w:r>
    <w:r>
      <w:fldChar w:fldCharType="separate"/>
    </w:r>
    <w:r>
      <w:rPr>
        <w:lang w:val="zh-CN"/>
      </w:rPr>
      <w:t>10</w:t>
    </w:r>
    <w:r>
      <w:fldChar w:fldCharType="end"/>
    </w:r>
  </w:p>
  <w:p>
    <w:pPr>
      <w:pStyle w:val="2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PowerPlusWaterMarkObject523134611" o:spid="_x0000_s4098" o:spt="136" type="#_x0000_t136" style="position:absolute;left:0pt;height:97.55pt;width:487.9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新东欣公司" style="font-family:宋?f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5E1BE"/>
    <w:multiLevelType w:val="singleLevel"/>
    <w:tmpl w:val="F835E1BE"/>
    <w:lvl w:ilvl="0" w:tentative="0">
      <w:start w:val="10"/>
      <w:numFmt w:val="chineseCounting"/>
      <w:suff w:val="nothing"/>
      <w:lvlText w:val="%1、"/>
      <w:lvlJc w:val="left"/>
      <w:rPr>
        <w:rFonts w:hint="eastAsia"/>
      </w:rPr>
    </w:lvl>
  </w:abstractNum>
  <w:abstractNum w:abstractNumId="1">
    <w:nsid w:val="00975C48"/>
    <w:multiLevelType w:val="multilevel"/>
    <w:tmpl w:val="00975C48"/>
    <w:lvl w:ilvl="0" w:tentative="0">
      <w:start w:val="1"/>
      <w:numFmt w:val="decimal"/>
      <w:lvlText w:val="（%1）"/>
      <w:lvlJc w:val="left"/>
      <w:pPr>
        <w:ind w:left="156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B23450"/>
    <w:multiLevelType w:val="multilevel"/>
    <w:tmpl w:val="31B234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4E02070"/>
    <w:multiLevelType w:val="multilevel"/>
    <w:tmpl w:val="34E02070"/>
    <w:lvl w:ilvl="0" w:tentative="0">
      <w:start w:val="1"/>
      <w:numFmt w:val="decimal"/>
      <w:lvlText w:val="%1"/>
      <w:lvlJc w:val="left"/>
      <w:pPr>
        <w:ind w:left="425" w:hanging="425"/>
      </w:pPr>
      <w:rPr>
        <w:rFonts w:hint="eastAsia"/>
      </w:rPr>
    </w:lvl>
    <w:lvl w:ilvl="1" w:tentative="0">
      <w:start w:val="1"/>
      <w:numFmt w:val="decimal"/>
      <w:lvlText w:val="2.%2"/>
      <w:lvlJc w:val="left"/>
      <w:pPr>
        <w:ind w:left="992" w:hanging="567"/>
      </w:pPr>
      <w:rPr>
        <w:rFonts w:hint="eastAsia"/>
        <w:b w:val="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400F3F41"/>
    <w:multiLevelType w:val="multilevel"/>
    <w:tmpl w:val="400F3F41"/>
    <w:lvl w:ilvl="0" w:tentative="0">
      <w:start w:val="1"/>
      <w:numFmt w:val="decimal"/>
      <w:lvlText w:val="%1."/>
      <w:lvlJc w:val="left"/>
      <w:pPr>
        <w:ind w:left="360" w:hanging="360"/>
      </w:pPr>
      <w:rPr>
        <w:rFonts w:hint="default"/>
      </w:rPr>
    </w:lvl>
    <w:lvl w:ilvl="1" w:tentative="0">
      <w:start w:val="6"/>
      <w:numFmt w:val="decimal"/>
      <w:isLgl/>
      <w:lvlText w:val="%1.%2"/>
      <w:lvlJc w:val="left"/>
      <w:pPr>
        <w:ind w:left="540" w:hanging="54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5">
    <w:nsid w:val="429F0012"/>
    <w:multiLevelType w:val="multilevel"/>
    <w:tmpl w:val="429F0012"/>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rPr>
        <w:rFonts w:hint="default"/>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pStyle w:val="35"/>
      <w:lvlText w:val="%1.%2"/>
      <w:lvlJc w:val="left"/>
      <w:pPr>
        <w:ind w:left="850" w:hanging="425"/>
      </w:pPr>
      <w:rPr>
        <w:rFonts w:hint="eastAsia" w:eastAsia="宋体"/>
        <w:b/>
        <w:i w:val="0"/>
        <w:sz w:val="24"/>
      </w:rPr>
    </w:lvl>
    <w:lvl w:ilvl="2" w:tentative="0">
      <w:start w:val="1"/>
      <w:numFmt w:val="decimal"/>
      <w:pStyle w:val="73"/>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7">
    <w:nsid w:val="54326416"/>
    <w:multiLevelType w:val="singleLevel"/>
    <w:tmpl w:val="54326416"/>
    <w:lvl w:ilvl="0" w:tentative="0">
      <w:start w:val="1"/>
      <w:numFmt w:val="decimal"/>
      <w:lvlText w:val="%1."/>
      <w:lvlJc w:val="left"/>
      <w:pPr>
        <w:tabs>
          <w:tab w:val="left" w:pos="312"/>
        </w:tabs>
      </w:pPr>
    </w:lvl>
  </w:abstractNum>
  <w:abstractNum w:abstractNumId="8">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9">
    <w:nsid w:val="635E683D"/>
    <w:multiLevelType w:val="multilevel"/>
    <w:tmpl w:val="635E683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4"/>
  </w:num>
  <w:num w:numId="4">
    <w:abstractNumId w:val="5"/>
  </w:num>
  <w:num w:numId="5">
    <w:abstractNumId w:val="9"/>
  </w:num>
  <w:num w:numId="6">
    <w:abstractNumId w:val="2"/>
  </w:num>
  <w:num w:numId="7">
    <w:abstractNumId w:val="7"/>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5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2YWM2YjFjM2NjMjgwNTJhZTk4ZmQ4MjE1NDdmZTEifQ=="/>
    <w:docVar w:name="KSO_WPS_MARK_KEY" w:val="07125f37-1255-4070-beb6-83c6183517b7"/>
  </w:docVars>
  <w:rsids>
    <w:rsidRoot w:val="007F7043"/>
    <w:rsid w:val="0000377B"/>
    <w:rsid w:val="00003CE8"/>
    <w:rsid w:val="000068EA"/>
    <w:rsid w:val="00007223"/>
    <w:rsid w:val="0001068F"/>
    <w:rsid w:val="000125F4"/>
    <w:rsid w:val="000259BD"/>
    <w:rsid w:val="0003046F"/>
    <w:rsid w:val="00031930"/>
    <w:rsid w:val="000353AC"/>
    <w:rsid w:val="00046275"/>
    <w:rsid w:val="00053FF2"/>
    <w:rsid w:val="00055DA3"/>
    <w:rsid w:val="000634B4"/>
    <w:rsid w:val="0007006A"/>
    <w:rsid w:val="00070D24"/>
    <w:rsid w:val="000761F7"/>
    <w:rsid w:val="00076DFA"/>
    <w:rsid w:val="00080D65"/>
    <w:rsid w:val="00081F9C"/>
    <w:rsid w:val="000862DF"/>
    <w:rsid w:val="000873D4"/>
    <w:rsid w:val="0008744A"/>
    <w:rsid w:val="00091BA0"/>
    <w:rsid w:val="00092304"/>
    <w:rsid w:val="000A0E22"/>
    <w:rsid w:val="000A24D5"/>
    <w:rsid w:val="000B0915"/>
    <w:rsid w:val="000B6DE6"/>
    <w:rsid w:val="000C0ED2"/>
    <w:rsid w:val="000C2D7F"/>
    <w:rsid w:val="000C45A3"/>
    <w:rsid w:val="000C6828"/>
    <w:rsid w:val="000C7295"/>
    <w:rsid w:val="000D3326"/>
    <w:rsid w:val="000D39C4"/>
    <w:rsid w:val="000D6A60"/>
    <w:rsid w:val="000E1DA4"/>
    <w:rsid w:val="000E5805"/>
    <w:rsid w:val="000F19EB"/>
    <w:rsid w:val="000F26EE"/>
    <w:rsid w:val="000F3DBB"/>
    <w:rsid w:val="000F58BD"/>
    <w:rsid w:val="000F676E"/>
    <w:rsid w:val="001033E2"/>
    <w:rsid w:val="00105F24"/>
    <w:rsid w:val="0011115C"/>
    <w:rsid w:val="001114E2"/>
    <w:rsid w:val="001126DB"/>
    <w:rsid w:val="00113948"/>
    <w:rsid w:val="00120BE1"/>
    <w:rsid w:val="00124BCF"/>
    <w:rsid w:val="0012586F"/>
    <w:rsid w:val="00125AE4"/>
    <w:rsid w:val="001308F0"/>
    <w:rsid w:val="00131A68"/>
    <w:rsid w:val="0013254C"/>
    <w:rsid w:val="00132BFB"/>
    <w:rsid w:val="0013421C"/>
    <w:rsid w:val="00134782"/>
    <w:rsid w:val="001360FA"/>
    <w:rsid w:val="0013663E"/>
    <w:rsid w:val="00142BF2"/>
    <w:rsid w:val="001545C3"/>
    <w:rsid w:val="00162486"/>
    <w:rsid w:val="0016555D"/>
    <w:rsid w:val="00166828"/>
    <w:rsid w:val="001762A3"/>
    <w:rsid w:val="001776DB"/>
    <w:rsid w:val="00177990"/>
    <w:rsid w:val="00177CE1"/>
    <w:rsid w:val="001854A8"/>
    <w:rsid w:val="001926AA"/>
    <w:rsid w:val="0019600D"/>
    <w:rsid w:val="001A39AD"/>
    <w:rsid w:val="001A3B49"/>
    <w:rsid w:val="001A557C"/>
    <w:rsid w:val="001B5293"/>
    <w:rsid w:val="001B6936"/>
    <w:rsid w:val="001C0E77"/>
    <w:rsid w:val="001C3952"/>
    <w:rsid w:val="001C48B4"/>
    <w:rsid w:val="001C7FA0"/>
    <w:rsid w:val="001D001E"/>
    <w:rsid w:val="001D1A8A"/>
    <w:rsid w:val="001D2177"/>
    <w:rsid w:val="001D645C"/>
    <w:rsid w:val="001E0E84"/>
    <w:rsid w:val="001E1964"/>
    <w:rsid w:val="001F03F7"/>
    <w:rsid w:val="001F2656"/>
    <w:rsid w:val="001F7CF1"/>
    <w:rsid w:val="0020205A"/>
    <w:rsid w:val="00202BDA"/>
    <w:rsid w:val="00212556"/>
    <w:rsid w:val="00213735"/>
    <w:rsid w:val="00215D42"/>
    <w:rsid w:val="00215DB5"/>
    <w:rsid w:val="00221A03"/>
    <w:rsid w:val="002229F4"/>
    <w:rsid w:val="00224DA6"/>
    <w:rsid w:val="00225ABF"/>
    <w:rsid w:val="002272F6"/>
    <w:rsid w:val="00227351"/>
    <w:rsid w:val="00231ECF"/>
    <w:rsid w:val="00232F26"/>
    <w:rsid w:val="00240E9B"/>
    <w:rsid w:val="00240FAF"/>
    <w:rsid w:val="002427F7"/>
    <w:rsid w:val="00245AF1"/>
    <w:rsid w:val="00254FCA"/>
    <w:rsid w:val="00255A54"/>
    <w:rsid w:val="00255D59"/>
    <w:rsid w:val="00256C9E"/>
    <w:rsid w:val="002626FD"/>
    <w:rsid w:val="00265B00"/>
    <w:rsid w:val="0027062F"/>
    <w:rsid w:val="00280080"/>
    <w:rsid w:val="002804AE"/>
    <w:rsid w:val="00282462"/>
    <w:rsid w:val="002826F6"/>
    <w:rsid w:val="00292FF2"/>
    <w:rsid w:val="0029376F"/>
    <w:rsid w:val="00293F68"/>
    <w:rsid w:val="00296699"/>
    <w:rsid w:val="002A5B78"/>
    <w:rsid w:val="002B0670"/>
    <w:rsid w:val="002B4A15"/>
    <w:rsid w:val="002B7587"/>
    <w:rsid w:val="002B7661"/>
    <w:rsid w:val="002D16FE"/>
    <w:rsid w:val="002D20B1"/>
    <w:rsid w:val="002D5A77"/>
    <w:rsid w:val="002E2895"/>
    <w:rsid w:val="002E3D00"/>
    <w:rsid w:val="002E6DCC"/>
    <w:rsid w:val="002F747B"/>
    <w:rsid w:val="002F7F49"/>
    <w:rsid w:val="00303DB5"/>
    <w:rsid w:val="00305DAF"/>
    <w:rsid w:val="00306C8C"/>
    <w:rsid w:val="0031043B"/>
    <w:rsid w:val="00310C1B"/>
    <w:rsid w:val="0031158A"/>
    <w:rsid w:val="00311A4C"/>
    <w:rsid w:val="00314113"/>
    <w:rsid w:val="003214FF"/>
    <w:rsid w:val="00322BC5"/>
    <w:rsid w:val="00326EBD"/>
    <w:rsid w:val="00327005"/>
    <w:rsid w:val="00333529"/>
    <w:rsid w:val="003335D4"/>
    <w:rsid w:val="00340328"/>
    <w:rsid w:val="003430A1"/>
    <w:rsid w:val="003443FA"/>
    <w:rsid w:val="003477EB"/>
    <w:rsid w:val="003545F9"/>
    <w:rsid w:val="0035527E"/>
    <w:rsid w:val="00355AC7"/>
    <w:rsid w:val="00356C08"/>
    <w:rsid w:val="00357096"/>
    <w:rsid w:val="00366E3A"/>
    <w:rsid w:val="003744F6"/>
    <w:rsid w:val="003755B6"/>
    <w:rsid w:val="00376018"/>
    <w:rsid w:val="003765FB"/>
    <w:rsid w:val="00383607"/>
    <w:rsid w:val="00387551"/>
    <w:rsid w:val="00397A3F"/>
    <w:rsid w:val="003A3ADE"/>
    <w:rsid w:val="003B1CCA"/>
    <w:rsid w:val="003B3753"/>
    <w:rsid w:val="003B5578"/>
    <w:rsid w:val="003B7024"/>
    <w:rsid w:val="003C0972"/>
    <w:rsid w:val="003C37CB"/>
    <w:rsid w:val="003C4252"/>
    <w:rsid w:val="003C5AF8"/>
    <w:rsid w:val="003C764D"/>
    <w:rsid w:val="003D0D02"/>
    <w:rsid w:val="003D0DF5"/>
    <w:rsid w:val="003D454A"/>
    <w:rsid w:val="003D4D5D"/>
    <w:rsid w:val="003D5EF7"/>
    <w:rsid w:val="003D66FF"/>
    <w:rsid w:val="003F2F66"/>
    <w:rsid w:val="003F403A"/>
    <w:rsid w:val="003F67B8"/>
    <w:rsid w:val="00405A7D"/>
    <w:rsid w:val="00406DFA"/>
    <w:rsid w:val="004140FD"/>
    <w:rsid w:val="00427F1A"/>
    <w:rsid w:val="00431CEF"/>
    <w:rsid w:val="00434B4A"/>
    <w:rsid w:val="00434DDB"/>
    <w:rsid w:val="00442F1B"/>
    <w:rsid w:val="00444A60"/>
    <w:rsid w:val="00444F94"/>
    <w:rsid w:val="00446077"/>
    <w:rsid w:val="00451B69"/>
    <w:rsid w:val="0045223A"/>
    <w:rsid w:val="00457795"/>
    <w:rsid w:val="00460378"/>
    <w:rsid w:val="0047136F"/>
    <w:rsid w:val="00482072"/>
    <w:rsid w:val="00482F38"/>
    <w:rsid w:val="00486F55"/>
    <w:rsid w:val="0049123C"/>
    <w:rsid w:val="00491356"/>
    <w:rsid w:val="0049579B"/>
    <w:rsid w:val="00495A94"/>
    <w:rsid w:val="004A0F02"/>
    <w:rsid w:val="004A7525"/>
    <w:rsid w:val="004B0D39"/>
    <w:rsid w:val="004B47DB"/>
    <w:rsid w:val="004B5A8D"/>
    <w:rsid w:val="004C1BF6"/>
    <w:rsid w:val="004C2034"/>
    <w:rsid w:val="004C5563"/>
    <w:rsid w:val="004C6E94"/>
    <w:rsid w:val="004D2F89"/>
    <w:rsid w:val="004E2784"/>
    <w:rsid w:val="004E5496"/>
    <w:rsid w:val="004F31EA"/>
    <w:rsid w:val="004F415F"/>
    <w:rsid w:val="004F515A"/>
    <w:rsid w:val="004F6631"/>
    <w:rsid w:val="0050571F"/>
    <w:rsid w:val="00506215"/>
    <w:rsid w:val="005167A3"/>
    <w:rsid w:val="00517E9C"/>
    <w:rsid w:val="00532FF9"/>
    <w:rsid w:val="00534C42"/>
    <w:rsid w:val="00540577"/>
    <w:rsid w:val="00541639"/>
    <w:rsid w:val="005434B2"/>
    <w:rsid w:val="00544269"/>
    <w:rsid w:val="00555575"/>
    <w:rsid w:val="00555695"/>
    <w:rsid w:val="005560D4"/>
    <w:rsid w:val="0056130C"/>
    <w:rsid w:val="005770D5"/>
    <w:rsid w:val="0057741D"/>
    <w:rsid w:val="005776B5"/>
    <w:rsid w:val="0058248C"/>
    <w:rsid w:val="00582770"/>
    <w:rsid w:val="00583051"/>
    <w:rsid w:val="00584F60"/>
    <w:rsid w:val="0058539D"/>
    <w:rsid w:val="005A1F08"/>
    <w:rsid w:val="005A1FAE"/>
    <w:rsid w:val="005A4D41"/>
    <w:rsid w:val="005A621E"/>
    <w:rsid w:val="005B42F2"/>
    <w:rsid w:val="005C3C1E"/>
    <w:rsid w:val="005C5AD3"/>
    <w:rsid w:val="005C7525"/>
    <w:rsid w:val="005C7C5B"/>
    <w:rsid w:val="005D0764"/>
    <w:rsid w:val="005D2CAE"/>
    <w:rsid w:val="005D4A4C"/>
    <w:rsid w:val="005D69CE"/>
    <w:rsid w:val="005E26F7"/>
    <w:rsid w:val="005E6827"/>
    <w:rsid w:val="005E70B5"/>
    <w:rsid w:val="005F097F"/>
    <w:rsid w:val="005F1F3E"/>
    <w:rsid w:val="005F2C3A"/>
    <w:rsid w:val="005F6F53"/>
    <w:rsid w:val="006003E1"/>
    <w:rsid w:val="006024CC"/>
    <w:rsid w:val="00610F61"/>
    <w:rsid w:val="00621733"/>
    <w:rsid w:val="00623406"/>
    <w:rsid w:val="00625F81"/>
    <w:rsid w:val="00626AD4"/>
    <w:rsid w:val="00630513"/>
    <w:rsid w:val="00634795"/>
    <w:rsid w:val="00635D8E"/>
    <w:rsid w:val="00636B5A"/>
    <w:rsid w:val="0064035A"/>
    <w:rsid w:val="00643DDF"/>
    <w:rsid w:val="00647396"/>
    <w:rsid w:val="00655A6C"/>
    <w:rsid w:val="006570BF"/>
    <w:rsid w:val="00664CF3"/>
    <w:rsid w:val="00666038"/>
    <w:rsid w:val="006727C5"/>
    <w:rsid w:val="006764D4"/>
    <w:rsid w:val="00684322"/>
    <w:rsid w:val="00686A71"/>
    <w:rsid w:val="006A112C"/>
    <w:rsid w:val="006A49C1"/>
    <w:rsid w:val="006A4E92"/>
    <w:rsid w:val="006A7450"/>
    <w:rsid w:val="006B2C49"/>
    <w:rsid w:val="006C05C4"/>
    <w:rsid w:val="006E577D"/>
    <w:rsid w:val="006F1984"/>
    <w:rsid w:val="006F549E"/>
    <w:rsid w:val="006F7A59"/>
    <w:rsid w:val="0070116A"/>
    <w:rsid w:val="0070451F"/>
    <w:rsid w:val="007136D4"/>
    <w:rsid w:val="007175E8"/>
    <w:rsid w:val="00717EAC"/>
    <w:rsid w:val="007305E3"/>
    <w:rsid w:val="00734CDD"/>
    <w:rsid w:val="00735940"/>
    <w:rsid w:val="00736461"/>
    <w:rsid w:val="00736732"/>
    <w:rsid w:val="00736A4E"/>
    <w:rsid w:val="00737B8B"/>
    <w:rsid w:val="00740A87"/>
    <w:rsid w:val="00741664"/>
    <w:rsid w:val="00745D20"/>
    <w:rsid w:val="00747901"/>
    <w:rsid w:val="00747D17"/>
    <w:rsid w:val="0075231A"/>
    <w:rsid w:val="007620C0"/>
    <w:rsid w:val="00764814"/>
    <w:rsid w:val="00764B37"/>
    <w:rsid w:val="0076780F"/>
    <w:rsid w:val="00770E9C"/>
    <w:rsid w:val="00773F55"/>
    <w:rsid w:val="00780AF3"/>
    <w:rsid w:val="007846D2"/>
    <w:rsid w:val="00784C56"/>
    <w:rsid w:val="0079202B"/>
    <w:rsid w:val="00795BE7"/>
    <w:rsid w:val="00796644"/>
    <w:rsid w:val="007A62AC"/>
    <w:rsid w:val="007B4F47"/>
    <w:rsid w:val="007B789E"/>
    <w:rsid w:val="007E3A74"/>
    <w:rsid w:val="007E7D13"/>
    <w:rsid w:val="007F5E54"/>
    <w:rsid w:val="007F7043"/>
    <w:rsid w:val="00800ACF"/>
    <w:rsid w:val="00803110"/>
    <w:rsid w:val="00805C25"/>
    <w:rsid w:val="008072D2"/>
    <w:rsid w:val="00807D5E"/>
    <w:rsid w:val="00815713"/>
    <w:rsid w:val="0082425B"/>
    <w:rsid w:val="008254A1"/>
    <w:rsid w:val="00825D9A"/>
    <w:rsid w:val="00841DD6"/>
    <w:rsid w:val="008448EA"/>
    <w:rsid w:val="008460C6"/>
    <w:rsid w:val="0084634C"/>
    <w:rsid w:val="008508E2"/>
    <w:rsid w:val="008509E3"/>
    <w:rsid w:val="008516E4"/>
    <w:rsid w:val="00853118"/>
    <w:rsid w:val="00857310"/>
    <w:rsid w:val="0085749E"/>
    <w:rsid w:val="008650DD"/>
    <w:rsid w:val="00866D8B"/>
    <w:rsid w:val="00871D8E"/>
    <w:rsid w:val="00872E85"/>
    <w:rsid w:val="008811E5"/>
    <w:rsid w:val="00884570"/>
    <w:rsid w:val="00884C4E"/>
    <w:rsid w:val="00890E4C"/>
    <w:rsid w:val="00891870"/>
    <w:rsid w:val="00891B82"/>
    <w:rsid w:val="0089351B"/>
    <w:rsid w:val="00894FE8"/>
    <w:rsid w:val="008A1DC8"/>
    <w:rsid w:val="008A515A"/>
    <w:rsid w:val="008C09B2"/>
    <w:rsid w:val="008D3E81"/>
    <w:rsid w:val="008D456D"/>
    <w:rsid w:val="008E1744"/>
    <w:rsid w:val="008E513F"/>
    <w:rsid w:val="008E6348"/>
    <w:rsid w:val="008E7C12"/>
    <w:rsid w:val="008F46A2"/>
    <w:rsid w:val="008F4EAA"/>
    <w:rsid w:val="00900B7E"/>
    <w:rsid w:val="009010CD"/>
    <w:rsid w:val="009013B8"/>
    <w:rsid w:val="00901560"/>
    <w:rsid w:val="0090210A"/>
    <w:rsid w:val="00903EF0"/>
    <w:rsid w:val="00905F80"/>
    <w:rsid w:val="00911EA5"/>
    <w:rsid w:val="00912253"/>
    <w:rsid w:val="009140DC"/>
    <w:rsid w:val="00915242"/>
    <w:rsid w:val="00917987"/>
    <w:rsid w:val="0092159B"/>
    <w:rsid w:val="00922A56"/>
    <w:rsid w:val="009236E4"/>
    <w:rsid w:val="00937839"/>
    <w:rsid w:val="009413B9"/>
    <w:rsid w:val="0094174C"/>
    <w:rsid w:val="0094283C"/>
    <w:rsid w:val="00950340"/>
    <w:rsid w:val="00951A6D"/>
    <w:rsid w:val="00953892"/>
    <w:rsid w:val="009541FE"/>
    <w:rsid w:val="00954831"/>
    <w:rsid w:val="0095654C"/>
    <w:rsid w:val="00956A2E"/>
    <w:rsid w:val="009711D7"/>
    <w:rsid w:val="0097128B"/>
    <w:rsid w:val="00985266"/>
    <w:rsid w:val="00991598"/>
    <w:rsid w:val="00993A23"/>
    <w:rsid w:val="00994838"/>
    <w:rsid w:val="00996189"/>
    <w:rsid w:val="00996C4C"/>
    <w:rsid w:val="009B2E9E"/>
    <w:rsid w:val="009B4340"/>
    <w:rsid w:val="009C05FF"/>
    <w:rsid w:val="009C12BF"/>
    <w:rsid w:val="009C3EB6"/>
    <w:rsid w:val="009C4AE1"/>
    <w:rsid w:val="009D01DF"/>
    <w:rsid w:val="009E3766"/>
    <w:rsid w:val="009E709C"/>
    <w:rsid w:val="009F1648"/>
    <w:rsid w:val="009F2569"/>
    <w:rsid w:val="009F4DC3"/>
    <w:rsid w:val="009F6FF9"/>
    <w:rsid w:val="00A11BF7"/>
    <w:rsid w:val="00A1231D"/>
    <w:rsid w:val="00A146E4"/>
    <w:rsid w:val="00A1566E"/>
    <w:rsid w:val="00A15B9D"/>
    <w:rsid w:val="00A214B6"/>
    <w:rsid w:val="00A222B3"/>
    <w:rsid w:val="00A265D1"/>
    <w:rsid w:val="00A34B42"/>
    <w:rsid w:val="00A37D33"/>
    <w:rsid w:val="00A43985"/>
    <w:rsid w:val="00A52C6C"/>
    <w:rsid w:val="00A53322"/>
    <w:rsid w:val="00A542CA"/>
    <w:rsid w:val="00A5556A"/>
    <w:rsid w:val="00A55FEF"/>
    <w:rsid w:val="00A57987"/>
    <w:rsid w:val="00A57A0F"/>
    <w:rsid w:val="00A6302E"/>
    <w:rsid w:val="00A654DA"/>
    <w:rsid w:val="00A66F77"/>
    <w:rsid w:val="00A70328"/>
    <w:rsid w:val="00A727A6"/>
    <w:rsid w:val="00A741F6"/>
    <w:rsid w:val="00A74520"/>
    <w:rsid w:val="00A76DE0"/>
    <w:rsid w:val="00A8311B"/>
    <w:rsid w:val="00A84477"/>
    <w:rsid w:val="00A869D1"/>
    <w:rsid w:val="00A92E8F"/>
    <w:rsid w:val="00A936C7"/>
    <w:rsid w:val="00A97322"/>
    <w:rsid w:val="00AA1924"/>
    <w:rsid w:val="00AA3428"/>
    <w:rsid w:val="00AA4712"/>
    <w:rsid w:val="00AA520E"/>
    <w:rsid w:val="00AB5E0B"/>
    <w:rsid w:val="00AB7928"/>
    <w:rsid w:val="00AC7749"/>
    <w:rsid w:val="00AD45E5"/>
    <w:rsid w:val="00AD6DB6"/>
    <w:rsid w:val="00AD7143"/>
    <w:rsid w:val="00AD7D67"/>
    <w:rsid w:val="00AE29D5"/>
    <w:rsid w:val="00AE3232"/>
    <w:rsid w:val="00AE54E5"/>
    <w:rsid w:val="00AE7910"/>
    <w:rsid w:val="00AF0BB8"/>
    <w:rsid w:val="00AF2A00"/>
    <w:rsid w:val="00AF66E1"/>
    <w:rsid w:val="00AF69C8"/>
    <w:rsid w:val="00B0021D"/>
    <w:rsid w:val="00B01B9F"/>
    <w:rsid w:val="00B06020"/>
    <w:rsid w:val="00B060CE"/>
    <w:rsid w:val="00B06FE3"/>
    <w:rsid w:val="00B133D8"/>
    <w:rsid w:val="00B156A3"/>
    <w:rsid w:val="00B2005E"/>
    <w:rsid w:val="00B257D5"/>
    <w:rsid w:val="00B3037E"/>
    <w:rsid w:val="00B31BD7"/>
    <w:rsid w:val="00B42C67"/>
    <w:rsid w:val="00B4499D"/>
    <w:rsid w:val="00B47580"/>
    <w:rsid w:val="00B514EF"/>
    <w:rsid w:val="00B51DD2"/>
    <w:rsid w:val="00B534F0"/>
    <w:rsid w:val="00B53F77"/>
    <w:rsid w:val="00B54395"/>
    <w:rsid w:val="00B63273"/>
    <w:rsid w:val="00B63536"/>
    <w:rsid w:val="00B65A3C"/>
    <w:rsid w:val="00B7132D"/>
    <w:rsid w:val="00B72AF9"/>
    <w:rsid w:val="00B72C3B"/>
    <w:rsid w:val="00B74806"/>
    <w:rsid w:val="00B74D7C"/>
    <w:rsid w:val="00B911C3"/>
    <w:rsid w:val="00B91568"/>
    <w:rsid w:val="00B92B13"/>
    <w:rsid w:val="00B93A94"/>
    <w:rsid w:val="00B95A7E"/>
    <w:rsid w:val="00B96E2E"/>
    <w:rsid w:val="00B97786"/>
    <w:rsid w:val="00BA3045"/>
    <w:rsid w:val="00BA31BD"/>
    <w:rsid w:val="00BA3619"/>
    <w:rsid w:val="00BA3BF9"/>
    <w:rsid w:val="00BB259C"/>
    <w:rsid w:val="00BB5EE2"/>
    <w:rsid w:val="00BC1C43"/>
    <w:rsid w:val="00BC3B6D"/>
    <w:rsid w:val="00BC6BA5"/>
    <w:rsid w:val="00BD0DF7"/>
    <w:rsid w:val="00BE4981"/>
    <w:rsid w:val="00BE6CF3"/>
    <w:rsid w:val="00BF4BE7"/>
    <w:rsid w:val="00BF6561"/>
    <w:rsid w:val="00BF6BB0"/>
    <w:rsid w:val="00C022CE"/>
    <w:rsid w:val="00C11BBF"/>
    <w:rsid w:val="00C14061"/>
    <w:rsid w:val="00C15BDE"/>
    <w:rsid w:val="00C20849"/>
    <w:rsid w:val="00C2296D"/>
    <w:rsid w:val="00C23CBB"/>
    <w:rsid w:val="00C2412D"/>
    <w:rsid w:val="00C31F97"/>
    <w:rsid w:val="00C34296"/>
    <w:rsid w:val="00C37A0B"/>
    <w:rsid w:val="00C40178"/>
    <w:rsid w:val="00C4079B"/>
    <w:rsid w:val="00C45CDA"/>
    <w:rsid w:val="00C53DD1"/>
    <w:rsid w:val="00C55B48"/>
    <w:rsid w:val="00C60320"/>
    <w:rsid w:val="00C60B60"/>
    <w:rsid w:val="00C63C93"/>
    <w:rsid w:val="00C737AB"/>
    <w:rsid w:val="00C73F66"/>
    <w:rsid w:val="00C82D23"/>
    <w:rsid w:val="00C84F04"/>
    <w:rsid w:val="00C93B5A"/>
    <w:rsid w:val="00C957FB"/>
    <w:rsid w:val="00CA2879"/>
    <w:rsid w:val="00CA369C"/>
    <w:rsid w:val="00CA37E9"/>
    <w:rsid w:val="00CA4C4C"/>
    <w:rsid w:val="00CA5EA8"/>
    <w:rsid w:val="00CD0E53"/>
    <w:rsid w:val="00CD1B8C"/>
    <w:rsid w:val="00CE1B41"/>
    <w:rsid w:val="00CE49DF"/>
    <w:rsid w:val="00CE51FE"/>
    <w:rsid w:val="00CE7495"/>
    <w:rsid w:val="00CF3208"/>
    <w:rsid w:val="00CF33AC"/>
    <w:rsid w:val="00D039B8"/>
    <w:rsid w:val="00D04975"/>
    <w:rsid w:val="00D05D49"/>
    <w:rsid w:val="00D11DBF"/>
    <w:rsid w:val="00D147E9"/>
    <w:rsid w:val="00D201DE"/>
    <w:rsid w:val="00D2068F"/>
    <w:rsid w:val="00D216D8"/>
    <w:rsid w:val="00D247C1"/>
    <w:rsid w:val="00D26922"/>
    <w:rsid w:val="00D3113E"/>
    <w:rsid w:val="00D40845"/>
    <w:rsid w:val="00D40908"/>
    <w:rsid w:val="00D44F77"/>
    <w:rsid w:val="00D50F20"/>
    <w:rsid w:val="00D5126E"/>
    <w:rsid w:val="00D51484"/>
    <w:rsid w:val="00D60E7A"/>
    <w:rsid w:val="00D6258C"/>
    <w:rsid w:val="00D72D9B"/>
    <w:rsid w:val="00D74398"/>
    <w:rsid w:val="00D826C0"/>
    <w:rsid w:val="00D82DC6"/>
    <w:rsid w:val="00D8569F"/>
    <w:rsid w:val="00D862EA"/>
    <w:rsid w:val="00D933C1"/>
    <w:rsid w:val="00D9477D"/>
    <w:rsid w:val="00DA1671"/>
    <w:rsid w:val="00DA5B1C"/>
    <w:rsid w:val="00DA7D30"/>
    <w:rsid w:val="00DC59CE"/>
    <w:rsid w:val="00DC78E3"/>
    <w:rsid w:val="00DD4ED7"/>
    <w:rsid w:val="00DE3880"/>
    <w:rsid w:val="00DE4D4E"/>
    <w:rsid w:val="00DF06CE"/>
    <w:rsid w:val="00DF2682"/>
    <w:rsid w:val="00DF3139"/>
    <w:rsid w:val="00E02EA7"/>
    <w:rsid w:val="00E055A0"/>
    <w:rsid w:val="00E103C0"/>
    <w:rsid w:val="00E1156E"/>
    <w:rsid w:val="00E136F0"/>
    <w:rsid w:val="00E153B9"/>
    <w:rsid w:val="00E23C83"/>
    <w:rsid w:val="00E2539D"/>
    <w:rsid w:val="00E337FB"/>
    <w:rsid w:val="00E41FCC"/>
    <w:rsid w:val="00E4320B"/>
    <w:rsid w:val="00E52717"/>
    <w:rsid w:val="00E53126"/>
    <w:rsid w:val="00E56BF4"/>
    <w:rsid w:val="00E60793"/>
    <w:rsid w:val="00E62A65"/>
    <w:rsid w:val="00E6698C"/>
    <w:rsid w:val="00E671BD"/>
    <w:rsid w:val="00E702AF"/>
    <w:rsid w:val="00E70DC3"/>
    <w:rsid w:val="00E73BBB"/>
    <w:rsid w:val="00E858AB"/>
    <w:rsid w:val="00E87588"/>
    <w:rsid w:val="00E96052"/>
    <w:rsid w:val="00E96860"/>
    <w:rsid w:val="00EA19AE"/>
    <w:rsid w:val="00EA6544"/>
    <w:rsid w:val="00EC0ED5"/>
    <w:rsid w:val="00EC2F62"/>
    <w:rsid w:val="00EC5272"/>
    <w:rsid w:val="00EC5951"/>
    <w:rsid w:val="00EC5E83"/>
    <w:rsid w:val="00ED2991"/>
    <w:rsid w:val="00ED38F5"/>
    <w:rsid w:val="00ED5044"/>
    <w:rsid w:val="00EE0F06"/>
    <w:rsid w:val="00EE20A1"/>
    <w:rsid w:val="00EE3290"/>
    <w:rsid w:val="00EE59F7"/>
    <w:rsid w:val="00EF0C83"/>
    <w:rsid w:val="00EF5422"/>
    <w:rsid w:val="00F00F7C"/>
    <w:rsid w:val="00F0179A"/>
    <w:rsid w:val="00F02CB6"/>
    <w:rsid w:val="00F03E13"/>
    <w:rsid w:val="00F04F1A"/>
    <w:rsid w:val="00F050B5"/>
    <w:rsid w:val="00F1564E"/>
    <w:rsid w:val="00F15834"/>
    <w:rsid w:val="00F200D4"/>
    <w:rsid w:val="00F24E60"/>
    <w:rsid w:val="00F25756"/>
    <w:rsid w:val="00F26D8F"/>
    <w:rsid w:val="00F440F9"/>
    <w:rsid w:val="00F47249"/>
    <w:rsid w:val="00F56C2A"/>
    <w:rsid w:val="00F71592"/>
    <w:rsid w:val="00F72D42"/>
    <w:rsid w:val="00F74617"/>
    <w:rsid w:val="00F74F76"/>
    <w:rsid w:val="00F93E03"/>
    <w:rsid w:val="00F94D38"/>
    <w:rsid w:val="00F974AA"/>
    <w:rsid w:val="00FA7F8A"/>
    <w:rsid w:val="00FB42DC"/>
    <w:rsid w:val="00FC1DBC"/>
    <w:rsid w:val="00FC749C"/>
    <w:rsid w:val="00FD3D2D"/>
    <w:rsid w:val="00FD6889"/>
    <w:rsid w:val="00FE609D"/>
    <w:rsid w:val="00FE6793"/>
    <w:rsid w:val="00FF0B7A"/>
    <w:rsid w:val="00FF2A32"/>
    <w:rsid w:val="00FF678F"/>
    <w:rsid w:val="00FF73E5"/>
    <w:rsid w:val="059F6DC6"/>
    <w:rsid w:val="084750B1"/>
    <w:rsid w:val="0A692307"/>
    <w:rsid w:val="0AAC430C"/>
    <w:rsid w:val="0ABD278F"/>
    <w:rsid w:val="0E1F739B"/>
    <w:rsid w:val="0F0278D3"/>
    <w:rsid w:val="0F921B83"/>
    <w:rsid w:val="0FC515D3"/>
    <w:rsid w:val="11847063"/>
    <w:rsid w:val="134A6C68"/>
    <w:rsid w:val="14E14C31"/>
    <w:rsid w:val="15C21BB5"/>
    <w:rsid w:val="17C404D2"/>
    <w:rsid w:val="1A786365"/>
    <w:rsid w:val="1B983E26"/>
    <w:rsid w:val="1BE130CA"/>
    <w:rsid w:val="1BEB7FA9"/>
    <w:rsid w:val="1DAE0C42"/>
    <w:rsid w:val="20796562"/>
    <w:rsid w:val="211F4FF5"/>
    <w:rsid w:val="21413F1B"/>
    <w:rsid w:val="23A30F55"/>
    <w:rsid w:val="25611F8B"/>
    <w:rsid w:val="256839EE"/>
    <w:rsid w:val="28005076"/>
    <w:rsid w:val="2860503B"/>
    <w:rsid w:val="28C53AD7"/>
    <w:rsid w:val="2A6A38BF"/>
    <w:rsid w:val="2DBD2C1C"/>
    <w:rsid w:val="2F5650BA"/>
    <w:rsid w:val="30092A1B"/>
    <w:rsid w:val="30D53BBD"/>
    <w:rsid w:val="327319A0"/>
    <w:rsid w:val="33822207"/>
    <w:rsid w:val="349B27AF"/>
    <w:rsid w:val="354B68EB"/>
    <w:rsid w:val="35BF2E57"/>
    <w:rsid w:val="39E74759"/>
    <w:rsid w:val="3BA07719"/>
    <w:rsid w:val="3E183D74"/>
    <w:rsid w:val="3EB318AE"/>
    <w:rsid w:val="3F4A5777"/>
    <w:rsid w:val="40261FCB"/>
    <w:rsid w:val="40A8722E"/>
    <w:rsid w:val="41356506"/>
    <w:rsid w:val="424A4507"/>
    <w:rsid w:val="42C32575"/>
    <w:rsid w:val="47BC49E5"/>
    <w:rsid w:val="48366F6B"/>
    <w:rsid w:val="484653A1"/>
    <w:rsid w:val="48A824FB"/>
    <w:rsid w:val="4D777AD9"/>
    <w:rsid w:val="4DA8143A"/>
    <w:rsid w:val="4EA8070C"/>
    <w:rsid w:val="4EC96D56"/>
    <w:rsid w:val="51CB28EC"/>
    <w:rsid w:val="52A511A7"/>
    <w:rsid w:val="53167E49"/>
    <w:rsid w:val="53C0684F"/>
    <w:rsid w:val="54ED3993"/>
    <w:rsid w:val="55D43466"/>
    <w:rsid w:val="567174D5"/>
    <w:rsid w:val="59132844"/>
    <w:rsid w:val="639A466F"/>
    <w:rsid w:val="644967BD"/>
    <w:rsid w:val="66DE7F49"/>
    <w:rsid w:val="675E6510"/>
    <w:rsid w:val="67F95101"/>
    <w:rsid w:val="6A3677E9"/>
    <w:rsid w:val="6C6B517A"/>
    <w:rsid w:val="6F3F741C"/>
    <w:rsid w:val="721A4B11"/>
    <w:rsid w:val="75017FC7"/>
    <w:rsid w:val="75ED6AB9"/>
    <w:rsid w:val="78F024F2"/>
    <w:rsid w:val="7A7F7107"/>
    <w:rsid w:val="7A8C48BA"/>
    <w:rsid w:val="7B29184B"/>
    <w:rsid w:val="7B5D6D41"/>
    <w:rsid w:val="7CA9453E"/>
    <w:rsid w:val="7D443BD4"/>
    <w:rsid w:val="7D9E1FB2"/>
    <w:rsid w:val="7F993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1"/>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3"/>
    <w:autoRedefine/>
    <w:qFormat/>
    <w:uiPriority w:val="0"/>
    <w:pPr>
      <w:keepNext/>
      <w:keepLines/>
      <w:spacing w:before="280" w:after="290" w:line="376" w:lineRule="auto"/>
      <w:outlineLvl w:val="3"/>
    </w:pPr>
    <w:rPr>
      <w:rFonts w:ascii="Cambria" w:hAnsi="Cambria" w:cs="黑体"/>
      <w:b/>
      <w:bCs/>
      <w:sz w:val="28"/>
      <w:szCs w:val="28"/>
    </w:rPr>
  </w:style>
  <w:style w:type="paragraph" w:styleId="6">
    <w:name w:val="heading 6"/>
    <w:basedOn w:val="1"/>
    <w:next w:val="1"/>
    <w:link w:val="86"/>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87"/>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8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89"/>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autoRedefine/>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unhideWhenUsed/>
    <w:qFormat/>
    <w:uiPriority w:val="39"/>
    <w:pPr>
      <w:ind w:left="2520" w:leftChars="1200"/>
    </w:pPr>
    <w:rPr>
      <w:rFonts w:ascii="Calibri" w:hAnsi="Calibri"/>
      <w:szCs w:val="22"/>
    </w:rPr>
  </w:style>
  <w:style w:type="paragraph" w:styleId="11">
    <w:name w:val="Normal Indent"/>
    <w:basedOn w:val="1"/>
    <w:unhideWhenUsed/>
    <w:qFormat/>
    <w:uiPriority w:val="0"/>
    <w:pPr>
      <w:ind w:firstLine="420" w:firstLineChars="200"/>
    </w:pPr>
  </w:style>
  <w:style w:type="paragraph" w:styleId="12">
    <w:name w:val="caption"/>
    <w:basedOn w:val="1"/>
    <w:next w:val="1"/>
    <w:autoRedefine/>
    <w:qFormat/>
    <w:uiPriority w:val="35"/>
    <w:rPr>
      <w:rFonts w:ascii="Cambria" w:hAnsi="Cambria" w:eastAsia="黑体"/>
      <w:sz w:val="20"/>
      <w:szCs w:val="20"/>
    </w:rPr>
  </w:style>
  <w:style w:type="paragraph" w:styleId="13">
    <w:name w:val="Document Map"/>
    <w:basedOn w:val="1"/>
    <w:link w:val="80"/>
    <w:unhideWhenUsed/>
    <w:qFormat/>
    <w:uiPriority w:val="99"/>
    <w:rPr>
      <w:rFonts w:ascii="宋体" w:hAnsiTheme="minorHAnsi" w:eastAsiaTheme="minorEastAsia" w:cstheme="minorBidi"/>
      <w:sz w:val="18"/>
      <w:szCs w:val="18"/>
    </w:rPr>
  </w:style>
  <w:style w:type="paragraph" w:styleId="14">
    <w:name w:val="annotation text"/>
    <w:basedOn w:val="1"/>
    <w:link w:val="64"/>
    <w:unhideWhenUsed/>
    <w:qFormat/>
    <w:uiPriority w:val="0"/>
    <w:pPr>
      <w:jc w:val="left"/>
    </w:pPr>
  </w:style>
  <w:style w:type="paragraph" w:styleId="15">
    <w:name w:val="Body Text 3"/>
    <w:basedOn w:val="1"/>
    <w:link w:val="60"/>
    <w:unhideWhenUsed/>
    <w:qFormat/>
    <w:uiPriority w:val="0"/>
    <w:rPr>
      <w:rFonts w:ascii="宋体" w:hAnsiTheme="minorHAnsi" w:eastAsiaTheme="minorEastAsia" w:cstheme="minorBidi"/>
      <w:sz w:val="24"/>
      <w:szCs w:val="22"/>
    </w:rPr>
  </w:style>
  <w:style w:type="paragraph" w:styleId="16">
    <w:name w:val="Body Text"/>
    <w:basedOn w:val="1"/>
    <w:link w:val="70"/>
    <w:autoRedefine/>
    <w:unhideWhenUsed/>
    <w:qFormat/>
    <w:uiPriority w:val="0"/>
    <w:rPr>
      <w:sz w:val="28"/>
      <w:szCs w:val="20"/>
    </w:rPr>
  </w:style>
  <w:style w:type="paragraph" w:styleId="17">
    <w:name w:val="Body Text Indent"/>
    <w:basedOn w:val="1"/>
    <w:link w:val="67"/>
    <w:autoRedefine/>
    <w:unhideWhenUsed/>
    <w:qFormat/>
    <w:uiPriority w:val="0"/>
    <w:pPr>
      <w:ind w:firstLine="489" w:firstLineChars="178"/>
    </w:pPr>
    <w:rPr>
      <w:sz w:val="28"/>
      <w:szCs w:val="28"/>
    </w:rPr>
  </w:style>
  <w:style w:type="paragraph" w:styleId="18">
    <w:name w:val="toc 5"/>
    <w:basedOn w:val="1"/>
    <w:next w:val="1"/>
    <w:unhideWhenUsed/>
    <w:qFormat/>
    <w:uiPriority w:val="39"/>
    <w:pPr>
      <w:ind w:left="1680" w:leftChars="800"/>
    </w:pPr>
    <w:rPr>
      <w:rFonts w:ascii="Calibri" w:hAnsi="Calibri"/>
      <w:szCs w:val="22"/>
    </w:rPr>
  </w:style>
  <w:style w:type="paragraph" w:styleId="19">
    <w:name w:val="toc 3"/>
    <w:basedOn w:val="1"/>
    <w:next w:val="1"/>
    <w:unhideWhenUsed/>
    <w:qFormat/>
    <w:uiPriority w:val="39"/>
    <w:pPr>
      <w:ind w:left="840" w:leftChars="400"/>
    </w:pPr>
  </w:style>
  <w:style w:type="paragraph" w:styleId="20">
    <w:name w:val="Plain Text"/>
    <w:basedOn w:val="1"/>
    <w:link w:val="62"/>
    <w:unhideWhenUsed/>
    <w:qFormat/>
    <w:uiPriority w:val="0"/>
    <w:rPr>
      <w:rFonts w:ascii="Courier New" w:hAnsi="Courier New" w:eastAsiaTheme="minorEastAsia" w:cstheme="minorBidi"/>
      <w:szCs w:val="22"/>
    </w:rPr>
  </w:style>
  <w:style w:type="paragraph" w:styleId="21">
    <w:name w:val="toc 8"/>
    <w:basedOn w:val="1"/>
    <w:next w:val="1"/>
    <w:unhideWhenUsed/>
    <w:qFormat/>
    <w:uiPriority w:val="39"/>
    <w:pPr>
      <w:ind w:left="2940" w:leftChars="1400"/>
    </w:pPr>
    <w:rPr>
      <w:rFonts w:ascii="Calibri" w:hAnsi="Calibri"/>
      <w:szCs w:val="22"/>
    </w:rPr>
  </w:style>
  <w:style w:type="paragraph" w:styleId="22">
    <w:name w:val="Date"/>
    <w:basedOn w:val="1"/>
    <w:next w:val="1"/>
    <w:link w:val="79"/>
    <w:unhideWhenUsed/>
    <w:qFormat/>
    <w:uiPriority w:val="99"/>
    <w:pPr>
      <w:ind w:left="100" w:leftChars="2500"/>
    </w:pPr>
    <w:rPr>
      <w:rFonts w:asciiTheme="minorHAnsi" w:hAnsiTheme="minorHAnsi" w:eastAsiaTheme="minorEastAsia" w:cstheme="minorBidi"/>
    </w:rPr>
  </w:style>
  <w:style w:type="paragraph" w:styleId="23">
    <w:name w:val="Balloon Text"/>
    <w:basedOn w:val="1"/>
    <w:link w:val="63"/>
    <w:autoRedefine/>
    <w:unhideWhenUsed/>
    <w:qFormat/>
    <w:uiPriority w:val="99"/>
    <w:rPr>
      <w:rFonts w:asciiTheme="minorHAnsi" w:hAnsiTheme="minorHAnsi" w:eastAsiaTheme="minorEastAsia" w:cstheme="minorBidi"/>
      <w:sz w:val="18"/>
      <w:szCs w:val="18"/>
    </w:rPr>
  </w:style>
  <w:style w:type="paragraph" w:styleId="24">
    <w:name w:val="footer"/>
    <w:basedOn w:val="1"/>
    <w:link w:val="4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25">
    <w:name w:val="header"/>
    <w:basedOn w:val="1"/>
    <w:link w:val="48"/>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6">
    <w:name w:val="toc 1"/>
    <w:basedOn w:val="1"/>
    <w:next w:val="1"/>
    <w:unhideWhenUsed/>
    <w:qFormat/>
    <w:uiPriority w:val="39"/>
    <w:pPr>
      <w:spacing w:before="120" w:after="120"/>
      <w:jc w:val="left"/>
    </w:pPr>
    <w:rPr>
      <w:b/>
      <w:bCs/>
      <w:caps/>
      <w:sz w:val="20"/>
      <w:szCs w:val="20"/>
    </w:rPr>
  </w:style>
  <w:style w:type="paragraph" w:styleId="27">
    <w:name w:val="toc 4"/>
    <w:basedOn w:val="1"/>
    <w:next w:val="1"/>
    <w:unhideWhenUsed/>
    <w:qFormat/>
    <w:uiPriority w:val="39"/>
    <w:pPr>
      <w:ind w:left="1260" w:leftChars="600"/>
    </w:pPr>
    <w:rPr>
      <w:rFonts w:ascii="Calibri" w:hAnsi="Calibri"/>
      <w:szCs w:val="22"/>
    </w:rPr>
  </w:style>
  <w:style w:type="paragraph" w:styleId="28">
    <w:name w:val="footnote text"/>
    <w:basedOn w:val="1"/>
    <w:link w:val="106"/>
    <w:autoRedefine/>
    <w:qFormat/>
    <w:uiPriority w:val="0"/>
    <w:rPr>
      <w:sz w:val="20"/>
      <w:szCs w:val="20"/>
    </w:rPr>
  </w:style>
  <w:style w:type="paragraph" w:styleId="29">
    <w:name w:val="toc 6"/>
    <w:basedOn w:val="1"/>
    <w:next w:val="1"/>
    <w:autoRedefine/>
    <w:unhideWhenUsed/>
    <w:qFormat/>
    <w:uiPriority w:val="39"/>
    <w:pPr>
      <w:ind w:left="2100" w:leftChars="1000"/>
    </w:pPr>
    <w:rPr>
      <w:rFonts w:ascii="Calibri" w:hAnsi="Calibri"/>
      <w:szCs w:val="22"/>
    </w:rPr>
  </w:style>
  <w:style w:type="paragraph" w:styleId="30">
    <w:name w:val="Body Text Indent 3"/>
    <w:basedOn w:val="1"/>
    <w:link w:val="98"/>
    <w:qFormat/>
    <w:uiPriority w:val="0"/>
    <w:pPr>
      <w:spacing w:after="120"/>
      <w:ind w:left="420" w:leftChars="200"/>
    </w:pPr>
    <w:rPr>
      <w:sz w:val="16"/>
      <w:szCs w:val="16"/>
    </w:rPr>
  </w:style>
  <w:style w:type="paragraph" w:styleId="31">
    <w:name w:val="table of figures"/>
    <w:basedOn w:val="1"/>
    <w:next w:val="1"/>
    <w:qFormat/>
    <w:uiPriority w:val="0"/>
    <w:pPr>
      <w:ind w:left="200" w:leftChars="200" w:hanging="200" w:hangingChars="200"/>
    </w:pPr>
  </w:style>
  <w:style w:type="paragraph" w:styleId="32">
    <w:name w:val="toc 2"/>
    <w:basedOn w:val="1"/>
    <w:next w:val="1"/>
    <w:unhideWhenUsed/>
    <w:qFormat/>
    <w:uiPriority w:val="39"/>
    <w:pPr>
      <w:ind w:left="210"/>
      <w:jc w:val="left"/>
    </w:pPr>
    <w:rPr>
      <w:smallCaps/>
      <w:sz w:val="20"/>
      <w:szCs w:val="20"/>
    </w:rPr>
  </w:style>
  <w:style w:type="paragraph" w:styleId="33">
    <w:name w:val="toc 9"/>
    <w:basedOn w:val="1"/>
    <w:next w:val="1"/>
    <w:unhideWhenUsed/>
    <w:qFormat/>
    <w:uiPriority w:val="39"/>
    <w:pPr>
      <w:ind w:left="3360" w:leftChars="1600"/>
    </w:pPr>
    <w:rPr>
      <w:rFonts w:ascii="Calibri" w:hAnsi="Calibri"/>
      <w:szCs w:val="22"/>
    </w:rPr>
  </w:style>
  <w:style w:type="paragraph" w:styleId="34">
    <w:name w:val="Normal (Web)"/>
    <w:basedOn w:val="1"/>
    <w:qFormat/>
    <w:uiPriority w:val="0"/>
    <w:pPr>
      <w:widowControl/>
      <w:spacing w:before="100" w:beforeAutospacing="1" w:after="100" w:afterAutospacing="1"/>
      <w:jc w:val="left"/>
    </w:pPr>
    <w:rPr>
      <w:kern w:val="0"/>
      <w:sz w:val="24"/>
    </w:rPr>
  </w:style>
  <w:style w:type="paragraph" w:styleId="35">
    <w:name w:val="Title"/>
    <w:basedOn w:val="1"/>
    <w:next w:val="1"/>
    <w:link w:val="83"/>
    <w:autoRedefine/>
    <w:qFormat/>
    <w:uiPriority w:val="0"/>
    <w:pPr>
      <w:numPr>
        <w:ilvl w:val="1"/>
        <w:numId w:val="1"/>
      </w:numPr>
      <w:spacing w:before="240" w:after="60"/>
      <w:jc w:val="center"/>
      <w:outlineLvl w:val="0"/>
    </w:pPr>
    <w:rPr>
      <w:rFonts w:ascii="Cambria" w:hAnsi="Cambria"/>
      <w:b/>
      <w:bCs/>
      <w:sz w:val="32"/>
      <w:szCs w:val="32"/>
    </w:rPr>
  </w:style>
  <w:style w:type="paragraph" w:styleId="36">
    <w:name w:val="annotation subject"/>
    <w:basedOn w:val="14"/>
    <w:next w:val="14"/>
    <w:link w:val="61"/>
    <w:autoRedefine/>
    <w:unhideWhenUsed/>
    <w:qFormat/>
    <w:uiPriority w:val="99"/>
    <w:rPr>
      <w:rFonts w:asciiTheme="minorHAnsi" w:hAnsiTheme="minorHAnsi" w:eastAsiaTheme="minorEastAsia" w:cstheme="minorBidi"/>
      <w:b/>
      <w:bCs/>
    </w:rPr>
  </w:style>
  <w:style w:type="paragraph" w:styleId="37">
    <w:name w:val="Body Text First Indent"/>
    <w:basedOn w:val="16"/>
    <w:next w:val="38"/>
    <w:autoRedefine/>
    <w:qFormat/>
    <w:uiPriority w:val="0"/>
    <w:pPr>
      <w:spacing w:after="120"/>
      <w:ind w:firstLine="420" w:firstLineChars="100"/>
    </w:pPr>
    <w:rPr>
      <w:bCs/>
      <w:szCs w:val="21"/>
    </w:rPr>
  </w:style>
  <w:style w:type="paragraph" w:customStyle="1" w:styleId="38">
    <w:name w:val="样式 正文首行缩进 + 首行缩进:  1 字符"/>
    <w:basedOn w:val="1"/>
    <w:next w:val="1"/>
    <w:autoRedefine/>
    <w:qFormat/>
    <w:uiPriority w:val="0"/>
    <w:pPr>
      <w:ind w:firstLine="200" w:firstLineChars="200"/>
    </w:pPr>
    <w:rPr>
      <w:rFonts w:cs="宋体"/>
      <w:szCs w:val="20"/>
    </w:rPr>
  </w:style>
  <w:style w:type="table" w:styleId="40">
    <w:name w:val="Table Grid"/>
    <w:basedOn w:val="3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autoRedefine/>
    <w:qFormat/>
    <w:uiPriority w:val="22"/>
    <w:rPr>
      <w:b/>
      <w:bCs/>
    </w:rPr>
  </w:style>
  <w:style w:type="character" w:styleId="43">
    <w:name w:val="page number"/>
    <w:autoRedefine/>
    <w:unhideWhenUsed/>
    <w:qFormat/>
    <w:uiPriority w:val="0"/>
  </w:style>
  <w:style w:type="character" w:styleId="44">
    <w:name w:val="FollowedHyperlink"/>
    <w:autoRedefine/>
    <w:unhideWhenUsed/>
    <w:qFormat/>
    <w:uiPriority w:val="99"/>
    <w:rPr>
      <w:color w:val="800080"/>
      <w:u w:val="single"/>
    </w:rPr>
  </w:style>
  <w:style w:type="character" w:styleId="45">
    <w:name w:val="Hyperlink"/>
    <w:autoRedefine/>
    <w:unhideWhenUsed/>
    <w:qFormat/>
    <w:uiPriority w:val="99"/>
    <w:rPr>
      <w:color w:val="0000FF"/>
      <w:u w:val="single"/>
    </w:rPr>
  </w:style>
  <w:style w:type="character" w:styleId="46">
    <w:name w:val="annotation reference"/>
    <w:autoRedefine/>
    <w:unhideWhenUsed/>
    <w:qFormat/>
    <w:uiPriority w:val="0"/>
    <w:rPr>
      <w:sz w:val="21"/>
      <w:szCs w:val="21"/>
    </w:rPr>
  </w:style>
  <w:style w:type="character" w:styleId="47">
    <w:name w:val="footnote reference"/>
    <w:autoRedefine/>
    <w:qFormat/>
    <w:uiPriority w:val="0"/>
    <w:rPr>
      <w:vertAlign w:val="superscript"/>
    </w:rPr>
  </w:style>
  <w:style w:type="character" w:customStyle="1" w:styleId="48">
    <w:name w:val="页眉 Char"/>
    <w:basedOn w:val="41"/>
    <w:link w:val="25"/>
    <w:autoRedefine/>
    <w:qFormat/>
    <w:uiPriority w:val="0"/>
    <w:rPr>
      <w:sz w:val="18"/>
      <w:szCs w:val="18"/>
    </w:rPr>
  </w:style>
  <w:style w:type="character" w:customStyle="1" w:styleId="49">
    <w:name w:val="页脚 Char"/>
    <w:basedOn w:val="41"/>
    <w:link w:val="24"/>
    <w:autoRedefine/>
    <w:qFormat/>
    <w:uiPriority w:val="99"/>
    <w:rPr>
      <w:sz w:val="18"/>
      <w:szCs w:val="18"/>
    </w:rPr>
  </w:style>
  <w:style w:type="character" w:customStyle="1" w:styleId="50">
    <w:name w:val="标题 1 Char"/>
    <w:basedOn w:val="41"/>
    <w:link w:val="2"/>
    <w:autoRedefine/>
    <w:qFormat/>
    <w:uiPriority w:val="0"/>
    <w:rPr>
      <w:rFonts w:ascii="Times New Roman" w:hAnsi="Times New Roman" w:eastAsia="宋体" w:cs="Times New Roman"/>
      <w:b/>
      <w:bCs/>
      <w:kern w:val="44"/>
      <w:sz w:val="44"/>
      <w:szCs w:val="44"/>
    </w:rPr>
  </w:style>
  <w:style w:type="character" w:customStyle="1" w:styleId="51">
    <w:name w:val="标题 2 Char"/>
    <w:basedOn w:val="41"/>
    <w:link w:val="3"/>
    <w:autoRedefine/>
    <w:qFormat/>
    <w:uiPriority w:val="9"/>
    <w:rPr>
      <w:rFonts w:ascii="Arial" w:hAnsi="Arial" w:eastAsia="黑体" w:cs="Times New Roman"/>
      <w:b/>
      <w:bCs/>
      <w:sz w:val="32"/>
      <w:szCs w:val="32"/>
    </w:rPr>
  </w:style>
  <w:style w:type="character" w:customStyle="1" w:styleId="52">
    <w:name w:val="标题 3 Char"/>
    <w:basedOn w:val="41"/>
    <w:link w:val="4"/>
    <w:autoRedefine/>
    <w:qFormat/>
    <w:uiPriority w:val="0"/>
    <w:rPr>
      <w:rFonts w:ascii="Times New Roman" w:hAnsi="Times New Roman" w:eastAsia="宋体" w:cs="Times New Roman"/>
      <w:b/>
      <w:bCs/>
      <w:sz w:val="32"/>
      <w:szCs w:val="32"/>
    </w:rPr>
  </w:style>
  <w:style w:type="character" w:customStyle="1" w:styleId="53">
    <w:name w:val="标题 4 Char"/>
    <w:basedOn w:val="41"/>
    <w:link w:val="5"/>
    <w:autoRedefine/>
    <w:qFormat/>
    <w:uiPriority w:val="0"/>
    <w:rPr>
      <w:rFonts w:ascii="Cambria" w:hAnsi="Cambria" w:eastAsia="宋体" w:cs="黑体"/>
      <w:b/>
      <w:bCs/>
      <w:sz w:val="28"/>
      <w:szCs w:val="28"/>
    </w:rPr>
  </w:style>
  <w:style w:type="character" w:customStyle="1" w:styleId="54">
    <w:name w:val="标题 6 Char"/>
    <w:basedOn w:val="41"/>
    <w:autoRedefine/>
    <w:semiHidden/>
    <w:qFormat/>
    <w:uiPriority w:val="9"/>
    <w:rPr>
      <w:rFonts w:asciiTheme="majorHAnsi" w:hAnsiTheme="majorHAnsi" w:eastAsiaTheme="majorEastAsia" w:cstheme="majorBidi"/>
      <w:b/>
      <w:bCs/>
      <w:sz w:val="24"/>
      <w:szCs w:val="24"/>
    </w:rPr>
  </w:style>
  <w:style w:type="character" w:customStyle="1" w:styleId="55">
    <w:name w:val="标题 7 Char"/>
    <w:basedOn w:val="41"/>
    <w:autoRedefine/>
    <w:semiHidden/>
    <w:qFormat/>
    <w:uiPriority w:val="9"/>
    <w:rPr>
      <w:rFonts w:ascii="Times New Roman" w:hAnsi="Times New Roman" w:eastAsia="宋体" w:cs="Times New Roman"/>
      <w:b/>
      <w:bCs/>
      <w:sz w:val="24"/>
      <w:szCs w:val="24"/>
    </w:rPr>
  </w:style>
  <w:style w:type="character" w:customStyle="1" w:styleId="56">
    <w:name w:val="标题 8 Char"/>
    <w:basedOn w:val="41"/>
    <w:autoRedefine/>
    <w:semiHidden/>
    <w:qFormat/>
    <w:uiPriority w:val="9"/>
    <w:rPr>
      <w:rFonts w:asciiTheme="majorHAnsi" w:hAnsiTheme="majorHAnsi" w:eastAsiaTheme="majorEastAsia" w:cstheme="majorBidi"/>
      <w:sz w:val="24"/>
      <w:szCs w:val="24"/>
    </w:rPr>
  </w:style>
  <w:style w:type="character" w:customStyle="1" w:styleId="57">
    <w:name w:val="标题 9 Char"/>
    <w:basedOn w:val="41"/>
    <w:autoRedefine/>
    <w:semiHidden/>
    <w:qFormat/>
    <w:uiPriority w:val="9"/>
    <w:rPr>
      <w:rFonts w:asciiTheme="majorHAnsi" w:hAnsiTheme="majorHAnsi" w:eastAsiaTheme="majorEastAsia" w:cstheme="majorBidi"/>
      <w:szCs w:val="21"/>
    </w:rPr>
  </w:style>
  <w:style w:type="character" w:customStyle="1" w:styleId="58">
    <w:name w:val="批注文字 Char1"/>
    <w:autoRedefine/>
    <w:qFormat/>
    <w:uiPriority w:val="99"/>
    <w:rPr>
      <w:kern w:val="2"/>
      <w:sz w:val="21"/>
    </w:rPr>
  </w:style>
  <w:style w:type="character" w:customStyle="1" w:styleId="59">
    <w:name w:val="批注文字 Char"/>
    <w:autoRedefine/>
    <w:qFormat/>
    <w:uiPriority w:val="0"/>
    <w:rPr>
      <w:rFonts w:ascii="Times New Roman" w:hAnsi="Times New Roman"/>
      <w:kern w:val="2"/>
      <w:sz w:val="21"/>
    </w:rPr>
  </w:style>
  <w:style w:type="character" w:customStyle="1" w:styleId="60">
    <w:name w:val="正文文本 3 Char"/>
    <w:link w:val="15"/>
    <w:autoRedefine/>
    <w:qFormat/>
    <w:uiPriority w:val="0"/>
    <w:rPr>
      <w:rFonts w:ascii="宋体"/>
      <w:sz w:val="24"/>
    </w:rPr>
  </w:style>
  <w:style w:type="character" w:customStyle="1" w:styleId="61">
    <w:name w:val="批注主题 Char"/>
    <w:link w:val="36"/>
    <w:autoRedefine/>
    <w:qFormat/>
    <w:uiPriority w:val="99"/>
    <w:rPr>
      <w:b/>
      <w:bCs/>
      <w:szCs w:val="24"/>
    </w:rPr>
  </w:style>
  <w:style w:type="character" w:customStyle="1" w:styleId="62">
    <w:name w:val="纯文本 Char"/>
    <w:link w:val="20"/>
    <w:autoRedefine/>
    <w:qFormat/>
    <w:uiPriority w:val="0"/>
    <w:rPr>
      <w:rFonts w:ascii="Courier New" w:hAnsi="Courier New"/>
    </w:rPr>
  </w:style>
  <w:style w:type="character" w:customStyle="1" w:styleId="63">
    <w:name w:val="批注框文本 Char"/>
    <w:link w:val="23"/>
    <w:autoRedefine/>
    <w:qFormat/>
    <w:uiPriority w:val="99"/>
    <w:rPr>
      <w:sz w:val="18"/>
      <w:szCs w:val="18"/>
    </w:rPr>
  </w:style>
  <w:style w:type="character" w:customStyle="1" w:styleId="64">
    <w:name w:val="批注文字 Char2"/>
    <w:basedOn w:val="41"/>
    <w:link w:val="14"/>
    <w:autoRedefine/>
    <w:semiHidden/>
    <w:qFormat/>
    <w:uiPriority w:val="99"/>
    <w:rPr>
      <w:rFonts w:ascii="Times New Roman" w:hAnsi="Times New Roman" w:eastAsia="宋体" w:cs="Times New Roman"/>
      <w:szCs w:val="24"/>
    </w:rPr>
  </w:style>
  <w:style w:type="character" w:customStyle="1" w:styleId="65">
    <w:name w:val="批注主题 Char1"/>
    <w:basedOn w:val="64"/>
    <w:autoRedefine/>
    <w:semiHidden/>
    <w:qFormat/>
    <w:uiPriority w:val="99"/>
    <w:rPr>
      <w:rFonts w:ascii="Times New Roman" w:hAnsi="Times New Roman" w:eastAsia="宋体" w:cs="Times New Roman"/>
      <w:b/>
      <w:bCs/>
      <w:szCs w:val="24"/>
    </w:rPr>
  </w:style>
  <w:style w:type="character" w:customStyle="1" w:styleId="66">
    <w:name w:val="纯文本 Char1"/>
    <w:basedOn w:val="41"/>
    <w:autoRedefine/>
    <w:semiHidden/>
    <w:qFormat/>
    <w:uiPriority w:val="99"/>
    <w:rPr>
      <w:rFonts w:ascii="宋体" w:hAnsi="Courier New" w:eastAsia="宋体" w:cs="Courier New"/>
      <w:szCs w:val="21"/>
    </w:rPr>
  </w:style>
  <w:style w:type="character" w:customStyle="1" w:styleId="67">
    <w:name w:val="正文文本缩进 Char"/>
    <w:basedOn w:val="41"/>
    <w:link w:val="17"/>
    <w:autoRedefine/>
    <w:qFormat/>
    <w:uiPriority w:val="0"/>
    <w:rPr>
      <w:rFonts w:ascii="Times New Roman" w:hAnsi="Times New Roman" w:eastAsia="宋体" w:cs="Times New Roman"/>
      <w:sz w:val="28"/>
      <w:szCs w:val="28"/>
    </w:rPr>
  </w:style>
  <w:style w:type="character" w:customStyle="1" w:styleId="68">
    <w:name w:val="正文文本 3 Char1"/>
    <w:basedOn w:val="41"/>
    <w:autoRedefine/>
    <w:semiHidden/>
    <w:qFormat/>
    <w:uiPriority w:val="99"/>
    <w:rPr>
      <w:rFonts w:ascii="Times New Roman" w:hAnsi="Times New Roman" w:eastAsia="宋体" w:cs="Times New Roman"/>
      <w:sz w:val="16"/>
      <w:szCs w:val="16"/>
    </w:rPr>
  </w:style>
  <w:style w:type="character" w:customStyle="1" w:styleId="69">
    <w:name w:val="批注框文本 Char1"/>
    <w:basedOn w:val="41"/>
    <w:autoRedefine/>
    <w:semiHidden/>
    <w:qFormat/>
    <w:uiPriority w:val="99"/>
    <w:rPr>
      <w:rFonts w:ascii="Times New Roman" w:hAnsi="Times New Roman" w:eastAsia="宋体" w:cs="Times New Roman"/>
      <w:sz w:val="18"/>
      <w:szCs w:val="18"/>
    </w:rPr>
  </w:style>
  <w:style w:type="character" w:customStyle="1" w:styleId="70">
    <w:name w:val="正文文本 Char"/>
    <w:basedOn w:val="41"/>
    <w:link w:val="16"/>
    <w:autoRedefine/>
    <w:qFormat/>
    <w:uiPriority w:val="0"/>
    <w:rPr>
      <w:rFonts w:ascii="Times New Roman" w:hAnsi="Times New Roman" w:eastAsia="宋体" w:cs="Times New Roman"/>
      <w:sz w:val="28"/>
      <w:szCs w:val="20"/>
    </w:rPr>
  </w:style>
  <w:style w:type="paragraph" w:customStyle="1" w:styleId="71">
    <w:name w:val="列出段落1"/>
    <w:basedOn w:val="1"/>
    <w:autoRedefine/>
    <w:qFormat/>
    <w:uiPriority w:val="34"/>
    <w:pPr>
      <w:ind w:firstLine="420" w:firstLineChars="200"/>
    </w:pPr>
  </w:style>
  <w:style w:type="paragraph" w:customStyle="1" w:styleId="72">
    <w:name w:val="bt1bt1"/>
    <w:basedOn w:val="2"/>
    <w:autoRedefine/>
    <w:qFormat/>
    <w:uiPriority w:val="0"/>
    <w:pPr>
      <w:spacing w:line="240" w:lineRule="auto"/>
      <w:jc w:val="center"/>
    </w:pPr>
    <w:rPr>
      <w:rFonts w:ascii="黑体" w:eastAsia="黑体"/>
      <w:b w:val="0"/>
      <w:sz w:val="36"/>
      <w:szCs w:val="36"/>
    </w:rPr>
  </w:style>
  <w:style w:type="paragraph" w:customStyle="1" w:styleId="73">
    <w:name w:val="节"/>
    <w:basedOn w:val="3"/>
    <w:autoRedefine/>
    <w:qFormat/>
    <w:uiPriority w:val="0"/>
    <w:pPr>
      <w:numPr>
        <w:ilvl w:val="2"/>
        <w:numId w:val="1"/>
      </w:numPr>
      <w:tabs>
        <w:tab w:val="left" w:pos="360"/>
        <w:tab w:val="left" w:pos="576"/>
      </w:tabs>
      <w:spacing w:line="240" w:lineRule="auto"/>
      <w:ind w:left="840" w:hanging="420"/>
    </w:pPr>
    <w:rPr>
      <w:rFonts w:ascii="黑体"/>
      <w:b w:val="0"/>
      <w:sz w:val="28"/>
      <w:szCs w:val="28"/>
    </w:rPr>
  </w:style>
  <w:style w:type="paragraph" w:customStyle="1" w:styleId="74">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75">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7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77">
    <w:name w:val="样式1"/>
    <w:basedOn w:val="1"/>
    <w:autoRedefine/>
    <w:qFormat/>
    <w:uiPriority w:val="0"/>
    <w:rPr>
      <w:szCs w:val="21"/>
      <w:lang w:val="zh-CN"/>
    </w:rPr>
  </w:style>
  <w:style w:type="paragraph" w:customStyle="1" w:styleId="78">
    <w:name w:val="修订1"/>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79">
    <w:name w:val="日期 Char"/>
    <w:link w:val="22"/>
    <w:autoRedefine/>
    <w:qFormat/>
    <w:uiPriority w:val="99"/>
    <w:rPr>
      <w:szCs w:val="24"/>
    </w:rPr>
  </w:style>
  <w:style w:type="character" w:customStyle="1" w:styleId="80">
    <w:name w:val="文档结构图 Char"/>
    <w:link w:val="13"/>
    <w:autoRedefine/>
    <w:qFormat/>
    <w:uiPriority w:val="99"/>
    <w:rPr>
      <w:rFonts w:ascii="宋体"/>
      <w:sz w:val="18"/>
      <w:szCs w:val="18"/>
    </w:rPr>
  </w:style>
  <w:style w:type="character" w:customStyle="1" w:styleId="81">
    <w:name w:val="日期 Char1"/>
    <w:basedOn w:val="41"/>
    <w:autoRedefine/>
    <w:semiHidden/>
    <w:qFormat/>
    <w:uiPriority w:val="99"/>
    <w:rPr>
      <w:rFonts w:ascii="Times New Roman" w:hAnsi="Times New Roman" w:eastAsia="宋体" w:cs="Times New Roman"/>
      <w:szCs w:val="24"/>
    </w:rPr>
  </w:style>
  <w:style w:type="character" w:customStyle="1" w:styleId="82">
    <w:name w:val="文档结构图 Char1"/>
    <w:basedOn w:val="41"/>
    <w:autoRedefine/>
    <w:semiHidden/>
    <w:qFormat/>
    <w:uiPriority w:val="99"/>
    <w:rPr>
      <w:rFonts w:ascii="宋体" w:hAnsi="Times New Roman" w:eastAsia="宋体" w:cs="Times New Roman"/>
      <w:sz w:val="18"/>
      <w:szCs w:val="18"/>
    </w:rPr>
  </w:style>
  <w:style w:type="character" w:customStyle="1" w:styleId="83">
    <w:name w:val="标题 Char"/>
    <w:basedOn w:val="41"/>
    <w:link w:val="35"/>
    <w:autoRedefine/>
    <w:qFormat/>
    <w:uiPriority w:val="0"/>
    <w:rPr>
      <w:rFonts w:ascii="Cambria" w:hAnsi="Cambria" w:eastAsia="宋体" w:cs="Times New Roman"/>
      <w:b/>
      <w:bCs/>
      <w:sz w:val="32"/>
      <w:szCs w:val="32"/>
    </w:rPr>
  </w:style>
  <w:style w:type="character" w:customStyle="1" w:styleId="84">
    <w:name w:val="editmail"/>
    <w:autoRedefine/>
    <w:qFormat/>
    <w:uiPriority w:val="0"/>
  </w:style>
  <w:style w:type="character" w:customStyle="1" w:styleId="85">
    <w:name w:val="页脚 字符"/>
    <w:autoRedefine/>
    <w:qFormat/>
    <w:uiPriority w:val="99"/>
  </w:style>
  <w:style w:type="character" w:customStyle="1" w:styleId="86">
    <w:name w:val="标题 6 Char1"/>
    <w:link w:val="6"/>
    <w:autoRedefine/>
    <w:qFormat/>
    <w:uiPriority w:val="0"/>
    <w:rPr>
      <w:rFonts w:ascii="Arial" w:hAnsi="Arial" w:eastAsia="黑体" w:cs="Times New Roman"/>
      <w:b/>
      <w:bCs/>
      <w:kern w:val="0"/>
      <w:sz w:val="24"/>
      <w:szCs w:val="24"/>
    </w:rPr>
  </w:style>
  <w:style w:type="character" w:customStyle="1" w:styleId="87">
    <w:name w:val="标题 7 Char1"/>
    <w:link w:val="7"/>
    <w:autoRedefine/>
    <w:qFormat/>
    <w:uiPriority w:val="0"/>
    <w:rPr>
      <w:rFonts w:ascii="Times New Roman" w:hAnsi="Times New Roman" w:eastAsia="宋体" w:cs="Times New Roman"/>
      <w:b/>
      <w:bCs/>
      <w:kern w:val="0"/>
      <w:sz w:val="24"/>
      <w:szCs w:val="24"/>
    </w:rPr>
  </w:style>
  <w:style w:type="character" w:customStyle="1" w:styleId="88">
    <w:name w:val="标题 8 Char1"/>
    <w:link w:val="8"/>
    <w:autoRedefine/>
    <w:qFormat/>
    <w:uiPriority w:val="0"/>
    <w:rPr>
      <w:rFonts w:ascii="Arial" w:hAnsi="Arial" w:eastAsia="黑体" w:cs="Times New Roman"/>
      <w:kern w:val="0"/>
      <w:sz w:val="24"/>
      <w:szCs w:val="24"/>
    </w:rPr>
  </w:style>
  <w:style w:type="character" w:customStyle="1" w:styleId="89">
    <w:name w:val="标题 9 Char1"/>
    <w:link w:val="9"/>
    <w:autoRedefine/>
    <w:qFormat/>
    <w:uiPriority w:val="0"/>
    <w:rPr>
      <w:rFonts w:ascii="Arial" w:hAnsi="Arial" w:eastAsia="黑体" w:cs="Times New Roman"/>
      <w:kern w:val="0"/>
      <w:szCs w:val="21"/>
    </w:rPr>
  </w:style>
  <w:style w:type="character" w:customStyle="1" w:styleId="90">
    <w:name w:val="Char Char8"/>
    <w:autoRedefine/>
    <w:qFormat/>
    <w:uiPriority w:val="0"/>
    <w:rPr>
      <w:rFonts w:ascii="Arial" w:hAnsi="Arial" w:eastAsia="黑体"/>
      <w:b/>
      <w:bCs/>
      <w:kern w:val="2"/>
      <w:sz w:val="32"/>
      <w:szCs w:val="32"/>
      <w:lang w:val="en-US" w:eastAsia="zh-CN" w:bidi="ar-SA"/>
    </w:rPr>
  </w:style>
  <w:style w:type="character" w:customStyle="1" w:styleId="91">
    <w:name w:val="Char Char"/>
    <w:autoRedefine/>
    <w:qFormat/>
    <w:uiPriority w:val="0"/>
    <w:rPr>
      <w:rFonts w:ascii="Arial" w:hAnsi="Arial" w:eastAsia="黑体"/>
      <w:b/>
      <w:bCs/>
      <w:kern w:val="2"/>
      <w:sz w:val="32"/>
      <w:szCs w:val="32"/>
      <w:lang w:val="en-US" w:eastAsia="zh-CN" w:bidi="ar-SA"/>
    </w:rPr>
  </w:style>
  <w:style w:type="character" w:customStyle="1" w:styleId="92">
    <w:name w:val="font161"/>
    <w:autoRedefine/>
    <w:qFormat/>
    <w:uiPriority w:val="0"/>
    <w:rPr>
      <w:b/>
      <w:bCs/>
      <w:sz w:val="32"/>
      <w:szCs w:val="32"/>
    </w:rPr>
  </w:style>
  <w:style w:type="character" w:customStyle="1" w:styleId="93">
    <w:name w:val="Char Char2"/>
    <w:autoRedefine/>
    <w:qFormat/>
    <w:uiPriority w:val="0"/>
    <w:rPr>
      <w:rFonts w:eastAsia="宋体"/>
      <w:kern w:val="2"/>
      <w:sz w:val="21"/>
      <w:szCs w:val="24"/>
      <w:lang w:val="en-US" w:eastAsia="zh-CN" w:bidi="ar-SA"/>
    </w:rPr>
  </w:style>
  <w:style w:type="character" w:customStyle="1" w:styleId="94">
    <w:name w:val="Char Char7"/>
    <w:autoRedefine/>
    <w:qFormat/>
    <w:uiPriority w:val="0"/>
    <w:rPr>
      <w:rFonts w:ascii="Arial" w:hAnsi="Arial" w:eastAsia="黑体"/>
      <w:b/>
      <w:bCs/>
      <w:kern w:val="2"/>
      <w:sz w:val="32"/>
      <w:szCs w:val="32"/>
      <w:lang w:val="en-US" w:eastAsia="zh-CN" w:bidi="ar-SA"/>
    </w:rPr>
  </w:style>
  <w:style w:type="paragraph" w:customStyle="1" w:styleId="95">
    <w:name w:val="样式4"/>
    <w:basedOn w:val="4"/>
    <w:autoRedefine/>
    <w:qFormat/>
    <w:uiPriority w:val="0"/>
    <w:pPr>
      <w:spacing w:line="415" w:lineRule="auto"/>
    </w:pPr>
    <w:rPr>
      <w:rFonts w:eastAsia="Arial"/>
      <w:lang w:val="zh-CN"/>
    </w:rPr>
  </w:style>
  <w:style w:type="paragraph" w:customStyle="1" w:styleId="96">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97">
    <w:name w:val="正文文本缩进 3 Char"/>
    <w:basedOn w:val="41"/>
    <w:autoRedefine/>
    <w:semiHidden/>
    <w:qFormat/>
    <w:uiPriority w:val="99"/>
    <w:rPr>
      <w:rFonts w:ascii="Times New Roman" w:hAnsi="Times New Roman" w:eastAsia="宋体" w:cs="Times New Roman"/>
      <w:sz w:val="16"/>
      <w:szCs w:val="16"/>
    </w:rPr>
  </w:style>
  <w:style w:type="character" w:customStyle="1" w:styleId="98">
    <w:name w:val="正文文本缩进 3 Char1"/>
    <w:link w:val="30"/>
    <w:autoRedefine/>
    <w:qFormat/>
    <w:uiPriority w:val="0"/>
    <w:rPr>
      <w:rFonts w:ascii="Times New Roman" w:hAnsi="Times New Roman" w:eastAsia="宋体" w:cs="Times New Roman"/>
      <w:sz w:val="16"/>
      <w:szCs w:val="16"/>
    </w:rPr>
  </w:style>
  <w:style w:type="paragraph" w:customStyle="1" w:styleId="99">
    <w:name w:val="1"/>
    <w:basedOn w:val="1"/>
    <w:next w:val="1"/>
    <w:autoRedefine/>
    <w:qFormat/>
    <w:uiPriority w:val="0"/>
  </w:style>
  <w:style w:type="paragraph" w:customStyle="1" w:styleId="100">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01">
    <w:name w:val="样式2"/>
    <w:basedOn w:val="4"/>
    <w:autoRedefine/>
    <w:qFormat/>
    <w:uiPriority w:val="0"/>
    <w:pPr>
      <w:spacing w:line="415" w:lineRule="auto"/>
    </w:pPr>
    <w:rPr>
      <w:lang w:val="zh-CN"/>
    </w:rPr>
  </w:style>
  <w:style w:type="paragraph" w:customStyle="1" w:styleId="102">
    <w:name w:val="表格"/>
    <w:basedOn w:val="1"/>
    <w:autoRedefine/>
    <w:qFormat/>
    <w:uiPriority w:val="0"/>
    <w:pPr>
      <w:jc w:val="center"/>
      <w:textAlignment w:val="center"/>
    </w:pPr>
    <w:rPr>
      <w:rFonts w:ascii="华文细黑" w:hAnsi="华文细黑"/>
      <w:kern w:val="0"/>
      <w:szCs w:val="20"/>
    </w:rPr>
  </w:style>
  <w:style w:type="paragraph" w:customStyle="1" w:styleId="103">
    <w:name w:val="样式3"/>
    <w:basedOn w:val="4"/>
    <w:qFormat/>
    <w:uiPriority w:val="0"/>
    <w:pPr>
      <w:spacing w:line="415" w:lineRule="auto"/>
    </w:pPr>
    <w:rPr>
      <w:rFonts w:eastAsia="Arial"/>
      <w:lang w:val="zh-CN"/>
    </w:rPr>
  </w:style>
  <w:style w:type="paragraph" w:customStyle="1" w:styleId="104">
    <w:name w:val="Char"/>
    <w:basedOn w:val="1"/>
    <w:autoRedefine/>
    <w:qFormat/>
    <w:uiPriority w:val="0"/>
    <w:pPr>
      <w:tabs>
        <w:tab w:val="left" w:pos="360"/>
      </w:tabs>
    </w:pPr>
    <w:rPr>
      <w:sz w:val="24"/>
    </w:rPr>
  </w:style>
  <w:style w:type="character" w:customStyle="1" w:styleId="105">
    <w:name w:val="脚注文本 Char"/>
    <w:basedOn w:val="41"/>
    <w:autoRedefine/>
    <w:semiHidden/>
    <w:qFormat/>
    <w:uiPriority w:val="99"/>
    <w:rPr>
      <w:rFonts w:ascii="Times New Roman" w:hAnsi="Times New Roman" w:eastAsia="宋体" w:cs="Times New Roman"/>
      <w:sz w:val="18"/>
      <w:szCs w:val="18"/>
    </w:rPr>
  </w:style>
  <w:style w:type="character" w:customStyle="1" w:styleId="106">
    <w:name w:val="脚注文本 Char1"/>
    <w:link w:val="28"/>
    <w:autoRedefine/>
    <w:qFormat/>
    <w:uiPriority w:val="0"/>
    <w:rPr>
      <w:rFonts w:ascii="Times New Roman" w:hAnsi="Times New Roman" w:eastAsia="宋体" w:cs="Times New Roman"/>
      <w:sz w:val="20"/>
      <w:szCs w:val="20"/>
    </w:rPr>
  </w:style>
  <w:style w:type="paragraph" w:customStyle="1" w:styleId="107">
    <w:name w:val="表格文字"/>
    <w:basedOn w:val="1"/>
    <w:autoRedefine/>
    <w:qFormat/>
    <w:uiPriority w:val="0"/>
    <w:pPr>
      <w:adjustRightInd w:val="0"/>
      <w:spacing w:line="420" w:lineRule="atLeast"/>
      <w:jc w:val="left"/>
      <w:textAlignment w:val="baseline"/>
    </w:pPr>
    <w:rPr>
      <w:kern w:val="0"/>
      <w:szCs w:val="20"/>
    </w:rPr>
  </w:style>
  <w:style w:type="paragraph" w:styleId="108">
    <w:name w:val="List Paragraph"/>
    <w:basedOn w:val="1"/>
    <w:link w:val="135"/>
    <w:autoRedefine/>
    <w:qFormat/>
    <w:uiPriority w:val="34"/>
    <w:pPr>
      <w:ind w:firstLine="420" w:firstLineChars="200"/>
    </w:pPr>
  </w:style>
  <w:style w:type="paragraph" w:customStyle="1" w:styleId="109">
    <w:name w:val="2 Char Char Char Char Char Char Char Char Char Char Char Char Char"/>
    <w:basedOn w:val="13"/>
    <w:qFormat/>
    <w:uiPriority w:val="0"/>
    <w:pPr>
      <w:shd w:val="clear" w:color="auto" w:fill="000080"/>
    </w:pPr>
    <w:rPr>
      <w:rFonts w:ascii="Tahoma" w:hAnsi="Tahoma"/>
      <w:sz w:val="24"/>
      <w:szCs w:val="24"/>
    </w:rPr>
  </w:style>
  <w:style w:type="paragraph" w:customStyle="1" w:styleId="1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1">
    <w:name w:val="正文缩进2格 Char"/>
    <w:link w:val="112"/>
    <w:qFormat/>
    <w:uiPriority w:val="0"/>
    <w:rPr>
      <w:rFonts w:ascii="仿宋_GB2312" w:hAnsi="宋体" w:eastAsia="仿宋_GB2312"/>
      <w:sz w:val="31"/>
    </w:rPr>
  </w:style>
  <w:style w:type="paragraph" w:customStyle="1" w:styleId="112">
    <w:name w:val="正文缩进2格"/>
    <w:basedOn w:val="1"/>
    <w:next w:val="1"/>
    <w:link w:val="111"/>
    <w:autoRedefine/>
    <w:qFormat/>
    <w:uiPriority w:val="0"/>
    <w:pPr>
      <w:widowControl/>
      <w:spacing w:line="600" w:lineRule="exact"/>
      <w:ind w:firstLine="639" w:firstLineChars="206"/>
      <w:jc w:val="left"/>
    </w:pPr>
    <w:rPr>
      <w:rFonts w:ascii="仿宋_GB2312" w:hAnsi="宋体" w:eastAsia="仿宋_GB2312"/>
      <w:kern w:val="0"/>
      <w:sz w:val="31"/>
      <w:szCs w:val="20"/>
    </w:rPr>
  </w:style>
  <w:style w:type="paragraph" w:customStyle="1" w:styleId="11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14">
    <w:name w:val="font5"/>
    <w:basedOn w:val="1"/>
    <w:autoRedefine/>
    <w:qFormat/>
    <w:uiPriority w:val="0"/>
    <w:pPr>
      <w:widowControl/>
      <w:spacing w:before="100" w:beforeAutospacing="1" w:after="100" w:afterAutospacing="1"/>
      <w:jc w:val="left"/>
    </w:pPr>
    <w:rPr>
      <w:rFonts w:ascii="??" w:hAnsi="??" w:cs="宋体"/>
      <w:kern w:val="0"/>
      <w:sz w:val="18"/>
      <w:szCs w:val="18"/>
    </w:rPr>
  </w:style>
  <w:style w:type="paragraph" w:customStyle="1" w:styleId="115">
    <w:name w:val="xl66"/>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1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118">
    <w:name w:val="xl6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119">
    <w:name w:val="xl70"/>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1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121">
    <w:name w:val="xl72"/>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122">
    <w:name w:val="xl73"/>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123">
    <w:name w:val="xl74"/>
    <w:basedOn w:val="1"/>
    <w:qFormat/>
    <w:uiPriority w:val="0"/>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124">
    <w:name w:val="xl75"/>
    <w:basedOn w:val="1"/>
    <w:qFormat/>
    <w:uiPriority w:val="0"/>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125">
    <w:name w:val="xl76"/>
    <w:basedOn w:val="1"/>
    <w:qFormat/>
    <w:uiPriority w:val="0"/>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126">
    <w:name w:val="xl77"/>
    <w:basedOn w:val="1"/>
    <w:qFormat/>
    <w:uiPriority w:val="0"/>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127">
    <w:name w:val="xl78"/>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28">
    <w:name w:val="xl79"/>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29">
    <w:name w:val="xl8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30">
    <w:name w:val="xl81"/>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31">
    <w:name w:val="xl82"/>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32">
    <w:name w:val="xl83"/>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33">
    <w:name w:val="xl84"/>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character" w:customStyle="1" w:styleId="134">
    <w:name w:val="font11"/>
    <w:autoRedefine/>
    <w:qFormat/>
    <w:uiPriority w:val="0"/>
    <w:rPr>
      <w:rFonts w:hint="eastAsia" w:ascii="新宋体" w:hAnsi="新宋体" w:eastAsia="新宋体" w:cs="新宋体"/>
      <w:color w:val="000000"/>
      <w:sz w:val="24"/>
      <w:szCs w:val="24"/>
      <w:u w:val="none"/>
    </w:rPr>
  </w:style>
  <w:style w:type="character" w:customStyle="1" w:styleId="135">
    <w:name w:val="列出段落 Char"/>
    <w:link w:val="108"/>
    <w:autoRedefine/>
    <w:qFormat/>
    <w:uiPriority w:val="34"/>
    <w:rPr>
      <w:kern w:val="2"/>
      <w:sz w:val="21"/>
      <w:szCs w:val="24"/>
    </w:rPr>
  </w:style>
  <w:style w:type="paragraph" w:customStyle="1" w:styleId="136">
    <w:name w:val="首行缩进"/>
    <w:basedOn w:val="1"/>
    <w:autoRedefine/>
    <w:qFormat/>
    <w:uiPriority w:val="0"/>
    <w:pPr>
      <w:adjustRightInd/>
      <w:spacing w:line="300" w:lineRule="auto"/>
      <w:ind w:firstLine="420" w:firstLineChars="200"/>
      <w:jc w:val="both"/>
    </w:pPr>
    <w:rPr>
      <w:rFonts w:ascii="Calibri" w:hAnsi="Calibri" w:eastAsia="方正书宋简体" w:cs="Times New Roman"/>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AA5B4-4C68-4C8C-875E-1EB8046A71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27336</Words>
  <Characters>29018</Characters>
  <Lines>283</Lines>
  <Paragraphs>79</Paragraphs>
  <TotalTime>3</TotalTime>
  <ScaleCrop>false</ScaleCrop>
  <LinksUpToDate>false</LinksUpToDate>
  <CharactersWithSpaces>31012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2021-06-06T09:26:00Z</dcterms:created>
  <dc:creator>dgsy</dc:creator>
  <cp:lastModifiedBy>Windowns</cp:lastModifiedBy>
  <dcterms:modified xsi:type="dcterms:W3CDTF">2024-06-05T08:58:54Z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4C402D25D8824F67AC85282CB671F1EA_13</vt:lpwstr>
  </property>
</Properties>
</file>