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8"/>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a:srcRect l="6233" t="18358" r="67326" b="19339"/>
                    <a:stretch>
                      <a:fillRect/>
                    </a:stretch>
                  </pic:blipFill>
                  <pic:spPr>
                    <a:xfrm>
                      <a:off x="0" y="0"/>
                      <a:ext cx="2129790" cy="2035175"/>
                    </a:xfrm>
                    <a:prstGeom prst="rect">
                      <a:avLst/>
                    </a:prstGeom>
                  </pic:spPr>
                </pic:pic>
              </a:graphicData>
            </a:graphic>
          </wp:inline>
        </w:drawing>
      </w:r>
    </w:p>
    <w:p>
      <w:pPr>
        <w:pStyle w:val="23"/>
        <w:ind w:firstLine="240"/>
        <w:rPr>
          <w:rFonts w:ascii="黑体" w:eastAsia="黑体"/>
          <w:color w:val="auto"/>
          <w:szCs w:val="21"/>
          <w:highlight w:val="none"/>
        </w:rPr>
      </w:pPr>
    </w:p>
    <w:p>
      <w:pPr>
        <w:pStyle w:val="23"/>
        <w:ind w:left="0" w:firstLine="0" w:firstLineChars="0"/>
        <w:rPr>
          <w:rFonts w:ascii="黑体" w:eastAsia="黑体"/>
          <w:color w:val="auto"/>
          <w:szCs w:val="21"/>
          <w:highlight w:val="none"/>
        </w:rPr>
      </w:pPr>
    </w:p>
    <w:tbl>
      <w:tblPr>
        <w:tblStyle w:val="25"/>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GDZT2024135C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东莞市横沥镇社区卫生服务中心饭堂服务项目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东莞市横沥镇社区卫生服务中心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1"/>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1"/>
        <w:ind w:left="0" w:leftChars="0"/>
        <w:rPr>
          <w:color w:val="auto"/>
          <w:sz w:val="40"/>
          <w:szCs w:val="40"/>
          <w:highlight w:val="none"/>
        </w:rPr>
      </w:pPr>
      <w:r>
        <w:rPr>
          <w:rFonts w:hint="eastAsia"/>
          <w:color w:val="auto"/>
          <w:sz w:val="40"/>
          <w:szCs w:val="40"/>
          <w:highlight w:val="none"/>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a:stretch>
                      <a:fillRect/>
                    </a:stretch>
                  </pic:blipFill>
                  <pic:spPr>
                    <a:xfrm>
                      <a:off x="0" y="0"/>
                      <a:ext cx="5266690" cy="2583180"/>
                    </a:xfrm>
                    <a:prstGeom prst="rect">
                      <a:avLst/>
                    </a:prstGeom>
                  </pic:spPr>
                </pic:pic>
              </a:graphicData>
            </a:graphic>
          </wp:inline>
        </w:drawing>
      </w:r>
    </w:p>
    <w:p>
      <w:pPr>
        <w:pStyle w:val="21"/>
        <w:ind w:left="0" w:leftChars="0"/>
        <w:rPr>
          <w:color w:val="auto"/>
          <w:sz w:val="40"/>
          <w:szCs w:val="40"/>
          <w:highlight w:val="none"/>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pPr>
        <w:pStyle w:val="21"/>
        <w:ind w:left="0" w:leftChars="0"/>
        <w:rPr>
          <w:color w:val="auto"/>
          <w:sz w:val="40"/>
          <w:szCs w:val="40"/>
          <w:highlight w:val="none"/>
        </w:rPr>
      </w:pPr>
      <w:r>
        <w:rPr>
          <w:rFonts w:hint="eastAsia"/>
          <w:color w:val="auto"/>
          <w:sz w:val="40"/>
          <w:szCs w:val="40"/>
          <w:highlight w:val="none"/>
        </w:rPr>
        <w:t>目录</w:t>
      </w:r>
    </w:p>
    <w:p>
      <w:pPr>
        <w:pStyle w:val="21"/>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"_Toc16710" </w:instrText>
      </w:r>
      <w:r>
        <w:rPr>
          <w:color w:val="auto"/>
          <w:highlight w:val="none"/>
        </w:rPr>
        <w:fldChar w:fldCharType="separate"/>
      </w:r>
      <w:r>
        <w:rPr>
          <w:rFonts w:hint="eastAsia" w:ascii="宋体" w:hAnsi="宋体" w:cs="宋体"/>
          <w:color w:val="auto"/>
          <w:highlight w:val="none"/>
        </w:rPr>
        <w:t>七、投标保证金汇入情况说明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_Toc16710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"_Toc26855" </w:instrText>
      </w:r>
      <w:r>
        <w:rPr>
          <w:color w:val="auto"/>
          <w:highlight w:val="none"/>
        </w:rPr>
        <w:fldChar w:fldCharType="separate"/>
      </w:r>
      <w:r>
        <w:rPr>
          <w:rFonts w:hint="eastAsia" w:ascii="宋体" w:hAnsi="宋体" w:cs="宋体"/>
          <w:color w:val="auto"/>
          <w:highlight w:val="none"/>
        </w:rPr>
        <w:t>八、政府采购投标担保函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_Toc26855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九、政府采购履约担保函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81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82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4"/>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5"/>
        <w:jc w:val="center"/>
        <w:rPr>
          <w:rFonts w:ascii="宋体" w:hAnsi="宋体" w:cs="宋体"/>
          <w:color w:val="auto"/>
          <w:highlight w:val="none"/>
        </w:rPr>
      </w:pPr>
      <w:bookmarkStart w:id="2" w:name="_Toc7123"/>
      <w:bookmarkStart w:id="3" w:name="_Toc1420"/>
      <w:bookmarkStart w:id="4" w:name="_Toc8850"/>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rPr>
        <w:t>东莞市横沥镇社区卫生服务中心</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东莞市横沥镇社区卫生服务中心饭堂服务项目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GDZT2024135C</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bookmarkStart w:id="389" w:name="_GoBack"/>
      <w:r>
        <w:rPr>
          <w:rFonts w:hint="eastAsia" w:ascii="宋体" w:hAnsi="宋体" w:cs="宋体"/>
          <w:color w:val="auto"/>
          <w:szCs w:val="21"/>
          <w:highlight w:val="none"/>
          <w:lang w:eastAsia="zh-CN"/>
        </w:rPr>
        <w:t>东莞市横沥镇社区卫生服务中心饭堂服务项目</w:t>
      </w:r>
      <w:bookmarkEnd w:id="389"/>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4"/>
        <w:tblW w:w="44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769"/>
        <w:gridCol w:w="650"/>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214"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438"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04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03"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3214" w:type="pc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东莞市横沥镇社区卫生服务中心饭堂服务项目</w:t>
            </w:r>
          </w:p>
        </w:tc>
        <w:tc>
          <w:tcPr>
            <w:tcW w:w="438"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1043"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b/>
                <w:bCs/>
                <w:color w:val="auto"/>
                <w:szCs w:val="21"/>
                <w:highlight w:val="none"/>
                <w:u w:val="single"/>
                <w:lang w:val="en-US" w:eastAsia="zh-CN"/>
              </w:rPr>
              <w:t>720,000.00</w:t>
            </w:r>
            <w:r>
              <w:rPr>
                <w:rFonts w:hint="eastAsia" w:ascii="宋体" w:hAnsi="宋体"/>
                <w:color w:val="auto"/>
                <w:szCs w:val="21"/>
                <w:highlight w:val="none"/>
              </w:rPr>
              <w:t>元</w:t>
            </w:r>
          </w:p>
        </w:tc>
      </w:tr>
    </w:tbl>
    <w:p>
      <w:pPr>
        <w:pStyle w:val="8"/>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)“记录失信被执行人或税收违法黑名单或政府采购严重违法失信行为”记录名单；不处于中国政府采购网(www.ccgp.gov.cn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1" w:firstLineChars="196"/>
        <w:rPr>
          <w:rFonts w:ascii="宋体" w:hAnsi="宋体"/>
          <w:color w:val="auto"/>
          <w:szCs w:val="21"/>
          <w:highlight w:val="none"/>
        </w:rPr>
      </w:pPr>
      <w:r>
        <w:rPr>
          <w:rFonts w:hint="eastAsia" w:ascii="宋体" w:hAnsi="宋体"/>
          <w:color w:val="auto"/>
          <w:szCs w:val="21"/>
          <w:highlight w:val="none"/>
        </w:rPr>
        <w:t>2、特殊要求：</w:t>
      </w:r>
    </w:p>
    <w:p>
      <w:pPr>
        <w:ind w:firstLine="411" w:firstLineChars="196"/>
        <w:rPr>
          <w:rFonts w:ascii="宋体" w:hAnsi="宋体" w:cs="宋体"/>
          <w:color w:val="auto"/>
          <w:highlight w:val="none"/>
        </w:rPr>
      </w:pPr>
      <w:r>
        <w:rPr>
          <w:rFonts w:hint="eastAsia" w:ascii="宋体" w:hAnsi="宋体" w:cs="宋体"/>
          <w:color w:val="auto"/>
          <w:highlight w:val="none"/>
        </w:rPr>
        <w:t>本项目整体专门面向中小企业采购。投标人须符合本项目采购标的对应行业（本项目行业为：餐饮业）的政策划分标准。监狱企业、残疾人福利单位视同小型、微型企业。（注：中小企业以供应商填写的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p>
    <w:p>
      <w:pPr>
        <w:pStyle w:val="8"/>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5</w:t>
      </w:r>
      <w:r>
        <w:rPr>
          <w:rFonts w:hint="eastAsia" w:ascii="宋体" w:hAnsi="宋体"/>
          <w:color w:val="auto"/>
          <w:szCs w:val="21"/>
          <w:highlight w:val="none"/>
        </w:rPr>
        <w:t>月</w:t>
      </w:r>
      <w:r>
        <w:rPr>
          <w:rFonts w:hint="eastAsia" w:ascii="宋体" w:hAnsi="宋体"/>
          <w:color w:val="auto"/>
          <w:szCs w:val="21"/>
          <w:highlight w:val="none"/>
          <w:lang w:val="en-US" w:eastAsia="zh-CN"/>
        </w:rPr>
        <w:t>31</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7</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5</w:t>
      </w:r>
      <w:r>
        <w:rPr>
          <w:rFonts w:hint="eastAsia" w:ascii="宋体" w:hAnsi="宋体"/>
          <w:color w:val="auto"/>
          <w:szCs w:val="21"/>
          <w:highlight w:val="none"/>
        </w:rPr>
        <w:t>月</w:t>
      </w:r>
      <w:r>
        <w:rPr>
          <w:rFonts w:hint="eastAsia" w:ascii="宋体" w:hAnsi="宋体"/>
          <w:color w:val="auto"/>
          <w:szCs w:val="21"/>
          <w:highlight w:val="none"/>
          <w:lang w:val="en-US" w:eastAsia="zh-CN"/>
        </w:rPr>
        <w:t>31</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7</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注：（1）投标人可自行打印招标文件最后1页中的“获取招标文件登记表”进行填写并带到现场进行领购，并现场领取发票。（招标文件领购价：人民币300元整）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（2）现场支持现金支付、微信支付、支付宝支付等支付方式，请将相应表格交予我司简小姐。</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联系人：简海欣</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四、其他事项</w:t>
      </w:r>
    </w:p>
    <w:p>
      <w:pPr>
        <w:ind w:firstLine="420" w:firstLineChars="200"/>
        <w:rPr>
          <w:rFonts w:ascii="宋体" w:hAnsi="宋体"/>
          <w:color w:val="auto"/>
          <w:szCs w:val="21"/>
          <w:highlight w:val="none"/>
        </w:rPr>
      </w:pPr>
      <w:r>
        <w:rPr>
          <w:rFonts w:hint="eastAsia" w:ascii="宋体" w:hAnsi="宋体"/>
          <w:color w:val="auto"/>
          <w:szCs w:val="21"/>
          <w:highlight w:val="none"/>
        </w:rPr>
        <w:t>1、需要落实的政府采购政策：《政府采购促进中小企业发展管理办法》（财库〔2020〕46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五、投标截止时间、开标时间及地点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6</w:t>
      </w:r>
      <w:r>
        <w:rPr>
          <w:rFonts w:hint="eastAsia" w:ascii="宋体" w:hAnsi="宋体"/>
          <w:bCs/>
          <w:color w:val="auto"/>
          <w:szCs w:val="21"/>
          <w:highlight w:val="none"/>
        </w:rPr>
        <w:t>月</w:t>
      </w:r>
      <w:r>
        <w:rPr>
          <w:rFonts w:hint="eastAsia" w:ascii="宋体" w:hAnsi="宋体"/>
          <w:bCs/>
          <w:color w:val="auto"/>
          <w:szCs w:val="21"/>
          <w:highlight w:val="none"/>
          <w:lang w:val="en-US" w:eastAsia="zh-CN"/>
        </w:rPr>
        <w:t>21</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w:t>
      </w:r>
      <w:r>
        <w:rPr>
          <w:rFonts w:hint="eastAsia" w:ascii="宋体" w:hAnsi="宋体"/>
          <w:bCs/>
          <w:color w:val="auto"/>
          <w:szCs w:val="21"/>
          <w:highlight w:val="none"/>
          <w:lang w:val="en-US" w:eastAsia="zh-CN"/>
        </w:rPr>
        <w:t>3</w:t>
      </w:r>
      <w:r>
        <w:rPr>
          <w:rFonts w:hint="eastAsia" w:ascii="宋体" w:hAnsi="宋体"/>
          <w:bCs/>
          <w:color w:val="auto"/>
          <w:szCs w:val="21"/>
          <w:highlight w:val="none"/>
        </w:rPr>
        <w:t>0～1</w:t>
      </w:r>
      <w:r>
        <w:rPr>
          <w:rFonts w:hint="eastAsia" w:ascii="宋体" w:hAnsi="宋体"/>
          <w:bCs/>
          <w:color w:val="auto"/>
          <w:szCs w:val="21"/>
          <w:highlight w:val="none"/>
          <w:lang w:val="en-US" w:eastAsia="zh-CN"/>
        </w:rPr>
        <w:t>0</w:t>
      </w:r>
      <w:r>
        <w:rPr>
          <w:rFonts w:hint="eastAsia" w:ascii="宋体" w:hAnsi="宋体"/>
          <w:bCs/>
          <w:color w:val="auto"/>
          <w:szCs w:val="21"/>
          <w:highlight w:val="none"/>
        </w:rPr>
        <w:t>：</w:t>
      </w:r>
      <w:r>
        <w:rPr>
          <w:rFonts w:hint="eastAsia" w:ascii="宋体" w:hAnsi="宋体"/>
          <w:bCs/>
          <w:color w:val="auto"/>
          <w:szCs w:val="21"/>
          <w:highlight w:val="none"/>
          <w:lang w:val="en-US" w:eastAsia="zh-CN"/>
        </w:rPr>
        <w:t>0</w:t>
      </w:r>
      <w:r>
        <w:rPr>
          <w:rFonts w:hint="eastAsia" w:ascii="宋体" w:hAnsi="宋体"/>
          <w:bCs/>
          <w:color w:val="auto"/>
          <w:szCs w:val="21"/>
          <w:highlight w:val="none"/>
        </w:rPr>
        <w:t>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6</w:t>
      </w:r>
      <w:r>
        <w:rPr>
          <w:rFonts w:hint="eastAsia" w:ascii="宋体" w:hAnsi="宋体"/>
          <w:bCs/>
          <w:color w:val="auto"/>
          <w:szCs w:val="21"/>
          <w:highlight w:val="none"/>
        </w:rPr>
        <w:t>月</w:t>
      </w:r>
      <w:r>
        <w:rPr>
          <w:rFonts w:hint="eastAsia" w:ascii="宋体" w:hAnsi="宋体"/>
          <w:bCs/>
          <w:color w:val="auto"/>
          <w:szCs w:val="21"/>
          <w:highlight w:val="none"/>
          <w:lang w:val="en-US" w:eastAsia="zh-CN"/>
        </w:rPr>
        <w:t>21</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午1</w:t>
      </w:r>
      <w:r>
        <w:rPr>
          <w:rFonts w:hint="eastAsia" w:ascii="宋体" w:hAnsi="宋体"/>
          <w:bCs/>
          <w:color w:val="auto"/>
          <w:szCs w:val="21"/>
          <w:highlight w:val="none"/>
          <w:lang w:val="en-US" w:eastAsia="zh-CN"/>
        </w:rPr>
        <w:t>0</w:t>
      </w:r>
      <w:r>
        <w:rPr>
          <w:rFonts w:hint="eastAsia" w:ascii="宋体" w:hAnsi="宋体"/>
          <w:bCs/>
          <w:color w:val="auto"/>
          <w:szCs w:val="21"/>
          <w:highlight w:val="none"/>
        </w:rPr>
        <w:t>时</w:t>
      </w:r>
      <w:r>
        <w:rPr>
          <w:rFonts w:hint="eastAsia" w:ascii="宋体" w:hAnsi="宋体"/>
          <w:bCs/>
          <w:color w:val="auto"/>
          <w:szCs w:val="21"/>
          <w:highlight w:val="none"/>
          <w:lang w:val="en-US" w:eastAsia="zh-CN"/>
        </w:rPr>
        <w:t>0</w:t>
      </w:r>
      <w:r>
        <w:rPr>
          <w:rFonts w:hint="eastAsia" w:ascii="宋体" w:hAnsi="宋体"/>
          <w:bCs/>
          <w:color w:val="auto"/>
          <w:szCs w:val="21"/>
          <w:highlight w:val="none"/>
        </w:rPr>
        <w:t>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rPr>
        <w:t>六、采购人及采购代理机构的名称、地址和联系方法：</w:t>
      </w:r>
    </w:p>
    <w:p>
      <w:pPr>
        <w:ind w:firstLine="420" w:firstLineChars="200"/>
        <w:rPr>
          <w:rFonts w:hint="eastAsia" w:ascii="宋体" w:hAnsi="宋体"/>
          <w:bCs/>
          <w:color w:val="auto"/>
          <w:szCs w:val="21"/>
          <w:highlight w:val="none"/>
        </w:rPr>
      </w:pPr>
      <w:r>
        <w:rPr>
          <w:rFonts w:hint="eastAsia" w:ascii="宋体" w:hAnsi="宋体"/>
          <w:bCs/>
          <w:color w:val="auto"/>
          <w:szCs w:val="21"/>
          <w:highlight w:val="none"/>
        </w:rPr>
        <w:t xml:space="preserve">采购人联系人：黄先生 </w:t>
      </w:r>
    </w:p>
    <w:p>
      <w:pPr>
        <w:ind w:firstLine="420" w:firstLineChars="200"/>
        <w:rPr>
          <w:rFonts w:hint="eastAsia" w:ascii="宋体" w:hAnsi="宋体"/>
          <w:bCs/>
          <w:color w:val="auto"/>
          <w:szCs w:val="21"/>
          <w:highlight w:val="none"/>
        </w:rPr>
      </w:pPr>
      <w:r>
        <w:rPr>
          <w:rFonts w:hint="eastAsia" w:ascii="宋体" w:hAnsi="宋体"/>
          <w:bCs/>
          <w:color w:val="auto"/>
          <w:szCs w:val="21"/>
          <w:highlight w:val="none"/>
        </w:rPr>
        <w:t>地址：东莞市横沥镇田头村彩霞路105号</w:t>
      </w:r>
    </w:p>
    <w:p>
      <w:pPr>
        <w:ind w:firstLine="420" w:firstLineChars="200"/>
        <w:rPr>
          <w:rFonts w:ascii="宋体" w:hAnsi="宋体"/>
          <w:bCs/>
          <w:color w:val="auto"/>
          <w:szCs w:val="21"/>
          <w:highlight w:val="none"/>
        </w:rPr>
      </w:pPr>
      <w:r>
        <w:rPr>
          <w:rFonts w:hint="eastAsia" w:ascii="宋体" w:hAnsi="宋体"/>
          <w:bCs/>
          <w:color w:val="auto"/>
          <w:szCs w:val="21"/>
          <w:highlight w:val="none"/>
        </w:rPr>
        <w:t>联系电话：0769-82208056</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p>
    <w:p>
      <w:pPr>
        <w:pStyle w:val="8"/>
        <w:rPr>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4"/>
        <w:spacing w:before="0" w:after="0" w:line="240" w:lineRule="auto"/>
        <w:rPr>
          <w:color w:val="auto"/>
          <w:sz w:val="28"/>
          <w:szCs w:val="28"/>
          <w:highlight w:val="none"/>
        </w:rPr>
      </w:pPr>
      <w:bookmarkStart w:id="5" w:name="_Toc24505"/>
      <w:bookmarkStart w:id="6" w:name="_Toc28550"/>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4"/>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Cs/>
                <w:color w:val="auto"/>
                <w:szCs w:val="21"/>
                <w:highlight w:val="none"/>
              </w:rPr>
            </w:pPr>
            <w:r>
              <w:rPr>
                <w:rFonts w:hint="eastAsia" w:ascii="宋体" w:hAnsi="宋体"/>
                <w:bCs/>
                <w:color w:val="auto"/>
                <w:szCs w:val="21"/>
                <w:highlight w:val="none"/>
              </w:rPr>
              <w:t>所属行业：餐饮业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自筹资金。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w:t>
            </w: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陆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4"/>
        <w:spacing w:before="0" w:after="0" w:line="360" w:lineRule="auto"/>
        <w:rPr>
          <w:color w:val="auto"/>
          <w:highlight w:val="none"/>
        </w:rPr>
      </w:pPr>
      <w:bookmarkStart w:id="8" w:name="_Toc5749"/>
      <w:bookmarkStart w:id="9" w:name="_Hlk55300595"/>
      <w:bookmarkStart w:id="10" w:name="_Toc13473"/>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5"/>
        <w:spacing w:line="240" w:lineRule="auto"/>
        <w:jc w:val="center"/>
        <w:rPr>
          <w:rFonts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4"/>
        <w:tblW w:w="8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270"/>
        <w:gridCol w:w="786"/>
        <w:gridCol w:w="5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78" w:type="dxa"/>
            <w:tcBorders>
              <w:top w:val="single" w:color="auto" w:sz="4" w:space="0"/>
              <w:left w:val="single" w:color="auto" w:sz="4" w:space="0"/>
              <w:bottom w:val="single" w:color="auto" w:sz="4" w:space="0"/>
              <w:right w:val="single" w:color="auto" w:sz="4" w:space="0"/>
            </w:tcBorders>
            <w:noWrap/>
            <w:vAlign w:val="center"/>
          </w:tcPr>
          <w:p>
            <w:pPr>
              <w:pStyle w:val="37"/>
              <w:spacing w:line="240" w:lineRule="auto"/>
              <w:ind w:firstLine="0" w:firstLineChars="0"/>
              <w:jc w:val="center"/>
              <w:rPr>
                <w:rFonts w:ascii="宋体" w:eastAsia="宋体" w:cs="宋体"/>
                <w:b/>
                <w:color w:val="auto"/>
                <w:sz w:val="21"/>
                <w:szCs w:val="21"/>
                <w:highlight w:val="none"/>
              </w:rPr>
            </w:pPr>
            <w:r>
              <w:rPr>
                <w:rFonts w:hint="eastAsia" w:ascii="宋体" w:eastAsia="宋体" w:cs="宋体"/>
                <w:b/>
                <w:color w:val="auto"/>
                <w:sz w:val="21"/>
                <w:szCs w:val="21"/>
                <w:highlight w:val="none"/>
              </w:rPr>
              <w:t>序号</w:t>
            </w:r>
          </w:p>
        </w:tc>
        <w:tc>
          <w:tcPr>
            <w:tcW w:w="1270" w:type="dxa"/>
            <w:tcBorders>
              <w:top w:val="single" w:color="auto" w:sz="4" w:space="0"/>
              <w:left w:val="single" w:color="auto" w:sz="4" w:space="0"/>
              <w:bottom w:val="single" w:color="auto" w:sz="4" w:space="0"/>
              <w:right w:val="single" w:color="auto" w:sz="4" w:space="0"/>
            </w:tcBorders>
            <w:noWrap/>
            <w:vAlign w:val="center"/>
          </w:tcPr>
          <w:p>
            <w:pPr>
              <w:pStyle w:val="37"/>
              <w:spacing w:line="240" w:lineRule="auto"/>
              <w:ind w:firstLine="0" w:firstLineChars="0"/>
              <w:jc w:val="center"/>
              <w:rPr>
                <w:rFonts w:ascii="宋体" w:eastAsia="宋体" w:cs="宋体"/>
                <w:b/>
                <w:color w:val="auto"/>
                <w:sz w:val="21"/>
                <w:szCs w:val="21"/>
                <w:highlight w:val="none"/>
              </w:rPr>
            </w:pPr>
            <w:r>
              <w:rPr>
                <w:rFonts w:hint="eastAsia" w:ascii="宋体" w:eastAsia="宋体" w:cs="宋体"/>
                <w:b/>
                <w:color w:val="auto"/>
                <w:sz w:val="21"/>
                <w:szCs w:val="21"/>
                <w:highlight w:val="none"/>
              </w:rPr>
              <w:t>评分内容</w:t>
            </w:r>
          </w:p>
        </w:tc>
        <w:tc>
          <w:tcPr>
            <w:tcW w:w="786" w:type="dxa"/>
            <w:tcBorders>
              <w:top w:val="single" w:color="auto" w:sz="4" w:space="0"/>
              <w:left w:val="single" w:color="auto" w:sz="4" w:space="0"/>
              <w:bottom w:val="single" w:color="auto" w:sz="4" w:space="0"/>
              <w:right w:val="single" w:color="auto" w:sz="4" w:space="0"/>
            </w:tcBorders>
            <w:noWrap/>
            <w:vAlign w:val="center"/>
          </w:tcPr>
          <w:p>
            <w:pPr>
              <w:pStyle w:val="37"/>
              <w:spacing w:line="240" w:lineRule="auto"/>
              <w:ind w:firstLine="0" w:firstLineChars="0"/>
              <w:jc w:val="center"/>
              <w:rPr>
                <w:rFonts w:ascii="宋体" w:eastAsia="宋体" w:cs="宋体"/>
                <w:b/>
                <w:color w:val="auto"/>
                <w:sz w:val="21"/>
                <w:szCs w:val="21"/>
                <w:highlight w:val="none"/>
              </w:rPr>
            </w:pPr>
            <w:r>
              <w:rPr>
                <w:rFonts w:hint="eastAsia" w:ascii="宋体" w:eastAsia="宋体" w:cs="宋体"/>
                <w:b/>
                <w:color w:val="auto"/>
                <w:sz w:val="21"/>
                <w:szCs w:val="21"/>
                <w:highlight w:val="none"/>
              </w:rPr>
              <w:t>分值</w:t>
            </w:r>
          </w:p>
        </w:tc>
        <w:tc>
          <w:tcPr>
            <w:tcW w:w="5702" w:type="dxa"/>
            <w:tcBorders>
              <w:top w:val="single" w:color="auto" w:sz="4" w:space="0"/>
              <w:left w:val="single" w:color="auto" w:sz="4" w:space="0"/>
              <w:bottom w:val="single" w:color="auto" w:sz="4" w:space="0"/>
              <w:right w:val="single" w:color="auto" w:sz="4" w:space="0"/>
            </w:tcBorders>
            <w:noWrap/>
            <w:vAlign w:val="center"/>
          </w:tcPr>
          <w:p>
            <w:pPr>
              <w:pStyle w:val="37"/>
              <w:spacing w:line="240" w:lineRule="auto"/>
              <w:ind w:firstLine="0" w:firstLineChars="0"/>
              <w:jc w:val="center"/>
              <w:rPr>
                <w:rFonts w:ascii="宋体" w:eastAsia="宋体" w:cs="宋体"/>
                <w:b/>
                <w:color w:val="auto"/>
                <w:sz w:val="21"/>
                <w:szCs w:val="21"/>
                <w:highlight w:val="none"/>
              </w:rPr>
            </w:pPr>
            <w:r>
              <w:rPr>
                <w:rFonts w:hint="eastAsia" w:ascii="宋体" w:eastAsia="宋体" w:cs="宋体"/>
                <w:b/>
                <w:color w:val="auto"/>
                <w:sz w:val="21"/>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436" w:type="dxa"/>
            <w:gridSpan w:val="4"/>
            <w:tcBorders>
              <w:top w:val="single" w:color="auto" w:sz="4" w:space="0"/>
              <w:left w:val="single" w:color="auto" w:sz="4" w:space="0"/>
              <w:bottom w:val="single" w:color="auto" w:sz="4" w:space="0"/>
              <w:right w:val="single" w:color="auto" w:sz="4" w:space="0"/>
            </w:tcBorders>
            <w:noWrap/>
            <w:vAlign w:val="center"/>
          </w:tcPr>
          <w:p>
            <w:pPr>
              <w:pStyle w:val="37"/>
              <w:spacing w:line="240" w:lineRule="auto"/>
              <w:ind w:firstLine="0" w:firstLineChars="0"/>
              <w:jc w:val="center"/>
              <w:rPr>
                <w:rFonts w:ascii="宋体" w:eastAsia="宋体" w:cs="宋体"/>
                <w:b/>
                <w:color w:val="auto"/>
                <w:sz w:val="21"/>
                <w:szCs w:val="21"/>
                <w:highlight w:val="none"/>
              </w:rPr>
            </w:pPr>
            <w:r>
              <w:rPr>
                <w:rFonts w:hint="eastAsia" w:ascii="宋体" w:eastAsia="宋体" w:cs="宋体"/>
                <w:b/>
                <w:color w:val="auto"/>
                <w:sz w:val="21"/>
                <w:szCs w:val="21"/>
                <w:highlight w:val="none"/>
              </w:rPr>
              <w:t>商务评分（25分）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tcBorders>
              <w:top w:val="single" w:color="auto" w:sz="4" w:space="0"/>
              <w:left w:val="single" w:color="auto" w:sz="4" w:space="0"/>
              <w:bottom w:val="single" w:color="auto" w:sz="4" w:space="0"/>
              <w:right w:val="single" w:color="auto" w:sz="4" w:space="0"/>
            </w:tcBorders>
            <w:noWrap/>
            <w:vAlign w:val="center"/>
          </w:tcPr>
          <w:p>
            <w:pPr>
              <w:pStyle w:val="37"/>
              <w:spacing w:line="240" w:lineRule="auto"/>
              <w:ind w:firstLine="0" w:firstLineChars="0"/>
              <w:jc w:val="center"/>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1</w:t>
            </w:r>
          </w:p>
        </w:tc>
        <w:tc>
          <w:tcPr>
            <w:tcW w:w="1270" w:type="dxa"/>
            <w:tcBorders>
              <w:top w:val="single" w:color="auto" w:sz="4" w:space="0"/>
              <w:left w:val="single" w:color="auto" w:sz="4" w:space="0"/>
              <w:bottom w:val="single" w:color="auto" w:sz="4" w:space="0"/>
              <w:right w:val="single" w:color="auto" w:sz="4" w:space="0"/>
            </w:tcBorders>
            <w:noWrap/>
            <w:vAlign w:val="center"/>
          </w:tcPr>
          <w:p>
            <w:pPr>
              <w:tabs>
                <w:tab w:val="left" w:pos="8610"/>
              </w:tabs>
              <w:spacing w:line="240" w:lineRule="auto"/>
              <w:jc w:val="center"/>
              <w:rPr>
                <w:rFonts w:ascii="宋体" w:hAnsi="宋体" w:cs="宋体"/>
                <w:color w:val="auto"/>
                <w:szCs w:val="21"/>
                <w:highlight w:val="none"/>
              </w:rPr>
            </w:pPr>
            <w:r>
              <w:rPr>
                <w:rFonts w:hint="eastAsia" w:ascii="宋体" w:hAnsi="宋体" w:cs="宋体"/>
                <w:color w:val="auto"/>
                <w:szCs w:val="21"/>
                <w:highlight w:val="none"/>
              </w:rPr>
              <w:t>业绩</w:t>
            </w:r>
          </w:p>
        </w:tc>
        <w:tc>
          <w:tcPr>
            <w:tcW w:w="786" w:type="dxa"/>
            <w:tcBorders>
              <w:top w:val="single" w:color="auto" w:sz="4" w:space="0"/>
              <w:left w:val="single" w:color="auto" w:sz="4" w:space="0"/>
              <w:bottom w:val="single" w:color="auto" w:sz="4" w:space="0"/>
              <w:right w:val="single" w:color="auto" w:sz="4" w:space="0"/>
            </w:tcBorders>
            <w:noWrap/>
            <w:vAlign w:val="center"/>
          </w:tcPr>
          <w:p>
            <w:pPr>
              <w:pStyle w:val="37"/>
              <w:spacing w:line="240" w:lineRule="auto"/>
              <w:ind w:firstLine="0" w:firstLineChars="0"/>
              <w:jc w:val="center"/>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20</w:t>
            </w:r>
          </w:p>
        </w:tc>
        <w:tc>
          <w:tcPr>
            <w:tcW w:w="570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投标人具有食堂承包（或经营或管理）服务类业绩的，每提供一个业绩合同得</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分，满分</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注：须提供合同复印件加盖投标人公章，否则不得分。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678" w:type="dxa"/>
            <w:tcBorders>
              <w:top w:val="single" w:color="auto" w:sz="4" w:space="0"/>
              <w:left w:val="single" w:color="auto" w:sz="4" w:space="0"/>
              <w:bottom w:val="single" w:color="auto" w:sz="4" w:space="0"/>
              <w:right w:val="single" w:color="auto" w:sz="4" w:space="0"/>
            </w:tcBorders>
            <w:noWrap/>
            <w:vAlign w:val="center"/>
          </w:tcPr>
          <w:p>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270" w:type="dxa"/>
            <w:tcBorders>
              <w:top w:val="single" w:color="auto" w:sz="4" w:space="0"/>
              <w:left w:val="single" w:color="auto" w:sz="4" w:space="0"/>
              <w:bottom w:val="single" w:color="auto" w:sz="4" w:space="0"/>
              <w:right w:val="single" w:color="auto" w:sz="4" w:space="0"/>
            </w:tcBorders>
            <w:noWrap/>
            <w:vAlign w:val="center"/>
          </w:tcPr>
          <w:p>
            <w:pPr>
              <w:tabs>
                <w:tab w:val="left" w:pos="8610"/>
              </w:tabs>
              <w:spacing w:line="240" w:lineRule="auto"/>
              <w:jc w:val="center"/>
              <w:rPr>
                <w:rFonts w:ascii="宋体" w:hAnsi="宋体" w:cs="宋体"/>
                <w:color w:val="auto"/>
                <w:szCs w:val="21"/>
                <w:highlight w:val="none"/>
              </w:rPr>
            </w:pPr>
            <w:r>
              <w:rPr>
                <w:rFonts w:hint="eastAsia" w:ascii="宋体" w:hAnsi="宋体" w:eastAsia="宋体" w:cs="宋体"/>
                <w:color w:val="auto"/>
                <w:sz w:val="21"/>
                <w:szCs w:val="21"/>
                <w:highlight w:val="none"/>
              </w:rPr>
              <w:t>服务响应</w:t>
            </w:r>
          </w:p>
        </w:tc>
        <w:tc>
          <w:tcPr>
            <w:tcW w:w="786" w:type="dxa"/>
            <w:tcBorders>
              <w:top w:val="single" w:color="auto" w:sz="4" w:space="0"/>
              <w:left w:val="single" w:color="auto" w:sz="4" w:space="0"/>
              <w:bottom w:val="single" w:color="auto" w:sz="4" w:space="0"/>
              <w:right w:val="single" w:color="auto" w:sz="4" w:space="0"/>
            </w:tcBorders>
            <w:noWrap/>
            <w:vAlign w:val="center"/>
          </w:tcPr>
          <w:p>
            <w:pPr>
              <w:pStyle w:val="37"/>
              <w:spacing w:line="240" w:lineRule="auto"/>
              <w:ind w:firstLine="0" w:firstLineChars="0"/>
              <w:jc w:val="center"/>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5</w:t>
            </w:r>
          </w:p>
        </w:tc>
        <w:tc>
          <w:tcPr>
            <w:tcW w:w="5702" w:type="dxa"/>
            <w:tcBorders>
              <w:top w:val="single" w:color="auto" w:sz="4" w:space="0"/>
              <w:left w:val="single" w:color="auto" w:sz="4" w:space="0"/>
              <w:bottom w:val="single" w:color="auto" w:sz="4" w:space="0"/>
              <w:right w:val="single" w:color="auto" w:sz="4" w:space="0"/>
            </w:tcBorders>
            <w:noWrap/>
            <w:vAlign w:val="center"/>
          </w:tcPr>
          <w:p>
            <w:pPr>
              <w:widowControl w:val="0"/>
              <w:adjustRightInd/>
              <w:snapToGrid/>
              <w:spacing w:line="240" w:lineRule="auto"/>
              <w:ind w:firstLine="420" w:firstLineChars="200"/>
              <w:rPr>
                <w:rFonts w:ascii="宋体" w:hAnsi="宋体" w:cs="宋体"/>
                <w:bCs/>
                <w:color w:val="auto"/>
                <w:szCs w:val="21"/>
                <w:highlight w:val="none"/>
                <w:lang w:val="pt-BR"/>
              </w:rPr>
            </w:pPr>
            <w:r>
              <w:rPr>
                <w:rFonts w:hint="eastAsia" w:ascii="宋体" w:hAnsi="宋体" w:cs="宋体"/>
                <w:bCs/>
                <w:color w:val="auto"/>
                <w:szCs w:val="21"/>
                <w:highlight w:val="none"/>
                <w:lang w:val="pt-BR"/>
              </w:rPr>
              <w:t>根据投标人提供的服务响应时间承诺进行评审：</w:t>
            </w:r>
          </w:p>
          <w:p>
            <w:pPr>
              <w:widowControl w:val="0"/>
              <w:adjustRightInd/>
              <w:snapToGrid/>
              <w:spacing w:line="240" w:lineRule="auto"/>
              <w:ind w:firstLine="420" w:firstLineChars="200"/>
              <w:rPr>
                <w:rFonts w:ascii="宋体" w:hAnsi="宋体" w:cs="宋体"/>
                <w:bCs/>
                <w:color w:val="auto"/>
                <w:szCs w:val="21"/>
                <w:highlight w:val="none"/>
                <w:lang w:val="pt-BR"/>
              </w:rPr>
            </w:pPr>
            <w:r>
              <w:rPr>
                <w:rFonts w:hint="eastAsia" w:ascii="宋体" w:hAnsi="宋体" w:cs="宋体"/>
                <w:bCs/>
                <w:color w:val="auto"/>
                <w:szCs w:val="21"/>
                <w:highlight w:val="none"/>
                <w:lang w:val="pt-BR"/>
              </w:rPr>
              <w:t>投标人承诺在接到采购人通知后</w:t>
            </w:r>
            <w:r>
              <w:rPr>
                <w:rFonts w:hint="eastAsia" w:ascii="宋体" w:hAnsi="宋体" w:cs="宋体"/>
                <w:bCs/>
                <w:color w:val="auto"/>
                <w:szCs w:val="21"/>
                <w:highlight w:val="none"/>
                <w:lang w:val="en-US" w:eastAsia="zh-CN"/>
              </w:rPr>
              <w:t>1小时</w:t>
            </w:r>
            <w:r>
              <w:rPr>
                <w:rFonts w:hint="eastAsia" w:ascii="宋体" w:hAnsi="宋体" w:cs="宋体"/>
                <w:bCs/>
                <w:color w:val="auto"/>
                <w:szCs w:val="21"/>
                <w:highlight w:val="none"/>
              </w:rPr>
              <w:t>（含）</w:t>
            </w:r>
            <w:r>
              <w:rPr>
                <w:rFonts w:hint="eastAsia" w:ascii="宋体" w:hAnsi="宋体" w:cs="宋体"/>
                <w:bCs/>
                <w:color w:val="auto"/>
                <w:szCs w:val="21"/>
                <w:highlight w:val="none"/>
                <w:lang w:val="pt-BR"/>
              </w:rPr>
              <w:t>内到现场，得</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lang w:val="pt-BR"/>
              </w:rPr>
              <w:t>分；</w:t>
            </w:r>
          </w:p>
          <w:p>
            <w:pPr>
              <w:widowControl w:val="0"/>
              <w:adjustRightInd/>
              <w:snapToGrid/>
              <w:spacing w:line="240" w:lineRule="auto"/>
              <w:ind w:firstLine="420" w:firstLineChars="200"/>
              <w:rPr>
                <w:rFonts w:ascii="宋体" w:hAnsi="宋体" w:cs="宋体"/>
                <w:bCs/>
                <w:color w:val="auto"/>
                <w:szCs w:val="21"/>
                <w:highlight w:val="none"/>
                <w:lang w:val="pt-BR"/>
              </w:rPr>
            </w:pPr>
            <w:r>
              <w:rPr>
                <w:rFonts w:hint="eastAsia" w:ascii="宋体" w:hAnsi="宋体" w:cs="宋体"/>
                <w:bCs/>
                <w:color w:val="auto"/>
                <w:szCs w:val="21"/>
                <w:highlight w:val="none"/>
                <w:lang w:val="pt-BR"/>
              </w:rPr>
              <w:t>投标人承诺在接到采购人通知后</w:t>
            </w:r>
            <w:r>
              <w:rPr>
                <w:rFonts w:hint="eastAsia" w:ascii="宋体" w:hAnsi="宋体" w:cs="宋体"/>
                <w:bCs/>
                <w:color w:val="auto"/>
                <w:szCs w:val="21"/>
                <w:highlight w:val="none"/>
                <w:lang w:val="en-US" w:eastAsia="zh-CN"/>
              </w:rPr>
              <w:t>2小时</w:t>
            </w:r>
            <w:r>
              <w:rPr>
                <w:rFonts w:hint="eastAsia" w:ascii="宋体" w:hAnsi="宋体" w:cs="宋体"/>
                <w:bCs/>
                <w:color w:val="auto"/>
                <w:szCs w:val="21"/>
                <w:highlight w:val="none"/>
              </w:rPr>
              <w:t>（含）</w:t>
            </w:r>
            <w:r>
              <w:rPr>
                <w:rFonts w:hint="eastAsia" w:ascii="宋体" w:hAnsi="宋体" w:cs="宋体"/>
                <w:bCs/>
                <w:color w:val="auto"/>
                <w:szCs w:val="21"/>
                <w:highlight w:val="none"/>
                <w:lang w:val="pt-BR"/>
              </w:rPr>
              <w:t>内到现场，得</w:t>
            </w: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lang w:val="pt-BR"/>
              </w:rPr>
              <w:t>分；</w:t>
            </w:r>
          </w:p>
          <w:p>
            <w:pPr>
              <w:widowControl w:val="0"/>
              <w:adjustRightInd/>
              <w:snapToGrid/>
              <w:spacing w:line="240" w:lineRule="auto"/>
              <w:ind w:firstLine="420" w:firstLineChars="200"/>
              <w:rPr>
                <w:rFonts w:ascii="宋体" w:hAnsi="宋体" w:cs="宋体"/>
                <w:bCs/>
                <w:color w:val="auto"/>
                <w:szCs w:val="21"/>
                <w:highlight w:val="none"/>
                <w:lang w:val="pt-BR"/>
              </w:rPr>
            </w:pPr>
            <w:r>
              <w:rPr>
                <w:rFonts w:hint="eastAsia" w:ascii="宋体" w:hAnsi="宋体" w:cs="宋体"/>
                <w:bCs/>
                <w:color w:val="auto"/>
                <w:szCs w:val="21"/>
                <w:highlight w:val="none"/>
                <w:lang w:val="pt-BR"/>
              </w:rPr>
              <w:t>投标人承诺在接到采购人通知后</w:t>
            </w:r>
            <w:r>
              <w:rPr>
                <w:rFonts w:hint="eastAsia" w:ascii="宋体" w:hAnsi="宋体" w:cs="宋体"/>
                <w:bCs/>
                <w:color w:val="auto"/>
                <w:szCs w:val="21"/>
                <w:highlight w:val="none"/>
                <w:lang w:val="en-US" w:eastAsia="zh-CN"/>
              </w:rPr>
              <w:t>3小时</w:t>
            </w:r>
            <w:r>
              <w:rPr>
                <w:rFonts w:hint="eastAsia" w:ascii="宋体" w:hAnsi="宋体" w:cs="宋体"/>
                <w:bCs/>
                <w:color w:val="auto"/>
                <w:szCs w:val="21"/>
                <w:highlight w:val="none"/>
              </w:rPr>
              <w:t>（含）</w:t>
            </w:r>
            <w:r>
              <w:rPr>
                <w:rFonts w:hint="eastAsia" w:ascii="宋体" w:hAnsi="宋体" w:cs="宋体"/>
                <w:bCs/>
                <w:color w:val="auto"/>
                <w:szCs w:val="21"/>
                <w:highlight w:val="none"/>
                <w:lang w:val="pt-BR"/>
              </w:rPr>
              <w:t>内到现场，得1分；</w:t>
            </w:r>
          </w:p>
          <w:p>
            <w:pPr>
              <w:widowControl w:val="0"/>
              <w:adjustRightInd/>
              <w:snapToGrid/>
              <w:spacing w:line="240" w:lineRule="auto"/>
              <w:ind w:firstLine="420" w:firstLineChars="200"/>
              <w:rPr>
                <w:rFonts w:ascii="宋体" w:hAnsi="宋体" w:cs="宋体"/>
                <w:bCs/>
                <w:color w:val="auto"/>
                <w:szCs w:val="21"/>
                <w:highlight w:val="none"/>
                <w:lang w:val="pt-BR"/>
              </w:rPr>
            </w:pPr>
            <w:r>
              <w:rPr>
                <w:rFonts w:hint="eastAsia" w:ascii="宋体" w:hAnsi="宋体" w:cs="宋体"/>
                <w:bCs/>
                <w:color w:val="auto"/>
                <w:szCs w:val="21"/>
                <w:highlight w:val="none"/>
                <w:lang w:val="en-US" w:eastAsia="zh-CN"/>
              </w:rPr>
              <w:t>其他情况</w:t>
            </w:r>
            <w:r>
              <w:rPr>
                <w:rFonts w:hint="eastAsia" w:ascii="宋体" w:hAnsi="宋体" w:cs="宋体"/>
                <w:bCs/>
                <w:color w:val="auto"/>
                <w:szCs w:val="21"/>
                <w:highlight w:val="none"/>
                <w:lang w:val="pt-BR"/>
              </w:rPr>
              <w:t>，不得分。</w:t>
            </w:r>
          </w:p>
          <w:p>
            <w:pPr>
              <w:spacing w:line="24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lang w:val="pt-BR"/>
              </w:rPr>
              <w:t>注：须提供承诺书并加盖投标人公章，否则不得分。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436" w:type="dxa"/>
            <w:gridSpan w:val="4"/>
            <w:tcBorders>
              <w:top w:val="single" w:color="auto" w:sz="4" w:space="0"/>
              <w:left w:val="single" w:color="auto" w:sz="4" w:space="0"/>
              <w:bottom w:val="single" w:color="auto" w:sz="4" w:space="0"/>
              <w:right w:val="single" w:color="auto" w:sz="4" w:space="0"/>
            </w:tcBorders>
            <w:noWrap/>
            <w:vAlign w:val="center"/>
          </w:tcPr>
          <w:p>
            <w:pPr>
              <w:pStyle w:val="37"/>
              <w:spacing w:line="240" w:lineRule="auto"/>
              <w:ind w:firstLine="0" w:firstLineChars="0"/>
              <w:jc w:val="center"/>
              <w:rPr>
                <w:rFonts w:ascii="宋体" w:eastAsia="宋体" w:cs="宋体"/>
                <w:b/>
                <w:color w:val="auto"/>
                <w:sz w:val="21"/>
                <w:szCs w:val="21"/>
                <w:highlight w:val="none"/>
              </w:rPr>
            </w:pPr>
            <w:r>
              <w:rPr>
                <w:rFonts w:hint="eastAsia" w:ascii="宋体" w:eastAsia="宋体" w:cs="宋体"/>
                <w:b/>
                <w:color w:val="auto"/>
                <w:sz w:val="21"/>
                <w:szCs w:val="21"/>
                <w:highlight w:val="none"/>
              </w:rPr>
              <w:t>技术评分（</w:t>
            </w:r>
            <w:r>
              <w:rPr>
                <w:rFonts w:hint="eastAsia" w:ascii="宋体" w:eastAsia="宋体" w:cs="宋体"/>
                <w:b/>
                <w:color w:val="auto"/>
                <w:sz w:val="21"/>
                <w:szCs w:val="21"/>
                <w:highlight w:val="none"/>
                <w:lang w:val="en-US" w:eastAsia="zh-CN"/>
              </w:rPr>
              <w:t>75</w:t>
            </w:r>
            <w:r>
              <w:rPr>
                <w:rFonts w:hint="eastAsia" w:ascii="宋体" w:eastAsia="宋体" w:cs="宋体"/>
                <w:b/>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678" w:type="dxa"/>
            <w:tcBorders>
              <w:top w:val="single" w:color="auto" w:sz="4" w:space="0"/>
              <w:left w:val="single" w:color="auto" w:sz="4" w:space="0"/>
              <w:right w:val="single" w:color="auto" w:sz="4" w:space="0"/>
            </w:tcBorders>
            <w:noWrap/>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270" w:type="dxa"/>
            <w:tcBorders>
              <w:top w:val="single" w:color="auto" w:sz="4" w:space="0"/>
              <w:left w:val="single" w:color="auto" w:sz="4" w:space="0"/>
              <w:right w:val="single" w:color="auto" w:sz="4" w:space="0"/>
            </w:tcBorders>
            <w:noWrap/>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总体服务方案</w:t>
            </w:r>
          </w:p>
        </w:tc>
        <w:tc>
          <w:tcPr>
            <w:tcW w:w="786" w:type="dxa"/>
            <w:tcBorders>
              <w:top w:val="single" w:color="auto" w:sz="4" w:space="0"/>
              <w:left w:val="single" w:color="auto" w:sz="4" w:space="0"/>
              <w:right w:val="single" w:color="auto" w:sz="4" w:space="0"/>
            </w:tcBorders>
            <w:noWrap/>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5</w:t>
            </w:r>
          </w:p>
        </w:tc>
        <w:tc>
          <w:tcPr>
            <w:tcW w:w="5702" w:type="dxa"/>
            <w:tcBorders>
              <w:top w:val="single" w:color="auto" w:sz="4" w:space="0"/>
              <w:left w:val="single" w:color="auto" w:sz="4" w:space="0"/>
              <w:right w:val="single" w:color="auto" w:sz="4" w:space="0"/>
            </w:tcBorders>
            <w:noWrap/>
            <w:vAlign w:val="center"/>
          </w:tcPr>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根据投标人对本项目的理解、了解程度，项目服务方案，菜品质量及保证措施进行综合评审：</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项目理解详细、深刻，服务方案科学、具体，配送步骤清晰、具有很强的可操作性的，得</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项目理解较为详细、深刻，服务方案较为科学、具体，配送步骤清晰、具有较强的可操作性的，得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有基本的项目理解，服务方案基本完整，配送步骤基本清晰、具有一定的可操作性，得</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项目理解有偏差，服务方案不详细，配送步骤不清晰的，得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未提供总体服务方案不得分。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tcBorders>
              <w:left w:val="single" w:color="auto" w:sz="4" w:space="0"/>
              <w:right w:val="single" w:color="auto" w:sz="4" w:space="0"/>
            </w:tcBorders>
            <w:noWrap/>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1270" w:type="dxa"/>
            <w:tcBorders>
              <w:left w:val="single" w:color="auto" w:sz="4" w:space="0"/>
              <w:right w:val="single" w:color="auto" w:sz="4" w:space="0"/>
            </w:tcBorders>
            <w:noWrap/>
            <w:vAlign w:val="center"/>
          </w:tcPr>
          <w:p>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人员组织架构</w:t>
            </w:r>
          </w:p>
        </w:tc>
        <w:tc>
          <w:tcPr>
            <w:tcW w:w="786" w:type="dxa"/>
            <w:tcBorders>
              <w:left w:val="single" w:color="auto" w:sz="4" w:space="0"/>
              <w:right w:val="single" w:color="auto" w:sz="4" w:space="0"/>
            </w:tcBorders>
            <w:noWrap/>
            <w:vAlign w:val="center"/>
          </w:tcPr>
          <w:p>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15</w:t>
            </w:r>
          </w:p>
        </w:tc>
        <w:tc>
          <w:tcPr>
            <w:tcW w:w="5702" w:type="dxa"/>
            <w:tcBorders>
              <w:top w:val="single" w:color="auto" w:sz="4" w:space="0"/>
              <w:left w:val="single" w:color="auto" w:sz="4" w:space="0"/>
              <w:bottom w:val="single" w:color="auto" w:sz="4" w:space="0"/>
              <w:right w:val="single" w:color="auto" w:sz="4" w:space="0"/>
            </w:tcBorders>
            <w:noWrap/>
          </w:tcPr>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根据投标人提供的人员管理架构、岗位制度、岗位人员配备等进行综合评审：</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人员管理架构、岗位制度、培训及考核方案科学合理、岗位人员配备齐全并优于用户需求的，得15分；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人员管理架构、岗位制度、培训及考核方案较合理、岗位人员配备较齐全的，得10分；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人员管理架构、岗位制度、培训及考核方案基本合理、岗位人员配备基本齐全的，得5分；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人员管理架构、岗位制度、培训及考核方案不合理、岗位人员配备欠妥的，得1分。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未提供人员组织架构不得分。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tcBorders>
              <w:left w:val="single" w:color="auto" w:sz="4" w:space="0"/>
              <w:right w:val="single" w:color="auto" w:sz="4" w:space="0"/>
            </w:tcBorders>
            <w:noWrap/>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1270" w:type="dxa"/>
            <w:tcBorders>
              <w:left w:val="single" w:color="auto" w:sz="4" w:space="0"/>
              <w:right w:val="single" w:color="auto" w:sz="4" w:space="0"/>
            </w:tcBorders>
            <w:noWrap/>
            <w:vAlign w:val="center"/>
          </w:tcPr>
          <w:p>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应急保障措施</w:t>
            </w:r>
          </w:p>
        </w:tc>
        <w:tc>
          <w:tcPr>
            <w:tcW w:w="786" w:type="dxa"/>
            <w:tcBorders>
              <w:left w:val="single" w:color="auto" w:sz="4" w:space="0"/>
              <w:right w:val="single" w:color="auto" w:sz="4" w:space="0"/>
            </w:tcBorders>
            <w:noWrap/>
            <w:vAlign w:val="center"/>
          </w:tcPr>
          <w:p>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15</w:t>
            </w:r>
          </w:p>
        </w:tc>
        <w:tc>
          <w:tcPr>
            <w:tcW w:w="570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根据投标人对重大或突发事件应急保障方案措施进行综合评审：</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重大或突发事件应急保障方案全面、科学、具体的，得15分；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重大或突发事件应急保障方案较为全面、科学、具体的，得10分；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重大或突发事件应急保障方案基本全面、合理的，得5分；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重大或突发事件应急保障方案不够全面、不太合理的，得1分。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未提供应急保障措施不得分。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8" w:hRule="atLeast"/>
          <w:jc w:val="center"/>
        </w:trPr>
        <w:tc>
          <w:tcPr>
            <w:tcW w:w="678" w:type="dxa"/>
            <w:vMerge w:val="restart"/>
            <w:tcBorders>
              <w:left w:val="single" w:color="auto" w:sz="4" w:space="0"/>
              <w:right w:val="single" w:color="auto" w:sz="4" w:space="0"/>
            </w:tcBorders>
            <w:noWrap/>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4</w:t>
            </w:r>
          </w:p>
        </w:tc>
        <w:tc>
          <w:tcPr>
            <w:tcW w:w="1270" w:type="dxa"/>
            <w:vMerge w:val="restart"/>
            <w:tcBorders>
              <w:left w:val="single" w:color="auto" w:sz="4" w:space="0"/>
              <w:right w:val="single" w:color="auto" w:sz="4" w:space="0"/>
            </w:tcBorders>
            <w:noWrap/>
            <w:vAlign w:val="center"/>
          </w:tcPr>
          <w:p>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kern w:val="0"/>
                <w:sz w:val="21"/>
                <w:szCs w:val="21"/>
                <w:highlight w:val="none"/>
              </w:rPr>
              <w:t>安全卫生保证及服务承诺</w:t>
            </w:r>
          </w:p>
        </w:tc>
        <w:tc>
          <w:tcPr>
            <w:tcW w:w="786" w:type="dxa"/>
            <w:tcBorders>
              <w:left w:val="single" w:color="auto" w:sz="4" w:space="0"/>
              <w:right w:val="single" w:color="auto" w:sz="4" w:space="0"/>
            </w:tcBorders>
            <w:noWrap/>
            <w:vAlign w:val="center"/>
          </w:tcPr>
          <w:p>
            <w:pPr>
              <w:pStyle w:val="37"/>
              <w:spacing w:line="240" w:lineRule="auto"/>
              <w:ind w:firstLine="0" w:firstLineChars="0"/>
              <w:jc w:val="center"/>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15</w:t>
            </w:r>
          </w:p>
        </w:tc>
        <w:tc>
          <w:tcPr>
            <w:tcW w:w="570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配备有专职或兼职安全员，制定培训计划，负责每天检查食堂电、气、消防等设备设施安全管理、售后及应急处置方案【制定有突发事件安全应急预案（如：发生疑似食物中毒事件的处理；食品断餐应急计划）】进行综合评审：</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人员、安全管理方案合理、售后及应急处置措施可行性强，得</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人员、安全管理方案比较完整、售后及应急处置措施可行性较强，得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人员、安全管理方案基本合理、售后及应急处置措施可行性一般，得</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人员、安全管理方案基本合理、售后及应急处置措施可行性较差，得1分；</w:t>
            </w:r>
          </w:p>
          <w:p>
            <w:pPr>
              <w:pStyle w:val="37"/>
              <w:widowControl/>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6" w:hRule="atLeast"/>
          <w:jc w:val="center"/>
        </w:trPr>
        <w:tc>
          <w:tcPr>
            <w:tcW w:w="678" w:type="dxa"/>
            <w:vMerge w:val="continue"/>
            <w:tcBorders>
              <w:left w:val="single" w:color="auto" w:sz="4" w:space="0"/>
              <w:right w:val="single" w:color="auto" w:sz="4" w:space="0"/>
            </w:tcBorders>
            <w:noWrap/>
            <w:vAlign w:val="center"/>
          </w:tcPr>
          <w:p>
            <w:pPr>
              <w:spacing w:line="240" w:lineRule="auto"/>
              <w:jc w:val="center"/>
              <w:rPr>
                <w:rFonts w:ascii="宋体" w:hAnsi="宋体" w:cs="宋体"/>
                <w:color w:val="auto"/>
                <w:szCs w:val="21"/>
                <w:highlight w:val="none"/>
              </w:rPr>
            </w:pPr>
          </w:p>
        </w:tc>
        <w:tc>
          <w:tcPr>
            <w:tcW w:w="1270" w:type="dxa"/>
            <w:vMerge w:val="continue"/>
            <w:tcBorders>
              <w:left w:val="single" w:color="auto" w:sz="4" w:space="0"/>
              <w:right w:val="single" w:color="auto" w:sz="4" w:space="0"/>
            </w:tcBorders>
            <w:noWrap/>
            <w:vAlign w:val="center"/>
          </w:tcPr>
          <w:p>
            <w:pPr>
              <w:pStyle w:val="37"/>
              <w:spacing w:line="240" w:lineRule="auto"/>
              <w:ind w:firstLine="0" w:firstLineChars="0"/>
              <w:jc w:val="center"/>
              <w:rPr>
                <w:rFonts w:ascii="宋体" w:eastAsia="宋体" w:cs="宋体"/>
                <w:color w:val="auto"/>
                <w:sz w:val="21"/>
                <w:szCs w:val="21"/>
                <w:highlight w:val="none"/>
              </w:rPr>
            </w:pPr>
          </w:p>
        </w:tc>
        <w:tc>
          <w:tcPr>
            <w:tcW w:w="786" w:type="dxa"/>
            <w:tcBorders>
              <w:left w:val="single" w:color="auto" w:sz="4" w:space="0"/>
              <w:right w:val="single" w:color="auto" w:sz="4" w:space="0"/>
            </w:tcBorders>
            <w:noWrap/>
            <w:vAlign w:val="center"/>
          </w:tcPr>
          <w:p>
            <w:pPr>
              <w:pStyle w:val="37"/>
              <w:spacing w:line="240" w:lineRule="auto"/>
              <w:ind w:firstLine="210" w:firstLineChars="100"/>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15</w:t>
            </w:r>
          </w:p>
        </w:tc>
        <w:tc>
          <w:tcPr>
            <w:tcW w:w="570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有完善的安全检测机制和检测设备，检测监控如农药残留等安全问题，根据投标人提供的专业检测仪器设备情况及检测方案进行综合评审：</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方案完整合理、可行性强，得</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方案完整、可行性一般，得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方案基本完整、可行性较差，得</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方案不完整、可行性较差，得1分；</w:t>
            </w:r>
          </w:p>
          <w:p>
            <w:pPr>
              <w:pStyle w:val="37"/>
              <w:widowControl/>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436" w:type="dxa"/>
            <w:gridSpan w:val="4"/>
            <w:tcBorders>
              <w:left w:val="single" w:color="auto" w:sz="4" w:space="0"/>
              <w:right w:val="single" w:color="auto" w:sz="4" w:space="0"/>
            </w:tcBorders>
            <w:noWrap/>
            <w:vAlign w:val="center"/>
          </w:tcPr>
          <w:p>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b/>
                <w:color w:val="auto"/>
                <w:sz w:val="21"/>
                <w:szCs w:val="21"/>
                <w:highlight w:val="none"/>
              </w:rPr>
              <w:t>价格评分（</w:t>
            </w:r>
            <w:r>
              <w:rPr>
                <w:rFonts w:hint="eastAsia" w:ascii="宋体" w:eastAsia="宋体" w:cs="宋体"/>
                <w:b/>
                <w:color w:val="auto"/>
                <w:sz w:val="21"/>
                <w:szCs w:val="21"/>
                <w:highlight w:val="none"/>
                <w:lang w:val="en-US" w:eastAsia="zh-CN"/>
              </w:rPr>
              <w:t>0</w:t>
            </w:r>
            <w:r>
              <w:rPr>
                <w:rFonts w:hint="eastAsia" w:ascii="宋体" w:eastAsia="宋体" w:cs="宋体"/>
                <w:b/>
                <w:color w:val="auto"/>
                <w:sz w:val="21"/>
                <w:szCs w:val="21"/>
                <w:highlight w:val="none"/>
              </w:rPr>
              <w:t>分）</w:t>
            </w:r>
          </w:p>
        </w:tc>
      </w:tr>
    </w:tbl>
    <w:p>
      <w:pPr>
        <w:rPr>
          <w:color w:val="auto"/>
          <w:highlight w:val="none"/>
        </w:rPr>
      </w:pPr>
    </w:p>
    <w:p>
      <w:pPr>
        <w:rPr>
          <w:color w:val="auto"/>
          <w:highlight w:val="none"/>
        </w:rPr>
      </w:pPr>
      <w:r>
        <w:rPr>
          <w:rFonts w:hint="eastAsia"/>
          <w:color w:val="auto"/>
          <w:highlight w:val="none"/>
        </w:rPr>
        <w:br w:type="page"/>
      </w:r>
    </w:p>
    <w:p>
      <w:pPr>
        <w:pStyle w:val="4"/>
        <w:spacing w:before="0" w:after="0" w:line="240" w:lineRule="auto"/>
        <w:rPr>
          <w:color w:val="auto"/>
          <w:highlight w:val="none"/>
        </w:rPr>
      </w:pPr>
      <w:bookmarkStart w:id="17" w:name="_Toc29685"/>
      <w:bookmarkStart w:id="18" w:name="_Toc2479"/>
      <w:bookmarkStart w:id="19" w:name="_Toc30638"/>
      <w:bookmarkStart w:id="20" w:name="_Toc14146"/>
      <w:r>
        <w:rPr>
          <w:rFonts w:hint="eastAsia"/>
          <w:color w:val="auto"/>
          <w:sz w:val="28"/>
          <w:szCs w:val="28"/>
          <w:highlight w:val="none"/>
        </w:rPr>
        <w:t>第四部分 投标人须知</w:t>
      </w:r>
      <w:bookmarkEnd w:id="17"/>
      <w:bookmarkEnd w:id="18"/>
      <w:bookmarkEnd w:id="19"/>
      <w:bookmarkStart w:id="21" w:name="_Toc19746"/>
      <w:bookmarkStart w:id="22" w:name="_Toc11105"/>
      <w:bookmarkStart w:id="23" w:name="_Toc3095"/>
    </w:p>
    <w:p>
      <w:pPr>
        <w:pStyle w:val="5"/>
        <w:spacing w:line="480" w:lineRule="auto"/>
        <w:jc w:val="center"/>
        <w:rPr>
          <w:rFonts w:ascii="宋体" w:hAnsi="宋体"/>
          <w:color w:val="auto"/>
          <w:highlight w:val="none"/>
        </w:rPr>
      </w:pPr>
      <w:r>
        <w:rPr>
          <w:rFonts w:hint="eastAsia" w:ascii="宋体" w:hAnsi="宋体"/>
          <w:color w:val="auto"/>
          <w:highlight w:val="none"/>
        </w:rPr>
        <w:t>第一章说明</w:t>
      </w:r>
      <w:bookmarkEnd w:id="21"/>
      <w:bookmarkEnd w:id="22"/>
      <w:bookmarkEnd w:id="23"/>
    </w:p>
    <w:p>
      <w:pPr>
        <w:pStyle w:val="6"/>
        <w:widowControl w:val="0"/>
        <w:overflowPunct w:val="0"/>
        <w:spacing w:line="240" w:lineRule="auto"/>
        <w:rPr>
          <w:rFonts w:ascii="宋体" w:hAnsi="宋体"/>
          <w:color w:val="auto"/>
          <w:sz w:val="21"/>
          <w:szCs w:val="21"/>
          <w:highlight w:val="none"/>
        </w:rPr>
      </w:pPr>
      <w:bookmarkStart w:id="24" w:name="_Toc22803"/>
      <w:bookmarkStart w:id="25" w:name="_Toc18488"/>
      <w:bookmarkStart w:id="26" w:name="_Toc22847"/>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27" w:name="_Toc21002"/>
      <w:bookmarkStart w:id="28" w:name="_Toc16848"/>
      <w:bookmarkStart w:id="29" w:name="_Toc13400"/>
      <w:r>
        <w:rPr>
          <w:rFonts w:hint="eastAsia" w:ascii="宋体" w:hAnsi="宋体"/>
          <w:color w:val="auto"/>
          <w:sz w:val="21"/>
          <w:szCs w:val="21"/>
          <w:highlight w:val="none"/>
        </w:rPr>
        <w:t>2.</w:t>
      </w:r>
      <w:bookmarkStart w:id="30" w:name="_Toc1530"/>
      <w:bookmarkStart w:id="31" w:name="_Toc303084246"/>
      <w:bookmarkStart w:id="32" w:name="_Toc298847174"/>
      <w:bookmarkStart w:id="33" w:name="_Toc382049092"/>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4" w:name="_Toc9710"/>
      <w:bookmarkStart w:id="35" w:name="_Toc3780"/>
      <w:bookmarkStart w:id="36" w:name="_Toc2996"/>
      <w:r>
        <w:rPr>
          <w:rFonts w:hint="eastAsia" w:ascii="宋体" w:hAnsi="宋体"/>
          <w:color w:val="auto"/>
          <w:sz w:val="21"/>
          <w:szCs w:val="21"/>
          <w:highlight w:val="none"/>
        </w:rPr>
        <w:t>3.货物和服务</w:t>
      </w:r>
      <w:bookmarkEnd w:id="34"/>
      <w:bookmarkEnd w:id="35"/>
      <w:bookmarkEnd w:id="36"/>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7" w:name="_Toc15945"/>
      <w:bookmarkStart w:id="38" w:name="_Toc12536"/>
      <w:bookmarkStart w:id="39" w:name="_Toc13909"/>
      <w:r>
        <w:rPr>
          <w:rFonts w:hint="eastAsia" w:ascii="宋体" w:hAnsi="宋体"/>
          <w:color w:val="auto"/>
          <w:sz w:val="21"/>
          <w:szCs w:val="21"/>
          <w:highlight w:val="none"/>
        </w:rPr>
        <w:t>4.投标费用</w:t>
      </w:r>
      <w:bookmarkEnd w:id="37"/>
      <w:bookmarkEnd w:id="38"/>
      <w:bookmarkEnd w:id="39"/>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0" w:name="_Toc19094"/>
      <w:bookmarkStart w:id="41" w:name="_Toc19532"/>
      <w:bookmarkStart w:id="42" w:name="_Toc25040"/>
      <w:r>
        <w:rPr>
          <w:rFonts w:hint="eastAsia" w:ascii="宋体" w:hAnsi="宋体"/>
          <w:color w:val="auto"/>
          <w:sz w:val="21"/>
          <w:szCs w:val="21"/>
          <w:highlight w:val="none"/>
        </w:rPr>
        <w:t>5.知识产权</w:t>
      </w:r>
      <w:bookmarkEnd w:id="40"/>
      <w:bookmarkEnd w:id="41"/>
      <w:bookmarkEnd w:id="42"/>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3" w:name="_Toc21930"/>
      <w:bookmarkStart w:id="44" w:name="_Toc31885"/>
      <w:bookmarkStart w:id="45" w:name="_Toc8432"/>
      <w:r>
        <w:rPr>
          <w:rFonts w:hint="eastAsia" w:ascii="宋体" w:hAnsi="宋体"/>
          <w:color w:val="auto"/>
          <w:sz w:val="21"/>
          <w:szCs w:val="21"/>
          <w:highlight w:val="none"/>
        </w:rPr>
        <w:t>6.关于联合体投标</w:t>
      </w:r>
      <w:bookmarkEnd w:id="43"/>
      <w:bookmarkEnd w:id="44"/>
      <w:bookmarkEnd w:id="45"/>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6" w:name="_Toc32331"/>
      <w:bookmarkStart w:id="47" w:name="_Toc16571"/>
      <w:bookmarkStart w:id="48" w:name="_Toc13811"/>
      <w:bookmarkStart w:id="49" w:name="_Toc17879"/>
      <w:r>
        <w:rPr>
          <w:rFonts w:hint="eastAsia" w:ascii="宋体" w:hAnsi="宋体"/>
          <w:color w:val="auto"/>
          <w:sz w:val="21"/>
          <w:szCs w:val="21"/>
          <w:highlight w:val="none"/>
        </w:rPr>
        <w:t>7.关于分支机构投标</w:t>
      </w:r>
      <w:bookmarkEnd w:id="46"/>
      <w:bookmarkEnd w:id="47"/>
      <w:bookmarkEnd w:id="48"/>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5"/>
        <w:spacing w:line="480" w:lineRule="auto"/>
        <w:jc w:val="center"/>
        <w:rPr>
          <w:rFonts w:ascii="宋体" w:hAnsi="宋体"/>
          <w:color w:val="auto"/>
          <w:highlight w:val="none"/>
        </w:rPr>
      </w:pPr>
      <w:bookmarkStart w:id="51" w:name="_Toc27045"/>
      <w:bookmarkStart w:id="52" w:name="_Toc18115"/>
      <w:r>
        <w:rPr>
          <w:rFonts w:hint="eastAsia" w:ascii="宋体" w:hAnsi="宋体"/>
          <w:color w:val="auto"/>
          <w:highlight w:val="none"/>
        </w:rPr>
        <w:t>第二章招标文件</w:t>
      </w:r>
      <w:bookmarkEnd w:id="49"/>
      <w:bookmarkEnd w:id="51"/>
      <w:bookmarkEnd w:id="52"/>
    </w:p>
    <w:p>
      <w:pPr>
        <w:pStyle w:val="6"/>
        <w:widowControl w:val="0"/>
        <w:overflowPunct w:val="0"/>
        <w:spacing w:line="240" w:lineRule="auto"/>
        <w:rPr>
          <w:rFonts w:ascii="宋体" w:hAnsi="宋体"/>
          <w:color w:val="auto"/>
          <w:sz w:val="21"/>
          <w:szCs w:val="21"/>
          <w:highlight w:val="none"/>
        </w:rPr>
      </w:pPr>
      <w:bookmarkStart w:id="53" w:name="_Toc13494"/>
      <w:bookmarkStart w:id="54" w:name="_Toc21771"/>
      <w:bookmarkStart w:id="55" w:name="_Toc1423"/>
      <w:r>
        <w:rPr>
          <w:rFonts w:hint="eastAsia" w:ascii="宋体" w:hAnsi="宋体"/>
          <w:color w:val="auto"/>
          <w:sz w:val="21"/>
          <w:szCs w:val="21"/>
          <w:highlight w:val="none"/>
        </w:rPr>
        <w:t>8.招标文件的组成</w:t>
      </w:r>
      <w:bookmarkEnd w:id="53"/>
      <w:bookmarkEnd w:id="54"/>
      <w:bookmarkEnd w:id="55"/>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6"/>
        <w:widowControl w:val="0"/>
        <w:overflowPunct w:val="0"/>
        <w:rPr>
          <w:rFonts w:ascii="宋体" w:hAnsi="宋体"/>
          <w:color w:val="auto"/>
          <w:sz w:val="21"/>
          <w:szCs w:val="21"/>
          <w:highlight w:val="none"/>
        </w:rPr>
      </w:pPr>
      <w:bookmarkStart w:id="56" w:name="_Toc14217"/>
      <w:bookmarkStart w:id="57" w:name="_Toc7997"/>
      <w:bookmarkStart w:id="58" w:name="_Toc17274"/>
      <w:r>
        <w:rPr>
          <w:rFonts w:hint="eastAsia" w:ascii="宋体" w:hAnsi="宋体"/>
          <w:color w:val="auto"/>
          <w:sz w:val="21"/>
          <w:szCs w:val="21"/>
          <w:highlight w:val="none"/>
        </w:rPr>
        <w:t>9.招标文件的澄清或修改</w:t>
      </w:r>
      <w:bookmarkEnd w:id="56"/>
      <w:bookmarkEnd w:id="57"/>
      <w:bookmarkEnd w:id="58"/>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5"/>
        <w:spacing w:line="480" w:lineRule="auto"/>
        <w:jc w:val="center"/>
        <w:rPr>
          <w:rFonts w:ascii="宋体" w:hAnsi="宋体"/>
          <w:color w:val="auto"/>
          <w:highlight w:val="none"/>
        </w:rPr>
      </w:pPr>
      <w:bookmarkStart w:id="59" w:name="_Toc16712"/>
      <w:bookmarkStart w:id="60" w:name="_Toc4773"/>
      <w:bookmarkStart w:id="61" w:name="_Toc23726"/>
      <w:r>
        <w:rPr>
          <w:rFonts w:hint="eastAsia" w:ascii="宋体" w:hAnsi="宋体"/>
          <w:color w:val="auto"/>
          <w:highlight w:val="none"/>
        </w:rPr>
        <w:t>第三章投标文件的编制</w:t>
      </w:r>
      <w:bookmarkEnd w:id="59"/>
      <w:bookmarkEnd w:id="60"/>
      <w:bookmarkEnd w:id="61"/>
    </w:p>
    <w:p>
      <w:pPr>
        <w:pStyle w:val="6"/>
        <w:widowControl w:val="0"/>
        <w:overflowPunct w:val="0"/>
        <w:rPr>
          <w:rFonts w:ascii="宋体" w:hAnsi="宋体"/>
          <w:color w:val="auto"/>
          <w:sz w:val="21"/>
          <w:szCs w:val="21"/>
          <w:highlight w:val="none"/>
        </w:rPr>
      </w:pPr>
      <w:bookmarkStart w:id="62" w:name="_Toc20623"/>
      <w:bookmarkStart w:id="63" w:name="_Toc28092"/>
      <w:bookmarkStart w:id="64" w:name="_Toc7434"/>
      <w:r>
        <w:rPr>
          <w:rFonts w:hint="eastAsia" w:ascii="宋体" w:hAnsi="宋体"/>
          <w:color w:val="auto"/>
          <w:sz w:val="21"/>
          <w:szCs w:val="21"/>
          <w:highlight w:val="none"/>
        </w:rPr>
        <w:t>10.投标文件的语言及度量衡单位</w:t>
      </w:r>
      <w:bookmarkEnd w:id="62"/>
      <w:bookmarkEnd w:id="63"/>
      <w:bookmarkEnd w:id="64"/>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65" w:name="_Toc382049103"/>
      <w:bookmarkStart w:id="66" w:name="_Toc303084256"/>
      <w:bookmarkStart w:id="67" w:name="_Toc307934854"/>
      <w:bookmarkStart w:id="68" w:name="_Toc7728"/>
      <w:bookmarkStart w:id="69" w:name="_Toc12145"/>
      <w:bookmarkStart w:id="70" w:name="_Toc28866"/>
      <w:bookmarkStart w:id="71" w:name="_Toc18999"/>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6"/>
        <w:widowControl w:val="0"/>
        <w:overflowPunct w:val="0"/>
        <w:rPr>
          <w:rFonts w:ascii="宋体" w:hAnsi="宋体"/>
          <w:color w:val="auto"/>
          <w:sz w:val="21"/>
          <w:szCs w:val="21"/>
          <w:highlight w:val="none"/>
        </w:rPr>
      </w:pPr>
      <w:bookmarkStart w:id="72" w:name="_Toc30189"/>
      <w:bookmarkStart w:id="73" w:name="_Toc3882"/>
      <w:bookmarkStart w:id="74" w:name="_Toc21747"/>
      <w:r>
        <w:rPr>
          <w:rFonts w:hint="eastAsia" w:ascii="宋体" w:hAnsi="宋体"/>
          <w:color w:val="auto"/>
          <w:sz w:val="21"/>
          <w:szCs w:val="21"/>
          <w:highlight w:val="none"/>
        </w:rPr>
        <w:t>12.投标文件编制</w:t>
      </w:r>
      <w:bookmarkEnd w:id="72"/>
      <w:bookmarkEnd w:id="73"/>
      <w:bookmarkEnd w:id="74"/>
    </w:p>
    <w:p>
      <w:pPr>
        <w:pStyle w:val="34"/>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4"/>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4"/>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6"/>
        <w:widowControl w:val="0"/>
        <w:overflowPunct w:val="0"/>
        <w:rPr>
          <w:rFonts w:ascii="宋体" w:hAnsi="宋体"/>
          <w:color w:val="auto"/>
          <w:sz w:val="21"/>
          <w:szCs w:val="21"/>
          <w:highlight w:val="none"/>
        </w:rPr>
      </w:pPr>
      <w:bookmarkStart w:id="76" w:name="_Toc259"/>
      <w:bookmarkStart w:id="77" w:name="_Toc17188"/>
      <w:bookmarkStart w:id="78" w:name="_Toc7847"/>
      <w:r>
        <w:rPr>
          <w:rFonts w:hint="eastAsia" w:ascii="宋体" w:hAnsi="宋体"/>
          <w:color w:val="auto"/>
          <w:sz w:val="21"/>
          <w:szCs w:val="21"/>
          <w:highlight w:val="none"/>
        </w:rPr>
        <w:t>13.投标报价说明</w:t>
      </w:r>
      <w:bookmarkEnd w:id="76"/>
      <w:bookmarkEnd w:id="77"/>
      <w:bookmarkEnd w:id="78"/>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6"/>
        <w:widowControl w:val="0"/>
        <w:overflowPunct w:val="0"/>
        <w:rPr>
          <w:rFonts w:ascii="宋体" w:hAnsi="宋体"/>
          <w:color w:val="auto"/>
          <w:sz w:val="21"/>
          <w:szCs w:val="21"/>
          <w:highlight w:val="none"/>
        </w:rPr>
      </w:pPr>
      <w:bookmarkStart w:id="79" w:name="_Toc18911"/>
      <w:bookmarkStart w:id="80" w:name="_Toc16535"/>
      <w:bookmarkStart w:id="81" w:name="_Toc27724"/>
      <w:r>
        <w:rPr>
          <w:rFonts w:hint="eastAsia" w:ascii="宋体" w:hAnsi="宋体"/>
          <w:color w:val="auto"/>
          <w:sz w:val="21"/>
          <w:szCs w:val="21"/>
          <w:highlight w:val="none"/>
        </w:rPr>
        <w:t>14.投标人所提供的服务或货物的证明文件</w:t>
      </w:r>
      <w:bookmarkEnd w:id="79"/>
      <w:bookmarkEnd w:id="80"/>
      <w:bookmarkEnd w:id="81"/>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4"/>
        <w:widowControl w:val="0"/>
        <w:adjustRightInd/>
        <w:snapToGrid/>
        <w:ind w:left="425" w:firstLine="0" w:firstLineChars="0"/>
        <w:jc w:val="both"/>
        <w:rPr>
          <w:color w:val="auto"/>
          <w:highlight w:val="none"/>
        </w:rPr>
      </w:pPr>
    </w:p>
    <w:p>
      <w:pPr>
        <w:pStyle w:val="6"/>
        <w:widowControl w:val="0"/>
        <w:overflowPunct w:val="0"/>
        <w:rPr>
          <w:rFonts w:ascii="宋体" w:hAnsi="宋体"/>
          <w:color w:val="auto"/>
          <w:sz w:val="21"/>
          <w:szCs w:val="21"/>
          <w:highlight w:val="none"/>
        </w:rPr>
      </w:pPr>
      <w:bookmarkStart w:id="84" w:name="_Toc22169"/>
      <w:bookmarkStart w:id="85" w:name="_Toc30815"/>
      <w:bookmarkStart w:id="86" w:name="_Toc19520"/>
      <w:r>
        <w:rPr>
          <w:rFonts w:hint="eastAsia" w:ascii="宋体" w:hAnsi="宋体"/>
          <w:color w:val="auto"/>
          <w:sz w:val="21"/>
          <w:szCs w:val="21"/>
          <w:highlight w:val="none"/>
        </w:rPr>
        <w:t>15.★投标有效期</w:t>
      </w:r>
      <w:bookmarkEnd w:id="84"/>
      <w:bookmarkEnd w:id="85"/>
      <w:bookmarkEnd w:id="86"/>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87" w:name="_Toc12456"/>
      <w:bookmarkStart w:id="88" w:name="_Toc25817"/>
      <w:bookmarkStart w:id="89" w:name="_Toc30257"/>
      <w:r>
        <w:rPr>
          <w:rFonts w:hint="eastAsia" w:ascii="宋体" w:hAnsi="宋体"/>
          <w:color w:val="auto"/>
          <w:sz w:val="21"/>
          <w:szCs w:val="21"/>
          <w:highlight w:val="none"/>
        </w:rPr>
        <w:t>16.★投标保证金</w:t>
      </w:r>
      <w:bookmarkEnd w:id="87"/>
      <w:bookmarkEnd w:id="88"/>
      <w:bookmarkEnd w:id="89"/>
    </w:p>
    <w:p>
      <w:pPr>
        <w:pStyle w:val="34"/>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5"/>
        <w:spacing w:line="480" w:lineRule="auto"/>
        <w:jc w:val="center"/>
        <w:rPr>
          <w:rFonts w:ascii="宋体" w:hAnsi="宋体"/>
          <w:color w:val="auto"/>
          <w:highlight w:val="none"/>
        </w:rPr>
      </w:pPr>
      <w:bookmarkStart w:id="91" w:name="_Toc24109"/>
      <w:bookmarkStart w:id="92" w:name="_Toc3200"/>
      <w:bookmarkStart w:id="93" w:name="_Toc31124"/>
      <w:r>
        <w:rPr>
          <w:rFonts w:hint="eastAsia" w:ascii="宋体" w:hAnsi="宋体"/>
          <w:color w:val="auto"/>
          <w:highlight w:val="none"/>
        </w:rPr>
        <w:t>第四章投标文件的递交</w:t>
      </w:r>
      <w:bookmarkEnd w:id="91"/>
      <w:bookmarkEnd w:id="92"/>
      <w:bookmarkEnd w:id="93"/>
    </w:p>
    <w:p>
      <w:pPr>
        <w:pStyle w:val="6"/>
        <w:widowControl w:val="0"/>
        <w:overflowPunct w:val="0"/>
        <w:rPr>
          <w:rFonts w:ascii="宋体" w:hAnsi="宋体"/>
          <w:color w:val="auto"/>
          <w:sz w:val="21"/>
          <w:szCs w:val="21"/>
          <w:highlight w:val="none"/>
        </w:rPr>
      </w:pPr>
      <w:bookmarkStart w:id="94" w:name="_Toc473"/>
      <w:bookmarkStart w:id="95" w:name="_Toc303084264"/>
      <w:bookmarkStart w:id="96" w:name="_Toc382049111"/>
      <w:bookmarkStart w:id="97" w:name="_Toc24997"/>
      <w:bookmarkStart w:id="98" w:name="_Toc23678"/>
      <w:bookmarkStart w:id="99" w:name="_Toc29590"/>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00" w:name="_Toc17417"/>
      <w:bookmarkStart w:id="101" w:name="_Toc8628"/>
      <w:bookmarkStart w:id="102" w:name="_Toc7473"/>
      <w:r>
        <w:rPr>
          <w:rFonts w:hint="eastAsia" w:ascii="宋体" w:hAnsi="宋体"/>
          <w:color w:val="auto"/>
          <w:sz w:val="21"/>
          <w:szCs w:val="21"/>
          <w:highlight w:val="none"/>
        </w:rPr>
        <w:t>18.迟交的投标文件</w:t>
      </w:r>
      <w:bookmarkEnd w:id="100"/>
      <w:bookmarkEnd w:id="101"/>
      <w:bookmarkEnd w:id="102"/>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6"/>
        <w:widowControl w:val="0"/>
        <w:overflowPunct w:val="0"/>
        <w:rPr>
          <w:rFonts w:ascii="宋体" w:hAnsi="宋体"/>
          <w:color w:val="auto"/>
          <w:sz w:val="21"/>
          <w:szCs w:val="21"/>
          <w:highlight w:val="none"/>
        </w:rPr>
      </w:pPr>
      <w:bookmarkStart w:id="103" w:name="_Toc13212"/>
      <w:bookmarkStart w:id="104" w:name="_Toc8526"/>
      <w:bookmarkStart w:id="105" w:name="_Toc19649"/>
      <w:r>
        <w:rPr>
          <w:rFonts w:hint="eastAsia" w:ascii="宋体" w:hAnsi="宋体"/>
          <w:color w:val="auto"/>
          <w:sz w:val="21"/>
          <w:szCs w:val="21"/>
          <w:highlight w:val="none"/>
        </w:rPr>
        <w:t>19.投标样品（如需提交）</w:t>
      </w:r>
      <w:bookmarkEnd w:id="103"/>
      <w:bookmarkEnd w:id="104"/>
      <w:bookmarkEnd w:id="105"/>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6"/>
        <w:widowControl w:val="0"/>
        <w:overflowPunct w:val="0"/>
        <w:rPr>
          <w:rFonts w:ascii="宋体" w:hAnsi="宋体"/>
          <w:color w:val="auto"/>
          <w:sz w:val="21"/>
          <w:szCs w:val="21"/>
          <w:highlight w:val="none"/>
        </w:rPr>
      </w:pPr>
      <w:bookmarkStart w:id="106" w:name="_Toc303084265"/>
      <w:bookmarkStart w:id="107" w:name="_Toc7689"/>
      <w:bookmarkStart w:id="108" w:name="_Toc23477"/>
      <w:bookmarkStart w:id="109" w:name="_Toc9777"/>
      <w:bookmarkStart w:id="110" w:name="_Toc382049112"/>
      <w:bookmarkStart w:id="111" w:name="_Toc5900"/>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6"/>
        <w:widowControl w:val="0"/>
        <w:overflowPunct w:val="0"/>
        <w:rPr>
          <w:rFonts w:ascii="宋体" w:hAnsi="宋体"/>
          <w:color w:val="auto"/>
          <w:sz w:val="21"/>
          <w:szCs w:val="21"/>
          <w:highlight w:val="none"/>
        </w:rPr>
      </w:pPr>
      <w:bookmarkStart w:id="112" w:name="_Toc11133"/>
      <w:bookmarkStart w:id="113" w:name="_Toc6003"/>
      <w:bookmarkStart w:id="114" w:name="_Toc15569"/>
      <w:r>
        <w:rPr>
          <w:rFonts w:hint="eastAsia" w:ascii="宋体" w:hAnsi="宋体"/>
          <w:color w:val="auto"/>
          <w:sz w:val="21"/>
          <w:szCs w:val="21"/>
          <w:highlight w:val="none"/>
        </w:rPr>
        <w:t>21.投标文件的补充、修改与撤回</w:t>
      </w:r>
      <w:bookmarkEnd w:id="112"/>
      <w:bookmarkEnd w:id="113"/>
      <w:bookmarkEnd w:id="114"/>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8"/>
        <w:rPr>
          <w:color w:val="auto"/>
          <w:highlight w:val="none"/>
        </w:rPr>
      </w:pPr>
    </w:p>
    <w:p>
      <w:pPr>
        <w:pStyle w:val="5"/>
        <w:spacing w:line="480" w:lineRule="auto"/>
        <w:jc w:val="center"/>
        <w:rPr>
          <w:rFonts w:ascii="宋体" w:hAnsi="宋体"/>
          <w:color w:val="auto"/>
          <w:highlight w:val="none"/>
        </w:rPr>
      </w:pPr>
      <w:bookmarkStart w:id="115" w:name="_Toc5049"/>
      <w:bookmarkStart w:id="116" w:name="_Toc29574"/>
      <w:bookmarkStart w:id="117" w:name="_Toc23466"/>
      <w:r>
        <w:rPr>
          <w:rFonts w:hint="eastAsia" w:ascii="宋体" w:hAnsi="宋体"/>
          <w:color w:val="auto"/>
          <w:highlight w:val="none"/>
        </w:rPr>
        <w:t>第五章开标与评标</w:t>
      </w:r>
      <w:bookmarkEnd w:id="115"/>
      <w:bookmarkEnd w:id="116"/>
      <w:bookmarkEnd w:id="117"/>
    </w:p>
    <w:p>
      <w:pPr>
        <w:pStyle w:val="6"/>
        <w:widowControl w:val="0"/>
        <w:overflowPunct w:val="0"/>
        <w:rPr>
          <w:rFonts w:ascii="宋体" w:hAnsi="宋体"/>
          <w:color w:val="auto"/>
          <w:sz w:val="21"/>
          <w:szCs w:val="21"/>
          <w:highlight w:val="none"/>
        </w:rPr>
      </w:pPr>
      <w:bookmarkStart w:id="118" w:name="_Toc27700"/>
      <w:bookmarkStart w:id="119" w:name="_Toc24251"/>
      <w:bookmarkStart w:id="120" w:name="_Toc28458"/>
      <w:r>
        <w:rPr>
          <w:rFonts w:hint="eastAsia" w:ascii="宋体" w:hAnsi="宋体"/>
          <w:color w:val="auto"/>
          <w:sz w:val="21"/>
          <w:szCs w:val="21"/>
          <w:highlight w:val="none"/>
        </w:rPr>
        <w:t>22.开标</w:t>
      </w:r>
      <w:bookmarkEnd w:id="118"/>
      <w:bookmarkEnd w:id="119"/>
      <w:bookmarkEnd w:id="120"/>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121" w:name="_Toc5974"/>
      <w:bookmarkStart w:id="122" w:name="_Toc4921"/>
      <w:bookmarkStart w:id="123" w:name="_Toc5524"/>
      <w:r>
        <w:rPr>
          <w:rFonts w:hint="eastAsia" w:ascii="宋体" w:hAnsi="宋体"/>
          <w:color w:val="auto"/>
          <w:sz w:val="21"/>
          <w:szCs w:val="21"/>
          <w:highlight w:val="none"/>
        </w:rPr>
        <w:t>23.评标委员会及评标方法</w:t>
      </w:r>
      <w:bookmarkEnd w:id="121"/>
      <w:bookmarkEnd w:id="122"/>
      <w:bookmarkEnd w:id="123"/>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24" w:name="_Toc26402"/>
      <w:bookmarkStart w:id="125" w:name="_Toc15231"/>
      <w:bookmarkStart w:id="126" w:name="_Toc32730"/>
      <w:r>
        <w:rPr>
          <w:rFonts w:hint="eastAsia" w:ascii="宋体" w:hAnsi="宋体"/>
          <w:color w:val="auto"/>
          <w:sz w:val="21"/>
          <w:szCs w:val="21"/>
          <w:highlight w:val="none"/>
        </w:rPr>
        <w:t>24.评审原则及评标过程的保密</w:t>
      </w:r>
      <w:bookmarkEnd w:id="124"/>
      <w:bookmarkEnd w:id="125"/>
      <w:bookmarkEnd w:id="126"/>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6"/>
        <w:widowControl w:val="0"/>
        <w:overflowPunct w:val="0"/>
        <w:rPr>
          <w:rFonts w:ascii="宋体" w:hAnsi="宋体"/>
          <w:color w:val="auto"/>
          <w:sz w:val="21"/>
          <w:szCs w:val="21"/>
          <w:highlight w:val="none"/>
        </w:rPr>
      </w:pPr>
      <w:bookmarkStart w:id="127" w:name="_Toc3762"/>
      <w:bookmarkStart w:id="128" w:name="_Toc18436"/>
      <w:bookmarkStart w:id="129" w:name="_Toc16745"/>
      <w:r>
        <w:rPr>
          <w:rFonts w:hint="eastAsia" w:ascii="宋体" w:hAnsi="宋体"/>
          <w:color w:val="auto"/>
          <w:sz w:val="21"/>
          <w:szCs w:val="21"/>
          <w:highlight w:val="none"/>
        </w:rPr>
        <w:t>25.投标文件的初审</w:t>
      </w:r>
      <w:bookmarkEnd w:id="127"/>
      <w:bookmarkEnd w:id="128"/>
      <w:bookmarkEnd w:id="129"/>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投标保证金瑕疵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6"/>
        <w:widowControl w:val="0"/>
        <w:overflowPunct w:val="0"/>
        <w:rPr>
          <w:rFonts w:ascii="宋体" w:hAnsi="宋体"/>
          <w:color w:val="auto"/>
          <w:sz w:val="21"/>
          <w:szCs w:val="21"/>
          <w:highlight w:val="none"/>
        </w:rPr>
      </w:pPr>
      <w:bookmarkStart w:id="130" w:name="_Toc27673"/>
      <w:bookmarkStart w:id="131" w:name="_Toc29184"/>
      <w:bookmarkStart w:id="132" w:name="_Toc21742"/>
      <w:r>
        <w:rPr>
          <w:rFonts w:hint="eastAsia" w:ascii="宋体" w:hAnsi="宋体"/>
          <w:color w:val="auto"/>
          <w:sz w:val="21"/>
          <w:szCs w:val="21"/>
          <w:highlight w:val="none"/>
        </w:rPr>
        <w:t>26.商务、技术、价格评审（具体评审项目详见投标资料表）</w:t>
      </w:r>
      <w:bookmarkEnd w:id="130"/>
      <w:bookmarkEnd w:id="131"/>
      <w:bookmarkEnd w:id="132"/>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3" w:name="_Toc7593"/>
      <w:bookmarkStart w:id="134" w:name="_Toc22192"/>
      <w:bookmarkStart w:id="135" w:name="_Toc17683"/>
      <w:r>
        <w:rPr>
          <w:rFonts w:hint="eastAsia" w:ascii="宋体" w:hAnsi="宋体"/>
          <w:color w:val="auto"/>
          <w:sz w:val="21"/>
          <w:szCs w:val="21"/>
          <w:highlight w:val="none"/>
        </w:rPr>
        <w:t>27.优惠政策</w:t>
      </w:r>
      <w:bookmarkEnd w:id="133"/>
      <w:bookmarkEnd w:id="134"/>
      <w:bookmarkEnd w:id="135"/>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6" w:name="_Toc316375620"/>
      <w:bookmarkStart w:id="137" w:name="_Toc20328"/>
      <w:bookmarkStart w:id="138" w:name="_Toc12115"/>
      <w:bookmarkStart w:id="139" w:name="_Toc22591"/>
      <w:bookmarkStart w:id="140" w:name="_Toc382049120"/>
      <w:bookmarkStart w:id="141" w:name="_Toc31141"/>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spacing w:line="480" w:lineRule="auto"/>
        <w:jc w:val="center"/>
        <w:rPr>
          <w:rFonts w:ascii="宋体" w:hAnsi="宋体"/>
          <w:color w:val="auto"/>
          <w:highlight w:val="none"/>
        </w:rPr>
      </w:pPr>
      <w:bookmarkStart w:id="142" w:name="_Toc12251"/>
      <w:bookmarkStart w:id="143" w:name="_Toc29310"/>
      <w:bookmarkStart w:id="144" w:name="_Toc5528"/>
      <w:r>
        <w:rPr>
          <w:rFonts w:hint="eastAsia" w:ascii="宋体" w:hAnsi="宋体"/>
          <w:color w:val="auto"/>
          <w:highlight w:val="none"/>
        </w:rPr>
        <w:t>第六章授予合同</w:t>
      </w:r>
      <w:bookmarkEnd w:id="142"/>
      <w:bookmarkEnd w:id="143"/>
      <w:bookmarkEnd w:id="144"/>
    </w:p>
    <w:p>
      <w:pPr>
        <w:pStyle w:val="6"/>
        <w:widowControl w:val="0"/>
        <w:overflowPunct w:val="0"/>
        <w:rPr>
          <w:rFonts w:ascii="宋体" w:hAnsi="宋体"/>
          <w:color w:val="auto"/>
          <w:sz w:val="21"/>
          <w:szCs w:val="21"/>
          <w:highlight w:val="none"/>
        </w:rPr>
      </w:pPr>
      <w:bookmarkStart w:id="145" w:name="_Toc17778"/>
      <w:bookmarkStart w:id="146" w:name="_Toc27817"/>
      <w:bookmarkStart w:id="147" w:name="_Toc508284011"/>
      <w:bookmarkStart w:id="148" w:name="_Toc6696"/>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6"/>
        <w:widowControl w:val="0"/>
        <w:overflowPunct w:val="0"/>
        <w:rPr>
          <w:rFonts w:ascii="宋体" w:hAnsi="宋体"/>
          <w:color w:val="auto"/>
          <w:sz w:val="21"/>
          <w:szCs w:val="21"/>
          <w:highlight w:val="none"/>
        </w:rPr>
      </w:pPr>
      <w:bookmarkStart w:id="149" w:name="_Toc12440"/>
      <w:bookmarkStart w:id="150" w:name="_Toc508284013"/>
      <w:bookmarkStart w:id="151" w:name="_Toc29283"/>
      <w:bookmarkStart w:id="152" w:name="_Toc23136"/>
      <w:r>
        <w:rPr>
          <w:rFonts w:hint="eastAsia" w:ascii="宋体" w:hAnsi="宋体"/>
          <w:color w:val="auto"/>
          <w:sz w:val="21"/>
          <w:szCs w:val="21"/>
          <w:highlight w:val="none"/>
        </w:rPr>
        <w:t>30.发布采购结果</w:t>
      </w:r>
      <w:bookmarkEnd w:id="149"/>
      <w:bookmarkEnd w:id="150"/>
      <w:bookmarkEnd w:id="151"/>
      <w:bookmarkEnd w:id="152"/>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6"/>
        <w:widowControl w:val="0"/>
        <w:overflowPunct w:val="0"/>
        <w:rPr>
          <w:rFonts w:ascii="宋体" w:hAnsi="宋体"/>
          <w:color w:val="auto"/>
          <w:sz w:val="21"/>
          <w:szCs w:val="21"/>
          <w:highlight w:val="none"/>
        </w:rPr>
      </w:pPr>
      <w:bookmarkStart w:id="153" w:name="_Toc22451"/>
      <w:bookmarkStart w:id="154" w:name="_Toc27279"/>
      <w:bookmarkStart w:id="155" w:name="_Toc22262"/>
      <w:r>
        <w:rPr>
          <w:rFonts w:hint="eastAsia" w:ascii="宋体" w:hAnsi="宋体"/>
          <w:color w:val="auto"/>
          <w:sz w:val="21"/>
          <w:szCs w:val="21"/>
          <w:highlight w:val="none"/>
        </w:rPr>
        <w:t>31.合同的签订与履行</w:t>
      </w:r>
      <w:bookmarkEnd w:id="153"/>
      <w:bookmarkEnd w:id="154"/>
      <w:bookmarkEnd w:id="155"/>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6"/>
        <w:widowControl w:val="0"/>
        <w:overflowPunct w:val="0"/>
        <w:rPr>
          <w:rFonts w:ascii="宋体" w:hAnsi="宋体"/>
          <w:color w:val="auto"/>
          <w:sz w:val="21"/>
          <w:szCs w:val="21"/>
          <w:highlight w:val="none"/>
        </w:rPr>
      </w:pPr>
      <w:bookmarkStart w:id="156" w:name="_Toc382049124"/>
      <w:bookmarkStart w:id="157" w:name="_Toc303084277"/>
      <w:bookmarkStart w:id="158" w:name="_Toc25756"/>
      <w:bookmarkStart w:id="159" w:name="_Toc2744"/>
      <w:bookmarkStart w:id="160" w:name="_Toc7405"/>
      <w:bookmarkStart w:id="161" w:name="_Toc29009"/>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spacing w:line="480" w:lineRule="auto"/>
        <w:jc w:val="center"/>
        <w:rPr>
          <w:rFonts w:ascii="宋体" w:hAnsi="宋体"/>
          <w:color w:val="auto"/>
          <w:highlight w:val="none"/>
        </w:rPr>
      </w:pPr>
      <w:bookmarkStart w:id="162" w:name="_Toc20699"/>
      <w:bookmarkStart w:id="163" w:name="_Toc7360"/>
      <w:bookmarkStart w:id="164" w:name="_Toc13694"/>
      <w:r>
        <w:rPr>
          <w:rFonts w:hint="eastAsia" w:ascii="宋体" w:hAnsi="宋体"/>
          <w:color w:val="auto"/>
          <w:highlight w:val="none"/>
        </w:rPr>
        <w:t>第七章询问或质疑</w:t>
      </w:r>
      <w:bookmarkEnd w:id="162"/>
      <w:bookmarkEnd w:id="163"/>
      <w:bookmarkEnd w:id="164"/>
    </w:p>
    <w:p>
      <w:pPr>
        <w:pStyle w:val="6"/>
        <w:widowControl w:val="0"/>
        <w:overflowPunct w:val="0"/>
        <w:rPr>
          <w:rFonts w:ascii="宋体" w:hAnsi="宋体"/>
          <w:color w:val="auto"/>
          <w:sz w:val="21"/>
          <w:szCs w:val="21"/>
          <w:highlight w:val="none"/>
        </w:rPr>
      </w:pPr>
      <w:bookmarkStart w:id="165" w:name="_Toc17974"/>
      <w:bookmarkStart w:id="166" w:name="_Toc22900"/>
      <w:bookmarkStart w:id="167" w:name="_Toc25498"/>
      <w:r>
        <w:rPr>
          <w:rFonts w:hint="eastAsia" w:ascii="宋体" w:hAnsi="宋体"/>
          <w:color w:val="auto"/>
          <w:sz w:val="21"/>
          <w:szCs w:val="21"/>
          <w:highlight w:val="none"/>
        </w:rPr>
        <w:t>33.询问</w:t>
      </w:r>
      <w:bookmarkEnd w:id="165"/>
      <w:bookmarkEnd w:id="166"/>
      <w:bookmarkEnd w:id="167"/>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630" w:hanging="630" w:hangingChars="300"/>
        <w:jc w:val="both"/>
        <w:rPr>
          <w:rFonts w:ascii="宋体" w:hAnsi="宋体"/>
          <w:color w:val="auto"/>
          <w:szCs w:val="21"/>
          <w:highlight w:val="none"/>
        </w:rPr>
      </w:pPr>
      <w:r>
        <w:rPr>
          <w:rFonts w:hint="eastAsia" w:ascii="宋体" w:hAnsi="宋体"/>
          <w:color w:val="auto"/>
          <w:szCs w:val="21"/>
          <w:highlight w:val="none"/>
        </w:rPr>
        <w:t>33.2采购代理机构应当自收到投标人询问之日起3个工作日内作出答复，但答复的内容不得涉及商业秘密或者依法应当保密的内容。</w:t>
      </w:r>
    </w:p>
    <w:p>
      <w:pPr>
        <w:pStyle w:val="6"/>
        <w:widowControl w:val="0"/>
        <w:overflowPunct w:val="0"/>
        <w:rPr>
          <w:rFonts w:ascii="宋体" w:hAnsi="宋体"/>
          <w:color w:val="auto"/>
          <w:sz w:val="21"/>
          <w:szCs w:val="21"/>
          <w:highlight w:val="none"/>
        </w:rPr>
      </w:pPr>
      <w:bookmarkStart w:id="168" w:name="_Toc2767"/>
      <w:bookmarkStart w:id="169" w:name="_Toc8234"/>
      <w:bookmarkStart w:id="170" w:name="_Toc11264"/>
      <w:r>
        <w:rPr>
          <w:rFonts w:hint="eastAsia" w:ascii="宋体" w:hAnsi="宋体"/>
          <w:color w:val="auto"/>
          <w:sz w:val="21"/>
          <w:szCs w:val="21"/>
          <w:highlight w:val="none"/>
        </w:rPr>
        <w:t>34.质疑</w:t>
      </w:r>
      <w:bookmarkEnd w:id="168"/>
      <w:bookmarkEnd w:id="169"/>
      <w:bookmarkEnd w:id="170"/>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numPr>
          <w:ilvl w:val="1"/>
          <w:numId w:val="3"/>
        </w:numPr>
        <w:tabs>
          <w:tab w:val="left" w:pos="907"/>
        </w:tabs>
        <w:rPr>
          <w:color w:val="auto"/>
          <w:highlight w:val="none"/>
        </w:rPr>
      </w:pPr>
      <w:r>
        <w:rPr>
          <w:rFonts w:hint="eastAsia" w:ascii="宋体" w:hAnsi="宋体"/>
          <w:color w:val="auto"/>
          <w:szCs w:val="21"/>
          <w:highlight w:val="none"/>
        </w:rPr>
        <w:t>采购代理机构应当自受理投标人书面质疑之日起七个工作日内作出答复，并以书面形式通知提出质疑的投标人和其他有关投标人，但答复的内容不得涉及商业秘密或者依法应当保密的内容。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5"/>
        <w:spacing w:line="480" w:lineRule="auto"/>
        <w:jc w:val="center"/>
        <w:rPr>
          <w:rFonts w:ascii="宋体" w:hAnsi="宋体"/>
          <w:color w:val="auto"/>
          <w:highlight w:val="none"/>
        </w:rPr>
      </w:pPr>
      <w:bookmarkStart w:id="171" w:name="_Toc8919"/>
      <w:bookmarkStart w:id="172" w:name="_Toc24383"/>
      <w:bookmarkStart w:id="173" w:name="_Toc5690"/>
      <w:r>
        <w:rPr>
          <w:rFonts w:hint="eastAsia" w:ascii="宋体" w:hAnsi="宋体"/>
          <w:color w:val="auto"/>
          <w:highlight w:val="none"/>
        </w:rPr>
        <w:t>第八章其他</w:t>
      </w:r>
      <w:bookmarkEnd w:id="171"/>
      <w:bookmarkEnd w:id="172"/>
      <w:bookmarkEnd w:id="173"/>
    </w:p>
    <w:p>
      <w:pPr>
        <w:pStyle w:val="6"/>
        <w:widowControl w:val="0"/>
        <w:overflowPunct w:val="0"/>
        <w:rPr>
          <w:rFonts w:ascii="宋体" w:hAnsi="宋体"/>
          <w:color w:val="auto"/>
          <w:sz w:val="21"/>
          <w:szCs w:val="21"/>
          <w:highlight w:val="none"/>
        </w:rPr>
      </w:pPr>
      <w:bookmarkStart w:id="174" w:name="_Toc21187"/>
      <w:bookmarkStart w:id="175" w:name="_Toc6548"/>
      <w:bookmarkStart w:id="176" w:name="_Toc10082"/>
      <w:r>
        <w:rPr>
          <w:rFonts w:hint="eastAsia" w:ascii="宋体" w:hAnsi="宋体"/>
          <w:color w:val="auto"/>
          <w:sz w:val="21"/>
          <w:szCs w:val="21"/>
          <w:highlight w:val="none"/>
        </w:rPr>
        <w:t>35.招标文件的解释权</w:t>
      </w:r>
      <w:bookmarkEnd w:id="174"/>
      <w:bookmarkEnd w:id="175"/>
      <w:bookmarkEnd w:id="176"/>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4"/>
        <w:spacing w:before="0" w:after="0" w:line="240" w:lineRule="auto"/>
        <w:rPr>
          <w:color w:val="auto"/>
          <w:sz w:val="28"/>
          <w:szCs w:val="28"/>
          <w:highlight w:val="none"/>
        </w:rPr>
      </w:pPr>
      <w:bookmarkStart w:id="177" w:name="_Toc7011"/>
      <w:bookmarkStart w:id="178" w:name="_Toc31854"/>
      <w:bookmarkStart w:id="179" w:name="_Toc382"/>
      <w:r>
        <w:rPr>
          <w:rFonts w:hint="eastAsia"/>
          <w:color w:val="auto"/>
          <w:sz w:val="28"/>
          <w:szCs w:val="28"/>
          <w:highlight w:val="none"/>
        </w:rPr>
        <w:t>第五部分 用户需求书</w:t>
      </w:r>
      <w:bookmarkEnd w:id="177"/>
      <w:bookmarkEnd w:id="178"/>
      <w:bookmarkEnd w:id="179"/>
    </w:p>
    <w:p>
      <w:pPr>
        <w:pStyle w:val="5"/>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4"/>
        <w:tblW w:w="8395"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71"/>
        <w:gridCol w:w="67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1671" w:type="dxa"/>
            <w:vAlign w:val="center"/>
          </w:tcPr>
          <w:p>
            <w:pPr>
              <w:jc w:val="center"/>
              <w:rPr>
                <w:rFonts w:ascii="宋体" w:hAnsi="宋体" w:cs="宋体"/>
                <w:b/>
                <w:bCs/>
                <w:color w:val="auto"/>
                <w:szCs w:val="21"/>
                <w:highlight w:val="none"/>
                <w:lang w:bidi="zh-CN"/>
              </w:rPr>
            </w:pPr>
            <w:r>
              <w:rPr>
                <w:rFonts w:hint="eastAsia" w:ascii="宋体" w:hAnsi="宋体" w:cs="宋体"/>
                <w:b/>
                <w:bCs/>
                <w:color w:val="auto"/>
                <w:szCs w:val="21"/>
                <w:highlight w:val="none"/>
              </w:rPr>
              <w:t>条款名称</w:t>
            </w:r>
          </w:p>
        </w:tc>
        <w:tc>
          <w:tcPr>
            <w:tcW w:w="6724" w:type="dxa"/>
            <w:vAlign w:val="center"/>
          </w:tcPr>
          <w:p>
            <w:pPr>
              <w:jc w:val="center"/>
              <w:rPr>
                <w:rFonts w:ascii="宋体" w:hAnsi="宋体" w:cs="宋体"/>
                <w:b/>
                <w:bCs/>
                <w:color w:val="auto"/>
                <w:szCs w:val="21"/>
                <w:highlight w:val="none"/>
                <w:lang w:bidi="zh-CN"/>
              </w:rPr>
            </w:pPr>
            <w:r>
              <w:rPr>
                <w:rFonts w:hint="eastAsia" w:ascii="宋体" w:hAnsi="宋体" w:cs="宋体"/>
                <w:b/>
                <w:bCs/>
                <w:color w:val="auto"/>
                <w:szCs w:val="21"/>
                <w:highlight w:val="none"/>
              </w:rPr>
              <w:t>说  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8" w:hRule="atLeast"/>
        </w:trPr>
        <w:tc>
          <w:tcPr>
            <w:tcW w:w="1671" w:type="dxa"/>
            <w:vAlign w:val="center"/>
          </w:tcPr>
          <w:p>
            <w:pPr>
              <w:jc w:val="center"/>
              <w:rPr>
                <w:rFonts w:ascii="宋体" w:hAnsi="宋体" w:cs="宋体"/>
                <w:color w:val="auto"/>
                <w:szCs w:val="21"/>
                <w:highlight w:val="none"/>
                <w:lang w:bidi="zh-CN"/>
              </w:rPr>
            </w:pPr>
            <w:r>
              <w:rPr>
                <w:rFonts w:hint="eastAsia" w:ascii="宋体" w:hAnsi="宋体" w:cs="宋体"/>
                <w:color w:val="auto"/>
                <w:szCs w:val="21"/>
                <w:highlight w:val="none"/>
              </w:rPr>
              <w:t>合格投标人</w:t>
            </w:r>
          </w:p>
        </w:tc>
        <w:tc>
          <w:tcPr>
            <w:tcW w:w="6724" w:type="dxa"/>
            <w:vAlign w:val="center"/>
          </w:tcPr>
          <w:p>
            <w:pPr>
              <w:pStyle w:val="34"/>
              <w:ind w:left="210" w:leftChars="100" w:firstLine="210" w:firstLineChars="100"/>
              <w:rPr>
                <w:rFonts w:ascii="宋体" w:hAnsi="宋体" w:cs="宋体"/>
                <w:color w:val="auto"/>
                <w:szCs w:val="21"/>
                <w:highlight w:val="none"/>
                <w:lang w:bidi="zh-CN"/>
              </w:rPr>
            </w:pPr>
            <w:r>
              <w:rPr>
                <w:rFonts w:hint="eastAsia" w:ascii="宋体" w:hAnsi="宋体" w:cs="宋体"/>
                <w:color w:val="auto"/>
                <w:szCs w:val="21"/>
                <w:highlight w:val="none"/>
              </w:rPr>
              <w:t>详见“投标人资格要求”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1671" w:type="dxa"/>
            <w:vAlign w:val="center"/>
          </w:tcPr>
          <w:p>
            <w:pPr>
              <w:widowControl w:val="0"/>
              <w:autoSpaceDE w:val="0"/>
              <w:autoSpaceDN w:val="0"/>
              <w:adjustRightInd/>
              <w:snapToGrid/>
              <w:spacing w:line="288" w:lineRule="auto"/>
              <w:jc w:val="center"/>
              <w:rPr>
                <w:rFonts w:ascii="宋体" w:hAnsi="宋体" w:cs="宋体"/>
                <w:color w:val="auto"/>
                <w:szCs w:val="21"/>
                <w:highlight w:val="none"/>
                <w:lang w:bidi="zh-CN"/>
              </w:rPr>
            </w:pPr>
            <w:r>
              <w:rPr>
                <w:rFonts w:hint="eastAsia" w:ascii="宋体" w:hAnsi="宋体" w:cs="宋体"/>
                <w:color w:val="auto"/>
                <w:szCs w:val="21"/>
                <w:highlight w:val="none"/>
                <w:lang w:bidi="zh-CN"/>
              </w:rPr>
              <w:t>服务期限</w:t>
            </w:r>
          </w:p>
        </w:tc>
        <w:tc>
          <w:tcPr>
            <w:tcW w:w="6724" w:type="dxa"/>
            <w:vAlign w:val="center"/>
          </w:tcPr>
          <w:p>
            <w:pPr>
              <w:ind w:firstLine="420" w:firstLineChars="200"/>
              <w:rPr>
                <w:rFonts w:ascii="宋体" w:hAnsi="宋体" w:cs="宋体"/>
                <w:color w:val="auto"/>
                <w:szCs w:val="21"/>
                <w:highlight w:val="none"/>
                <w:lang w:val="zh-CN" w:bidi="zh-CN"/>
              </w:rPr>
            </w:pPr>
            <w:r>
              <w:rPr>
                <w:rFonts w:hint="eastAsia" w:ascii="宋体" w:hAnsi="宋体" w:cs="宋体"/>
                <w:color w:val="auto"/>
                <w:szCs w:val="21"/>
                <w:highlight w:val="none"/>
                <w:lang w:bidi="zh-CN"/>
              </w:rPr>
              <w:t>自</w:t>
            </w:r>
            <w:r>
              <w:rPr>
                <w:rFonts w:hint="eastAsia" w:ascii="宋体" w:hAnsi="宋体" w:cs="宋体"/>
                <w:color w:val="auto"/>
                <w:szCs w:val="21"/>
                <w:highlight w:val="none"/>
                <w:lang w:val="zh-CN" w:bidi="zh-CN"/>
              </w:rPr>
              <w:t>合同签订</w:t>
            </w:r>
            <w:r>
              <w:rPr>
                <w:rFonts w:hint="eastAsia" w:ascii="宋体" w:hAnsi="宋体" w:cs="宋体"/>
                <w:color w:val="auto"/>
                <w:szCs w:val="21"/>
                <w:highlight w:val="none"/>
                <w:lang w:bidi="zh-CN"/>
              </w:rPr>
              <w:t>之日起</w:t>
            </w:r>
            <w:r>
              <w:rPr>
                <w:rFonts w:hint="eastAsia" w:ascii="宋体" w:hAnsi="宋体" w:cs="宋体"/>
                <w:color w:val="auto"/>
                <w:szCs w:val="21"/>
                <w:highlight w:val="none"/>
                <w:lang w:val="en-US" w:bidi="zh-CN"/>
              </w:rPr>
              <w:t>一</w:t>
            </w:r>
            <w:r>
              <w:rPr>
                <w:rFonts w:hint="eastAsia" w:ascii="宋体" w:hAnsi="宋体" w:cs="宋体"/>
                <w:color w:val="auto"/>
                <w:szCs w:val="21"/>
                <w:highlight w:val="none"/>
                <w:lang w:val="zh-CN" w:bidi="zh-CN"/>
              </w:rPr>
              <w:t>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1671" w:type="dxa"/>
            <w:vAlign w:val="center"/>
          </w:tcPr>
          <w:p>
            <w:pPr>
              <w:widowControl w:val="0"/>
              <w:autoSpaceDE w:val="0"/>
              <w:autoSpaceDN w:val="0"/>
              <w:adjustRightInd/>
              <w:snapToGrid/>
              <w:spacing w:line="288" w:lineRule="auto"/>
              <w:jc w:val="center"/>
              <w:rPr>
                <w:rFonts w:ascii="宋体" w:hAnsi="宋体" w:cs="宋体"/>
                <w:color w:val="auto"/>
                <w:szCs w:val="21"/>
                <w:highlight w:val="none"/>
                <w:lang w:val="zh-CN" w:bidi="zh-CN"/>
              </w:rPr>
            </w:pPr>
            <w:r>
              <w:rPr>
                <w:rFonts w:hint="eastAsia" w:ascii="宋体" w:hAnsi="宋体" w:cs="宋体"/>
                <w:color w:val="auto"/>
                <w:szCs w:val="21"/>
                <w:highlight w:val="none"/>
                <w:lang w:bidi="zh-CN"/>
              </w:rPr>
              <w:t>服务</w:t>
            </w:r>
            <w:r>
              <w:rPr>
                <w:rFonts w:hint="eastAsia" w:ascii="宋体" w:hAnsi="宋体" w:cs="宋体"/>
                <w:color w:val="auto"/>
                <w:szCs w:val="21"/>
                <w:highlight w:val="none"/>
                <w:lang w:val="zh-CN" w:bidi="zh-CN"/>
              </w:rPr>
              <w:t>地点</w:t>
            </w:r>
          </w:p>
        </w:tc>
        <w:tc>
          <w:tcPr>
            <w:tcW w:w="6724" w:type="dxa"/>
            <w:vAlign w:val="center"/>
          </w:tcPr>
          <w:p>
            <w:pPr>
              <w:widowControl w:val="0"/>
              <w:autoSpaceDE w:val="0"/>
              <w:autoSpaceDN w:val="0"/>
              <w:adjustRightInd/>
              <w:snapToGrid/>
              <w:spacing w:line="288" w:lineRule="auto"/>
              <w:ind w:firstLine="420" w:firstLineChars="200"/>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横沥镇社区卫生服务中心食堂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4" w:hRule="atLeast"/>
        </w:trPr>
        <w:tc>
          <w:tcPr>
            <w:tcW w:w="1671" w:type="dxa"/>
            <w:vAlign w:val="center"/>
          </w:tcPr>
          <w:p>
            <w:pPr>
              <w:widowControl w:val="0"/>
              <w:autoSpaceDE w:val="0"/>
              <w:autoSpaceDN w:val="0"/>
              <w:adjustRightInd/>
              <w:snapToGrid/>
              <w:spacing w:line="288" w:lineRule="auto"/>
              <w:jc w:val="center"/>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付款方式</w:t>
            </w:r>
          </w:p>
        </w:tc>
        <w:tc>
          <w:tcPr>
            <w:tcW w:w="6724" w:type="dxa"/>
            <w:vAlign w:val="center"/>
          </w:tcPr>
          <w:p>
            <w:pPr>
              <w:widowControl w:val="0"/>
              <w:autoSpaceDE w:val="0"/>
              <w:autoSpaceDN w:val="0"/>
              <w:adjustRightInd/>
              <w:snapToGrid/>
              <w:spacing w:line="288" w:lineRule="auto"/>
              <w:ind w:firstLine="420" w:firstLineChars="200"/>
              <w:rPr>
                <w:rFonts w:ascii="宋体" w:hAnsi="宋体" w:cs="宋体"/>
                <w:color w:val="auto"/>
                <w:szCs w:val="21"/>
                <w:highlight w:val="none"/>
                <w:lang w:val="zh-CN" w:bidi="zh-CN"/>
              </w:rPr>
            </w:pPr>
            <w:r>
              <w:rPr>
                <w:rFonts w:hint="eastAsia" w:ascii="宋体" w:hAnsi="宋体" w:cs="宋体"/>
                <w:color w:val="auto"/>
                <w:szCs w:val="21"/>
                <w:highlight w:val="none"/>
                <w:lang w:bidi="zh-CN"/>
              </w:rPr>
              <w:t>每月服务费【每月服务费</w:t>
            </w:r>
            <w:r>
              <w:rPr>
                <w:rFonts w:hint="eastAsia" w:ascii="宋体" w:hAnsi="宋体" w:cs="宋体"/>
                <w:color w:val="auto"/>
                <w:szCs w:val="21"/>
                <w:highlight w:val="none"/>
                <w:lang w:val="en-US" w:bidi="zh-CN"/>
              </w:rPr>
              <w:t>=每月用餐费用总和（</w:t>
            </w:r>
            <w:r>
              <w:rPr>
                <w:rFonts w:hint="eastAsia" w:ascii="宋体" w:hAnsi="宋体" w:cs="宋体"/>
                <w:color w:val="auto"/>
                <w:szCs w:val="21"/>
                <w:highlight w:val="none"/>
                <w:lang w:val="zh-CN" w:bidi="zh-CN"/>
              </w:rPr>
              <w:t>以实际就餐人数</w:t>
            </w:r>
            <w:r>
              <w:rPr>
                <w:rFonts w:hint="eastAsia" w:ascii="宋体" w:hAnsi="宋体" w:cs="宋体"/>
                <w:color w:val="auto"/>
                <w:szCs w:val="21"/>
                <w:highlight w:val="none"/>
                <w:lang w:val="en-US" w:bidi="zh-CN"/>
              </w:rPr>
              <w:t>为准）+</w:t>
            </w:r>
            <w:r>
              <w:rPr>
                <w:rFonts w:hint="eastAsia" w:ascii="宋体" w:hAnsi="宋体" w:cs="宋体"/>
                <w:b w:val="0"/>
                <w:bCs w:val="0"/>
                <w:color w:val="auto"/>
                <w:szCs w:val="21"/>
                <w:highlight w:val="none"/>
                <w:lang w:val="en-US" w:eastAsia="zh-CN"/>
              </w:rPr>
              <w:t>食堂经营管理费（含人员工资）】</w:t>
            </w:r>
            <w:r>
              <w:rPr>
                <w:rFonts w:hint="eastAsia" w:ascii="宋体" w:hAnsi="宋体" w:cs="宋体"/>
                <w:color w:val="auto"/>
                <w:szCs w:val="21"/>
                <w:highlight w:val="none"/>
                <w:lang w:val="zh-CN" w:bidi="zh-CN"/>
              </w:rPr>
              <w:t>于次月结算，每月中标人提供上月费用的等额正式发票、就餐人数统计表、管理考核表给采购人，采购人收到相关资料后15个工作日内办理支付手续（所涉及到税费由中标人负责）。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671" w:type="dxa"/>
            <w:vAlign w:val="center"/>
          </w:tcPr>
          <w:p>
            <w:pPr>
              <w:widowControl w:val="0"/>
              <w:autoSpaceDE w:val="0"/>
              <w:autoSpaceDN w:val="0"/>
              <w:adjustRightInd/>
              <w:snapToGrid/>
              <w:spacing w:line="288" w:lineRule="auto"/>
              <w:jc w:val="center"/>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验收要求</w:t>
            </w:r>
          </w:p>
        </w:tc>
        <w:tc>
          <w:tcPr>
            <w:tcW w:w="6724" w:type="dxa"/>
            <w:vAlign w:val="center"/>
          </w:tcPr>
          <w:p>
            <w:pPr>
              <w:ind w:firstLine="420" w:firstLineChars="200"/>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按国家及相关行业标准进行验收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671" w:type="dxa"/>
            <w:vMerge w:val="restart"/>
            <w:vAlign w:val="center"/>
          </w:tcPr>
          <w:p>
            <w:pPr>
              <w:widowControl w:val="0"/>
              <w:autoSpaceDE w:val="0"/>
              <w:autoSpaceDN w:val="0"/>
              <w:adjustRightInd/>
              <w:snapToGrid/>
              <w:spacing w:line="288" w:lineRule="auto"/>
              <w:jc w:val="center"/>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其他</w:t>
            </w:r>
          </w:p>
        </w:tc>
        <w:tc>
          <w:tcPr>
            <w:tcW w:w="6724" w:type="dxa"/>
            <w:vAlign w:val="center"/>
          </w:tcPr>
          <w:p>
            <w:pPr>
              <w:widowControl w:val="0"/>
              <w:autoSpaceDE w:val="0"/>
              <w:autoSpaceDN w:val="0"/>
              <w:adjustRightInd/>
              <w:snapToGrid/>
              <w:spacing w:line="288"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★1、报价要求：</w:t>
            </w:r>
          </w:p>
          <w:p>
            <w:pPr>
              <w:widowControl w:val="0"/>
              <w:autoSpaceDE w:val="0"/>
              <w:autoSpaceDN w:val="0"/>
              <w:adjustRightInd/>
              <w:snapToGrid/>
              <w:spacing w:line="288"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（1）由于</w:t>
            </w:r>
            <w:r>
              <w:rPr>
                <w:rFonts w:hint="eastAsia" w:ascii="宋体" w:hAnsi="宋体" w:cs="宋体"/>
                <w:color w:val="auto"/>
                <w:szCs w:val="21"/>
                <w:highlight w:val="none"/>
                <w:lang w:val="en-US" w:eastAsia="zh-CN"/>
              </w:rPr>
              <w:t>用餐</w:t>
            </w:r>
            <w:r>
              <w:rPr>
                <w:rFonts w:hint="eastAsia" w:ascii="宋体" w:hAnsi="宋体" w:cs="宋体"/>
                <w:color w:val="auto"/>
                <w:szCs w:val="21"/>
                <w:highlight w:val="none"/>
              </w:rPr>
              <w:t>人数不确定，</w:t>
            </w:r>
            <w:r>
              <w:rPr>
                <w:rFonts w:hint="eastAsia" w:ascii="宋体" w:hAnsi="宋体" w:eastAsia="宋体" w:cs="宋体"/>
                <w:color w:val="auto"/>
                <w:sz w:val="21"/>
                <w:szCs w:val="21"/>
                <w:highlight w:val="none"/>
              </w:rPr>
              <w:t>本项目统一按预算金额</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72</w:t>
            </w:r>
            <w:r>
              <w:rPr>
                <w:rFonts w:hint="eastAsia" w:ascii="宋体" w:hAnsi="宋体" w:eastAsia="宋体" w:cs="宋体"/>
                <w:color w:val="auto"/>
                <w:sz w:val="21"/>
                <w:szCs w:val="21"/>
                <w:highlight w:val="none"/>
                <w:lang w:eastAsia="zh-CN"/>
              </w:rPr>
              <w:t>0,000.00</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固定报价</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统一按</w:t>
            </w:r>
            <w:r>
              <w:rPr>
                <w:rFonts w:hint="eastAsia" w:ascii="宋体" w:hAnsi="宋体" w:cs="宋体"/>
                <w:color w:val="auto"/>
                <w:szCs w:val="21"/>
                <w:highlight w:val="none"/>
                <w:lang w:val="en-US" w:eastAsia="zh-CN"/>
              </w:rPr>
              <w:t>本项目招标文件《餐费标准》进行</w:t>
            </w:r>
            <w:r>
              <w:rPr>
                <w:rFonts w:hint="eastAsia" w:ascii="宋体" w:hAnsi="宋体" w:cs="宋体"/>
                <w:color w:val="auto"/>
                <w:szCs w:val="21"/>
                <w:highlight w:val="none"/>
              </w:rPr>
              <w:t>固定</w:t>
            </w:r>
            <w:r>
              <w:rPr>
                <w:rFonts w:hint="eastAsia" w:ascii="宋体" w:hAnsi="宋体" w:cs="宋体"/>
                <w:color w:val="auto"/>
                <w:szCs w:val="21"/>
                <w:highlight w:val="none"/>
                <w:lang w:val="en-US" w:eastAsia="zh-CN"/>
              </w:rPr>
              <w:t>结算</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即</w:t>
            </w:r>
            <w:r>
              <w:rPr>
                <w:rFonts w:hint="eastAsia" w:ascii="宋体" w:hAnsi="宋体" w:cs="宋体"/>
                <w:color w:val="auto"/>
                <w:szCs w:val="21"/>
                <w:highlight w:val="none"/>
              </w:rPr>
              <w:t>实际支付时按各分项价格据实结算，实际支付费用=早餐餐费（</w:t>
            </w:r>
            <w:r>
              <w:rPr>
                <w:rFonts w:hint="eastAsia" w:ascii="宋体" w:hAnsi="宋体" w:cs="宋体"/>
                <w:color w:val="auto"/>
                <w:szCs w:val="21"/>
                <w:highlight w:val="none"/>
                <w:lang w:val="en-US" w:eastAsia="zh-CN"/>
              </w:rPr>
              <w:t>14</w:t>
            </w:r>
            <w:r>
              <w:rPr>
                <w:rFonts w:hint="eastAsia" w:ascii="宋体" w:hAnsi="宋体" w:cs="宋体"/>
                <w:color w:val="auto"/>
                <w:szCs w:val="21"/>
                <w:highlight w:val="none"/>
              </w:rPr>
              <w:t>元/人/餐）×早餐实际用餐人数+午餐餐费（18元/人/餐）×午餐实际用餐人数+晚餐餐费（1</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元/人/餐）×晚餐实际用餐人数。（以上餐费单价标准可以根据服务期内物价上涨的实际情况与中标人以补充协议的方式进行适当调整。）</w:t>
            </w:r>
          </w:p>
          <w:p>
            <w:pPr>
              <w:widowControl w:val="0"/>
              <w:autoSpaceDE w:val="0"/>
              <w:autoSpaceDN w:val="0"/>
              <w:adjustRightInd/>
              <w:snapToGrid/>
              <w:spacing w:line="288" w:lineRule="auto"/>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本项目食堂经营管理费（含人员工资、系统点餐服务）固定为8,400.00元/月，采购人不提供人员住宿。</w:t>
            </w:r>
          </w:p>
          <w:p>
            <w:pPr>
              <w:widowControl w:val="0"/>
              <w:autoSpaceDE w:val="0"/>
              <w:autoSpaceDN w:val="0"/>
              <w:adjustRightInd/>
              <w:snapToGrid/>
              <w:spacing w:line="288" w:lineRule="auto"/>
              <w:ind w:firstLine="420" w:firstLineChars="200"/>
              <w:rPr>
                <w:rFonts w:ascii="宋体" w:hAnsi="宋体" w:cs="宋体"/>
                <w:color w:val="auto"/>
                <w:szCs w:val="21"/>
                <w:highlight w:val="none"/>
                <w:lang w:bidi="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报价包含本项目</w:t>
            </w:r>
            <w:r>
              <w:rPr>
                <w:rFonts w:hint="eastAsia" w:ascii="宋体" w:hAnsi="宋体" w:cs="宋体"/>
                <w:color w:val="auto"/>
                <w:szCs w:val="21"/>
                <w:highlight w:val="none"/>
              </w:rPr>
              <w:t>服务人员工资、福利、服装、清洁消毒剂、日常膳食材料费、劳保用品、防护用品、卫生用品及完成该项目所需工具、一切税费及合同实施过程中的不可预见费用等全部费用</w:t>
            </w:r>
            <w:r>
              <w:rPr>
                <w:rFonts w:hint="eastAsia" w:ascii="宋体" w:hAnsi="宋体" w:cs="宋体"/>
                <w:color w:val="auto"/>
                <w:szCs w:val="21"/>
                <w:highlight w:val="none"/>
                <w:lang w:val="en-US" w:eastAsia="zh-CN"/>
              </w:rPr>
              <w:t>均由中标人承担。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671" w:type="dxa"/>
            <w:vMerge w:val="continue"/>
            <w:vAlign w:val="center"/>
          </w:tcPr>
          <w:p>
            <w:pPr>
              <w:widowControl w:val="0"/>
              <w:autoSpaceDE w:val="0"/>
              <w:autoSpaceDN w:val="0"/>
              <w:adjustRightInd/>
              <w:snapToGrid/>
              <w:spacing w:line="288" w:lineRule="auto"/>
              <w:rPr>
                <w:rFonts w:ascii="宋体" w:hAnsi="宋体" w:cs="宋体"/>
                <w:color w:val="auto"/>
                <w:szCs w:val="21"/>
                <w:highlight w:val="none"/>
                <w:lang w:val="zh-CN" w:bidi="zh-CN"/>
              </w:rPr>
            </w:pPr>
          </w:p>
        </w:tc>
        <w:tc>
          <w:tcPr>
            <w:tcW w:w="6724" w:type="dxa"/>
            <w:vAlign w:val="center"/>
          </w:tcPr>
          <w:p>
            <w:pPr>
              <w:widowControl w:val="0"/>
              <w:autoSpaceDE w:val="0"/>
              <w:autoSpaceDN w:val="0"/>
              <w:adjustRightInd/>
              <w:snapToGrid/>
              <w:spacing w:line="288" w:lineRule="auto"/>
              <w:ind w:firstLine="420" w:firstLineChars="200"/>
              <w:rPr>
                <w:rFonts w:ascii="宋体" w:hAnsi="宋体" w:cs="宋体"/>
                <w:color w:val="auto"/>
                <w:szCs w:val="21"/>
                <w:highlight w:val="none"/>
                <w:lang w:bidi="zh-CN"/>
              </w:rPr>
            </w:pPr>
            <w:r>
              <w:rPr>
                <w:rFonts w:hint="eastAsia" w:ascii="宋体" w:hAnsi="宋体" w:cs="宋体"/>
                <w:color w:val="auto"/>
                <w:szCs w:val="21"/>
                <w:highlight w:val="none"/>
                <w:lang w:bidi="zh-CN"/>
              </w:rPr>
              <w:t>2、其他要求：</w:t>
            </w:r>
          </w:p>
          <w:p>
            <w:pPr>
              <w:widowControl w:val="0"/>
              <w:autoSpaceDE w:val="0"/>
              <w:autoSpaceDN w:val="0"/>
              <w:adjustRightInd/>
              <w:snapToGrid/>
              <w:spacing w:line="288" w:lineRule="auto"/>
              <w:ind w:firstLine="420" w:firstLineChars="200"/>
              <w:rPr>
                <w:rFonts w:ascii="宋体" w:hAnsi="宋体" w:cs="宋体"/>
                <w:color w:val="auto"/>
                <w:szCs w:val="21"/>
                <w:highlight w:val="none"/>
                <w:lang w:bidi="zh-CN"/>
              </w:rPr>
            </w:pPr>
            <w:r>
              <w:rPr>
                <w:rFonts w:hint="eastAsia" w:ascii="宋体" w:hAnsi="宋体" w:cs="宋体"/>
                <w:color w:val="auto"/>
                <w:szCs w:val="21"/>
                <w:highlight w:val="none"/>
              </w:rPr>
              <w:t>投标人应充分结合本招标文件上下文了解项目招标需求、采购文件未尽事宜，将在合同签订或项目执行过程中双方协商确定，供应商须无条件满足采购单位的合理要求。</w:t>
            </w:r>
          </w:p>
        </w:tc>
      </w:tr>
    </w:tbl>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r>
        <w:rPr>
          <w:color w:val="auto"/>
          <w:highlight w:val="none"/>
        </w:rPr>
        <w:br w:type="page"/>
      </w:r>
    </w:p>
    <w:p>
      <w:pPr>
        <w:pStyle w:val="5"/>
        <w:jc w:val="center"/>
        <w:rPr>
          <w:color w:val="auto"/>
          <w:sz w:val="24"/>
          <w:highlight w:val="none"/>
        </w:rPr>
      </w:pPr>
      <w:bookmarkStart w:id="181" w:name="_Toc19316"/>
      <w:r>
        <w:rPr>
          <w:rFonts w:hint="eastAsia" w:ascii="宋体" w:hAnsi="宋体"/>
          <w:color w:val="auto"/>
          <w:highlight w:val="none"/>
        </w:rPr>
        <w:t>第二章 技术需求书</w:t>
      </w:r>
      <w:bookmarkEnd w:id="181"/>
      <w:bookmarkStart w:id="182" w:name="_Toc13112"/>
      <w:bookmarkStart w:id="183" w:name="_Toc24679"/>
      <w:bookmarkStart w:id="184" w:name="_Toc31278"/>
      <w:bookmarkStart w:id="185" w:name="_Toc14462"/>
      <w:r>
        <w:rPr>
          <w:rFonts w:hint="eastAsia"/>
          <w:color w:val="auto"/>
          <w:sz w:val="24"/>
          <w:highlight w:val="none"/>
        </w:rPr>
        <w:t xml:space="preserve"> </w:t>
      </w:r>
    </w:p>
    <w:p>
      <w:pPr>
        <w:pStyle w:val="34"/>
        <w:ind w:firstLine="0" w:firstLineChars="0"/>
        <w:outlineLvl w:val="3"/>
        <w:rPr>
          <w:rFonts w:ascii="宋体" w:hAnsi="宋体"/>
          <w:b/>
          <w:color w:val="auto"/>
          <w:sz w:val="24"/>
          <w:highlight w:val="none"/>
        </w:rPr>
      </w:pPr>
      <w:r>
        <w:rPr>
          <w:rFonts w:hint="eastAsia" w:ascii="宋体" w:hAnsi="宋体"/>
          <w:b/>
          <w:color w:val="auto"/>
          <w:sz w:val="24"/>
          <w:highlight w:val="none"/>
        </w:rPr>
        <w:t>一、项目概况</w:t>
      </w: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为了做好食堂规范管理工作，确保食品安全、卫生，拟招标确定一家承包单位承担</w:t>
      </w:r>
      <w:r>
        <w:rPr>
          <w:rFonts w:hint="eastAsia" w:ascii="宋体" w:cs="宋体"/>
          <w:color w:val="auto"/>
          <w:sz w:val="22"/>
          <w:highlight w:val="none"/>
        </w:rPr>
        <w:t>社区卫生服务中心饭堂承包服务的全部服务工作，包括厨师、厨工等配备，相关膳食材料的购买及菜品制作等。</w:t>
      </w:r>
    </w:p>
    <w:p>
      <w:pPr>
        <w:pStyle w:val="34"/>
        <w:ind w:firstLine="0" w:firstLineChars="0"/>
        <w:rPr>
          <w:rFonts w:ascii="宋体" w:hAnsi="宋体"/>
          <w:b/>
          <w:color w:val="auto"/>
          <w:sz w:val="24"/>
          <w:highlight w:val="none"/>
        </w:rPr>
      </w:pPr>
    </w:p>
    <w:p>
      <w:pPr>
        <w:pStyle w:val="34"/>
        <w:ind w:firstLine="0" w:firstLineChars="0"/>
        <w:outlineLvl w:val="3"/>
        <w:rPr>
          <w:rFonts w:ascii="宋体" w:hAnsi="宋体"/>
          <w:b/>
          <w:color w:val="auto"/>
          <w:sz w:val="24"/>
          <w:highlight w:val="none"/>
        </w:rPr>
      </w:pPr>
      <w:r>
        <w:rPr>
          <w:rFonts w:hint="eastAsia" w:ascii="宋体" w:hAnsi="宋体"/>
          <w:b/>
          <w:color w:val="auto"/>
          <w:sz w:val="24"/>
          <w:highlight w:val="none"/>
        </w:rPr>
        <w:t>二、具体承包范围、方式</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cs="宋体"/>
          <w:color w:val="auto"/>
          <w:sz w:val="22"/>
          <w:highlight w:val="none"/>
        </w:rPr>
      </w:pPr>
      <w:r>
        <w:rPr>
          <w:rFonts w:hint="eastAsia" w:ascii="宋体" w:hAnsi="宋体" w:cs="宋体"/>
          <w:color w:val="auto"/>
          <w:szCs w:val="21"/>
          <w:highlight w:val="none"/>
        </w:rPr>
        <w:t>1、承包方式：包工包料，中标人负责采购一切食物原料、配料，负责承包食堂内务，按时完成采购人早、中、晚三餐的开膳工作。如需要另行安排接待用餐，每次接待餐费独立结算，不能另外加收服务费。</w:t>
      </w:r>
      <w:r>
        <w:rPr>
          <w:rFonts w:hint="eastAsia" w:ascii="宋体" w:cs="宋体"/>
          <w:color w:val="auto"/>
          <w:sz w:val="22"/>
          <w:highlight w:val="none"/>
        </w:rPr>
        <w:t>社区卫生服务中心应提供饭堂的一切设备，包括厨房设备，厨房厨具，就餐餐具等。</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2、中标人须协助采购人办理食堂经营执照。</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中标人必须依法经营，开展经营服务活动应符合《中华人民共和国食品安全法》、《中华人民共和国安全生产法》、国家食品药品监督管理局《餐饮服务食品安全操作规范》等法律、法规以及采购人的相关管理规定和要求。保障采购人就餐人员的合法权益，确保饮食卫生，提供优质的饮食服务。</w:t>
      </w:r>
    </w:p>
    <w:p>
      <w:pPr>
        <w:ind w:firstLine="420" w:firstLineChars="200"/>
        <w:rPr>
          <w:rFonts w:ascii="宋体" w:hAnsi="宋体" w:cs="宋体"/>
          <w:bCs/>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w:t>
      </w:r>
      <w:r>
        <w:rPr>
          <w:rFonts w:hint="eastAsia" w:ascii="宋体" w:hAnsi="宋体" w:cs="宋体"/>
          <w:bCs/>
          <w:color w:val="auto"/>
          <w:szCs w:val="21"/>
          <w:highlight w:val="none"/>
        </w:rPr>
        <w:t>中标人应配足管理与服务人员。</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、中标人需专人负责食堂的日常工作用餐，提前一周与采购人确认用餐菜品。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、中标人提供一套IC卡收费系统，用作采购人员工在食堂就餐付费及双方统计结账使用。中标人需确保收费系统正常收费运作，出现故障由中标人负责维修。</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、中标人不可以把采购人提供的食堂区域对外经营。</w:t>
      </w:r>
    </w:p>
    <w:p>
      <w:pPr>
        <w:rPr>
          <w:color w:val="auto"/>
          <w:highlight w:val="none"/>
        </w:rPr>
      </w:pPr>
    </w:p>
    <w:p>
      <w:pPr>
        <w:pStyle w:val="34"/>
        <w:ind w:firstLine="0" w:firstLineChars="0"/>
        <w:outlineLvl w:val="3"/>
        <w:rPr>
          <w:rFonts w:ascii="宋体" w:hAnsi="宋体" w:cs="Times New Roman"/>
          <w:b/>
          <w:color w:val="auto"/>
          <w:sz w:val="24"/>
          <w:highlight w:val="none"/>
        </w:rPr>
      </w:pPr>
      <w:r>
        <w:rPr>
          <w:rFonts w:hint="eastAsia" w:ascii="宋体" w:hAnsi="宋体" w:cs="Times New Roman"/>
          <w:b/>
          <w:color w:val="auto"/>
          <w:sz w:val="24"/>
          <w:highlight w:val="none"/>
        </w:rPr>
        <w:t>三、饭堂承包服务总体要求</w:t>
      </w:r>
    </w:p>
    <w:p>
      <w:pPr>
        <w:ind w:firstLine="422" w:firstLineChars="200"/>
        <w:rPr>
          <w:rFonts w:ascii="宋体" w:hAnsi="宋体" w:cs="Times New Roman"/>
          <w:b/>
          <w:bCs/>
          <w:color w:val="auto"/>
          <w:szCs w:val="21"/>
          <w:highlight w:val="none"/>
        </w:rPr>
      </w:pPr>
      <w:r>
        <w:rPr>
          <w:rFonts w:hint="eastAsia" w:ascii="宋体" w:hAnsi="宋体" w:cs="Times New Roman"/>
          <w:b/>
          <w:bCs/>
          <w:color w:val="auto"/>
          <w:szCs w:val="21"/>
          <w:highlight w:val="none"/>
        </w:rPr>
        <w:t>（一）食材要求</w:t>
      </w: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本采购主要是为</w:t>
      </w:r>
      <w:r>
        <w:rPr>
          <w:rFonts w:hint="eastAsia" w:ascii="宋体" w:hAnsi="宋体" w:cs="宋体"/>
          <w:color w:val="auto"/>
          <w:szCs w:val="21"/>
          <w:highlight w:val="none"/>
        </w:rPr>
        <w:t>东莞市横沥镇社区卫生服务中心饭堂承包服务</w:t>
      </w:r>
      <w:r>
        <w:rPr>
          <w:rFonts w:hint="eastAsia" w:ascii="宋体" w:hAnsi="宋体" w:cs="Times New Roman"/>
          <w:color w:val="auto"/>
          <w:szCs w:val="21"/>
          <w:highlight w:val="none"/>
        </w:rPr>
        <w:t>，食材内容如下：</w:t>
      </w: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A类：粮油干货类──大米、食用油、调味品、干货、杂货、副食品、米粉面粉类等食品材料；</w:t>
      </w: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B类：肉类──新鲜猪肉、牛肉、羊肉、水产品、三鸟、零星冻品副食品类等食品材料；</w:t>
      </w: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C类：蔬果类──蔬菜、菇菌等食品材料。</w:t>
      </w:r>
    </w:p>
    <w:p>
      <w:pPr>
        <w:ind w:firstLine="422" w:firstLineChars="200"/>
        <w:rPr>
          <w:rFonts w:ascii="宋体" w:hAnsi="宋体" w:cs="Times New Roman"/>
          <w:b/>
          <w:bCs/>
          <w:color w:val="auto"/>
          <w:szCs w:val="21"/>
          <w:highlight w:val="none"/>
        </w:rPr>
      </w:pPr>
      <w:r>
        <w:rPr>
          <w:rFonts w:hint="eastAsia" w:ascii="宋体" w:hAnsi="宋体" w:cs="Times New Roman"/>
          <w:b/>
          <w:bCs/>
          <w:color w:val="auto"/>
          <w:szCs w:val="21"/>
          <w:highlight w:val="none"/>
        </w:rPr>
        <w:t>（二）就餐人数</w:t>
      </w: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横沥镇社区卫生服务中心食堂用餐人数</w:t>
      </w:r>
      <w:r>
        <w:rPr>
          <w:rFonts w:hint="eastAsia" w:ascii="宋体" w:hAnsi="宋体" w:cs="Times New Roman"/>
          <w:color w:val="auto"/>
          <w:szCs w:val="21"/>
          <w:highlight w:val="none"/>
          <w:lang w:val="en-US" w:eastAsia="zh-CN"/>
        </w:rPr>
        <w:t>预计140</w:t>
      </w:r>
      <w:r>
        <w:rPr>
          <w:rFonts w:hint="eastAsia" w:ascii="宋体" w:hAnsi="宋体" w:cs="Times New Roman"/>
          <w:color w:val="auto"/>
          <w:szCs w:val="21"/>
          <w:highlight w:val="none"/>
        </w:rPr>
        <w:t>人/日。</w:t>
      </w:r>
    </w:p>
    <w:p>
      <w:pPr>
        <w:ind w:firstLine="422" w:firstLineChars="200"/>
        <w:rPr>
          <w:rFonts w:ascii="宋体" w:hAnsi="宋体" w:cs="Times New Roman"/>
          <w:b/>
          <w:bCs/>
          <w:color w:val="auto"/>
          <w:szCs w:val="21"/>
          <w:highlight w:val="none"/>
        </w:rPr>
      </w:pPr>
      <w:r>
        <w:rPr>
          <w:rFonts w:hint="eastAsia" w:ascii="宋体" w:hAnsi="宋体" w:cs="Times New Roman"/>
          <w:b/>
          <w:bCs/>
          <w:color w:val="auto"/>
          <w:szCs w:val="21"/>
          <w:highlight w:val="none"/>
        </w:rPr>
        <w:t>（三）供货地点</w:t>
      </w: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横沥镇社区卫生服务中心食堂。</w:t>
      </w:r>
    </w:p>
    <w:p>
      <w:pPr>
        <w:spacing w:line="420" w:lineRule="exact"/>
        <w:ind w:firstLine="442" w:firstLineChars="200"/>
        <w:rPr>
          <w:rFonts w:ascii="宋体" w:hAnsi="宋体" w:cs="宋体"/>
          <w:b/>
          <w:color w:val="auto"/>
          <w:sz w:val="22"/>
          <w:highlight w:val="none"/>
        </w:rPr>
      </w:pPr>
      <w:r>
        <w:rPr>
          <w:rFonts w:hint="eastAsia" w:ascii="宋体" w:hAnsi="宋体" w:cs="宋体"/>
          <w:b/>
          <w:color w:val="auto"/>
          <w:sz w:val="22"/>
          <w:highlight w:val="none"/>
        </w:rPr>
        <w:t>（四）管理服务要求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所有的厨房员工必须持有有效健康证，并将原件交采购人查验后才能上岗，复印件交采购人存档，员工保持良好个人卫生，生产经营食品时，应当将手洗净，穿戴清洁的工作衣、帽及口罩，配餐时戴手套操作：不得留长指甲，佩戴饰物，手部有外伤的人员不得从事食品生产经营活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中标人必须严把食品卫生安全关，认真遵守《中华人民共和国食品安全法》的各项要求，实行“规范操作，安全监督”机制。承包期间不得采购过期、腐烂、变质等食材，采购人一旦发现，责令中标人限期整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3、采购人提供食堂场地（含厨房）、部分厨具、水电。</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人工、燃气、食材采购及加工、所有卫生用品及耗材(包括日常膳食配料、消毒剂、垃圾袋、纸巾、牙签、口罩、鞋套、手套以及劳保用品等)、场地清洁、厨房内厨具等设备设施维护等全部运营业务由中标人承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、中标人工作人员要遵守采购人规章制度，若有违反则按采购人的有关规定处理。</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食堂（含厨房）清洁卫生由中标人负责。中标人要合理使用、妥善保管厨房设备设施，餐具必须彻底清洁消毒。搞好室内外环境清洁和消毒工作，清除卫生死角，保持墙壁、墙裙。天花板、地面整洁，疏通下水道，垃圾桶须加盖并保持桶身的清洁，加强灭蝇、灭蟑螂、灭鼠等措施。饭堂工作人员一律戴工作帽、着工作服、戴卫生口罩，接触食物时必须戴卫生手套。</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、中标人必须按时提供膳食服务。另外中标人必须满足采购人因工作特性所需的应急需要。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、食堂的剩余饭菜、废弃油脂由中标人按照相关规定进行处理，不按规定处理引起的一切责任由中标人负责。</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、中标人须做好食堂的消防安全工作，不得出现任何人为的消防安全事故隐患，并定期接受采购人的监督检查。食堂内的消防安全及工具、电源（炉灶、各种炊事设备）操作事故均由中标人承担。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、中标人负责维护好食堂秩序，食堂餐具和用餐台保持清洁。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、中标人对就餐人员要有良好的服务态度。讲究职业道德及各项文明礼仪（包括着装整齐、干净，统一配置工服），并自觉接受就餐人员的监督。</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因中标人的管理不善造成的食物中毒或其他食源性疾患事件,由中标人负全部责任。如在承包期内发生食物中毒等重大责任事故，损害就餐人员身体健康，中标人必须承担由此造成的一切责任和经济损失，采购人有权无条件终止合同，保留追诉相关法律责任的权利。</w:t>
      </w:r>
    </w:p>
    <w:p>
      <w:pPr>
        <w:pStyle w:val="8"/>
        <w:rPr>
          <w:color w:val="auto"/>
          <w:highlight w:val="none"/>
        </w:rPr>
      </w:pPr>
    </w:p>
    <w:p>
      <w:pPr>
        <w:pStyle w:val="34"/>
        <w:ind w:firstLine="0" w:firstLineChars="0"/>
        <w:outlineLvl w:val="3"/>
        <w:rPr>
          <w:rFonts w:ascii="宋体" w:hAnsi="宋体" w:cs="Times New Roman"/>
          <w:b/>
          <w:color w:val="auto"/>
          <w:sz w:val="24"/>
          <w:highlight w:val="none"/>
        </w:rPr>
      </w:pPr>
      <w:r>
        <w:rPr>
          <w:rFonts w:hint="eastAsia" w:ascii="宋体" w:hAnsi="宋体" w:cs="Times New Roman"/>
          <w:b/>
          <w:color w:val="auto"/>
          <w:sz w:val="24"/>
          <w:highlight w:val="none"/>
        </w:rPr>
        <w:t>四、膳食加工及服务人员要求</w:t>
      </w:r>
    </w:p>
    <w:p>
      <w:pPr>
        <w:adjustRightInd/>
        <w:snapToGrid/>
        <w:ind w:firstLine="422" w:firstLineChars="200"/>
        <w:jc w:val="both"/>
        <w:textAlignment w:val="bottom"/>
        <w:rPr>
          <w:rFonts w:hAnsi="宋体" w:cs="Tahoma"/>
          <w:b/>
          <w:bCs/>
          <w:color w:val="auto"/>
          <w:kern w:val="2"/>
          <w:szCs w:val="21"/>
          <w:highlight w:val="none"/>
        </w:rPr>
      </w:pPr>
      <w:r>
        <w:rPr>
          <w:rFonts w:hint="eastAsia" w:hAnsi="宋体" w:cs="宋体"/>
          <w:b/>
          <w:bCs/>
          <w:color w:val="auto"/>
          <w:kern w:val="2"/>
          <w:szCs w:val="21"/>
          <w:highlight w:val="none"/>
        </w:rPr>
        <w:t>（一）至少配备以下人员：</w:t>
      </w:r>
    </w:p>
    <w:p>
      <w:pPr>
        <w:pStyle w:val="62"/>
        <w:spacing w:line="360" w:lineRule="auto"/>
        <w:ind w:firstLine="420" w:firstLineChars="200"/>
        <w:rPr>
          <w:rFonts w:ascii="宋体" w:cs="Tahoma"/>
          <w:color w:val="auto"/>
          <w:highlight w:val="none"/>
        </w:rPr>
      </w:pPr>
      <w:r>
        <w:rPr>
          <w:rFonts w:hint="eastAsia" w:ascii="宋体" w:hAnsi="宋体" w:cs="宋体"/>
          <w:color w:val="auto"/>
          <w:highlight w:val="none"/>
        </w:rPr>
        <w:t>1、厨师1名。</w:t>
      </w:r>
    </w:p>
    <w:p>
      <w:pPr>
        <w:pStyle w:val="62"/>
        <w:spacing w:line="360" w:lineRule="auto"/>
        <w:ind w:firstLine="420" w:firstLineChars="200"/>
        <w:rPr>
          <w:rFonts w:ascii="宋体" w:cs="Tahoma"/>
          <w:color w:val="auto"/>
          <w:highlight w:val="none"/>
        </w:rPr>
      </w:pPr>
      <w:r>
        <w:rPr>
          <w:rFonts w:hint="eastAsia" w:ascii="宋体" w:hAnsi="宋体" w:cs="宋体"/>
          <w:color w:val="auto"/>
          <w:highlight w:val="none"/>
        </w:rPr>
        <w:t>2、厨工1名，包括清洁、上菜、洗碗等。</w:t>
      </w:r>
    </w:p>
    <w:p>
      <w:pPr>
        <w:pStyle w:val="62"/>
        <w:spacing w:line="360" w:lineRule="auto"/>
        <w:ind w:firstLine="420" w:firstLineChars="200"/>
        <w:rPr>
          <w:rFonts w:ascii="宋体" w:cs="Tahoma"/>
          <w:color w:val="auto"/>
          <w:highlight w:val="none"/>
        </w:rPr>
      </w:pPr>
      <w:r>
        <w:rPr>
          <w:rFonts w:hint="eastAsia" w:ascii="宋体" w:hAnsi="宋体" w:cs="宋体"/>
          <w:color w:val="auto"/>
          <w:highlight w:val="none"/>
        </w:rPr>
        <w:t>3、上述人员工资收入不得低于国家规定的最低收入，由中标人支付。</w:t>
      </w:r>
    </w:p>
    <w:p>
      <w:pPr>
        <w:pStyle w:val="62"/>
        <w:spacing w:line="360" w:lineRule="auto"/>
        <w:ind w:firstLine="420" w:firstLineChars="200"/>
        <w:rPr>
          <w:rFonts w:ascii="宋体" w:hAnsi="宋体" w:cs="宋体"/>
          <w:color w:val="auto"/>
          <w:highlight w:val="none"/>
        </w:rPr>
      </w:pPr>
      <w:r>
        <w:rPr>
          <w:rFonts w:hint="eastAsia" w:ascii="宋体" w:hAnsi="宋体" w:cs="宋体"/>
          <w:color w:val="auto"/>
          <w:highlight w:val="none"/>
        </w:rPr>
        <w:t>4、所有员工须初中毕业以上文化水平。</w:t>
      </w:r>
    </w:p>
    <w:p>
      <w:pPr>
        <w:adjustRightInd/>
        <w:snapToGrid/>
        <w:ind w:firstLine="422" w:firstLineChars="200"/>
        <w:jc w:val="both"/>
        <w:textAlignment w:val="bottom"/>
        <w:rPr>
          <w:rFonts w:hAnsi="宋体" w:cs="Tahoma"/>
          <w:b/>
          <w:bCs/>
          <w:color w:val="auto"/>
          <w:kern w:val="2"/>
          <w:szCs w:val="21"/>
          <w:highlight w:val="none"/>
        </w:rPr>
      </w:pPr>
      <w:r>
        <w:rPr>
          <w:rFonts w:hint="eastAsia" w:hAnsi="宋体" w:cs="宋体"/>
          <w:b/>
          <w:bCs/>
          <w:color w:val="auto"/>
          <w:kern w:val="2"/>
          <w:szCs w:val="21"/>
          <w:highlight w:val="none"/>
        </w:rPr>
        <w:t>（二）膳食加工及服务人员相关要求：</w:t>
      </w:r>
    </w:p>
    <w:p>
      <w:pPr>
        <w:pStyle w:val="62"/>
        <w:spacing w:line="360" w:lineRule="auto"/>
        <w:ind w:firstLine="420" w:firstLineChars="200"/>
        <w:rPr>
          <w:rFonts w:ascii="宋体" w:cs="Tahoma"/>
          <w:color w:val="auto"/>
          <w:highlight w:val="none"/>
        </w:rPr>
      </w:pPr>
      <w:r>
        <w:rPr>
          <w:rFonts w:ascii="宋体" w:hAnsi="宋体" w:cs="宋体"/>
          <w:color w:val="auto"/>
          <w:highlight w:val="none"/>
        </w:rPr>
        <w:t>1</w:t>
      </w:r>
      <w:r>
        <w:rPr>
          <w:rFonts w:hint="eastAsia" w:ascii="宋体" w:hAnsi="宋体" w:cs="宋体"/>
          <w:color w:val="auto"/>
          <w:highlight w:val="none"/>
        </w:rPr>
        <w:t>、所有外包服务人员必须身体健康（上岗前需提供有效的健康证），每年体检不少于</w:t>
      </w:r>
      <w:r>
        <w:rPr>
          <w:rFonts w:ascii="宋体" w:hAnsi="宋体" w:cs="宋体"/>
          <w:color w:val="auto"/>
          <w:highlight w:val="none"/>
        </w:rPr>
        <w:t>1</w:t>
      </w:r>
      <w:r>
        <w:rPr>
          <w:rFonts w:hint="eastAsia" w:ascii="宋体" w:hAnsi="宋体" w:cs="宋体"/>
          <w:color w:val="auto"/>
          <w:highlight w:val="none"/>
        </w:rPr>
        <w:t>次，体检和办理健康证相关费用由中标人承担。</w:t>
      </w:r>
    </w:p>
    <w:p>
      <w:pPr>
        <w:pStyle w:val="62"/>
        <w:spacing w:line="360" w:lineRule="auto"/>
        <w:ind w:firstLine="420" w:firstLineChars="200"/>
        <w:rPr>
          <w:rFonts w:ascii="宋体" w:cs="Tahoma"/>
          <w:color w:val="auto"/>
          <w:highlight w:val="none"/>
        </w:rPr>
      </w:pPr>
      <w:r>
        <w:rPr>
          <w:rFonts w:ascii="宋体" w:hAnsi="宋体" w:cs="宋体"/>
          <w:color w:val="auto"/>
          <w:highlight w:val="none"/>
        </w:rPr>
        <w:t>2</w:t>
      </w:r>
      <w:r>
        <w:rPr>
          <w:rFonts w:hint="eastAsia" w:ascii="宋体" w:hAnsi="宋体" w:cs="宋体"/>
          <w:color w:val="auto"/>
          <w:highlight w:val="none"/>
        </w:rPr>
        <w:t>、符合国家用工规定（年龄、计划生育情况等）。</w:t>
      </w:r>
    </w:p>
    <w:p>
      <w:pPr>
        <w:pStyle w:val="62"/>
        <w:spacing w:line="360" w:lineRule="auto"/>
        <w:ind w:firstLine="420" w:firstLineChars="200"/>
        <w:rPr>
          <w:rFonts w:ascii="宋体" w:cs="Tahoma"/>
          <w:color w:val="auto"/>
          <w:highlight w:val="none"/>
        </w:rPr>
      </w:pPr>
      <w:r>
        <w:rPr>
          <w:rFonts w:ascii="宋体" w:hAnsi="宋体" w:cs="宋体"/>
          <w:color w:val="auto"/>
          <w:highlight w:val="none"/>
        </w:rPr>
        <w:t>3</w:t>
      </w:r>
      <w:r>
        <w:rPr>
          <w:rFonts w:hint="eastAsia" w:ascii="宋体" w:hAnsi="宋体" w:cs="宋体"/>
          <w:color w:val="auto"/>
          <w:highlight w:val="none"/>
        </w:rPr>
        <w:t>、如因用工引起的劳动纠纷问题由中标人负责解决并承担相关责任。</w:t>
      </w:r>
    </w:p>
    <w:p>
      <w:pPr>
        <w:adjustRightInd/>
        <w:snapToGrid/>
        <w:ind w:firstLine="422" w:firstLineChars="200"/>
        <w:jc w:val="both"/>
        <w:textAlignment w:val="bottom"/>
        <w:rPr>
          <w:rFonts w:hAnsi="宋体" w:cs="Tahoma"/>
          <w:b/>
          <w:bCs/>
          <w:color w:val="auto"/>
          <w:kern w:val="2"/>
          <w:szCs w:val="21"/>
          <w:highlight w:val="none"/>
        </w:rPr>
      </w:pPr>
      <w:r>
        <w:rPr>
          <w:rFonts w:hint="eastAsia" w:hAnsi="宋体" w:cs="宋体"/>
          <w:b/>
          <w:bCs/>
          <w:color w:val="auto"/>
          <w:kern w:val="2"/>
          <w:szCs w:val="21"/>
          <w:highlight w:val="none"/>
        </w:rPr>
        <w:t>（三）各岗位人员具体工作职责：</w:t>
      </w:r>
    </w:p>
    <w:p>
      <w:pPr>
        <w:pStyle w:val="62"/>
        <w:spacing w:line="360" w:lineRule="auto"/>
        <w:ind w:firstLine="422" w:firstLineChars="200"/>
        <w:rPr>
          <w:rFonts w:ascii="宋体" w:cs="Tahoma"/>
          <w:b/>
          <w:bCs/>
          <w:color w:val="auto"/>
          <w:highlight w:val="none"/>
        </w:rPr>
      </w:pPr>
      <w:r>
        <w:rPr>
          <w:rFonts w:hint="eastAsia" w:ascii="宋体" w:hAnsi="宋体" w:cs="宋体"/>
          <w:b/>
          <w:bCs/>
          <w:color w:val="auto"/>
          <w:highlight w:val="none"/>
        </w:rPr>
        <w:t>1、厨师：</w:t>
      </w:r>
    </w:p>
    <w:p>
      <w:pPr>
        <w:pStyle w:val="62"/>
        <w:spacing w:line="360" w:lineRule="auto"/>
        <w:ind w:firstLine="420" w:firstLineChars="200"/>
        <w:rPr>
          <w:rFonts w:ascii="宋体" w:cs="Tahoma"/>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）负责早、中、晚菜点烹制，根据采购人的要求，烹饪不同菜式，兼顾五湖四海各种口味。如遇特殊情况，根据采购人要求烹制宵夜及提供假节日用餐。</w:t>
      </w:r>
    </w:p>
    <w:p>
      <w:pPr>
        <w:pStyle w:val="62"/>
        <w:spacing w:line="360" w:lineRule="auto"/>
        <w:ind w:firstLine="420" w:firstLineChars="200"/>
        <w:rPr>
          <w:rFonts w:ascii="宋体" w:cs="Tahoma"/>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）如遇接待或其它就餐活动时，应具备接待</w:t>
      </w:r>
      <w:r>
        <w:rPr>
          <w:rFonts w:ascii="宋体" w:hAnsi="宋体" w:cs="宋体"/>
          <w:color w:val="auto"/>
          <w:highlight w:val="none"/>
        </w:rPr>
        <w:t>30</w:t>
      </w:r>
      <w:r>
        <w:rPr>
          <w:rFonts w:hint="eastAsia" w:ascii="宋体" w:hAnsi="宋体" w:cs="宋体"/>
          <w:color w:val="auto"/>
          <w:highlight w:val="none"/>
        </w:rPr>
        <w:t>桌标准的服务能力。</w:t>
      </w:r>
    </w:p>
    <w:p>
      <w:pPr>
        <w:pStyle w:val="62"/>
        <w:spacing w:line="360" w:lineRule="auto"/>
        <w:ind w:firstLine="420" w:firstLineChars="200"/>
        <w:rPr>
          <w:rFonts w:ascii="宋体" w:cs="Tahoma"/>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）根据季节行情实际，研究制定每周菜谱，控制成本。严格按照菜式规定，烹制各种菜肴，保证菜谱</w:t>
      </w:r>
      <w:r>
        <w:rPr>
          <w:rFonts w:ascii="宋体" w:hAnsi="宋体" w:cs="宋体"/>
          <w:color w:val="auto"/>
          <w:highlight w:val="none"/>
        </w:rPr>
        <w:t>5</w:t>
      </w:r>
      <w:r>
        <w:rPr>
          <w:rFonts w:hint="eastAsia" w:ascii="宋体" w:hAnsi="宋体" w:cs="宋体"/>
          <w:color w:val="auto"/>
          <w:highlight w:val="none"/>
        </w:rPr>
        <w:t>天内不重样，并提前一周公布菜谱。</w:t>
      </w:r>
    </w:p>
    <w:p>
      <w:pPr>
        <w:pStyle w:val="62"/>
        <w:spacing w:line="360" w:lineRule="auto"/>
        <w:ind w:firstLine="420" w:firstLineChars="200"/>
        <w:rPr>
          <w:rFonts w:ascii="宋体" w:cs="Tahoma"/>
          <w:color w:val="auto"/>
          <w:highlight w:val="none"/>
        </w:rPr>
      </w:pPr>
      <w:r>
        <w:rPr>
          <w:rFonts w:hint="eastAsia" w:ascii="宋体" w:hAnsi="宋体" w:cs="宋体"/>
          <w:color w:val="auto"/>
          <w:highlight w:val="none"/>
        </w:rPr>
        <w:t>（</w:t>
      </w:r>
      <w:r>
        <w:rPr>
          <w:rFonts w:ascii="宋体" w:hAnsi="宋体" w:cs="宋体"/>
          <w:color w:val="auto"/>
          <w:highlight w:val="none"/>
        </w:rPr>
        <w:t>4</w:t>
      </w:r>
      <w:r>
        <w:rPr>
          <w:rFonts w:hint="eastAsia" w:ascii="宋体" w:hAnsi="宋体" w:cs="宋体"/>
          <w:color w:val="auto"/>
          <w:highlight w:val="none"/>
        </w:rPr>
        <w:t>）注意营养合理搭配，根据采购人需求烹制。</w:t>
      </w:r>
    </w:p>
    <w:p>
      <w:pPr>
        <w:pStyle w:val="62"/>
        <w:spacing w:line="360" w:lineRule="auto"/>
        <w:ind w:firstLine="420" w:firstLineChars="200"/>
        <w:rPr>
          <w:rFonts w:ascii="宋体" w:cs="Tahoma"/>
          <w:color w:val="auto"/>
          <w:highlight w:val="none"/>
        </w:rPr>
      </w:pPr>
      <w:r>
        <w:rPr>
          <w:rFonts w:hint="eastAsia" w:ascii="宋体" w:hAnsi="宋体" w:cs="宋体"/>
          <w:color w:val="auto"/>
          <w:highlight w:val="none"/>
        </w:rPr>
        <w:t>（</w:t>
      </w:r>
      <w:r>
        <w:rPr>
          <w:rFonts w:ascii="宋体" w:hAnsi="宋体" w:cs="宋体"/>
          <w:color w:val="auto"/>
          <w:highlight w:val="none"/>
        </w:rPr>
        <w:t>5</w:t>
      </w:r>
      <w:r>
        <w:rPr>
          <w:rFonts w:hint="eastAsia" w:ascii="宋体" w:hAnsi="宋体" w:cs="宋体"/>
          <w:color w:val="auto"/>
          <w:highlight w:val="none"/>
        </w:rPr>
        <w:t>）保持地方菜特色和风味，能满足就餐者多样化的口味需求，提高满意度。</w:t>
      </w:r>
    </w:p>
    <w:p>
      <w:pPr>
        <w:pStyle w:val="62"/>
        <w:spacing w:line="360" w:lineRule="auto"/>
        <w:ind w:firstLine="422" w:firstLineChars="200"/>
        <w:rPr>
          <w:rFonts w:ascii="宋体" w:cs="Tahoma"/>
          <w:b/>
          <w:bCs/>
          <w:color w:val="auto"/>
          <w:highlight w:val="none"/>
        </w:rPr>
      </w:pPr>
      <w:r>
        <w:rPr>
          <w:rFonts w:hint="eastAsia" w:ascii="宋体" w:hAnsi="宋体" w:cs="宋体"/>
          <w:b/>
          <w:bCs/>
          <w:color w:val="auto"/>
          <w:highlight w:val="none"/>
        </w:rPr>
        <w:t>2、厨工：</w:t>
      </w:r>
    </w:p>
    <w:p>
      <w:pPr>
        <w:pStyle w:val="62"/>
        <w:spacing w:line="360" w:lineRule="auto"/>
        <w:ind w:firstLine="420" w:firstLineChars="200"/>
        <w:rPr>
          <w:rFonts w:ascii="宋体" w:cs="Tahoma"/>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）清洗加工食品先检查质量，腐败变质、发霉生虫、掺杂掺假、有毒有害食品禁止加工。</w:t>
      </w:r>
    </w:p>
    <w:p>
      <w:pPr>
        <w:pStyle w:val="62"/>
        <w:spacing w:line="360" w:lineRule="auto"/>
        <w:ind w:firstLine="420" w:firstLineChars="200"/>
        <w:rPr>
          <w:rFonts w:ascii="宋体" w:cs="Tahoma"/>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）蔬菜须清洗干净，洗后无泥沙杂草残留。</w:t>
      </w:r>
    </w:p>
    <w:p>
      <w:pPr>
        <w:pStyle w:val="62"/>
        <w:spacing w:line="360" w:lineRule="auto"/>
        <w:ind w:firstLine="420" w:firstLineChars="200"/>
        <w:rPr>
          <w:rFonts w:ascii="宋体" w:cs="Tahoma"/>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）动物性食品、植物性食品应专池分开清洗，必须时消毒处理。</w:t>
      </w:r>
    </w:p>
    <w:p>
      <w:pPr>
        <w:pStyle w:val="62"/>
        <w:spacing w:line="360" w:lineRule="auto"/>
        <w:ind w:firstLine="420" w:firstLineChars="200"/>
        <w:rPr>
          <w:rFonts w:ascii="宋体" w:cs="Tahoma"/>
          <w:color w:val="auto"/>
          <w:highlight w:val="none"/>
        </w:rPr>
      </w:pPr>
      <w:r>
        <w:rPr>
          <w:rFonts w:hint="eastAsia" w:ascii="宋体" w:hAnsi="宋体" w:cs="宋体"/>
          <w:color w:val="auto"/>
          <w:highlight w:val="none"/>
        </w:rPr>
        <w:t>（</w:t>
      </w:r>
      <w:r>
        <w:rPr>
          <w:rFonts w:ascii="宋体" w:hAnsi="宋体" w:cs="宋体"/>
          <w:color w:val="auto"/>
          <w:highlight w:val="none"/>
        </w:rPr>
        <w:t>4</w:t>
      </w:r>
      <w:r>
        <w:rPr>
          <w:rFonts w:hint="eastAsia" w:ascii="宋体" w:hAnsi="宋体" w:cs="宋体"/>
          <w:color w:val="auto"/>
          <w:highlight w:val="none"/>
        </w:rPr>
        <w:t>）动物性食品、植物性食品，水产品盛器用后冲洗干净分开使用。</w:t>
      </w:r>
    </w:p>
    <w:p>
      <w:pPr>
        <w:pStyle w:val="62"/>
        <w:spacing w:line="360" w:lineRule="auto"/>
        <w:ind w:firstLine="420" w:firstLineChars="200"/>
        <w:rPr>
          <w:rFonts w:ascii="宋体" w:cs="Tahoma"/>
          <w:color w:val="auto"/>
          <w:highlight w:val="none"/>
        </w:rPr>
      </w:pPr>
      <w:r>
        <w:rPr>
          <w:rFonts w:hint="eastAsia" w:ascii="宋体" w:hAnsi="宋体" w:cs="宋体"/>
          <w:color w:val="auto"/>
          <w:highlight w:val="none"/>
        </w:rPr>
        <w:t>（</w:t>
      </w:r>
      <w:r>
        <w:rPr>
          <w:rFonts w:ascii="宋体" w:hAnsi="宋体" w:cs="宋体"/>
          <w:color w:val="auto"/>
          <w:highlight w:val="none"/>
        </w:rPr>
        <w:t>5</w:t>
      </w:r>
      <w:r>
        <w:rPr>
          <w:rFonts w:hint="eastAsia" w:ascii="宋体" w:hAnsi="宋体" w:cs="宋体"/>
          <w:color w:val="auto"/>
          <w:highlight w:val="none"/>
        </w:rPr>
        <w:t>）注意食品安全卫生，清洗过的食品不落地存放，食品仓库或加工区域不得存放私人物品。</w:t>
      </w:r>
    </w:p>
    <w:p>
      <w:pPr>
        <w:pStyle w:val="62"/>
        <w:spacing w:line="360" w:lineRule="auto"/>
        <w:ind w:firstLine="420" w:firstLineChars="200"/>
        <w:rPr>
          <w:rFonts w:ascii="宋体" w:cs="Tahoma"/>
          <w:color w:val="auto"/>
          <w:highlight w:val="none"/>
        </w:rPr>
      </w:pP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）负责餐具的清洗、消毒工作：职工餐具消毒存放；①按照餐具清洗流程，合理使用洗洁精，减少化学化工类物资残留；②餐具要沥干水分后再放进消毒柜消毒。</w:t>
      </w:r>
    </w:p>
    <w:p>
      <w:pPr>
        <w:pStyle w:val="62"/>
        <w:spacing w:line="360" w:lineRule="auto"/>
        <w:ind w:firstLine="420" w:firstLineChars="200"/>
        <w:rPr>
          <w:rFonts w:ascii="宋体" w:cs="Tahoma"/>
          <w:color w:val="auto"/>
          <w:highlight w:val="none"/>
        </w:rPr>
      </w:pPr>
      <w:r>
        <w:rPr>
          <w:rFonts w:hint="eastAsia" w:ascii="宋体" w:hAnsi="宋体" w:cs="宋体"/>
          <w:color w:val="auto"/>
          <w:highlight w:val="none"/>
        </w:rPr>
        <w:t>（</w:t>
      </w:r>
      <w:r>
        <w:rPr>
          <w:rFonts w:ascii="宋体" w:hAnsi="宋体" w:cs="宋体"/>
          <w:color w:val="auto"/>
          <w:highlight w:val="none"/>
        </w:rPr>
        <w:t>7</w:t>
      </w:r>
      <w:r>
        <w:rPr>
          <w:rFonts w:hint="eastAsia" w:ascii="宋体" w:hAnsi="宋体" w:cs="宋体"/>
          <w:color w:val="auto"/>
          <w:highlight w:val="none"/>
        </w:rPr>
        <w:t>）负责饭堂的卫生工作。</w:t>
      </w:r>
    </w:p>
    <w:p>
      <w:pPr>
        <w:pStyle w:val="62"/>
        <w:spacing w:line="360" w:lineRule="auto"/>
        <w:ind w:firstLine="420" w:firstLineChars="200"/>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8</w:t>
      </w:r>
      <w:r>
        <w:rPr>
          <w:rFonts w:hint="eastAsia" w:ascii="宋体" w:hAnsi="宋体" w:cs="宋体"/>
          <w:color w:val="auto"/>
          <w:highlight w:val="none"/>
        </w:rPr>
        <w:t>）完成领导交办的其他任务。</w:t>
      </w:r>
    </w:p>
    <w:p>
      <w:pPr>
        <w:pStyle w:val="62"/>
        <w:spacing w:line="360" w:lineRule="auto"/>
        <w:ind w:firstLine="420" w:firstLineChars="200"/>
        <w:rPr>
          <w:rFonts w:ascii="宋体" w:hAnsi="宋体" w:cs="宋体"/>
          <w:color w:val="auto"/>
          <w:highlight w:val="none"/>
        </w:rPr>
      </w:pPr>
    </w:p>
    <w:p>
      <w:pPr>
        <w:pStyle w:val="34"/>
        <w:ind w:firstLine="0" w:firstLineChars="0"/>
        <w:outlineLvl w:val="3"/>
        <w:rPr>
          <w:rFonts w:ascii="宋体" w:hAnsi="宋体" w:cs="Times New Roman"/>
          <w:b/>
          <w:color w:val="auto"/>
          <w:sz w:val="24"/>
          <w:highlight w:val="none"/>
        </w:rPr>
      </w:pPr>
      <w:r>
        <w:rPr>
          <w:rFonts w:hint="eastAsia" w:ascii="宋体" w:hAnsi="宋体" w:cs="Times New Roman"/>
          <w:b/>
          <w:color w:val="auto"/>
          <w:sz w:val="24"/>
          <w:highlight w:val="none"/>
        </w:rPr>
        <w:t>五、餐费标准</w:t>
      </w:r>
    </w:p>
    <w:tbl>
      <w:tblPr>
        <w:tblStyle w:val="24"/>
        <w:tblW w:w="746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823"/>
        <w:gridCol w:w="364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3823" w:type="dxa"/>
            <w:tcBorders>
              <w:tl2br w:val="nil"/>
              <w:tr2bl w:val="nil"/>
            </w:tcBorders>
            <w:vAlign w:val="center"/>
          </w:tcPr>
          <w:p>
            <w:pPr>
              <w:widowControl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时间</w:t>
            </w:r>
          </w:p>
        </w:tc>
        <w:tc>
          <w:tcPr>
            <w:tcW w:w="3642" w:type="dxa"/>
            <w:tcBorders>
              <w:tl2br w:val="nil"/>
              <w:tr2bl w:val="nil"/>
            </w:tcBorders>
            <w:vAlign w:val="center"/>
          </w:tcPr>
          <w:p>
            <w:pPr>
              <w:widowControl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费用(元/人/餐)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3823" w:type="dxa"/>
            <w:tcBorders>
              <w:tl2br w:val="nil"/>
              <w:tr2bl w:val="nil"/>
            </w:tcBorders>
            <w:vAlign w:val="center"/>
          </w:tcPr>
          <w:p>
            <w:pPr>
              <w:widowControl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早餐</w:t>
            </w:r>
          </w:p>
        </w:tc>
        <w:tc>
          <w:tcPr>
            <w:tcW w:w="3642" w:type="dxa"/>
            <w:tcBorders>
              <w:tl2br w:val="nil"/>
              <w:tr2bl w:val="nil"/>
            </w:tcBorders>
            <w:vAlign w:val="center"/>
          </w:tcPr>
          <w:p>
            <w:pPr>
              <w:widowControl w:val="0"/>
              <w:adjustRightInd/>
              <w:snapToGrid/>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3823" w:type="dxa"/>
            <w:tcBorders>
              <w:tl2br w:val="nil"/>
              <w:tr2bl w:val="nil"/>
            </w:tcBorders>
            <w:vAlign w:val="center"/>
          </w:tcPr>
          <w:p>
            <w:pPr>
              <w:widowControl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午餐</w:t>
            </w:r>
          </w:p>
        </w:tc>
        <w:tc>
          <w:tcPr>
            <w:tcW w:w="3642" w:type="dxa"/>
            <w:tcBorders>
              <w:tl2br w:val="nil"/>
              <w:tr2bl w:val="nil"/>
            </w:tcBorders>
            <w:vAlign w:val="center"/>
          </w:tcPr>
          <w:p>
            <w:pPr>
              <w:widowControl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3823" w:type="dxa"/>
            <w:tcBorders>
              <w:tl2br w:val="nil"/>
              <w:tr2bl w:val="nil"/>
            </w:tcBorders>
            <w:vAlign w:val="center"/>
          </w:tcPr>
          <w:p>
            <w:pPr>
              <w:widowControl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晚餐</w:t>
            </w:r>
          </w:p>
        </w:tc>
        <w:tc>
          <w:tcPr>
            <w:tcW w:w="3642" w:type="dxa"/>
            <w:tcBorders>
              <w:tl2br w:val="nil"/>
              <w:tr2bl w:val="nil"/>
            </w:tcBorders>
            <w:vAlign w:val="center"/>
          </w:tcPr>
          <w:p>
            <w:pPr>
              <w:widowControl w:val="0"/>
              <w:adjustRightInd/>
              <w:snapToGrid/>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3823" w:type="dxa"/>
            <w:tcBorders>
              <w:tl2br w:val="nil"/>
              <w:tr2bl w:val="nil"/>
            </w:tcBorders>
            <w:vAlign w:val="center"/>
          </w:tcPr>
          <w:p>
            <w:pPr>
              <w:widowControl w:val="0"/>
              <w:adjustRightInd/>
              <w:snapToGrid/>
              <w:jc w:val="center"/>
              <w:rPr>
                <w:rFonts w:ascii="宋体" w:hAnsi="宋体" w:cs="宋体"/>
                <w:b/>
                <w:color w:val="auto"/>
                <w:szCs w:val="21"/>
                <w:highlight w:val="none"/>
              </w:rPr>
            </w:pPr>
            <w:r>
              <w:rPr>
                <w:rFonts w:hint="eastAsia" w:ascii="宋体" w:hAnsi="宋体" w:cs="宋体"/>
                <w:b/>
                <w:color w:val="auto"/>
                <w:szCs w:val="21"/>
                <w:highlight w:val="none"/>
              </w:rPr>
              <w:t>合计</w:t>
            </w:r>
          </w:p>
        </w:tc>
        <w:tc>
          <w:tcPr>
            <w:tcW w:w="3642" w:type="dxa"/>
            <w:tcBorders>
              <w:tl2br w:val="nil"/>
              <w:tr2bl w:val="nil"/>
            </w:tcBorders>
            <w:vAlign w:val="center"/>
          </w:tcPr>
          <w:p>
            <w:pPr>
              <w:widowControl w:val="0"/>
              <w:adjustRightInd/>
              <w:snapToGrid/>
              <w:jc w:val="center"/>
              <w:rPr>
                <w:rFonts w:hint="default" w:ascii="宋体" w:hAnsi="宋体" w:eastAsia="宋体" w:cs="宋体"/>
                <w:b/>
                <w:color w:val="auto"/>
                <w:szCs w:val="21"/>
                <w:highlight w:val="none"/>
                <w:lang w:val="en-US" w:eastAsia="zh-CN"/>
              </w:rPr>
            </w:pPr>
            <w:r>
              <w:rPr>
                <w:rFonts w:hint="eastAsia" w:ascii="宋体" w:hAnsi="宋体" w:cs="宋体"/>
                <w:b/>
                <w:color w:val="auto"/>
                <w:szCs w:val="21"/>
                <w:highlight w:val="none"/>
                <w:lang w:val="en-US" w:eastAsia="zh-CN"/>
              </w:rPr>
              <w:t>50</w:t>
            </w:r>
          </w:p>
        </w:tc>
      </w:tr>
    </w:tbl>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lang w:val="en-US" w:eastAsia="zh-CN"/>
        </w:rPr>
        <w:t>注：</w:t>
      </w:r>
      <w:r>
        <w:rPr>
          <w:rFonts w:hint="eastAsia" w:ascii="宋体" w:hAnsi="宋体" w:cs="宋体"/>
          <w:bCs/>
          <w:color w:val="auto"/>
          <w:szCs w:val="21"/>
          <w:highlight w:val="none"/>
        </w:rPr>
        <w:t>以上餐标可以根据服务期内物价上涨的实际情况与中标人以补充协议的方式进行适当调整。</w:t>
      </w:r>
    </w:p>
    <w:p>
      <w:pPr>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每天的食谱详情（可适当调整）如下：</w:t>
      </w:r>
    </w:p>
    <w:tbl>
      <w:tblPr>
        <w:tblStyle w:val="24"/>
        <w:tblW w:w="870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8"/>
        <w:gridCol w:w="1053"/>
        <w:gridCol w:w="1141"/>
        <w:gridCol w:w="1449"/>
        <w:gridCol w:w="1141"/>
        <w:gridCol w:w="1295"/>
        <w:gridCol w:w="986"/>
        <w:gridCol w:w="9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1"/>
                <w:szCs w:val="21"/>
                <w:highlight w:val="none"/>
                <w:u w:val="none"/>
              </w:rPr>
            </w:pPr>
          </w:p>
        </w:tc>
        <w:tc>
          <w:tcPr>
            <w:tcW w:w="1053" w:type="dxa"/>
            <w:tcBorders>
              <w:top w:val="single" w:color="000000" w:sz="8" w:space="0"/>
              <w:left w:val="nil"/>
              <w:bottom w:val="nil"/>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星期一</w:t>
            </w:r>
          </w:p>
        </w:tc>
        <w:tc>
          <w:tcPr>
            <w:tcW w:w="1141" w:type="dxa"/>
            <w:tcBorders>
              <w:top w:val="single" w:color="000000" w:sz="8" w:space="0"/>
              <w:left w:val="nil"/>
              <w:bottom w:val="nil"/>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星期二</w:t>
            </w:r>
          </w:p>
        </w:tc>
        <w:tc>
          <w:tcPr>
            <w:tcW w:w="1449" w:type="dxa"/>
            <w:tcBorders>
              <w:top w:val="single" w:color="000000" w:sz="8" w:space="0"/>
              <w:left w:val="nil"/>
              <w:bottom w:val="nil"/>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星期三</w:t>
            </w:r>
          </w:p>
        </w:tc>
        <w:tc>
          <w:tcPr>
            <w:tcW w:w="1141" w:type="dxa"/>
            <w:tcBorders>
              <w:top w:val="single" w:color="000000" w:sz="8" w:space="0"/>
              <w:left w:val="nil"/>
              <w:bottom w:val="nil"/>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星期四</w:t>
            </w:r>
          </w:p>
        </w:tc>
        <w:tc>
          <w:tcPr>
            <w:tcW w:w="1295" w:type="dxa"/>
            <w:tcBorders>
              <w:top w:val="single" w:color="000000" w:sz="8" w:space="0"/>
              <w:left w:val="nil"/>
              <w:bottom w:val="nil"/>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星期五</w:t>
            </w:r>
          </w:p>
        </w:tc>
        <w:tc>
          <w:tcPr>
            <w:tcW w:w="986" w:type="dxa"/>
            <w:tcBorders>
              <w:top w:val="single" w:color="000000" w:sz="8" w:space="0"/>
              <w:left w:val="nil"/>
              <w:bottom w:val="nil"/>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星期六</w:t>
            </w:r>
          </w:p>
        </w:tc>
        <w:tc>
          <w:tcPr>
            <w:tcW w:w="986" w:type="dxa"/>
            <w:tcBorders>
              <w:top w:val="single" w:color="000000" w:sz="8" w:space="0"/>
              <w:left w:val="nil"/>
              <w:bottom w:val="nil"/>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星期日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restart"/>
            <w:tcBorders>
              <w:top w:val="single" w:color="000000" w:sz="8" w:space="0"/>
              <w:left w:val="single" w:color="000000" w:sz="8"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早餐（三选一）</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烧鹅濑粉</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皮蛋瘦肉粥</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排骨肉丸汤粉粥面</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菜干骨头粥</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南瓜小米燕麦粥</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牛肉丸汤粉</w:t>
            </w:r>
          </w:p>
        </w:tc>
        <w:tc>
          <w:tcPr>
            <w:tcW w:w="9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single" w:color="000000" w:sz="8" w:space="0"/>
              <w:left w:val="single" w:color="000000" w:sz="8" w:space="0"/>
              <w:bottom w:val="nil"/>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猪肝瘦肉粉、面</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猪杂汤粉、面</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瘦肉肉丸汤、面</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牛腩萝卜汤粉</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烧鹅濑粉</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咸骨粥</w:t>
            </w:r>
          </w:p>
        </w:tc>
        <w:tc>
          <w:tcPr>
            <w:tcW w:w="9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single" w:color="000000" w:sz="8" w:space="0"/>
              <w:left w:val="single" w:color="000000" w:sz="8" w:space="0"/>
              <w:bottom w:val="nil"/>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蒸米粉</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炒猪肠粉</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肠粉</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炒河粉</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炒面</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干炒牛河</w:t>
            </w:r>
          </w:p>
        </w:tc>
        <w:tc>
          <w:tcPr>
            <w:tcW w:w="9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自选</w:t>
            </w:r>
          </w:p>
        </w:tc>
        <w:tc>
          <w:tcPr>
            <w:tcW w:w="706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牛奶、豆浆、酸奶、维他奶、金城牌包、面包、油条、鸡蛋、蛋挞、蛋糕、糯米卷、玉米、番薯、凉拌云耳、凉拌海带、凉拌黄瓜</w:t>
            </w:r>
          </w:p>
        </w:tc>
        <w:tc>
          <w:tcPr>
            <w:tcW w:w="9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658" w:type="dxa"/>
            <w:vMerge w:val="restart"/>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午餐</w:t>
            </w:r>
          </w:p>
        </w:tc>
        <w:tc>
          <w:tcPr>
            <w:tcW w:w="805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牛扒、鸡扒、猪扒、烧鹅、椒盐虾、牛腩萝卜、豉油鹅、面鼓蒸排骨、冬菇云耳炆鸡、清蒸小黄花鱼、椒盐鸡中翅、紫苏鸭、蒜苗回锅肉、隆江猪肘、咸鱼蒸五花肉、东坡肉、姜丝蒸秋力鱼、咸鱼蒸肉片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nil"/>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1"/>
                <w:szCs w:val="21"/>
                <w:highlight w:val="none"/>
                <w:u w:val="none"/>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鱼丸炆萝卜</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支竹炆鸭</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面豉炆鱼骨</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黄豆炆排骨</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炆钳鱼</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咸鱼蒸肉片</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莲藕片炒肉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nil"/>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1"/>
                <w:szCs w:val="21"/>
                <w:highlight w:val="none"/>
                <w:u w:val="none"/>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韭黄炒蛋</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猪肉蒸蛋</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豆角炒肉片</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咕噜肉</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板栗南瓜焖腩肉</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付竹炒肉</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花甲炒鸡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58" w:type="dxa"/>
            <w:vMerge w:val="continue"/>
            <w:tcBorders>
              <w:top w:val="nil"/>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1"/>
                <w:szCs w:val="21"/>
                <w:highlight w:val="none"/>
                <w:u w:val="none"/>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盐水菜心</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奶白菜</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耗油生菜</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炒油麦菜</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鸡杂炒菜心</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娃娃菜</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蒜蓉炒莴笋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58" w:type="dxa"/>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汤</w:t>
            </w:r>
          </w:p>
        </w:tc>
        <w:tc>
          <w:tcPr>
            <w:tcW w:w="805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西洋菜骨头汤、大骨玉米萝卜汤、鲫鱼煲萝卜汤、酸菜牛龙骨汤、茶树菇老鸡汤、鱼头豆腐汤、瘦肉杂菇汤、枸杞瘦肉汤、番茄土豆肉片汤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restart"/>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晚餐</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梅子鸭</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清蒸皖鱼</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淮山蒸排骨</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剁椒鱼头</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豉油鸡</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黑椒肉柳</w:t>
            </w:r>
          </w:p>
        </w:tc>
        <w:tc>
          <w:tcPr>
            <w:tcW w:w="9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nil"/>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1"/>
                <w:szCs w:val="21"/>
                <w:highlight w:val="none"/>
                <w:u w:val="none"/>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肉沫豆腐</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花肉胜瓜</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药材肉饼</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南乳炆土豆</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肉沫蒸蛋</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虾仁滑蛋</w:t>
            </w:r>
          </w:p>
        </w:tc>
        <w:tc>
          <w:tcPr>
            <w:tcW w:w="9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58" w:type="dxa"/>
            <w:vMerge w:val="continue"/>
            <w:tcBorders>
              <w:top w:val="nil"/>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1"/>
                <w:szCs w:val="21"/>
                <w:highlight w:val="none"/>
                <w:u w:val="none"/>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番薯叶</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油麦菜</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菜心</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盐水生菜</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娃娃菜</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番薯叶</w:t>
            </w:r>
          </w:p>
        </w:tc>
        <w:tc>
          <w:tcPr>
            <w:tcW w:w="9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58" w:type="dxa"/>
            <w:tcBorders>
              <w:top w:val="single" w:color="000000" w:sz="8" w:space="0"/>
              <w:left w:val="single" w:color="000000" w:sz="8" w:space="0"/>
              <w:bottom w:val="single" w:color="000000" w:sz="8"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汤</w:t>
            </w:r>
          </w:p>
        </w:tc>
        <w:tc>
          <w:tcPr>
            <w:tcW w:w="706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西洋菜骨头汤、大骨玉米萝卜汤、鲫鱼煲萝卜汤、酸菜牛龙骨汤、茶树菇老鸡汤、鱼头豆腐汤、瘦肉杂菇汤、枸杞瘦肉汤、番茄土豆肉片汤</w:t>
            </w:r>
          </w:p>
        </w:tc>
        <w:tc>
          <w:tcPr>
            <w:tcW w:w="9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1"/>
                <w:szCs w:val="21"/>
                <w:highlight w:val="none"/>
                <w:u w:val="none"/>
              </w:rPr>
            </w:pPr>
          </w:p>
        </w:tc>
      </w:tr>
    </w:tbl>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1、食堂管理服务中标人须按时准备餐品。周一至周日</w:t>
      </w:r>
      <w:r>
        <w:rPr>
          <w:rFonts w:hint="eastAsia" w:ascii="宋体" w:hAnsi="宋体" w:cs="Times New Roman"/>
          <w:color w:val="auto"/>
          <w:szCs w:val="21"/>
          <w:highlight w:val="none"/>
        </w:rPr>
        <w:t>（早餐：7:00-8:00，午餐：11:30-13:00，晚餐：17:30-18:30）</w:t>
      </w:r>
      <w:r>
        <w:rPr>
          <w:rFonts w:hint="eastAsia" w:ascii="宋体" w:hAnsi="宋体" w:cs="宋体"/>
          <w:bCs/>
          <w:color w:val="auto"/>
          <w:szCs w:val="21"/>
          <w:highlight w:val="none"/>
        </w:rPr>
        <w:t>。开餐时间由双方根据实际情况商定，一般情况节假日不提供就餐，特殊情况除外，如有加餐（茶歇、宵夜、临餐等）需求时，中标人应无条件配合。</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2、其他服务项目。除员工餐为固定收费标准外，公务接待餐、特殊节日加餐等服务项目，按照实际消费情况，采取月结方式，按月结清给饭堂中标人。</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（1）特殊节日加餐费用收取方式：五一劳动节、端午节、中秋节、国庆节、冬至节、春节等重要节日采用加餐的方式，中标人根据加餐产生的食材费用据实结算。</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（2）围餐费用收取方式：由采购人制定接待标准，中标人提供对应的菜单给采购人审核，餐费标准包含服务人员以及食材等全部费用。</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3、双方义务。食堂管理服务中标人负责菜品制作及服务管理；采购人提供现有的就餐场所、厨房设施设备。</w:t>
      </w:r>
    </w:p>
    <w:p>
      <w:pPr>
        <w:rPr>
          <w:color w:val="auto"/>
          <w:highlight w:val="none"/>
        </w:rPr>
      </w:pPr>
    </w:p>
    <w:p>
      <w:pPr>
        <w:pStyle w:val="34"/>
        <w:ind w:firstLine="0" w:firstLineChars="0"/>
        <w:outlineLvl w:val="3"/>
        <w:rPr>
          <w:rFonts w:ascii="宋体" w:hAnsi="宋体" w:cs="Times New Roman"/>
          <w:b/>
          <w:color w:val="auto"/>
          <w:sz w:val="24"/>
          <w:highlight w:val="none"/>
        </w:rPr>
      </w:pPr>
      <w:r>
        <w:rPr>
          <w:rFonts w:hint="eastAsia" w:ascii="宋体" w:hAnsi="宋体" w:cs="Times New Roman"/>
          <w:b/>
          <w:color w:val="auto"/>
          <w:sz w:val="24"/>
          <w:highlight w:val="none"/>
        </w:rPr>
        <w:t>六、食堂管理考核</w:t>
      </w:r>
    </w:p>
    <w:p>
      <w:pPr>
        <w:ind w:firstLine="210" w:firstLineChars="100"/>
        <w:rPr>
          <w:rFonts w:ascii="宋体" w:hAnsi="宋体" w:cs="宋体"/>
          <w:bCs/>
          <w:color w:val="auto"/>
          <w:szCs w:val="21"/>
          <w:highlight w:val="none"/>
        </w:rPr>
      </w:pPr>
      <w:r>
        <w:rPr>
          <w:rFonts w:hint="eastAsia" w:ascii="宋体" w:hAnsi="宋体" w:cs="宋体"/>
          <w:bCs/>
          <w:color w:val="auto"/>
          <w:szCs w:val="21"/>
          <w:highlight w:val="none"/>
        </w:rPr>
        <w:t>1、食堂管理考核表</w:t>
      </w:r>
    </w:p>
    <w:tbl>
      <w:tblPr>
        <w:tblStyle w:val="24"/>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6130"/>
        <w:gridCol w:w="690"/>
        <w:gridCol w:w="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640" w:type="dxa"/>
            <w:gridSpan w:val="4"/>
            <w:tcBorders>
              <w:top w:val="single" w:color="auto" w:sz="4" w:space="0"/>
              <w:left w:val="single" w:color="auto" w:sz="4" w:space="0"/>
              <w:bottom w:val="single" w:color="auto" w:sz="4" w:space="0"/>
              <w:right w:val="single" w:color="auto" w:sz="4" w:space="0"/>
            </w:tcBorders>
            <w:noWrap/>
          </w:tcPr>
          <w:p>
            <w:pPr>
              <w:jc w:val="center"/>
              <w:rPr>
                <w:rFonts w:ascii="宋体" w:hAnsi="宋体" w:cs="宋体"/>
                <w:b/>
                <w:bCs/>
                <w:color w:val="auto"/>
                <w:szCs w:val="21"/>
                <w:highlight w:val="none"/>
              </w:rPr>
            </w:pPr>
            <w:r>
              <w:rPr>
                <w:rFonts w:hint="eastAsia" w:ascii="宋体" w:hAnsi="宋体" w:cs="宋体"/>
                <w:b/>
                <w:bCs/>
                <w:color w:val="auto"/>
                <w:szCs w:val="21"/>
                <w:highlight w:val="none"/>
              </w:rPr>
              <w:t>食堂日常监管检查表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检查项目</w:t>
            </w:r>
          </w:p>
        </w:tc>
        <w:tc>
          <w:tcPr>
            <w:tcW w:w="613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内容</w:t>
            </w:r>
          </w:p>
        </w:tc>
        <w:tc>
          <w:tcPr>
            <w:tcW w:w="69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分值</w:t>
            </w:r>
          </w:p>
        </w:tc>
        <w:tc>
          <w:tcPr>
            <w:tcW w:w="6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人员要求（30分）</w:t>
            </w: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1、必须持卫生部门颁发的“健康证”上岗。</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2、工作衣帽穿戴整洁，并保持个人卫生（勤洗手、勤剪指甲等）</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3、服从采购人和中标人的双重管理。</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4、工作期间不打闹嬉戏，不大声交谈，不拍照，不玩游戏。</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5、要微笑服务，不得发生争吵、打骂等不文明行为。</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6、能主动征求和听取意见和建议，并且虚心接受。</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食品安全（30分）</w:t>
            </w: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7、不购进、不加工腐烂变质、有毒、有害、超过保质期的食物。</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8、分类加工和存放生、熟食品，不得混放。</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9、工作间卫生清洁，地面干净、无积水、无杂物，操作台及灶台卫生整洁。</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10、就餐场所地面及桌椅每日清扫，地面整洁，桌面洁净无污垢、无油腻。</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11、严格按照食品卫生要求操作，洗干净的餐具摆好整齐。</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12、接触熟食时，要用食品夹，而不直接用手。</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饭菜质量（30分）</w:t>
            </w: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13、菜谱花色品种多样，正常有变换，浑、素搭配合理。</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14、食品食物中不得出现杂物、不熟等现象。</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15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15、每天自助餐备菜应充足。</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10</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其他要求（10分）</w:t>
            </w: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16、电器开关应及时开关。</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6130" w:type="dxa"/>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17、门窗应及时开关。</w:t>
            </w: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总分</w:t>
            </w:r>
          </w:p>
        </w:tc>
        <w:tc>
          <w:tcPr>
            <w:tcW w:w="613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c>
          <w:tcPr>
            <w:tcW w:w="69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100</w:t>
            </w:r>
          </w:p>
        </w:tc>
        <w:tc>
          <w:tcPr>
            <w:tcW w:w="650" w:type="dxa"/>
            <w:tcBorders>
              <w:top w:val="single" w:color="auto" w:sz="4" w:space="0"/>
              <w:left w:val="single" w:color="auto" w:sz="4" w:space="0"/>
              <w:bottom w:val="single" w:color="auto" w:sz="4" w:space="0"/>
              <w:right w:val="single" w:color="auto" w:sz="4" w:space="0"/>
            </w:tcBorders>
            <w:noWrap/>
          </w:tcPr>
          <w:p>
            <w:pPr>
              <w:jc w:val="center"/>
              <w:rPr>
                <w:rFonts w:ascii="宋体" w:hAnsi="宋体" w:cs="宋体"/>
                <w:color w:val="auto"/>
                <w:szCs w:val="21"/>
                <w:highlight w:val="none"/>
              </w:rPr>
            </w:pPr>
          </w:p>
        </w:tc>
      </w:tr>
    </w:tbl>
    <w:p>
      <w:pPr>
        <w:numPr>
          <w:ilvl w:val="0"/>
          <w:numId w:val="9"/>
        </w:numPr>
        <w:ind w:firstLine="420" w:firstLineChars="200"/>
        <w:rPr>
          <w:rFonts w:ascii="宋体" w:hAnsi="宋体" w:cs="宋体"/>
          <w:color w:val="auto"/>
          <w:szCs w:val="21"/>
          <w:highlight w:val="none"/>
        </w:rPr>
      </w:pPr>
      <w:r>
        <w:rPr>
          <w:rFonts w:hint="eastAsia" w:ascii="宋体" w:hAnsi="宋体" w:cs="宋体"/>
          <w:color w:val="auto"/>
          <w:szCs w:val="21"/>
          <w:highlight w:val="none"/>
        </w:rPr>
        <w:t>采购人每月根据食堂管理考核表对中标人进行考核打分，在日常工作中，如发现中标人存在以上问题，采购人现场出具扣分说明并由中标人签名确认，以便每月综合打分。</w:t>
      </w:r>
    </w:p>
    <w:p>
      <w:pPr>
        <w:rPr>
          <w:color w:val="auto"/>
          <w:highlight w:val="none"/>
        </w:rPr>
      </w:pPr>
    </w:p>
    <w:p>
      <w:pPr>
        <w:pStyle w:val="34"/>
        <w:ind w:firstLine="0" w:firstLineChars="0"/>
        <w:outlineLvl w:val="3"/>
        <w:rPr>
          <w:rFonts w:ascii="宋体" w:hAnsi="宋体" w:cs="Times New Roman"/>
          <w:b/>
          <w:color w:val="auto"/>
          <w:sz w:val="24"/>
          <w:highlight w:val="none"/>
        </w:rPr>
      </w:pPr>
      <w:r>
        <w:rPr>
          <w:rFonts w:hint="eastAsia" w:ascii="宋体" w:hAnsi="宋体" w:cs="Times New Roman"/>
          <w:b/>
          <w:color w:val="auto"/>
          <w:sz w:val="24"/>
          <w:highlight w:val="none"/>
        </w:rPr>
        <w:t>七、考评标准及退出机制</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1、考评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经营期间采购人将委托第三方食品抽检单位对食材进行不定期抽检，如中标人质量、卫生未能达到合同或政府相关部门标准采购人提出合理的改进建议，中标人须在当天内改进，15天内达到要求，否则采购人有权随时终止合同。</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（2）采购人定期或不定期对中标人日常的饮食卫生、环境卫生、个人卫生、出品质量、份量、品种、外观、味道、烹饪技术和服务态度进行评估,及时反馈予中标人并提出整改要求。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2、有下列情况之一者，属中标人违约，采购人有权取消其饭堂承包经营权。</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（1）经营期间发生经市相关部门鉴定为食物中毒或发生安全生产责任事故的（如发生集体食物中毒、火灾、爆炸等）。</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（2）经营期间由市、镇相关部门对本厨房的餐具或食品进行不定期抽检，连续两次抽检不合格的。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（3）因经营管理不善出现生产安全、食品卫生问题被市级以上新闻单位曝光的。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（4）在经营过程中，存在掺杂做假、销售无证食品、不服从采购人日常管理等违规行为，经采购人连续两次书面规劝、限期整改依然无效的。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（5）经营期间未经采购人同意将承包经营权转让给第三方经营的。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（6）在招投标时以弄虚作假等欺骗手段获得准入资格，一经被查出的。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（7）经营期间在一年期限内，有两个月总分80分以下或者有一个月总分60分以下的。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（8）经测评有50%或以上的就餐人员对饭菜质量不满时。</w:t>
      </w:r>
    </w:p>
    <w:p>
      <w:pPr>
        <w:pStyle w:val="34"/>
        <w:ind w:firstLine="0" w:firstLineChars="0"/>
        <w:outlineLvl w:val="3"/>
        <w:rPr>
          <w:rFonts w:hint="default" w:ascii="宋体" w:hAnsi="宋体" w:eastAsia="宋体" w:cs="Times New Roman"/>
          <w:b/>
          <w:color w:val="auto"/>
          <w:sz w:val="24"/>
          <w:highlight w:val="none"/>
          <w:lang w:val="en-US" w:eastAsia="zh-CN"/>
        </w:rPr>
      </w:pPr>
      <w:r>
        <w:rPr>
          <w:rFonts w:hint="eastAsia" w:ascii="宋体" w:hAnsi="宋体" w:cs="Times New Roman"/>
          <w:b/>
          <w:color w:val="auto"/>
          <w:sz w:val="24"/>
          <w:highlight w:val="none"/>
          <w:lang w:val="en-US" w:eastAsia="zh-CN"/>
        </w:rPr>
        <w:t>八</w:t>
      </w:r>
      <w:r>
        <w:rPr>
          <w:rFonts w:hint="eastAsia" w:ascii="宋体" w:hAnsi="宋体" w:cs="Times New Roman"/>
          <w:b/>
          <w:color w:val="auto"/>
          <w:sz w:val="24"/>
          <w:highlight w:val="none"/>
        </w:rPr>
        <w:t>、</w:t>
      </w:r>
      <w:r>
        <w:rPr>
          <w:rFonts w:hint="eastAsia" w:ascii="宋体" w:hAnsi="宋体" w:cs="Times New Roman"/>
          <w:b/>
          <w:color w:val="auto"/>
          <w:sz w:val="24"/>
          <w:highlight w:val="none"/>
          <w:lang w:val="en-US" w:eastAsia="zh-CN"/>
        </w:rPr>
        <w:t>其他要求</w:t>
      </w:r>
    </w:p>
    <w:p>
      <w:pPr>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投标人</w:t>
      </w:r>
      <w:r>
        <w:rPr>
          <w:rFonts w:hint="eastAsia" w:ascii="宋体" w:hAnsi="宋体" w:eastAsia="宋体" w:cs="宋体"/>
          <w:color w:val="auto"/>
          <w:szCs w:val="21"/>
          <w:highlight w:val="none"/>
        </w:rPr>
        <w:t>应根据</w:t>
      </w:r>
      <w:r>
        <w:rPr>
          <w:rFonts w:hint="eastAsia" w:ascii="宋体" w:hAnsi="宋体" w:eastAsia="宋体" w:cs="宋体"/>
          <w:color w:val="auto"/>
          <w:szCs w:val="21"/>
          <w:highlight w:val="none"/>
          <w:lang w:val="en-US" w:eastAsia="zh-CN"/>
        </w:rPr>
        <w:t>本项目的作业要求</w:t>
      </w:r>
      <w:r>
        <w:rPr>
          <w:rFonts w:hint="eastAsia" w:ascii="宋体" w:hAnsi="宋体" w:eastAsia="宋体" w:cs="宋体"/>
          <w:color w:val="auto"/>
          <w:szCs w:val="21"/>
          <w:highlight w:val="none"/>
        </w:rPr>
        <w:t>，在</w:t>
      </w:r>
      <w:r>
        <w:rPr>
          <w:rFonts w:hint="eastAsia" w:ascii="宋体" w:hAnsi="宋体" w:eastAsia="宋体" w:cs="宋体"/>
          <w:color w:val="auto"/>
          <w:szCs w:val="21"/>
          <w:highlight w:val="none"/>
          <w:lang w:val="en-US" w:eastAsia="zh-CN"/>
        </w:rPr>
        <w:t>投标</w:t>
      </w:r>
      <w:r>
        <w:rPr>
          <w:rFonts w:hint="eastAsia" w:ascii="宋体" w:hAnsi="宋体" w:eastAsia="宋体" w:cs="宋体"/>
          <w:color w:val="auto"/>
          <w:szCs w:val="21"/>
          <w:highlight w:val="none"/>
        </w:rPr>
        <w:t>文件中提供切实可行总体服务方案</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人员组织架构</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应急保障措施</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安全卫生保证及服务承诺</w:t>
      </w:r>
      <w:r>
        <w:rPr>
          <w:rFonts w:hint="eastAsia" w:ascii="宋体" w:hAnsi="宋体" w:eastAsia="宋体" w:cs="宋体"/>
          <w:color w:val="auto"/>
          <w:szCs w:val="21"/>
          <w:highlight w:val="none"/>
          <w:lang w:val="en-US" w:eastAsia="zh-CN"/>
        </w:rPr>
        <w:t>等。</w:t>
      </w:r>
    </w:p>
    <w:p>
      <w:pPr>
        <w:pStyle w:val="2"/>
        <w:rPr>
          <w:rFonts w:hint="eastAsia"/>
          <w:color w:val="auto"/>
          <w:highlight w:val="none"/>
          <w:lang w:val="en-US" w:eastAsia="zh-CN"/>
        </w:rPr>
      </w:pPr>
    </w:p>
    <w:p>
      <w:pPr>
        <w:ind w:firstLine="422" w:firstLineChars="200"/>
        <w:rPr>
          <w:rFonts w:ascii="宋体" w:hAnsi="宋体" w:cs="宋体"/>
          <w:b/>
          <w:bCs/>
          <w:color w:val="auto"/>
          <w:szCs w:val="21"/>
          <w:highlight w:val="none"/>
        </w:rPr>
      </w:pPr>
      <w:r>
        <w:rPr>
          <w:rFonts w:hint="eastAsia" w:ascii="宋体" w:hAnsi="宋体" w:cs="Times New Roman"/>
          <w:b/>
          <w:bCs/>
          <w:color w:val="auto"/>
          <w:szCs w:val="21"/>
          <w:highlight w:val="none"/>
        </w:rPr>
        <w:t>注：不满足招标文件中 “★”条款的投标文件将作无效投标处理。</w:t>
      </w:r>
    </w:p>
    <w:p>
      <w:pPr>
        <w:rPr>
          <w:rFonts w:ascii="宋体" w:hAnsi="宋体" w:cs="宋体"/>
          <w:b/>
          <w:bCs/>
          <w:color w:val="auto"/>
          <w:szCs w:val="21"/>
          <w:highlight w:val="none"/>
        </w:rPr>
      </w:pPr>
      <w:r>
        <w:rPr>
          <w:rFonts w:ascii="宋体" w:hAnsi="宋体" w:cs="宋体"/>
          <w:b/>
          <w:bCs/>
          <w:color w:val="auto"/>
          <w:szCs w:val="21"/>
          <w:highlight w:val="none"/>
        </w:rPr>
        <w:br w:type="page"/>
      </w:r>
    </w:p>
    <w:bookmarkEnd w:id="182"/>
    <w:bookmarkEnd w:id="183"/>
    <w:bookmarkEnd w:id="184"/>
    <w:bookmarkEnd w:id="185"/>
    <w:p>
      <w:pPr>
        <w:pStyle w:val="4"/>
        <w:spacing w:before="0" w:after="0" w:line="240" w:lineRule="auto"/>
        <w:rPr>
          <w:color w:val="auto"/>
          <w:sz w:val="28"/>
          <w:szCs w:val="28"/>
          <w:highlight w:val="none"/>
        </w:rPr>
      </w:pPr>
      <w:bookmarkStart w:id="186" w:name="_Toc12014"/>
      <w:bookmarkStart w:id="187" w:name="_Toc12485"/>
      <w:bookmarkStart w:id="188" w:name="_Toc21448"/>
      <w:r>
        <w:rPr>
          <w:rFonts w:hint="eastAsia"/>
          <w:color w:val="auto"/>
          <w:sz w:val="28"/>
          <w:szCs w:val="28"/>
          <w:highlight w:val="none"/>
        </w:rPr>
        <w:t>第六部分 合同格式（仅供参考）</w:t>
      </w:r>
      <w:bookmarkEnd w:id="186"/>
      <w:bookmarkEnd w:id="187"/>
      <w:bookmarkEnd w:id="188"/>
      <w:bookmarkStart w:id="189" w:name="_Toc1534"/>
      <w:bookmarkStart w:id="190" w:name="_Toc21155"/>
      <w:bookmarkStart w:id="191" w:name="_Toc13430"/>
    </w:p>
    <w:p>
      <w:pPr>
        <w:pStyle w:val="5"/>
        <w:spacing w:line="240" w:lineRule="auto"/>
        <w:jc w:val="center"/>
        <w:rPr>
          <w:rFonts w:ascii="宋体" w:hAnsi="宋体" w:cs="宋体"/>
          <w:color w:val="auto"/>
          <w:highlight w:val="none"/>
        </w:rPr>
      </w:pPr>
      <w:bookmarkStart w:id="192" w:name="_Toc19575"/>
      <w:bookmarkStart w:id="193" w:name="_Toc8880"/>
      <w:bookmarkStart w:id="194" w:name="_Toc16730"/>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2"/>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2"/>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2"/>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2"/>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2"/>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2"/>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2"/>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2"/>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1、凡与本合同有关而引起的一切争议，甲乙双方应首先通过友好协商解决，如经协商后仍不能达成协议时，任何一方可以向甲方所在地人民法院提出诉讼。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pStyle w:val="8"/>
        <w:rPr>
          <w:rFonts w:cstheme="minorBidi"/>
          <w:color w:val="auto"/>
          <w:sz w:val="21"/>
          <w:szCs w:val="21"/>
          <w:highlight w:val="none"/>
          <w:lang w:val="en-US" w:bidi="ar-SA"/>
        </w:rPr>
      </w:pPr>
      <w:r>
        <w:rPr>
          <w:rFonts w:hint="eastAsia" w:cstheme="minorBidi"/>
          <w:color w:val="auto"/>
          <w:sz w:val="21"/>
          <w:szCs w:val="21"/>
          <w:highlight w:val="none"/>
          <w:lang w:val="en-US" w:bidi="ar-SA"/>
        </w:rPr>
        <w:t>以下无正文</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4"/>
        <w:spacing w:before="0" w:after="0" w:line="240" w:lineRule="auto"/>
        <w:rPr>
          <w:color w:val="auto"/>
          <w:sz w:val="28"/>
          <w:szCs w:val="28"/>
          <w:highlight w:val="none"/>
        </w:rPr>
      </w:pPr>
      <w:bookmarkStart w:id="198" w:name="_Toc1478"/>
      <w:bookmarkStart w:id="199" w:name="_Toc23749"/>
      <w:bookmarkStart w:id="200" w:name="_Toc31587"/>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5"/>
        <w:rPr>
          <w:color w:val="auto"/>
          <w:highlight w:val="none"/>
        </w:rPr>
      </w:pPr>
      <w:bookmarkStart w:id="201" w:name="_Toc5794"/>
      <w:bookmarkStart w:id="202" w:name="_Toc26830"/>
      <w:bookmarkStart w:id="203" w:name="_Toc6790"/>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rPr>
          <w:color w:val="auto"/>
          <w:highlight w:val="none"/>
        </w:rPr>
      </w:pPr>
      <w:bookmarkStart w:id="204" w:name="_Toc5670"/>
      <w:bookmarkStart w:id="205" w:name="_Toc18893"/>
      <w:bookmarkStart w:id="206" w:name="_Toc25502"/>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4"/>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noWrap/>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noWrap/>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31"/>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17"/>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8"/>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jc w:val="center"/>
        <w:rPr>
          <w:color w:val="auto"/>
          <w:highlight w:val="none"/>
        </w:rPr>
      </w:pPr>
      <w:bookmarkStart w:id="207" w:name="_Toc22080"/>
      <w:bookmarkStart w:id="208" w:name="_Toc8194"/>
      <w:bookmarkStart w:id="209" w:name="_Toc30640"/>
      <w:r>
        <w:rPr>
          <w:rFonts w:hint="eastAsia"/>
          <w:color w:val="auto"/>
          <w:highlight w:val="none"/>
        </w:rPr>
        <w:t>第一章价格文件</w:t>
      </w:r>
      <w:bookmarkEnd w:id="207"/>
      <w:bookmarkEnd w:id="208"/>
    </w:p>
    <w:p>
      <w:pPr>
        <w:pStyle w:val="5"/>
        <w:jc w:val="center"/>
        <w:rPr>
          <w:color w:val="auto"/>
          <w:highlight w:val="none"/>
        </w:rPr>
      </w:pPr>
      <w:bookmarkStart w:id="210" w:name="_Toc19750"/>
      <w:bookmarkStart w:id="211" w:name="_Toc4168"/>
      <w:r>
        <w:rPr>
          <w:rFonts w:hint="eastAsia"/>
          <w:color w:val="auto"/>
          <w:highlight w:val="none"/>
        </w:rPr>
        <w:t>一、唱标一览表</w:t>
      </w:r>
      <w:bookmarkEnd w:id="210"/>
      <w:bookmarkEnd w:id="211"/>
    </w:p>
    <w:p>
      <w:pPr>
        <w:rPr>
          <w:rFonts w:ascii="宋体" w:hAnsi="宋体"/>
          <w:color w:val="auto"/>
          <w:szCs w:val="21"/>
          <w:highlight w:val="none"/>
        </w:rPr>
      </w:pP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77"/>
        <w:gridCol w:w="2777"/>
        <w:gridCol w:w="1609"/>
        <w:gridCol w:w="22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1101"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1629"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投标总价</w:t>
            </w:r>
          </w:p>
        </w:tc>
        <w:tc>
          <w:tcPr>
            <w:tcW w:w="944"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服务期</w:t>
            </w:r>
          </w:p>
        </w:tc>
        <w:tc>
          <w:tcPr>
            <w:tcW w:w="1323"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1101" w:type="pct"/>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eastAsia" w:ascii="宋体" w:hAnsi="宋体" w:eastAsia="宋体"/>
                <w:color w:val="auto"/>
                <w:sz w:val="21"/>
                <w:szCs w:val="21"/>
                <w:highlight w:val="none"/>
                <w:lang w:eastAsia="zh-CN"/>
              </w:rPr>
            </w:pPr>
            <w:r>
              <w:rPr>
                <w:rFonts w:hint="eastAsia" w:ascii="宋体" w:hAnsi="宋体" w:cs="宋体"/>
                <w:color w:val="auto"/>
                <w:szCs w:val="21"/>
                <w:highlight w:val="none"/>
                <w:lang w:eastAsia="zh-CN"/>
              </w:rPr>
              <w:t>东莞市横沥镇社区卫生服务中心饭堂服务项目</w:t>
            </w:r>
          </w:p>
        </w:tc>
        <w:tc>
          <w:tcPr>
            <w:tcW w:w="2777"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r>
              <w:rPr>
                <w:rFonts w:hint="eastAsia" w:ascii="宋体" w:hAnsi="宋体" w:eastAsia="宋体"/>
                <w:color w:val="auto"/>
                <w:sz w:val="21"/>
                <w:szCs w:val="21"/>
                <w:highlight w:val="none"/>
                <w:lang w:val="en-US" w:eastAsia="zh-CN"/>
              </w:rPr>
              <w:t>72</w:t>
            </w:r>
            <w:r>
              <w:rPr>
                <w:rFonts w:hint="eastAsia" w:ascii="宋体" w:hAnsi="宋体" w:eastAsia="宋体"/>
                <w:color w:val="auto"/>
                <w:sz w:val="21"/>
                <w:szCs w:val="21"/>
                <w:highlight w:val="none"/>
                <w:lang w:eastAsia="zh-CN"/>
              </w:rPr>
              <w:t>0,000.00</w:t>
            </w:r>
          </w:p>
        </w:tc>
        <w:tc>
          <w:tcPr>
            <w:tcW w:w="944" w:type="pct"/>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eastAsia" w:ascii="宋体" w:hAnsi="宋体"/>
                <w:color w:val="auto"/>
                <w:sz w:val="21"/>
                <w:szCs w:val="21"/>
                <w:highlight w:val="none"/>
                <w:lang w:val="en-US" w:eastAsia="zh-CN"/>
              </w:rPr>
            </w:pPr>
            <w:r>
              <w:rPr>
                <w:rFonts w:hint="eastAsia" w:ascii="宋体" w:hAnsi="宋体" w:cs="宋体"/>
                <w:color w:val="auto"/>
                <w:szCs w:val="21"/>
                <w:highlight w:val="none"/>
                <w:lang w:bidi="zh-CN"/>
              </w:rPr>
              <w:t>自</w:t>
            </w:r>
            <w:r>
              <w:rPr>
                <w:rFonts w:hint="eastAsia" w:ascii="宋体" w:hAnsi="宋体" w:cs="宋体"/>
                <w:color w:val="auto"/>
                <w:szCs w:val="21"/>
                <w:highlight w:val="none"/>
                <w:lang w:val="zh-CN" w:bidi="zh-CN"/>
              </w:rPr>
              <w:t>合同签订</w:t>
            </w:r>
            <w:r>
              <w:rPr>
                <w:rFonts w:hint="eastAsia" w:ascii="宋体" w:hAnsi="宋体" w:cs="宋体"/>
                <w:color w:val="auto"/>
                <w:szCs w:val="21"/>
                <w:highlight w:val="none"/>
                <w:lang w:bidi="zh-CN"/>
              </w:rPr>
              <w:t>之日起</w:t>
            </w:r>
            <w:r>
              <w:rPr>
                <w:rFonts w:hint="eastAsia" w:ascii="宋体" w:hAnsi="宋体" w:cs="宋体"/>
                <w:color w:val="auto"/>
                <w:szCs w:val="21"/>
                <w:highlight w:val="none"/>
                <w:lang w:val="en-US" w:bidi="zh-CN"/>
              </w:rPr>
              <w:t>一</w:t>
            </w:r>
            <w:r>
              <w:rPr>
                <w:rFonts w:hint="eastAsia" w:ascii="宋体" w:hAnsi="宋体" w:cs="宋体"/>
                <w:color w:val="auto"/>
                <w:szCs w:val="21"/>
                <w:highlight w:val="none"/>
                <w:lang w:val="zh-CN" w:bidi="zh-CN"/>
              </w:rPr>
              <w:t>年。</w:t>
            </w:r>
          </w:p>
        </w:tc>
        <w:tc>
          <w:tcPr>
            <w:tcW w:w="1323" w:type="pct"/>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本项目为固定总价（与预算金额保持一致）报价。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1101" w:type="pct"/>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2777"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大写：</w:t>
            </w:r>
            <w:r>
              <w:rPr>
                <w:rFonts w:hint="eastAsia" w:ascii="宋体" w:hAnsi="宋体"/>
                <w:color w:val="auto"/>
                <w:sz w:val="21"/>
                <w:szCs w:val="21"/>
                <w:highlight w:val="none"/>
                <w:lang w:val="en-US" w:eastAsia="zh-CN"/>
              </w:rPr>
              <w:t>柒拾贰万元整</w:t>
            </w:r>
          </w:p>
        </w:tc>
        <w:tc>
          <w:tcPr>
            <w:tcW w:w="944" w:type="pct"/>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c>
          <w:tcPr>
            <w:tcW w:w="1323" w:type="pct"/>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w:t>
      </w:r>
      <w:r>
        <w:rPr>
          <w:rFonts w:hint="eastAsia" w:ascii="宋体" w:hAnsi="宋体" w:eastAsia="宋体"/>
          <w:color w:val="auto"/>
          <w:sz w:val="21"/>
          <w:szCs w:val="21"/>
          <w:highlight w:val="none"/>
        </w:rPr>
        <w:t>1、投标</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，报价保留小数点后两位。投标</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大小写不一致，以大写为准。投标</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2、此表应按投标人须知的规定密封标记并与《授权委托书》、《投标保证金汇入情况说明》一同密封单独提交。</w:t>
      </w:r>
    </w:p>
    <w:p>
      <w:pPr>
        <w:ind w:left="357" w:leftChars="170" w:firstLine="359" w:firstLineChars="171"/>
        <w:rPr>
          <w:rFonts w:ascii="宋体" w:hAnsi="宋体"/>
          <w:color w:val="auto"/>
          <w:szCs w:val="21"/>
          <w:highlight w:val="none"/>
        </w:rPr>
      </w:pPr>
    </w:p>
    <w:p>
      <w:pPr>
        <w:rPr>
          <w:color w:val="auto"/>
          <w:highlight w:val="none"/>
        </w:rPr>
      </w:pPr>
    </w:p>
    <w:p>
      <w:pPr>
        <w:pStyle w:val="8"/>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8"/>
        <w:rPr>
          <w:color w:val="auto"/>
          <w:highlight w:val="none"/>
        </w:rPr>
      </w:pPr>
    </w:p>
    <w:p>
      <w:pPr>
        <w:pStyle w:val="5"/>
        <w:jc w:val="center"/>
        <w:rPr>
          <w:color w:val="auto"/>
          <w:highlight w:val="none"/>
        </w:rPr>
      </w:pPr>
      <w:bookmarkStart w:id="212" w:name="_Toc31062"/>
      <w:bookmarkStart w:id="213" w:name="_Toc31172"/>
      <w:r>
        <w:rPr>
          <w:rFonts w:hint="eastAsia"/>
          <w:color w:val="auto"/>
          <w:highlight w:val="none"/>
        </w:rPr>
        <w:t>二、报价明细表</w:t>
      </w:r>
      <w:bookmarkEnd w:id="212"/>
      <w:bookmarkEnd w:id="213"/>
    </w:p>
    <w:p>
      <w:pPr>
        <w:pStyle w:val="31"/>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1"/>
        <w:rPr>
          <w:rFonts w:ascii="黑体" w:eastAsia="黑体"/>
          <w:color w:val="auto"/>
          <w:sz w:val="32"/>
          <w:szCs w:val="32"/>
          <w:highlight w:val="none"/>
        </w:rPr>
      </w:pPr>
    </w:p>
    <w:p>
      <w:pPr>
        <w:pStyle w:val="31"/>
        <w:rPr>
          <w:rFonts w:ascii="黑体" w:eastAsia="黑体"/>
          <w:color w:val="auto"/>
          <w:sz w:val="32"/>
          <w:szCs w:val="32"/>
          <w:highlight w:val="none"/>
        </w:rPr>
      </w:pPr>
    </w:p>
    <w:p>
      <w:pPr>
        <w:pStyle w:val="5"/>
        <w:jc w:val="center"/>
        <w:rPr>
          <w:color w:val="auto"/>
          <w:highlight w:val="none"/>
        </w:rPr>
      </w:pPr>
      <w:bookmarkStart w:id="214" w:name="_Toc23355"/>
      <w:bookmarkStart w:id="215" w:name="_Toc20974"/>
      <w:r>
        <w:rPr>
          <w:rFonts w:hint="eastAsia"/>
          <w:color w:val="auto"/>
          <w:highlight w:val="none"/>
        </w:rPr>
        <w:t>三、小型或微型企业（货物/服务/承担的工程）明细表</w:t>
      </w:r>
      <w:bookmarkEnd w:id="214"/>
      <w:bookmarkEnd w:id="215"/>
    </w:p>
    <w:tbl>
      <w:tblPr>
        <w:tblStyle w:val="24"/>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4"/>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注：</w:t>
      </w:r>
    </w:p>
    <w:p>
      <w:pPr>
        <w:ind w:firstLine="422" w:firstLineChars="200"/>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4"/>
          <w:rFonts w:hint="eastAsia" w:ascii="宋体" w:hAnsi="宋体" w:eastAsia="宋体" w:cs="宋体"/>
          <w:b/>
          <w:color w:val="auto"/>
          <w:sz w:val="21"/>
          <w:szCs w:val="21"/>
          <w:highlight w:val="none"/>
        </w:rPr>
        <w:t>；</w:t>
      </w:r>
    </w:p>
    <w:p>
      <w:pPr>
        <w:pStyle w:val="34"/>
        <w:ind w:firstLine="422"/>
        <w:rPr>
          <w:rFonts w:ascii="黑体" w:eastAsia="黑体"/>
          <w:color w:val="auto"/>
          <w:sz w:val="32"/>
          <w:szCs w:val="32"/>
          <w:highlight w:val="none"/>
        </w:rPr>
      </w:pPr>
      <w:r>
        <w:rPr>
          <w:rStyle w:val="44"/>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5"/>
        <w:jc w:val="center"/>
        <w:rPr>
          <w:color w:val="auto"/>
          <w:highlight w:val="none"/>
        </w:rPr>
      </w:pPr>
      <w:bookmarkStart w:id="216" w:name="_Toc13970"/>
      <w:bookmarkStart w:id="217" w:name="_Toc16718"/>
      <w:r>
        <w:rPr>
          <w:rFonts w:hint="eastAsia"/>
          <w:color w:val="auto"/>
          <w:highlight w:val="none"/>
        </w:rPr>
        <w:t>四、节能产品或环境标志产品明细表</w:t>
      </w:r>
      <w:bookmarkEnd w:id="216"/>
      <w:bookmarkEnd w:id="217"/>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1"/>
        <w:rPr>
          <w:color w:val="auto"/>
          <w:highlight w:val="none"/>
        </w:rPr>
      </w:pPr>
    </w:p>
    <w:p>
      <w:pPr>
        <w:tabs>
          <w:tab w:val="left" w:pos="284"/>
        </w:tabs>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注：</w:t>
      </w:r>
    </w:p>
    <w:p>
      <w:pPr>
        <w:tabs>
          <w:tab w:val="left" w:pos="284"/>
        </w:tabs>
        <w:ind w:firstLine="422" w:firstLineChars="200"/>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4"/>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5"/>
        <w:jc w:val="center"/>
        <w:rPr>
          <w:color w:val="auto"/>
          <w:highlight w:val="none"/>
        </w:rPr>
      </w:pPr>
      <w:bookmarkStart w:id="218" w:name="_Toc10853"/>
      <w:bookmarkStart w:id="219" w:name="_Toc17482"/>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8"/>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0"/>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8"/>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8"/>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8"/>
        <w:wordWrap w:val="0"/>
        <w:ind w:left="0" w:firstLine="480"/>
        <w:jc w:val="right"/>
        <w:rPr>
          <w:rFonts w:asciiTheme="minorEastAsia" w:hAnsiTheme="minorEastAsia" w:eastAsiaTheme="minorEastAsia" w:cstheme="minorEastAsia"/>
          <w:color w:val="auto"/>
          <w:sz w:val="21"/>
          <w:szCs w:val="21"/>
          <w:highlight w:val="none"/>
          <w:lang w:val="en-US"/>
        </w:rPr>
      </w:pPr>
    </w:p>
    <w:p>
      <w:pPr>
        <w:pStyle w:val="8"/>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8"/>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8"/>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0"/>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8"/>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8"/>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8"/>
        <w:ind w:left="0" w:firstLine="480"/>
        <w:rPr>
          <w:rFonts w:asciiTheme="minorEastAsia" w:hAnsiTheme="minorEastAsia" w:eastAsiaTheme="minorEastAsia" w:cstheme="minorEastAsia"/>
          <w:color w:val="auto"/>
          <w:sz w:val="21"/>
          <w:szCs w:val="21"/>
          <w:highlight w:val="none"/>
          <w:lang w:val="en-US"/>
        </w:rPr>
      </w:pPr>
    </w:p>
    <w:p>
      <w:pPr>
        <w:pStyle w:val="8"/>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8"/>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20" w:name="_Toc7959"/>
      <w:bookmarkStart w:id="221" w:name="_Toc8560"/>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单位名称（盖章）：</w:t>
      </w:r>
      <w:bookmarkStart w:id="222" w:name="_Toc508898066"/>
      <w:bookmarkStart w:id="223" w:name="_Toc508960153"/>
      <w:bookmarkStart w:id="224" w:name="_Toc509927455"/>
      <w:bookmarkStart w:id="225" w:name="_Toc30277"/>
      <w:bookmarkStart w:id="226" w:name="_Toc510171693"/>
      <w:bookmarkStart w:id="227" w:name="_Toc509479530"/>
      <w:bookmarkStart w:id="228" w:name="_Toc30247"/>
      <w:bookmarkStart w:id="229" w:name="_Toc22970"/>
      <w:bookmarkStart w:id="230" w:name="_Toc509844825"/>
      <w:bookmarkStart w:id="231" w:name="_Toc508958703"/>
      <w:bookmarkStart w:id="232" w:name="_Toc17761"/>
      <w:bookmarkStart w:id="233" w:name="_Toc20910"/>
    </w:p>
    <w:p>
      <w:pPr>
        <w:jc w:val="center"/>
        <w:rPr>
          <w:rFonts w:ascii="宋体" w:hAnsi="宋体"/>
          <w:color w:val="auto"/>
          <w:szCs w:val="21"/>
          <w:highlight w:val="none"/>
        </w:rPr>
      </w:pPr>
      <w:r>
        <w:rPr>
          <w:rFonts w:hint="eastAsia" w:ascii="宋体" w:hAnsi="宋体"/>
          <w:color w:val="auto"/>
          <w:szCs w:val="21"/>
          <w:highlight w:val="none"/>
        </w:rPr>
        <w:t>日  期：</w:t>
      </w:r>
      <w:bookmarkEnd w:id="222"/>
      <w:bookmarkEnd w:id="223"/>
      <w:bookmarkEnd w:id="224"/>
      <w:bookmarkEnd w:id="225"/>
      <w:bookmarkEnd w:id="226"/>
      <w:bookmarkEnd w:id="227"/>
      <w:bookmarkEnd w:id="228"/>
      <w:bookmarkEnd w:id="229"/>
      <w:bookmarkEnd w:id="230"/>
      <w:bookmarkEnd w:id="231"/>
      <w:bookmarkEnd w:id="232"/>
      <w:bookmarkEnd w:id="233"/>
    </w:p>
    <w:p>
      <w:pPr>
        <w:pStyle w:val="8"/>
        <w:rPr>
          <w:color w:val="auto"/>
          <w:highlight w:val="none"/>
        </w:rPr>
      </w:pPr>
    </w:p>
    <w:p>
      <w:pPr>
        <w:ind w:firstLine="420" w:firstLineChars="200"/>
        <w:rPr>
          <w:rFonts w:ascii="宋体" w:hAnsi="宋体"/>
          <w:color w:val="auto"/>
          <w:szCs w:val="21"/>
          <w:highlight w:val="none"/>
        </w:rPr>
      </w:pPr>
      <w:bookmarkStart w:id="234" w:name="_Toc31520"/>
      <w:bookmarkStart w:id="235" w:name="_Toc26216"/>
      <w:bookmarkStart w:id="236" w:name="_Toc509479531"/>
      <w:bookmarkStart w:id="237" w:name="_Toc510171694"/>
      <w:bookmarkStart w:id="238" w:name="_Toc508958704"/>
      <w:bookmarkStart w:id="239" w:name="_Toc509927456"/>
      <w:bookmarkStart w:id="240" w:name="_Toc5447"/>
      <w:bookmarkStart w:id="241" w:name="_Toc28527"/>
      <w:bookmarkStart w:id="242" w:name="_Toc509844826"/>
      <w:bookmarkStart w:id="243" w:name="_Toc21053"/>
      <w:bookmarkStart w:id="244" w:name="_Toc508960154"/>
      <w:bookmarkStart w:id="245" w:name="_Toc508898067"/>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508960155"/>
      <w:bookmarkStart w:id="247" w:name="_Toc509844827"/>
      <w:bookmarkStart w:id="248" w:name="_Toc14653"/>
      <w:bookmarkStart w:id="249" w:name="_Toc24848"/>
      <w:bookmarkStart w:id="250" w:name="_Toc509927457"/>
      <w:bookmarkStart w:id="251" w:name="_Toc508898068"/>
      <w:bookmarkStart w:id="252" w:name="_Toc9148"/>
      <w:bookmarkStart w:id="253" w:name="_Toc508958705"/>
      <w:bookmarkStart w:id="254" w:name="_Toc509479532"/>
      <w:bookmarkStart w:id="255" w:name="_Toc28126"/>
      <w:bookmarkStart w:id="256" w:name="_Toc510171695"/>
      <w:bookmarkStart w:id="257" w:name="_Toc28626"/>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7858"/>
      <w:bookmarkStart w:id="259" w:name="_Toc508960156"/>
      <w:bookmarkStart w:id="260" w:name="_Toc28686"/>
      <w:bookmarkStart w:id="261" w:name="_Toc509479533"/>
      <w:bookmarkStart w:id="262" w:name="_Toc28044"/>
      <w:bookmarkStart w:id="263" w:name="_Toc508958706"/>
      <w:bookmarkStart w:id="264" w:name="_Toc9837"/>
      <w:bookmarkStart w:id="265" w:name="_Toc509927458"/>
      <w:bookmarkStart w:id="266" w:name="_Toc510171696"/>
      <w:bookmarkStart w:id="267" w:name="_Toc22981"/>
      <w:bookmarkStart w:id="268" w:name="_Toc509844828"/>
      <w:bookmarkStart w:id="269" w:name="_Toc508898069"/>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509844829"/>
      <w:bookmarkStart w:id="271" w:name="_Toc508958707"/>
      <w:bookmarkStart w:id="272" w:name="_Toc508960157"/>
      <w:bookmarkStart w:id="273" w:name="_Toc509927459"/>
      <w:bookmarkStart w:id="274" w:name="_Toc509479534"/>
      <w:bookmarkStart w:id="275" w:name="_Toc18843"/>
      <w:bookmarkStart w:id="276" w:name="_Toc508898070"/>
      <w:bookmarkStart w:id="277" w:name="_Toc510171697"/>
      <w:bookmarkStart w:id="278" w:name="_Toc5289"/>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5"/>
        <w:jc w:val="center"/>
        <w:rPr>
          <w:color w:val="auto"/>
          <w:highlight w:val="none"/>
        </w:rPr>
      </w:pPr>
      <w:bookmarkStart w:id="279" w:name="_Toc23948"/>
      <w:bookmarkStart w:id="280" w:name="_Toc6471"/>
      <w:r>
        <w:rPr>
          <w:rFonts w:hint="eastAsia"/>
          <w:color w:val="auto"/>
          <w:highlight w:val="none"/>
        </w:rPr>
        <w:t>第二章商务文件</w:t>
      </w:r>
      <w:bookmarkEnd w:id="279"/>
      <w:bookmarkEnd w:id="280"/>
    </w:p>
    <w:bookmarkEnd w:id="209"/>
    <w:p>
      <w:pPr>
        <w:pStyle w:val="5"/>
        <w:jc w:val="center"/>
        <w:rPr>
          <w:color w:val="auto"/>
          <w:highlight w:val="none"/>
        </w:rPr>
      </w:pPr>
      <w:bookmarkStart w:id="281" w:name="_Toc1952"/>
      <w:bookmarkStart w:id="282" w:name="_Toc23787"/>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在此提交的投标文件，正本套，副本套，唱标信封及电子文件各1份。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5"/>
        <w:jc w:val="center"/>
        <w:rPr>
          <w:color w:val="auto"/>
          <w:highlight w:val="none"/>
        </w:rPr>
      </w:pPr>
      <w:bookmarkStart w:id="283" w:name="_Toc15719"/>
      <w:bookmarkStart w:id="284" w:name="_Toc28616"/>
      <w:r>
        <w:rPr>
          <w:rFonts w:hint="eastAsia"/>
          <w:color w:val="auto"/>
          <w:highlight w:val="none"/>
        </w:rPr>
        <w:t>二、资格申明函</w:t>
      </w:r>
      <w:bookmarkEnd w:id="283"/>
      <w:bookmarkEnd w:id="284"/>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37"/>
        <w:spacing w:line="500" w:lineRule="atLeast"/>
        <w:ind w:firstLine="3517" w:firstLineChars="1675"/>
        <w:rPr>
          <w:rFonts w:ascii="宋体" w:eastAsia="宋体"/>
          <w:color w:val="auto"/>
          <w:sz w:val="21"/>
          <w:szCs w:val="21"/>
          <w:highlight w:val="none"/>
        </w:rPr>
      </w:pPr>
    </w:p>
    <w:p>
      <w:pPr>
        <w:pStyle w:val="37"/>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8"/>
        <w:rPr>
          <w:color w:val="auto"/>
          <w:sz w:val="21"/>
          <w:szCs w:val="21"/>
          <w:highlight w:val="none"/>
        </w:rPr>
      </w:pPr>
    </w:p>
    <w:p>
      <w:pPr>
        <w:rPr>
          <w:rFonts w:ascii="宋体" w:hAnsi="宋体"/>
          <w:color w:val="auto"/>
          <w:szCs w:val="21"/>
          <w:highlight w:val="none"/>
        </w:rPr>
      </w:pPr>
    </w:p>
    <w:p>
      <w:pPr>
        <w:pStyle w:val="8"/>
        <w:rPr>
          <w:color w:val="auto"/>
          <w:sz w:val="21"/>
          <w:szCs w:val="21"/>
          <w:highlight w:val="none"/>
        </w:rPr>
      </w:pPr>
    </w:p>
    <w:p>
      <w:pPr>
        <w:rPr>
          <w:rFonts w:ascii="宋体" w:hAnsi="宋体"/>
          <w:color w:val="auto"/>
          <w:szCs w:val="21"/>
          <w:highlight w:val="none"/>
        </w:rPr>
      </w:pPr>
    </w:p>
    <w:p>
      <w:pPr>
        <w:pStyle w:val="8"/>
        <w:rPr>
          <w:color w:val="auto"/>
          <w:sz w:val="21"/>
          <w:szCs w:val="21"/>
          <w:highlight w:val="none"/>
        </w:rPr>
      </w:pPr>
    </w:p>
    <w:p>
      <w:pPr>
        <w:rPr>
          <w:rFonts w:ascii="宋体" w:hAnsi="宋体"/>
          <w:color w:val="auto"/>
          <w:szCs w:val="21"/>
          <w:highlight w:val="none"/>
        </w:rPr>
      </w:pPr>
    </w:p>
    <w:p>
      <w:pPr>
        <w:pStyle w:val="8"/>
        <w:rPr>
          <w:color w:val="auto"/>
          <w:highlight w:val="none"/>
        </w:rPr>
      </w:pPr>
    </w:p>
    <w:p>
      <w:pPr>
        <w:rPr>
          <w:color w:val="auto"/>
          <w:highlight w:val="none"/>
        </w:rPr>
      </w:pPr>
      <w:bookmarkStart w:id="285" w:name="_Toc16412"/>
    </w:p>
    <w:p>
      <w:pPr>
        <w:pStyle w:val="5"/>
        <w:jc w:val="center"/>
        <w:rPr>
          <w:color w:val="auto"/>
          <w:highlight w:val="none"/>
        </w:rPr>
      </w:pPr>
      <w:bookmarkStart w:id="286" w:name="_Toc32742"/>
      <w:bookmarkStart w:id="287" w:name="_Toc21273"/>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税收违法黑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5"/>
        <w:jc w:val="center"/>
        <w:rPr>
          <w:color w:val="auto"/>
          <w:highlight w:val="none"/>
        </w:rPr>
      </w:pPr>
      <w:bookmarkStart w:id="288" w:name="_Toc13243"/>
      <w:bookmarkStart w:id="289" w:name="_Toc3894"/>
      <w:r>
        <w:rPr>
          <w:rFonts w:hint="eastAsia"/>
          <w:color w:val="auto"/>
          <w:highlight w:val="none"/>
        </w:rPr>
        <w:t>四、法定代表人证明书</w:t>
      </w:r>
      <w:bookmarkEnd w:id="288"/>
      <w:bookmarkEnd w:id="289"/>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7"/>
        <w:spacing w:line="420" w:lineRule="atLeast"/>
        <w:ind w:firstLine="433"/>
        <w:rPr>
          <w:rFonts w:ascii="宋体" w:eastAsia="宋体"/>
          <w:color w:val="auto"/>
          <w:sz w:val="21"/>
          <w:szCs w:val="21"/>
          <w:highlight w:val="none"/>
        </w:rPr>
      </w:pPr>
    </w:p>
    <w:p>
      <w:pPr>
        <w:pStyle w:val="37"/>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7"/>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7"/>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90" w:name="_Toc5626"/>
      <w:bookmarkStart w:id="291" w:name="_Toc5918"/>
      <w:r>
        <w:rPr>
          <w:rFonts w:hint="eastAsia"/>
          <w:color w:val="auto"/>
          <w:highlight w:val="none"/>
        </w:rPr>
        <w:t>五、法定代表人授权书</w:t>
      </w:r>
      <w:bookmarkEnd w:id="290"/>
      <w:bookmarkEnd w:id="291"/>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7"/>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7"/>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37"/>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5"/>
        <w:jc w:val="center"/>
        <w:rPr>
          <w:color w:val="auto"/>
          <w:highlight w:val="none"/>
        </w:rPr>
      </w:pPr>
      <w:bookmarkStart w:id="293" w:name="_Toc24013"/>
      <w:bookmarkStart w:id="294" w:name="_Toc18562"/>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8"/>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5"/>
        <w:jc w:val="center"/>
        <w:rPr>
          <w:color w:val="auto"/>
          <w:highlight w:val="none"/>
        </w:rPr>
      </w:pPr>
      <w:bookmarkStart w:id="295" w:name="_Toc4926"/>
      <w:bookmarkStart w:id="296" w:name="_Toc29995"/>
      <w:bookmarkStart w:id="297" w:name="_Toc5919"/>
      <w:bookmarkStart w:id="298" w:name="_Toc1511"/>
      <w:bookmarkStart w:id="299" w:name="_Toc17470"/>
      <w:bookmarkStart w:id="300" w:name="_Toc28067"/>
      <w:bookmarkStart w:id="301" w:name="_Toc24210"/>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5"/>
        <w:jc w:val="center"/>
        <w:rPr>
          <w:color w:val="auto"/>
          <w:highlight w:val="none"/>
        </w:rPr>
      </w:pPr>
      <w:bookmarkStart w:id="302" w:name="_Toc21638"/>
      <w:bookmarkStart w:id="303" w:name="_Toc29439"/>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highlight w:val="none"/>
        </w:rPr>
      </w:pPr>
    </w:p>
    <w:p>
      <w:pPr>
        <w:pStyle w:val="5"/>
        <w:jc w:val="center"/>
        <w:rPr>
          <w:color w:val="auto"/>
          <w:highlight w:val="none"/>
        </w:rPr>
      </w:pPr>
      <w:bookmarkStart w:id="304" w:name="_Toc23341"/>
      <w:bookmarkStart w:id="305" w:name="_Toc14263"/>
      <w:r>
        <w:rPr>
          <w:rFonts w:hint="eastAsia"/>
          <w:color w:val="auto"/>
          <w:highlight w:val="none"/>
        </w:rPr>
        <w:t>九、承诺书</w:t>
      </w:r>
      <w:bookmarkEnd w:id="304"/>
      <w:bookmarkEnd w:id="305"/>
    </w:p>
    <w:p>
      <w:pPr>
        <w:pStyle w:val="37"/>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37"/>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（项目名称）</w:t>
      </w:r>
      <w:r>
        <w:rPr>
          <w:rFonts w:hint="eastAsia" w:ascii="宋体" w:eastAsia="宋体" w:cs="宋体"/>
          <w:color w:val="auto"/>
          <w:sz w:val="21"/>
          <w:szCs w:val="21"/>
          <w:highlight w:val="none"/>
        </w:rPr>
        <w:t>项目（项目编号：）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37"/>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5"/>
        <w:jc w:val="center"/>
        <w:rPr>
          <w:color w:val="auto"/>
          <w:highlight w:val="none"/>
        </w:rPr>
      </w:pPr>
      <w:bookmarkStart w:id="307" w:name="_Toc13653"/>
      <w:bookmarkStart w:id="308" w:name="_Toc13955"/>
      <w:r>
        <w:rPr>
          <w:rFonts w:hint="eastAsia"/>
          <w:color w:val="auto"/>
          <w:highlight w:val="none"/>
        </w:rPr>
        <w:t>十、招标代理服务费承诺书</w:t>
      </w:r>
      <w:bookmarkEnd w:id="307"/>
      <w:bookmarkEnd w:id="308"/>
    </w:p>
    <w:p>
      <w:pPr>
        <w:pStyle w:val="37"/>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0"/>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jc w:val="center"/>
        <w:rPr>
          <w:color w:val="auto"/>
          <w:highlight w:val="none"/>
        </w:rPr>
      </w:pPr>
      <w:bookmarkStart w:id="309" w:name="_Toc12598"/>
      <w:bookmarkStart w:id="310" w:name="_Toc1975"/>
      <w:r>
        <w:rPr>
          <w:rFonts w:hint="eastAsia"/>
          <w:color w:val="auto"/>
          <w:highlight w:val="none"/>
        </w:rPr>
        <w:t>十一、商务条款偏离表</w:t>
      </w:r>
      <w:bookmarkEnd w:id="309"/>
      <w:bookmarkEnd w:id="310"/>
    </w:p>
    <w:tbl>
      <w:tblPr>
        <w:tblStyle w:val="24"/>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5"/>
        <w:jc w:val="center"/>
        <w:rPr>
          <w:color w:val="auto"/>
          <w:highlight w:val="none"/>
        </w:rPr>
      </w:pPr>
      <w:bookmarkStart w:id="312" w:name="_Toc19276"/>
      <w:bookmarkStart w:id="313" w:name="_Toc25391"/>
      <w:r>
        <w:rPr>
          <w:rFonts w:hint="eastAsia"/>
          <w:color w:val="auto"/>
          <w:highlight w:val="none"/>
        </w:rPr>
        <w:t>十二、业绩表</w:t>
      </w:r>
      <w:bookmarkEnd w:id="312"/>
      <w:bookmarkEnd w:id="313"/>
    </w:p>
    <w:tbl>
      <w:tblPr>
        <w:tblStyle w:val="24"/>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bl>
    <w:p>
      <w:pPr>
        <w:pStyle w:val="34"/>
        <w:rPr>
          <w:rFonts w:ascii="宋体" w:hAnsi="宋体"/>
          <w:color w:val="auto"/>
          <w:szCs w:val="21"/>
          <w:highlight w:val="none"/>
        </w:rPr>
      </w:pPr>
    </w:p>
    <w:p>
      <w:pPr>
        <w:pStyle w:val="34"/>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8"/>
        <w:rPr>
          <w:color w:val="auto"/>
          <w:highlight w:val="none"/>
        </w:rPr>
      </w:pPr>
    </w:p>
    <w:p>
      <w:pPr>
        <w:pStyle w:val="8"/>
        <w:ind w:left="0"/>
        <w:rPr>
          <w:color w:val="auto"/>
          <w:highlight w:val="none"/>
        </w:rPr>
      </w:pPr>
    </w:p>
    <w:p>
      <w:pPr>
        <w:pStyle w:val="5"/>
        <w:jc w:val="center"/>
        <w:rPr>
          <w:rFonts w:ascii="黑体" w:eastAsia="黑体"/>
          <w:color w:val="auto"/>
          <w:szCs w:val="28"/>
          <w:highlight w:val="none"/>
        </w:rPr>
      </w:pPr>
      <w:bookmarkStart w:id="314" w:name="_Toc14688"/>
      <w:bookmarkStart w:id="315" w:name="_Toc20520"/>
      <w:r>
        <w:rPr>
          <w:rFonts w:hint="eastAsia"/>
          <w:color w:val="auto"/>
          <w:highlight w:val="none"/>
        </w:rPr>
        <w:t>第三章技术文件</w:t>
      </w:r>
      <w:bookmarkEnd w:id="311"/>
      <w:bookmarkEnd w:id="314"/>
      <w:bookmarkEnd w:id="315"/>
    </w:p>
    <w:p>
      <w:pPr>
        <w:pStyle w:val="5"/>
        <w:jc w:val="center"/>
        <w:rPr>
          <w:color w:val="auto"/>
          <w:highlight w:val="none"/>
        </w:rPr>
      </w:pPr>
      <w:bookmarkStart w:id="316" w:name="_Toc7092"/>
      <w:bookmarkStart w:id="317" w:name="_Toc13097"/>
      <w:r>
        <w:rPr>
          <w:rFonts w:hint="eastAsia"/>
          <w:color w:val="auto"/>
          <w:highlight w:val="none"/>
        </w:rPr>
        <w:t>一、技术规格偏离表</w:t>
      </w:r>
      <w:bookmarkEnd w:id="316"/>
      <w:bookmarkEnd w:id="317"/>
    </w:p>
    <w:tbl>
      <w:tblPr>
        <w:tblStyle w:val="24"/>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4464"/>
      <w:bookmarkStart w:id="320" w:name="_Toc4827"/>
      <w:bookmarkStart w:id="321" w:name="_Toc26078"/>
      <w:bookmarkStart w:id="322" w:name="_Toc1274"/>
      <w:bookmarkStart w:id="323" w:name="_Toc18668"/>
      <w:bookmarkStart w:id="324" w:name="_Toc6080"/>
    </w:p>
    <w:p>
      <w:pPr>
        <w:pStyle w:val="5"/>
        <w:jc w:val="center"/>
        <w:rPr>
          <w:color w:val="auto"/>
          <w:highlight w:val="none"/>
        </w:rPr>
      </w:pPr>
      <w:bookmarkStart w:id="325" w:name="_Toc10734"/>
      <w:bookmarkStart w:id="326" w:name="_Toc13461"/>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27" w:name="_Toc29560"/>
            <w:bookmarkStart w:id="328" w:name="_Toc29642"/>
            <w:bookmarkStart w:id="329" w:name="_Toc27079"/>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30" w:name="_Toc10045"/>
            <w:bookmarkStart w:id="331" w:name="_Toc2700"/>
            <w:bookmarkStart w:id="332" w:name="_Toc15368"/>
            <w:bookmarkStart w:id="333" w:name="_Toc22448"/>
            <w:bookmarkStart w:id="334" w:name="_Toc14815"/>
            <w:bookmarkStart w:id="335" w:name="_Toc4304"/>
            <w:bookmarkStart w:id="336" w:name="_Toc16872"/>
            <w:bookmarkStart w:id="337" w:name="_Toc1016"/>
            <w:bookmarkStart w:id="338" w:name="_Toc27090"/>
            <w:bookmarkStart w:id="339" w:name="_Toc21739"/>
            <w:bookmarkStart w:id="340" w:name="_Toc12049"/>
            <w:bookmarkStart w:id="341" w:name="_Toc26124"/>
            <w:bookmarkStart w:id="342" w:name="_Toc15903"/>
            <w:bookmarkStart w:id="343" w:name="_Toc27442"/>
            <w:bookmarkStart w:id="344" w:name="_Toc22917"/>
            <w:bookmarkStart w:id="345" w:name="_Toc32531"/>
            <w:bookmarkStart w:id="346" w:name="_Toc22879"/>
            <w:bookmarkStart w:id="347" w:name="_Toc8490"/>
            <w:bookmarkStart w:id="348" w:name="_Toc24662"/>
            <w:bookmarkStart w:id="349" w:name="_Toc7333"/>
            <w:bookmarkStart w:id="350" w:name="_Toc19251"/>
            <w:bookmarkStart w:id="351" w:name="_Toc8312"/>
            <w:bookmarkStart w:id="352" w:name="_Toc21809"/>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53" w:name="_Toc2408"/>
            <w:bookmarkStart w:id="354" w:name="_Toc22153"/>
            <w:bookmarkStart w:id="355" w:name="_Toc10122"/>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56" w:name="_Toc29838"/>
            <w:bookmarkStart w:id="357" w:name="_Toc27285"/>
            <w:bookmarkStart w:id="358" w:name="_Toc16003"/>
            <w:bookmarkStart w:id="359" w:name="_Toc20139"/>
            <w:bookmarkStart w:id="360" w:name="_Toc20820"/>
            <w:bookmarkStart w:id="361" w:name="_Toc27185"/>
            <w:bookmarkStart w:id="362" w:name="_Toc1330"/>
            <w:bookmarkStart w:id="363" w:name="_Toc1912"/>
            <w:bookmarkStart w:id="364" w:name="_Toc5992"/>
            <w:bookmarkStart w:id="365" w:name="_Toc17642"/>
            <w:bookmarkStart w:id="366" w:name="_Toc5563"/>
            <w:bookmarkStart w:id="367" w:name="_Toc17296"/>
            <w:bookmarkStart w:id="368" w:name="_Toc3701"/>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69" w:name="_Toc857"/>
            <w:bookmarkStart w:id="370" w:name="_Toc19105"/>
            <w:bookmarkStart w:id="371" w:name="_Toc3520"/>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4"/>
        <w:rPr>
          <w:rFonts w:ascii="宋体" w:hAnsi="宋体"/>
          <w:color w:val="auto"/>
          <w:szCs w:val="21"/>
          <w:highlight w:val="none"/>
        </w:rPr>
      </w:pPr>
    </w:p>
    <w:p>
      <w:pPr>
        <w:pStyle w:val="34"/>
        <w:rPr>
          <w:rFonts w:ascii="宋体" w:hAnsi="宋体"/>
          <w:color w:val="auto"/>
          <w:szCs w:val="21"/>
          <w:highlight w:val="none"/>
        </w:rPr>
      </w:pPr>
      <w:r>
        <w:rPr>
          <w:rFonts w:hint="eastAsia" w:ascii="宋体" w:hAnsi="宋体"/>
          <w:color w:val="auto"/>
          <w:szCs w:val="21"/>
          <w:highlight w:val="none"/>
        </w:rPr>
        <w:t>注：</w:t>
      </w:r>
    </w:p>
    <w:p>
      <w:pPr>
        <w:pStyle w:val="34"/>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4"/>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4"/>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4"/>
        <w:rPr>
          <w:rFonts w:ascii="宋体" w:hAnsi="宋体"/>
          <w:color w:val="auto"/>
          <w:szCs w:val="21"/>
          <w:highlight w:val="none"/>
        </w:rPr>
      </w:pPr>
    </w:p>
    <w:p>
      <w:pPr>
        <w:pStyle w:val="34"/>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pPr>
        <w:pStyle w:val="5"/>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93"/>
        <w:gridCol w:w="2394"/>
        <w:gridCol w:w="1178"/>
        <w:gridCol w:w="1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5"/>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5"/>
        <w:jc w:val="center"/>
        <w:rPr>
          <w:color w:val="auto"/>
          <w:highlight w:val="none"/>
        </w:rPr>
      </w:pPr>
      <w:bookmarkStart w:id="375" w:name="_Toc26880"/>
      <w:bookmarkStart w:id="376" w:name="_Toc16328"/>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8"/>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5"/>
        <w:jc w:val="center"/>
        <w:rPr>
          <w:color w:val="auto"/>
          <w:highlight w:val="none"/>
        </w:rPr>
      </w:pPr>
      <w:bookmarkStart w:id="377" w:name="_Toc26980"/>
      <w:bookmarkStart w:id="378" w:name="_Toc15431"/>
      <w:r>
        <w:rPr>
          <w:rFonts w:hint="eastAsia"/>
          <w:color w:val="auto"/>
          <w:highlight w:val="none"/>
        </w:rPr>
        <w:t>六、投标货物明细一览表</w:t>
      </w:r>
      <w:bookmarkEnd w:id="377"/>
      <w:bookmarkEnd w:id="378"/>
    </w:p>
    <w:tbl>
      <w:tblPr>
        <w:tblStyle w:val="24"/>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宋体" w:hAnsi="宋体"/>
          <w:color w:val="auto"/>
          <w:szCs w:val="21"/>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5"/>
        <w:jc w:val="center"/>
        <w:rPr>
          <w:color w:val="auto"/>
          <w:highlight w:val="none"/>
        </w:rPr>
      </w:pPr>
      <w:bookmarkStart w:id="379" w:name="_Toc21541"/>
      <w:bookmarkStart w:id="380" w:name="_Toc16710"/>
      <w:r>
        <w:rPr>
          <w:rFonts w:hint="eastAsia"/>
          <w:color w:val="auto"/>
          <w:highlight w:val="none"/>
        </w:rPr>
        <w:t>七、投标保证金汇入情况说明</w:t>
      </w:r>
      <w:bookmarkEnd w:id="379"/>
      <w:bookmarkEnd w:id="380"/>
    </w:p>
    <w:p>
      <w:pPr>
        <w:spacing w:line="480" w:lineRule="auto"/>
        <w:rPr>
          <w:rFonts w:ascii="宋体" w:hAnsi="宋体"/>
          <w:color w:val="auto"/>
          <w:szCs w:val="21"/>
          <w:highlight w:val="none"/>
        </w:rPr>
      </w:pPr>
      <w:r>
        <w:rPr>
          <w:rFonts w:hint="eastAsia" w:ascii="宋体" w:hAnsi="宋体"/>
          <w:color w:val="auto"/>
          <w:szCs w:val="21"/>
          <w:highlight w:val="none"/>
        </w:rPr>
        <w:t>致：广东政通招标有限公司：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本单位已按（项目名称）包（采购项目编号：）的招标文件要求，于年月日前以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方式汇入指定帐户（帐户名称：，帐号：,开户银行：）。</w:t>
      </w:r>
    </w:p>
    <w:p>
      <w:pPr>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pPr>
        <w:ind w:firstLine="420" w:firstLineChars="200"/>
        <w:rPr>
          <w:rFonts w:ascii="宋体" w:hAnsi="宋体"/>
          <w:color w:val="auto"/>
          <w:szCs w:val="21"/>
          <w:highlight w:val="none"/>
        </w:rPr>
      </w:pPr>
      <w:r>
        <w:rPr>
          <w:rFonts w:hint="eastAsia" w:ascii="宋体" w:hAnsi="宋体"/>
          <w:color w:val="auto"/>
          <w:szCs w:val="21"/>
          <w:highlight w:val="none"/>
        </w:rPr>
        <w:t>汇出时间：年月日；</w:t>
      </w:r>
    </w:p>
    <w:p>
      <w:pPr>
        <w:ind w:firstLine="420" w:firstLineChars="200"/>
        <w:rPr>
          <w:rFonts w:ascii="宋体" w:hAnsi="宋体"/>
          <w:color w:val="auto"/>
          <w:szCs w:val="21"/>
          <w:highlight w:val="none"/>
        </w:rPr>
      </w:pPr>
      <w:r>
        <w:rPr>
          <w:rFonts w:hint="eastAsia" w:ascii="宋体" w:hAnsi="宋体"/>
          <w:color w:val="auto"/>
          <w:szCs w:val="21"/>
          <w:highlight w:val="none"/>
        </w:rPr>
        <w:t>汇款金额：（大写）人民币（小写：￥元），</w:t>
      </w:r>
    </w:p>
    <w:p>
      <w:pPr>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pPr>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pPr>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pPr>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center"/>
        <w:rPr>
          <w:rFonts w:ascii="宋体" w:hAnsi="宋体"/>
          <w:color w:val="auto"/>
          <w:szCs w:val="21"/>
          <w:highlight w:val="none"/>
        </w:rPr>
      </w:pPr>
      <w:r>
        <w:rPr>
          <w:rFonts w:hint="eastAsia" w:ascii="宋体" w:hAnsi="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单位名称：</w:t>
      </w:r>
    </w:p>
    <w:p>
      <w:pPr>
        <w:rPr>
          <w:rFonts w:ascii="宋体" w:hAnsi="宋体"/>
          <w:color w:val="auto"/>
          <w:szCs w:val="21"/>
          <w:highlight w:val="none"/>
        </w:rPr>
      </w:pPr>
      <w:r>
        <w:rPr>
          <w:rFonts w:hint="eastAsia" w:ascii="宋体" w:hAnsi="宋体"/>
          <w:color w:val="auto"/>
          <w:szCs w:val="21"/>
          <w:highlight w:val="none"/>
        </w:rPr>
        <w:t>单位地址：</w:t>
      </w:r>
    </w:p>
    <w:p>
      <w:pPr>
        <w:rPr>
          <w:rFonts w:ascii="宋体" w:hAnsi="宋体"/>
          <w:color w:val="auto"/>
          <w:szCs w:val="21"/>
          <w:highlight w:val="none"/>
        </w:rPr>
      </w:pPr>
      <w:r>
        <w:rPr>
          <w:rFonts w:hint="eastAsia" w:ascii="宋体" w:hAnsi="宋体"/>
          <w:color w:val="auto"/>
          <w:szCs w:val="21"/>
          <w:highlight w:val="none"/>
        </w:rPr>
        <w:t>联系人：</w:t>
      </w:r>
    </w:p>
    <w:p>
      <w:pPr>
        <w:rPr>
          <w:rFonts w:ascii="宋体" w:hAnsi="宋体"/>
          <w:color w:val="auto"/>
          <w:szCs w:val="21"/>
          <w:highlight w:val="none"/>
        </w:rPr>
      </w:pPr>
      <w:r>
        <w:rPr>
          <w:rFonts w:hint="eastAsia" w:ascii="宋体" w:hAnsi="宋体"/>
          <w:color w:val="auto"/>
          <w:szCs w:val="21"/>
          <w:highlight w:val="none"/>
        </w:rPr>
        <w:t xml:space="preserve">单位电话： </w:t>
      </w:r>
    </w:p>
    <w:p>
      <w:pPr>
        <w:rPr>
          <w:rFonts w:ascii="宋体" w:hAnsi="宋体"/>
          <w:color w:val="auto"/>
          <w:szCs w:val="21"/>
          <w:highlight w:val="none"/>
        </w:rPr>
      </w:pPr>
      <w:r>
        <w:rPr>
          <w:rFonts w:hint="eastAsia" w:ascii="宋体" w:hAnsi="宋体"/>
          <w:color w:val="auto"/>
          <w:szCs w:val="21"/>
          <w:highlight w:val="none"/>
        </w:rPr>
        <w:t>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24"/>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ind w:firstLine="422" w:firstLineChars="200"/>
        <w:rPr>
          <w:rFonts w:ascii="宋体" w:hAnsi="宋体"/>
          <w:b/>
          <w:bCs/>
          <w:color w:val="auto"/>
          <w:szCs w:val="21"/>
          <w:highlight w:val="none"/>
        </w:rPr>
      </w:pPr>
      <w:r>
        <w:rPr>
          <w:rFonts w:hint="eastAsia" w:ascii="宋体" w:hAnsi="宋体"/>
          <w:b/>
          <w:bCs/>
          <w:color w:val="auto"/>
          <w:szCs w:val="21"/>
          <w:highlight w:val="none"/>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（2）若投标人以投标担保函形式提交投标保证金，则无需在投标文件中提供此格式。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color w:val="auto"/>
          <w:szCs w:val="21"/>
          <w:highlight w:val="none"/>
        </w:rPr>
        <w:br w:type="page"/>
      </w:r>
    </w:p>
    <w:p>
      <w:pPr>
        <w:pStyle w:val="5"/>
        <w:jc w:val="center"/>
        <w:rPr>
          <w:color w:val="auto"/>
          <w:highlight w:val="none"/>
        </w:rPr>
      </w:pPr>
      <w:bookmarkStart w:id="381" w:name="_Toc26855"/>
      <w:bookmarkStart w:id="382" w:name="_Toc24545"/>
      <w:r>
        <w:rPr>
          <w:rFonts w:hint="eastAsia"/>
          <w:color w:val="auto"/>
          <w:highlight w:val="none"/>
        </w:rPr>
        <w:t>八、政府采购投标担保函</w:t>
      </w:r>
      <w:bookmarkEnd w:id="381"/>
      <w:bookmarkEnd w:id="382"/>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（采购人或采购代理机构）：</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鉴于（以下简称“投标人”）拟参加编号为</w:t>
      </w:r>
      <w:r>
        <w:rPr>
          <w:rFonts w:hint="eastAsia" w:ascii="宋体" w:hAnsi="宋体" w:cs="宋体"/>
          <w:color w:val="auto"/>
          <w:szCs w:val="21"/>
          <w:highlight w:val="none"/>
          <w:u w:val="single"/>
        </w:rPr>
        <w:t xml:space="preserve">            的</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1．中标后投标人无正当理由不与采购人或者采购代理机构签订《政府采购合同》；</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（二）我方承担保证责任的最高金额为人民币元（大写），即本项目的投标保证金金额。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480" w:lineRule="auto"/>
        <w:jc w:val="right"/>
        <w:rPr>
          <w:rFonts w:ascii="宋体" w:hAnsi="宋体" w:cs="宋体"/>
          <w:color w:val="auto"/>
          <w:szCs w:val="21"/>
          <w:highlight w:val="none"/>
        </w:rPr>
      </w:pP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p>
    <w:p>
      <w:pPr>
        <w:rPr>
          <w:rFonts w:ascii="宋体" w:hAnsi="宋体"/>
          <w:b/>
          <w:bCs/>
          <w:color w:val="auto"/>
          <w:szCs w:val="21"/>
          <w:highlight w:val="none"/>
        </w:rPr>
      </w:pPr>
      <w:r>
        <w:rPr>
          <w:rFonts w:hint="eastAsia" w:ascii="宋体" w:hAnsi="宋体"/>
          <w:b/>
          <w:bCs/>
          <w:color w:val="auto"/>
          <w:szCs w:val="21"/>
          <w:highlight w:val="none"/>
        </w:rPr>
        <w:t>注：</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（1）若投标人不以投标担保函形式提交投标保证金，则无需在投标文件中提供此格式。</w:t>
      </w:r>
    </w:p>
    <w:p>
      <w:pPr>
        <w:ind w:firstLine="422" w:firstLineChars="200"/>
        <w:rPr>
          <w:color w:val="auto"/>
          <w:highlight w:val="none"/>
        </w:rPr>
      </w:pPr>
      <w:r>
        <w:rPr>
          <w:rFonts w:hint="eastAsia" w:ascii="宋体" w:hAnsi="宋体"/>
          <w:b/>
          <w:bCs/>
          <w:color w:val="auto"/>
          <w:szCs w:val="21"/>
          <w:highlight w:val="none"/>
        </w:rPr>
        <w:t>（2）若投标人以投标担保函形式提交投标保证金，则应将投标担保函原件交予采购代理机构。</w:t>
      </w:r>
    </w:p>
    <w:p>
      <w:pPr>
        <w:rPr>
          <w:rFonts w:ascii="黑体" w:eastAsia="黑体"/>
          <w:color w:val="auto"/>
          <w:sz w:val="30"/>
          <w:szCs w:val="30"/>
          <w:highlight w:val="none"/>
        </w:rPr>
      </w:pPr>
      <w:r>
        <w:rPr>
          <w:rFonts w:hint="eastAsia" w:ascii="宋体" w:hAnsi="宋体"/>
          <w:color w:val="auto"/>
          <w:szCs w:val="21"/>
          <w:highlight w:val="none"/>
        </w:rPr>
        <w:br w:type="page"/>
      </w:r>
    </w:p>
    <w:p>
      <w:pPr>
        <w:pStyle w:val="5"/>
        <w:jc w:val="center"/>
        <w:rPr>
          <w:color w:val="auto"/>
          <w:highlight w:val="none"/>
        </w:rPr>
      </w:pPr>
      <w:bookmarkStart w:id="383" w:name="_Toc6961"/>
      <w:r>
        <w:rPr>
          <w:rFonts w:hint="eastAsia"/>
          <w:color w:val="auto"/>
          <w:highlight w:val="none"/>
        </w:rPr>
        <w:t>九、政府采购履约担保函</w:t>
      </w:r>
      <w:bookmarkEnd w:id="383"/>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8"/>
        <w:rPr>
          <w:color w:val="auto"/>
          <w:highlight w:val="none"/>
        </w:rPr>
      </w:pPr>
    </w:p>
    <w:p>
      <w:pPr>
        <w:rPr>
          <w:color w:val="auto"/>
          <w:highlight w:val="none"/>
        </w:rPr>
      </w:pPr>
      <w:r>
        <w:rPr>
          <w:color w:val="auto"/>
          <w:highlight w:val="none"/>
        </w:rPr>
        <w:br w:type="page"/>
      </w:r>
    </w:p>
    <w:p>
      <w:pPr>
        <w:pStyle w:val="5"/>
        <w:jc w:val="center"/>
        <w:rPr>
          <w:color w:val="auto"/>
          <w:highlight w:val="none"/>
        </w:rPr>
      </w:pPr>
      <w:bookmarkStart w:id="384" w:name="_Toc26782"/>
      <w:bookmarkStart w:id="385" w:name="_Toc26772"/>
      <w:r>
        <w:rPr>
          <w:rFonts w:hint="eastAsia"/>
          <w:color w:val="auto"/>
          <w:highlight w:val="none"/>
        </w:rPr>
        <w:t>第四章唱标信封（单独封装）</w:t>
      </w:r>
      <w:bookmarkEnd w:id="384"/>
      <w:bookmarkEnd w:id="385"/>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ind w:firstLine="420" w:firstLineChars="200"/>
        <w:rPr>
          <w:color w:val="auto"/>
          <w:highlight w:val="none"/>
        </w:rPr>
      </w:pPr>
      <w:r>
        <w:rPr>
          <w:rFonts w:hint="eastAsia"/>
          <w:color w:val="auto"/>
          <w:highlight w:val="none"/>
        </w:rPr>
        <w:t>（3）投标保证金汇入情况说明及投标保证金汇款底单（复印件加盖公章），或《政府采购投标担保函》复印件。</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6"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8"/>
        <w:rPr>
          <w:color w:val="auto"/>
          <w:highlight w:val="none"/>
        </w:rPr>
      </w:pPr>
    </w:p>
    <w:p>
      <w:pPr>
        <w:rPr>
          <w:color w:val="auto"/>
          <w:highlight w:val="none"/>
        </w:rPr>
      </w:pPr>
    </w:p>
    <w:p>
      <w:pPr>
        <w:pStyle w:val="8"/>
        <w:rPr>
          <w:color w:val="auto"/>
          <w:highlight w:val="none"/>
        </w:rPr>
      </w:pPr>
    </w:p>
    <w:p>
      <w:pPr>
        <w:rPr>
          <w:color w:val="auto"/>
          <w:highlight w:val="none"/>
        </w:rPr>
      </w:pPr>
    </w:p>
    <w:p>
      <w:pPr>
        <w:pStyle w:val="8"/>
        <w:rPr>
          <w:color w:val="auto"/>
          <w:highlight w:val="none"/>
        </w:rPr>
      </w:pPr>
    </w:p>
    <w:p>
      <w:pPr>
        <w:rPr>
          <w:color w:val="auto"/>
          <w:highlight w:val="none"/>
        </w:rPr>
      </w:pPr>
    </w:p>
    <w:p>
      <w:pPr>
        <w:pStyle w:val="8"/>
        <w:rPr>
          <w:color w:val="auto"/>
          <w:highlight w:val="none"/>
        </w:rPr>
      </w:pPr>
    </w:p>
    <w:p>
      <w:pPr>
        <w:rPr>
          <w:color w:val="auto"/>
          <w:highlight w:val="none"/>
        </w:rPr>
      </w:pPr>
    </w:p>
    <w:p>
      <w:pPr>
        <w:pStyle w:val="5"/>
        <w:jc w:val="center"/>
        <w:rPr>
          <w:color w:val="auto"/>
          <w:highlight w:val="none"/>
        </w:rPr>
      </w:pPr>
      <w:bookmarkStart w:id="387" w:name="_Toc2710"/>
      <w:bookmarkStart w:id="388" w:name="_Toc22736"/>
      <w:r>
        <w:rPr>
          <w:rFonts w:hint="eastAsia"/>
          <w:color w:val="auto"/>
          <w:highlight w:val="none"/>
        </w:rPr>
        <w:t>第五章联合体共同投标协议书（如有需要）</w:t>
      </w:r>
      <w:bookmarkEnd w:id="387"/>
      <w:bookmarkEnd w:id="388"/>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六、本协议书一式份，随响应文件装订份，联合体成员各份。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6"/>
    <w:p>
      <w:pPr>
        <w:pStyle w:val="8"/>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p>
    <w:p>
      <w:pPr>
        <w:rPr>
          <w:rFonts w:ascii="宋体" w:hAnsi="宋体" w:cs="宋体"/>
          <w:color w:val="auto"/>
          <w:szCs w:val="21"/>
          <w:highlight w:val="none"/>
        </w:rPr>
      </w:pPr>
      <w:r>
        <w:rPr>
          <w:rFonts w:hint="eastAsia" w:ascii="宋体" w:hAnsi="宋体" w:cs="宋体"/>
          <w:color w:val="auto"/>
          <w:szCs w:val="21"/>
          <w:highlight w:val="none"/>
        </w:rPr>
        <w:t>地址：邮编：</w:t>
      </w:r>
    </w:p>
    <w:p>
      <w:pPr>
        <w:rPr>
          <w:rFonts w:ascii="宋体" w:hAnsi="宋体" w:cs="宋体"/>
          <w:color w:val="auto"/>
          <w:szCs w:val="21"/>
          <w:highlight w:val="none"/>
        </w:rPr>
      </w:pPr>
      <w:r>
        <w:rPr>
          <w:rFonts w:hint="eastAsia" w:ascii="宋体" w:hAnsi="宋体" w:cs="宋体"/>
          <w:color w:val="auto"/>
          <w:szCs w:val="21"/>
          <w:highlight w:val="none"/>
        </w:rPr>
        <w:t>联系人：联系电话：</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p>
    <w:p>
      <w:pPr>
        <w:rPr>
          <w:rFonts w:ascii="宋体" w:hAnsi="宋体" w:cs="宋体"/>
          <w:color w:val="auto"/>
          <w:szCs w:val="21"/>
          <w:highlight w:val="none"/>
        </w:rPr>
      </w:pPr>
      <w:r>
        <w:rPr>
          <w:rFonts w:hint="eastAsia" w:ascii="宋体" w:hAnsi="宋体" w:cs="宋体"/>
          <w:color w:val="auto"/>
          <w:szCs w:val="21"/>
          <w:highlight w:val="none"/>
        </w:rPr>
        <w:t>联系电话：</w:t>
      </w:r>
    </w:p>
    <w:p>
      <w:pPr>
        <w:rPr>
          <w:rFonts w:ascii="宋体" w:hAnsi="宋体" w:cs="宋体"/>
          <w:color w:val="auto"/>
          <w:szCs w:val="21"/>
          <w:highlight w:val="none"/>
        </w:rPr>
      </w:pPr>
      <w:r>
        <w:rPr>
          <w:rFonts w:hint="eastAsia" w:ascii="宋体" w:hAnsi="宋体" w:cs="宋体"/>
          <w:color w:val="auto"/>
          <w:szCs w:val="21"/>
          <w:highlight w:val="none"/>
        </w:rPr>
        <w:t>地址： 邮编：</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p>
    <w:p>
      <w:pPr>
        <w:rPr>
          <w:rFonts w:ascii="宋体" w:hAnsi="宋体" w:cs="宋体"/>
          <w:color w:val="auto"/>
          <w:szCs w:val="21"/>
          <w:highlight w:val="none"/>
        </w:rPr>
      </w:pPr>
      <w:r>
        <w:rPr>
          <w:rFonts w:hint="eastAsia" w:ascii="宋体" w:hAnsi="宋体" w:cs="宋体"/>
          <w:color w:val="auto"/>
          <w:szCs w:val="21"/>
          <w:highlight w:val="none"/>
        </w:rPr>
        <w:t>质疑项目的编号：包号：</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p>
    <w:p>
      <w:pPr>
        <w:rPr>
          <w:rFonts w:ascii="宋体" w:hAnsi="宋体" w:cs="宋体"/>
          <w:color w:val="auto"/>
          <w:szCs w:val="21"/>
          <w:highlight w:val="none"/>
        </w:rPr>
      </w:pPr>
      <w:r>
        <w:rPr>
          <w:rFonts w:hint="eastAsia" w:ascii="宋体" w:hAnsi="宋体" w:cs="宋体"/>
          <w:color w:val="auto"/>
          <w:szCs w:val="21"/>
          <w:highlight w:val="none"/>
        </w:rPr>
        <w:t>采购文件获取日期：</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p>
    <w:p>
      <w:pPr>
        <w:rPr>
          <w:rFonts w:ascii="宋体" w:hAnsi="宋体" w:cs="宋体"/>
          <w:color w:val="auto"/>
          <w:szCs w:val="21"/>
          <w:highlight w:val="none"/>
        </w:rPr>
      </w:pPr>
    </w:p>
    <w:p>
      <w:pPr>
        <w:rPr>
          <w:rFonts w:ascii="宋体" w:hAnsi="宋体" w:cs="宋体"/>
          <w:color w:val="auto"/>
          <w:szCs w:val="21"/>
          <w:highlight w:val="none"/>
          <w:u w:val="dotted"/>
        </w:rPr>
      </w:pPr>
      <w:r>
        <w:rPr>
          <w:rFonts w:hint="eastAsia" w:ascii="宋体" w:hAnsi="宋体" w:cs="宋体"/>
          <w:color w:val="auto"/>
          <w:szCs w:val="21"/>
          <w:highlight w:val="none"/>
        </w:rPr>
        <w:t>法律依据：</w:t>
      </w:r>
    </w:p>
    <w:p>
      <w:pPr>
        <w:rPr>
          <w:rFonts w:ascii="宋体" w:hAnsi="宋体" w:cs="宋体"/>
          <w:color w:val="auto"/>
          <w:szCs w:val="21"/>
          <w:highlight w:val="none"/>
          <w:u w:val="dotted"/>
        </w:rPr>
      </w:pP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8"/>
        <w:rPr>
          <w:color w:val="auto"/>
          <w:highlight w:val="none"/>
        </w:rPr>
      </w:pPr>
    </w:p>
    <w:p>
      <w:pPr>
        <w:rPr>
          <w:color w:val="auto"/>
          <w:highlight w:val="none"/>
        </w:rPr>
      </w:pPr>
    </w:p>
    <w:p>
      <w:pPr>
        <w:pStyle w:val="8"/>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4"/>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承诺:</w:t>
            </w:r>
          </w:p>
          <w:p>
            <w:pPr>
              <w:numPr>
                <w:ilvl w:val="0"/>
                <w:numId w:val="13"/>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本公司对招标文件的内容已经了解，并自愿购买该招标文件。</w:t>
            </w:r>
          </w:p>
          <w:p>
            <w:pPr>
              <w:numPr>
                <w:ilvl w:val="0"/>
                <w:numId w:val="13"/>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本公司对提供的所有资料的真实性、有效性承担责任。</w:t>
            </w:r>
          </w:p>
          <w:p>
            <w:pPr>
              <w:numPr>
                <w:ilvl w:val="0"/>
                <w:numId w:val="13"/>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招标文件售后不退。</w:t>
            </w:r>
          </w:p>
          <w:p>
            <w:pPr>
              <w:ind w:firstLine="3738" w:firstLineChars="1335"/>
              <w:jc w:val="both"/>
              <w:textAlignment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招标文件领取人签名: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人民币300元/份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b/>
                <w:bCs/>
                <w:color w:val="auto"/>
                <w:sz w:val="32"/>
                <w:szCs w:val="32"/>
                <w:highlight w:val="none"/>
              </w:rPr>
              <w:t>注：开完发票后请把报名表格交还至前台</w:t>
            </w:r>
          </w:p>
        </w:tc>
      </w:tr>
    </w:tbl>
    <w:p>
      <w:pPr>
        <w:pStyle w:val="23"/>
        <w:ind w:left="0" w:firstLine="0" w:firstLineChars="0"/>
        <w:rPr>
          <w:color w:val="auto"/>
          <w:highlight w:val="none"/>
        </w:rPr>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7</w:t>
                          </w:r>
                          <w:r>
                            <w:fldChar w:fldCharType="end"/>
                          </w:r>
                          <w:r>
                            <w:rPr>
                              <w:rFonts w:hint="eastAsia"/>
                            </w:rPr>
                            <w:t xml:space="preserve"> 页 共 </w:t>
                          </w:r>
                          <w:r>
                            <w:fldChar w:fldCharType="begin"/>
                          </w:r>
                          <w:r>
                            <w:instrText xml:space="preserve"> NUMPAGES  \* MERGEFORMAT </w:instrText>
                          </w:r>
                          <w:r>
                            <w:fldChar w:fldCharType="separate"/>
                          </w:r>
                          <w:r>
                            <w:t>86</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7</w:t>
                    </w:r>
                    <w:r>
                      <w:fldChar w:fldCharType="end"/>
                    </w:r>
                    <w:r>
                      <w:rPr>
                        <w:rFonts w:hint="eastAsia"/>
                      </w:rPr>
                      <w:t xml:space="preserve"> 页 共 </w:t>
                    </w:r>
                    <w:r>
                      <w:fldChar w:fldCharType="begin"/>
                    </w:r>
                    <w:r>
                      <w:instrText xml:space="preserve"> NUMPAGES  \* MERGEFORMAT </w:instrText>
                    </w:r>
                    <w:r>
                      <w:fldChar w:fldCharType="separate"/>
                    </w:r>
                    <w:r>
                      <w:t>86</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86</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86</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0"/>
        <w:rPr>
          <w:rFonts w:eastAsia="微软雅黑"/>
        </w:rPr>
      </w:pPr>
      <w:r>
        <w:rPr>
          <w:rStyle w:val="30"/>
        </w:rPr>
        <w:footnoteRef/>
      </w:r>
      <w:r>
        <w:rPr>
          <w:rFonts w:hint="eastAsia"/>
        </w:rPr>
        <w:t>从业人员、营业人员、资产总额填报上一年度数据，无上一年度数据的新成立企业可不填报。</w:t>
      </w:r>
    </w:p>
  </w:footnote>
  <w:footnote w:id="1">
    <w:p>
      <w:pPr>
        <w:pStyle w:val="20"/>
      </w:pPr>
      <w:r>
        <w:rPr>
          <w:rStyle w:val="30"/>
        </w:rPr>
        <w:footnoteRef/>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1E4CFF8"/>
    <w:multiLevelType w:val="singleLevel"/>
    <w:tmpl w:val="F1E4CFF8"/>
    <w:lvl w:ilvl="0" w:tentative="0">
      <w:start w:val="2"/>
      <w:numFmt w:val="decimal"/>
      <w:suff w:val="nothing"/>
      <w:lvlText w:val="%1、"/>
      <w:lvlJc w:val="left"/>
      <w:pPr>
        <w:ind w:left="0" w:firstLine="0"/>
      </w:pPr>
    </w:lvl>
  </w:abstractNum>
  <w:abstractNum w:abstractNumId="5">
    <w:nsid w:val="F73DC5D7"/>
    <w:multiLevelType w:val="singleLevel"/>
    <w:tmpl w:val="F73DC5D7"/>
    <w:lvl w:ilvl="0" w:tentative="0">
      <w:start w:val="1"/>
      <w:numFmt w:val="decimal"/>
      <w:suff w:val="nothing"/>
      <w:lvlText w:val="（%1）"/>
      <w:lvlJc w:val="left"/>
    </w:lvl>
  </w:abstractNum>
  <w:abstractNum w:abstractNumId="6">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206CABF7"/>
    <w:multiLevelType w:val="singleLevel"/>
    <w:tmpl w:val="206CABF7"/>
    <w:lvl w:ilvl="0" w:tentative="0">
      <w:start w:val="1"/>
      <w:numFmt w:val="decimal"/>
      <w:suff w:val="nothing"/>
      <w:lvlText w:val="（%1）"/>
      <w:lvlJc w:val="left"/>
    </w:lvl>
  </w:abstractNum>
  <w:abstractNum w:abstractNumId="9">
    <w:nsid w:val="316010E5"/>
    <w:multiLevelType w:val="singleLevel"/>
    <w:tmpl w:val="316010E5"/>
    <w:lvl w:ilvl="0" w:tentative="0">
      <w:start w:val="1"/>
      <w:numFmt w:val="decimal"/>
      <w:suff w:val="nothing"/>
      <w:lvlText w:val="%1．"/>
      <w:lvlJc w:val="left"/>
    </w:lvl>
  </w:abstractNum>
  <w:abstractNum w:abstractNumId="10">
    <w:nsid w:val="3B1B8417"/>
    <w:multiLevelType w:val="singleLevel"/>
    <w:tmpl w:val="3B1B8417"/>
    <w:lvl w:ilvl="0" w:tentative="0">
      <w:start w:val="1"/>
      <w:numFmt w:val="decimal"/>
      <w:suff w:val="nothing"/>
      <w:lvlText w:val="%1、"/>
      <w:lvlJc w:val="left"/>
    </w:lvl>
  </w:abstractNum>
  <w:abstractNum w:abstractNumId="11">
    <w:nsid w:val="3F88662E"/>
    <w:multiLevelType w:val="singleLevel"/>
    <w:tmpl w:val="3F88662E"/>
    <w:lvl w:ilvl="0" w:tentative="0">
      <w:start w:val="1"/>
      <w:numFmt w:val="decimal"/>
      <w:suff w:val="space"/>
      <w:lvlText w:val="%1)"/>
      <w:lvlJc w:val="left"/>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10"/>
  </w:num>
  <w:num w:numId="3">
    <w:abstractNumId w:val="7"/>
  </w:num>
  <w:num w:numId="4">
    <w:abstractNumId w:val="11"/>
  </w:num>
  <w:num w:numId="5">
    <w:abstractNumId w:val="8"/>
  </w:num>
  <w:num w:numId="6">
    <w:abstractNumId w:val="3"/>
  </w:num>
  <w:num w:numId="7">
    <w:abstractNumId w:val="5"/>
  </w:num>
  <w:num w:numId="8">
    <w:abstractNumId w:val="1"/>
  </w:num>
  <w:num w:numId="9">
    <w:abstractNumId w:val="4"/>
    <w:lvlOverride w:ilvl="0">
      <w:startOverride w:val="2"/>
    </w:lvlOverride>
  </w:num>
  <w:num w:numId="10">
    <w:abstractNumId w:val="2"/>
  </w:num>
  <w:num w:numId="11">
    <w:abstractNumId w:val="6"/>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9023ee45-0a45-4d5d-8185-a8d265d08bc0"/>
  </w:docVars>
  <w:rsids>
    <w:rsidRoot w:val="00664F6B"/>
    <w:rsid w:val="00006462"/>
    <w:rsid w:val="000300E4"/>
    <w:rsid w:val="0003307E"/>
    <w:rsid w:val="000336BA"/>
    <w:rsid w:val="000359A1"/>
    <w:rsid w:val="0007500F"/>
    <w:rsid w:val="0008282E"/>
    <w:rsid w:val="000A363F"/>
    <w:rsid w:val="000A42A8"/>
    <w:rsid w:val="000A5063"/>
    <w:rsid w:val="000A5DBD"/>
    <w:rsid w:val="000B6DDD"/>
    <w:rsid w:val="000C4524"/>
    <w:rsid w:val="000D44A6"/>
    <w:rsid w:val="000D5273"/>
    <w:rsid w:val="000F09D9"/>
    <w:rsid w:val="000F0E98"/>
    <w:rsid w:val="000F0F02"/>
    <w:rsid w:val="001049A5"/>
    <w:rsid w:val="00111107"/>
    <w:rsid w:val="001242F3"/>
    <w:rsid w:val="00134CAD"/>
    <w:rsid w:val="0013730B"/>
    <w:rsid w:val="00137853"/>
    <w:rsid w:val="00137E1C"/>
    <w:rsid w:val="00147012"/>
    <w:rsid w:val="00153E0B"/>
    <w:rsid w:val="00173126"/>
    <w:rsid w:val="00173905"/>
    <w:rsid w:val="00173E04"/>
    <w:rsid w:val="0017576C"/>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670CC"/>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B468B"/>
    <w:rsid w:val="004D51A2"/>
    <w:rsid w:val="004D5AFB"/>
    <w:rsid w:val="004E04FD"/>
    <w:rsid w:val="004F1BB7"/>
    <w:rsid w:val="004F2238"/>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47F8F"/>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3721A"/>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0017"/>
    <w:rsid w:val="008E319F"/>
    <w:rsid w:val="008E4452"/>
    <w:rsid w:val="008E619C"/>
    <w:rsid w:val="008F6E0E"/>
    <w:rsid w:val="008F79E1"/>
    <w:rsid w:val="00906F49"/>
    <w:rsid w:val="009108BB"/>
    <w:rsid w:val="00914604"/>
    <w:rsid w:val="00923533"/>
    <w:rsid w:val="00930A38"/>
    <w:rsid w:val="00934170"/>
    <w:rsid w:val="00942948"/>
    <w:rsid w:val="009474B5"/>
    <w:rsid w:val="009623C6"/>
    <w:rsid w:val="00972D86"/>
    <w:rsid w:val="009736BF"/>
    <w:rsid w:val="0097392B"/>
    <w:rsid w:val="00976066"/>
    <w:rsid w:val="00980A66"/>
    <w:rsid w:val="009904F7"/>
    <w:rsid w:val="009910F6"/>
    <w:rsid w:val="009A7058"/>
    <w:rsid w:val="009C2F05"/>
    <w:rsid w:val="009C6AD9"/>
    <w:rsid w:val="009D55C3"/>
    <w:rsid w:val="009E398C"/>
    <w:rsid w:val="009E6F05"/>
    <w:rsid w:val="00A10906"/>
    <w:rsid w:val="00A14EEF"/>
    <w:rsid w:val="00A204B3"/>
    <w:rsid w:val="00A25E78"/>
    <w:rsid w:val="00A61230"/>
    <w:rsid w:val="00A813C5"/>
    <w:rsid w:val="00A824E6"/>
    <w:rsid w:val="00A858DC"/>
    <w:rsid w:val="00A94D14"/>
    <w:rsid w:val="00AB19CE"/>
    <w:rsid w:val="00AB3969"/>
    <w:rsid w:val="00AC187B"/>
    <w:rsid w:val="00AC4432"/>
    <w:rsid w:val="00AC5C21"/>
    <w:rsid w:val="00AE310E"/>
    <w:rsid w:val="00AE4FC5"/>
    <w:rsid w:val="00AE7D81"/>
    <w:rsid w:val="00AF5796"/>
    <w:rsid w:val="00AF5F1F"/>
    <w:rsid w:val="00B027A4"/>
    <w:rsid w:val="00B13255"/>
    <w:rsid w:val="00B236B3"/>
    <w:rsid w:val="00B26534"/>
    <w:rsid w:val="00B26806"/>
    <w:rsid w:val="00B31B24"/>
    <w:rsid w:val="00B4287F"/>
    <w:rsid w:val="00B4315F"/>
    <w:rsid w:val="00B60DAB"/>
    <w:rsid w:val="00B7194E"/>
    <w:rsid w:val="00B763B0"/>
    <w:rsid w:val="00B93045"/>
    <w:rsid w:val="00BA4130"/>
    <w:rsid w:val="00BA775B"/>
    <w:rsid w:val="00BB2CAF"/>
    <w:rsid w:val="00BC3E74"/>
    <w:rsid w:val="00BD630F"/>
    <w:rsid w:val="00BD7C1B"/>
    <w:rsid w:val="00BF17FD"/>
    <w:rsid w:val="00BF41D4"/>
    <w:rsid w:val="00BF5AFB"/>
    <w:rsid w:val="00C16734"/>
    <w:rsid w:val="00C17B47"/>
    <w:rsid w:val="00C25C77"/>
    <w:rsid w:val="00C303E7"/>
    <w:rsid w:val="00C319C2"/>
    <w:rsid w:val="00C47E4E"/>
    <w:rsid w:val="00C531F8"/>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340C"/>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566F"/>
    <w:rsid w:val="00F3610C"/>
    <w:rsid w:val="00F5031B"/>
    <w:rsid w:val="00F52A5F"/>
    <w:rsid w:val="00F55954"/>
    <w:rsid w:val="00F61962"/>
    <w:rsid w:val="00F62865"/>
    <w:rsid w:val="00F64022"/>
    <w:rsid w:val="00F64660"/>
    <w:rsid w:val="00F85E59"/>
    <w:rsid w:val="00F97062"/>
    <w:rsid w:val="00F9745D"/>
    <w:rsid w:val="00FC7B53"/>
    <w:rsid w:val="00FD48CC"/>
    <w:rsid w:val="00FE62D1"/>
    <w:rsid w:val="00FF26BF"/>
    <w:rsid w:val="018023CE"/>
    <w:rsid w:val="01881AD6"/>
    <w:rsid w:val="01917A48"/>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B67E12"/>
    <w:rsid w:val="03D10969"/>
    <w:rsid w:val="04DF1036"/>
    <w:rsid w:val="050F6021"/>
    <w:rsid w:val="055214B8"/>
    <w:rsid w:val="05A97DEC"/>
    <w:rsid w:val="05C81981"/>
    <w:rsid w:val="065A32ED"/>
    <w:rsid w:val="06BC41F2"/>
    <w:rsid w:val="06DF3DBD"/>
    <w:rsid w:val="07197D08"/>
    <w:rsid w:val="071C2CFD"/>
    <w:rsid w:val="071E5C55"/>
    <w:rsid w:val="073A47CB"/>
    <w:rsid w:val="073F7319"/>
    <w:rsid w:val="07536A42"/>
    <w:rsid w:val="07595F41"/>
    <w:rsid w:val="07615EC0"/>
    <w:rsid w:val="076E24F4"/>
    <w:rsid w:val="077005AB"/>
    <w:rsid w:val="078F4581"/>
    <w:rsid w:val="07995C5E"/>
    <w:rsid w:val="07B34F45"/>
    <w:rsid w:val="07BE179A"/>
    <w:rsid w:val="07BF027F"/>
    <w:rsid w:val="07E07D0C"/>
    <w:rsid w:val="08031A31"/>
    <w:rsid w:val="081A5CC7"/>
    <w:rsid w:val="087400C9"/>
    <w:rsid w:val="08A276E5"/>
    <w:rsid w:val="09061A75"/>
    <w:rsid w:val="09182241"/>
    <w:rsid w:val="09242E62"/>
    <w:rsid w:val="093C069F"/>
    <w:rsid w:val="09417888"/>
    <w:rsid w:val="09855177"/>
    <w:rsid w:val="09870F93"/>
    <w:rsid w:val="09D658E4"/>
    <w:rsid w:val="09F1637C"/>
    <w:rsid w:val="0A25628F"/>
    <w:rsid w:val="0AA534D5"/>
    <w:rsid w:val="0AA650EB"/>
    <w:rsid w:val="0AB8066A"/>
    <w:rsid w:val="0AC51915"/>
    <w:rsid w:val="0AF47339"/>
    <w:rsid w:val="0B22594B"/>
    <w:rsid w:val="0B797387"/>
    <w:rsid w:val="0B8B2381"/>
    <w:rsid w:val="0BC044BE"/>
    <w:rsid w:val="0BC0600A"/>
    <w:rsid w:val="0BD25EAF"/>
    <w:rsid w:val="0BDF26F7"/>
    <w:rsid w:val="0BE31BA4"/>
    <w:rsid w:val="0C264099"/>
    <w:rsid w:val="0C2B4952"/>
    <w:rsid w:val="0C7B2220"/>
    <w:rsid w:val="0CDF2C62"/>
    <w:rsid w:val="0D890E47"/>
    <w:rsid w:val="0DC64A00"/>
    <w:rsid w:val="0DFC60BA"/>
    <w:rsid w:val="0E4249F1"/>
    <w:rsid w:val="0EB45869"/>
    <w:rsid w:val="0F6C5A53"/>
    <w:rsid w:val="0F7C5FF6"/>
    <w:rsid w:val="0FC63FBD"/>
    <w:rsid w:val="106C564D"/>
    <w:rsid w:val="107B7B8F"/>
    <w:rsid w:val="107C67CE"/>
    <w:rsid w:val="1080523F"/>
    <w:rsid w:val="108F06C9"/>
    <w:rsid w:val="109D68CB"/>
    <w:rsid w:val="10A949B8"/>
    <w:rsid w:val="10C54639"/>
    <w:rsid w:val="11200D07"/>
    <w:rsid w:val="11DA73AF"/>
    <w:rsid w:val="11E87064"/>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C8157F"/>
    <w:rsid w:val="15D359D7"/>
    <w:rsid w:val="15D81E0F"/>
    <w:rsid w:val="161771F3"/>
    <w:rsid w:val="16222D6D"/>
    <w:rsid w:val="163C77BE"/>
    <w:rsid w:val="16632F86"/>
    <w:rsid w:val="1679588C"/>
    <w:rsid w:val="16994962"/>
    <w:rsid w:val="16A71041"/>
    <w:rsid w:val="16AA24BF"/>
    <w:rsid w:val="16F72341"/>
    <w:rsid w:val="17330C3E"/>
    <w:rsid w:val="173E45CB"/>
    <w:rsid w:val="17680CAB"/>
    <w:rsid w:val="176E4128"/>
    <w:rsid w:val="1783371F"/>
    <w:rsid w:val="17E62B67"/>
    <w:rsid w:val="180C0192"/>
    <w:rsid w:val="180F4499"/>
    <w:rsid w:val="18221ECE"/>
    <w:rsid w:val="184A6EA2"/>
    <w:rsid w:val="18DD0A66"/>
    <w:rsid w:val="190B7894"/>
    <w:rsid w:val="19A2789F"/>
    <w:rsid w:val="19B7100D"/>
    <w:rsid w:val="19E009EA"/>
    <w:rsid w:val="1A460CF5"/>
    <w:rsid w:val="1A7F297D"/>
    <w:rsid w:val="1A812DB6"/>
    <w:rsid w:val="1AB16AC1"/>
    <w:rsid w:val="1AF776D6"/>
    <w:rsid w:val="1B034A52"/>
    <w:rsid w:val="1B1F34AD"/>
    <w:rsid w:val="1B4C0F06"/>
    <w:rsid w:val="1B5A51FC"/>
    <w:rsid w:val="1B8D5DC6"/>
    <w:rsid w:val="1BFE1D3B"/>
    <w:rsid w:val="1C2775EC"/>
    <w:rsid w:val="1C750ECE"/>
    <w:rsid w:val="1CA22168"/>
    <w:rsid w:val="1D0836D7"/>
    <w:rsid w:val="1D196139"/>
    <w:rsid w:val="1DB85900"/>
    <w:rsid w:val="1DF051AF"/>
    <w:rsid w:val="1E010AF7"/>
    <w:rsid w:val="1E0178EB"/>
    <w:rsid w:val="1E301173"/>
    <w:rsid w:val="1E38333E"/>
    <w:rsid w:val="1E3E55F9"/>
    <w:rsid w:val="1E5C7612"/>
    <w:rsid w:val="1EA40BB4"/>
    <w:rsid w:val="1F3E49F6"/>
    <w:rsid w:val="1F43381C"/>
    <w:rsid w:val="1FA4148D"/>
    <w:rsid w:val="1FF1242D"/>
    <w:rsid w:val="20121621"/>
    <w:rsid w:val="201A421D"/>
    <w:rsid w:val="20341172"/>
    <w:rsid w:val="204E554F"/>
    <w:rsid w:val="20590035"/>
    <w:rsid w:val="20C35213"/>
    <w:rsid w:val="20FC799E"/>
    <w:rsid w:val="21072664"/>
    <w:rsid w:val="21693C0A"/>
    <w:rsid w:val="21DC501A"/>
    <w:rsid w:val="22154DDD"/>
    <w:rsid w:val="22213E42"/>
    <w:rsid w:val="22336873"/>
    <w:rsid w:val="23175889"/>
    <w:rsid w:val="232C5C75"/>
    <w:rsid w:val="238C2182"/>
    <w:rsid w:val="239015D1"/>
    <w:rsid w:val="23BB4E7D"/>
    <w:rsid w:val="23C172D6"/>
    <w:rsid w:val="23F04F64"/>
    <w:rsid w:val="24814CBE"/>
    <w:rsid w:val="24AC168B"/>
    <w:rsid w:val="25857F75"/>
    <w:rsid w:val="258976B0"/>
    <w:rsid w:val="258C3BEC"/>
    <w:rsid w:val="25E576CC"/>
    <w:rsid w:val="260E3862"/>
    <w:rsid w:val="262569FC"/>
    <w:rsid w:val="26344C98"/>
    <w:rsid w:val="26F56CE2"/>
    <w:rsid w:val="27435D49"/>
    <w:rsid w:val="27A34F71"/>
    <w:rsid w:val="27AC0A74"/>
    <w:rsid w:val="27B36A67"/>
    <w:rsid w:val="27EB0D9B"/>
    <w:rsid w:val="286602C8"/>
    <w:rsid w:val="28665C95"/>
    <w:rsid w:val="289271F8"/>
    <w:rsid w:val="28A64522"/>
    <w:rsid w:val="28CC5B40"/>
    <w:rsid w:val="28F525D1"/>
    <w:rsid w:val="290B3EB9"/>
    <w:rsid w:val="291418C2"/>
    <w:rsid w:val="2950768C"/>
    <w:rsid w:val="29591CD4"/>
    <w:rsid w:val="29794227"/>
    <w:rsid w:val="297A5FC4"/>
    <w:rsid w:val="2A1113BC"/>
    <w:rsid w:val="2A2F4431"/>
    <w:rsid w:val="2A8D4F8F"/>
    <w:rsid w:val="2A911082"/>
    <w:rsid w:val="2A917B34"/>
    <w:rsid w:val="2AA33C87"/>
    <w:rsid w:val="2AE3766F"/>
    <w:rsid w:val="2B4756C0"/>
    <w:rsid w:val="2B4B680F"/>
    <w:rsid w:val="2B7E4054"/>
    <w:rsid w:val="2BC92502"/>
    <w:rsid w:val="2BF22742"/>
    <w:rsid w:val="2C987C56"/>
    <w:rsid w:val="2CBD45CF"/>
    <w:rsid w:val="2CFF149A"/>
    <w:rsid w:val="2D201865"/>
    <w:rsid w:val="2D306A3A"/>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7350B9"/>
    <w:rsid w:val="308C7755"/>
    <w:rsid w:val="30ED7269"/>
    <w:rsid w:val="30FF27D2"/>
    <w:rsid w:val="31170995"/>
    <w:rsid w:val="31264A30"/>
    <w:rsid w:val="31884E67"/>
    <w:rsid w:val="31A0275E"/>
    <w:rsid w:val="31B060CA"/>
    <w:rsid w:val="31B7357A"/>
    <w:rsid w:val="31ED6B08"/>
    <w:rsid w:val="31F915C9"/>
    <w:rsid w:val="32610CE6"/>
    <w:rsid w:val="32631A32"/>
    <w:rsid w:val="3277724B"/>
    <w:rsid w:val="328464CE"/>
    <w:rsid w:val="32AB70C5"/>
    <w:rsid w:val="32DC33E0"/>
    <w:rsid w:val="335D0AF5"/>
    <w:rsid w:val="3370088C"/>
    <w:rsid w:val="33A3154A"/>
    <w:rsid w:val="33DC2F78"/>
    <w:rsid w:val="3428227C"/>
    <w:rsid w:val="350D6342"/>
    <w:rsid w:val="350F21B9"/>
    <w:rsid w:val="35260F83"/>
    <w:rsid w:val="35602226"/>
    <w:rsid w:val="356B72E7"/>
    <w:rsid w:val="3572424F"/>
    <w:rsid w:val="35FC3844"/>
    <w:rsid w:val="366061FD"/>
    <w:rsid w:val="36794DEF"/>
    <w:rsid w:val="36AD519D"/>
    <w:rsid w:val="36B57705"/>
    <w:rsid w:val="36C7142F"/>
    <w:rsid w:val="373B391A"/>
    <w:rsid w:val="374F1A0B"/>
    <w:rsid w:val="37A103ED"/>
    <w:rsid w:val="37EA5E6E"/>
    <w:rsid w:val="37FF016F"/>
    <w:rsid w:val="38427C0B"/>
    <w:rsid w:val="387C5ABE"/>
    <w:rsid w:val="389B3A1E"/>
    <w:rsid w:val="38EB6119"/>
    <w:rsid w:val="39DE33DA"/>
    <w:rsid w:val="39FA5B4A"/>
    <w:rsid w:val="39FE0BE9"/>
    <w:rsid w:val="3A3C1AAF"/>
    <w:rsid w:val="3A424C25"/>
    <w:rsid w:val="3A4B7CC1"/>
    <w:rsid w:val="3A51228C"/>
    <w:rsid w:val="3A552E60"/>
    <w:rsid w:val="3A5D642F"/>
    <w:rsid w:val="3AB210FC"/>
    <w:rsid w:val="3ACE216B"/>
    <w:rsid w:val="3ACF73D1"/>
    <w:rsid w:val="3AD95C13"/>
    <w:rsid w:val="3B0E42D3"/>
    <w:rsid w:val="3B261E51"/>
    <w:rsid w:val="3B973F88"/>
    <w:rsid w:val="3BCD72F7"/>
    <w:rsid w:val="3C414142"/>
    <w:rsid w:val="3CE114D9"/>
    <w:rsid w:val="3CE331C4"/>
    <w:rsid w:val="3CF737A2"/>
    <w:rsid w:val="3CF7509A"/>
    <w:rsid w:val="3D10295A"/>
    <w:rsid w:val="3E0572FD"/>
    <w:rsid w:val="3E1A5292"/>
    <w:rsid w:val="3E5A7FE7"/>
    <w:rsid w:val="3EC8179E"/>
    <w:rsid w:val="3EF66B2E"/>
    <w:rsid w:val="3F217914"/>
    <w:rsid w:val="3F577835"/>
    <w:rsid w:val="3F942B76"/>
    <w:rsid w:val="3FAB5A5B"/>
    <w:rsid w:val="3FD70BB0"/>
    <w:rsid w:val="3FE2385C"/>
    <w:rsid w:val="3FFB55AC"/>
    <w:rsid w:val="401C5F9D"/>
    <w:rsid w:val="401C690C"/>
    <w:rsid w:val="401D7195"/>
    <w:rsid w:val="40332A00"/>
    <w:rsid w:val="405F1BE4"/>
    <w:rsid w:val="40A51286"/>
    <w:rsid w:val="40AE712A"/>
    <w:rsid w:val="40CE3DC0"/>
    <w:rsid w:val="40D7455A"/>
    <w:rsid w:val="40E743E5"/>
    <w:rsid w:val="40F35EEC"/>
    <w:rsid w:val="4110038E"/>
    <w:rsid w:val="41734CBA"/>
    <w:rsid w:val="41C01B53"/>
    <w:rsid w:val="41DD7057"/>
    <w:rsid w:val="420F7A65"/>
    <w:rsid w:val="4216611A"/>
    <w:rsid w:val="423E300F"/>
    <w:rsid w:val="425656C8"/>
    <w:rsid w:val="4257273C"/>
    <w:rsid w:val="425D7213"/>
    <w:rsid w:val="42677B61"/>
    <w:rsid w:val="42756DB0"/>
    <w:rsid w:val="42B21AD2"/>
    <w:rsid w:val="42FD694D"/>
    <w:rsid w:val="434A6D8F"/>
    <w:rsid w:val="43FA5777"/>
    <w:rsid w:val="44044D92"/>
    <w:rsid w:val="441C1611"/>
    <w:rsid w:val="443C440B"/>
    <w:rsid w:val="443F7DBF"/>
    <w:rsid w:val="44514F52"/>
    <w:rsid w:val="448965CB"/>
    <w:rsid w:val="44C5497E"/>
    <w:rsid w:val="44FA2D53"/>
    <w:rsid w:val="4571374F"/>
    <w:rsid w:val="458B1BB0"/>
    <w:rsid w:val="45DD0A0B"/>
    <w:rsid w:val="4611075B"/>
    <w:rsid w:val="46214818"/>
    <w:rsid w:val="466E4C9E"/>
    <w:rsid w:val="467A0297"/>
    <w:rsid w:val="468B7125"/>
    <w:rsid w:val="46C4691F"/>
    <w:rsid w:val="47841568"/>
    <w:rsid w:val="479D1D34"/>
    <w:rsid w:val="47B609C0"/>
    <w:rsid w:val="47CF543E"/>
    <w:rsid w:val="482D31EA"/>
    <w:rsid w:val="484228F5"/>
    <w:rsid w:val="485970A0"/>
    <w:rsid w:val="48847961"/>
    <w:rsid w:val="48A41906"/>
    <w:rsid w:val="48B65C71"/>
    <w:rsid w:val="48D55603"/>
    <w:rsid w:val="48F303D7"/>
    <w:rsid w:val="492837FF"/>
    <w:rsid w:val="492E6A57"/>
    <w:rsid w:val="49B86103"/>
    <w:rsid w:val="4A0030EE"/>
    <w:rsid w:val="4A00738E"/>
    <w:rsid w:val="4AC36065"/>
    <w:rsid w:val="4B560086"/>
    <w:rsid w:val="4B7501F5"/>
    <w:rsid w:val="4B8C2DEB"/>
    <w:rsid w:val="4BFA3C9F"/>
    <w:rsid w:val="4BFB5208"/>
    <w:rsid w:val="4C0E3379"/>
    <w:rsid w:val="4C107F48"/>
    <w:rsid w:val="4C3277BC"/>
    <w:rsid w:val="4C686851"/>
    <w:rsid w:val="4CB25875"/>
    <w:rsid w:val="4CC353EB"/>
    <w:rsid w:val="4CF36F3C"/>
    <w:rsid w:val="4D124486"/>
    <w:rsid w:val="4D3739CE"/>
    <w:rsid w:val="4D4F67BA"/>
    <w:rsid w:val="4D603399"/>
    <w:rsid w:val="4D867EE1"/>
    <w:rsid w:val="4DBC4C65"/>
    <w:rsid w:val="4DD731F1"/>
    <w:rsid w:val="4DF6568D"/>
    <w:rsid w:val="4E2E1A80"/>
    <w:rsid w:val="4E550010"/>
    <w:rsid w:val="4E5F14CB"/>
    <w:rsid w:val="4F3705F8"/>
    <w:rsid w:val="4F651D09"/>
    <w:rsid w:val="4FAC3540"/>
    <w:rsid w:val="4FBB12F4"/>
    <w:rsid w:val="4FCF1583"/>
    <w:rsid w:val="4FFA7625"/>
    <w:rsid w:val="501B0BF9"/>
    <w:rsid w:val="507D2599"/>
    <w:rsid w:val="5096229D"/>
    <w:rsid w:val="50B44FCE"/>
    <w:rsid w:val="50DC4184"/>
    <w:rsid w:val="50EF6513"/>
    <w:rsid w:val="50F93342"/>
    <w:rsid w:val="51475B39"/>
    <w:rsid w:val="514C3EA7"/>
    <w:rsid w:val="519849E5"/>
    <w:rsid w:val="51B36892"/>
    <w:rsid w:val="51C92E73"/>
    <w:rsid w:val="52506DA7"/>
    <w:rsid w:val="533B2B84"/>
    <w:rsid w:val="537A7243"/>
    <w:rsid w:val="539C1B81"/>
    <w:rsid w:val="53AA6184"/>
    <w:rsid w:val="53AE750F"/>
    <w:rsid w:val="53EB0895"/>
    <w:rsid w:val="53F263AD"/>
    <w:rsid w:val="54693932"/>
    <w:rsid w:val="549A6BFA"/>
    <w:rsid w:val="54C61423"/>
    <w:rsid w:val="54E72921"/>
    <w:rsid w:val="55806F07"/>
    <w:rsid w:val="558F3CE2"/>
    <w:rsid w:val="55F3454C"/>
    <w:rsid w:val="55FA2961"/>
    <w:rsid w:val="565E3E0E"/>
    <w:rsid w:val="565E7F4F"/>
    <w:rsid w:val="56775183"/>
    <w:rsid w:val="56775789"/>
    <w:rsid w:val="56857D06"/>
    <w:rsid w:val="56914056"/>
    <w:rsid w:val="569F0E63"/>
    <w:rsid w:val="56DB613D"/>
    <w:rsid w:val="573810DA"/>
    <w:rsid w:val="57FC2169"/>
    <w:rsid w:val="58096275"/>
    <w:rsid w:val="580E4560"/>
    <w:rsid w:val="581C04F1"/>
    <w:rsid w:val="582E6EF7"/>
    <w:rsid w:val="58434392"/>
    <w:rsid w:val="584E30E6"/>
    <w:rsid w:val="59014D02"/>
    <w:rsid w:val="597B384D"/>
    <w:rsid w:val="59903AA4"/>
    <w:rsid w:val="59996DA8"/>
    <w:rsid w:val="59AC3CE9"/>
    <w:rsid w:val="59C30F1B"/>
    <w:rsid w:val="5A0D5854"/>
    <w:rsid w:val="5A20156F"/>
    <w:rsid w:val="5A250E62"/>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B843E0"/>
    <w:rsid w:val="5CBB0F9F"/>
    <w:rsid w:val="5CED2E1F"/>
    <w:rsid w:val="5CF55792"/>
    <w:rsid w:val="5CFD533A"/>
    <w:rsid w:val="5D893B14"/>
    <w:rsid w:val="5D9F3D30"/>
    <w:rsid w:val="5DF0751F"/>
    <w:rsid w:val="5E2810D5"/>
    <w:rsid w:val="5E2B7D62"/>
    <w:rsid w:val="5E2F31A6"/>
    <w:rsid w:val="5E71411E"/>
    <w:rsid w:val="5EA06921"/>
    <w:rsid w:val="5ED5006A"/>
    <w:rsid w:val="5F576E4B"/>
    <w:rsid w:val="5F5D4EDE"/>
    <w:rsid w:val="5F7A2C30"/>
    <w:rsid w:val="5FBE370A"/>
    <w:rsid w:val="601200AF"/>
    <w:rsid w:val="60292845"/>
    <w:rsid w:val="60407720"/>
    <w:rsid w:val="61027308"/>
    <w:rsid w:val="61067EF5"/>
    <w:rsid w:val="61212EDF"/>
    <w:rsid w:val="612E1A5D"/>
    <w:rsid w:val="61816046"/>
    <w:rsid w:val="61881DE7"/>
    <w:rsid w:val="62182687"/>
    <w:rsid w:val="62391564"/>
    <w:rsid w:val="62816669"/>
    <w:rsid w:val="62BA0953"/>
    <w:rsid w:val="62D03A7C"/>
    <w:rsid w:val="62F16BCB"/>
    <w:rsid w:val="62F648FE"/>
    <w:rsid w:val="630A30D8"/>
    <w:rsid w:val="63341DB1"/>
    <w:rsid w:val="63447612"/>
    <w:rsid w:val="63907004"/>
    <w:rsid w:val="63974E47"/>
    <w:rsid w:val="63A10995"/>
    <w:rsid w:val="63C23EFA"/>
    <w:rsid w:val="63C41644"/>
    <w:rsid w:val="643A070A"/>
    <w:rsid w:val="644C573D"/>
    <w:rsid w:val="647F1ACC"/>
    <w:rsid w:val="648667A7"/>
    <w:rsid w:val="64DB383A"/>
    <w:rsid w:val="65032F85"/>
    <w:rsid w:val="65136B50"/>
    <w:rsid w:val="653B0C50"/>
    <w:rsid w:val="657632AC"/>
    <w:rsid w:val="657E2A35"/>
    <w:rsid w:val="65A94E9D"/>
    <w:rsid w:val="65C60A92"/>
    <w:rsid w:val="662203DD"/>
    <w:rsid w:val="666B723B"/>
    <w:rsid w:val="6678045A"/>
    <w:rsid w:val="66DD6702"/>
    <w:rsid w:val="67890DBF"/>
    <w:rsid w:val="679406CB"/>
    <w:rsid w:val="67AB52F1"/>
    <w:rsid w:val="67C35C0B"/>
    <w:rsid w:val="681233D2"/>
    <w:rsid w:val="681D5EE5"/>
    <w:rsid w:val="68652AB3"/>
    <w:rsid w:val="6895578E"/>
    <w:rsid w:val="689F1926"/>
    <w:rsid w:val="68AD17BB"/>
    <w:rsid w:val="68D94D22"/>
    <w:rsid w:val="692B2E4A"/>
    <w:rsid w:val="692E7663"/>
    <w:rsid w:val="694303FB"/>
    <w:rsid w:val="696A0B34"/>
    <w:rsid w:val="698D6A17"/>
    <w:rsid w:val="69A233E7"/>
    <w:rsid w:val="69EE3535"/>
    <w:rsid w:val="69F954C1"/>
    <w:rsid w:val="6A2031B6"/>
    <w:rsid w:val="6A440C53"/>
    <w:rsid w:val="6A507D0C"/>
    <w:rsid w:val="6AC61F6F"/>
    <w:rsid w:val="6ADE74F0"/>
    <w:rsid w:val="6B1002C0"/>
    <w:rsid w:val="6B1F5CFA"/>
    <w:rsid w:val="6B723594"/>
    <w:rsid w:val="6B805156"/>
    <w:rsid w:val="6BD50977"/>
    <w:rsid w:val="6BEA2A9B"/>
    <w:rsid w:val="6C9C0875"/>
    <w:rsid w:val="6C9D1F03"/>
    <w:rsid w:val="6CAA3931"/>
    <w:rsid w:val="6D3933CA"/>
    <w:rsid w:val="6D7B61EC"/>
    <w:rsid w:val="6DB955B1"/>
    <w:rsid w:val="6DC3266E"/>
    <w:rsid w:val="6DD049FF"/>
    <w:rsid w:val="6E09491E"/>
    <w:rsid w:val="6E0D3655"/>
    <w:rsid w:val="6E5F4465"/>
    <w:rsid w:val="6E8C54DA"/>
    <w:rsid w:val="6EA362EA"/>
    <w:rsid w:val="6EF11E03"/>
    <w:rsid w:val="6F111C62"/>
    <w:rsid w:val="6F2176E5"/>
    <w:rsid w:val="6F3053CA"/>
    <w:rsid w:val="6F592303"/>
    <w:rsid w:val="6F5F5B74"/>
    <w:rsid w:val="6F9B1C65"/>
    <w:rsid w:val="6FD47A25"/>
    <w:rsid w:val="6FDB1798"/>
    <w:rsid w:val="6FF44026"/>
    <w:rsid w:val="6FFB146E"/>
    <w:rsid w:val="701A5C74"/>
    <w:rsid w:val="706516C3"/>
    <w:rsid w:val="70864A71"/>
    <w:rsid w:val="70896E68"/>
    <w:rsid w:val="71322C59"/>
    <w:rsid w:val="714556B4"/>
    <w:rsid w:val="715B60E9"/>
    <w:rsid w:val="71860FA0"/>
    <w:rsid w:val="71E96309"/>
    <w:rsid w:val="71EA1FED"/>
    <w:rsid w:val="72284A0C"/>
    <w:rsid w:val="72B66E9C"/>
    <w:rsid w:val="72C16204"/>
    <w:rsid w:val="730313F6"/>
    <w:rsid w:val="731E1007"/>
    <w:rsid w:val="73370D24"/>
    <w:rsid w:val="7359268C"/>
    <w:rsid w:val="739503EB"/>
    <w:rsid w:val="73A05B28"/>
    <w:rsid w:val="73C07D69"/>
    <w:rsid w:val="73F9567B"/>
    <w:rsid w:val="749E2255"/>
    <w:rsid w:val="74B42AE4"/>
    <w:rsid w:val="750A429D"/>
    <w:rsid w:val="75167F59"/>
    <w:rsid w:val="754D77D2"/>
    <w:rsid w:val="755D38A7"/>
    <w:rsid w:val="755F5A0F"/>
    <w:rsid w:val="75614792"/>
    <w:rsid w:val="756672DA"/>
    <w:rsid w:val="756E5849"/>
    <w:rsid w:val="75784473"/>
    <w:rsid w:val="757E044C"/>
    <w:rsid w:val="75977BC3"/>
    <w:rsid w:val="75B161B3"/>
    <w:rsid w:val="75E470E3"/>
    <w:rsid w:val="76736B32"/>
    <w:rsid w:val="76E3765E"/>
    <w:rsid w:val="76FC2AFA"/>
    <w:rsid w:val="773F0836"/>
    <w:rsid w:val="77524615"/>
    <w:rsid w:val="77653671"/>
    <w:rsid w:val="778546CC"/>
    <w:rsid w:val="77B56730"/>
    <w:rsid w:val="77C04A8B"/>
    <w:rsid w:val="77C058E5"/>
    <w:rsid w:val="77D85DB3"/>
    <w:rsid w:val="780252A0"/>
    <w:rsid w:val="78027772"/>
    <w:rsid w:val="78885367"/>
    <w:rsid w:val="78A50513"/>
    <w:rsid w:val="78B92B9D"/>
    <w:rsid w:val="78F83387"/>
    <w:rsid w:val="793B7339"/>
    <w:rsid w:val="796518DD"/>
    <w:rsid w:val="796E0C55"/>
    <w:rsid w:val="79AA0532"/>
    <w:rsid w:val="79B82D71"/>
    <w:rsid w:val="79F70999"/>
    <w:rsid w:val="79FE1DDD"/>
    <w:rsid w:val="7A075767"/>
    <w:rsid w:val="7A212062"/>
    <w:rsid w:val="7A282A11"/>
    <w:rsid w:val="7AB90FF6"/>
    <w:rsid w:val="7AC21562"/>
    <w:rsid w:val="7AD474A4"/>
    <w:rsid w:val="7B115232"/>
    <w:rsid w:val="7B3E6396"/>
    <w:rsid w:val="7B416BDC"/>
    <w:rsid w:val="7B5350AD"/>
    <w:rsid w:val="7B6867EB"/>
    <w:rsid w:val="7B697C89"/>
    <w:rsid w:val="7B8D34C3"/>
    <w:rsid w:val="7B971D84"/>
    <w:rsid w:val="7BF32F03"/>
    <w:rsid w:val="7C1724A5"/>
    <w:rsid w:val="7C8E3CCF"/>
    <w:rsid w:val="7CA54112"/>
    <w:rsid w:val="7CBC5262"/>
    <w:rsid w:val="7CE50CE4"/>
    <w:rsid w:val="7D2177E3"/>
    <w:rsid w:val="7D2E5ABF"/>
    <w:rsid w:val="7DF10853"/>
    <w:rsid w:val="7E2142A2"/>
    <w:rsid w:val="7E4E0A84"/>
    <w:rsid w:val="7E4F5384"/>
    <w:rsid w:val="7E5A6DFA"/>
    <w:rsid w:val="7E730D4D"/>
    <w:rsid w:val="7E7B0BF2"/>
    <w:rsid w:val="7E7C7A78"/>
    <w:rsid w:val="7E8D75B6"/>
    <w:rsid w:val="7EB2417D"/>
    <w:rsid w:val="7EF760EE"/>
    <w:rsid w:val="7F2A21E7"/>
    <w:rsid w:val="7F6770F7"/>
    <w:rsid w:val="7F763FE8"/>
    <w:rsid w:val="7F8048A8"/>
    <w:rsid w:val="7FB65F3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3"/>
    <w:unhideWhenUsed/>
    <w:qFormat/>
    <w:uiPriority w:val="9"/>
    <w:pPr>
      <w:keepNext/>
      <w:keepLines/>
      <w:outlineLvl w:val="2"/>
    </w:pPr>
    <w:rPr>
      <w:b/>
      <w:bCs/>
      <w:sz w:val="28"/>
      <w:szCs w:val="32"/>
    </w:rPr>
  </w:style>
  <w:style w:type="paragraph" w:styleId="6">
    <w:name w:val="heading 4"/>
    <w:basedOn w:val="1"/>
    <w:next w:val="1"/>
    <w:link w:val="35"/>
    <w:unhideWhenUsed/>
    <w:qFormat/>
    <w:uiPriority w:val="9"/>
    <w:pPr>
      <w:keepNext/>
      <w:keepLines/>
      <w:outlineLvl w:val="3"/>
    </w:pPr>
    <w:rPr>
      <w:rFonts w:asciiTheme="majorHAnsi" w:hAnsiTheme="majorHAnsi" w:cstheme="majorBidi"/>
      <w:b/>
      <w:bCs/>
      <w:sz w:val="24"/>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semiHidden/>
    <w:unhideWhenUsed/>
    <w:qFormat/>
    <w:uiPriority w:val="99"/>
    <w:pPr>
      <w:ind w:firstLine="420" w:firstLineChars="200"/>
    </w:pPr>
  </w:style>
  <w:style w:type="paragraph" w:styleId="7">
    <w:name w:val="annotation text"/>
    <w:basedOn w:val="1"/>
    <w:semiHidden/>
    <w:unhideWhenUsed/>
    <w:qFormat/>
    <w:uiPriority w:val="99"/>
  </w:style>
  <w:style w:type="paragraph" w:styleId="8">
    <w:name w:val="Body Text"/>
    <w:basedOn w:val="1"/>
    <w:next w:val="1"/>
    <w:qFormat/>
    <w:uiPriority w:val="1"/>
    <w:pPr>
      <w:spacing w:before="161"/>
      <w:ind w:left="120"/>
    </w:pPr>
    <w:rPr>
      <w:rFonts w:ascii="宋体" w:hAnsi="宋体" w:cs="宋体"/>
      <w:sz w:val="24"/>
      <w:lang w:val="zh-CN" w:bidi="zh-CN"/>
    </w:rPr>
  </w:style>
  <w:style w:type="paragraph" w:styleId="9">
    <w:name w:val="toc 3"/>
    <w:basedOn w:val="1"/>
    <w:next w:val="1"/>
    <w:unhideWhenUsed/>
    <w:qFormat/>
    <w:uiPriority w:val="39"/>
    <w:pPr>
      <w:tabs>
        <w:tab w:val="right" w:leader="dot" w:pos="8296"/>
      </w:tabs>
      <w:ind w:left="838" w:leftChars="381"/>
    </w:pPr>
    <w:rPr>
      <w:szCs w:val="21"/>
    </w:rPr>
  </w:style>
  <w:style w:type="paragraph" w:styleId="10">
    <w:name w:val="Plain Text"/>
    <w:basedOn w:val="1"/>
    <w:link w:val="46"/>
    <w:qFormat/>
    <w:uiPriority w:val="0"/>
    <w:pPr>
      <w:widowControl w:val="0"/>
      <w:adjustRightInd/>
      <w:snapToGrid/>
      <w:jc w:val="both"/>
    </w:pPr>
    <w:rPr>
      <w:rFonts w:ascii="宋体" w:hAnsi="Courier New" w:cs="Times New Roman"/>
      <w:b/>
      <w:kern w:val="2"/>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9"/>
    <w:semiHidden/>
    <w:unhideWhenUsed/>
    <w:qFormat/>
    <w:uiPriority w:val="99"/>
    <w:rPr>
      <w:sz w:val="18"/>
      <w:szCs w:val="18"/>
    </w:rPr>
  </w:style>
  <w:style w:type="paragraph" w:styleId="13">
    <w:name w:val="footer"/>
    <w:basedOn w:val="1"/>
    <w:link w:val="48"/>
    <w:unhideWhenUsed/>
    <w:qFormat/>
    <w:uiPriority w:val="99"/>
    <w:pPr>
      <w:tabs>
        <w:tab w:val="center" w:pos="4153"/>
        <w:tab w:val="right" w:pos="8306"/>
      </w:tabs>
    </w:pPr>
    <w:rPr>
      <w:sz w:val="18"/>
      <w:szCs w:val="18"/>
    </w:rPr>
  </w:style>
  <w:style w:type="paragraph" w:styleId="14">
    <w:name w:val="header"/>
    <w:basedOn w:val="1"/>
    <w:link w:val="47"/>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0">
    <w:name w:val="footnote text"/>
    <w:basedOn w:val="1"/>
    <w:semiHidden/>
    <w:unhideWhenUsed/>
    <w:qFormat/>
    <w:uiPriority w:val="99"/>
    <w:rPr>
      <w:sz w:val="18"/>
    </w:rPr>
  </w:style>
  <w:style w:type="paragraph" w:styleId="21">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2">
    <w:name w:val="Normal (Web)"/>
    <w:basedOn w:val="1"/>
    <w:link w:val="51"/>
    <w:qFormat/>
    <w:uiPriority w:val="0"/>
    <w:pPr>
      <w:widowControl w:val="0"/>
      <w:adjustRightInd/>
      <w:snapToGrid/>
      <w:jc w:val="both"/>
    </w:pPr>
    <w:rPr>
      <w:rFonts w:asciiTheme="minorHAnsi" w:hAnsiTheme="minorHAnsi"/>
      <w:kern w:val="2"/>
      <w:sz w:val="24"/>
      <w:szCs w:val="24"/>
    </w:rPr>
  </w:style>
  <w:style w:type="paragraph" w:styleId="23">
    <w:name w:val="Body Text First Indent"/>
    <w:basedOn w:val="8"/>
    <w:unhideWhenUsed/>
    <w:qFormat/>
    <w:uiPriority w:val="99"/>
    <w:pPr>
      <w:ind w:firstLine="420" w:firstLineChars="100"/>
    </w:pPr>
    <w:rPr>
      <w:rFonts w:ascii="Times New Roman" w:hAnsi="Times New Roman" w:cs="Times New Roman"/>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Emphasis"/>
    <w:basedOn w:val="26"/>
    <w:qFormat/>
    <w:uiPriority w:val="20"/>
    <w:rPr>
      <w:i/>
      <w:iCs/>
    </w:rPr>
  </w:style>
  <w:style w:type="character" w:styleId="28">
    <w:name w:val="Hyperlink"/>
    <w:qFormat/>
    <w:uiPriority w:val="99"/>
    <w:rPr>
      <w:rFonts w:hint="eastAsia" w:ascii="宋体" w:hAnsi="宋体" w:eastAsia="宋体" w:cs="宋体"/>
      <w:b/>
      <w:color w:val="0031C1"/>
      <w:kern w:val="0"/>
      <w:sz w:val="18"/>
      <w:szCs w:val="18"/>
      <w:u w:val="none"/>
      <w:lang w:eastAsia="en-US"/>
    </w:rPr>
  </w:style>
  <w:style w:type="character" w:styleId="29">
    <w:name w:val="annotation reference"/>
    <w:basedOn w:val="26"/>
    <w:semiHidden/>
    <w:unhideWhenUsed/>
    <w:qFormat/>
    <w:uiPriority w:val="99"/>
    <w:rPr>
      <w:sz w:val="21"/>
      <w:szCs w:val="21"/>
    </w:rPr>
  </w:style>
  <w:style w:type="character" w:styleId="30">
    <w:name w:val="footnote reference"/>
    <w:basedOn w:val="26"/>
    <w:semiHidden/>
    <w:unhideWhenUsed/>
    <w:qFormat/>
    <w:uiPriority w:val="99"/>
    <w:rPr>
      <w:vertAlign w:val="superscript"/>
    </w:rPr>
  </w:style>
  <w:style w:type="paragraph" w:customStyle="1" w:styleId="31">
    <w:name w:val="表格文字"/>
    <w:basedOn w:val="1"/>
    <w:qFormat/>
    <w:uiPriority w:val="0"/>
    <w:pPr>
      <w:adjustRightInd/>
      <w:spacing w:before="25" w:after="25"/>
    </w:pPr>
    <w:rPr>
      <w:rFonts w:ascii="Times New Roman"/>
      <w:bCs/>
      <w:spacing w:val="10"/>
      <w:szCs w:val="20"/>
    </w:rPr>
  </w:style>
  <w:style w:type="character" w:customStyle="1" w:styleId="32">
    <w:name w:val="标题 2 Char"/>
    <w:basedOn w:val="26"/>
    <w:link w:val="4"/>
    <w:qFormat/>
    <w:uiPriority w:val="9"/>
    <w:rPr>
      <w:rFonts w:asciiTheme="majorHAnsi" w:hAnsiTheme="majorHAnsi" w:eastAsiaTheme="majorEastAsia" w:cstheme="majorBidi"/>
      <w:b/>
      <w:bCs/>
      <w:sz w:val="32"/>
      <w:szCs w:val="32"/>
    </w:rPr>
  </w:style>
  <w:style w:type="character" w:customStyle="1" w:styleId="33">
    <w:name w:val="标题 3 Char"/>
    <w:basedOn w:val="26"/>
    <w:link w:val="5"/>
    <w:qFormat/>
    <w:uiPriority w:val="9"/>
    <w:rPr>
      <w:rFonts w:ascii="Tahoma" w:hAnsi="Tahoma" w:eastAsia="宋体"/>
      <w:b/>
      <w:bCs/>
      <w:sz w:val="28"/>
      <w:szCs w:val="32"/>
    </w:rPr>
  </w:style>
  <w:style w:type="paragraph" w:styleId="34">
    <w:name w:val="List Paragraph"/>
    <w:basedOn w:val="1"/>
    <w:qFormat/>
    <w:uiPriority w:val="34"/>
    <w:pPr>
      <w:ind w:firstLine="420" w:firstLineChars="200"/>
    </w:pPr>
  </w:style>
  <w:style w:type="character" w:customStyle="1" w:styleId="35">
    <w:name w:val="标题 4 Char"/>
    <w:basedOn w:val="26"/>
    <w:link w:val="6"/>
    <w:qFormat/>
    <w:uiPriority w:val="9"/>
    <w:rPr>
      <w:rFonts w:eastAsia="宋体" w:asciiTheme="majorHAnsi" w:hAnsiTheme="majorHAnsi" w:cstheme="majorBidi"/>
      <w:b/>
      <w:bCs/>
      <w:sz w:val="24"/>
      <w:szCs w:val="28"/>
    </w:rPr>
  </w:style>
  <w:style w:type="character" w:customStyle="1" w:styleId="36">
    <w:name w:val="正文缩进2格 Char"/>
    <w:link w:val="37"/>
    <w:qFormat/>
    <w:uiPriority w:val="0"/>
    <w:rPr>
      <w:rFonts w:ascii="仿宋_GB2312" w:hAnsi="宋体" w:eastAsia="仿宋_GB2312"/>
      <w:kern w:val="2"/>
      <w:sz w:val="31"/>
    </w:rPr>
  </w:style>
  <w:style w:type="paragraph" w:customStyle="1" w:styleId="37">
    <w:name w:val="正文缩进2格"/>
    <w:basedOn w:val="1"/>
    <w:next w:val="1"/>
    <w:link w:val="36"/>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8">
    <w:name w:val="正文缩进4格"/>
    <w:basedOn w:val="37"/>
    <w:qFormat/>
    <w:uiPriority w:val="0"/>
    <w:pPr>
      <w:ind w:left="2" w:firstLine="538" w:firstLineChars="192"/>
    </w:pPr>
    <w:rPr>
      <w:color w:val="0000FF"/>
      <w:sz w:val="28"/>
    </w:rPr>
  </w:style>
  <w:style w:type="character" w:customStyle="1" w:styleId="39">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0">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1">
    <w:name w:val="标题1"/>
    <w:qFormat/>
    <w:uiPriority w:val="0"/>
    <w:rPr>
      <w:rFonts w:ascii="Times New Roman" w:hAnsi="Times New Roman" w:eastAsia="宋体" w:cs="Times New Roman"/>
      <w:b/>
      <w:kern w:val="0"/>
      <w:sz w:val="24"/>
      <w:szCs w:val="20"/>
      <w:lang w:eastAsia="en-US"/>
    </w:rPr>
  </w:style>
  <w:style w:type="character" w:customStyle="1" w:styleId="42">
    <w:name w:val="标题 3.1 Char"/>
    <w:link w:val="43"/>
    <w:qFormat/>
    <w:uiPriority w:val="0"/>
    <w:rPr>
      <w:rFonts w:ascii="宋体" w:hAnsi="宋体" w:eastAsia="宋体"/>
      <w:b/>
      <w:color w:val="FF0000"/>
      <w:kern w:val="2"/>
      <w:sz w:val="32"/>
    </w:rPr>
  </w:style>
  <w:style w:type="paragraph" w:customStyle="1" w:styleId="43">
    <w:name w:val="标题 3.1"/>
    <w:basedOn w:val="5"/>
    <w:link w:val="42"/>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4">
    <w:name w:val="样式 楷体_GB2312 小四"/>
    <w:qFormat/>
    <w:uiPriority w:val="0"/>
    <w:rPr>
      <w:rFonts w:ascii="楷体_GB2312" w:hAnsi="楷体_GB2312" w:eastAsia="仿宋_GB2312"/>
      <w:sz w:val="24"/>
    </w:rPr>
  </w:style>
  <w:style w:type="character" w:customStyle="1" w:styleId="45">
    <w:name w:val="纯文本 Char"/>
    <w:qFormat/>
    <w:uiPriority w:val="0"/>
    <w:rPr>
      <w:rFonts w:ascii="宋体" w:hAnsi="Courier New" w:eastAsia="宋体" w:cs="Times New Roman"/>
      <w:b/>
      <w:kern w:val="2"/>
      <w:sz w:val="21"/>
      <w:szCs w:val="20"/>
    </w:rPr>
  </w:style>
  <w:style w:type="character" w:customStyle="1" w:styleId="46">
    <w:name w:val="纯文本 Char1"/>
    <w:basedOn w:val="26"/>
    <w:link w:val="10"/>
    <w:semiHidden/>
    <w:qFormat/>
    <w:uiPriority w:val="99"/>
    <w:rPr>
      <w:rFonts w:ascii="宋体" w:hAnsi="Courier New" w:eastAsia="宋体" w:cs="Courier New"/>
      <w:sz w:val="21"/>
      <w:szCs w:val="21"/>
    </w:rPr>
  </w:style>
  <w:style w:type="character" w:customStyle="1" w:styleId="47">
    <w:name w:val="页眉 Char"/>
    <w:basedOn w:val="26"/>
    <w:link w:val="14"/>
    <w:qFormat/>
    <w:uiPriority w:val="99"/>
    <w:rPr>
      <w:rFonts w:ascii="Tahoma" w:hAnsi="Tahoma"/>
      <w:sz w:val="18"/>
      <w:szCs w:val="18"/>
    </w:rPr>
  </w:style>
  <w:style w:type="character" w:customStyle="1" w:styleId="48">
    <w:name w:val="页脚 Char"/>
    <w:basedOn w:val="26"/>
    <w:link w:val="13"/>
    <w:qFormat/>
    <w:uiPriority w:val="99"/>
    <w:rPr>
      <w:rFonts w:ascii="Tahoma" w:hAnsi="Tahoma"/>
      <w:sz w:val="18"/>
      <w:szCs w:val="18"/>
    </w:rPr>
  </w:style>
  <w:style w:type="character" w:customStyle="1" w:styleId="49">
    <w:name w:val="批注框文本 Char"/>
    <w:basedOn w:val="26"/>
    <w:link w:val="12"/>
    <w:semiHidden/>
    <w:qFormat/>
    <w:uiPriority w:val="99"/>
    <w:rPr>
      <w:rFonts w:ascii="Tahoma" w:hAnsi="Tahoma"/>
      <w:sz w:val="18"/>
      <w:szCs w:val="18"/>
    </w:rPr>
  </w:style>
  <w:style w:type="paragraph" w:customStyle="1" w:styleId="50">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1">
    <w:name w:val="普通(网站) Char"/>
    <w:link w:val="22"/>
    <w:qFormat/>
    <w:uiPriority w:val="0"/>
    <w:rPr>
      <w:rFonts w:eastAsia="宋体"/>
      <w:kern w:val="2"/>
      <w:sz w:val="24"/>
      <w:szCs w:val="24"/>
    </w:rPr>
  </w:style>
  <w:style w:type="paragraph" w:customStyle="1" w:styleId="52">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3">
    <w:name w:val="p141"/>
    <w:qFormat/>
    <w:uiPriority w:val="0"/>
    <w:rPr>
      <w:sz w:val="21"/>
      <w:szCs w:val="21"/>
    </w:rPr>
  </w:style>
  <w:style w:type="paragraph" w:customStyle="1" w:styleId="54">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5">
    <w:name w:val="正文无缩进"/>
    <w:basedOn w:val="37"/>
    <w:qFormat/>
    <w:uiPriority w:val="0"/>
    <w:pPr>
      <w:ind w:firstLine="0" w:firstLineChars="0"/>
    </w:pPr>
  </w:style>
  <w:style w:type="paragraph" w:customStyle="1" w:styleId="56">
    <w:name w:val="一级条标题"/>
    <w:basedOn w:val="57"/>
    <w:next w:val="58"/>
    <w:qFormat/>
    <w:uiPriority w:val="0"/>
    <w:pPr>
      <w:tabs>
        <w:tab w:val="left" w:pos="720"/>
      </w:tabs>
      <w:spacing w:beforeLines="0" w:afterLines="0"/>
      <w:outlineLvl w:val="2"/>
    </w:pPr>
  </w:style>
  <w:style w:type="paragraph" w:customStyle="1" w:styleId="57">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58">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59">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60">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61">
    <w:name w:val="font41"/>
    <w:basedOn w:val="26"/>
    <w:qFormat/>
    <w:uiPriority w:val="0"/>
    <w:rPr>
      <w:rFonts w:hint="eastAsia" w:ascii="宋体" w:hAnsi="宋体" w:eastAsia="宋体" w:cs="宋体"/>
      <w:color w:val="000000"/>
      <w:sz w:val="18"/>
      <w:szCs w:val="18"/>
      <w:u w:val="none"/>
    </w:rPr>
  </w:style>
  <w:style w:type="paragraph" w:customStyle="1" w:styleId="62">
    <w:name w:val="正文_0"/>
    <w:qFormat/>
    <w:uiPriority w:val="99"/>
    <w:pPr>
      <w:widowControl w:val="0"/>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86</Pages>
  <Words>36216</Words>
  <Characters>37088</Characters>
  <Lines>320</Lines>
  <Paragraphs>90</Paragraphs>
  <TotalTime>3</TotalTime>
  <ScaleCrop>false</ScaleCrop>
  <LinksUpToDate>false</LinksUpToDate>
  <CharactersWithSpaces>38480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2023-03-09T09:32:00Z</cp:lastPrinted>
  <dcterms:modified xsi:type="dcterms:W3CDTF">2024-05-31T11:04:32Z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AD14121249F64D1C97B4163D2C425EEF_13</vt:lpwstr>
  </property>
</Properties>
</file>