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黑体" w:eastAsia="黑体"/>
          <w:color w:val="000000" w:themeColor="text1"/>
          <w:szCs w:val="21"/>
          <w:highlight w:val="none"/>
          <w14:textFill>
            <w14:solidFill>
              <w14:schemeClr w14:val="tx1"/>
            </w14:solidFill>
          </w14:textFill>
        </w:rPr>
      </w:pPr>
    </w:p>
    <w:p>
      <w:pPr>
        <w:pStyle w:val="36"/>
        <w:ind w:firstLine="40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ind w:right="-28"/>
        <w:jc w:val="center"/>
        <w:textAlignment w:val="bottom"/>
        <w:rPr>
          <w:rFonts w:ascii="黑体" w:hAnsi="黑体" w:eastAsia="黑体" w:cs="黑体"/>
          <w:bCs/>
          <w:color w:val="000000" w:themeColor="text1"/>
          <w:spacing w:val="57"/>
          <w:sz w:val="96"/>
          <w:szCs w:val="96"/>
          <w:highlight w:val="none"/>
          <w14:textFill>
            <w14:solidFill>
              <w14:schemeClr w14:val="tx1"/>
            </w14:solidFill>
          </w14:textFill>
        </w:rPr>
      </w:pPr>
      <w:r>
        <w:rPr>
          <w:rFonts w:hint="eastAsia" w:ascii="黑体" w:hAnsi="黑体" w:eastAsia="黑体" w:cs="黑体"/>
          <w:bCs/>
          <w:color w:val="000000" w:themeColor="text1"/>
          <w:spacing w:val="57"/>
          <w:sz w:val="96"/>
          <w:szCs w:val="96"/>
          <w:highlight w:val="none"/>
          <w14:textFill>
            <w14:solidFill>
              <w14:schemeClr w14:val="tx1"/>
            </w14:solidFill>
          </w14:textFill>
        </w:rPr>
        <w:t>公开采购文件</w:t>
      </w:r>
    </w:p>
    <w:p>
      <w:pPr>
        <w:rPr>
          <w:color w:val="000000" w:themeColor="text1"/>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pStyle w:val="10"/>
        <w:rPr>
          <w:color w:val="000000" w:themeColor="text1"/>
          <w:highlight w:val="none"/>
          <w14:textFill>
            <w14:solidFill>
              <w14:schemeClr w14:val="tx1"/>
            </w14:solidFill>
          </w14:textFill>
        </w:rPr>
      </w:pPr>
    </w:p>
    <w:tbl>
      <w:tblPr>
        <w:tblStyle w:val="28"/>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000000" w:themeColor="text1"/>
                <w:sz w:val="32"/>
                <w:szCs w:val="24"/>
                <w:highlight w:val="none"/>
                <w14:textFill>
                  <w14:solidFill>
                    <w14:schemeClr w14:val="tx1"/>
                  </w14:solidFill>
                </w14:textFill>
              </w:rPr>
            </w:pPr>
            <w:r>
              <w:rPr>
                <w:rFonts w:hint="eastAsia" w:ascii="黑体" w:hAnsi="黑体" w:eastAsia="黑体" w:cs="黑体"/>
                <w:bCs/>
                <w:color w:val="000000" w:themeColor="text1"/>
                <w:sz w:val="32"/>
                <w:szCs w:val="24"/>
                <w:highlight w:val="none"/>
                <w14:textFill>
                  <w14:solidFill>
                    <w14:schemeClr w14:val="tx1"/>
                  </w14:solidFill>
                </w14:textFill>
              </w:rPr>
              <w:t>项目名称：</w:t>
            </w:r>
          </w:p>
        </w:tc>
        <w:tc>
          <w:tcPr>
            <w:tcW w:w="6203" w:type="dxa"/>
            <w:noWrap/>
            <w:vAlign w:val="center"/>
          </w:tcPr>
          <w:p>
            <w:pPr>
              <w:spacing w:before="200"/>
              <w:jc w:val="both"/>
              <w:rPr>
                <w:rFonts w:hint="eastAsia" w:ascii="黑体" w:hAnsi="黑体" w:eastAsia="黑体" w:cs="黑体"/>
                <w:bCs/>
                <w:color w:val="000000" w:themeColor="text1"/>
                <w:sz w:val="32"/>
                <w:szCs w:val="24"/>
                <w:highlight w:val="none"/>
                <w:u w:val="none"/>
                <w:lang w:eastAsia="zh-CN"/>
                <w14:textFill>
                  <w14:solidFill>
                    <w14:schemeClr w14:val="tx1"/>
                  </w14:solidFill>
                </w14:textFill>
              </w:rPr>
            </w:pPr>
            <w:r>
              <w:rPr>
                <w:rFonts w:hint="eastAsia" w:ascii="黑体" w:hAnsi="黑体" w:eastAsia="黑体" w:cs="黑体"/>
                <w:bCs/>
                <w:color w:val="000000" w:themeColor="text1"/>
                <w:sz w:val="32"/>
                <w:szCs w:val="24"/>
                <w:highlight w:val="none"/>
                <w:u w:val="none"/>
                <w:lang w:eastAsia="zh-CN"/>
                <w14:textFill>
                  <w14:solidFill>
                    <w14:schemeClr w14:val="tx1"/>
                  </w14:solidFill>
                </w14:textFill>
              </w:rPr>
              <w:t>东莞新锋光伏能源科技有限公司刘汉波厂区分布式光伏发电项目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000000" w:themeColor="text1"/>
                <w:sz w:val="32"/>
                <w:szCs w:val="24"/>
                <w:highlight w:val="none"/>
                <w14:textFill>
                  <w14:solidFill>
                    <w14:schemeClr w14:val="tx1"/>
                  </w14:solidFill>
                </w14:textFill>
              </w:rPr>
            </w:pPr>
            <w:r>
              <w:rPr>
                <w:rFonts w:hint="eastAsia" w:ascii="黑体" w:hAnsi="黑体" w:eastAsia="黑体" w:cs="黑体"/>
                <w:bCs/>
                <w:color w:val="000000" w:themeColor="text1"/>
                <w:sz w:val="32"/>
                <w:szCs w:val="24"/>
                <w:highlight w:val="none"/>
                <w14:textFill>
                  <w14:solidFill>
                    <w14:schemeClr w14:val="tx1"/>
                  </w14:solidFill>
                </w14:textFill>
              </w:rPr>
              <w:t>项目采购编号：</w:t>
            </w:r>
          </w:p>
        </w:tc>
        <w:tc>
          <w:tcPr>
            <w:tcW w:w="6203" w:type="dxa"/>
            <w:noWrap/>
            <w:vAlign w:val="center"/>
          </w:tcPr>
          <w:p>
            <w:pPr>
              <w:spacing w:before="200"/>
              <w:jc w:val="both"/>
              <w:rPr>
                <w:rFonts w:hint="eastAsia" w:ascii="黑体" w:hAnsi="黑体" w:eastAsia="黑体" w:cs="黑体"/>
                <w:bCs/>
                <w:color w:val="000000" w:themeColor="text1"/>
                <w:sz w:val="32"/>
                <w:szCs w:val="24"/>
                <w:highlight w:val="none"/>
                <w:u w:val="none"/>
                <w:lang w:eastAsia="zh-CN"/>
                <w14:textFill>
                  <w14:solidFill>
                    <w14:schemeClr w14:val="tx1"/>
                  </w14:solidFill>
                </w14:textFill>
              </w:rPr>
            </w:pPr>
            <w:r>
              <w:rPr>
                <w:rFonts w:hint="eastAsia" w:ascii="黑体" w:hAnsi="黑体" w:eastAsia="黑体" w:cs="黑体"/>
                <w:bCs/>
                <w:color w:val="000000" w:themeColor="text1"/>
                <w:sz w:val="32"/>
                <w:szCs w:val="24"/>
                <w:highlight w:val="none"/>
                <w:u w:val="none"/>
                <w:lang w:eastAsia="zh-CN"/>
                <w14:textFill>
                  <w14:solidFill>
                    <w14:schemeClr w14:val="tx1"/>
                  </w14:solidFill>
                </w14:textFill>
              </w:rPr>
              <w:t>GDZT2024130A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000000" w:themeColor="text1"/>
                <w:sz w:val="32"/>
                <w:szCs w:val="24"/>
                <w:highlight w:val="none"/>
                <w14:textFill>
                  <w14:solidFill>
                    <w14:schemeClr w14:val="tx1"/>
                  </w14:solidFill>
                </w14:textFill>
              </w:rPr>
            </w:pPr>
            <w:r>
              <w:rPr>
                <w:rFonts w:hint="eastAsia" w:ascii="黑体" w:hAnsi="黑体" w:eastAsia="黑体" w:cs="黑体"/>
                <w:bCs/>
                <w:color w:val="000000" w:themeColor="text1"/>
                <w:sz w:val="32"/>
                <w:szCs w:val="24"/>
                <w:highlight w:val="none"/>
                <w14:textFill>
                  <w14:solidFill>
                    <w14:schemeClr w14:val="tx1"/>
                  </w14:solidFill>
                </w14:textFill>
              </w:rPr>
              <w:t>采购人：</w:t>
            </w:r>
          </w:p>
        </w:tc>
        <w:tc>
          <w:tcPr>
            <w:tcW w:w="6203" w:type="dxa"/>
            <w:noWrap/>
            <w:vAlign w:val="center"/>
          </w:tcPr>
          <w:p>
            <w:pPr>
              <w:spacing w:before="200"/>
              <w:jc w:val="both"/>
              <w:rPr>
                <w:rFonts w:hint="eastAsia" w:ascii="黑体" w:hAnsi="黑体" w:eastAsia="黑体" w:cs="黑体"/>
                <w:bCs/>
                <w:color w:val="000000" w:themeColor="text1"/>
                <w:sz w:val="32"/>
                <w:szCs w:val="24"/>
                <w:highlight w:val="none"/>
                <w:u w:val="none"/>
                <w:lang w:eastAsia="zh-CN"/>
                <w14:textFill>
                  <w14:solidFill>
                    <w14:schemeClr w14:val="tx1"/>
                  </w14:solidFill>
                </w14:textFill>
              </w:rPr>
            </w:pPr>
            <w:r>
              <w:rPr>
                <w:rFonts w:hint="eastAsia" w:ascii="黑体" w:hAnsi="黑体" w:eastAsia="黑体" w:cs="黑体"/>
                <w:bCs/>
                <w:color w:val="000000" w:themeColor="text1"/>
                <w:sz w:val="32"/>
                <w:szCs w:val="24"/>
                <w:highlight w:val="none"/>
                <w:u w:val="none"/>
                <w:lang w:eastAsia="zh-CN"/>
                <w14:textFill>
                  <w14:solidFill>
                    <w14:schemeClr w14:val="tx1"/>
                  </w14:solidFill>
                </w14:textFill>
              </w:rPr>
              <w:t>东莞新锋光伏能源科技有限公司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000000" w:themeColor="text1"/>
                <w:sz w:val="32"/>
                <w:szCs w:val="24"/>
                <w:highlight w:val="none"/>
                <w14:textFill>
                  <w14:solidFill>
                    <w14:schemeClr w14:val="tx1"/>
                  </w14:solidFill>
                </w14:textFill>
              </w:rPr>
            </w:pPr>
            <w:r>
              <w:rPr>
                <w:rFonts w:hint="eastAsia" w:ascii="黑体" w:hAnsi="黑体" w:eastAsia="黑体" w:cs="黑体"/>
                <w:bCs/>
                <w:color w:val="000000" w:themeColor="text1"/>
                <w:sz w:val="32"/>
                <w:szCs w:val="24"/>
                <w:highlight w:val="none"/>
                <w14:textFill>
                  <w14:solidFill>
                    <w14:schemeClr w14:val="tx1"/>
                  </w14:solidFill>
                </w14:textFill>
              </w:rPr>
              <w:t>采购代理：</w:t>
            </w:r>
          </w:p>
        </w:tc>
        <w:tc>
          <w:tcPr>
            <w:tcW w:w="6203" w:type="dxa"/>
            <w:noWrap/>
            <w:vAlign w:val="center"/>
          </w:tcPr>
          <w:p>
            <w:pPr>
              <w:spacing w:before="200"/>
              <w:jc w:val="both"/>
              <w:rPr>
                <w:rFonts w:hint="eastAsia" w:ascii="黑体" w:hAnsi="黑体" w:eastAsia="黑体" w:cs="黑体"/>
                <w:bCs/>
                <w:color w:val="000000" w:themeColor="text1"/>
                <w:sz w:val="32"/>
                <w:szCs w:val="24"/>
                <w:highlight w:val="none"/>
                <w:u w:val="none"/>
                <w:lang w:eastAsia="zh-CN"/>
                <w14:textFill>
                  <w14:solidFill>
                    <w14:schemeClr w14:val="tx1"/>
                  </w14:solidFill>
                </w14:textFill>
              </w:rPr>
            </w:pPr>
            <w:r>
              <w:rPr>
                <w:rFonts w:hint="eastAsia" w:ascii="黑体" w:hAnsi="黑体" w:eastAsia="黑体" w:cs="黑体"/>
                <w:bCs/>
                <w:color w:val="000000" w:themeColor="text1"/>
                <w:sz w:val="32"/>
                <w:szCs w:val="24"/>
                <w:highlight w:val="none"/>
                <w:u w:val="none"/>
                <w:lang w:eastAsia="zh-CN"/>
                <w14:textFill>
                  <w14:solidFill>
                    <w14:schemeClr w14:val="tx1"/>
                  </w14:solidFill>
                </w14:textFill>
              </w:rPr>
              <w:t>广东政通招标有限公司</w:t>
            </w:r>
          </w:p>
        </w:tc>
      </w:tr>
    </w:tbl>
    <w:p>
      <w:pPr>
        <w:jc w:val="center"/>
        <w:rPr>
          <w:rFonts w:ascii="黑体" w:eastAsia="黑体"/>
          <w:color w:val="000000" w:themeColor="text1"/>
          <w:szCs w:val="21"/>
          <w:highlight w:val="none"/>
          <w14:textFill>
            <w14:solidFill>
              <w14:schemeClr w14:val="tx1"/>
            </w14:solidFill>
          </w14:textFill>
        </w:rPr>
      </w:pPr>
    </w:p>
    <w:p>
      <w:pPr>
        <w:jc w:val="center"/>
        <w:rPr>
          <w:rFonts w:ascii="黑体" w:eastAsia="黑体"/>
          <w:color w:val="000000" w:themeColor="text1"/>
          <w:szCs w:val="21"/>
          <w:highlight w:val="none"/>
          <w14:textFill>
            <w14:solidFill>
              <w14:schemeClr w14:val="tx1"/>
            </w14:solidFill>
          </w14:textFill>
        </w:rPr>
      </w:pPr>
    </w:p>
    <w:p>
      <w:pPr>
        <w:jc w:val="center"/>
        <w:rPr>
          <w:rFonts w:ascii="黑体" w:eastAsia="黑体"/>
          <w:color w:val="000000" w:themeColor="text1"/>
          <w:szCs w:val="21"/>
          <w:highlight w:val="none"/>
          <w14:textFill>
            <w14:solidFill>
              <w14:schemeClr w14:val="tx1"/>
            </w14:solidFill>
          </w14:textFill>
        </w:rPr>
      </w:pPr>
    </w:p>
    <w:p>
      <w:pPr>
        <w:pStyle w:val="36"/>
        <w:ind w:firstLine="400"/>
        <w:rPr>
          <w:color w:val="000000" w:themeColor="text1"/>
          <w:highlight w:val="none"/>
          <w14:textFill>
            <w14:solidFill>
              <w14:schemeClr w14:val="tx1"/>
            </w14:solidFill>
          </w14:textFill>
        </w:rPr>
      </w:pPr>
    </w:p>
    <w:p>
      <w:pPr>
        <w:jc w:val="center"/>
        <w:rPr>
          <w:rFonts w:ascii="黑体" w:eastAsia="黑体"/>
          <w:color w:val="000000" w:themeColor="text1"/>
          <w:szCs w:val="21"/>
          <w:highlight w:val="none"/>
          <w14:textFill>
            <w14:solidFill>
              <w14:schemeClr w14:val="tx1"/>
            </w14:solidFill>
          </w14:textFill>
        </w:rPr>
      </w:pPr>
    </w:p>
    <w:p>
      <w:pPr>
        <w:jc w:val="center"/>
        <w:rPr>
          <w:rFonts w:ascii="黑体" w:eastAsia="黑体"/>
          <w:color w:val="000000" w:themeColor="text1"/>
          <w:szCs w:val="21"/>
          <w:highlight w:val="none"/>
          <w14:textFill>
            <w14:solidFill>
              <w14:schemeClr w14:val="tx1"/>
            </w14:solidFill>
          </w14:textFill>
        </w:rPr>
      </w:pPr>
    </w:p>
    <w:p>
      <w:pPr>
        <w:spacing w:before="200"/>
        <w:jc w:val="center"/>
        <w:rPr>
          <w:rFonts w:ascii="黑体" w:hAnsi="黑体" w:eastAsia="黑体" w:cs="黑体"/>
          <w:bCs/>
          <w:color w:val="000000" w:themeColor="text1"/>
          <w:sz w:val="32"/>
          <w:szCs w:val="24"/>
          <w:highlight w:val="none"/>
          <w14:textFill>
            <w14:solidFill>
              <w14:schemeClr w14:val="tx1"/>
            </w14:solidFill>
          </w14:textFill>
        </w:rPr>
      </w:pPr>
      <w:r>
        <w:rPr>
          <w:rFonts w:hint="eastAsia" w:ascii="黑体" w:hAnsi="黑体" w:eastAsia="黑体" w:cs="黑体"/>
          <w:bCs/>
          <w:color w:val="000000" w:themeColor="text1"/>
          <w:sz w:val="32"/>
          <w:szCs w:val="24"/>
          <w:highlight w:val="none"/>
          <w14:textFill>
            <w14:solidFill>
              <w14:schemeClr w14:val="tx1"/>
            </w14:solidFill>
          </w14:textFill>
        </w:rPr>
        <w:t>20</w:t>
      </w:r>
      <w:r>
        <w:rPr>
          <w:rFonts w:hint="eastAsia" w:ascii="黑体" w:hAnsi="黑体" w:eastAsia="黑体" w:cs="黑体"/>
          <w:bCs/>
          <w:color w:val="000000" w:themeColor="text1"/>
          <w:sz w:val="32"/>
          <w:szCs w:val="24"/>
          <w:highlight w:val="none"/>
          <w:lang w:val="en-US" w:eastAsia="zh-CN"/>
          <w14:textFill>
            <w14:solidFill>
              <w14:schemeClr w14:val="tx1"/>
            </w14:solidFill>
          </w14:textFill>
        </w:rPr>
        <w:t>24</w:t>
      </w:r>
      <w:r>
        <w:rPr>
          <w:rFonts w:hint="eastAsia" w:ascii="黑体" w:hAnsi="黑体" w:eastAsia="黑体" w:cs="黑体"/>
          <w:bCs/>
          <w:color w:val="000000" w:themeColor="text1"/>
          <w:sz w:val="32"/>
          <w:szCs w:val="24"/>
          <w:highlight w:val="none"/>
          <w14:textFill>
            <w14:solidFill>
              <w14:schemeClr w14:val="tx1"/>
            </w14:solidFill>
          </w14:textFill>
        </w:rPr>
        <w:t>年</w:t>
      </w:r>
      <w:r>
        <w:rPr>
          <w:rFonts w:hint="eastAsia" w:ascii="黑体" w:hAnsi="黑体" w:eastAsia="黑体" w:cs="黑体"/>
          <w:bCs/>
          <w:color w:val="000000" w:themeColor="text1"/>
          <w:sz w:val="32"/>
          <w:szCs w:val="24"/>
          <w:highlight w:val="none"/>
          <w:lang w:val="en-US" w:eastAsia="zh-CN"/>
          <w14:textFill>
            <w14:solidFill>
              <w14:schemeClr w14:val="tx1"/>
            </w14:solidFill>
          </w14:textFill>
        </w:rPr>
        <w:t>3</w:t>
      </w:r>
      <w:r>
        <w:rPr>
          <w:rFonts w:hint="eastAsia" w:ascii="黑体" w:hAnsi="黑体" w:eastAsia="黑体" w:cs="黑体"/>
          <w:bCs/>
          <w:color w:val="000000" w:themeColor="text1"/>
          <w:sz w:val="32"/>
          <w:szCs w:val="24"/>
          <w:highlight w:val="none"/>
          <w14:textFill>
            <w14:solidFill>
              <w14:schemeClr w14:val="tx1"/>
            </w14:solidFill>
          </w14:textFill>
        </w:rPr>
        <w:t>月</w:t>
      </w:r>
    </w:p>
    <w:p>
      <w:pPr>
        <w:rPr>
          <w:color w:val="000000" w:themeColor="text1"/>
          <w:highlight w:val="none"/>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pgNumType w:start="1"/>
          <w:cols w:space="708" w:num="1"/>
          <w:titlePg/>
          <w:docGrid w:type="lines" w:linePitch="360" w:charSpace="0"/>
        </w:sectPr>
      </w:pPr>
    </w:p>
    <w:p>
      <w:pPr>
        <w:pStyle w:val="23"/>
        <w:ind w:left="0" w:leftChars="0"/>
        <w:rPr>
          <w:color w:val="000000" w:themeColor="text1"/>
          <w:sz w:val="40"/>
          <w:szCs w:val="40"/>
          <w:highlight w:val="none"/>
          <w14:textFill>
            <w14:solidFill>
              <w14:schemeClr w14:val="tx1"/>
            </w14:solidFill>
          </w14:textFill>
        </w:rPr>
      </w:pPr>
      <w:r>
        <w:rPr>
          <w:rFonts w:hint="eastAsia"/>
          <w:color w:val="000000" w:themeColor="text1"/>
          <w:sz w:val="40"/>
          <w:szCs w:val="40"/>
          <w:highlight w:val="none"/>
          <w14:textFill>
            <w14:solidFill>
              <w14:schemeClr w14:val="tx1"/>
            </w14:solidFill>
          </w14:textFill>
        </w:rPr>
        <w:t>目录</w:t>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TOC \o "1-4" \h \z \u </w:instrText>
      </w:r>
      <w:r>
        <w:rPr>
          <w:rFonts w:hint="eastAsia" w:cs="宋体"/>
          <w:color w:val="000000" w:themeColor="text1"/>
          <w:sz w:val="21"/>
          <w:szCs w:val="2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"_Toc27043"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第一部分投标邀请</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_Toc27043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"_Toc32058"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投标邀请书</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_Toc32058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"_Toc14223"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第二部分相关资料表格</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_Toc14223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9</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"_Toc6390"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附表一：投标资料表</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_Toc6390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9</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"_Toc13435"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附表二：商务技术评分及价格权重表（满分100分）</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_Toc13435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13</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"_Toc4078"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第三部分用户需求书</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_Toc4078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16</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"_Toc27644"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第一章 商务需求书</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_Toc27644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16</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"_Toc25424"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第二章 技术需求书</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_Toc25424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18</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"_Toc5833"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第四部分投标人须知</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_Toc5833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41</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"_Toc15408"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一、 </w:t>
      </w:r>
      <w:r>
        <w:rPr>
          <w:rFonts w:hint="eastAsia" w:cs="宋体"/>
          <w:color w:val="000000" w:themeColor="text1"/>
          <w:sz w:val="21"/>
          <w:szCs w:val="21"/>
          <w:highlight w:val="none"/>
          <w14:textFill>
            <w14:solidFill>
              <w14:schemeClr w14:val="tx1"/>
            </w14:solidFill>
          </w14:textFill>
        </w:rPr>
        <w:t>说明</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_Toc15408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41</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"_Toc10233"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1. </w:t>
      </w:r>
      <w:r>
        <w:rPr>
          <w:rFonts w:hint="eastAsia" w:cs="宋体"/>
          <w:color w:val="000000" w:themeColor="text1"/>
          <w:sz w:val="21"/>
          <w:szCs w:val="21"/>
          <w:highlight w:val="none"/>
          <w14:textFill>
            <w14:solidFill>
              <w14:schemeClr w14:val="tx1"/>
            </w14:solidFill>
          </w14:textFill>
        </w:rPr>
        <w:t>适用范围</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_Toc10233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41</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"_Toc15953"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2. </w:t>
      </w:r>
      <w:r>
        <w:rPr>
          <w:rFonts w:hint="eastAsia" w:cs="宋体"/>
          <w:color w:val="000000" w:themeColor="text1"/>
          <w:sz w:val="21"/>
          <w:szCs w:val="21"/>
          <w:highlight w:val="none"/>
          <w14:textFill>
            <w14:solidFill>
              <w14:schemeClr w14:val="tx1"/>
            </w14:solidFill>
          </w14:textFill>
        </w:rPr>
        <w:t>定义</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_Toc15953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41</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"_Toc25894"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3. </w:t>
      </w:r>
      <w:r>
        <w:rPr>
          <w:rFonts w:hint="eastAsia" w:cs="宋体"/>
          <w:color w:val="000000" w:themeColor="text1"/>
          <w:sz w:val="21"/>
          <w:szCs w:val="21"/>
          <w:highlight w:val="none"/>
          <w14:textFill>
            <w14:solidFill>
              <w14:schemeClr w14:val="tx1"/>
            </w14:solidFill>
          </w14:textFill>
        </w:rPr>
        <w:t>货物和服务</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_Toc25894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41</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"_Toc3646"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4. </w:t>
      </w:r>
      <w:r>
        <w:rPr>
          <w:rFonts w:hint="eastAsia" w:cs="宋体"/>
          <w:color w:val="000000" w:themeColor="text1"/>
          <w:sz w:val="21"/>
          <w:szCs w:val="21"/>
          <w:highlight w:val="none"/>
          <w14:textFill>
            <w14:solidFill>
              <w14:schemeClr w14:val="tx1"/>
            </w14:solidFill>
          </w14:textFill>
        </w:rPr>
        <w:t>投标费用</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_Toc3646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41</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"_Toc26779"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5. </w:t>
      </w:r>
      <w:r>
        <w:rPr>
          <w:rFonts w:hint="eastAsia" w:cs="宋体"/>
          <w:color w:val="000000" w:themeColor="text1"/>
          <w:sz w:val="21"/>
          <w:szCs w:val="21"/>
          <w:highlight w:val="none"/>
          <w14:textFill>
            <w14:solidFill>
              <w14:schemeClr w14:val="tx1"/>
            </w14:solidFill>
          </w14:textFill>
        </w:rPr>
        <w:t>知识产权</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_Toc26779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42</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"_Toc3398"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6. </w:t>
      </w:r>
      <w:r>
        <w:rPr>
          <w:rFonts w:hint="eastAsia" w:cs="宋体"/>
          <w:color w:val="000000" w:themeColor="text1"/>
          <w:sz w:val="21"/>
          <w:szCs w:val="21"/>
          <w:highlight w:val="none"/>
          <w14:textFill>
            <w14:solidFill>
              <w14:schemeClr w14:val="tx1"/>
            </w14:solidFill>
          </w14:textFill>
        </w:rPr>
        <w:t>关于联合体投标</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_Toc3398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42</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"_Toc9716"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7. </w:t>
      </w:r>
      <w:r>
        <w:rPr>
          <w:rFonts w:hint="eastAsia" w:cs="宋体"/>
          <w:color w:val="000000" w:themeColor="text1"/>
          <w:sz w:val="21"/>
          <w:szCs w:val="21"/>
          <w:highlight w:val="none"/>
          <w14:textFill>
            <w14:solidFill>
              <w14:schemeClr w14:val="tx1"/>
            </w14:solidFill>
          </w14:textFill>
        </w:rPr>
        <w:t>关于分支机构投标</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_Toc9716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43</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"_Toc8711"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8. </w:t>
      </w:r>
      <w:r>
        <w:rPr>
          <w:rFonts w:hint="eastAsia" w:cs="宋体"/>
          <w:color w:val="000000" w:themeColor="text1"/>
          <w:sz w:val="21"/>
          <w:szCs w:val="21"/>
          <w:highlight w:val="none"/>
          <w14:textFill>
            <w14:solidFill>
              <w14:schemeClr w14:val="tx1"/>
            </w14:solidFill>
          </w14:textFill>
        </w:rPr>
        <w:t>踏勘现场</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_Toc8711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43</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"_Toc3302"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二、 </w:t>
      </w:r>
      <w:r>
        <w:rPr>
          <w:rFonts w:hint="eastAsia" w:cs="宋体"/>
          <w:color w:val="000000" w:themeColor="text1"/>
          <w:sz w:val="21"/>
          <w:szCs w:val="21"/>
          <w:highlight w:val="none"/>
          <w14:textFill>
            <w14:solidFill>
              <w14:schemeClr w14:val="tx1"/>
            </w14:solidFill>
          </w14:textFill>
        </w:rPr>
        <w:t>采购文件</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_Toc3302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43</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"_Toc23219"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9. </w:t>
      </w:r>
      <w:r>
        <w:rPr>
          <w:rFonts w:hint="eastAsia" w:cs="宋体"/>
          <w:color w:val="000000" w:themeColor="text1"/>
          <w:sz w:val="21"/>
          <w:szCs w:val="21"/>
          <w:highlight w:val="none"/>
          <w14:textFill>
            <w14:solidFill>
              <w14:schemeClr w14:val="tx1"/>
            </w14:solidFill>
          </w14:textFill>
        </w:rPr>
        <w:t>采购文件的组成</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_Toc23219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43</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"_Toc765"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10. </w:t>
      </w:r>
      <w:r>
        <w:rPr>
          <w:rFonts w:hint="eastAsia" w:cs="宋体"/>
          <w:color w:val="000000" w:themeColor="text1"/>
          <w:sz w:val="21"/>
          <w:szCs w:val="21"/>
          <w:highlight w:val="none"/>
          <w14:textFill>
            <w14:solidFill>
              <w14:schemeClr w14:val="tx1"/>
            </w14:solidFill>
          </w14:textFill>
        </w:rPr>
        <w:t>采购文件的澄清或修改</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_Toc765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43</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"_Toc24125"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三、 </w:t>
      </w:r>
      <w:r>
        <w:rPr>
          <w:rFonts w:hint="eastAsia" w:cs="宋体"/>
          <w:color w:val="000000" w:themeColor="text1"/>
          <w:sz w:val="21"/>
          <w:szCs w:val="21"/>
          <w:highlight w:val="none"/>
          <w14:textFill>
            <w14:solidFill>
              <w14:schemeClr w14:val="tx1"/>
            </w14:solidFill>
          </w14:textFill>
        </w:rPr>
        <w:t>投标文件的编制</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_Toc24125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44</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"_Toc29844"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11. </w:t>
      </w:r>
      <w:r>
        <w:rPr>
          <w:rFonts w:hint="eastAsia" w:cs="宋体"/>
          <w:color w:val="000000" w:themeColor="text1"/>
          <w:sz w:val="21"/>
          <w:szCs w:val="21"/>
          <w:highlight w:val="none"/>
          <w14:textFill>
            <w14:solidFill>
              <w14:schemeClr w14:val="tx1"/>
            </w14:solidFill>
          </w14:textFill>
        </w:rPr>
        <w:t>投标文件的语言及度量衡单位</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_Toc29844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44</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"_Toc3072"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12. </w:t>
      </w:r>
      <w:r>
        <w:rPr>
          <w:rFonts w:hint="eastAsia" w:cs="宋体"/>
          <w:color w:val="000000" w:themeColor="text1"/>
          <w:sz w:val="21"/>
          <w:szCs w:val="21"/>
          <w:highlight w:val="none"/>
          <w14:textFill>
            <w14:solidFill>
              <w14:schemeClr w14:val="tx1"/>
            </w14:solidFill>
          </w14:textFill>
        </w:rPr>
        <w:t>投标文件的组成</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_Toc3072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44</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"_Toc32344"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13. </w:t>
      </w:r>
      <w:r>
        <w:rPr>
          <w:rFonts w:hint="eastAsia" w:cs="宋体"/>
          <w:color w:val="000000" w:themeColor="text1"/>
          <w:sz w:val="21"/>
          <w:szCs w:val="21"/>
          <w:highlight w:val="none"/>
          <w14:textFill>
            <w14:solidFill>
              <w14:schemeClr w14:val="tx1"/>
            </w14:solidFill>
          </w14:textFill>
        </w:rPr>
        <w:t>投标文件编制</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_Toc32344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44</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"_Toc26026"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14. </w:t>
      </w:r>
      <w:r>
        <w:rPr>
          <w:rFonts w:hint="eastAsia" w:cs="宋体"/>
          <w:color w:val="000000" w:themeColor="text1"/>
          <w:sz w:val="21"/>
          <w:szCs w:val="21"/>
          <w:highlight w:val="none"/>
          <w14:textFill>
            <w14:solidFill>
              <w14:schemeClr w14:val="tx1"/>
            </w14:solidFill>
          </w14:textFill>
        </w:rPr>
        <w:t>投标报价说明</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_Toc26026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45</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"_Toc31762"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15. </w:t>
      </w:r>
      <w:r>
        <w:rPr>
          <w:rFonts w:hint="eastAsia" w:cs="宋体"/>
          <w:color w:val="000000" w:themeColor="text1"/>
          <w:sz w:val="21"/>
          <w:szCs w:val="21"/>
          <w:highlight w:val="none"/>
          <w14:textFill>
            <w14:solidFill>
              <w14:schemeClr w14:val="tx1"/>
            </w14:solidFill>
          </w14:textFill>
        </w:rPr>
        <w:t>投标人所提供的服务或货物的证明文件</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_Toc31762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45</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"_Toc32111"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16. </w:t>
      </w:r>
      <w:r>
        <w:rPr>
          <w:rFonts w:hint="eastAsia" w:cs="宋体"/>
          <w:color w:val="000000" w:themeColor="text1"/>
          <w:sz w:val="21"/>
          <w:szCs w:val="21"/>
          <w:highlight w:val="none"/>
          <w14:textFill>
            <w14:solidFill>
              <w14:schemeClr w14:val="tx1"/>
            </w14:solidFill>
          </w14:textFill>
        </w:rPr>
        <w:t>投标有效期</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_Toc32111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46</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"_Toc28301"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17. </w:t>
      </w:r>
      <w:r>
        <w:rPr>
          <w:rFonts w:hint="eastAsia" w:cs="宋体"/>
          <w:color w:val="000000" w:themeColor="text1"/>
          <w:sz w:val="21"/>
          <w:szCs w:val="21"/>
          <w:highlight w:val="none"/>
          <w14:textFill>
            <w14:solidFill>
              <w14:schemeClr w14:val="tx1"/>
            </w14:solidFill>
          </w14:textFill>
        </w:rPr>
        <w:t>投标保证金</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_Toc28301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46</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"_Toc12999"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四、 </w:t>
      </w:r>
      <w:r>
        <w:rPr>
          <w:rFonts w:hint="eastAsia" w:cs="宋体"/>
          <w:color w:val="000000" w:themeColor="text1"/>
          <w:sz w:val="21"/>
          <w:szCs w:val="21"/>
          <w:highlight w:val="none"/>
          <w14:textFill>
            <w14:solidFill>
              <w14:schemeClr w14:val="tx1"/>
            </w14:solidFill>
          </w14:textFill>
        </w:rPr>
        <w:t>投标文件的递交</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_Toc12999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47</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"_Toc31180"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18. </w:t>
      </w:r>
      <w:r>
        <w:rPr>
          <w:rFonts w:hint="eastAsia" w:cs="宋体"/>
          <w:color w:val="000000" w:themeColor="text1"/>
          <w:sz w:val="21"/>
          <w:szCs w:val="21"/>
          <w:highlight w:val="none"/>
          <w14:textFill>
            <w14:solidFill>
              <w14:schemeClr w14:val="tx1"/>
            </w14:solidFill>
          </w14:textFill>
        </w:rPr>
        <w:t>投标文件的装订，签署，密封和标记</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_Toc31180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47</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"_Toc6737"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19. </w:t>
      </w:r>
      <w:r>
        <w:rPr>
          <w:rFonts w:hint="eastAsia" w:cs="宋体"/>
          <w:color w:val="000000" w:themeColor="text1"/>
          <w:sz w:val="21"/>
          <w:szCs w:val="21"/>
          <w:highlight w:val="none"/>
          <w14:textFill>
            <w14:solidFill>
              <w14:schemeClr w14:val="tx1"/>
            </w14:solidFill>
          </w14:textFill>
        </w:rPr>
        <w:t>迟交的投标文件</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_Toc6737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48</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"_Toc1528"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20. </w:t>
      </w:r>
      <w:r>
        <w:rPr>
          <w:rFonts w:hint="eastAsia" w:cs="宋体"/>
          <w:color w:val="000000" w:themeColor="text1"/>
          <w:sz w:val="21"/>
          <w:szCs w:val="21"/>
          <w:highlight w:val="none"/>
          <w14:textFill>
            <w14:solidFill>
              <w14:schemeClr w14:val="tx1"/>
            </w14:solidFill>
          </w14:textFill>
        </w:rPr>
        <w:t>投标样品（如需提交）</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_Toc1528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48</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"_Toc4491"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21. </w:t>
      </w:r>
      <w:r>
        <w:rPr>
          <w:rFonts w:hint="eastAsia" w:cs="宋体"/>
          <w:color w:val="000000" w:themeColor="text1"/>
          <w:sz w:val="21"/>
          <w:szCs w:val="21"/>
          <w:highlight w:val="none"/>
          <w14:textFill>
            <w14:solidFill>
              <w14:schemeClr w14:val="tx1"/>
            </w14:solidFill>
          </w14:textFill>
        </w:rPr>
        <w:t>投标截止期</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_Toc4491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48</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"_Toc8362"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22. </w:t>
      </w:r>
      <w:r>
        <w:rPr>
          <w:rFonts w:hint="eastAsia" w:cs="宋体"/>
          <w:color w:val="000000" w:themeColor="text1"/>
          <w:sz w:val="21"/>
          <w:szCs w:val="21"/>
          <w:highlight w:val="none"/>
          <w14:textFill>
            <w14:solidFill>
              <w14:schemeClr w14:val="tx1"/>
            </w14:solidFill>
          </w14:textFill>
        </w:rPr>
        <w:t>投标文件的补充、修改与撤回</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_Toc8362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48</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"_Toc17786"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五、 </w:t>
      </w:r>
      <w:r>
        <w:rPr>
          <w:rFonts w:hint="eastAsia" w:cs="宋体"/>
          <w:color w:val="000000" w:themeColor="text1"/>
          <w:sz w:val="21"/>
          <w:szCs w:val="21"/>
          <w:highlight w:val="none"/>
          <w14:textFill>
            <w14:solidFill>
              <w14:schemeClr w14:val="tx1"/>
            </w14:solidFill>
          </w14:textFill>
        </w:rPr>
        <w:t>开标与评标</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_Toc17786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49</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"_Toc26995"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23. </w:t>
      </w:r>
      <w:r>
        <w:rPr>
          <w:rFonts w:hint="eastAsia" w:cs="宋体"/>
          <w:color w:val="000000" w:themeColor="text1"/>
          <w:sz w:val="21"/>
          <w:szCs w:val="21"/>
          <w:highlight w:val="none"/>
          <w14:textFill>
            <w14:solidFill>
              <w14:schemeClr w14:val="tx1"/>
            </w14:solidFill>
          </w14:textFill>
        </w:rPr>
        <w:t>开标</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_Toc26995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49</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"_Toc27521"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24. </w:t>
      </w:r>
      <w:r>
        <w:rPr>
          <w:rFonts w:hint="eastAsia" w:cs="宋体"/>
          <w:color w:val="000000" w:themeColor="text1"/>
          <w:sz w:val="21"/>
          <w:szCs w:val="21"/>
          <w:highlight w:val="none"/>
          <w14:textFill>
            <w14:solidFill>
              <w14:schemeClr w14:val="tx1"/>
            </w14:solidFill>
          </w14:textFill>
        </w:rPr>
        <w:t>评标委员会及评标方法</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_Toc27521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49</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"_Toc27610"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25. </w:t>
      </w:r>
      <w:r>
        <w:rPr>
          <w:rFonts w:hint="eastAsia" w:cs="宋体"/>
          <w:color w:val="000000" w:themeColor="text1"/>
          <w:sz w:val="21"/>
          <w:szCs w:val="21"/>
          <w:highlight w:val="none"/>
          <w14:textFill>
            <w14:solidFill>
              <w14:schemeClr w14:val="tx1"/>
            </w14:solidFill>
          </w14:textFill>
        </w:rPr>
        <w:t>评审原则及评标过程的保密</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_Toc27610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50</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"_Toc9714"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26. </w:t>
      </w:r>
      <w:r>
        <w:rPr>
          <w:rFonts w:hint="eastAsia" w:cs="宋体"/>
          <w:color w:val="000000" w:themeColor="text1"/>
          <w:sz w:val="21"/>
          <w:szCs w:val="21"/>
          <w:highlight w:val="none"/>
          <w14:textFill>
            <w14:solidFill>
              <w14:schemeClr w14:val="tx1"/>
            </w14:solidFill>
          </w14:textFill>
        </w:rPr>
        <w:t>评标程序</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_Toc9714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50</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"_Toc6703"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27. </w:t>
      </w:r>
      <w:r>
        <w:rPr>
          <w:rFonts w:hint="eastAsia" w:cs="宋体"/>
          <w:color w:val="000000" w:themeColor="text1"/>
          <w:sz w:val="21"/>
          <w:szCs w:val="21"/>
          <w:highlight w:val="none"/>
          <w14:textFill>
            <w14:solidFill>
              <w14:schemeClr w14:val="tx1"/>
            </w14:solidFill>
          </w14:textFill>
        </w:rPr>
        <w:t>商务、技术、价格评审（具体评审项目详见投标资料表）</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_Toc6703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52</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"_Toc6685"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28. </w:t>
      </w:r>
      <w:r>
        <w:rPr>
          <w:rFonts w:hint="eastAsia" w:cs="宋体"/>
          <w:color w:val="000000" w:themeColor="text1"/>
          <w:sz w:val="21"/>
          <w:szCs w:val="21"/>
          <w:highlight w:val="none"/>
          <w14:textFill>
            <w14:solidFill>
              <w14:schemeClr w14:val="tx1"/>
            </w14:solidFill>
          </w14:textFill>
        </w:rPr>
        <w:t>纪律和保密事项</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_Toc6685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52</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"_Toc30673"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六、 </w:t>
      </w:r>
      <w:r>
        <w:rPr>
          <w:rFonts w:hint="eastAsia" w:cs="宋体"/>
          <w:color w:val="000000" w:themeColor="text1"/>
          <w:sz w:val="21"/>
          <w:szCs w:val="21"/>
          <w:highlight w:val="none"/>
          <w14:textFill>
            <w14:solidFill>
              <w14:schemeClr w14:val="tx1"/>
            </w14:solidFill>
          </w14:textFill>
        </w:rPr>
        <w:t>授予合同</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_Toc30673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52</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"_Toc11245"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29. </w:t>
      </w:r>
      <w:r>
        <w:rPr>
          <w:rFonts w:hint="eastAsia" w:cs="宋体"/>
          <w:color w:val="000000" w:themeColor="text1"/>
          <w:sz w:val="21"/>
          <w:szCs w:val="21"/>
          <w:highlight w:val="none"/>
          <w14:textFill>
            <w14:solidFill>
              <w14:schemeClr w14:val="tx1"/>
            </w14:solidFill>
          </w14:textFill>
        </w:rPr>
        <w:t>合同授予标准</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_Toc11245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52</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"_Toc14051"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30. </w:t>
      </w:r>
      <w:r>
        <w:rPr>
          <w:rFonts w:hint="eastAsia" w:cs="宋体"/>
          <w:color w:val="000000" w:themeColor="text1"/>
          <w:sz w:val="21"/>
          <w:szCs w:val="21"/>
          <w:highlight w:val="none"/>
          <w14:textFill>
            <w14:solidFill>
              <w14:schemeClr w14:val="tx1"/>
            </w14:solidFill>
          </w14:textFill>
        </w:rPr>
        <w:t>发布中标结果</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_Toc14051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52</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"_Toc13136"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31. </w:t>
      </w:r>
      <w:r>
        <w:rPr>
          <w:rFonts w:hint="eastAsia" w:cs="宋体"/>
          <w:color w:val="000000" w:themeColor="text1"/>
          <w:sz w:val="21"/>
          <w:szCs w:val="21"/>
          <w:highlight w:val="none"/>
          <w14:textFill>
            <w14:solidFill>
              <w14:schemeClr w14:val="tx1"/>
            </w14:solidFill>
          </w14:textFill>
        </w:rPr>
        <w:t>资格后审</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_Toc13136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53</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"_Toc27788"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32. </w:t>
      </w:r>
      <w:r>
        <w:rPr>
          <w:rFonts w:hint="eastAsia" w:cs="宋体"/>
          <w:color w:val="000000" w:themeColor="text1"/>
          <w:sz w:val="21"/>
          <w:szCs w:val="21"/>
          <w:highlight w:val="none"/>
          <w14:textFill>
            <w14:solidFill>
              <w14:schemeClr w14:val="tx1"/>
            </w14:solidFill>
          </w14:textFill>
        </w:rPr>
        <w:t>合同的签订与履行</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_Toc27788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53</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"_Toc25085"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33. </w:t>
      </w:r>
      <w:r>
        <w:rPr>
          <w:rFonts w:hint="eastAsia" w:cs="宋体"/>
          <w:color w:val="000000" w:themeColor="text1"/>
          <w:sz w:val="21"/>
          <w:szCs w:val="21"/>
          <w:highlight w:val="none"/>
          <w14:textFill>
            <w14:solidFill>
              <w14:schemeClr w14:val="tx1"/>
            </w14:solidFill>
          </w14:textFill>
        </w:rPr>
        <w:t>履约担保</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_Toc25085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54</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"_Toc22569"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34. </w:t>
      </w:r>
      <w:r>
        <w:rPr>
          <w:rFonts w:hint="eastAsia" w:cs="宋体"/>
          <w:color w:val="000000" w:themeColor="text1"/>
          <w:sz w:val="21"/>
          <w:szCs w:val="21"/>
          <w:highlight w:val="none"/>
          <w14:textFill>
            <w14:solidFill>
              <w14:schemeClr w14:val="tx1"/>
            </w14:solidFill>
          </w14:textFill>
        </w:rPr>
        <w:t>预付款保函（适用于预付款支付）</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_Toc22569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55</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"_Toc1114"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七、 </w:t>
      </w:r>
      <w:r>
        <w:rPr>
          <w:rFonts w:hint="eastAsia" w:cs="宋体"/>
          <w:color w:val="000000" w:themeColor="text1"/>
          <w:sz w:val="21"/>
          <w:szCs w:val="21"/>
          <w:highlight w:val="none"/>
          <w14:textFill>
            <w14:solidFill>
              <w14:schemeClr w14:val="tx1"/>
            </w14:solidFill>
          </w14:textFill>
        </w:rPr>
        <w:t>异议</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_Toc1114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55</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"_Toc23836"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35. </w:t>
      </w:r>
      <w:r>
        <w:rPr>
          <w:rFonts w:hint="eastAsia" w:cs="宋体"/>
          <w:color w:val="000000" w:themeColor="text1"/>
          <w:sz w:val="21"/>
          <w:szCs w:val="21"/>
          <w:highlight w:val="none"/>
          <w14:textFill>
            <w14:solidFill>
              <w14:schemeClr w14:val="tx1"/>
            </w14:solidFill>
          </w14:textFill>
        </w:rPr>
        <w:t>异议</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_Toc23836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55</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"_Toc24199"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八、 </w:t>
      </w:r>
      <w:r>
        <w:rPr>
          <w:rFonts w:hint="eastAsia" w:cs="宋体"/>
          <w:color w:val="000000" w:themeColor="text1"/>
          <w:sz w:val="21"/>
          <w:szCs w:val="21"/>
          <w:highlight w:val="none"/>
          <w14:textFill>
            <w14:solidFill>
              <w14:schemeClr w14:val="tx1"/>
            </w14:solidFill>
          </w14:textFill>
        </w:rPr>
        <w:t>其他</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_Toc24199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56</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"_Toc3108" </w:instrText>
      </w:r>
      <w:r>
        <w:rPr>
          <w:color w:val="000000" w:themeColor="text1"/>
          <w:highlight w:val="none"/>
          <w14:textFill>
            <w14:solidFill>
              <w14:schemeClr w14:val="tx1"/>
            </w14:solidFill>
          </w14:textFill>
        </w:rPr>
        <w:fldChar w:fldCharType="separate"/>
      </w:r>
      <w:r>
        <w:rPr>
          <w:rFonts w:cs="宋体"/>
          <w:color w:val="000000" w:themeColor="text1"/>
          <w:sz w:val="21"/>
          <w:szCs w:val="21"/>
          <w:highlight w:val="none"/>
          <w14:textFill>
            <w14:solidFill>
              <w14:schemeClr w14:val="tx1"/>
            </w14:solidFill>
          </w14:textFill>
        </w:rPr>
        <w:t xml:space="preserve">36. </w:t>
      </w:r>
      <w:r>
        <w:rPr>
          <w:rFonts w:hint="eastAsia" w:cs="宋体"/>
          <w:color w:val="000000" w:themeColor="text1"/>
          <w:sz w:val="21"/>
          <w:szCs w:val="21"/>
          <w:highlight w:val="none"/>
          <w14:textFill>
            <w14:solidFill>
              <w14:schemeClr w14:val="tx1"/>
            </w14:solidFill>
          </w14:textFill>
        </w:rPr>
        <w:t>采购文件的解释权</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_Toc3108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56</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"_Toc12000"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第五部分  合同条款格式</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_Toc12000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57</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"_Toc16481"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第六部分附件－投标文件格式</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_Toc16481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60</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"_Toc26996"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投标文件目录</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_Toc26996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60</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"_Toc13671"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附件1.评分标准索引表</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_Toc13671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61</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"_Toc7230"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价格文件</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_Toc7230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62</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"_Toc26390"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附件2.开标一览表格式</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_Toc26390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63</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"_Toc10792"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附件3.报价明细表格式</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_Toc10792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64</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"_Toc20754"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商务文件</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_Toc20754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71</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"_Toc15134"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附件4.投标书格式</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_Toc15134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72</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"_Toc4877"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附件5. 法定代表人证明书格式</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_Toc4877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73</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"_Toc29112"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附件6.法定代表人授权书格式</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_Toc29112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74</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"_Toc26686"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附件7.资格申明</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_Toc26686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75</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"_Toc15178"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附件8.营业执照</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_Toc15178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76</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"_Toc5052"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附件9.相关资质证明文件</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_Toc5052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77</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"_Toc30039"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附件10.在经营活动中没有重大违法记录的书面声明格式</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_Toc30039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78</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"_Toc12444"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附件11.承诺书格式</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_Toc12444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79</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"_Toc15294"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附件12.商务需求条款偏离表格式</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_Toc15294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80</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"_Toc3065"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附件13.业绩表</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_Toc3065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81</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"_Toc3346"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附件14.联合体协议书（如有）</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_Toc3346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82</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"_Toc8280"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技术文件</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_Toc8280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84</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"_Toc7938"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附件15. 技术规格偏离表格式</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_Toc7938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85</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"_Toc17666"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附件16.项目实施方案格式</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_Toc17666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86</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"_Toc19134"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附件17.实施本项目的有关人员资料表格式</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_Toc19134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87</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"_Toc31044"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附件18.投标保证金汇入情况说明格式</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_Toc31044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88</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"_Toc31158"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附件19.不可撤销履约保函</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_Toc31158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90</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"_Toc12992"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附件20.预付款保函（适用于预付款支付）</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_Toc12992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91</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"_Toc32046"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唱标信封</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_Toc32046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92</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"_Toc3890" </w:instrText>
      </w:r>
      <w:r>
        <w:rPr>
          <w:color w:val="000000" w:themeColor="text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附件21.唱标信封内装（内容务必与投标文件正本一致）</w:t>
      </w:r>
      <w:r>
        <w:rPr>
          <w:rFonts w:hint="eastAsia" w:cs="宋体"/>
          <w:color w:val="000000" w:themeColor="text1"/>
          <w:sz w:val="21"/>
          <w:szCs w:val="21"/>
          <w:highlight w:val="none"/>
          <w14:textFill>
            <w14:solidFill>
              <w14:schemeClr w14:val="tx1"/>
            </w14:solidFill>
          </w14:textFill>
        </w:rPr>
        <w:tab/>
      </w:r>
      <w:r>
        <w:rPr>
          <w:rFonts w:hint="eastAsia" w:cs="宋体"/>
          <w:color w:val="000000" w:themeColor="text1"/>
          <w:sz w:val="21"/>
          <w:szCs w:val="21"/>
          <w:highlight w:val="none"/>
          <w14:textFill>
            <w14:solidFill>
              <w14:schemeClr w14:val="tx1"/>
            </w14:solidFill>
          </w14:textFill>
        </w:rPr>
        <w:fldChar w:fldCharType="begin"/>
      </w:r>
      <w:r>
        <w:rPr>
          <w:rFonts w:hint="eastAsia" w:cs="宋体"/>
          <w:color w:val="000000" w:themeColor="text1"/>
          <w:sz w:val="21"/>
          <w:szCs w:val="21"/>
          <w:highlight w:val="none"/>
          <w14:textFill>
            <w14:solidFill>
              <w14:schemeClr w14:val="tx1"/>
            </w14:solidFill>
          </w14:textFill>
        </w:rPr>
        <w:instrText xml:space="preserve"> PAGEREF _Toc3890 \h </w:instrText>
      </w:r>
      <w:r>
        <w:rPr>
          <w:rFonts w:hint="eastAsia" w:cs="宋体"/>
          <w:color w:val="000000" w:themeColor="text1"/>
          <w:sz w:val="21"/>
          <w:szCs w:val="21"/>
          <w:highlight w:val="none"/>
          <w14:textFill>
            <w14:solidFill>
              <w14:schemeClr w14:val="tx1"/>
            </w14:solidFill>
          </w14:textFill>
        </w:rPr>
        <w:fldChar w:fldCharType="separate"/>
      </w:r>
      <w:r>
        <w:rPr>
          <w:rFonts w:hint="eastAsia" w:cs="宋体"/>
          <w:color w:val="000000" w:themeColor="text1"/>
          <w:sz w:val="21"/>
          <w:szCs w:val="21"/>
          <w:highlight w:val="none"/>
          <w14:textFill>
            <w14:solidFill>
              <w14:schemeClr w14:val="tx1"/>
            </w14:solidFill>
          </w14:textFill>
        </w:rPr>
        <w:t>93</w:t>
      </w:r>
      <w:r>
        <w:rPr>
          <w:rFonts w:hint="eastAsia" w:cs="宋体"/>
          <w:color w:val="000000" w:themeColor="text1"/>
          <w:sz w:val="21"/>
          <w:szCs w:val="21"/>
          <w:highlight w:val="none"/>
          <w14:textFill>
            <w14:solidFill>
              <w14:schemeClr w14:val="tx1"/>
            </w14:solidFill>
          </w14:textFill>
        </w:rPr>
        <w:fldChar w:fldCharType="end"/>
      </w:r>
      <w:r>
        <w:rPr>
          <w:rFonts w:hint="eastAsia" w:cs="宋体"/>
          <w:color w:val="000000" w:themeColor="text1"/>
          <w:sz w:val="21"/>
          <w:szCs w:val="21"/>
          <w:highlight w:val="none"/>
          <w14:textFill>
            <w14:solidFill>
              <w14:schemeClr w14:val="tx1"/>
            </w14:solidFill>
          </w14:textFill>
        </w:rPr>
        <w:fldChar w:fldCharType="end"/>
      </w:r>
    </w:p>
    <w:p>
      <w:pPr>
        <w:pStyle w:val="23"/>
        <w:tabs>
          <w:tab w:val="right" w:leader="dot" w:pos="8306"/>
          <w:tab w:val="clear" w:pos="8296"/>
        </w:tabs>
        <w:ind w:left="0" w:leftChars="0"/>
        <w:rPr>
          <w:rFonts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14:textFill>
            <w14:solidFill>
              <w14:schemeClr w14:val="tx1"/>
            </w14:solidFill>
          </w14:textFill>
        </w:rPr>
        <w:fldChar w:fldCharType="end"/>
      </w:r>
    </w:p>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3"/>
        <w:spacing w:before="0" w:after="0" w:line="240" w:lineRule="auto"/>
        <w:rPr>
          <w:color w:val="000000" w:themeColor="text1"/>
          <w:sz w:val="28"/>
          <w:szCs w:val="28"/>
          <w:highlight w:val="none"/>
          <w14:textFill>
            <w14:solidFill>
              <w14:schemeClr w14:val="tx1"/>
            </w14:solidFill>
          </w14:textFill>
        </w:rPr>
      </w:pPr>
      <w:bookmarkStart w:id="0" w:name="_Toc27043"/>
      <w:r>
        <w:rPr>
          <w:rFonts w:hint="eastAsia"/>
          <w:color w:val="000000" w:themeColor="text1"/>
          <w:sz w:val="28"/>
          <w:szCs w:val="28"/>
          <w:highlight w:val="none"/>
          <w14:textFill>
            <w14:solidFill>
              <w14:schemeClr w14:val="tx1"/>
            </w14:solidFill>
          </w14:textFill>
        </w:rPr>
        <w:t>第一部分投标邀请</w:t>
      </w:r>
      <w:bookmarkEnd w:id="0"/>
    </w:p>
    <w:p>
      <w:pPr>
        <w:pStyle w:val="4"/>
        <w:spacing w:before="0" w:after="0" w:line="360" w:lineRule="auto"/>
        <w:jc w:val="center"/>
        <w:rPr>
          <w:rFonts w:ascii="宋体" w:hAnsi="宋体" w:cs="宋体"/>
          <w:color w:val="000000" w:themeColor="text1"/>
          <w:highlight w:val="none"/>
          <w14:textFill>
            <w14:solidFill>
              <w14:schemeClr w14:val="tx1"/>
            </w14:solidFill>
          </w14:textFill>
        </w:rPr>
      </w:pPr>
      <w:bookmarkStart w:id="1" w:name="_Toc32058"/>
      <w:r>
        <w:rPr>
          <w:rFonts w:hint="eastAsia" w:ascii="宋体" w:hAnsi="宋体" w:cs="宋体"/>
          <w:color w:val="000000" w:themeColor="text1"/>
          <w:highlight w:val="none"/>
          <w14:textFill>
            <w14:solidFill>
              <w14:schemeClr w14:val="tx1"/>
            </w14:solidFill>
          </w14:textFill>
        </w:rPr>
        <w:t>投标邀请书</w:t>
      </w:r>
      <w:bookmarkEnd w:id="1"/>
    </w:p>
    <w:p>
      <w:pPr>
        <w:ind w:firstLine="422" w:firstLineChars="200"/>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u w:val="single"/>
          <w:lang w:eastAsia="zh-CN"/>
          <w14:textFill>
            <w14:solidFill>
              <w14:schemeClr w14:val="tx1"/>
            </w14:solidFill>
          </w14:textFill>
        </w:rPr>
        <w:t>广东政通招标有限公司</w:t>
      </w:r>
      <w:r>
        <w:rPr>
          <w:rFonts w:ascii="宋体" w:hAnsi="宋体"/>
          <w:color w:val="000000" w:themeColor="text1"/>
          <w:szCs w:val="21"/>
          <w:highlight w:val="none"/>
          <w14:textFill>
            <w14:solidFill>
              <w14:schemeClr w14:val="tx1"/>
            </w14:solidFill>
          </w14:textFill>
        </w:rPr>
        <w:t>（以下简称</w:t>
      </w:r>
      <w:r>
        <w:rPr>
          <w:rFonts w:hint="eastAsia" w:ascii="宋体" w:hAnsi="宋体"/>
          <w:color w:val="000000" w:themeColor="text1"/>
          <w:szCs w:val="21"/>
          <w:highlight w:val="none"/>
          <w14:textFill>
            <w14:solidFill>
              <w14:schemeClr w14:val="tx1"/>
            </w14:solidFill>
          </w14:textFill>
        </w:rPr>
        <w:t>“采购代理机构”</w:t>
      </w:r>
      <w:r>
        <w:rPr>
          <w:rFonts w:ascii="宋体" w:hAnsi="宋体"/>
          <w:color w:val="000000" w:themeColor="text1"/>
          <w:szCs w:val="21"/>
          <w:highlight w:val="none"/>
          <w14:textFill>
            <w14:solidFill>
              <w14:schemeClr w14:val="tx1"/>
            </w14:solidFill>
          </w14:textFill>
        </w:rPr>
        <w:t>）受</w:t>
      </w:r>
      <w:r>
        <w:rPr>
          <w:rFonts w:hint="eastAsia" w:ascii="宋体" w:hAnsi="宋体"/>
          <w:b/>
          <w:color w:val="000000" w:themeColor="text1"/>
          <w:szCs w:val="21"/>
          <w:highlight w:val="none"/>
          <w:u w:val="single"/>
          <w:lang w:eastAsia="zh-CN"/>
          <w14:textFill>
            <w14:solidFill>
              <w14:schemeClr w14:val="tx1"/>
            </w14:solidFill>
          </w14:textFill>
        </w:rPr>
        <w:t>东莞新锋光伏能源科技有限公司</w:t>
      </w:r>
      <w:r>
        <w:rPr>
          <w:rFonts w:ascii="宋体" w:hAnsi="宋体"/>
          <w:color w:val="000000" w:themeColor="text1"/>
          <w:szCs w:val="21"/>
          <w:highlight w:val="none"/>
          <w14:textFill>
            <w14:solidFill>
              <w14:schemeClr w14:val="tx1"/>
            </w14:solidFill>
          </w14:textFill>
        </w:rPr>
        <w:t>（以下简称</w:t>
      </w:r>
      <w:r>
        <w:rPr>
          <w:rFonts w:hint="eastAsia" w:ascii="宋体" w:hAnsi="宋体"/>
          <w:color w:val="000000" w:themeColor="text1"/>
          <w:szCs w:val="21"/>
          <w:highlight w:val="none"/>
          <w14:textFill>
            <w14:solidFill>
              <w14:schemeClr w14:val="tx1"/>
            </w14:solidFill>
          </w14:textFill>
        </w:rPr>
        <w:t>“采购人”</w:t>
      </w:r>
      <w:r>
        <w:rPr>
          <w:rFonts w:ascii="宋体" w:hAnsi="宋体"/>
          <w:color w:val="000000" w:themeColor="text1"/>
          <w:szCs w:val="21"/>
          <w:highlight w:val="none"/>
          <w14:textFill>
            <w14:solidFill>
              <w14:schemeClr w14:val="tx1"/>
            </w14:solidFill>
          </w14:textFill>
        </w:rPr>
        <w:t>）委托，</w:t>
      </w:r>
      <w:r>
        <w:rPr>
          <w:rFonts w:hint="eastAsia" w:ascii="宋体" w:hAnsi="宋体"/>
          <w:color w:val="000000" w:themeColor="text1"/>
          <w:szCs w:val="21"/>
          <w:highlight w:val="none"/>
          <w14:textFill>
            <w14:solidFill>
              <w14:schemeClr w14:val="tx1"/>
            </w14:solidFill>
          </w14:textFill>
        </w:rPr>
        <w:t>现</w:t>
      </w:r>
      <w:r>
        <w:rPr>
          <w:rFonts w:ascii="宋体" w:hAnsi="宋体"/>
          <w:color w:val="000000" w:themeColor="text1"/>
          <w:szCs w:val="21"/>
          <w:highlight w:val="none"/>
          <w14:textFill>
            <w14:solidFill>
              <w14:schemeClr w14:val="tx1"/>
            </w14:solidFill>
          </w14:textFill>
        </w:rPr>
        <w:t>就</w:t>
      </w:r>
      <w:r>
        <w:rPr>
          <w:rFonts w:hint="eastAsia" w:ascii="宋体" w:hAnsi="宋体"/>
          <w:b/>
          <w:color w:val="000000" w:themeColor="text1"/>
          <w:szCs w:val="21"/>
          <w:highlight w:val="none"/>
          <w:u w:val="single"/>
          <w:lang w:eastAsia="zh-CN"/>
          <w14:textFill>
            <w14:solidFill>
              <w14:schemeClr w14:val="tx1"/>
            </w14:solidFill>
          </w14:textFill>
        </w:rPr>
        <w:t>东莞新锋光伏能源科技有限公司刘汉波厂区分布式光伏发电项目</w:t>
      </w:r>
      <w:r>
        <w:rPr>
          <w:rFonts w:hint="eastAsia" w:ascii="宋体" w:hAnsi="宋体"/>
          <w:color w:val="000000" w:themeColor="text1"/>
          <w:szCs w:val="21"/>
          <w:highlight w:val="none"/>
          <w14:textFill>
            <w14:solidFill>
              <w14:schemeClr w14:val="tx1"/>
            </w14:solidFill>
          </w14:textFill>
        </w:rPr>
        <w:t>（项目编号：</w:t>
      </w:r>
      <w:r>
        <w:rPr>
          <w:rFonts w:hint="eastAsia" w:ascii="宋体" w:hAnsi="宋体"/>
          <w:b/>
          <w:bCs/>
          <w:color w:val="000000" w:themeColor="text1"/>
          <w:szCs w:val="21"/>
          <w:highlight w:val="none"/>
          <w:lang w:eastAsia="zh-CN"/>
          <w14:textFill>
            <w14:solidFill>
              <w14:schemeClr w14:val="tx1"/>
            </w14:solidFill>
          </w14:textFill>
        </w:rPr>
        <w:t>GDZT2024130A</w:t>
      </w:r>
      <w:r>
        <w:rPr>
          <w:rFonts w:hint="eastAsia" w:ascii="宋体" w:hAnsi="宋体"/>
          <w:color w:val="000000" w:themeColor="text1"/>
          <w:szCs w:val="21"/>
          <w:highlight w:val="none"/>
          <w14:textFill>
            <w14:solidFill>
              <w14:schemeClr w14:val="tx1"/>
            </w14:solidFill>
          </w14:textFill>
        </w:rPr>
        <w:t>）</w:t>
      </w:r>
      <w:r>
        <w:rPr>
          <w:rFonts w:hint="eastAsia" w:ascii="宋体" w:hAnsi="宋体" w:cs="Times New Roman"/>
          <w:color w:val="000000" w:themeColor="text1"/>
          <w:szCs w:val="21"/>
          <w:highlight w:val="none"/>
          <w14:textFill>
            <w14:solidFill>
              <w14:schemeClr w14:val="tx1"/>
            </w14:solidFill>
          </w14:textFill>
        </w:rPr>
        <w:t>进行国内公开采购</w:t>
      </w:r>
      <w:r>
        <w:rPr>
          <w:rFonts w:hint="eastAsia" w:ascii="宋体" w:hAnsi="宋体"/>
          <w:color w:val="000000" w:themeColor="text1"/>
          <w:szCs w:val="21"/>
          <w:highlight w:val="none"/>
          <w14:textFill>
            <w14:solidFill>
              <w14:schemeClr w14:val="tx1"/>
            </w14:solidFill>
          </w14:textFill>
        </w:rPr>
        <w:t>，欢迎符合采购文件要求的国内投标人参加投标</w:t>
      </w:r>
      <w:r>
        <w:rPr>
          <w:rFonts w:ascii="宋体" w:hAnsi="宋体"/>
          <w:color w:val="000000" w:themeColor="text1"/>
          <w:szCs w:val="21"/>
          <w:highlight w:val="none"/>
          <w14:textFill>
            <w14:solidFill>
              <w14:schemeClr w14:val="tx1"/>
            </w14:solidFill>
          </w14:textFill>
        </w:rPr>
        <w:t>。有关事项如下：</w:t>
      </w:r>
    </w:p>
    <w:p>
      <w:pPr>
        <w:ind w:firstLine="413" w:firstLineChars="196"/>
        <w:rPr>
          <w:rFonts w:ascii="宋体" w:hAnsi="宋体"/>
          <w:b/>
          <w:color w:val="000000" w:themeColor="text1"/>
          <w:szCs w:val="21"/>
          <w:highlight w:val="none"/>
          <w14:textFill>
            <w14:solidFill>
              <w14:schemeClr w14:val="tx1"/>
            </w14:solidFill>
          </w14:textFill>
        </w:rPr>
      </w:pPr>
    </w:p>
    <w:p>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一、采购项目概况</w:t>
      </w:r>
    </w:p>
    <w:p>
      <w:pPr>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、采购</w:t>
      </w:r>
      <w:r>
        <w:rPr>
          <w:rFonts w:ascii="宋体" w:hAnsi="宋体"/>
          <w:color w:val="000000" w:themeColor="text1"/>
          <w:szCs w:val="21"/>
          <w:highlight w:val="none"/>
          <w14:textFill>
            <w14:solidFill>
              <w14:schemeClr w14:val="tx1"/>
            </w14:solidFill>
          </w14:textFill>
        </w:rPr>
        <w:t>项目名称</w:t>
      </w:r>
      <w:r>
        <w:rPr>
          <w:rFonts w:hint="eastAsia" w:ascii="宋体" w:hAnsi="宋体"/>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u w:val="single"/>
          <w:lang w:eastAsia="zh-CN"/>
          <w14:textFill>
            <w14:solidFill>
              <w14:schemeClr w14:val="tx1"/>
            </w14:solidFill>
          </w14:textFill>
        </w:rPr>
        <w:t>东莞新锋光伏能源科技有限公司刘汉波厂区分布式光伏发电项目</w:t>
      </w:r>
    </w:p>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预算金额（</w:t>
      </w:r>
      <w:r>
        <w:rPr>
          <w:rFonts w:hint="eastAsia" w:ascii="宋体" w:hAnsi="宋体"/>
          <w:color w:val="000000" w:themeColor="text1"/>
          <w:szCs w:val="21"/>
          <w:highlight w:val="none"/>
          <w14:textFill>
            <w14:solidFill>
              <w14:schemeClr w14:val="tx1"/>
            </w14:solidFill>
          </w14:textFill>
        </w:rPr>
        <w:t>元</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lang w:eastAsia="zh-CN"/>
          <w14:textFill>
            <w14:solidFill>
              <w14:schemeClr w14:val="tx1"/>
            </w14:solidFill>
          </w14:textFill>
        </w:rPr>
        <w:t>2,712,631.00</w:t>
      </w:r>
      <w:r>
        <w:rPr>
          <w:rFonts w:hint="eastAsia" w:ascii="宋体" w:hAnsi="宋体"/>
          <w:color w:val="000000" w:themeColor="text1"/>
          <w:szCs w:val="21"/>
          <w:highlight w:val="none"/>
          <w:u w:val="single"/>
          <w14:textFill>
            <w14:solidFill>
              <w14:schemeClr w14:val="tx1"/>
            </w14:solidFill>
          </w14:textFill>
        </w:rPr>
        <w:t>元</w:t>
      </w:r>
    </w:p>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3、最高</w:t>
      </w:r>
      <w:r>
        <w:rPr>
          <w:rFonts w:ascii="宋体" w:hAnsi="宋体"/>
          <w:color w:val="000000" w:themeColor="text1"/>
          <w:szCs w:val="21"/>
          <w:highlight w:val="none"/>
          <w14:textFill>
            <w14:solidFill>
              <w14:schemeClr w14:val="tx1"/>
            </w14:solidFill>
          </w14:textFill>
        </w:rPr>
        <w:t>限价</w:t>
      </w:r>
      <w:r>
        <w:rPr>
          <w:rFonts w:hint="eastAsia" w:ascii="宋体" w:hAnsi="宋体"/>
          <w:color w:val="000000" w:themeColor="text1"/>
          <w:szCs w:val="21"/>
          <w:highlight w:val="none"/>
          <w14:textFill>
            <w14:solidFill>
              <w14:schemeClr w14:val="tx1"/>
            </w14:solidFill>
          </w14:textFill>
        </w:rPr>
        <w:t>（元）</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14:textFill>
            <w14:solidFill>
              <w14:schemeClr w14:val="tx1"/>
            </w14:solidFill>
          </w14:textFill>
        </w:rPr>
        <w:t>¥</w:t>
      </w:r>
      <w:r>
        <w:rPr>
          <w:rFonts w:hint="eastAsia" w:ascii="宋体" w:hAnsi="宋体"/>
          <w:color w:val="000000" w:themeColor="text1"/>
          <w:szCs w:val="21"/>
          <w:highlight w:val="none"/>
          <w:u w:val="single"/>
          <w:lang w:eastAsia="zh-CN"/>
          <w14:textFill>
            <w14:solidFill>
              <w14:schemeClr w14:val="tx1"/>
            </w14:solidFill>
          </w14:textFill>
        </w:rPr>
        <w:t>2,712,631.00</w:t>
      </w:r>
      <w:r>
        <w:rPr>
          <w:rFonts w:hint="eastAsia" w:ascii="宋体" w:hAnsi="宋体"/>
          <w:color w:val="000000" w:themeColor="text1"/>
          <w:szCs w:val="21"/>
          <w:highlight w:val="none"/>
          <w:u w:val="single"/>
          <w14:textFill>
            <w14:solidFill>
              <w14:schemeClr w14:val="tx1"/>
            </w14:solidFill>
          </w14:textFill>
        </w:rPr>
        <w:t>元</w:t>
      </w:r>
    </w:p>
    <w:p>
      <w:pPr>
        <w:ind w:firstLine="420" w:firstLineChars="200"/>
        <w:rPr>
          <w:rFonts w:hint="eastAsia"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eastAsia="宋体"/>
          <w:color w:val="000000" w:themeColor="text1"/>
          <w:szCs w:val="21"/>
          <w:highlight w:val="none"/>
          <w:lang w:val="en-US" w:eastAsia="zh-CN"/>
          <w14:textFill>
            <w14:solidFill>
              <w14:schemeClr w14:val="tx1"/>
            </w14:solidFill>
          </w14:textFill>
        </w:rPr>
        <w:t>4、本项目</w:t>
      </w:r>
      <w:r>
        <w:rPr>
          <w:rFonts w:hint="eastAsia" w:ascii="宋体" w:hAnsi="宋体" w:eastAsia="宋体"/>
          <w:b/>
          <w:bCs/>
          <w:color w:val="000000" w:themeColor="text1"/>
          <w:szCs w:val="21"/>
          <w:highlight w:val="none"/>
          <w:lang w:val="en-US" w:eastAsia="zh-CN"/>
          <w14:textFill>
            <w14:solidFill>
              <w14:schemeClr w14:val="tx1"/>
            </w14:solidFill>
          </w14:textFill>
        </w:rPr>
        <w:t>接受</w:t>
      </w:r>
      <w:r>
        <w:rPr>
          <w:rFonts w:hint="eastAsia" w:ascii="宋体" w:hAnsi="宋体" w:eastAsia="宋体"/>
          <w:color w:val="000000" w:themeColor="text1"/>
          <w:szCs w:val="21"/>
          <w:highlight w:val="none"/>
          <w:lang w:val="en-US" w:eastAsia="zh-CN"/>
          <w14:textFill>
            <w14:solidFill>
              <w14:schemeClr w14:val="tx1"/>
            </w14:solidFill>
          </w14:textFill>
        </w:rPr>
        <w:t>联合体投标。</w:t>
      </w:r>
    </w:p>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、项目内容</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4138"/>
        <w:gridCol w:w="1594"/>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00" w:type="pct"/>
            <w:vAlign w:val="center"/>
          </w:tcPr>
          <w:p>
            <w:pPr>
              <w:spacing w:line="240" w:lineRule="auto"/>
              <w:jc w:val="center"/>
              <w:rPr>
                <w:rFonts w:ascii="宋体" w:hAnsi="宋体" w:cs="宋体"/>
                <w:color w:val="000000" w:themeColor="text1"/>
                <w:kern w:val="28"/>
                <w:szCs w:val="21"/>
                <w:highlight w:val="none"/>
                <w14:textFill>
                  <w14:solidFill>
                    <w14:schemeClr w14:val="tx1"/>
                  </w14:solidFill>
                </w14:textFill>
              </w:rPr>
            </w:pPr>
            <w:r>
              <w:rPr>
                <w:rFonts w:hint="eastAsia" w:ascii="宋体" w:hAnsi="宋体" w:cs="宋体"/>
                <w:color w:val="000000" w:themeColor="text1"/>
                <w:kern w:val="28"/>
                <w:szCs w:val="21"/>
                <w:highlight w:val="none"/>
                <w14:textFill>
                  <w14:solidFill>
                    <w14:schemeClr w14:val="tx1"/>
                  </w14:solidFill>
                </w14:textFill>
              </w:rPr>
              <w:t>采购包号</w:t>
            </w:r>
          </w:p>
        </w:tc>
        <w:tc>
          <w:tcPr>
            <w:tcW w:w="2428" w:type="pct"/>
            <w:vAlign w:val="center"/>
          </w:tcPr>
          <w:p>
            <w:pPr>
              <w:spacing w:line="240" w:lineRule="auto"/>
              <w:jc w:val="center"/>
              <w:rPr>
                <w:rFonts w:ascii="宋体" w:hAnsi="宋体" w:cs="宋体"/>
                <w:color w:val="000000" w:themeColor="text1"/>
                <w:kern w:val="28"/>
                <w:szCs w:val="21"/>
                <w:highlight w:val="none"/>
                <w14:textFill>
                  <w14:solidFill>
                    <w14:schemeClr w14:val="tx1"/>
                  </w14:solidFill>
                </w14:textFill>
              </w:rPr>
            </w:pPr>
            <w:r>
              <w:rPr>
                <w:rFonts w:hint="eastAsia" w:ascii="宋体" w:hAnsi="宋体" w:cs="宋体"/>
                <w:color w:val="000000" w:themeColor="text1"/>
                <w:kern w:val="28"/>
                <w:szCs w:val="21"/>
                <w:highlight w:val="none"/>
                <w14:textFill>
                  <w14:solidFill>
                    <w14:schemeClr w14:val="tx1"/>
                  </w14:solidFill>
                </w14:textFill>
              </w:rPr>
              <w:t>项目内容</w:t>
            </w:r>
          </w:p>
        </w:tc>
        <w:tc>
          <w:tcPr>
            <w:tcW w:w="935" w:type="pct"/>
            <w:vAlign w:val="center"/>
          </w:tcPr>
          <w:p>
            <w:pPr>
              <w:spacing w:line="240" w:lineRule="auto"/>
              <w:jc w:val="center"/>
              <w:rPr>
                <w:rFonts w:hint="eastAsia" w:ascii="宋体" w:hAnsi="宋体" w:cs="宋体"/>
                <w:color w:val="000000" w:themeColor="text1"/>
                <w:kern w:val="28"/>
                <w:szCs w:val="21"/>
                <w:highlight w:val="none"/>
                <w14:textFill>
                  <w14:solidFill>
                    <w14:schemeClr w14:val="tx1"/>
                  </w14:solidFill>
                </w14:textFill>
              </w:rPr>
            </w:pPr>
            <w:r>
              <w:rPr>
                <w:rFonts w:hint="eastAsia" w:ascii="宋体" w:hAnsi="宋体" w:cs="宋体"/>
                <w:color w:val="000000" w:themeColor="text1"/>
                <w:kern w:val="28"/>
                <w:szCs w:val="21"/>
                <w:highlight w:val="none"/>
                <w14:textFill>
                  <w14:solidFill>
                    <w14:schemeClr w14:val="tx1"/>
                  </w14:solidFill>
                </w14:textFill>
              </w:rPr>
              <w:t>采购供货</w:t>
            </w:r>
          </w:p>
          <w:p>
            <w:pPr>
              <w:spacing w:line="240" w:lineRule="auto"/>
              <w:jc w:val="center"/>
              <w:rPr>
                <w:rFonts w:ascii="宋体" w:hAnsi="宋体" w:cs="宋体"/>
                <w:color w:val="000000" w:themeColor="text1"/>
                <w:kern w:val="28"/>
                <w:szCs w:val="21"/>
                <w:highlight w:val="none"/>
                <w14:textFill>
                  <w14:solidFill>
                    <w14:schemeClr w14:val="tx1"/>
                  </w14:solidFill>
                </w14:textFill>
              </w:rPr>
            </w:pPr>
            <w:r>
              <w:rPr>
                <w:rFonts w:hint="eastAsia" w:ascii="宋体" w:hAnsi="宋体" w:cs="宋体"/>
                <w:color w:val="000000" w:themeColor="text1"/>
                <w:kern w:val="28"/>
                <w:szCs w:val="21"/>
                <w:highlight w:val="none"/>
                <w14:textFill>
                  <w14:solidFill>
                    <w14:schemeClr w14:val="tx1"/>
                  </w14:solidFill>
                </w14:textFill>
              </w:rPr>
              <w:t>单位数量</w:t>
            </w:r>
          </w:p>
        </w:tc>
        <w:tc>
          <w:tcPr>
            <w:tcW w:w="935" w:type="pct"/>
            <w:vAlign w:val="center"/>
          </w:tcPr>
          <w:p>
            <w:pPr>
              <w:spacing w:line="240" w:lineRule="auto"/>
              <w:jc w:val="center"/>
              <w:rPr>
                <w:rFonts w:ascii="宋体" w:hAnsi="宋体" w:cs="宋体"/>
                <w:color w:val="000000" w:themeColor="text1"/>
                <w:kern w:val="28"/>
                <w:szCs w:val="21"/>
                <w:highlight w:val="none"/>
                <w14:textFill>
                  <w14:solidFill>
                    <w14:schemeClr w14:val="tx1"/>
                  </w14:solidFill>
                </w14:textFill>
              </w:rPr>
            </w:pPr>
            <w:r>
              <w:rPr>
                <w:rFonts w:hint="eastAsia" w:ascii="宋体" w:hAnsi="宋体" w:cs="宋体"/>
                <w:color w:val="000000" w:themeColor="text1"/>
                <w:kern w:val="28"/>
                <w:szCs w:val="21"/>
                <w:highlight w:val="none"/>
                <w14:textFill>
                  <w14:solidFill>
                    <w14:schemeClr w14:val="tx1"/>
                  </w14:solidFill>
                </w14:textFill>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00" w:type="pct"/>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w:t>
            </w:r>
          </w:p>
        </w:tc>
        <w:tc>
          <w:tcPr>
            <w:tcW w:w="2428" w:type="pct"/>
            <w:vAlign w:val="center"/>
          </w:tcPr>
          <w:p>
            <w:pPr>
              <w:spacing w:line="24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分布式光伏发电</w:t>
            </w:r>
            <w:r>
              <w:rPr>
                <w:rFonts w:hint="eastAsia" w:ascii="宋体" w:hAnsi="宋体" w:cs="宋体"/>
                <w:color w:val="000000" w:themeColor="text1"/>
                <w:szCs w:val="21"/>
                <w:highlight w:val="none"/>
                <w:lang w:eastAsia="zh-CN"/>
                <w14:textFill>
                  <w14:solidFill>
                    <w14:schemeClr w14:val="tx1"/>
                  </w14:solidFill>
                </w14:textFill>
              </w:rPr>
              <w:t>产品采购</w:t>
            </w:r>
          </w:p>
        </w:tc>
        <w:tc>
          <w:tcPr>
            <w:tcW w:w="935" w:type="pct"/>
            <w:vAlign w:val="center"/>
          </w:tcPr>
          <w:p>
            <w:pPr>
              <w:spacing w:line="240"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p>
        </w:tc>
        <w:tc>
          <w:tcPr>
            <w:tcW w:w="935" w:type="pct"/>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2"/>
                <w:sz w:val="21"/>
                <w:szCs w:val="21"/>
                <w:highlight w:val="none"/>
                <w:lang w:val="en-US" w:eastAsia="zh-CN"/>
                <w14:textFill>
                  <w14:solidFill>
                    <w14:schemeClr w14:val="tx1"/>
                  </w14:solidFill>
                </w14:textFill>
              </w:rPr>
              <w:t>120天</w:t>
            </w:r>
          </w:p>
        </w:tc>
      </w:tr>
    </w:tbl>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、项目需求</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详细内容请参阅采购文件第三部分《用户需求书》。</w:t>
      </w:r>
    </w:p>
    <w:p>
      <w:pPr>
        <w:ind w:firstLine="413" w:firstLineChars="196"/>
        <w:rPr>
          <w:rFonts w:ascii="宋体" w:hAnsi="宋体"/>
          <w:b/>
          <w:color w:val="000000" w:themeColor="text1"/>
          <w:szCs w:val="21"/>
          <w:highlight w:val="none"/>
          <w14:textFill>
            <w14:solidFill>
              <w14:schemeClr w14:val="tx1"/>
            </w14:solidFill>
          </w14:textFill>
        </w:rPr>
      </w:pPr>
    </w:p>
    <w:p>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二、投标人资格要求</w:t>
      </w:r>
    </w:p>
    <w:p>
      <w:pPr>
        <w:ind w:firstLine="411" w:firstLineChars="19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1、一般要求：</w:t>
      </w:r>
    </w:p>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须为在中华人民共和国境内登记注册的具有独立承担民事责任能力的法人或其他组织【提供《营业执照》复印件（加盖公章）或《事业单位法人证书》复印件（加盖公章）或其他主体证书复印件（加盖公章）】。</w:t>
      </w:r>
    </w:p>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（3）投标人的单位负责人为同一人或者存在直接控股、管理关系的不同投标人，不得参加同一合同项下的采购活动。</w:t>
      </w:r>
    </w:p>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（4）未被列入“信用中国”网站(www.creditchina.gov.cn )“记录失信被执行人或</w:t>
      </w:r>
      <w:r>
        <w:rPr>
          <w:rFonts w:hint="eastAsia"/>
          <w:color w:val="000000" w:themeColor="text1"/>
          <w:highlight w:val="none"/>
          <w14:textFill>
            <w14:solidFill>
              <w14:schemeClr w14:val="tx1"/>
            </w14:solidFill>
          </w14:textFill>
        </w:rPr>
        <w:t>重大税收违法失信主体</w:t>
      </w:r>
      <w:r>
        <w:rPr>
          <w:rFonts w:hint="eastAsia" w:ascii="宋体" w:hAnsi="宋体"/>
          <w:color w:val="000000" w:themeColor="text1"/>
          <w:szCs w:val="21"/>
          <w:highlight w:val="none"/>
          <w14:textFill>
            <w14:solidFill>
              <w14:schemeClr w14:val="tx1"/>
            </w14:solidFill>
          </w14:textFill>
        </w:rPr>
        <w:t>或政府采购严重违法失信行为”记录名单。以代理机构于投标截止日当天在“信用中国”网站查询结果为准，如相关失信记录已失效，投标人需提供相关证明资料。</w:t>
      </w:r>
    </w:p>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2、其他要求</w:t>
      </w:r>
    </w:p>
    <w:p>
      <w:pPr>
        <w:keepNext w:val="0"/>
        <w:keepLines w:val="0"/>
        <w:pageBreakBefore w:val="0"/>
        <w:widowControl/>
        <w:kinsoku/>
        <w:wordWrap/>
        <w:overflowPunct/>
        <w:topLinePunct w:val="0"/>
        <w:autoSpaceDE/>
        <w:autoSpaceDN/>
        <w:bidi w:val="0"/>
        <w:spacing w:after="0" w:line="400" w:lineRule="exact"/>
        <w:ind w:firstLine="422" w:firstLineChars="200"/>
        <w:textAlignment w:val="auto"/>
        <w:rPr>
          <w:rFonts w:hint="default" w:ascii="宋体" w:hAnsi="宋体" w:eastAsia="宋体"/>
          <w:b/>
          <w:bCs/>
          <w:color w:val="000000" w:themeColor="text1"/>
          <w:sz w:val="21"/>
          <w:szCs w:val="21"/>
          <w:highlight w:val="none"/>
          <w:lang w:val="en-US" w:eastAsia="zh-CN"/>
          <w14:textFill>
            <w14:solidFill>
              <w14:schemeClr w14:val="tx1"/>
            </w14:solidFill>
          </w14:textFill>
        </w:rPr>
      </w:pPr>
      <w:r>
        <w:rPr>
          <w:rFonts w:hint="eastAsia" w:ascii="宋体" w:hAnsi="宋体" w:eastAsia="宋体"/>
          <w:b/>
          <w:bCs/>
          <w:color w:val="000000" w:themeColor="text1"/>
          <w:sz w:val="21"/>
          <w:szCs w:val="21"/>
          <w:highlight w:val="none"/>
          <w:lang w:val="en-US" w:eastAsia="zh-CN"/>
          <w14:textFill>
            <w14:solidFill>
              <w14:schemeClr w14:val="tx1"/>
            </w14:solidFill>
          </w14:textFill>
        </w:rPr>
        <w:t>2.1 施工单位</w:t>
      </w:r>
    </w:p>
    <w:p>
      <w:pPr>
        <w:bidi w:val="0"/>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val="en-US" w:eastAsia="zh-CN"/>
          <w14:textFill>
            <w14:solidFill>
              <w14:schemeClr w14:val="tx1"/>
            </w14:solidFill>
          </w14:textFill>
        </w:rPr>
        <w:t>须</w:t>
      </w:r>
      <w:r>
        <w:rPr>
          <w:rFonts w:hint="eastAsia" w:ascii="宋体" w:hAnsi="宋体" w:eastAsia="宋体" w:cs="宋体"/>
          <w:color w:val="000000" w:themeColor="text1"/>
          <w:highlight w:val="none"/>
          <w14:textFill>
            <w14:solidFill>
              <w14:schemeClr w14:val="tx1"/>
            </w14:solidFill>
          </w14:textFill>
        </w:rPr>
        <w:t>具有以下其中一种</w:t>
      </w:r>
      <w:r>
        <w:rPr>
          <w:rFonts w:hint="eastAsia" w:ascii="宋体" w:hAnsi="宋体" w:cs="宋体"/>
          <w:color w:val="000000" w:themeColor="text1"/>
          <w:highlight w:val="none"/>
          <w:lang w:val="en-US" w:eastAsia="zh-CN"/>
          <w14:textFill>
            <w14:solidFill>
              <w14:schemeClr w14:val="tx1"/>
            </w14:solidFill>
          </w14:textFill>
        </w:rPr>
        <w:t>有效期内</w:t>
      </w:r>
      <w:r>
        <w:rPr>
          <w:rFonts w:hint="eastAsia" w:ascii="宋体" w:hAnsi="宋体" w:eastAsia="宋体" w:cs="宋体"/>
          <w:color w:val="000000" w:themeColor="text1"/>
          <w:highlight w:val="none"/>
          <w14:textFill>
            <w14:solidFill>
              <w14:schemeClr w14:val="tx1"/>
            </w14:solidFill>
          </w14:textFill>
        </w:rPr>
        <w:t>资质：①电力工程施工总承包三级（或以上）资质；②机电工程施工总承包三级（或以上）资质；③输变电工程专业承包三级（或以上）资质；</w:t>
      </w:r>
    </w:p>
    <w:p>
      <w:pPr>
        <w:bidi w:val="0"/>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须</w:t>
      </w:r>
      <w:r>
        <w:rPr>
          <w:rFonts w:hint="eastAsia" w:ascii="宋体" w:hAnsi="宋体" w:eastAsia="宋体" w:cs="宋体"/>
          <w:color w:val="000000" w:themeColor="text1"/>
          <w:highlight w:val="none"/>
          <w14:textFill>
            <w14:solidFill>
              <w14:schemeClr w14:val="tx1"/>
            </w14:solidFill>
          </w14:textFill>
        </w:rPr>
        <w:t>具有《承装（修、试）电力设施许可证》承装类别五级或以上资质；</w:t>
      </w:r>
    </w:p>
    <w:p>
      <w:pPr>
        <w:bidi w:val="0"/>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en-US" w:eastAsia="zh-CN"/>
          <w14:textFill>
            <w14:solidFill>
              <w14:schemeClr w14:val="tx1"/>
            </w14:solidFill>
          </w14:textFill>
        </w:rPr>
        <w:t>须</w:t>
      </w:r>
      <w:r>
        <w:rPr>
          <w:rFonts w:hint="eastAsia" w:ascii="宋体" w:hAnsi="宋体" w:eastAsia="宋体" w:cs="宋体"/>
          <w:color w:val="000000" w:themeColor="text1"/>
          <w:highlight w:val="none"/>
          <w14:textFill>
            <w14:solidFill>
              <w14:schemeClr w14:val="tx1"/>
            </w14:solidFill>
          </w14:textFill>
        </w:rPr>
        <w:t>具有在效期内的《安全生产许可证》。</w:t>
      </w:r>
    </w:p>
    <w:p>
      <w:pPr>
        <w:keepNext w:val="0"/>
        <w:keepLines w:val="0"/>
        <w:pageBreakBefore w:val="0"/>
        <w:widowControl/>
        <w:kinsoku/>
        <w:wordWrap/>
        <w:overflowPunct/>
        <w:topLinePunct w:val="0"/>
        <w:autoSpaceDE/>
        <w:autoSpaceDN/>
        <w:bidi w:val="0"/>
        <w:adjustRightInd/>
        <w:snapToGrid/>
        <w:spacing w:after="0" w:line="400" w:lineRule="exact"/>
        <w:ind w:firstLine="422" w:firstLineChars="200"/>
        <w:textAlignment w:val="auto"/>
        <w:rPr>
          <w:rFonts w:hint="eastAsia" w:ascii="宋体" w:hAnsi="宋体" w:eastAsia="宋体"/>
          <w:b/>
          <w:bCs/>
          <w:color w:val="000000" w:themeColor="text1"/>
          <w:sz w:val="21"/>
          <w:szCs w:val="21"/>
          <w:highlight w:val="none"/>
          <w:lang w:val="en-US" w:eastAsia="zh-CN"/>
          <w14:textFill>
            <w14:solidFill>
              <w14:schemeClr w14:val="tx1"/>
            </w14:solidFill>
          </w14:textFill>
        </w:rPr>
      </w:pPr>
      <w:r>
        <w:rPr>
          <w:rFonts w:hint="eastAsia" w:ascii="宋体" w:hAnsi="宋体" w:eastAsia="宋体"/>
          <w:b/>
          <w:bCs/>
          <w:color w:val="000000" w:themeColor="text1"/>
          <w:sz w:val="21"/>
          <w:szCs w:val="21"/>
          <w:highlight w:val="none"/>
          <w:lang w:val="en-US" w:eastAsia="zh-CN"/>
          <w14:textFill>
            <w14:solidFill>
              <w14:schemeClr w14:val="tx1"/>
            </w14:solidFill>
          </w14:textFill>
        </w:rPr>
        <w:t>2.2 设计单位</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hint="default" w:ascii="宋体" w:hAnsi="宋体" w:eastAsia="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须</w:t>
      </w:r>
      <w:r>
        <w:rPr>
          <w:rFonts w:hint="eastAsia" w:ascii="宋体" w:hAnsi="宋体" w:eastAsia="宋体" w:cs="宋体"/>
          <w:color w:val="000000" w:themeColor="text1"/>
          <w:highlight w:val="none"/>
          <w14:textFill>
            <w14:solidFill>
              <w14:schemeClr w14:val="tx1"/>
            </w14:solidFill>
          </w14:textFill>
        </w:rPr>
        <w:t>具有以下其中一种</w:t>
      </w:r>
      <w:r>
        <w:rPr>
          <w:rFonts w:hint="eastAsia" w:ascii="宋体" w:hAnsi="宋体" w:cs="宋体"/>
          <w:color w:val="000000" w:themeColor="text1"/>
          <w:highlight w:val="none"/>
          <w:lang w:val="en-US" w:eastAsia="zh-CN"/>
          <w14:textFill>
            <w14:solidFill>
              <w14:schemeClr w14:val="tx1"/>
            </w14:solidFill>
          </w14:textFill>
        </w:rPr>
        <w:t>有效期内</w:t>
      </w:r>
      <w:r>
        <w:rPr>
          <w:rFonts w:hint="eastAsia" w:ascii="宋体" w:hAnsi="宋体" w:eastAsia="宋体" w:cs="宋体"/>
          <w:color w:val="000000" w:themeColor="text1"/>
          <w:highlight w:val="none"/>
          <w14:textFill>
            <w14:solidFill>
              <w14:schemeClr w14:val="tx1"/>
            </w14:solidFill>
          </w14:textFill>
        </w:rPr>
        <w:t>资质：①</w:t>
      </w:r>
      <w:r>
        <w:rPr>
          <w:rFonts w:hint="default" w:ascii="宋体" w:hAnsi="宋体" w:eastAsia="宋体"/>
          <w:color w:val="000000" w:themeColor="text1"/>
          <w:sz w:val="21"/>
          <w:szCs w:val="21"/>
          <w:highlight w:val="none"/>
          <w:lang w:val="en-US" w:eastAsia="zh-CN"/>
          <w14:textFill>
            <w14:solidFill>
              <w14:schemeClr w14:val="tx1"/>
            </w14:solidFill>
          </w14:textFill>
        </w:rPr>
        <w:t>工程设计综合资质</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②</w:t>
      </w:r>
      <w:r>
        <w:rPr>
          <w:rFonts w:hint="default" w:ascii="宋体" w:hAnsi="宋体" w:eastAsia="宋体"/>
          <w:color w:val="000000" w:themeColor="text1"/>
          <w:sz w:val="21"/>
          <w:szCs w:val="21"/>
          <w:highlight w:val="none"/>
          <w:lang w:val="en-US" w:eastAsia="zh-CN"/>
          <w14:textFill>
            <w14:solidFill>
              <w14:schemeClr w14:val="tx1"/>
            </w14:solidFill>
          </w14:textFill>
        </w:rPr>
        <w:t>电力行业设计丙级（或以上）资质</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③</w:t>
      </w:r>
      <w:r>
        <w:rPr>
          <w:rFonts w:hint="default" w:ascii="宋体" w:hAnsi="宋体" w:eastAsia="宋体"/>
          <w:color w:val="000000" w:themeColor="text1"/>
          <w:sz w:val="21"/>
          <w:szCs w:val="21"/>
          <w:highlight w:val="none"/>
          <w:lang w:val="en-US" w:eastAsia="zh-CN"/>
          <w14:textFill>
            <w14:solidFill>
              <w14:schemeClr w14:val="tx1"/>
            </w14:solidFill>
          </w14:textFill>
        </w:rPr>
        <w:t>送电（或变电）工程专业设计丙级（或以上）资质</w:t>
      </w:r>
      <w:r>
        <w:rPr>
          <w:rFonts w:hint="eastAsia" w:ascii="宋体" w:hAnsi="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④</w:t>
      </w:r>
      <w:r>
        <w:rPr>
          <w:rFonts w:hint="default" w:ascii="宋体" w:hAnsi="宋体" w:eastAsia="宋体"/>
          <w:color w:val="000000" w:themeColor="text1"/>
          <w:sz w:val="21"/>
          <w:szCs w:val="21"/>
          <w:highlight w:val="none"/>
          <w:lang w:val="en-US" w:eastAsia="zh-CN"/>
          <w14:textFill>
            <w14:solidFill>
              <w14:schemeClr w14:val="tx1"/>
            </w14:solidFill>
          </w14:textFill>
        </w:rPr>
        <w:t>或新能源发电专业设计丙级（或以上）资质。</w:t>
      </w:r>
    </w:p>
    <w:p>
      <w:pPr>
        <w:bidi w:val="0"/>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w:t>
      </w:r>
    </w:p>
    <w:p>
      <w:pPr>
        <w:bidi w:val="0"/>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资质证书已过期的按《住房和城乡建设部办公厅关于建设工程企业资质有关事宜的通知（建办市函〔2022〕361号）》、《广东省住房和城乡建设厅关于建设工程企业资质有关事宜的通知（粤建许函〔2022〕846号》执行，相关文件如有更新，以最新发布的文件规定为准。</w:t>
      </w:r>
    </w:p>
    <w:p>
      <w:pPr>
        <w:bidi w:val="0"/>
        <w:ind w:firstLine="42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安全生产许可证已过期的按《广东省住房和城乡建设厅关于建筑施工企业安全生产许可证和安全生产管理人员证书延期工作的公告》（粤建公告〔2023〕9号）执行，相关文件如有更新，以最新发布的文件规定为准。</w:t>
      </w:r>
    </w:p>
    <w:p>
      <w:pPr>
        <w:bidi w:val="0"/>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以联合体形式参加</w:t>
      </w:r>
      <w:r>
        <w:rPr>
          <w:rFonts w:hint="eastAsia" w:ascii="宋体" w:hAnsi="宋体" w:eastAsia="宋体" w:cs="宋体"/>
          <w:color w:val="000000" w:themeColor="text1"/>
          <w:highlight w:val="none"/>
          <w:lang w:val="en-US" w:eastAsia="zh-CN"/>
          <w14:textFill>
            <w14:solidFill>
              <w14:schemeClr w14:val="tx1"/>
            </w14:solidFill>
          </w14:textFill>
        </w:rPr>
        <w:t>响应</w:t>
      </w:r>
      <w:r>
        <w:rPr>
          <w:rFonts w:hint="eastAsia" w:ascii="宋体" w:hAnsi="宋体" w:eastAsia="宋体" w:cs="宋体"/>
          <w:color w:val="000000" w:themeColor="text1"/>
          <w:highlight w:val="none"/>
          <w14:textFill>
            <w14:solidFill>
              <w14:schemeClr w14:val="tx1"/>
            </w14:solidFill>
          </w14:textFill>
        </w:rPr>
        <w:t>的，联合体各方中至少有一方符合以上特定资格条件</w:t>
      </w:r>
      <w:r>
        <w:rPr>
          <w:rFonts w:hint="eastAsia" w:ascii="宋体" w:hAnsi="宋体" w:eastAsia="宋体" w:cs="宋体"/>
          <w:color w:val="000000" w:themeColor="text1"/>
          <w:highlight w:val="none"/>
          <w:lang w:eastAsia="zh-CN"/>
          <w14:textFill>
            <w14:solidFill>
              <w14:schemeClr w14:val="tx1"/>
            </w14:solidFill>
          </w14:textFill>
        </w:rPr>
        <w:t>。</w:t>
      </w:r>
    </w:p>
    <w:p>
      <w:pPr>
        <w:rPr>
          <w:rFonts w:hint="eastAsia" w:ascii="宋体" w:hAnsi="宋体"/>
          <w:b/>
          <w:color w:val="000000" w:themeColor="text1"/>
          <w:szCs w:val="21"/>
          <w:highlight w:val="none"/>
          <w14:textFill>
            <w14:solidFill>
              <w14:schemeClr w14:val="tx1"/>
            </w14:solidFill>
          </w14:textFill>
        </w:rPr>
      </w:pPr>
    </w:p>
    <w:p>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三、获取采购文件方式及要求</w:t>
      </w:r>
    </w:p>
    <w:p>
      <w:pPr>
        <w:spacing w:after="0"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1</w:t>
      </w:r>
      <w:r>
        <w:rPr>
          <w:rFonts w:hint="eastAsia" w:ascii="宋体" w:hAnsi="宋体" w:eastAsia="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采购</w:t>
      </w:r>
      <w:r>
        <w:rPr>
          <w:rFonts w:hint="eastAsia" w:ascii="宋体" w:hAnsi="宋体"/>
          <w:color w:val="000000" w:themeColor="text1"/>
          <w:sz w:val="21"/>
          <w:szCs w:val="21"/>
          <w:highlight w:val="none"/>
          <w:lang w:val="en-US" w:eastAsia="zh-CN"/>
          <w14:textFill>
            <w14:solidFill>
              <w14:schemeClr w14:val="tx1"/>
            </w14:solidFill>
          </w14:textFill>
        </w:rPr>
        <w:t>文件</w:t>
      </w:r>
      <w:r>
        <w:rPr>
          <w:rFonts w:hint="eastAsia" w:ascii="宋体" w:hAnsi="宋体" w:eastAsia="宋体"/>
          <w:color w:val="000000" w:themeColor="text1"/>
          <w:sz w:val="21"/>
          <w:szCs w:val="21"/>
          <w:highlight w:val="none"/>
          <w14:textFill>
            <w14:solidFill>
              <w14:schemeClr w14:val="tx1"/>
            </w14:solidFill>
          </w14:textFill>
        </w:rPr>
        <w:t>领购</w:t>
      </w:r>
      <w:r>
        <w:rPr>
          <w:rFonts w:ascii="宋体" w:hAnsi="宋体" w:eastAsia="宋体"/>
          <w:color w:val="000000" w:themeColor="text1"/>
          <w:sz w:val="21"/>
          <w:szCs w:val="21"/>
          <w:highlight w:val="none"/>
          <w14:textFill>
            <w14:solidFill>
              <w14:schemeClr w14:val="tx1"/>
            </w14:solidFill>
          </w14:textFill>
        </w:rPr>
        <w:t>时间：</w:t>
      </w:r>
      <w:r>
        <w:rPr>
          <w:rFonts w:hint="eastAsia" w:ascii="宋体" w:hAnsi="宋体" w:eastAsia="宋体"/>
          <w:color w:val="000000" w:themeColor="text1"/>
          <w:sz w:val="21"/>
          <w:szCs w:val="21"/>
          <w:highlight w:val="none"/>
          <w14:textFill>
            <w14:solidFill>
              <w14:schemeClr w14:val="tx1"/>
            </w14:solidFill>
          </w14:textFill>
        </w:rPr>
        <w:t>递交投标文件</w:t>
      </w:r>
      <w:r>
        <w:rPr>
          <w:rFonts w:ascii="宋体" w:hAnsi="宋体" w:eastAsia="宋体"/>
          <w:color w:val="000000" w:themeColor="text1"/>
          <w:sz w:val="21"/>
          <w:szCs w:val="21"/>
          <w:highlight w:val="none"/>
          <w14:textFill>
            <w14:solidFill>
              <w14:schemeClr w14:val="tx1"/>
            </w14:solidFill>
          </w14:textFill>
        </w:rPr>
        <w:t>截止</w:t>
      </w:r>
      <w:r>
        <w:rPr>
          <w:rFonts w:hint="eastAsia" w:ascii="宋体" w:hAnsi="宋体" w:eastAsia="宋体"/>
          <w:color w:val="000000" w:themeColor="text1"/>
          <w:sz w:val="21"/>
          <w:szCs w:val="21"/>
          <w:highlight w:val="none"/>
          <w:lang w:val="en-US" w:eastAsia="zh-CN"/>
          <w14:textFill>
            <w14:solidFill>
              <w14:schemeClr w14:val="tx1"/>
            </w14:solidFill>
          </w14:textFill>
        </w:rPr>
        <w:t>时间前（节假日除外）</w:t>
      </w:r>
      <w:r>
        <w:rPr>
          <w:rFonts w:hint="eastAsia" w:ascii="宋体" w:hAnsi="宋体" w:eastAsia="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上午9：00～12：00，下午14：30～17：30（北京时间）。</w:t>
      </w:r>
    </w:p>
    <w:p>
      <w:pPr>
        <w:spacing w:after="0"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注：（1）</w:t>
      </w: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eastAsia="宋体"/>
          <w:color w:val="000000" w:themeColor="text1"/>
          <w:sz w:val="21"/>
          <w:szCs w:val="21"/>
          <w:highlight w:val="none"/>
          <w14:textFill>
            <w14:solidFill>
              <w14:schemeClr w14:val="tx1"/>
            </w14:solidFill>
          </w14:textFill>
        </w:rPr>
        <w:t>可到现场进行领购，并现场领取发票。（</w:t>
      </w:r>
      <w:r>
        <w:rPr>
          <w:rFonts w:hint="eastAsia" w:ascii="宋体" w:hAnsi="宋体"/>
          <w:color w:val="000000" w:themeColor="text1"/>
          <w:sz w:val="21"/>
          <w:szCs w:val="21"/>
          <w:highlight w:val="none"/>
          <w:lang w:val="en-US" w:eastAsia="zh-CN"/>
          <w14:textFill>
            <w14:solidFill>
              <w14:schemeClr w14:val="tx1"/>
            </w14:solidFill>
          </w14:textFill>
        </w:rPr>
        <w:t>采购</w:t>
      </w:r>
      <w:r>
        <w:rPr>
          <w:rFonts w:hint="eastAsia" w:ascii="宋体" w:hAnsi="宋体"/>
          <w:color w:val="000000" w:themeColor="text1"/>
          <w:sz w:val="21"/>
          <w:szCs w:val="21"/>
          <w:highlight w:val="none"/>
          <w:lang w:eastAsia="zh-CN"/>
          <w14:textFill>
            <w14:solidFill>
              <w14:schemeClr w14:val="tx1"/>
            </w14:solidFill>
          </w14:textFill>
        </w:rPr>
        <w:t>文件</w:t>
      </w:r>
      <w:r>
        <w:rPr>
          <w:rFonts w:hint="eastAsia" w:ascii="宋体" w:hAnsi="宋体" w:eastAsia="宋体"/>
          <w:color w:val="000000" w:themeColor="text1"/>
          <w:sz w:val="21"/>
          <w:szCs w:val="21"/>
          <w:highlight w:val="none"/>
          <w14:textFill>
            <w14:solidFill>
              <w14:schemeClr w14:val="tx1"/>
            </w14:solidFill>
          </w14:textFill>
        </w:rPr>
        <w:t>领购价：人民币</w:t>
      </w:r>
      <w:r>
        <w:rPr>
          <w:rFonts w:hint="eastAsia" w:ascii="宋体" w:hAnsi="宋体"/>
          <w:color w:val="000000" w:themeColor="text1"/>
          <w:sz w:val="21"/>
          <w:szCs w:val="21"/>
          <w:highlight w:val="none"/>
          <w:lang w:val="en-US" w:eastAsia="zh-CN"/>
          <w14:textFill>
            <w14:solidFill>
              <w14:schemeClr w14:val="tx1"/>
            </w14:solidFill>
          </w14:textFill>
        </w:rPr>
        <w:t>300</w:t>
      </w:r>
      <w:r>
        <w:rPr>
          <w:rFonts w:hint="eastAsia" w:ascii="宋体" w:hAnsi="宋体" w:eastAsia="宋体"/>
          <w:color w:val="000000" w:themeColor="text1"/>
          <w:sz w:val="21"/>
          <w:szCs w:val="21"/>
          <w:highlight w:val="none"/>
          <w14:textFill>
            <w14:solidFill>
              <w14:schemeClr w14:val="tx1"/>
            </w14:solidFill>
          </w14:textFill>
        </w:rPr>
        <w:t>元整）</w:t>
      </w:r>
    </w:p>
    <w:p>
      <w:pPr>
        <w:spacing w:after="0"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（2）现场支持现金支付、微信支付、支付宝支付等支付方式，请将相应表格交予我司</w:t>
      </w:r>
      <w:r>
        <w:rPr>
          <w:rFonts w:hint="eastAsia" w:ascii="宋体" w:hAnsi="宋体"/>
          <w:color w:val="000000" w:themeColor="text1"/>
          <w:sz w:val="21"/>
          <w:szCs w:val="21"/>
          <w:highlight w:val="none"/>
          <w:lang w:val="en-US" w:eastAsia="zh-CN"/>
          <w14:textFill>
            <w14:solidFill>
              <w14:schemeClr w14:val="tx1"/>
            </w14:solidFill>
          </w14:textFill>
        </w:rPr>
        <w:t>徐先生</w:t>
      </w:r>
      <w:r>
        <w:rPr>
          <w:rFonts w:hint="eastAsia" w:ascii="宋体" w:hAnsi="宋体" w:eastAsia="宋体"/>
          <w:color w:val="000000" w:themeColor="text1"/>
          <w:sz w:val="21"/>
          <w:szCs w:val="21"/>
          <w:highlight w:val="none"/>
          <w14:textFill>
            <w14:solidFill>
              <w14:schemeClr w14:val="tx1"/>
            </w14:solidFill>
          </w14:textFill>
        </w:rPr>
        <w:t>。</w:t>
      </w:r>
    </w:p>
    <w:p>
      <w:pPr>
        <w:spacing w:after="0" w:line="360" w:lineRule="auto"/>
        <w:ind w:firstLine="420" w:firstLineChars="200"/>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lang w:eastAsia="zh-CN"/>
          <w14:textFill>
            <w14:solidFill>
              <w14:schemeClr w14:val="tx1"/>
            </w14:solidFill>
          </w14:textFill>
        </w:rPr>
        <w:t>采购文件</w:t>
      </w:r>
      <w:r>
        <w:rPr>
          <w:rFonts w:hint="eastAsia" w:ascii="宋体" w:hAnsi="宋体" w:eastAsia="宋体"/>
          <w:color w:val="000000" w:themeColor="text1"/>
          <w:sz w:val="21"/>
          <w:szCs w:val="21"/>
          <w:highlight w:val="none"/>
          <w14:textFill>
            <w14:solidFill>
              <w14:schemeClr w14:val="tx1"/>
            </w14:solidFill>
          </w14:textFill>
        </w:rPr>
        <w:t>电子版可在政通招标网</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http://www.zttendering.com/</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相关招标信息公告下自行下载。</w:t>
      </w:r>
    </w:p>
    <w:p>
      <w:pPr>
        <w:spacing w:after="0"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2</w:t>
      </w:r>
      <w:r>
        <w:rPr>
          <w:rFonts w:hint="eastAsia" w:ascii="宋体" w:hAnsi="宋体" w:eastAsia="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采购文件</w:t>
      </w:r>
      <w:r>
        <w:rPr>
          <w:rFonts w:hint="eastAsia" w:ascii="宋体" w:hAnsi="宋体" w:eastAsia="宋体"/>
          <w:color w:val="000000" w:themeColor="text1"/>
          <w:sz w:val="21"/>
          <w:szCs w:val="21"/>
          <w:highlight w:val="none"/>
          <w14:textFill>
            <w14:solidFill>
              <w14:schemeClr w14:val="tx1"/>
            </w14:solidFill>
          </w14:textFill>
        </w:rPr>
        <w:t>领购地点：</w:t>
      </w:r>
      <w:r>
        <w:rPr>
          <w:rFonts w:hint="eastAsia" w:ascii="宋体" w:hAnsi="宋体"/>
          <w:color w:val="000000" w:themeColor="text1"/>
          <w:sz w:val="21"/>
          <w:szCs w:val="21"/>
          <w:highlight w:val="none"/>
          <w:lang w:eastAsia="zh-CN"/>
          <w14:textFill>
            <w14:solidFill>
              <w14:schemeClr w14:val="tx1"/>
            </w14:solidFill>
          </w14:textFill>
        </w:rPr>
        <w:t>东莞市南城街道鸿福路199号（市民服务中心）411室</w:t>
      </w:r>
      <w:r>
        <w:rPr>
          <w:rFonts w:hint="eastAsia" w:ascii="宋体" w:hAnsi="宋体" w:eastAsia="宋体"/>
          <w:color w:val="000000" w:themeColor="text1"/>
          <w:sz w:val="21"/>
          <w:szCs w:val="21"/>
          <w:highlight w:val="none"/>
          <w14:textFill>
            <w14:solidFill>
              <w14:schemeClr w14:val="tx1"/>
            </w14:solidFill>
          </w14:textFill>
        </w:rPr>
        <w:t>。</w:t>
      </w:r>
    </w:p>
    <w:p>
      <w:pPr>
        <w:spacing w:after="0" w:line="360" w:lineRule="auto"/>
        <w:ind w:firstLine="420" w:firstLineChars="20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联系人：</w:t>
      </w:r>
      <w:r>
        <w:rPr>
          <w:rFonts w:hint="eastAsia" w:ascii="宋体" w:hAnsi="宋体"/>
          <w:color w:val="000000" w:themeColor="text1"/>
          <w:sz w:val="21"/>
          <w:szCs w:val="21"/>
          <w:highlight w:val="none"/>
          <w:lang w:eastAsia="zh-CN"/>
          <w14:textFill>
            <w14:solidFill>
              <w14:schemeClr w14:val="tx1"/>
            </w14:solidFill>
          </w14:textFill>
        </w:rPr>
        <w:t>梁先生</w:t>
      </w:r>
    </w:p>
    <w:p>
      <w:pPr>
        <w:spacing w:after="0"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联系电话：</w:t>
      </w:r>
      <w:r>
        <w:rPr>
          <w:rFonts w:hint="eastAsia" w:ascii="宋体" w:hAnsi="宋体" w:eastAsia="宋体"/>
          <w:color w:val="000000" w:themeColor="text1"/>
          <w:sz w:val="21"/>
          <w:szCs w:val="21"/>
          <w:highlight w:val="none"/>
          <w:lang w:eastAsia="zh-CN"/>
          <w14:textFill>
            <w14:solidFill>
              <w14:schemeClr w14:val="tx1"/>
            </w14:solidFill>
          </w14:textFill>
        </w:rPr>
        <w:t>0769-22881803</w:t>
      </w:r>
    </w:p>
    <w:p>
      <w:pPr>
        <w:spacing w:after="0" w:line="360" w:lineRule="auto"/>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3</w:t>
      </w:r>
      <w:r>
        <w:rPr>
          <w:rFonts w:hint="eastAsia" w:ascii="宋体" w:hAnsi="宋体" w:eastAsia="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lang w:eastAsia="zh-CN"/>
          <w14:textFill>
            <w14:solidFill>
              <w14:schemeClr w14:val="tx1"/>
            </w14:solidFill>
          </w14:textFill>
        </w:rPr>
        <w:t>采购文件</w:t>
      </w:r>
      <w:r>
        <w:rPr>
          <w:rFonts w:hint="eastAsia" w:ascii="宋体" w:hAnsi="宋体" w:eastAsia="宋体"/>
          <w:color w:val="000000" w:themeColor="text1"/>
          <w:sz w:val="21"/>
          <w:szCs w:val="21"/>
          <w:highlight w:val="none"/>
          <w14:textFill>
            <w14:solidFill>
              <w14:schemeClr w14:val="tx1"/>
            </w14:solidFill>
          </w14:textFill>
        </w:rPr>
        <w:t>领购方式：现场领购。</w:t>
      </w:r>
    </w:p>
    <w:p>
      <w:pPr>
        <w:spacing w:after="0" w:line="360" w:lineRule="auto"/>
        <w:ind w:firstLine="420" w:firstLineChars="20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供应商</w:t>
      </w:r>
      <w:r>
        <w:rPr>
          <w:rFonts w:hint="eastAsia" w:ascii="宋体" w:hAnsi="宋体" w:eastAsia="宋体"/>
          <w:color w:val="000000" w:themeColor="text1"/>
          <w:sz w:val="21"/>
          <w:szCs w:val="21"/>
          <w:highlight w:val="none"/>
          <w14:textFill>
            <w14:solidFill>
              <w14:schemeClr w14:val="tx1"/>
            </w14:solidFill>
          </w14:textFill>
        </w:rPr>
        <w:t>在领购</w:t>
      </w:r>
      <w:r>
        <w:rPr>
          <w:rFonts w:hint="eastAsia" w:ascii="宋体" w:hAnsi="宋体"/>
          <w:color w:val="000000" w:themeColor="text1"/>
          <w:sz w:val="21"/>
          <w:szCs w:val="21"/>
          <w:highlight w:val="none"/>
          <w:lang w:eastAsia="zh-CN"/>
          <w14:textFill>
            <w14:solidFill>
              <w14:schemeClr w14:val="tx1"/>
            </w14:solidFill>
          </w14:textFill>
        </w:rPr>
        <w:t>采购文件</w:t>
      </w:r>
      <w:r>
        <w:rPr>
          <w:rFonts w:hint="eastAsia" w:ascii="宋体" w:hAnsi="宋体" w:eastAsia="宋体"/>
          <w:color w:val="000000" w:themeColor="text1"/>
          <w:sz w:val="21"/>
          <w:szCs w:val="21"/>
          <w:highlight w:val="none"/>
          <w14:textFill>
            <w14:solidFill>
              <w14:schemeClr w14:val="tx1"/>
            </w14:solidFill>
          </w14:textFill>
        </w:rPr>
        <w:t>时须提供如下证明材料：《营业执照》复印件（加盖公章）或《事业单位法人证书》复印件（加盖公章）或其他主体证书复印件（加盖公章），自然人参加</w:t>
      </w:r>
      <w:r>
        <w:rPr>
          <w:rFonts w:hint="eastAsia" w:ascii="宋体" w:hAnsi="宋体"/>
          <w:color w:val="000000" w:themeColor="text1"/>
          <w:sz w:val="21"/>
          <w:szCs w:val="21"/>
          <w:highlight w:val="none"/>
          <w:lang w:val="en-US" w:eastAsia="zh-CN"/>
          <w14:textFill>
            <w14:solidFill>
              <w14:schemeClr w14:val="tx1"/>
            </w14:solidFill>
          </w14:textFill>
        </w:rPr>
        <w:t>报价</w:t>
      </w:r>
      <w:r>
        <w:rPr>
          <w:rFonts w:hint="eastAsia" w:ascii="宋体" w:hAnsi="宋体" w:eastAsia="宋体"/>
          <w:color w:val="000000" w:themeColor="text1"/>
          <w:sz w:val="21"/>
          <w:szCs w:val="21"/>
          <w:highlight w:val="none"/>
          <w14:textFill>
            <w14:solidFill>
              <w14:schemeClr w14:val="tx1"/>
            </w14:solidFill>
          </w14:textFill>
        </w:rPr>
        <w:t>须提供自然人的身份证明材料</w:t>
      </w:r>
      <w:r>
        <w:rPr>
          <w:rFonts w:hint="eastAsia" w:ascii="宋体" w:hAnsi="宋体" w:eastAsia="宋体"/>
          <w:color w:val="000000" w:themeColor="text1"/>
          <w:sz w:val="21"/>
          <w:szCs w:val="21"/>
          <w:highlight w:val="none"/>
          <w:lang w:eastAsia="zh-CN"/>
          <w14:textFill>
            <w14:solidFill>
              <w14:schemeClr w14:val="tx1"/>
            </w14:solidFill>
          </w14:textFill>
        </w:rPr>
        <w:t>。</w:t>
      </w:r>
    </w:p>
    <w:p>
      <w:pPr>
        <w:spacing w:after="0" w:line="360" w:lineRule="auto"/>
        <w:ind w:firstLine="420" w:firstLineChars="200"/>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lang w:val="en-US" w:eastAsia="zh-CN"/>
          <w14:textFill>
            <w14:solidFill>
              <w14:schemeClr w14:val="tx1"/>
            </w14:solidFill>
          </w14:textFill>
        </w:rPr>
        <w:t>4、供应商</w:t>
      </w:r>
      <w:r>
        <w:rPr>
          <w:rFonts w:hint="eastAsia" w:ascii="宋体" w:hAnsi="宋体" w:eastAsia="宋体"/>
          <w:color w:val="000000" w:themeColor="text1"/>
          <w:sz w:val="21"/>
          <w:szCs w:val="21"/>
          <w:highlight w:val="none"/>
          <w:lang w:eastAsia="zh-CN"/>
          <w14:textFill>
            <w14:solidFill>
              <w14:schemeClr w14:val="tx1"/>
            </w14:solidFill>
          </w14:textFill>
        </w:rPr>
        <w:t>须在领购时间内进行报名，逾期报名无效，任何投标人因逾期报名或误缴费用而导致报名无效的，自行承担相应责任。</w:t>
      </w:r>
    </w:p>
    <w:p>
      <w:pPr>
        <w:bidi w:val="0"/>
        <w:rPr>
          <w:rFonts w:hint="eastAsia"/>
          <w:color w:val="000000" w:themeColor="text1"/>
          <w:highlight w:val="none"/>
          <w:lang w:eastAsia="zh-CN"/>
          <w14:textFill>
            <w14:solidFill>
              <w14:schemeClr w14:val="tx1"/>
            </w14:solidFill>
          </w14:textFill>
        </w:rPr>
      </w:pPr>
    </w:p>
    <w:p>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四、投标文件的递交</w:t>
      </w:r>
    </w:p>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1、递交投标文件时间：</w:t>
      </w:r>
      <w:r>
        <w:rPr>
          <w:rFonts w:hint="eastAsia" w:ascii="宋体" w:hAnsi="宋体" w:cs="宋体"/>
          <w:color w:val="000000" w:themeColor="text1"/>
          <w:szCs w:val="21"/>
          <w:highlight w:val="none"/>
          <w14:textFill>
            <w14:solidFill>
              <w14:schemeClr w14:val="tx1"/>
            </w14:solidFill>
          </w14:textFill>
        </w:rPr>
        <w:t>20</w:t>
      </w:r>
      <w:r>
        <w:rPr>
          <w:rFonts w:hint="eastAsia" w:ascii="宋体" w:hAnsi="宋体" w:cs="宋体"/>
          <w:color w:val="000000" w:themeColor="text1"/>
          <w:szCs w:val="21"/>
          <w:highlight w:val="none"/>
          <w:lang w:val="en-US" w:eastAsia="zh-CN"/>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14:textFill>
            <w14:solidFill>
              <w14:schemeClr w14:val="tx1"/>
            </w14:solidFill>
          </w14:textFill>
        </w:rPr>
        <w:t>北京时间）</w:t>
      </w:r>
      <w:r>
        <w:rPr>
          <w:rFonts w:hint="eastAsia" w:ascii="宋体" w:hAnsi="宋体"/>
          <w:color w:val="000000" w:themeColor="text1"/>
          <w:szCs w:val="21"/>
          <w:highlight w:val="none"/>
          <w:u w:val="singl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00</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w:t>
      </w:r>
    </w:p>
    <w:p>
      <w:pPr>
        <w:ind w:firstLine="420" w:firstLineChars="200"/>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2、递交投标文件</w:t>
      </w:r>
      <w:r>
        <w:rPr>
          <w:rFonts w:ascii="宋体" w:hAnsi="宋体"/>
          <w:color w:val="000000" w:themeColor="text1"/>
          <w:szCs w:val="21"/>
          <w:highlight w:val="none"/>
          <w14:textFill>
            <w14:solidFill>
              <w14:schemeClr w14:val="tx1"/>
            </w14:solidFill>
          </w14:textFill>
        </w:rPr>
        <w:t>截止</w:t>
      </w:r>
      <w:r>
        <w:rPr>
          <w:rFonts w:hint="eastAsia" w:ascii="宋体" w:hAnsi="宋体"/>
          <w:color w:val="000000" w:themeColor="text1"/>
          <w:szCs w:val="21"/>
          <w:highlight w:val="none"/>
          <w14:textFill>
            <w14:solidFill>
              <w14:schemeClr w14:val="tx1"/>
            </w14:solidFill>
          </w14:textFill>
        </w:rPr>
        <w:t>及开标时间：</w:t>
      </w:r>
      <w:r>
        <w:rPr>
          <w:rFonts w:hint="eastAsia" w:ascii="宋体" w:hAnsi="宋体" w:cs="宋体"/>
          <w:color w:val="000000" w:themeColor="text1"/>
          <w:szCs w:val="21"/>
          <w:highlight w:val="none"/>
          <w14:textFill>
            <w14:solidFill>
              <w14:schemeClr w14:val="tx1"/>
            </w14:solidFill>
          </w14:textFill>
        </w:rPr>
        <w:t>20</w:t>
      </w:r>
      <w:r>
        <w:rPr>
          <w:rFonts w:hint="eastAsia" w:ascii="宋体" w:hAnsi="宋体" w:cs="宋体"/>
          <w:color w:val="000000" w:themeColor="text1"/>
          <w:szCs w:val="21"/>
          <w:highlight w:val="none"/>
          <w:lang w:val="en-US" w:eastAsia="zh-CN"/>
          <w14:textFill>
            <w14:solidFill>
              <w14:schemeClr w14:val="tx1"/>
            </w14:solidFill>
          </w14:textFill>
        </w:rPr>
        <w:t>24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日</w:t>
      </w:r>
      <w:r>
        <w:rPr>
          <w:rFonts w:hint="eastAsia" w:ascii="宋体" w:hAnsi="宋体"/>
          <w:color w:val="000000" w:themeColor="text1"/>
          <w:szCs w:val="21"/>
          <w:highlight w:val="none"/>
          <w:u w:val="singl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u w:val="singl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（北京时间），所有投标文件应于截止时间之前递交，迟交或以电报、传真形式的投标文件将拒绝接收。</w:t>
      </w:r>
    </w:p>
    <w:p>
      <w:pPr>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ascii="宋体" w:hAnsi="宋体"/>
          <w:color w:val="000000" w:themeColor="text1"/>
          <w:szCs w:val="21"/>
          <w:highlight w:val="none"/>
          <w14:textFill>
            <w14:solidFill>
              <w14:schemeClr w14:val="tx1"/>
            </w14:solidFill>
          </w14:textFill>
        </w:rPr>
        <w:t>开标地点</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eastAsia="zh-CN"/>
          <w14:textFill>
            <w14:solidFill>
              <w14:schemeClr w14:val="tx1"/>
            </w14:solidFill>
          </w14:textFill>
        </w:rPr>
        <w:t>东莞市南城街道鸿福路199号（市民服务中心）411室。</w:t>
      </w:r>
    </w:p>
    <w:p>
      <w:pPr>
        <w:ind w:firstLine="411" w:firstLineChars="196"/>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4、开标事宜：</w:t>
      </w:r>
      <w:r>
        <w:rPr>
          <w:rFonts w:hint="eastAsia" w:ascii="宋体" w:hAnsi="宋体"/>
          <w:b/>
          <w:bCs/>
          <w:color w:val="000000" w:themeColor="text1"/>
          <w:szCs w:val="21"/>
          <w:highlight w:val="none"/>
          <w14:textFill>
            <w14:solidFill>
              <w14:schemeClr w14:val="tx1"/>
            </w14:solidFill>
          </w14:textFill>
        </w:rPr>
        <w:t>届时请投标人的法定代表人或其授权代表务必携带有效身份证明出席开标会</w:t>
      </w:r>
      <w:r>
        <w:rPr>
          <w:rFonts w:hint="eastAsia" w:ascii="宋体" w:hAnsi="宋体"/>
          <w:bCs/>
          <w:color w:val="000000" w:themeColor="text1"/>
          <w:szCs w:val="21"/>
          <w:highlight w:val="none"/>
          <w14:textFill>
            <w14:solidFill>
              <w14:schemeClr w14:val="tx1"/>
            </w14:solidFill>
          </w14:textFill>
        </w:rPr>
        <w:t>。</w:t>
      </w:r>
    </w:p>
    <w:p>
      <w:pPr>
        <w:pStyle w:val="36"/>
        <w:spacing w:line="36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5、出现以下情形时，采购代理机构不予接收投标（响应）文件：</w:t>
      </w:r>
    </w:p>
    <w:p>
      <w:pPr>
        <w:pStyle w:val="36"/>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（1）逾期送达或者未送达指定地点的；</w:t>
      </w:r>
    </w:p>
    <w:p>
      <w:pPr>
        <w:pStyle w:val="36"/>
        <w:spacing w:line="360" w:lineRule="auto"/>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ab/>
      </w:r>
      <w:r>
        <w:rPr>
          <w:rFonts w:hint="eastAsia"/>
          <w:color w:val="000000" w:themeColor="text1"/>
          <w:sz w:val="21"/>
          <w:szCs w:val="21"/>
          <w:highlight w:val="none"/>
          <w14:textFill>
            <w14:solidFill>
              <w14:schemeClr w14:val="tx1"/>
            </w14:solidFill>
          </w14:textFill>
        </w:rPr>
        <w:t>（2）未按采购文件要求密封的。</w:t>
      </w:r>
    </w:p>
    <w:p>
      <w:pPr>
        <w:pStyle w:val="36"/>
        <w:ind w:firstLine="400"/>
        <w:rPr>
          <w:color w:val="000000" w:themeColor="text1"/>
          <w:highlight w:val="none"/>
          <w14:textFill>
            <w14:solidFill>
              <w14:schemeClr w14:val="tx1"/>
            </w14:solidFill>
          </w14:textFill>
        </w:rPr>
      </w:pPr>
    </w:p>
    <w:p>
      <w:pPr>
        <w:rPr>
          <w:rFonts w:hint="eastAsia"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五、发布公告的媒介</w:t>
      </w:r>
    </w:p>
    <w:p>
      <w:pPr>
        <w:pStyle w:val="36"/>
        <w:spacing w:line="360"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采购公告</w:t>
      </w:r>
      <w:r>
        <w:rPr>
          <w:rFonts w:hint="eastAsia" w:ascii="宋体" w:hAnsi="宋体" w:eastAsia="宋体" w:cs="宋体"/>
          <w:color w:val="000000" w:themeColor="text1"/>
          <w:sz w:val="21"/>
          <w:szCs w:val="21"/>
          <w:highlight w:val="none"/>
          <w:lang w:eastAsia="zh-CN"/>
          <w14:textFill>
            <w14:solidFill>
              <w14:schemeClr w14:val="tx1"/>
            </w14:solidFill>
          </w14:textFill>
        </w:rPr>
        <w:t>和</w:t>
      </w:r>
      <w:r>
        <w:rPr>
          <w:rFonts w:hint="eastAsia" w:ascii="宋体" w:hAnsi="宋体" w:eastAsia="宋体" w:cs="宋体"/>
          <w:bCs/>
          <w:color w:val="000000" w:themeColor="text1"/>
          <w:sz w:val="21"/>
          <w:szCs w:val="21"/>
          <w:highlight w:val="none"/>
          <w14:textFill>
            <w14:solidFill>
              <w14:schemeClr w14:val="tx1"/>
            </w14:solidFill>
          </w14:textFill>
        </w:rPr>
        <w:t>结果公告</w:t>
      </w:r>
      <w:r>
        <w:rPr>
          <w:rFonts w:hint="eastAsia" w:ascii="宋体" w:hAnsi="宋体" w:eastAsia="宋体" w:cs="宋体"/>
          <w:color w:val="000000" w:themeColor="text1"/>
          <w:sz w:val="21"/>
          <w:szCs w:val="21"/>
          <w:highlight w:val="none"/>
          <w14:textFill>
            <w14:solidFill>
              <w14:schemeClr w14:val="tx1"/>
            </w14:solidFill>
          </w14:textFill>
        </w:rPr>
        <w:t>发布媒介：</w:t>
      </w:r>
    </w:p>
    <w:p>
      <w:pPr>
        <w:pStyle w:val="36"/>
        <w:spacing w:line="360" w:lineRule="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u w:val="none"/>
          <w14:textFill>
            <w14:solidFill>
              <w14:schemeClr w14:val="tx1"/>
            </w14:solidFill>
          </w14:textFill>
        </w:rPr>
        <w:t>中国招标投标公共服务平台（http://www.cebpubservice.com/）</w:t>
      </w:r>
    </w:p>
    <w:p>
      <w:pPr>
        <w:pStyle w:val="36"/>
        <w:spacing w:line="360" w:lineRule="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none"/>
          <w14:textFill>
            <w14:solidFill>
              <w14:schemeClr w14:val="tx1"/>
            </w14:solidFill>
          </w14:textFill>
        </w:rPr>
        <w:t>东莞市能源投资集团网（http://www.dg-energy.com/）</w:t>
      </w:r>
    </w:p>
    <w:p>
      <w:pPr>
        <w:pStyle w:val="36"/>
        <w:spacing w:line="360" w:lineRule="auto"/>
        <w:rPr>
          <w:rFonts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3、政通招标网</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http://www.zttendering.com/</w:t>
      </w:r>
      <w:r>
        <w:rPr>
          <w:rFonts w:hint="eastAsia" w:ascii="宋体" w:hAnsi="宋体" w:eastAsia="宋体" w:cs="宋体"/>
          <w:color w:val="000000" w:themeColor="text1"/>
          <w:sz w:val="21"/>
          <w:szCs w:val="21"/>
          <w:highlight w:val="none"/>
          <w:u w:val="none"/>
          <w14:textFill>
            <w14:solidFill>
              <w14:schemeClr w14:val="tx1"/>
            </w14:solidFill>
          </w14:textFill>
        </w:rPr>
        <w:t>）</w:t>
      </w:r>
    </w:p>
    <w:p>
      <w:pPr>
        <w:ind w:firstLine="413" w:firstLineChars="196"/>
        <w:rPr>
          <w:rFonts w:hint="eastAsia" w:ascii="宋体" w:hAnsi="宋体"/>
          <w:b/>
          <w:color w:val="000000" w:themeColor="text1"/>
          <w:szCs w:val="21"/>
          <w:highlight w:val="none"/>
          <w14:textFill>
            <w14:solidFill>
              <w14:schemeClr w14:val="tx1"/>
            </w14:solidFill>
          </w14:textFill>
        </w:rPr>
      </w:pPr>
    </w:p>
    <w:p>
      <w:pPr>
        <w:rPr>
          <w:rFonts w:hint="eastAsia"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14:textFill>
            <w14:solidFill>
              <w14:schemeClr w14:val="tx1"/>
            </w14:solidFill>
          </w14:textFill>
        </w:rPr>
        <w:t>六、采购人及采购代理机构的名称、地址和联系方法</w:t>
      </w:r>
    </w:p>
    <w:p>
      <w:pPr>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采购人</w:t>
      </w:r>
      <w:r>
        <w:rPr>
          <w:rFonts w:ascii="宋体" w:hAnsi="宋体"/>
          <w:bCs/>
          <w:color w:val="000000" w:themeColor="text1"/>
          <w:szCs w:val="21"/>
          <w:highlight w:val="none"/>
          <w14:textFill>
            <w14:solidFill>
              <w14:schemeClr w14:val="tx1"/>
            </w14:solidFill>
          </w14:textFill>
        </w:rPr>
        <w:t>名称</w:t>
      </w:r>
      <w:r>
        <w:rPr>
          <w:rFonts w:hint="eastAsia"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lang w:val="en-US" w:eastAsia="zh-CN"/>
          <w14:textFill>
            <w14:solidFill>
              <w14:schemeClr w14:val="tx1"/>
            </w14:solidFill>
          </w14:textFill>
        </w:rPr>
        <w:t>东</w:t>
      </w:r>
      <w:r>
        <w:rPr>
          <w:rFonts w:hint="eastAsia" w:ascii="宋体" w:hAnsi="宋体"/>
          <w:bCs/>
          <w:color w:val="000000" w:themeColor="text1"/>
          <w:szCs w:val="21"/>
          <w:highlight w:val="none"/>
          <w14:textFill>
            <w14:solidFill>
              <w14:schemeClr w14:val="tx1"/>
            </w14:solidFill>
          </w14:textFill>
        </w:rPr>
        <w:t>莞新锋光伏能源科技有限公司</w:t>
      </w:r>
    </w:p>
    <w:p>
      <w:pPr>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采购人联系人：翟先生</w:t>
      </w:r>
    </w:p>
    <w:p>
      <w:pPr>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采购人地址：广东省东莞市松山湖园区新城路5号道弘·龙怡智谷A栋6楼</w:t>
      </w:r>
    </w:p>
    <w:p>
      <w:pPr>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采购人联系电话：0769-22899838</w:t>
      </w:r>
      <w:r>
        <w:rPr>
          <w:rFonts w:hint="eastAsia" w:ascii="宋体" w:hAnsi="宋体" w:cs="宋体"/>
          <w:color w:val="000000" w:themeColor="text1"/>
          <w:sz w:val="22"/>
          <w:highlight w:val="none"/>
          <w14:textFill>
            <w14:solidFill>
              <w14:schemeClr w14:val="tx1"/>
            </w14:solidFill>
          </w14:textFill>
        </w:rPr>
        <w:t xml:space="preserve"> </w:t>
      </w:r>
    </w:p>
    <w:p>
      <w:pPr>
        <w:ind w:firstLine="420" w:firstLineChars="200"/>
        <w:rPr>
          <w:rFonts w:ascii="宋体" w:hAnsi="宋体"/>
          <w:color w:val="000000" w:themeColor="text1"/>
          <w:szCs w:val="21"/>
          <w:highlight w:val="none"/>
          <w14:textFill>
            <w14:solidFill>
              <w14:schemeClr w14:val="tx1"/>
            </w14:solidFill>
          </w14:textFill>
        </w:rPr>
      </w:pPr>
    </w:p>
    <w:p>
      <w:pPr>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采购代理机构名称：</w:t>
      </w:r>
      <w:r>
        <w:rPr>
          <w:rFonts w:hint="eastAsia" w:ascii="宋体" w:hAnsi="宋体"/>
          <w:color w:val="000000" w:themeColor="text1"/>
          <w:szCs w:val="21"/>
          <w:highlight w:val="none"/>
          <w:lang w:eastAsia="zh-CN"/>
          <w14:textFill>
            <w14:solidFill>
              <w14:schemeClr w14:val="tx1"/>
            </w14:solidFill>
          </w14:textFill>
        </w:rPr>
        <w:t>广东政通招标有限公司</w:t>
      </w:r>
    </w:p>
    <w:p>
      <w:pPr>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采购代理机构地址：</w:t>
      </w:r>
      <w:r>
        <w:rPr>
          <w:rFonts w:hint="eastAsia" w:ascii="宋体" w:hAnsi="宋体"/>
          <w:color w:val="000000" w:themeColor="text1"/>
          <w:szCs w:val="21"/>
          <w:highlight w:val="none"/>
          <w:lang w:eastAsia="zh-CN"/>
          <w14:textFill>
            <w14:solidFill>
              <w14:schemeClr w14:val="tx1"/>
            </w14:solidFill>
          </w14:textFill>
        </w:rPr>
        <w:t>东莞市南城街道鸿福路199号（市民服务中心）411室</w:t>
      </w:r>
    </w:p>
    <w:p>
      <w:pPr>
        <w:ind w:firstLine="420" w:firstLineChars="200"/>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采购代理机构联系人：</w:t>
      </w:r>
      <w:r>
        <w:rPr>
          <w:rFonts w:hint="eastAsia" w:ascii="宋体" w:hAnsi="宋体"/>
          <w:color w:val="000000" w:themeColor="text1"/>
          <w:szCs w:val="21"/>
          <w:highlight w:val="none"/>
          <w:lang w:eastAsia="zh-CN"/>
          <w14:textFill>
            <w14:solidFill>
              <w14:schemeClr w14:val="tx1"/>
            </w14:solidFill>
          </w14:textFill>
        </w:rPr>
        <w:t>杨先生</w:t>
      </w:r>
    </w:p>
    <w:p>
      <w:pPr>
        <w:ind w:firstLine="420" w:firstLineChars="200"/>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采购代理机构联系电话：0769-2</w:t>
      </w:r>
      <w:r>
        <w:rPr>
          <w:rFonts w:hint="eastAsia" w:ascii="宋体" w:hAnsi="宋体"/>
          <w:color w:val="000000" w:themeColor="text1"/>
          <w:szCs w:val="21"/>
          <w:highlight w:val="none"/>
          <w:lang w:val="en-US" w:eastAsia="zh-CN"/>
          <w14:textFill>
            <w14:solidFill>
              <w14:schemeClr w14:val="tx1"/>
            </w14:solidFill>
          </w14:textFill>
        </w:rPr>
        <w:t>2881803</w:t>
      </w:r>
    </w:p>
    <w:p>
      <w:pPr>
        <w:ind w:firstLine="420" w:firstLineChars="200"/>
        <w:rPr>
          <w:rFonts w:hint="eastAsia" w:eastAsia="宋体"/>
          <w:color w:val="000000" w:themeColor="text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采购代理机构邮箱：</w:t>
      </w:r>
      <w:r>
        <w:rPr>
          <w:rFonts w:hint="eastAsia" w:ascii="宋体" w:hAnsi="宋体"/>
          <w:color w:val="000000" w:themeColor="text1"/>
          <w:szCs w:val="21"/>
          <w:highlight w:val="none"/>
          <w:lang w:eastAsia="zh-CN"/>
          <w14:textFill>
            <w14:solidFill>
              <w14:schemeClr w14:val="tx1"/>
            </w14:solidFill>
          </w14:textFill>
        </w:rPr>
        <w:t>471539976@qq.com</w:t>
      </w:r>
    </w:p>
    <w:p>
      <w:pPr>
        <w:ind w:firstLine="420" w:firstLineChars="200"/>
        <w:rPr>
          <w:color w:val="000000" w:themeColor="text1"/>
          <w:highlight w:val="none"/>
          <w14:textFill>
            <w14:solidFill>
              <w14:schemeClr w14:val="tx1"/>
            </w14:solidFill>
          </w14:textFill>
        </w:rPr>
      </w:pPr>
    </w:p>
    <w:p>
      <w:pPr>
        <w:ind w:right="752" w:rightChars="358"/>
        <w:jc w:val="right"/>
        <w:rPr>
          <w:color w:val="000000" w:themeColor="text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ind w:right="752" w:rightChars="358"/>
        <w:jc w:val="right"/>
        <w:textAlignment w:val="auto"/>
        <w:rPr>
          <w:rFonts w:hint="eastAsia" w:ascii="宋体" w:hAnsi="宋体" w:eastAsia="宋体" w:cs="宋体"/>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ind w:right="752" w:rightChars="358"/>
        <w:jc w:val="righ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广东政通招标有限公司</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2024年</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月</w:t>
      </w:r>
    </w:p>
    <w:p>
      <w:pPr>
        <w:ind w:left="6205" w:leftChars="2755" w:hanging="420" w:hangingChars="200"/>
        <w:rPr>
          <w:rFonts w:ascii="黑体" w:hAnsi="宋体" w:eastAsia="黑体"/>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3"/>
        <w:spacing w:before="0" w:after="0" w:line="240" w:lineRule="auto"/>
        <w:rPr>
          <w:color w:val="000000" w:themeColor="text1"/>
          <w:sz w:val="28"/>
          <w:szCs w:val="28"/>
          <w:highlight w:val="none"/>
          <w14:textFill>
            <w14:solidFill>
              <w14:schemeClr w14:val="tx1"/>
            </w14:solidFill>
          </w14:textFill>
        </w:rPr>
      </w:pPr>
      <w:bookmarkStart w:id="2" w:name="_Toc14223"/>
      <w:r>
        <w:rPr>
          <w:rFonts w:hint="eastAsia"/>
          <w:color w:val="000000" w:themeColor="text1"/>
          <w:sz w:val="28"/>
          <w:szCs w:val="28"/>
          <w:highlight w:val="none"/>
          <w14:textFill>
            <w14:solidFill>
              <w14:schemeClr w14:val="tx1"/>
            </w14:solidFill>
          </w14:textFill>
        </w:rPr>
        <w:t>第二部分相关资料表格</w:t>
      </w:r>
      <w:bookmarkEnd w:id="2"/>
    </w:p>
    <w:p>
      <w:pPr>
        <w:pStyle w:val="4"/>
        <w:spacing w:before="0" w:after="0" w:line="240" w:lineRule="auto"/>
        <w:jc w:val="center"/>
        <w:rPr>
          <w:rFonts w:ascii="宋体" w:hAnsi="宋体" w:cs="宋体"/>
          <w:color w:val="000000" w:themeColor="text1"/>
          <w:sz w:val="24"/>
          <w:szCs w:val="24"/>
          <w:highlight w:val="none"/>
          <w14:textFill>
            <w14:solidFill>
              <w14:schemeClr w14:val="tx1"/>
            </w14:solidFill>
          </w14:textFill>
        </w:rPr>
      </w:pPr>
      <w:bookmarkStart w:id="3" w:name="_Toc6390"/>
      <w:r>
        <w:rPr>
          <w:rFonts w:hint="eastAsia" w:ascii="宋体" w:hAnsi="宋体" w:cs="宋体"/>
          <w:color w:val="000000" w:themeColor="text1"/>
          <w:sz w:val="24"/>
          <w:szCs w:val="24"/>
          <w:highlight w:val="none"/>
          <w14:textFill>
            <w14:solidFill>
              <w14:schemeClr w14:val="tx1"/>
            </w14:solidFill>
          </w14:textFill>
        </w:rPr>
        <w:t>附表一：投标资料表</w:t>
      </w:r>
      <w:bookmarkEnd w:id="3"/>
    </w:p>
    <w:tbl>
      <w:tblPr>
        <w:tblStyle w:val="27"/>
        <w:tblW w:w="8410" w:type="dxa"/>
        <w:tblInd w:w="-2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492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7532" w:type="dxa"/>
            <w:gridSpan w:val="2"/>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3"/>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p>
        </w:tc>
        <w:tc>
          <w:tcPr>
            <w:tcW w:w="7532" w:type="dxa"/>
            <w:gridSpan w:val="2"/>
            <w:tcBorders>
              <w:tl2br w:val="nil"/>
              <w:tr2bl w:val="nil"/>
            </w:tcBorders>
            <w:vAlign w:val="center"/>
          </w:tcPr>
          <w:p>
            <w:pP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项目最高限价（</w:t>
            </w:r>
            <w:r>
              <w:rPr>
                <w:rFonts w:hint="eastAsia" w:ascii="宋体" w:hAnsi="宋体"/>
                <w:b/>
                <w:bCs/>
                <w:color w:val="000000" w:themeColor="text1"/>
                <w:szCs w:val="21"/>
                <w:highlight w:val="none"/>
                <w:u w:val="single"/>
                <w14:textFill>
                  <w14:solidFill>
                    <w14:schemeClr w14:val="tx1"/>
                  </w14:solidFill>
                </w14:textFill>
              </w:rPr>
              <w:t>单位：元</w:t>
            </w:r>
            <w:r>
              <w:rPr>
                <w:rFonts w:hint="eastAsia" w:ascii="宋体" w:hAnsi="宋体"/>
                <w:b/>
                <w:bCs/>
                <w:color w:val="000000" w:themeColor="text1"/>
                <w:szCs w:val="2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7532" w:type="dxa"/>
            <w:gridSpan w:val="2"/>
            <w:tcBorders>
              <w:tl2br w:val="nil"/>
              <w:tr2bl w:val="nil"/>
            </w:tcBorders>
            <w:vAlign w:val="center"/>
          </w:tcPr>
          <w:p>
            <w:pPr>
              <w:rPr>
                <w:rFonts w:hint="eastAsia" w:ascii="宋体" w:hAnsi="宋体" w:eastAsia="宋体"/>
                <w:b/>
                <w:bCs/>
                <w:color w:val="000000" w:themeColor="text1"/>
                <w:szCs w:val="21"/>
                <w:highlight w:val="none"/>
                <w:lang w:eastAsia="zh-CN"/>
                <w14:textFill>
                  <w14:solidFill>
                    <w14:schemeClr w14:val="tx1"/>
                  </w14:solidFill>
                </w14:textFill>
              </w:rPr>
            </w:pPr>
            <w:r>
              <w:rPr>
                <w:rFonts w:hint="eastAsia" w:ascii="宋体" w:hAnsi="宋体"/>
                <w:b w:val="0"/>
                <w:bCs w:val="0"/>
                <w:color w:val="000000" w:themeColor="text1"/>
                <w:szCs w:val="21"/>
                <w:highlight w:val="none"/>
                <w14:textFill>
                  <w14:solidFill>
                    <w14:schemeClr w14:val="tx1"/>
                  </w14:solidFill>
                </w14:textFill>
              </w:rPr>
              <w:t>与项目预算一致</w:t>
            </w:r>
            <w:r>
              <w:rPr>
                <w:rFonts w:hint="eastAsia" w:ascii="宋体" w:hAnsi="宋体"/>
                <w:b w:val="0"/>
                <w:bCs w:val="0"/>
                <w:color w:val="000000" w:themeColor="text1"/>
                <w:szCs w:val="21"/>
                <w:highlight w:val="none"/>
                <w:lang w:eastAsia="zh-CN"/>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p>
        </w:tc>
        <w:tc>
          <w:tcPr>
            <w:tcW w:w="7532" w:type="dxa"/>
            <w:gridSpan w:val="2"/>
            <w:tcBorders>
              <w:tl2br w:val="nil"/>
              <w:tr2bl w:val="nil"/>
            </w:tcBorders>
            <w:vAlign w:val="center"/>
          </w:tcPr>
          <w:p>
            <w:pP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发包方式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7532" w:type="dxa"/>
            <w:gridSpan w:val="2"/>
            <w:tcBorders>
              <w:tl2br w:val="nil"/>
              <w:tr2bl w:val="nil"/>
            </w:tcBorders>
            <w:vAlign w:val="center"/>
          </w:tcPr>
          <w:p>
            <w:pP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52"/>
            </w:r>
            <w:r>
              <w:rPr>
                <w:rFonts w:hint="eastAsia" w:ascii="宋体" w:hAnsi="宋体"/>
                <w:b/>
                <w:bCs/>
                <w:color w:val="000000" w:themeColor="text1"/>
                <w:szCs w:val="21"/>
                <w:highlight w:val="none"/>
                <w14:textFill>
                  <w14:solidFill>
                    <w14:schemeClr w14:val="tx1"/>
                  </w14:solidFill>
                </w14:textFill>
              </w:rPr>
              <w:t>固定总价包干；</w:t>
            </w:r>
          </w:p>
          <w:p>
            <w:pP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A3"/>
            </w:r>
            <w:r>
              <w:rPr>
                <w:rFonts w:hint="eastAsia" w:ascii="宋体" w:hAnsi="宋体"/>
                <w:b/>
                <w:bCs/>
                <w:color w:val="000000" w:themeColor="text1"/>
                <w:szCs w:val="21"/>
                <w:highlight w:val="none"/>
                <w14:textFill>
                  <w14:solidFill>
                    <w14:schemeClr w14:val="tx1"/>
                  </w14:solidFill>
                </w14:textFill>
              </w:rPr>
              <w:t>固定单价暂定总价包干；</w:t>
            </w:r>
          </w:p>
          <w:p>
            <w:pPr>
              <w:rPr>
                <w:rFonts w:ascii="宋体" w:hAnsi="宋体"/>
                <w:b/>
                <w:bCs/>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A3"/>
            </w:r>
            <w:r>
              <w:rPr>
                <w:rFonts w:hint="eastAsia" w:ascii="宋体" w:hAnsi="宋体"/>
                <w:b/>
                <w:bCs/>
                <w:color w:val="000000" w:themeColor="text1"/>
                <w:szCs w:val="21"/>
                <w:highlight w:val="none"/>
                <w14:textFill>
                  <w14:solidFill>
                    <w14:schemeClr w14:val="tx1"/>
                  </w14:solidFill>
                </w14:textFill>
              </w:rPr>
              <w:t>费率</w:t>
            </w:r>
            <w:r>
              <w:rPr>
                <w:rFonts w:hint="eastAsia" w:ascii="宋体" w:hAnsi="宋体"/>
                <w:b/>
                <w:bCs/>
                <w:color w:val="000000" w:themeColor="text1"/>
                <w:szCs w:val="21"/>
                <w:highlight w:val="none"/>
                <w:u w:val="single"/>
                <w14:textFill>
                  <w14:solidFill>
                    <w14:schemeClr w14:val="tx1"/>
                  </w14:solidFill>
                </w14:textFill>
              </w:rPr>
              <w:t xml:space="preserve">         ；</w:t>
            </w:r>
          </w:p>
          <w:p>
            <w:pP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sym w:font="Wingdings 2" w:char="00A3"/>
            </w:r>
            <w:r>
              <w:rPr>
                <w:rFonts w:hint="eastAsia" w:ascii="宋体" w:hAnsi="宋体"/>
                <w:b/>
                <w:bCs/>
                <w:color w:val="000000" w:themeColor="text1"/>
                <w:szCs w:val="21"/>
                <w:highlight w:val="none"/>
                <w14:textFill>
                  <w14:solidFill>
                    <w14:schemeClr w14:val="tx1"/>
                  </w14:solidFill>
                </w14:textFill>
              </w:rPr>
              <w:t>其他</w:t>
            </w:r>
            <w:r>
              <w:rPr>
                <w:rFonts w:hint="eastAsia" w:ascii="宋体" w:hAnsi="宋体"/>
                <w:b/>
                <w:bCs/>
                <w:color w:val="000000" w:themeColor="text1"/>
                <w:szCs w:val="21"/>
                <w:highlight w:val="none"/>
                <w:u w:val="single"/>
                <w14:textFill>
                  <w14:solidFill>
                    <w14:schemeClr w14:val="tx1"/>
                  </w14:solidFill>
                </w14:textFill>
              </w:rPr>
              <w:t xml:space="preserve">           </w:t>
            </w:r>
            <w:r>
              <w:rPr>
                <w:rFonts w:hint="eastAsia" w:ascii="宋体" w:hAnsi="宋体"/>
                <w:b/>
                <w:bCs/>
                <w:color w:val="000000" w:themeColor="text1"/>
                <w:szCs w:val="2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3</w:t>
            </w:r>
          </w:p>
        </w:tc>
        <w:tc>
          <w:tcPr>
            <w:tcW w:w="7532" w:type="dxa"/>
            <w:gridSpan w:val="2"/>
            <w:tcBorders>
              <w:tl2br w:val="nil"/>
              <w:tr2bl w:val="nil"/>
            </w:tcBorders>
            <w:vAlign w:val="center"/>
          </w:tcPr>
          <w:p>
            <w:pPr>
              <w:rPr>
                <w:rFonts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资金来源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7532" w:type="dxa"/>
            <w:gridSpan w:val="2"/>
            <w:tcBorders>
              <w:tl2br w:val="nil"/>
              <w:tr2bl w:val="nil"/>
            </w:tcBorders>
            <w:vAlign w:val="center"/>
          </w:tcPr>
          <w:p>
            <w:pPr>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4</w:t>
            </w:r>
          </w:p>
        </w:tc>
        <w:tc>
          <w:tcPr>
            <w:tcW w:w="7532" w:type="dxa"/>
            <w:gridSpan w:val="2"/>
            <w:tcBorders>
              <w:tl2br w:val="nil"/>
              <w:tr2bl w:val="nil"/>
            </w:tcBorders>
            <w:vAlign w:val="center"/>
          </w:tcPr>
          <w:p>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踏勘现场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7532" w:type="dxa"/>
            <w:gridSpan w:val="2"/>
            <w:tcBorders>
              <w:tl2br w:val="nil"/>
              <w:tr2bl w:val="nil"/>
            </w:tcBorders>
            <w:vAlign w:val="center"/>
          </w:tcPr>
          <w:p>
            <w:pP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不组织 。</w:t>
            </w:r>
          </w:p>
          <w:p>
            <w:pPr>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□组织，踏勘现场时间、地点：</w:t>
            </w:r>
            <w:r>
              <w:rPr>
                <w:rFonts w:hint="eastAsia" w:ascii="宋体" w:hAnsi="宋体"/>
                <w:bCs/>
                <w:color w:val="000000" w:themeColor="text1"/>
                <w:szCs w:val="21"/>
                <w:highlight w:val="none"/>
                <w:u w:val="single"/>
                <w14:textFill>
                  <w14:solidFill>
                    <w14:schemeClr w14:val="tx1"/>
                  </w14:solidFill>
                </w14:textFill>
              </w:rPr>
              <w:t xml:space="preserve">         </w:t>
            </w:r>
            <w:r>
              <w:rPr>
                <w:rFonts w:hint="eastAsia" w:ascii="宋体" w:hAnsi="宋体"/>
                <w:bCs/>
                <w:color w:val="000000" w:themeColor="text1"/>
                <w:szCs w:val="21"/>
                <w:highlight w:val="none"/>
                <w14:textFill>
                  <w14:solidFill>
                    <w14:schemeClr w14:val="tx1"/>
                  </w14:solidFill>
                </w14:textFill>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trPr>
        <w:tc>
          <w:tcPr>
            <w:tcW w:w="8410" w:type="dxa"/>
            <w:gridSpan w:val="3"/>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二、投标文件的编制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5</w:t>
            </w:r>
          </w:p>
        </w:tc>
        <w:tc>
          <w:tcPr>
            <w:tcW w:w="7532" w:type="dxa"/>
            <w:gridSpan w:val="2"/>
            <w:tcBorders>
              <w:tl2br w:val="nil"/>
              <w:tr2bl w:val="nil"/>
            </w:tcBorders>
            <w:vAlign w:val="center"/>
          </w:tcPr>
          <w:p>
            <w:pP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投标语言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7532" w:type="dxa"/>
            <w:gridSpan w:val="2"/>
            <w:tcBorders>
              <w:tl2br w:val="nil"/>
              <w:tr2bl w:val="nil"/>
            </w:tcBorders>
            <w:vAlign w:val="center"/>
          </w:tcPr>
          <w:p>
            <w:pPr>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p>
        </w:tc>
        <w:tc>
          <w:tcPr>
            <w:tcW w:w="7532" w:type="dxa"/>
            <w:gridSpan w:val="2"/>
            <w:tcBorders>
              <w:tl2br w:val="nil"/>
              <w:tr2bl w:val="nil"/>
            </w:tcBorders>
            <w:vAlign w:val="center"/>
          </w:tcPr>
          <w:p>
            <w:pPr>
              <w:jc w:val="both"/>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7532" w:type="dxa"/>
            <w:gridSpan w:val="2"/>
            <w:tcBorders>
              <w:tl2br w:val="nil"/>
              <w:tr2bl w:val="nil"/>
            </w:tcBorders>
            <w:vAlign w:val="center"/>
          </w:tcPr>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详见投标人须知。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tcBorders>
              <w:tl2br w:val="nil"/>
              <w:tr2bl w:val="nil"/>
            </w:tcBorders>
            <w:vAlign w:val="center"/>
          </w:tcPr>
          <w:p>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7</w:t>
            </w:r>
          </w:p>
        </w:tc>
        <w:tc>
          <w:tcPr>
            <w:tcW w:w="7532" w:type="dxa"/>
            <w:gridSpan w:val="2"/>
            <w:tcBorders>
              <w:tl2br w:val="nil"/>
              <w:tr2bl w:val="nil"/>
            </w:tcBorders>
            <w:vAlign w:val="center"/>
          </w:tcPr>
          <w:p>
            <w:pPr>
              <w:jc w:val="both"/>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7532" w:type="dxa"/>
            <w:gridSpan w:val="2"/>
            <w:tcBorders>
              <w:tl2br w:val="nil"/>
              <w:tr2bl w:val="nil"/>
            </w:tcBorders>
            <w:vAlign w:val="center"/>
          </w:tcPr>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（1）投标保证金金额：</w:t>
            </w:r>
            <w:r>
              <w:rPr>
                <w:rFonts w:hint="eastAsia" w:ascii="宋体" w:hAnsi="宋体"/>
                <w:color w:val="000000" w:themeColor="text1"/>
                <w:szCs w:val="21"/>
                <w:highlight w:val="none"/>
                <w:lang w:val="en-US" w:eastAsia="zh-CN"/>
                <w14:textFill>
                  <w14:solidFill>
                    <w14:schemeClr w14:val="tx1"/>
                  </w14:solidFill>
                </w14:textFill>
              </w:rPr>
              <w:t>人民币</w:t>
            </w:r>
            <w:r>
              <w:rPr>
                <w:rFonts w:hint="eastAsia" w:ascii="宋体" w:hAnsi="宋体"/>
                <w:b/>
                <w:bCs/>
                <w:color w:val="000000" w:themeColor="text1"/>
                <w:sz w:val="21"/>
                <w:szCs w:val="21"/>
                <w:highlight w:val="none"/>
                <w:u w:val="single"/>
                <w:lang w:val="en-US" w:eastAsia="zh-CN"/>
                <w14:textFill>
                  <w14:solidFill>
                    <w14:schemeClr w14:val="tx1"/>
                  </w14:solidFill>
                </w14:textFill>
              </w:rPr>
              <w:t>27,000.00</w:t>
            </w:r>
            <w:r>
              <w:rPr>
                <w:rFonts w:hint="eastAsia" w:ascii="宋体" w:hAnsi="宋体"/>
                <w:b/>
                <w:bCs/>
                <w:color w:val="000000" w:themeColor="text1"/>
                <w:sz w:val="21"/>
                <w:szCs w:val="21"/>
                <w:highlight w:val="none"/>
                <w:lang w:val="en-US" w:eastAsia="zh-CN"/>
                <w14:textFill>
                  <w14:solidFill>
                    <w14:schemeClr w14:val="tx1"/>
                  </w14:solidFill>
                </w14:textFill>
              </w:rPr>
              <w:t>元</w:t>
            </w:r>
            <w:r>
              <w:rPr>
                <w:rFonts w:hint="eastAsia" w:ascii="宋体" w:hAnsi="宋体"/>
                <w:color w:val="000000" w:themeColor="text1"/>
                <w:szCs w:val="21"/>
                <w:highlight w:val="none"/>
                <w14:textFill>
                  <w14:solidFill>
                    <w14:schemeClr w14:val="tx1"/>
                  </w14:solidFill>
                </w14:textFill>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3"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7532" w:type="dxa"/>
            <w:gridSpan w:val="2"/>
            <w:tcBorders>
              <w:tl2br w:val="nil"/>
              <w:tr2bl w:val="nil"/>
            </w:tcBorders>
            <w:vAlign w:val="center"/>
          </w:tcPr>
          <w:p>
            <w:pPr>
              <w:tabs>
                <w:tab w:val="left" w:pos="567"/>
              </w:tabs>
              <w:jc w:val="both"/>
              <w:rPr>
                <w:rFonts w:hAnsi="宋体"/>
                <w:color w:val="000000" w:themeColor="text1"/>
                <w:kern w:val="2"/>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hAnsi="宋体"/>
                <w:color w:val="000000" w:themeColor="text1"/>
                <w:kern w:val="2"/>
                <w:szCs w:val="21"/>
                <w:highlight w:val="none"/>
                <w:lang w:val="zh-CN"/>
                <w14:textFill>
                  <w14:solidFill>
                    <w14:schemeClr w14:val="tx1"/>
                  </w14:solidFill>
                </w14:textFill>
              </w:rPr>
              <w:t>投标保证金采用转帐、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w:t>
            </w:r>
            <w:bookmarkStart w:id="170" w:name="_GoBack"/>
            <w:bookmarkEnd w:id="170"/>
            <w:r>
              <w:rPr>
                <w:rFonts w:hint="eastAsia" w:hAnsi="宋体"/>
                <w:color w:val="000000" w:themeColor="text1"/>
                <w:kern w:val="2"/>
                <w:szCs w:val="21"/>
                <w:highlight w:val="none"/>
                <w:lang w:val="zh-CN"/>
                <w14:textFill>
                  <w14:solidFill>
                    <w14:schemeClr w14:val="tx1"/>
                  </w14:solidFill>
                </w14:textFill>
              </w:rPr>
              <w:t>目编号。</w:t>
            </w:r>
          </w:p>
          <w:p>
            <w:pPr>
              <w:tabs>
                <w:tab w:val="left" w:pos="567"/>
              </w:tabs>
              <w:ind w:left="567" w:hanging="567"/>
              <w:jc w:val="both"/>
              <w:rPr>
                <w:rFonts w:hAnsi="宋体"/>
                <w:color w:val="000000" w:themeColor="text1"/>
                <w:kern w:val="2"/>
                <w:szCs w:val="21"/>
                <w:highlight w:val="none"/>
                <w:lang w:val="zh-CN"/>
                <w14:textFill>
                  <w14:solidFill>
                    <w14:schemeClr w14:val="tx1"/>
                  </w14:solidFill>
                </w14:textFill>
              </w:rPr>
            </w:pPr>
            <w:r>
              <w:rPr>
                <w:rFonts w:hint="eastAsia" w:hAnsi="宋体"/>
                <w:color w:val="000000" w:themeColor="text1"/>
                <w:kern w:val="2"/>
                <w:szCs w:val="21"/>
                <w:highlight w:val="none"/>
                <w:lang w:val="zh-CN"/>
                <w14:textFill>
                  <w14:solidFill>
                    <w14:schemeClr w14:val="tx1"/>
                  </w14:solidFill>
                </w14:textFill>
              </w:rPr>
              <w:t>投标保证金专用账户如下：</w:t>
            </w:r>
          </w:p>
          <w:p>
            <w:pPr>
              <w:tabs>
                <w:tab w:val="left" w:pos="567"/>
              </w:tabs>
              <w:ind w:firstLine="420" w:firstLineChars="200"/>
              <w:jc w:val="both"/>
              <w:rPr>
                <w:rFonts w:hAnsi="宋体" w:cs="宋体"/>
                <w:color w:val="000000" w:themeColor="text1"/>
                <w:kern w:val="2"/>
                <w:szCs w:val="21"/>
                <w:highlight w:val="none"/>
                <w:lang w:val="zh-CN"/>
                <w14:textFill>
                  <w14:solidFill>
                    <w14:schemeClr w14:val="tx1"/>
                  </w14:solidFill>
                </w14:textFill>
              </w:rPr>
            </w:pPr>
            <w:r>
              <w:rPr>
                <w:rFonts w:hint="eastAsia" w:hAnsi="宋体" w:cs="宋体"/>
                <w:color w:val="000000" w:themeColor="text1"/>
                <w:kern w:val="2"/>
                <w:szCs w:val="21"/>
                <w:highlight w:val="none"/>
                <w:lang w:val="zh-CN"/>
                <w14:textFill>
                  <w14:solidFill>
                    <w14:schemeClr w14:val="tx1"/>
                  </w14:solidFill>
                </w14:textFill>
              </w:rPr>
              <w:t xml:space="preserve">帐户名称： </w:t>
            </w:r>
            <w:r>
              <w:rPr>
                <w:rFonts w:hint="eastAsia" w:hAnsi="宋体" w:cs="宋体"/>
                <w:color w:val="000000" w:themeColor="text1"/>
                <w:kern w:val="2"/>
                <w:szCs w:val="21"/>
                <w:highlight w:val="none"/>
                <w:u w:val="single"/>
                <w14:textFill>
                  <w14:solidFill>
                    <w14:schemeClr w14:val="tx1"/>
                  </w14:solidFill>
                </w14:textFill>
              </w:rPr>
              <w:t xml:space="preserve">  </w:t>
            </w:r>
            <w:r>
              <w:rPr>
                <w:rFonts w:hint="eastAsia" w:hAnsi="宋体" w:cs="宋体"/>
                <w:color w:val="000000" w:themeColor="text1"/>
                <w:kern w:val="2"/>
                <w:szCs w:val="21"/>
                <w:highlight w:val="none"/>
                <w:u w:val="single"/>
                <w:lang w:eastAsia="zh-CN"/>
                <w14:textFill>
                  <w14:solidFill>
                    <w14:schemeClr w14:val="tx1"/>
                  </w14:solidFill>
                </w14:textFill>
              </w:rPr>
              <w:t>广东政通招标有限公司</w:t>
            </w:r>
            <w:r>
              <w:rPr>
                <w:rFonts w:hint="eastAsia" w:hAnsi="宋体" w:cs="宋体"/>
                <w:color w:val="000000" w:themeColor="text1"/>
                <w:kern w:val="2"/>
                <w:szCs w:val="21"/>
                <w:highlight w:val="none"/>
                <w:u w:val="single"/>
                <w14:textFill>
                  <w14:solidFill>
                    <w14:schemeClr w14:val="tx1"/>
                  </w14:solidFill>
                </w14:textFill>
              </w:rPr>
              <w:t xml:space="preserve">  </w:t>
            </w:r>
            <w:r>
              <w:rPr>
                <w:rFonts w:hint="eastAsia" w:hAnsi="宋体" w:cs="宋体"/>
                <w:color w:val="000000" w:themeColor="text1"/>
                <w:kern w:val="2"/>
                <w:szCs w:val="21"/>
                <w:highlight w:val="none"/>
                <w:lang w:val="zh-CN"/>
                <w14:textFill>
                  <w14:solidFill>
                    <w14:schemeClr w14:val="tx1"/>
                  </w14:solidFill>
                </w14:textFill>
              </w:rPr>
              <w:t>；</w:t>
            </w:r>
          </w:p>
          <w:p>
            <w:pPr>
              <w:tabs>
                <w:tab w:val="left" w:pos="567"/>
              </w:tabs>
              <w:ind w:firstLine="420" w:firstLineChars="200"/>
              <w:jc w:val="both"/>
              <w:rPr>
                <w:rFonts w:hAnsi="宋体" w:cs="宋体"/>
                <w:color w:val="000000" w:themeColor="text1"/>
                <w:kern w:val="2"/>
                <w:szCs w:val="21"/>
                <w:highlight w:val="none"/>
                <w:lang w:val="zh-CN"/>
                <w14:textFill>
                  <w14:solidFill>
                    <w14:schemeClr w14:val="tx1"/>
                  </w14:solidFill>
                </w14:textFill>
              </w:rPr>
            </w:pPr>
            <w:r>
              <w:rPr>
                <w:rFonts w:hint="eastAsia" w:hAnsi="宋体" w:cs="宋体"/>
                <w:color w:val="000000" w:themeColor="text1"/>
                <w:kern w:val="2"/>
                <w:szCs w:val="21"/>
                <w:highlight w:val="none"/>
                <w:lang w:val="zh-CN"/>
                <w14:textFill>
                  <w14:solidFill>
                    <w14:schemeClr w14:val="tx1"/>
                  </w14:solidFill>
                </w14:textFill>
              </w:rPr>
              <w:t xml:space="preserve">开户银行： </w:t>
            </w:r>
            <w:r>
              <w:rPr>
                <w:rFonts w:hint="eastAsia" w:hAnsi="宋体" w:cs="宋体"/>
                <w:color w:val="000000" w:themeColor="text1"/>
                <w:kern w:val="2"/>
                <w:szCs w:val="21"/>
                <w:highlight w:val="none"/>
                <w:u w:val="single"/>
                <w14:textFill>
                  <w14:solidFill>
                    <w14:schemeClr w14:val="tx1"/>
                  </w14:solidFill>
                </w14:textFill>
              </w:rPr>
              <w:t xml:space="preserve"> </w:t>
            </w:r>
            <w:r>
              <w:rPr>
                <w:rFonts w:hint="eastAsia" w:hAnsi="宋体" w:cs="宋体"/>
                <w:color w:val="000000" w:themeColor="text1"/>
                <w:kern w:val="2"/>
                <w:szCs w:val="21"/>
                <w:highlight w:val="none"/>
                <w:u w:val="single"/>
                <w:lang w:eastAsia="zh-CN"/>
                <w14:textFill>
                  <w14:solidFill>
                    <w14:schemeClr w14:val="tx1"/>
                  </w14:solidFill>
                </w14:textFill>
              </w:rPr>
              <w:t>广发银行股份有限公司东莞众利路支行</w:t>
            </w:r>
            <w:r>
              <w:rPr>
                <w:rFonts w:hint="eastAsia" w:hAnsi="宋体" w:cs="宋体"/>
                <w:color w:val="000000" w:themeColor="text1"/>
                <w:kern w:val="2"/>
                <w:szCs w:val="21"/>
                <w:highlight w:val="none"/>
                <w:u w:val="single"/>
                <w14:textFill>
                  <w14:solidFill>
                    <w14:schemeClr w14:val="tx1"/>
                  </w14:solidFill>
                </w14:textFill>
              </w:rPr>
              <w:t xml:space="preserve">  </w:t>
            </w:r>
            <w:r>
              <w:rPr>
                <w:rFonts w:hint="eastAsia" w:hAnsi="宋体" w:cs="宋体"/>
                <w:color w:val="000000" w:themeColor="text1"/>
                <w:kern w:val="2"/>
                <w:szCs w:val="21"/>
                <w:highlight w:val="none"/>
                <w:lang w:val="zh-CN"/>
                <w14:textFill>
                  <w14:solidFill>
                    <w14:schemeClr w14:val="tx1"/>
                  </w14:solidFill>
                </w14:textFill>
              </w:rPr>
              <w:t>；</w:t>
            </w:r>
          </w:p>
          <w:p>
            <w:pPr>
              <w:tabs>
                <w:tab w:val="left" w:pos="567"/>
              </w:tabs>
              <w:ind w:firstLine="420" w:firstLineChars="200"/>
              <w:jc w:val="both"/>
              <w:rPr>
                <w:rFonts w:hAnsi="宋体" w:cs="宋体"/>
                <w:color w:val="000000" w:themeColor="text1"/>
                <w:kern w:val="2"/>
                <w:szCs w:val="21"/>
                <w:highlight w:val="none"/>
                <w:lang w:val="zh-CN"/>
                <w14:textFill>
                  <w14:solidFill>
                    <w14:schemeClr w14:val="tx1"/>
                  </w14:solidFill>
                </w14:textFill>
              </w:rPr>
            </w:pPr>
            <w:r>
              <w:rPr>
                <w:rFonts w:hint="eastAsia" w:hAnsi="宋体" w:cs="宋体"/>
                <w:color w:val="000000" w:themeColor="text1"/>
                <w:kern w:val="2"/>
                <w:szCs w:val="21"/>
                <w:highlight w:val="none"/>
                <w:lang w:val="zh-CN"/>
                <w14:textFill>
                  <w14:solidFill>
                    <w14:schemeClr w14:val="tx1"/>
                  </w14:solidFill>
                </w14:textFill>
              </w:rPr>
              <w:t>银行帐号：</w:t>
            </w:r>
            <w:r>
              <w:rPr>
                <w:rFonts w:hint="eastAsia" w:hAnsi="宋体" w:cs="宋体"/>
                <w:color w:val="000000" w:themeColor="text1"/>
                <w:kern w:val="2"/>
                <w:szCs w:val="21"/>
                <w:highlight w:val="none"/>
                <w:u w:val="single"/>
                <w:lang w:val="zh-CN"/>
                <w14:textFill>
                  <w14:solidFill>
                    <w14:schemeClr w14:val="tx1"/>
                  </w14:solidFill>
                </w14:textFill>
              </w:rPr>
              <w:t xml:space="preserve"> 6232590699050071941</w:t>
            </w:r>
            <w:r>
              <w:rPr>
                <w:rFonts w:hint="eastAsia" w:hAnsi="宋体" w:cs="宋体"/>
                <w:color w:val="000000" w:themeColor="text1"/>
                <w:kern w:val="2"/>
                <w:szCs w:val="21"/>
                <w:highlight w:val="none"/>
                <w:lang w:val="zh-CN"/>
                <w14:textFill>
                  <w14:solidFill>
                    <w14:schemeClr w14:val="tx1"/>
                  </w14:solidFill>
                </w14:textFill>
              </w:rPr>
              <w:t>；</w:t>
            </w:r>
            <w:r>
              <w:rPr>
                <w:rFonts w:hint="eastAsia" w:hAnsi="宋体" w:cs="宋体"/>
                <w:color w:val="000000" w:themeColor="text1"/>
                <w:kern w:val="2"/>
                <w:szCs w:val="21"/>
                <w:highlight w:val="none"/>
                <w:u w:val="single"/>
                <w14:textFill>
                  <w14:solidFill>
                    <w14:schemeClr w14:val="tx1"/>
                  </w14:solidFill>
                </w14:textFill>
              </w:rPr>
              <w:t xml:space="preserve">  </w:t>
            </w:r>
          </w:p>
          <w:p>
            <w:pPr>
              <w:tabs>
                <w:tab w:val="left" w:pos="567"/>
              </w:tabs>
              <w:ind w:firstLine="422" w:firstLineChars="200"/>
              <w:jc w:val="both"/>
              <w:rPr>
                <w:rFonts w:ascii="宋体" w:hAnsi="宋体"/>
                <w:b/>
                <w:color w:val="000000" w:themeColor="text1"/>
                <w:szCs w:val="21"/>
                <w:highlight w:val="none"/>
                <w14:textFill>
                  <w14:solidFill>
                    <w14:schemeClr w14:val="tx1"/>
                  </w14:solidFill>
                </w14:textFill>
              </w:rPr>
            </w:pPr>
            <w:r>
              <w:rPr>
                <w:rFonts w:hint="eastAsia" w:hAnsi="宋体" w:cs="宋体"/>
                <w:b/>
                <w:color w:val="000000" w:themeColor="text1"/>
                <w:szCs w:val="21"/>
                <w:highlight w:val="none"/>
                <w14:textFill>
                  <w14:solidFill>
                    <w14:schemeClr w14:val="tx1"/>
                  </w14:solidFill>
                </w14:textFill>
              </w:rPr>
              <w:t>（注：各投标人在转帐或电汇时须在用途栏上备注项目编号，及项目名称，如有字数限制项目名称可简写。）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tcBorders>
              <w:tl2br w:val="nil"/>
              <w:tr2bl w:val="nil"/>
            </w:tcBorders>
            <w:vAlign w:val="center"/>
          </w:tcPr>
          <w:p>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p>
        </w:tc>
        <w:tc>
          <w:tcPr>
            <w:tcW w:w="7532" w:type="dxa"/>
            <w:gridSpan w:val="2"/>
            <w:tcBorders>
              <w:tl2br w:val="nil"/>
              <w:tr2bl w:val="nil"/>
            </w:tcBorders>
            <w:vAlign w:val="center"/>
          </w:tcPr>
          <w:p>
            <w:pPr>
              <w:jc w:val="both"/>
              <w:rPr>
                <w:rFonts w:ascii="宋体" w:hAnsi="宋体"/>
                <w:b/>
                <w:bCs/>
                <w:color w:val="000000" w:themeColor="text1"/>
                <w:szCs w:val="21"/>
                <w:highlight w:val="none"/>
                <w:lang w:val="zh-CN"/>
                <w14:textFill>
                  <w14:solidFill>
                    <w14:schemeClr w14:val="tx1"/>
                  </w14:solidFill>
                </w14:textFill>
              </w:rPr>
            </w:pPr>
            <w:r>
              <w:rPr>
                <w:rFonts w:hint="eastAsia" w:ascii="宋体" w:hAnsi="宋体"/>
                <w:b/>
                <w:bCs/>
                <w:color w:val="000000" w:themeColor="text1"/>
                <w:szCs w:val="21"/>
                <w:highlight w:val="none"/>
                <w:lang w:val="zh-CN"/>
                <w14:textFill>
                  <w14:solidFill>
                    <w14:schemeClr w14:val="tx1"/>
                  </w14:solidFill>
                </w14:textFill>
              </w:rPr>
              <w:t>投标保证金退还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704"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7532" w:type="dxa"/>
            <w:gridSpan w:val="2"/>
            <w:tcBorders>
              <w:tl2br w:val="nil"/>
              <w:tr2bl w:val="nil"/>
            </w:tcBorders>
            <w:vAlign w:val="center"/>
          </w:tcPr>
          <w:p>
            <w:pPr>
              <w:jc w:val="both"/>
              <w:rPr>
                <w:rFonts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zh-CN"/>
                <w14:textFill>
                  <w14:solidFill>
                    <w14:schemeClr w14:val="tx1"/>
                  </w14:solidFill>
                </w14:textFill>
              </w:rPr>
              <w:t>）未中标的投标人的保证金应当在中标通知书发出后退还，中标</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lang w:val="zh-CN"/>
                <w14:textFill>
                  <w14:solidFill>
                    <w14:schemeClr w14:val="tx1"/>
                  </w14:solidFill>
                </w14:textFill>
              </w:rPr>
              <w:t>投标人的保证金应当在采购合同签订</w:t>
            </w:r>
            <w:r>
              <w:rPr>
                <w:rFonts w:hint="eastAsia" w:ascii="宋体" w:hAnsi="宋体"/>
                <w:color w:val="000000" w:themeColor="text1"/>
                <w:szCs w:val="21"/>
                <w:highlight w:val="none"/>
                <w14:textFill>
                  <w14:solidFill>
                    <w14:schemeClr w14:val="tx1"/>
                  </w14:solidFill>
                </w14:textFill>
              </w:rPr>
              <w:t>并缴纳履约保证金</w:t>
            </w:r>
            <w:r>
              <w:rPr>
                <w:rFonts w:hint="eastAsia" w:ascii="宋体" w:hAnsi="宋体"/>
                <w:color w:val="000000" w:themeColor="text1"/>
                <w:szCs w:val="21"/>
                <w:highlight w:val="none"/>
                <w:lang w:val="zh-CN"/>
                <w14:textFill>
                  <w14:solidFill>
                    <w14:schemeClr w14:val="tx1"/>
                  </w14:solidFill>
                </w14:textFill>
              </w:rPr>
              <w:t>后退还。</w:t>
            </w:r>
          </w:p>
          <w:p>
            <w:pPr>
              <w:jc w:val="both"/>
              <w:rPr>
                <w:color w:val="000000" w:themeColor="text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zh-CN"/>
                <w14:textFill>
                  <w14:solidFill>
                    <w14:schemeClr w14:val="tx1"/>
                  </w14:solidFill>
                </w14:textFill>
              </w:rPr>
              <w:t>）为方便退还未中标的投标人的保证金，投标人应制作《投标保证金汇入情况说明》随唱标信封一并递交。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w:t>
            </w:r>
          </w:p>
        </w:tc>
        <w:tc>
          <w:tcPr>
            <w:tcW w:w="7532" w:type="dxa"/>
            <w:gridSpan w:val="2"/>
            <w:tcBorders>
              <w:tl2br w:val="nil"/>
              <w:tr2bl w:val="nil"/>
            </w:tcBorders>
            <w:vAlign w:val="center"/>
          </w:tcPr>
          <w:p>
            <w:pPr>
              <w:jc w:val="both"/>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7532" w:type="dxa"/>
            <w:gridSpan w:val="2"/>
            <w:tcBorders>
              <w:tl2br w:val="nil"/>
              <w:tr2bl w:val="nil"/>
            </w:tcBorders>
            <w:vAlign w:val="center"/>
          </w:tcPr>
          <w:p>
            <w:pPr>
              <w:jc w:val="both"/>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九十天。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tcBorders>
              <w:tl2br w:val="nil"/>
              <w:tr2bl w:val="nil"/>
            </w:tcBorders>
            <w:vAlign w:val="center"/>
          </w:tcPr>
          <w:p>
            <w:pPr>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10</w:t>
            </w:r>
          </w:p>
        </w:tc>
        <w:tc>
          <w:tcPr>
            <w:tcW w:w="7532" w:type="dxa"/>
            <w:gridSpan w:val="2"/>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2608" w:type="dxa"/>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投标文件类型</w:t>
            </w:r>
          </w:p>
        </w:tc>
        <w:tc>
          <w:tcPr>
            <w:tcW w:w="4924" w:type="dxa"/>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份数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2608" w:type="dxa"/>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唱标信封</w:t>
            </w:r>
          </w:p>
        </w:tc>
        <w:tc>
          <w:tcPr>
            <w:tcW w:w="4924" w:type="dxa"/>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2608" w:type="dxa"/>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投标文件正本</w:t>
            </w:r>
          </w:p>
        </w:tc>
        <w:tc>
          <w:tcPr>
            <w:tcW w:w="4924" w:type="dxa"/>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2608" w:type="dxa"/>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投标文件副本</w:t>
            </w:r>
          </w:p>
        </w:tc>
        <w:tc>
          <w:tcPr>
            <w:tcW w:w="4924" w:type="dxa"/>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sym w:font="Wingdings 2" w:char="0052"/>
            </w:r>
            <w:r>
              <w:rPr>
                <w:rFonts w:hint="eastAsia" w:ascii="宋体" w:hAnsi="宋体"/>
                <w:b/>
                <w:color w:val="000000" w:themeColor="text1"/>
                <w:szCs w:val="21"/>
                <w:highlight w:val="none"/>
                <w14:textFill>
                  <w14:solidFill>
                    <w14:schemeClr w14:val="tx1"/>
                  </w14:solidFill>
                </w14:textFill>
              </w:rPr>
              <w:t xml:space="preserve">5  </w:t>
            </w:r>
            <w:r>
              <w:rPr>
                <w:rFonts w:hint="eastAsia" w:ascii="宋体" w:hAnsi="宋体"/>
                <w:b/>
                <w:color w:val="000000" w:themeColor="text1"/>
                <w:szCs w:val="21"/>
                <w:highlight w:val="none"/>
                <w14:textFill>
                  <w14:solidFill>
                    <w14:schemeClr w14:val="tx1"/>
                  </w14:solidFill>
                </w14:textFill>
              </w:rPr>
              <w:sym w:font="Wingdings 2" w:char="00A3"/>
            </w:r>
            <w:r>
              <w:rPr>
                <w:rFonts w:hint="eastAsia" w:ascii="宋体" w:hAnsi="宋体"/>
                <w:b/>
                <w:color w:val="000000" w:themeColor="text1"/>
                <w:szCs w:val="21"/>
                <w:highlight w:val="none"/>
                <w14:textFill>
                  <w14:solidFill>
                    <w14:schemeClr w14:val="tx1"/>
                  </w14:solidFill>
                </w14:textFill>
              </w:rPr>
              <w:t>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2608" w:type="dxa"/>
            <w:vMerge w:val="restart"/>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电子文档</w:t>
            </w:r>
          </w:p>
        </w:tc>
        <w:tc>
          <w:tcPr>
            <w:tcW w:w="4924" w:type="dxa"/>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2608" w:type="dxa"/>
            <w:vMerge w:val="continue"/>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p>
        </w:tc>
        <w:tc>
          <w:tcPr>
            <w:tcW w:w="4924" w:type="dxa"/>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cs="Times New Roman"/>
                <w:b/>
                <w:color w:val="000000" w:themeColor="text1"/>
                <w:szCs w:val="21"/>
                <w:highlight w:val="none"/>
                <w14:textFill>
                  <w14:solidFill>
                    <w14:schemeClr w14:val="tx1"/>
                  </w14:solidFill>
                </w14:textFill>
              </w:rPr>
              <w:t>U盘，须含盖章版PDF投标文件和WORD版投标文件各一版，文字采用WORD文档，计算表格采用 EXCEL文档。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3"/>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三、开标与评标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11</w:t>
            </w:r>
          </w:p>
        </w:tc>
        <w:tc>
          <w:tcPr>
            <w:tcW w:w="7532" w:type="dxa"/>
            <w:gridSpan w:val="2"/>
            <w:tcBorders>
              <w:tl2br w:val="nil"/>
              <w:tr2bl w:val="nil"/>
            </w:tcBorders>
            <w:vAlign w:val="center"/>
          </w:tcPr>
          <w:p>
            <w:pPr>
              <w:jc w:val="both"/>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本项目评标方法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7532" w:type="dxa"/>
            <w:gridSpan w:val="2"/>
            <w:tcBorders>
              <w:tl2br w:val="nil"/>
              <w:tr2bl w:val="nil"/>
            </w:tcBorders>
            <w:vAlign w:val="center"/>
          </w:tcPr>
          <w:p>
            <w:pPr>
              <w:jc w:val="both"/>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综合评分法。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tcBorders>
              <w:tl2br w:val="nil"/>
              <w:tr2bl w:val="nil"/>
            </w:tcBorders>
            <w:vAlign w:val="center"/>
          </w:tcPr>
          <w:p>
            <w:pPr>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12</w:t>
            </w:r>
          </w:p>
        </w:tc>
        <w:tc>
          <w:tcPr>
            <w:tcW w:w="7532" w:type="dxa"/>
            <w:gridSpan w:val="2"/>
            <w:tcBorders>
              <w:tl2br w:val="nil"/>
              <w:tr2bl w:val="nil"/>
            </w:tcBorders>
            <w:vAlign w:val="center"/>
          </w:tcPr>
          <w:p>
            <w:pPr>
              <w:jc w:val="both"/>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综合评分法评分因素和权重分值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7532" w:type="dxa"/>
            <w:gridSpan w:val="2"/>
            <w:tcBorders>
              <w:tl2br w:val="nil"/>
              <w:tr2bl w:val="nil"/>
            </w:tcBorders>
            <w:vAlign w:val="center"/>
          </w:tcPr>
          <w:p>
            <w:pPr>
              <w:jc w:val="both"/>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见附表二。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tcBorders>
              <w:tl2br w:val="nil"/>
              <w:tr2bl w:val="nil"/>
            </w:tcBorders>
            <w:vAlign w:val="center"/>
          </w:tcPr>
          <w:p>
            <w:pPr>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13</w:t>
            </w:r>
          </w:p>
        </w:tc>
        <w:tc>
          <w:tcPr>
            <w:tcW w:w="7532" w:type="dxa"/>
            <w:gridSpan w:val="2"/>
            <w:tcBorders>
              <w:tl2br w:val="nil"/>
              <w:tr2bl w:val="nil"/>
            </w:tcBorders>
            <w:vAlign w:val="center"/>
          </w:tcPr>
          <w:p>
            <w:pPr>
              <w:jc w:val="both"/>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评标委员会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7532" w:type="dxa"/>
            <w:gridSpan w:val="2"/>
            <w:tcBorders>
              <w:tl2br w:val="nil"/>
              <w:tr2bl w:val="nil"/>
            </w:tcBorders>
            <w:vAlign w:val="center"/>
          </w:tcPr>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评标委员会成员共</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lang w:eastAsia="zh-CN"/>
                <w14:textFill>
                  <w14:solidFill>
                    <w14:schemeClr w14:val="tx1"/>
                  </w14:solidFill>
                </w14:textFill>
              </w:rPr>
              <w:t>五</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人：</w:t>
            </w:r>
            <w:r>
              <w:rPr>
                <w:rFonts w:hint="eastAsia" w:ascii="宋体" w:hAnsi="宋体"/>
                <w:color w:val="000000" w:themeColor="text1"/>
                <w:szCs w:val="21"/>
                <w:highlight w:val="none"/>
                <w:lang w:val="zh-CN"/>
                <w14:textFill>
                  <w14:solidFill>
                    <w14:schemeClr w14:val="tx1"/>
                  </w14:solidFill>
                </w14:textFill>
              </w:rPr>
              <w:t>评标委员会由采购人</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lang w:val="zh-CN"/>
                <w14:textFill>
                  <w14:solidFill>
                    <w14:schemeClr w14:val="tx1"/>
                  </w14:solidFill>
                </w14:textFill>
              </w:rPr>
              <w:t>代表和</w:t>
            </w:r>
            <w:r>
              <w:rPr>
                <w:rFonts w:hint="eastAsia" w:ascii="宋体" w:hAnsi="宋体"/>
                <w:color w:val="000000" w:themeColor="text1"/>
                <w:szCs w:val="21"/>
                <w:highlight w:val="none"/>
                <w14:textFill>
                  <w14:solidFill>
                    <w14:schemeClr w14:val="tx1"/>
                  </w14:solidFill>
                </w14:textFill>
              </w:rPr>
              <w:t>有关方面的</w:t>
            </w:r>
            <w:r>
              <w:rPr>
                <w:rFonts w:hint="eastAsia" w:ascii="宋体" w:hAnsi="宋体"/>
                <w:color w:val="000000" w:themeColor="text1"/>
                <w:szCs w:val="21"/>
                <w:highlight w:val="none"/>
                <w:lang w:val="zh-CN"/>
                <w14:textFill>
                  <w14:solidFill>
                    <w14:schemeClr w14:val="tx1"/>
                  </w14:solidFill>
                </w14:textFill>
              </w:rPr>
              <w:t>专家组成，</w:t>
            </w:r>
            <w:r>
              <w:rPr>
                <w:rFonts w:hint="eastAsia" w:ascii="宋体" w:hAnsi="宋体"/>
                <w:color w:val="000000" w:themeColor="text1"/>
                <w:szCs w:val="21"/>
                <w:highlight w:val="none"/>
                <w14:textFill>
                  <w14:solidFill>
                    <w14:schemeClr w14:val="tx1"/>
                  </w14:solidFill>
                </w14:textFill>
              </w:rPr>
              <w:t>成员人数为五人或五人以上单数</w:t>
            </w:r>
            <w:r>
              <w:rPr>
                <w:rFonts w:hint="eastAsia" w:ascii="宋体" w:hAnsi="宋体"/>
                <w:color w:val="000000" w:themeColor="text1"/>
                <w:szCs w:val="21"/>
                <w:highlight w:val="none"/>
                <w:lang w:val="zh-CN"/>
                <w14:textFill>
                  <w14:solidFill>
                    <w14:schemeClr w14:val="tx1"/>
                  </w14:solidFill>
                </w14:textFill>
              </w:rPr>
              <w:t>，其中专家不得少于成员总数的三分之二。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trPr>
        <w:tc>
          <w:tcPr>
            <w:tcW w:w="8410" w:type="dxa"/>
            <w:gridSpan w:val="3"/>
            <w:tcBorders>
              <w:tl2br w:val="nil"/>
              <w:tr2bl w:val="nil"/>
            </w:tcBorders>
            <w:vAlign w:val="center"/>
          </w:tcPr>
          <w:p>
            <w:pPr>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四、授予合同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tcBorders>
              <w:tl2br w:val="nil"/>
              <w:tr2bl w:val="nil"/>
            </w:tcBorders>
            <w:vAlign w:val="center"/>
          </w:tcPr>
          <w:p>
            <w:pPr>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14</w:t>
            </w:r>
          </w:p>
        </w:tc>
        <w:tc>
          <w:tcPr>
            <w:tcW w:w="7532" w:type="dxa"/>
            <w:gridSpan w:val="2"/>
            <w:tcBorders>
              <w:tl2br w:val="nil"/>
              <w:tr2bl w:val="nil"/>
            </w:tcBorders>
            <w:shd w:val="clear" w:color="auto" w:fill="auto"/>
            <w:vAlign w:val="center"/>
          </w:tcPr>
          <w:p>
            <w:pPr>
              <w:jc w:val="both"/>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履约担保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7532" w:type="dxa"/>
            <w:gridSpan w:val="2"/>
            <w:tcBorders>
              <w:tl2br w:val="nil"/>
              <w:tr2bl w:val="nil"/>
            </w:tcBorders>
            <w:shd w:val="clear" w:color="auto" w:fill="auto"/>
            <w:vAlign w:val="center"/>
          </w:tcPr>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1.履约担保金额为：</w:t>
            </w:r>
            <w:r>
              <w:rPr>
                <w:rFonts w:hint="eastAsia" w:ascii="宋体" w:hAnsi="宋体"/>
                <w:color w:val="000000" w:themeColor="text1"/>
                <w:szCs w:val="21"/>
                <w:highlight w:val="none"/>
                <w:u w:val="single"/>
                <w14:textFill>
                  <w14:solidFill>
                    <w14:schemeClr w14:val="tx1"/>
                  </w14:solidFill>
                </w14:textFill>
              </w:rPr>
              <w:t xml:space="preserve"> 合同金额的10% 。</w:t>
            </w:r>
          </w:p>
          <w:p>
            <w:pPr>
              <w:jc w:val="both"/>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履约保证金账户信息</w:t>
            </w:r>
            <w:r>
              <w:rPr>
                <w:rFonts w:hint="eastAsia" w:ascii="宋体" w:hAnsi="宋体"/>
                <w:color w:val="000000" w:themeColor="text1"/>
                <w:szCs w:val="21"/>
                <w:highlight w:val="none"/>
                <w:lang w:eastAsia="zh-CN"/>
                <w14:textFill>
                  <w14:solidFill>
                    <w14:schemeClr w14:val="tx1"/>
                  </w14:solidFill>
                </w14:textFill>
              </w:rPr>
              <w:t>（中标结果公示后待中标单位与采购人协商确认）</w:t>
            </w:r>
          </w:p>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中标人在采购（合同签署）时提交履约担保，履约担保金额不超过成交合同金额的10%，如果中标人提交的履约保函的有效期先于合同要求的履约保函有效期到达，中标人应在原提交的履约保函有效期满前15天，无条件办理保函延期手续。否则，视为中标人违约，采购人可在保函到期前将保函金额转为现金存入履约保证金帐户。</w:t>
            </w:r>
          </w:p>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4.履约担保期限从合同签订之日起至项目完工验收合格并结算完毕后，经双方签字</w:t>
            </w:r>
            <w:r>
              <w:rPr>
                <w:rFonts w:hint="eastAsia" w:ascii="宋体" w:hAnsi="宋体"/>
                <w:color w:val="000000" w:themeColor="text1"/>
                <w:szCs w:val="21"/>
                <w:highlight w:val="none"/>
                <w:u w:val="single"/>
                <w14:textFill>
                  <w14:solidFill>
                    <w14:schemeClr w14:val="tx1"/>
                  </w14:solidFill>
                </w14:textFill>
              </w:rPr>
              <w:t xml:space="preserve"> 7 </w:t>
            </w:r>
            <w:r>
              <w:rPr>
                <w:rFonts w:hint="eastAsia" w:ascii="宋体" w:hAnsi="宋体"/>
                <w:color w:val="000000" w:themeColor="text1"/>
                <w:szCs w:val="21"/>
                <w:highlight w:val="none"/>
                <w14:textFill>
                  <w14:solidFill>
                    <w14:schemeClr w14:val="tx1"/>
                  </w14:solidFill>
                </w14:textFill>
              </w:rPr>
              <w:t>天内保持有效。</w:t>
            </w:r>
          </w:p>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5、履约担保要求：</w:t>
            </w:r>
          </w:p>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（1）履约保函。如果中标人的履约担保是以银行保函形式提供的，则该银行保函应：</w:t>
            </w:r>
          </w:p>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①保函应由银行支行或以上银行机构开具，非东莞市行政区内的银行开具的保函要由银行所在地公证部门出具的公证书。</w:t>
            </w:r>
          </w:p>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②保函的格式参考投标文件附件中提供的无条件不可撤销履约保函格式，保函担保期内若项目未能按期竣工，保函必须延期，办理延期手续时在银行方面所产生费用由中标人负责。</w:t>
            </w:r>
          </w:p>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③履约保函必须打印，手写、涂改无效。</w:t>
            </w:r>
          </w:p>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（2）履约保证金。可采用电汇、银行汇票等银行转帐方式提交，但不可以采用现金方式提交。中标人必须保证履约保证金以中标人名称在签订合同前提交至采购人指定账户。</w:t>
            </w:r>
          </w:p>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若中标人不能按本采购文件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（4）为取得履约担保所需的费用，由中标人承担；若工期延误，履约担保时间延长，延长费用由中标人承担。</w:t>
            </w:r>
          </w:p>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（6）下列任何情况发生时，采购人有权行使享有的担保权利：</w:t>
            </w:r>
          </w:p>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①中标人将本项目转让给他人，或者在投标文件中未说明，且未经采购人同意，将中标项目分包给他人的；</w:t>
            </w:r>
          </w:p>
          <w:p>
            <w:pPr>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②中标人在履行采购合同期间，违反有关法律法规的规定及合同约定的条款，损害了采购人的利益。</w:t>
            </w:r>
          </w:p>
          <w:p>
            <w:pPr>
              <w:jc w:val="both"/>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（7）在整个项目验收合格后，中标人向采购人提交退回履约担保的申请，采购人办理履约担保退还手续。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878" w:type="dxa"/>
            <w:vMerge w:val="restart"/>
            <w:tcBorders>
              <w:tl2br w:val="nil"/>
              <w:tr2bl w:val="nil"/>
            </w:tcBorders>
            <w:vAlign w:val="center"/>
          </w:tcPr>
          <w:p>
            <w:pPr>
              <w:jc w:val="center"/>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15</w:t>
            </w:r>
          </w:p>
        </w:tc>
        <w:tc>
          <w:tcPr>
            <w:tcW w:w="7532" w:type="dxa"/>
            <w:gridSpan w:val="2"/>
            <w:tcBorders>
              <w:tl2br w:val="nil"/>
              <w:tr2bl w:val="nil"/>
            </w:tcBorders>
            <w:vAlign w:val="center"/>
          </w:tcPr>
          <w:p>
            <w:pPr>
              <w:jc w:val="both"/>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中标服务费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780" w:hRule="atLeast"/>
        </w:trPr>
        <w:tc>
          <w:tcPr>
            <w:tcW w:w="878" w:type="dxa"/>
            <w:vMerge w:val="continue"/>
            <w:tcBorders>
              <w:tl2br w:val="nil"/>
              <w:tr2bl w:val="nil"/>
            </w:tcBorders>
            <w:vAlign w:val="center"/>
          </w:tcPr>
          <w:p>
            <w:pPr>
              <w:jc w:val="center"/>
              <w:rPr>
                <w:rFonts w:ascii="宋体" w:hAnsi="宋体"/>
                <w:color w:val="000000" w:themeColor="text1"/>
                <w:szCs w:val="21"/>
                <w:highlight w:val="none"/>
                <w14:textFill>
                  <w14:solidFill>
                    <w14:schemeClr w14:val="tx1"/>
                  </w14:solidFill>
                </w14:textFill>
              </w:rPr>
            </w:pPr>
          </w:p>
        </w:tc>
        <w:tc>
          <w:tcPr>
            <w:tcW w:w="7532" w:type="dxa"/>
            <w:gridSpan w:val="2"/>
            <w:tcBorders>
              <w:tl2br w:val="nil"/>
              <w:tr2bl w:val="nil"/>
            </w:tcBorders>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jc w:val="both"/>
              <w:textAlignment w:val="auto"/>
              <w:rPr>
                <w:rFonts w:ascii="宋体" w:hAnsi="宋体" w:eastAsia="宋体" w:cstheme="minorBidi"/>
                <w:color w:val="000000" w:themeColor="text1"/>
                <w:sz w:val="21"/>
                <w:szCs w:val="21"/>
                <w:highlight w:val="none"/>
                <w:lang w:val="en-US" w:eastAsia="zh-CN" w:bidi="ar-SA"/>
                <w14:textFill>
                  <w14:solidFill>
                    <w14:schemeClr w14:val="tx1"/>
                  </w14:solidFill>
                </w14:textFill>
              </w:rPr>
            </w:pPr>
            <w:r>
              <w:rPr>
                <w:rFonts w:hint="eastAsia" w:ascii="宋体" w:hAnsi="宋体" w:eastAsia="宋体"/>
                <w:color w:val="000000" w:themeColor="text1"/>
                <w:szCs w:val="21"/>
                <w:highlight w:val="none"/>
                <w14:textFill>
                  <w14:solidFill>
                    <w14:schemeClr w14:val="tx1"/>
                  </w14:solidFill>
                </w14:textFill>
              </w:rPr>
              <w:t>（1）中标服务费</w:t>
            </w:r>
            <w:r>
              <w:rPr>
                <w:rFonts w:hint="eastAsia" w:ascii="宋体" w:hAnsi="宋体" w:eastAsia="宋体"/>
                <w:color w:val="000000" w:themeColor="text1"/>
                <w:szCs w:val="21"/>
                <w:highlight w:val="none"/>
                <w:lang w:eastAsia="zh-CN"/>
                <w14:textFill>
                  <w14:solidFill>
                    <w14:schemeClr w14:val="tx1"/>
                  </w14:solidFill>
                </w14:textFill>
              </w:rPr>
              <w:t>参照</w:t>
            </w:r>
            <w:r>
              <w:rPr>
                <w:rFonts w:hint="eastAsia" w:ascii="宋体" w:hAnsi="宋体" w:eastAsia="宋体"/>
                <w:color w:val="000000" w:themeColor="text1"/>
                <w:szCs w:val="21"/>
                <w:highlight w:val="none"/>
                <w14:textFill>
                  <w14:solidFill>
                    <w14:schemeClr w14:val="tx1"/>
                  </w14:solidFill>
                </w14:textFill>
              </w:rPr>
              <w:t>国家计委[计价格[2002]1980号]文和国家发改委[发改价格[2011]534号]文及相关规定</w:t>
            </w:r>
            <w:r>
              <w:rPr>
                <w:rFonts w:hint="eastAsia" w:ascii="宋体" w:hAnsi="宋体" w:eastAsia="宋体"/>
                <w:color w:val="000000" w:themeColor="text1"/>
                <w:szCs w:val="21"/>
                <w:highlight w:val="none"/>
                <w:lang w:eastAsia="zh-CN"/>
                <w14:textFill>
                  <w14:solidFill>
                    <w14:schemeClr w14:val="tx1"/>
                  </w14:solidFill>
                </w14:textFill>
              </w:rPr>
              <w:t>并下浮</w:t>
            </w:r>
            <w:r>
              <w:rPr>
                <w:rFonts w:hint="eastAsia" w:ascii="宋体" w:hAnsi="宋体" w:eastAsia="宋体"/>
                <w:color w:val="000000" w:themeColor="text1"/>
                <w:szCs w:val="21"/>
                <w:highlight w:val="none"/>
                <w:lang w:val="en-US" w:eastAsia="zh-CN"/>
                <w14:textFill>
                  <w14:solidFill>
                    <w14:schemeClr w14:val="tx1"/>
                  </w14:solidFill>
                </w14:textFill>
              </w:rPr>
              <w:t>20%</w:t>
            </w:r>
            <w:r>
              <w:rPr>
                <w:rFonts w:hint="eastAsia" w:ascii="宋体" w:hAnsi="宋体" w:eastAsia="宋体"/>
                <w:color w:val="000000" w:themeColor="text1"/>
                <w:szCs w:val="21"/>
                <w:highlight w:val="none"/>
                <w14:textFill>
                  <w14:solidFill>
                    <w14:schemeClr w14:val="tx1"/>
                  </w14:solidFill>
                </w14:textFill>
              </w:rPr>
              <w:t>向中标单位收取，按差额定率累进法计算，以中标通知书中确定的中标总金额作为收费的计算</w:t>
            </w:r>
            <w:r>
              <w:rPr>
                <w:rFonts w:hint="eastAsia" w:ascii="宋体" w:hAnsi="宋体" w:eastAsia="宋体"/>
                <w:color w:val="000000" w:themeColor="text1"/>
                <w:szCs w:val="21"/>
                <w:highlight w:val="none"/>
                <w:lang w:eastAsia="zh-CN"/>
                <w14:textFill>
                  <w14:solidFill>
                    <w14:schemeClr w14:val="tx1"/>
                  </w14:solidFill>
                </w14:textFill>
              </w:rPr>
              <w:t>参照</w:t>
            </w:r>
            <w:r>
              <w:rPr>
                <w:rFonts w:hint="eastAsia" w:ascii="宋体" w:hAnsi="宋体" w:eastAsia="宋体"/>
                <w:color w:val="000000" w:themeColor="text1"/>
                <w:szCs w:val="21"/>
                <w:highlight w:val="none"/>
                <w14:textFill>
                  <w14:solidFill>
                    <w14:schemeClr w14:val="tx1"/>
                  </w14:solidFill>
                </w14:textFill>
              </w:rPr>
              <w:t>；中标服务费最低收费标准为</w:t>
            </w:r>
            <w:r>
              <w:rPr>
                <w:rFonts w:hint="eastAsia" w:ascii="宋体" w:hAnsi="宋体" w:eastAsia="宋体"/>
                <w:color w:val="000000" w:themeColor="text1"/>
                <w:szCs w:val="21"/>
                <w:highlight w:val="none"/>
                <w:lang w:eastAsia="zh-CN"/>
                <w14:textFill>
                  <w14:solidFill>
                    <w14:schemeClr w14:val="tx1"/>
                  </w14:solidFill>
                </w14:textFill>
              </w:rPr>
              <w:t>陆</w:t>
            </w:r>
            <w:r>
              <w:rPr>
                <w:rFonts w:hint="eastAsia" w:ascii="宋体" w:hAnsi="宋体" w:eastAsia="宋体"/>
                <w:color w:val="000000" w:themeColor="text1"/>
                <w:szCs w:val="21"/>
                <w:highlight w:val="none"/>
                <w14:textFill>
                  <w14:solidFill>
                    <w14:schemeClr w14:val="tx1"/>
                  </w14:solidFill>
                </w14:textFill>
              </w:rPr>
              <w:t>仟元整。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431" w:hRule="atLeast"/>
        </w:trPr>
        <w:tc>
          <w:tcPr>
            <w:tcW w:w="878" w:type="dxa"/>
            <w:vMerge w:val="continue"/>
            <w:tcBorders>
              <w:tl2br w:val="nil"/>
              <w:tr2bl w:val="nil"/>
            </w:tcBorders>
            <w:vAlign w:val="center"/>
          </w:tcPr>
          <w:p>
            <w:pPr>
              <w:jc w:val="center"/>
              <w:rPr>
                <w:rFonts w:hint="default" w:ascii="宋体" w:hAnsi="宋体" w:eastAsia="宋体"/>
                <w:color w:val="000000" w:themeColor="text1"/>
                <w:szCs w:val="21"/>
                <w:highlight w:val="none"/>
                <w:lang w:val="en-US" w:eastAsia="zh-CN"/>
                <w14:textFill>
                  <w14:solidFill>
                    <w14:schemeClr w14:val="tx1"/>
                  </w14:solidFill>
                </w14:textFill>
              </w:rPr>
            </w:pPr>
          </w:p>
        </w:tc>
        <w:tc>
          <w:tcPr>
            <w:tcW w:w="7532" w:type="dxa"/>
            <w:gridSpan w:val="2"/>
            <w:tcBorders>
              <w:tl2br w:val="nil"/>
              <w:tr2bl w:val="nil"/>
            </w:tcBorders>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（2）中标服务费以转账或现金的形式支付。采购代理机构服务费汇入账号：</w:t>
            </w:r>
          </w:p>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jc w:val="both"/>
              <w:textAlignment w:val="auto"/>
              <w:rPr>
                <w:rFonts w:hint="eastAsia" w:ascii="宋体" w:hAnsi="宋体" w:eastAsia="宋体"/>
                <w:color w:val="000000" w:themeColor="text1"/>
                <w:sz w:val="21"/>
                <w:szCs w:val="21"/>
                <w:highlight w:val="none"/>
                <w:lang w:eastAsia="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收 款 人：</w:t>
            </w:r>
            <w:r>
              <w:rPr>
                <w:rFonts w:hint="eastAsia" w:ascii="宋体" w:hAnsi="宋体" w:eastAsia="宋体"/>
                <w:color w:val="000000" w:themeColor="text1"/>
                <w:sz w:val="21"/>
                <w:szCs w:val="21"/>
                <w:highlight w:val="none"/>
                <w:lang w:eastAsia="zh-CN"/>
                <w14:textFill>
                  <w14:solidFill>
                    <w14:schemeClr w14:val="tx1"/>
                  </w14:solidFill>
                </w14:textFill>
              </w:rPr>
              <w:t>广东政通招标有限公司</w:t>
            </w:r>
          </w:p>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jc w:val="both"/>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开户银行：广发银行股份有限公司东莞南城支行</w:t>
            </w:r>
          </w:p>
          <w:p>
            <w:pPr>
              <w:jc w:val="both"/>
              <w:rPr>
                <w:rFonts w:ascii="宋体" w:hAnsi="宋体" w:eastAsia="宋体" w:cstheme="minorBidi"/>
                <w:color w:val="000000" w:themeColor="text1"/>
                <w:sz w:val="21"/>
                <w:szCs w:val="21"/>
                <w:highlight w:val="none"/>
                <w:lang w:val="en-US" w:eastAsia="zh-CN" w:bidi="ar-SA"/>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账　　号：9550880331235700173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087" w:hRule="atLeast"/>
        </w:trPr>
        <w:tc>
          <w:tcPr>
            <w:tcW w:w="8410" w:type="dxa"/>
            <w:gridSpan w:val="3"/>
            <w:tcBorders>
              <w:tl2br w:val="nil"/>
              <w:tr2bl w:val="nil"/>
            </w:tcBorders>
            <w:vAlign w:val="center"/>
          </w:tcPr>
          <w:p>
            <w:pPr>
              <w:widowControl w:val="0"/>
              <w:tabs>
                <w:tab w:val="left" w:pos="907"/>
              </w:tabs>
              <w:adjustRightInd/>
              <w:snapToGrid/>
              <w:ind w:firstLine="420" w:firstLineChars="200"/>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注：本表关于要采购项目的具体资料，是对投标人须知的具体补充和修改，如有矛盾，应以本资料表为准。不满足采购文件中 “★”条款的投标文件将作无效投标处理。</w:t>
            </w:r>
          </w:p>
        </w:tc>
      </w:tr>
    </w:tbl>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4"/>
        <w:spacing w:before="0" w:after="0" w:line="240" w:lineRule="auto"/>
        <w:jc w:val="center"/>
        <w:rPr>
          <w:rFonts w:hAnsi="宋体" w:cs="宋体"/>
          <w:color w:val="000000" w:themeColor="text1"/>
          <w:sz w:val="21"/>
          <w:szCs w:val="21"/>
          <w:highlight w:val="none"/>
          <w14:textFill>
            <w14:solidFill>
              <w14:schemeClr w14:val="tx1"/>
            </w14:solidFill>
          </w14:textFill>
        </w:rPr>
      </w:pPr>
      <w:bookmarkStart w:id="4" w:name="_Toc31223"/>
      <w:bookmarkStart w:id="5" w:name="_Toc13435"/>
      <w:r>
        <w:rPr>
          <w:rFonts w:hint="eastAsia" w:ascii="宋体" w:hAnsi="宋体" w:cs="宋体"/>
          <w:color w:val="000000" w:themeColor="text1"/>
          <w:sz w:val="24"/>
          <w:szCs w:val="24"/>
          <w:highlight w:val="none"/>
          <w14:textFill>
            <w14:solidFill>
              <w14:schemeClr w14:val="tx1"/>
            </w14:solidFill>
          </w14:textFill>
        </w:rPr>
        <w:t>附表二：商务技术评分及价格权重表（满分100分）</w:t>
      </w:r>
      <w:bookmarkEnd w:id="4"/>
      <w:bookmarkEnd w:id="5"/>
    </w:p>
    <w:tbl>
      <w:tblPr>
        <w:tblStyle w:val="2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27"/>
        <w:gridCol w:w="883"/>
        <w:gridCol w:w="5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序号</w:t>
            </w:r>
          </w:p>
        </w:tc>
        <w:tc>
          <w:tcPr>
            <w:tcW w:w="1227"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评审项目</w:t>
            </w:r>
          </w:p>
        </w:tc>
        <w:tc>
          <w:tcPr>
            <w:tcW w:w="883"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分值</w:t>
            </w:r>
          </w:p>
        </w:tc>
        <w:tc>
          <w:tcPr>
            <w:tcW w:w="5722"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商务评审（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w:t>
            </w:r>
            <w:r>
              <w:rPr>
                <w:rFonts w:hint="eastAsia" w:asci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690" w:type="dxa"/>
            <w:tcBorders>
              <w:top w:val="single" w:color="auto" w:sz="4" w:space="0"/>
              <w:left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27" w:type="dxa"/>
            <w:tcBorders>
              <w:top w:val="single" w:color="auto" w:sz="4" w:space="0"/>
              <w:left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体系</w:t>
            </w:r>
            <w:r>
              <w:rPr>
                <w:rFonts w:hint="eastAsia" w:ascii="宋体" w:hAnsi="宋体" w:eastAsia="宋体" w:cs="宋体"/>
                <w:color w:val="000000" w:themeColor="text1"/>
                <w:sz w:val="21"/>
                <w:szCs w:val="21"/>
                <w:highlight w:val="none"/>
                <w:u w:val="none"/>
                <w:lang w:eastAsia="zh-CN"/>
                <w14:textFill>
                  <w14:solidFill>
                    <w14:schemeClr w14:val="tx1"/>
                  </w14:solidFill>
                </w14:textFill>
              </w:rPr>
              <w:t>认证</w:t>
            </w:r>
          </w:p>
        </w:tc>
        <w:tc>
          <w:tcPr>
            <w:tcW w:w="883"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w:t>
            </w:r>
          </w:p>
        </w:tc>
        <w:tc>
          <w:tcPr>
            <w:tcW w:w="5722" w:type="dxa"/>
            <w:tcBorders>
              <w:top w:val="single" w:color="auto" w:sz="4" w:space="0"/>
              <w:left w:val="single" w:color="auto" w:sz="4" w:space="0"/>
              <w:bottom w:val="single" w:color="auto" w:sz="4" w:space="0"/>
              <w:right w:val="single" w:color="auto" w:sz="4" w:space="0"/>
            </w:tcBorders>
            <w:vAlign w:val="center"/>
          </w:tcPr>
          <w:p>
            <w:pPr>
              <w:pStyle w:val="4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000000" w:themeColor="text1"/>
                <w:sz w:val="21"/>
                <w:szCs w:val="21"/>
                <w:highlight w:val="none"/>
                <w:u w:val="none"/>
                <w14:textFill>
                  <w14:solidFill>
                    <w14:schemeClr w14:val="tx1"/>
                  </w14:solidFill>
                </w14:textFill>
              </w:rPr>
            </w:pPr>
            <w:r>
              <w:rPr>
                <w:rFonts w:hint="eastAsia" w:ascii="宋体" w:hAnsi="宋体" w:eastAsia="宋体" w:cs="宋体"/>
                <w:bCs/>
                <w:color w:val="000000" w:themeColor="text1"/>
                <w:sz w:val="21"/>
                <w:szCs w:val="21"/>
                <w:highlight w:val="none"/>
                <w:u w:val="none"/>
                <w14:textFill>
                  <w14:solidFill>
                    <w14:schemeClr w14:val="tx1"/>
                  </w14:solidFill>
                </w14:textFill>
              </w:rPr>
              <w:t>投标人具有由国家认证认可监督管理部门批准设立的认证机构颁发的有效期内认证证书：</w:t>
            </w:r>
          </w:p>
          <w:p>
            <w:pPr>
              <w:pStyle w:val="4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000000" w:themeColor="text1"/>
                <w:sz w:val="21"/>
                <w:szCs w:val="21"/>
                <w:highlight w:val="none"/>
                <w:u w:val="none"/>
                <w14:textFill>
                  <w14:solidFill>
                    <w14:schemeClr w14:val="tx1"/>
                  </w14:solidFill>
                </w14:textFill>
              </w:rPr>
            </w:pPr>
            <w:r>
              <w:rPr>
                <w:rFonts w:hint="eastAsia" w:ascii="宋体" w:hAnsi="宋体" w:eastAsia="宋体" w:cs="宋体"/>
                <w:bCs/>
                <w:color w:val="000000" w:themeColor="text1"/>
                <w:sz w:val="21"/>
                <w:szCs w:val="21"/>
                <w:highlight w:val="none"/>
                <w:u w:val="none"/>
                <w14:textFill>
                  <w14:solidFill>
                    <w14:schemeClr w14:val="tx1"/>
                  </w14:solidFill>
                </w14:textFill>
              </w:rPr>
              <w:t>①质量管理体系认证；</w:t>
            </w:r>
          </w:p>
          <w:p>
            <w:pPr>
              <w:pStyle w:val="4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000000" w:themeColor="text1"/>
                <w:sz w:val="21"/>
                <w:szCs w:val="21"/>
                <w:highlight w:val="none"/>
                <w:u w:val="none"/>
                <w14:textFill>
                  <w14:solidFill>
                    <w14:schemeClr w14:val="tx1"/>
                  </w14:solidFill>
                </w14:textFill>
              </w:rPr>
            </w:pPr>
            <w:r>
              <w:rPr>
                <w:rFonts w:hint="eastAsia" w:ascii="宋体" w:hAnsi="宋体" w:eastAsia="宋体" w:cs="宋体"/>
                <w:bCs/>
                <w:color w:val="000000" w:themeColor="text1"/>
                <w:sz w:val="21"/>
                <w:szCs w:val="21"/>
                <w:highlight w:val="none"/>
                <w:u w:val="none"/>
                <w14:textFill>
                  <w14:solidFill>
                    <w14:schemeClr w14:val="tx1"/>
                  </w14:solidFill>
                </w14:textFill>
              </w:rPr>
              <w:t>②环境管理体系认证；</w:t>
            </w:r>
          </w:p>
          <w:p>
            <w:pPr>
              <w:pStyle w:val="4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000000" w:themeColor="text1"/>
                <w:sz w:val="21"/>
                <w:szCs w:val="21"/>
                <w:highlight w:val="none"/>
                <w:u w:val="none"/>
                <w14:textFill>
                  <w14:solidFill>
                    <w14:schemeClr w14:val="tx1"/>
                  </w14:solidFill>
                </w14:textFill>
              </w:rPr>
            </w:pPr>
            <w:r>
              <w:rPr>
                <w:rFonts w:hint="eastAsia" w:ascii="宋体" w:hAnsi="宋体" w:eastAsia="宋体" w:cs="宋体"/>
                <w:bCs/>
                <w:color w:val="000000" w:themeColor="text1"/>
                <w:sz w:val="21"/>
                <w:szCs w:val="21"/>
                <w:highlight w:val="none"/>
                <w:u w:val="none"/>
                <w14:textFill>
                  <w14:solidFill>
                    <w14:schemeClr w14:val="tx1"/>
                  </w14:solidFill>
                </w14:textFill>
              </w:rPr>
              <w:t>③职业健康安全管理体系认证；</w:t>
            </w:r>
          </w:p>
          <w:p>
            <w:pPr>
              <w:pStyle w:val="4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000000" w:themeColor="text1"/>
                <w:sz w:val="21"/>
                <w:szCs w:val="21"/>
                <w:highlight w:val="none"/>
                <w:u w:val="none"/>
                <w14:textFill>
                  <w14:solidFill>
                    <w14:schemeClr w14:val="tx1"/>
                  </w14:solidFill>
                </w14:textFill>
              </w:rPr>
            </w:pPr>
            <w:r>
              <w:rPr>
                <w:rFonts w:hint="eastAsia" w:ascii="宋体" w:hAnsi="宋体" w:eastAsia="宋体" w:cs="宋体"/>
                <w:bCs/>
                <w:color w:val="000000" w:themeColor="text1"/>
                <w:sz w:val="21"/>
                <w:szCs w:val="21"/>
                <w:highlight w:val="none"/>
                <w:u w:val="none"/>
                <w14:textFill>
                  <w14:solidFill>
                    <w14:schemeClr w14:val="tx1"/>
                  </w14:solidFill>
                </w14:textFill>
              </w:rPr>
              <w:t>每提供一项得</w:t>
            </w:r>
            <w:r>
              <w:rPr>
                <w:rFonts w:hint="eastAsia" w:ascii="宋体" w:hAnsi="宋体" w:eastAsia="宋体" w:cs="宋体"/>
                <w:bCs/>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u w:val="none"/>
                <w14:textFill>
                  <w14:solidFill>
                    <w14:schemeClr w14:val="tx1"/>
                  </w14:solidFill>
                </w14:textFill>
              </w:rPr>
              <w:t>分，本项最高得</w:t>
            </w:r>
            <w:r>
              <w:rPr>
                <w:rFonts w:hint="eastAsia" w:ascii="宋体" w:hAnsi="宋体" w:eastAsia="宋体" w:cs="宋体"/>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u w:val="none"/>
                <w14:textFill>
                  <w14:solidFill>
                    <w14:schemeClr w14:val="tx1"/>
                  </w14:solidFill>
                </w14:textFill>
              </w:rPr>
              <w:t>分。</w:t>
            </w:r>
          </w:p>
          <w:p>
            <w:pPr>
              <w:pStyle w:val="42"/>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default" w:ascii="宋体" w:hAnsi="宋体" w:eastAsia="宋体" w:cs="宋体"/>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u w:val="none"/>
                <w:lang w:val="zh-CN"/>
                <w14:textFill>
                  <w14:solidFill>
                    <w14:schemeClr w14:val="tx1"/>
                  </w14:solidFill>
                </w14:textFill>
              </w:rPr>
              <w:t>注：须提供有效证书复印件加盖</w:t>
            </w:r>
            <w:r>
              <w:rPr>
                <w:rFonts w:hint="eastAsia" w:ascii="宋体" w:hAnsi="宋体" w:eastAsia="宋体" w:cs="宋体"/>
                <w:b/>
                <w:color w:val="000000" w:themeColor="text1"/>
                <w:sz w:val="21"/>
                <w:szCs w:val="21"/>
                <w:highlight w:val="none"/>
                <w:u w:val="none"/>
                <w14:textFill>
                  <w14:solidFill>
                    <w14:schemeClr w14:val="tx1"/>
                  </w14:solidFill>
                </w14:textFill>
              </w:rPr>
              <w:t>投标人</w:t>
            </w:r>
            <w:r>
              <w:rPr>
                <w:rFonts w:hint="eastAsia" w:ascii="宋体" w:hAnsi="宋体" w:eastAsia="宋体" w:cs="宋体"/>
                <w:b/>
                <w:color w:val="000000" w:themeColor="text1"/>
                <w:sz w:val="21"/>
                <w:szCs w:val="21"/>
                <w:highlight w:val="none"/>
                <w:u w:val="none"/>
                <w:lang w:val="zh-CN"/>
                <w14:textFill>
                  <w14:solidFill>
                    <w14:schemeClr w14:val="tx1"/>
                  </w14:solidFill>
                </w14:textFill>
              </w:rPr>
              <w:t>公章，</w:t>
            </w:r>
            <w:r>
              <w:rPr>
                <w:rFonts w:hint="eastAsia" w:ascii="宋体" w:hAnsi="宋体" w:eastAsia="宋体" w:cs="宋体"/>
                <w:b/>
                <w:color w:val="000000" w:themeColor="text1"/>
                <w:sz w:val="21"/>
                <w:szCs w:val="21"/>
                <w:highlight w:val="none"/>
                <w:u w:val="none"/>
                <w:lang w:val="en-US" w:eastAsia="zh-CN"/>
                <w14:textFill>
                  <w14:solidFill>
                    <w14:schemeClr w14:val="tx1"/>
                  </w14:solidFill>
                </w14:textFill>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227"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财务状况</w:t>
            </w:r>
          </w:p>
        </w:tc>
        <w:tc>
          <w:tcPr>
            <w:tcW w:w="883"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w:t>
            </w:r>
          </w:p>
        </w:tc>
        <w:tc>
          <w:tcPr>
            <w:tcW w:w="5722" w:type="dxa"/>
            <w:tcBorders>
              <w:top w:val="single" w:color="auto" w:sz="4" w:space="0"/>
              <w:left w:val="single" w:color="auto" w:sz="4" w:space="0"/>
              <w:bottom w:val="single" w:color="auto" w:sz="4" w:space="0"/>
              <w:right w:val="single" w:color="auto" w:sz="4" w:space="0"/>
            </w:tcBorders>
            <w:vAlign w:val="center"/>
          </w:tcPr>
          <w:p>
            <w:pPr>
              <w:pStyle w:val="4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000000" w:themeColor="text1"/>
                <w:sz w:val="21"/>
                <w:szCs w:val="21"/>
                <w:highlight w:val="none"/>
                <w:u w:val="none"/>
                <w:lang w:val="zh-CN"/>
                <w14:textFill>
                  <w14:solidFill>
                    <w14:schemeClr w14:val="tx1"/>
                  </w14:solidFill>
                </w14:textFill>
              </w:rPr>
            </w:pPr>
            <w:r>
              <w:rPr>
                <w:rFonts w:hint="eastAsia" w:ascii="宋体" w:hAnsi="宋体" w:eastAsia="宋体" w:cs="宋体"/>
                <w:bCs/>
                <w:color w:val="000000" w:themeColor="text1"/>
                <w:sz w:val="21"/>
                <w:szCs w:val="21"/>
                <w:highlight w:val="none"/>
                <w:u w:val="none"/>
                <w:lang w:val="zh-CN"/>
                <w14:textFill>
                  <w14:solidFill>
                    <w14:schemeClr w14:val="tx1"/>
                  </w14:solidFill>
                </w14:textFill>
              </w:rPr>
              <w:t>根据各投标人</w:t>
            </w:r>
            <w:r>
              <w:rPr>
                <w:rFonts w:hint="eastAsia" w:ascii="宋体" w:hAnsi="宋体" w:eastAsia="宋体" w:cs="宋体"/>
                <w:bCs/>
                <w:color w:val="000000" w:themeColor="text1"/>
                <w:sz w:val="21"/>
                <w:szCs w:val="21"/>
                <w:highlight w:val="none"/>
                <w:u w:val="none"/>
                <w:lang w:val="en-US" w:eastAsia="zh-CN"/>
                <w14:textFill>
                  <w14:solidFill>
                    <w14:schemeClr w14:val="tx1"/>
                  </w14:solidFill>
                </w14:textFill>
              </w:rPr>
              <w:t>2020</w:t>
            </w:r>
            <w:r>
              <w:rPr>
                <w:rFonts w:hint="eastAsia" w:ascii="宋体" w:hAnsi="宋体" w:eastAsia="宋体" w:cs="宋体"/>
                <w:bCs/>
                <w:color w:val="000000" w:themeColor="text1"/>
                <w:sz w:val="21"/>
                <w:szCs w:val="21"/>
                <w:highlight w:val="none"/>
                <w:u w:val="none"/>
                <w:lang w:val="zh-CN"/>
                <w14:textFill>
                  <w14:solidFill>
                    <w14:schemeClr w14:val="tx1"/>
                  </w14:solidFill>
                </w14:textFill>
              </w:rPr>
              <w:t>年</w:t>
            </w:r>
            <w:r>
              <w:rPr>
                <w:rFonts w:hint="eastAsia" w:ascii="宋体" w:hAnsi="宋体" w:eastAsia="宋体" w:cs="宋体"/>
                <w:bCs/>
                <w:color w:val="000000" w:themeColor="text1"/>
                <w:sz w:val="21"/>
                <w:szCs w:val="21"/>
                <w:highlight w:val="none"/>
                <w:u w:val="none"/>
                <w:lang w:val="en-US" w:eastAsia="zh-CN"/>
                <w14:textFill>
                  <w14:solidFill>
                    <w14:schemeClr w14:val="tx1"/>
                  </w14:solidFill>
                </w14:textFill>
              </w:rPr>
              <w:t>1月1日</w:t>
            </w:r>
            <w:r>
              <w:rPr>
                <w:rFonts w:hint="eastAsia" w:ascii="宋体" w:hAnsi="宋体" w:eastAsia="宋体" w:cs="宋体"/>
                <w:bCs/>
                <w:color w:val="000000" w:themeColor="text1"/>
                <w:sz w:val="21"/>
                <w:szCs w:val="21"/>
                <w:highlight w:val="none"/>
                <w:u w:val="none"/>
                <w:lang w:val="zh-CN"/>
                <w14:textFill>
                  <w14:solidFill>
                    <w14:schemeClr w14:val="tx1"/>
                  </w14:solidFill>
                </w14:textFill>
              </w:rPr>
              <w:t>至今的财务状况进行评价，三年盈利得</w:t>
            </w:r>
            <w:r>
              <w:rPr>
                <w:rFonts w:hint="eastAsia" w:ascii="宋体" w:hAnsi="宋体" w:eastAsia="宋体" w:cs="宋体"/>
                <w:bCs/>
                <w:color w:val="000000" w:themeColor="text1"/>
                <w:sz w:val="21"/>
                <w:szCs w:val="21"/>
                <w:highlight w:val="none"/>
                <w:u w:val="none"/>
                <w:lang w:val="en-US" w:eastAsia="zh-CN"/>
                <w14:textFill>
                  <w14:solidFill>
                    <w14:schemeClr w14:val="tx1"/>
                  </w14:solidFill>
                </w14:textFill>
              </w:rPr>
              <w:t>2</w:t>
            </w:r>
            <w:r>
              <w:rPr>
                <w:rFonts w:hint="eastAsia" w:ascii="宋体" w:hAnsi="宋体" w:eastAsia="宋体" w:cs="宋体"/>
                <w:bCs/>
                <w:color w:val="000000" w:themeColor="text1"/>
                <w:sz w:val="21"/>
                <w:szCs w:val="21"/>
                <w:highlight w:val="none"/>
                <w:u w:val="none"/>
                <w:lang w:val="zh-CN"/>
                <w14:textFill>
                  <w14:solidFill>
                    <w14:schemeClr w14:val="tx1"/>
                  </w14:solidFill>
                </w14:textFill>
              </w:rPr>
              <w:t>分，两年盈利得</w:t>
            </w:r>
            <w:r>
              <w:rPr>
                <w:rFonts w:hint="eastAsia" w:ascii="宋体" w:hAnsi="宋体" w:eastAsia="宋体" w:cs="宋体"/>
                <w:bCs/>
                <w:color w:val="000000" w:themeColor="text1"/>
                <w:sz w:val="21"/>
                <w:szCs w:val="21"/>
                <w:highlight w:val="none"/>
                <w:u w:val="none"/>
                <w:lang w:val="en-US" w:eastAsia="zh-CN"/>
                <w14:textFill>
                  <w14:solidFill>
                    <w14:schemeClr w14:val="tx1"/>
                  </w14:solidFill>
                </w14:textFill>
              </w:rPr>
              <w:t>1</w:t>
            </w:r>
            <w:r>
              <w:rPr>
                <w:rFonts w:hint="eastAsia" w:ascii="宋体" w:hAnsi="宋体" w:eastAsia="宋体" w:cs="宋体"/>
                <w:bCs/>
                <w:color w:val="000000" w:themeColor="text1"/>
                <w:sz w:val="21"/>
                <w:szCs w:val="21"/>
                <w:highlight w:val="none"/>
                <w:u w:val="none"/>
                <w:lang w:val="zh-CN"/>
                <w14:textFill>
                  <w14:solidFill>
                    <w14:schemeClr w14:val="tx1"/>
                  </w14:solidFill>
                </w14:textFill>
              </w:rPr>
              <w:t>分，一年盈利得</w:t>
            </w:r>
            <w:r>
              <w:rPr>
                <w:rFonts w:hint="eastAsia" w:ascii="宋体" w:hAnsi="宋体" w:eastAsia="宋体" w:cs="宋体"/>
                <w:bCs/>
                <w:color w:val="000000" w:themeColor="text1"/>
                <w:sz w:val="21"/>
                <w:szCs w:val="21"/>
                <w:highlight w:val="none"/>
                <w:u w:val="none"/>
                <w:lang w:val="en-US" w:eastAsia="zh-CN"/>
                <w14:textFill>
                  <w14:solidFill>
                    <w14:schemeClr w14:val="tx1"/>
                  </w14:solidFill>
                </w14:textFill>
              </w:rPr>
              <w:t>0.5</w:t>
            </w:r>
            <w:r>
              <w:rPr>
                <w:rFonts w:hint="eastAsia" w:ascii="宋体" w:hAnsi="宋体" w:eastAsia="宋体" w:cs="宋体"/>
                <w:bCs/>
                <w:color w:val="000000" w:themeColor="text1"/>
                <w:sz w:val="21"/>
                <w:szCs w:val="21"/>
                <w:highlight w:val="none"/>
                <w:u w:val="none"/>
                <w:lang w:val="zh-CN"/>
                <w14:textFill>
                  <w14:solidFill>
                    <w14:schemeClr w14:val="tx1"/>
                  </w14:solidFill>
                </w14:textFill>
              </w:rPr>
              <w:t>分，无盈利不得分。</w:t>
            </w:r>
          </w:p>
          <w:p>
            <w:pPr>
              <w:pStyle w:val="42"/>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u w:val="none"/>
                <w:lang w:val="zh-CN"/>
                <w14:textFill>
                  <w14:solidFill>
                    <w14:schemeClr w14:val="tx1"/>
                  </w14:solidFill>
                </w14:textFill>
              </w:rPr>
              <w:t>注：须提供</w:t>
            </w:r>
            <w:r>
              <w:rPr>
                <w:rFonts w:hint="eastAsia" w:ascii="宋体" w:hAnsi="宋体" w:eastAsia="宋体" w:cs="宋体"/>
                <w:b/>
                <w:bCs/>
                <w:color w:val="000000" w:themeColor="text1"/>
                <w:sz w:val="21"/>
                <w:szCs w:val="21"/>
                <w:highlight w:val="none"/>
                <w:u w:val="none"/>
                <w14:textFill>
                  <w14:solidFill>
                    <w14:schemeClr w14:val="tx1"/>
                  </w14:solidFill>
                </w14:textFill>
              </w:rPr>
              <w:t>会计师事务所审计的财务报表复印件加盖投标人公章</w:t>
            </w:r>
            <w:r>
              <w:rPr>
                <w:rFonts w:hint="eastAsia" w:ascii="宋体" w:hAnsi="宋体" w:eastAsia="宋体" w:cs="宋体"/>
                <w:b/>
                <w:color w:val="000000" w:themeColor="text1"/>
                <w:sz w:val="21"/>
                <w:szCs w:val="21"/>
                <w:highlight w:val="none"/>
                <w:u w:val="none"/>
                <w:lang w:val="zh-CN"/>
                <w14:textFill>
                  <w14:solidFill>
                    <w14:schemeClr w14:val="tx1"/>
                  </w14:solidFill>
                </w14:textFill>
              </w:rPr>
              <w:t>，</w:t>
            </w:r>
            <w:r>
              <w:rPr>
                <w:rFonts w:hint="eastAsia" w:ascii="宋体" w:hAnsi="宋体" w:eastAsia="宋体" w:cs="宋体"/>
                <w:b/>
                <w:color w:val="000000" w:themeColor="text1"/>
                <w:sz w:val="21"/>
                <w:szCs w:val="21"/>
                <w:highlight w:val="none"/>
                <w:u w:val="none"/>
                <w:lang w:val="en-US" w:eastAsia="zh-CN"/>
                <w14:textFill>
                  <w14:solidFill>
                    <w14:schemeClr w14:val="tx1"/>
                  </w14:solidFill>
                </w14:textFill>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227"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业绩</w:t>
            </w:r>
          </w:p>
        </w:tc>
        <w:tc>
          <w:tcPr>
            <w:tcW w:w="883"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default" w:ascii="宋体" w:hAnsi="宋体" w:eastAsia="宋体" w:cs="宋体"/>
                <w:color w:val="000000" w:themeColor="text1"/>
                <w:sz w:val="21"/>
                <w:szCs w:val="21"/>
                <w:highlight w:val="none"/>
                <w:u w:val="none"/>
                <w:lang w:val="en-US"/>
                <w14:textFill>
                  <w14:solidFill>
                    <w14:schemeClr w14:val="tx1"/>
                  </w14:solidFill>
                </w14:textFill>
              </w:rPr>
            </w:pPr>
            <w:r>
              <w:rPr>
                <w:rFonts w:hint="eastAsia" w:ascii="宋体" w:eastAsia="宋体" w:cs="宋体"/>
                <w:color w:val="000000" w:themeColor="text1"/>
                <w:sz w:val="21"/>
                <w:szCs w:val="21"/>
                <w:highlight w:val="none"/>
                <w:u w:val="none"/>
                <w:lang w:val="en-US" w:eastAsia="zh-CN"/>
                <w14:textFill>
                  <w14:solidFill>
                    <w14:schemeClr w14:val="tx1"/>
                  </w14:solidFill>
                </w14:textFill>
              </w:rPr>
              <w:t>9</w:t>
            </w:r>
          </w:p>
        </w:tc>
        <w:tc>
          <w:tcPr>
            <w:tcW w:w="5722" w:type="dxa"/>
            <w:tcBorders>
              <w:top w:val="single" w:color="auto" w:sz="4" w:space="0"/>
              <w:left w:val="single" w:color="auto" w:sz="4" w:space="0"/>
              <w:bottom w:val="single" w:color="auto" w:sz="4" w:space="0"/>
              <w:right w:val="single" w:color="auto" w:sz="4" w:space="0"/>
            </w:tcBorders>
            <w:vAlign w:val="center"/>
          </w:tcPr>
          <w:p>
            <w:pPr>
              <w:pStyle w:val="4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000000" w:themeColor="text1"/>
                <w:sz w:val="21"/>
                <w:szCs w:val="21"/>
                <w:highlight w:val="none"/>
                <w:u w:val="none"/>
                <w:lang w:val="zh-CN"/>
                <w14:textFill>
                  <w14:solidFill>
                    <w14:schemeClr w14:val="tx1"/>
                  </w14:solidFill>
                </w14:textFill>
              </w:rPr>
            </w:pPr>
            <w:r>
              <w:rPr>
                <w:rFonts w:hint="eastAsia" w:ascii="宋体" w:hAnsi="宋体" w:eastAsia="宋体" w:cs="宋体"/>
                <w:bCs/>
                <w:color w:val="000000" w:themeColor="text1"/>
                <w:sz w:val="21"/>
                <w:szCs w:val="21"/>
                <w:highlight w:val="none"/>
                <w:u w:val="none"/>
                <w:lang w:val="zh-CN" w:eastAsia="zh-CN"/>
                <w14:textFill>
                  <w14:solidFill>
                    <w14:schemeClr w14:val="tx1"/>
                  </w14:solidFill>
                </w14:textFill>
              </w:rPr>
              <w:t>投标人具有</w:t>
            </w:r>
            <w:r>
              <w:rPr>
                <w:rFonts w:hint="eastAsia" w:ascii="宋体" w:hAnsi="宋体" w:eastAsia="宋体" w:cs="宋体"/>
                <w:bCs/>
                <w:color w:val="000000" w:themeColor="text1"/>
                <w:sz w:val="21"/>
                <w:szCs w:val="21"/>
                <w:highlight w:val="none"/>
                <w:u w:val="none"/>
                <w:lang w:val="zh-CN"/>
                <w14:textFill>
                  <w14:solidFill>
                    <w14:schemeClr w14:val="tx1"/>
                  </w14:solidFill>
                </w14:textFill>
              </w:rPr>
              <w:t>的</w:t>
            </w:r>
            <w:r>
              <w:rPr>
                <w:rFonts w:hint="eastAsia" w:ascii="宋体" w:hAnsi="宋体" w:eastAsia="宋体" w:cs="宋体"/>
                <w:bCs/>
                <w:color w:val="000000" w:themeColor="text1"/>
                <w:sz w:val="21"/>
                <w:szCs w:val="21"/>
                <w:highlight w:val="none"/>
                <w:u w:val="none"/>
                <w:lang w:val="zh-CN" w:eastAsia="zh-CN"/>
                <w14:textFill>
                  <w14:solidFill>
                    <w14:schemeClr w14:val="tx1"/>
                  </w14:solidFill>
                </w14:textFill>
              </w:rPr>
              <w:t>光伏发电（或供电或</w:t>
            </w:r>
            <w:r>
              <w:rPr>
                <w:rFonts w:hint="eastAsia" w:ascii="宋体" w:hAnsi="宋体" w:eastAsia="宋体" w:cs="宋体"/>
                <w:bCs/>
                <w:color w:val="000000" w:themeColor="text1"/>
                <w:sz w:val="21"/>
                <w:szCs w:val="21"/>
                <w:highlight w:val="none"/>
                <w:u w:val="none"/>
                <w:lang w:val="zh-CN"/>
                <w14:textFill>
                  <w14:solidFill>
                    <w14:schemeClr w14:val="tx1"/>
                  </w14:solidFill>
                </w14:textFill>
              </w:rPr>
              <w:t>配电</w:t>
            </w:r>
            <w:r>
              <w:rPr>
                <w:rFonts w:hint="eastAsia" w:ascii="宋体" w:hAnsi="宋体" w:eastAsia="宋体" w:cs="宋体"/>
                <w:bCs/>
                <w:color w:val="000000" w:themeColor="text1"/>
                <w:sz w:val="21"/>
                <w:szCs w:val="21"/>
                <w:highlight w:val="none"/>
                <w:u w:val="none"/>
                <w:lang w:val="zh-CN" w:eastAsia="zh-CN"/>
                <w14:textFill>
                  <w14:solidFill>
                    <w14:schemeClr w14:val="tx1"/>
                  </w14:solidFill>
                </w14:textFill>
              </w:rPr>
              <w:t>）</w:t>
            </w:r>
            <w:r>
              <w:rPr>
                <w:rFonts w:hint="eastAsia" w:ascii="宋体" w:eastAsia="宋体" w:cs="宋体"/>
                <w:bCs/>
                <w:color w:val="000000" w:themeColor="text1"/>
                <w:sz w:val="21"/>
                <w:szCs w:val="21"/>
                <w:highlight w:val="none"/>
                <w:u w:val="none"/>
                <w:lang w:val="en-US" w:eastAsia="zh-CN"/>
                <w14:textFill>
                  <w14:solidFill>
                    <w14:schemeClr w14:val="tx1"/>
                  </w14:solidFill>
                </w14:textFill>
              </w:rPr>
              <w:t>安装</w:t>
            </w:r>
            <w:r>
              <w:rPr>
                <w:rFonts w:hint="eastAsia" w:ascii="宋体" w:hAnsi="宋体" w:eastAsia="宋体" w:cs="宋体"/>
                <w:bCs/>
                <w:color w:val="000000" w:themeColor="text1"/>
                <w:sz w:val="21"/>
                <w:szCs w:val="21"/>
                <w:highlight w:val="none"/>
                <w:u w:val="none"/>
                <w:lang w:val="zh-CN"/>
                <w14:textFill>
                  <w14:solidFill>
                    <w14:schemeClr w14:val="tx1"/>
                  </w14:solidFill>
                </w14:textFill>
              </w:rPr>
              <w:t>业绩</w:t>
            </w:r>
            <w:r>
              <w:rPr>
                <w:rFonts w:hint="eastAsia" w:ascii="宋体" w:hAnsi="宋体" w:eastAsia="宋体" w:cs="宋体"/>
                <w:bCs/>
                <w:color w:val="000000" w:themeColor="text1"/>
                <w:sz w:val="21"/>
                <w:szCs w:val="21"/>
                <w:highlight w:val="none"/>
                <w:u w:val="none"/>
                <w:lang w:val="zh-CN" w:eastAsia="zh-CN"/>
                <w14:textFill>
                  <w14:solidFill>
                    <w14:schemeClr w14:val="tx1"/>
                  </w14:solidFill>
                </w14:textFill>
              </w:rPr>
              <w:t>的</w:t>
            </w:r>
            <w:r>
              <w:rPr>
                <w:rFonts w:hint="eastAsia" w:ascii="宋体" w:hAnsi="宋体" w:eastAsia="宋体" w:cs="宋体"/>
                <w:bCs/>
                <w:color w:val="000000" w:themeColor="text1"/>
                <w:sz w:val="21"/>
                <w:szCs w:val="21"/>
                <w:highlight w:val="none"/>
                <w:u w:val="none"/>
                <w:lang w:val="zh-CN"/>
                <w14:textFill>
                  <w14:solidFill>
                    <w14:schemeClr w14:val="tx1"/>
                  </w14:solidFill>
                </w14:textFill>
              </w:rPr>
              <w:t>，每提供一个合同业绩得</w:t>
            </w:r>
            <w:r>
              <w:rPr>
                <w:rFonts w:hint="eastAsia" w:ascii="宋体" w:eastAsia="宋体" w:cs="宋体"/>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Cs/>
                <w:color w:val="000000" w:themeColor="text1"/>
                <w:sz w:val="21"/>
                <w:szCs w:val="21"/>
                <w:highlight w:val="none"/>
                <w:u w:val="none"/>
                <w:lang w:val="zh-CN"/>
                <w14:textFill>
                  <w14:solidFill>
                    <w14:schemeClr w14:val="tx1"/>
                  </w14:solidFill>
                </w14:textFill>
              </w:rPr>
              <w:t>分，本项最高得</w:t>
            </w:r>
            <w:r>
              <w:rPr>
                <w:rFonts w:hint="eastAsia" w:ascii="宋体" w:eastAsia="宋体" w:cs="宋体"/>
                <w:bCs/>
                <w:color w:val="000000" w:themeColor="text1"/>
                <w:sz w:val="21"/>
                <w:szCs w:val="21"/>
                <w:highlight w:val="none"/>
                <w:u w:val="none"/>
                <w:lang w:val="en-US" w:eastAsia="zh-CN"/>
                <w14:textFill>
                  <w14:solidFill>
                    <w14:schemeClr w14:val="tx1"/>
                  </w14:solidFill>
                </w14:textFill>
              </w:rPr>
              <w:t>9</w:t>
            </w:r>
            <w:r>
              <w:rPr>
                <w:rFonts w:hint="eastAsia" w:ascii="宋体" w:hAnsi="宋体" w:eastAsia="宋体" w:cs="宋体"/>
                <w:bCs/>
                <w:color w:val="000000" w:themeColor="text1"/>
                <w:sz w:val="21"/>
                <w:szCs w:val="21"/>
                <w:highlight w:val="none"/>
                <w:u w:val="none"/>
                <w:lang w:val="zh-CN"/>
                <w14:textFill>
                  <w14:solidFill>
                    <w14:schemeClr w14:val="tx1"/>
                  </w14:solidFill>
                </w14:textFill>
              </w:rPr>
              <w:t>分。</w:t>
            </w:r>
          </w:p>
          <w:p>
            <w:pPr>
              <w:pStyle w:val="42"/>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hAnsi="宋体" w:eastAsia="宋体" w:cs="宋体"/>
                <w:bCs/>
                <w:color w:val="000000" w:themeColor="text1"/>
                <w:sz w:val="21"/>
                <w:szCs w:val="21"/>
                <w:highlight w:val="none"/>
                <w:u w:val="none"/>
                <w:lang w:val="zh-CN"/>
                <w14:textFill>
                  <w14:solidFill>
                    <w14:schemeClr w14:val="tx1"/>
                  </w14:solidFill>
                </w14:textFill>
              </w:rPr>
            </w:pPr>
            <w:r>
              <w:rPr>
                <w:rFonts w:hint="eastAsia" w:ascii="宋体" w:hAnsi="宋体" w:eastAsia="宋体" w:cs="宋体"/>
                <w:b/>
                <w:bCs w:val="0"/>
                <w:color w:val="000000" w:themeColor="text1"/>
                <w:sz w:val="21"/>
                <w:szCs w:val="21"/>
                <w:highlight w:val="none"/>
                <w:u w:val="none"/>
                <w:lang w:val="zh-CN"/>
                <w14:textFill>
                  <w14:solidFill>
                    <w14:schemeClr w14:val="tx1"/>
                  </w14:solidFill>
                </w14:textFill>
              </w:rPr>
              <w:t>注：须提供有效业绩合同复印件加盖</w:t>
            </w:r>
            <w:r>
              <w:rPr>
                <w:rFonts w:hint="eastAsia" w:ascii="宋体" w:hAnsi="宋体" w:eastAsia="宋体" w:cs="宋体"/>
                <w:b/>
                <w:bCs w:val="0"/>
                <w:color w:val="000000" w:themeColor="text1"/>
                <w:sz w:val="21"/>
                <w:szCs w:val="21"/>
                <w:highlight w:val="none"/>
                <w:u w:val="none"/>
                <w:lang w:val="zh-CN" w:eastAsia="zh-CN"/>
                <w14:textFill>
                  <w14:solidFill>
                    <w14:schemeClr w14:val="tx1"/>
                  </w14:solidFill>
                </w14:textFill>
              </w:rPr>
              <w:t>投标人</w:t>
            </w:r>
            <w:r>
              <w:rPr>
                <w:rFonts w:hint="eastAsia" w:ascii="宋体" w:hAnsi="宋体" w:eastAsia="宋体" w:cs="宋体"/>
                <w:b/>
                <w:bCs w:val="0"/>
                <w:color w:val="000000" w:themeColor="text1"/>
                <w:sz w:val="21"/>
                <w:szCs w:val="21"/>
                <w:highlight w:val="none"/>
                <w:u w:val="none"/>
                <w:lang w:val="zh-CN"/>
                <w14:textFill>
                  <w14:solidFill>
                    <w14:schemeClr w14:val="tx1"/>
                  </w14:solidFill>
                </w14:textFill>
              </w:rPr>
              <w:t>公章</w:t>
            </w:r>
            <w:r>
              <w:rPr>
                <w:rFonts w:hint="eastAsia" w:ascii="宋体" w:hAnsi="宋体" w:eastAsia="宋体" w:cs="宋体"/>
                <w:b/>
                <w:bCs w:val="0"/>
                <w:color w:val="000000" w:themeColor="text1"/>
                <w:sz w:val="21"/>
                <w:szCs w:val="21"/>
                <w:highlight w:val="none"/>
                <w:u w:val="none"/>
                <w:lang w:val="zh-CN" w:eastAsia="zh-CN"/>
                <w14:textFill>
                  <w14:solidFill>
                    <w14:schemeClr w14:val="tx1"/>
                  </w14:solidFill>
                </w14:textFill>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227"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团队力量</w:t>
            </w:r>
          </w:p>
        </w:tc>
        <w:tc>
          <w:tcPr>
            <w:tcW w:w="883"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eastAsia="宋体" w:cs="宋体"/>
                <w:color w:val="000000" w:themeColor="text1"/>
                <w:sz w:val="21"/>
                <w:szCs w:val="21"/>
                <w:highlight w:val="none"/>
                <w:u w:val="none"/>
                <w:lang w:val="en-US" w:eastAsia="zh-CN"/>
                <w14:textFill>
                  <w14:solidFill>
                    <w14:schemeClr w14:val="tx1"/>
                  </w14:solidFill>
                </w14:textFill>
              </w:rPr>
              <w:t>11</w:t>
            </w:r>
          </w:p>
        </w:tc>
        <w:tc>
          <w:tcPr>
            <w:tcW w:w="5722" w:type="dxa"/>
            <w:tcBorders>
              <w:top w:val="single" w:color="auto" w:sz="4" w:space="0"/>
              <w:left w:val="single" w:color="auto" w:sz="4" w:space="0"/>
              <w:bottom w:val="single" w:color="auto" w:sz="4" w:space="0"/>
              <w:right w:val="single" w:color="auto" w:sz="4" w:space="0"/>
            </w:tcBorders>
            <w:vAlign w:val="center"/>
          </w:tcPr>
          <w:p>
            <w:pPr>
              <w:pStyle w:val="42"/>
              <w:keepNext w:val="0"/>
              <w:keepLines w:val="0"/>
              <w:pageBreakBefore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根据</w:t>
            </w:r>
            <w:r>
              <w:rPr>
                <w:rFonts w:hint="eastAsia" w:ascii="宋体" w:eastAsia="宋体" w:cs="宋体"/>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Cs/>
                <w:color w:val="000000" w:themeColor="text1"/>
                <w:sz w:val="21"/>
                <w:szCs w:val="21"/>
                <w:highlight w:val="none"/>
                <w14:textFill>
                  <w14:solidFill>
                    <w14:schemeClr w14:val="tx1"/>
                  </w14:solidFill>
                </w14:textFill>
              </w:rPr>
              <w:t>拟投入的团队人员进行综合评审：</w:t>
            </w:r>
          </w:p>
          <w:p>
            <w:pPr>
              <w:pStyle w:val="4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1、团队人员中具有注册于投标人本单位的机电工程专业二级注册建造师资格证书的，得3分</w:t>
            </w:r>
            <w:r>
              <w:rPr>
                <w:rFonts w:hint="eastAsia" w:asci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机电工程专业一级注册建造师资格证书的，得5分，最高得5分</w:t>
            </w:r>
            <w:r>
              <w:rPr>
                <w:rFonts w:hint="eastAsia" w:ascii="宋体" w:eastAsia="宋体" w:cs="宋体"/>
                <w:bCs/>
                <w:color w:val="000000" w:themeColor="text1"/>
                <w:sz w:val="21"/>
                <w:szCs w:val="21"/>
                <w:highlight w:val="none"/>
                <w:lang w:eastAsia="zh-CN"/>
                <w14:textFill>
                  <w14:solidFill>
                    <w14:schemeClr w14:val="tx1"/>
                  </w14:solidFill>
                </w14:textFill>
              </w:rPr>
              <w:t>；</w:t>
            </w:r>
          </w:p>
          <w:p>
            <w:pPr>
              <w:pStyle w:val="4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2、团队人员中具有高压或低压电工证的，每提供一人得1分，最高得2分</w:t>
            </w:r>
            <w:r>
              <w:rPr>
                <w:rFonts w:hint="eastAsia" w:ascii="宋体" w:eastAsia="宋体" w:cs="宋体"/>
                <w:bCs/>
                <w:color w:val="000000" w:themeColor="text1"/>
                <w:sz w:val="21"/>
                <w:szCs w:val="21"/>
                <w:highlight w:val="none"/>
                <w:lang w:eastAsia="zh-CN"/>
                <w14:textFill>
                  <w14:solidFill>
                    <w14:schemeClr w14:val="tx1"/>
                  </w14:solidFill>
                </w14:textFill>
              </w:rPr>
              <w:t>；</w:t>
            </w:r>
          </w:p>
          <w:p>
            <w:pPr>
              <w:pStyle w:val="4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3、团队人员中具有高空作业证的，每提供一人得1分，最高得 2分</w:t>
            </w:r>
            <w:r>
              <w:rPr>
                <w:rFonts w:hint="eastAsia" w:ascii="宋体" w:eastAsia="宋体" w:cs="宋体"/>
                <w:bCs/>
                <w:color w:val="000000" w:themeColor="text1"/>
                <w:sz w:val="21"/>
                <w:szCs w:val="21"/>
                <w:highlight w:val="none"/>
                <w:lang w:eastAsia="zh-CN"/>
                <w14:textFill>
                  <w14:solidFill>
                    <w14:schemeClr w14:val="tx1"/>
                  </w14:solidFill>
                </w14:textFill>
              </w:rPr>
              <w:t>；</w:t>
            </w:r>
          </w:p>
          <w:p>
            <w:pPr>
              <w:pStyle w:val="4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4、团队人员中具有焊接与热切割作业证的，每提供一人得1分，最高得2分</w:t>
            </w:r>
            <w:r>
              <w:rPr>
                <w:rFonts w:hint="eastAsia" w:ascii="宋体" w:eastAsia="宋体" w:cs="宋体"/>
                <w:bCs/>
                <w:color w:val="000000" w:themeColor="text1"/>
                <w:sz w:val="21"/>
                <w:szCs w:val="21"/>
                <w:highlight w:val="none"/>
                <w:lang w:eastAsia="zh-CN"/>
                <w14:textFill>
                  <w14:solidFill>
                    <w14:schemeClr w14:val="tx1"/>
                  </w14:solidFill>
                </w14:textFill>
              </w:rPr>
              <w:t>。</w:t>
            </w:r>
          </w:p>
          <w:p>
            <w:pPr>
              <w:pStyle w:val="42"/>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注：以上人员不得重复得分；须提供有效的证书复印件加盖</w:t>
            </w:r>
            <w:r>
              <w:rPr>
                <w:rFonts w:hint="eastAsia" w:ascii="宋体" w:hAnsi="宋体" w:eastAsia="宋体" w:cs="宋体"/>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Cs/>
                <w:color w:val="000000" w:themeColor="text1"/>
                <w:sz w:val="21"/>
                <w:szCs w:val="21"/>
                <w:highlight w:val="none"/>
                <w14:textFill>
                  <w14:solidFill>
                    <w14:schemeClr w14:val="tx1"/>
                  </w14:solidFill>
                </w14:textFill>
              </w:rPr>
              <w:t>公章, 并提供社保部门出具的</w:t>
            </w:r>
            <w:r>
              <w:rPr>
                <w:rFonts w:hint="eastAsia" w:ascii="宋体" w:hAnsi="宋体" w:eastAsia="宋体" w:cs="宋体"/>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Cs/>
                <w:color w:val="000000" w:themeColor="text1"/>
                <w:sz w:val="21"/>
                <w:szCs w:val="21"/>
                <w:highlight w:val="none"/>
                <w14:textFill>
                  <w14:solidFill>
                    <w14:schemeClr w14:val="tx1"/>
                  </w14:solidFill>
                </w14:textFill>
              </w:rPr>
              <w:t>为其购买的</w:t>
            </w:r>
            <w:r>
              <w:rPr>
                <w:rFonts w:hint="eastAsia" w:ascii="宋体" w:eastAsia="宋体" w:cs="宋体"/>
                <w:bCs/>
                <w:color w:val="000000" w:themeColor="text1"/>
                <w:sz w:val="21"/>
                <w:szCs w:val="21"/>
                <w:highlight w:val="none"/>
                <w:lang w:val="en-US" w:eastAsia="zh-CN"/>
                <w14:textFill>
                  <w14:solidFill>
                    <w14:schemeClr w14:val="tx1"/>
                  </w14:solidFill>
                </w14:textFill>
              </w:rPr>
              <w:t>距开标前</w:t>
            </w:r>
            <w:r>
              <w:rPr>
                <w:rFonts w:hint="eastAsia" w:ascii="宋体" w:hAnsi="宋体" w:eastAsia="宋体" w:cs="宋体"/>
                <w:bCs/>
                <w:color w:val="000000" w:themeColor="text1"/>
                <w:sz w:val="21"/>
                <w:szCs w:val="21"/>
                <w:highlight w:val="none"/>
                <w14:textFill>
                  <w14:solidFill>
                    <w14:schemeClr w14:val="tx1"/>
                  </w14:solidFill>
                </w14:textFill>
              </w:rPr>
              <w:t>六个月</w:t>
            </w:r>
            <w:r>
              <w:rPr>
                <w:rFonts w:hint="eastAsia" w:ascii="宋体" w:eastAsia="宋体" w:cs="宋体"/>
                <w:bCs/>
                <w:color w:val="000000" w:themeColor="text1"/>
                <w:sz w:val="21"/>
                <w:szCs w:val="21"/>
                <w:highlight w:val="none"/>
                <w:lang w:eastAsia="zh-CN"/>
                <w14:textFill>
                  <w14:solidFill>
                    <w14:schemeClr w14:val="tx1"/>
                  </w14:solidFill>
                </w14:textFill>
              </w:rPr>
              <w:t>（</w:t>
            </w:r>
            <w:r>
              <w:rPr>
                <w:rFonts w:hint="eastAsia" w:ascii="宋体" w:eastAsia="宋体" w:cs="宋体"/>
                <w:bCs/>
                <w:color w:val="000000" w:themeColor="text1"/>
                <w:sz w:val="21"/>
                <w:szCs w:val="21"/>
                <w:highlight w:val="none"/>
                <w:lang w:val="en-US" w:eastAsia="zh-CN"/>
                <w14:textFill>
                  <w14:solidFill>
                    <w14:schemeClr w14:val="tx1"/>
                  </w14:solidFill>
                </w14:textFill>
              </w:rPr>
              <w:t>不含开标当月</w:t>
            </w:r>
            <w:r>
              <w:rPr>
                <w:rFonts w:hint="eastAsia" w:asci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14:textFill>
                  <w14:solidFill>
                    <w14:schemeClr w14:val="tx1"/>
                  </w14:solidFill>
                </w14:textFill>
              </w:rPr>
              <w:t>内任意</w:t>
            </w:r>
            <w:r>
              <w:rPr>
                <w:rFonts w:hint="eastAsia" w:ascii="宋体" w:eastAsia="宋体" w:cs="宋体"/>
                <w:bCs/>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bCs/>
                <w:color w:val="000000" w:themeColor="text1"/>
                <w:sz w:val="21"/>
                <w:szCs w:val="21"/>
                <w:highlight w:val="none"/>
                <w14:textFill>
                  <w14:solidFill>
                    <w14:schemeClr w14:val="tx1"/>
                  </w14:solidFill>
                </w14:textFill>
              </w:rPr>
              <w:t>个月的社会保险证明材料加盖</w:t>
            </w:r>
            <w:r>
              <w:rPr>
                <w:rFonts w:hint="eastAsia" w:ascii="宋体" w:hAnsi="宋体" w:eastAsia="宋体" w:cs="宋体"/>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Cs/>
                <w:color w:val="000000" w:themeColor="text1"/>
                <w:sz w:val="21"/>
                <w:szCs w:val="21"/>
                <w:highlight w:val="none"/>
                <w14:textFill>
                  <w14:solidFill>
                    <w14:schemeClr w14:val="tx1"/>
                  </w14:solidFill>
                </w14:textFill>
              </w:rPr>
              <w:t>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技术评审（</w:t>
            </w:r>
            <w:r>
              <w:rPr>
                <w:rFonts w:hint="eastAsia" w:ascii="宋体" w:eastAsia="宋体" w:cs="宋体"/>
                <w:b/>
                <w:bCs/>
                <w:color w:val="000000" w:themeColor="text1"/>
                <w:sz w:val="21"/>
                <w:szCs w:val="21"/>
                <w:highlight w:val="none"/>
                <w:lang w:val="en-US" w:eastAsia="zh-CN"/>
                <w14:textFill>
                  <w14:solidFill>
                    <w14:schemeClr w14:val="tx1"/>
                  </w14:solidFill>
                </w14:textFill>
              </w:rPr>
              <w:t>45</w:t>
            </w:r>
            <w:r>
              <w:rPr>
                <w:rFonts w:hint="eastAsia" w:ascii="宋体" w:hAnsi="宋体" w:eastAsia="宋体" w:cs="宋体"/>
                <w:b/>
                <w:bCs/>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2"/>
                <w:sz w:val="21"/>
                <w:szCs w:val="21"/>
                <w:highlight w:val="none"/>
                <w:u w:val="none"/>
                <w14:textFill>
                  <w14:solidFill>
                    <w14:schemeClr w14:val="tx1"/>
                  </w14:solidFill>
                </w14:textFill>
              </w:rPr>
              <w:t>项目实施（供货、安装）方案及进度计划</w:t>
            </w:r>
          </w:p>
        </w:tc>
        <w:tc>
          <w:tcPr>
            <w:tcW w:w="8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p>
        </w:tc>
        <w:tc>
          <w:tcPr>
            <w:tcW w:w="5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根据</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u w:val="none"/>
                <w14:textFill>
                  <w14:solidFill>
                    <w14:schemeClr w14:val="tx1"/>
                  </w14:solidFill>
                </w14:textFill>
              </w:rPr>
              <w:t>提供的项目实施方案（包括不限于项目进度安排、项目验收方案、货物运输及保护措施、安装调试方案）进行评审：</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①针对本项目特征制定的实施方案的可靠性、可行性、安全性非常高的，进度计划安排非常科学合理，可行性强的，得</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②针对本项目特征制定的实施方案的可靠性、可行性、安全性比较高的，进度计划安排比较科学合理，可行性较强的，得</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③针对本项目特征制定的实施方案的可靠性、可行性、安全性一般的，进度计划安排基本科学合理，可行性一般的，得</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④针对本项目特征制定的实施方案的可靠性、可行性、安全性差的，进度计划安排比较简单，可行性差</w:t>
            </w:r>
            <w:r>
              <w:rPr>
                <w:rFonts w:hint="eastAsia" w:ascii="宋体" w:hAnsi="宋体" w:eastAsia="宋体" w:cs="宋体"/>
                <w:color w:val="000000" w:themeColor="text1"/>
                <w:sz w:val="21"/>
                <w:szCs w:val="21"/>
                <w:highlight w:val="none"/>
                <w:u w:val="none"/>
                <w:lang w:eastAsia="zh-CN"/>
                <w14:textFill>
                  <w14:solidFill>
                    <w14:schemeClr w14:val="tx1"/>
                  </w14:solidFill>
                </w14:textFill>
              </w:rPr>
              <w:t>的，得</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⑤</w:t>
            </w:r>
            <w:r>
              <w:rPr>
                <w:rFonts w:hint="eastAsia" w:ascii="宋体" w:hAnsi="宋体" w:eastAsia="宋体" w:cs="宋体"/>
                <w:color w:val="000000" w:themeColor="text1"/>
                <w:sz w:val="21"/>
                <w:szCs w:val="21"/>
                <w:highlight w:val="none"/>
                <w:u w:val="none"/>
                <w14:textFill>
                  <w14:solidFill>
                    <w14:schemeClr w14:val="tx1"/>
                  </w14:solidFill>
                </w14:textFill>
              </w:rPr>
              <w:t>未提供</w:t>
            </w:r>
            <w:r>
              <w:rPr>
                <w:rFonts w:hint="eastAsia" w:ascii="宋体" w:hAnsi="宋体" w:eastAsia="宋体" w:cs="宋体"/>
                <w:color w:val="000000" w:themeColor="text1"/>
                <w:sz w:val="21"/>
                <w:szCs w:val="21"/>
                <w:highlight w:val="none"/>
                <w:u w:val="none"/>
                <w:lang w:eastAsia="zh-CN"/>
                <w14:textFill>
                  <w14:solidFill>
                    <w14:schemeClr w14:val="tx1"/>
                  </w14:solidFill>
                </w14:textFill>
              </w:rPr>
              <w:t>相关方案的</w:t>
            </w:r>
            <w:r>
              <w:rPr>
                <w:rFonts w:hint="eastAsia" w:ascii="宋体" w:hAnsi="宋体" w:eastAsia="宋体" w:cs="宋体"/>
                <w:color w:val="000000" w:themeColor="text1"/>
                <w:sz w:val="21"/>
                <w:szCs w:val="21"/>
                <w:highlight w:val="none"/>
                <w:u w:val="none"/>
                <w14:textFill>
                  <w14:solidFill>
                    <w14:schemeClr w14:val="tx1"/>
                  </w14:solidFill>
                </w14:textFill>
              </w:rPr>
              <w:t>，不得分</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hint="eastAsia" w:ascii="宋体" w:hAnsi="宋体" w:eastAsia="宋体" w:cs="宋体"/>
                <w:color w:val="000000" w:themeColor="text1"/>
                <w:spacing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spacing w:val="2"/>
                <w:sz w:val="21"/>
                <w:szCs w:val="21"/>
                <w:highlight w:val="none"/>
                <w:u w:val="none"/>
                <w:lang w:eastAsia="zh-CN"/>
                <w14:textFill>
                  <w14:solidFill>
                    <w14:schemeClr w14:val="tx1"/>
                  </w14:solidFill>
                </w14:textFill>
              </w:rPr>
              <w:t>产品性能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5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根据投标人所投设备的综合性能</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（包括设计与配置、材质、实用性、耐用性等）</w:t>
            </w:r>
            <w:r>
              <w:rPr>
                <w:rFonts w:hint="eastAsia" w:ascii="宋体" w:hAnsi="宋体" w:eastAsia="宋体" w:cs="宋体"/>
                <w:color w:val="000000" w:themeColor="text1"/>
                <w:sz w:val="21"/>
                <w:szCs w:val="21"/>
                <w:highlight w:val="none"/>
                <w:u w:val="none"/>
                <w14:textFill>
                  <w14:solidFill>
                    <w14:schemeClr w14:val="tx1"/>
                  </w14:solidFill>
                </w14:textFill>
              </w:rPr>
              <w:t>进行综合评分。</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①</w:t>
            </w:r>
            <w:r>
              <w:rPr>
                <w:rFonts w:hint="eastAsia" w:ascii="宋体" w:hAnsi="宋体" w:eastAsia="宋体" w:cs="宋体"/>
                <w:color w:val="000000" w:themeColor="text1"/>
                <w:sz w:val="21"/>
                <w:szCs w:val="21"/>
                <w:highlight w:val="none"/>
                <w:u w:val="none"/>
                <w14:textFill>
                  <w14:solidFill>
                    <w14:schemeClr w14:val="tx1"/>
                  </w14:solidFill>
                </w14:textFill>
              </w:rPr>
              <w:t>设备设计及配置先进，材质可靠，实用性、耐用性好，得</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u w:val="none"/>
                <w14:textFill>
                  <w14:solidFill>
                    <w14:schemeClr w14:val="tx1"/>
                  </w14:solidFill>
                </w14:textFill>
              </w:rPr>
              <w:t>分</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②</w:t>
            </w:r>
            <w:r>
              <w:rPr>
                <w:rFonts w:hint="eastAsia" w:ascii="宋体" w:hAnsi="宋体" w:eastAsia="宋体" w:cs="宋体"/>
                <w:color w:val="000000" w:themeColor="text1"/>
                <w:sz w:val="21"/>
                <w:szCs w:val="21"/>
                <w:highlight w:val="none"/>
                <w:u w:val="none"/>
                <w14:textFill>
                  <w14:solidFill>
                    <w14:schemeClr w14:val="tx1"/>
                  </w14:solidFill>
                </w14:textFill>
              </w:rPr>
              <w:t>设备设计及配置较为先进，材质可靠，实用性、耐用性一般，得</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u w:val="none"/>
                <w14:textFill>
                  <w14:solidFill>
                    <w14:schemeClr w14:val="tx1"/>
                  </w14:solidFill>
                </w14:textFill>
              </w:rPr>
              <w:t>分</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③</w:t>
            </w:r>
            <w:r>
              <w:rPr>
                <w:rFonts w:hint="eastAsia" w:ascii="宋体" w:hAnsi="宋体" w:eastAsia="宋体" w:cs="宋体"/>
                <w:color w:val="000000" w:themeColor="text1"/>
                <w:sz w:val="21"/>
                <w:szCs w:val="21"/>
                <w:highlight w:val="none"/>
                <w:u w:val="none"/>
                <w14:textFill>
                  <w14:solidFill>
                    <w14:schemeClr w14:val="tx1"/>
                  </w14:solidFill>
                </w14:textFill>
              </w:rPr>
              <w:t>设备设计及配置一般，材质一般，实用性、耐用性一般，得</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u w:val="none"/>
                <w14:textFill>
                  <w14:solidFill>
                    <w14:schemeClr w14:val="tx1"/>
                  </w14:solidFill>
                </w14:textFill>
              </w:rPr>
              <w:t>分</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000000" w:themeColor="text1"/>
                <w:sz w:val="21"/>
                <w:szCs w:val="21"/>
                <w:highlight w:val="none"/>
                <w:u w:val="none"/>
                <w:lang w:val="zh-CN"/>
                <w14:textFill>
                  <w14:solidFill>
                    <w14:schemeClr w14:val="tx1"/>
                  </w14:solidFill>
                </w14:textFill>
              </w:rPr>
            </w:pPr>
            <w:r>
              <w:rPr>
                <w:rFonts w:hint="eastAsia" w:ascii="宋体" w:hAnsi="宋体" w:eastAsia="宋体" w:cs="宋体"/>
                <w:color w:val="000000" w:themeColor="text1"/>
                <w:sz w:val="21"/>
                <w:szCs w:val="21"/>
                <w:highlight w:val="none"/>
                <w:u w:val="none"/>
                <w:lang w:val="zh-CN"/>
                <w14:textFill>
                  <w14:solidFill>
                    <w14:schemeClr w14:val="tx1"/>
                  </w14:solidFill>
                </w14:textFill>
              </w:rPr>
              <w:t>④设备设计及配置差，材质差，实用性、耐用性差，得</w:t>
            </w:r>
            <w:r>
              <w:rPr>
                <w:rFonts w:hint="eastAsia" w:ascii="宋体" w:hAnsi="宋体" w:eastAsia="宋体" w:cs="宋体"/>
                <w:color w:val="000000" w:themeColor="text1"/>
                <w:sz w:val="21"/>
                <w:szCs w:val="21"/>
                <w:highlight w:val="none"/>
                <w:u w:val="none"/>
                <w14:textFill>
                  <w14:solidFill>
                    <w14:schemeClr w14:val="tx1"/>
                  </w14:solidFill>
                </w14:textFill>
              </w:rPr>
              <w:t>1</w:t>
            </w:r>
            <w:r>
              <w:rPr>
                <w:rFonts w:hint="eastAsia" w:ascii="宋体" w:hAnsi="宋体" w:eastAsia="宋体" w:cs="宋体"/>
                <w:color w:val="000000" w:themeColor="text1"/>
                <w:sz w:val="21"/>
                <w:szCs w:val="21"/>
                <w:highlight w:val="none"/>
                <w:u w:val="none"/>
                <w:lang w:val="zh-CN"/>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000000" w:themeColor="text1"/>
                <w:sz w:val="21"/>
                <w:szCs w:val="21"/>
                <w:highlight w:val="none"/>
                <w:u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⑤</w:t>
            </w:r>
            <w:r>
              <w:rPr>
                <w:rFonts w:hint="eastAsia" w:ascii="宋体" w:hAnsi="宋体" w:eastAsia="宋体" w:cs="宋体"/>
                <w:color w:val="000000" w:themeColor="text1"/>
                <w:sz w:val="21"/>
                <w:szCs w:val="21"/>
                <w:highlight w:val="none"/>
                <w:u w:val="none"/>
                <w14:textFill>
                  <w14:solidFill>
                    <w14:schemeClr w14:val="tx1"/>
                  </w14:solidFill>
                </w14:textFill>
              </w:rPr>
              <w:t>未提供对应方案不得分。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bidi="ar"/>
                <w14:textFill>
                  <w14:solidFill>
                    <w14:schemeClr w14:val="tx1"/>
                  </w14:solidFill>
                </w14:textFill>
              </w:rPr>
              <w:t>质量保证措施</w:t>
            </w:r>
          </w:p>
        </w:tc>
        <w:tc>
          <w:tcPr>
            <w:tcW w:w="8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0</w:t>
            </w:r>
          </w:p>
        </w:tc>
        <w:tc>
          <w:tcPr>
            <w:tcW w:w="5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12" w:lineRule="auto"/>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根据</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u w:val="none"/>
                <w14:textFill>
                  <w14:solidFill>
                    <w14:schemeClr w14:val="tx1"/>
                  </w14:solidFill>
                </w14:textFill>
              </w:rPr>
              <w:t>提供质量保证措施方案（包括但不限于质量目标、项目质量的控制、质量保证措施等）进行评审；</w:t>
            </w:r>
          </w:p>
          <w:p>
            <w:pPr>
              <w:keepNext w:val="0"/>
              <w:keepLines w:val="0"/>
              <w:pageBreakBefore w:val="0"/>
              <w:kinsoku/>
              <w:wordWrap/>
              <w:overflowPunct/>
              <w:topLinePunct w:val="0"/>
              <w:autoSpaceDE/>
              <w:autoSpaceDN/>
              <w:bidi w:val="0"/>
              <w:spacing w:line="312" w:lineRule="auto"/>
              <w:ind w:firstLine="420" w:firstLineChars="20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①质量目标非常明确、对项目质量的控制非常详细、检验手段非常科学，质量保证措施非常具体，可行</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性强</w:t>
            </w:r>
            <w:r>
              <w:rPr>
                <w:rFonts w:hint="eastAsia" w:ascii="宋体" w:hAnsi="宋体" w:eastAsia="宋体" w:cs="宋体"/>
                <w:color w:val="000000" w:themeColor="text1"/>
                <w:sz w:val="21"/>
                <w:szCs w:val="21"/>
                <w:highlight w:val="none"/>
                <w:u w:val="none"/>
                <w14:textFill>
                  <w14:solidFill>
                    <w14:schemeClr w14:val="tx1"/>
                  </w14:solidFill>
                </w14:textFill>
              </w:rPr>
              <w:t>的，得</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w:t>
            </w:r>
            <w:r>
              <w:rPr>
                <w:rFonts w:hint="eastAsia" w:ascii="宋体" w:hAnsi="宋体" w:cs="宋体"/>
                <w:color w:val="000000" w:themeColor="text1"/>
                <w:sz w:val="21"/>
                <w:szCs w:val="21"/>
                <w:highlight w:val="none"/>
                <w:u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u w:val="none"/>
                <w14:textFill>
                  <w14:solidFill>
                    <w14:schemeClr w14:val="tx1"/>
                  </w14:solidFill>
                </w14:textFill>
              </w:rPr>
              <w:t>分；</w:t>
            </w:r>
          </w:p>
          <w:p>
            <w:pPr>
              <w:keepNext w:val="0"/>
              <w:keepLines w:val="0"/>
              <w:pageBreakBefore w:val="0"/>
              <w:kinsoku/>
              <w:wordWrap/>
              <w:overflowPunct/>
              <w:topLinePunct w:val="0"/>
              <w:autoSpaceDE/>
              <w:autoSpaceDN/>
              <w:bidi w:val="0"/>
              <w:spacing w:line="312" w:lineRule="auto"/>
              <w:ind w:firstLine="420" w:firstLineChars="20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②质量目标比较明确、对项目质量的控制较为详细、检验手段比较科学，质量保证措施比较具体，可行</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性较强</w:t>
            </w:r>
            <w:r>
              <w:rPr>
                <w:rFonts w:hint="eastAsia" w:ascii="宋体" w:hAnsi="宋体" w:eastAsia="宋体" w:cs="宋体"/>
                <w:color w:val="000000" w:themeColor="text1"/>
                <w:sz w:val="21"/>
                <w:szCs w:val="21"/>
                <w:highlight w:val="none"/>
                <w:u w:val="none"/>
                <w14:textFill>
                  <w14:solidFill>
                    <w14:schemeClr w14:val="tx1"/>
                  </w14:solidFill>
                </w14:textFill>
              </w:rPr>
              <w:t>的，得</w:t>
            </w:r>
            <w:r>
              <w:rPr>
                <w:rFonts w:hint="eastAsia" w:ascii="宋体" w:hAnsi="宋体" w:cs="宋体"/>
                <w:color w:val="000000" w:themeColor="text1"/>
                <w:sz w:val="21"/>
                <w:szCs w:val="21"/>
                <w:highlight w:val="none"/>
                <w:u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u w:val="none"/>
                <w14:textFill>
                  <w14:solidFill>
                    <w14:schemeClr w14:val="tx1"/>
                  </w14:solidFill>
                </w14:textFill>
              </w:rPr>
              <w:t>分；</w:t>
            </w:r>
          </w:p>
          <w:p>
            <w:pPr>
              <w:keepNext w:val="0"/>
              <w:keepLines w:val="0"/>
              <w:pageBreakBefore w:val="0"/>
              <w:kinsoku/>
              <w:wordWrap/>
              <w:overflowPunct/>
              <w:topLinePunct w:val="0"/>
              <w:autoSpaceDE/>
              <w:autoSpaceDN/>
              <w:bidi w:val="0"/>
              <w:spacing w:line="312" w:lineRule="auto"/>
              <w:ind w:firstLine="420" w:firstLineChars="200"/>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③质量目标基本明确、对项目质量的控制详细程度</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一般</w:t>
            </w:r>
            <w:r>
              <w:rPr>
                <w:rFonts w:hint="eastAsia" w:ascii="宋体" w:hAnsi="宋体" w:eastAsia="宋体" w:cs="宋体"/>
                <w:color w:val="000000" w:themeColor="text1"/>
                <w:sz w:val="21"/>
                <w:szCs w:val="21"/>
                <w:highlight w:val="none"/>
                <w:u w:val="none"/>
                <w14:textFill>
                  <w14:solidFill>
                    <w14:schemeClr w14:val="tx1"/>
                  </w14:solidFill>
                </w14:textFill>
              </w:rPr>
              <w:t>、检验手段科学性</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一般</w:t>
            </w:r>
            <w:r>
              <w:rPr>
                <w:rFonts w:hint="eastAsia" w:ascii="宋体" w:hAnsi="宋体" w:eastAsia="宋体" w:cs="宋体"/>
                <w:color w:val="000000" w:themeColor="text1"/>
                <w:sz w:val="21"/>
                <w:szCs w:val="21"/>
                <w:highlight w:val="none"/>
                <w:u w:val="none"/>
                <w14:textFill>
                  <w14:solidFill>
                    <w14:schemeClr w14:val="tx1"/>
                  </w14:solidFill>
                </w14:textFill>
              </w:rPr>
              <w:t>，质量保证措施不够具体，可行性</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一般的，得</w:t>
            </w:r>
            <w:r>
              <w:rPr>
                <w:rFonts w:hint="eastAsia" w:ascii="宋体" w:hAnsi="宋体" w:cs="宋体"/>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分；</w:t>
            </w:r>
          </w:p>
          <w:p>
            <w:pPr>
              <w:keepNext w:val="0"/>
              <w:keepLines w:val="0"/>
              <w:pageBreakBefore w:val="0"/>
              <w:kinsoku/>
              <w:wordWrap/>
              <w:overflowPunct/>
              <w:topLinePunct w:val="0"/>
              <w:autoSpaceDE/>
              <w:autoSpaceDN/>
              <w:bidi w:val="0"/>
              <w:spacing w:line="312" w:lineRule="auto"/>
              <w:ind w:firstLine="420" w:firstLineChars="200"/>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④</w:t>
            </w:r>
            <w:r>
              <w:rPr>
                <w:rFonts w:hint="eastAsia" w:ascii="宋体" w:hAnsi="宋体" w:eastAsia="宋体" w:cs="宋体"/>
                <w:color w:val="000000" w:themeColor="text1"/>
                <w:sz w:val="21"/>
                <w:szCs w:val="21"/>
                <w:highlight w:val="none"/>
                <w:u w:val="none"/>
                <w14:textFill>
                  <w14:solidFill>
                    <w14:schemeClr w14:val="tx1"/>
                  </w14:solidFill>
                </w14:textFill>
              </w:rPr>
              <w:t>质量目标</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不</w:t>
            </w:r>
            <w:r>
              <w:rPr>
                <w:rFonts w:hint="eastAsia" w:ascii="宋体" w:hAnsi="宋体" w:eastAsia="宋体" w:cs="宋体"/>
                <w:color w:val="000000" w:themeColor="text1"/>
                <w:sz w:val="21"/>
                <w:szCs w:val="21"/>
                <w:highlight w:val="none"/>
                <w:u w:val="none"/>
                <w14:textFill>
                  <w14:solidFill>
                    <w14:schemeClr w14:val="tx1"/>
                  </w14:solidFill>
                </w14:textFill>
              </w:rPr>
              <w:t>明确、对项目质量的控制</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方案</w:t>
            </w:r>
            <w:r>
              <w:rPr>
                <w:rFonts w:hint="eastAsia" w:ascii="宋体" w:hAnsi="宋体" w:eastAsia="宋体" w:cs="宋体"/>
                <w:color w:val="000000" w:themeColor="text1"/>
                <w:sz w:val="21"/>
                <w:szCs w:val="21"/>
                <w:highlight w:val="none"/>
                <w:u w:val="none"/>
                <w14:textFill>
                  <w14:solidFill>
                    <w14:schemeClr w14:val="tx1"/>
                  </w14:solidFill>
                </w14:textFill>
              </w:rPr>
              <w:t>、检验手段科学性</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差</w:t>
            </w:r>
            <w:r>
              <w:rPr>
                <w:rFonts w:hint="eastAsia" w:ascii="宋体" w:hAnsi="宋体" w:eastAsia="宋体" w:cs="宋体"/>
                <w:color w:val="000000" w:themeColor="text1"/>
                <w:sz w:val="21"/>
                <w:szCs w:val="21"/>
                <w:highlight w:val="none"/>
                <w:u w:val="none"/>
                <w14:textFill>
                  <w14:solidFill>
                    <w14:schemeClr w14:val="tx1"/>
                  </w14:solidFill>
                </w14:textFill>
              </w:rPr>
              <w:t>，质量保证措施不具体，</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不</w:t>
            </w:r>
            <w:r>
              <w:rPr>
                <w:rFonts w:hint="eastAsia" w:ascii="宋体" w:hAnsi="宋体" w:eastAsia="宋体" w:cs="宋体"/>
                <w:color w:val="000000" w:themeColor="text1"/>
                <w:sz w:val="21"/>
                <w:szCs w:val="21"/>
                <w:highlight w:val="none"/>
                <w:u w:val="none"/>
                <w14:textFill>
                  <w14:solidFill>
                    <w14:schemeClr w14:val="tx1"/>
                  </w14:solidFill>
                </w14:textFill>
              </w:rPr>
              <w:t>可行</w:t>
            </w:r>
            <w:r>
              <w:rPr>
                <w:rFonts w:hint="eastAsia" w:ascii="宋体" w:hAnsi="宋体" w:eastAsia="宋体" w:cs="宋体"/>
                <w:color w:val="000000" w:themeColor="text1"/>
                <w:sz w:val="21"/>
                <w:szCs w:val="21"/>
                <w:highlight w:val="none"/>
                <w:u w:val="none"/>
                <w:lang w:eastAsia="zh-CN"/>
                <w14:textFill>
                  <w14:solidFill>
                    <w14:schemeClr w14:val="tx1"/>
                  </w14:solidFill>
                </w14:textFill>
              </w:rPr>
              <w:t>的，得</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1分；</w:t>
            </w:r>
          </w:p>
          <w:p>
            <w:pPr>
              <w:keepNext w:val="0"/>
              <w:keepLines w:val="0"/>
              <w:pageBreakBefore w:val="0"/>
              <w:kinsoku/>
              <w:wordWrap/>
              <w:overflowPunct/>
              <w:topLinePunct w:val="0"/>
              <w:autoSpaceDE/>
              <w:autoSpaceDN/>
              <w:bidi w:val="0"/>
              <w:spacing w:line="312" w:lineRule="auto"/>
              <w:ind w:firstLine="420" w:firstLineChars="20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⑤</w:t>
            </w:r>
            <w:r>
              <w:rPr>
                <w:rFonts w:hint="eastAsia" w:ascii="宋体" w:hAnsi="宋体" w:eastAsia="宋体" w:cs="宋体"/>
                <w:color w:val="000000" w:themeColor="text1"/>
                <w:sz w:val="21"/>
                <w:szCs w:val="21"/>
                <w:highlight w:val="none"/>
                <w:u w:val="none"/>
                <w14:textFill>
                  <w14:solidFill>
                    <w14:schemeClr w14:val="tx1"/>
                  </w14:solidFill>
                </w14:textFill>
              </w:rPr>
              <w:t>未提供</w:t>
            </w:r>
            <w:r>
              <w:rPr>
                <w:rFonts w:hint="eastAsia" w:ascii="宋体" w:hAnsi="宋体" w:eastAsia="宋体" w:cs="宋体"/>
                <w:color w:val="000000" w:themeColor="text1"/>
                <w:sz w:val="21"/>
                <w:szCs w:val="21"/>
                <w:highlight w:val="none"/>
                <w:u w:val="none"/>
                <w:lang w:eastAsia="zh-CN"/>
                <w14:textFill>
                  <w14:solidFill>
                    <w14:schemeClr w14:val="tx1"/>
                  </w14:solidFill>
                </w14:textFill>
              </w:rPr>
              <w:t>相关方案的</w:t>
            </w:r>
            <w:r>
              <w:rPr>
                <w:rFonts w:hint="eastAsia" w:ascii="宋体" w:hAnsi="宋体" w:eastAsia="宋体" w:cs="宋体"/>
                <w:color w:val="000000" w:themeColor="text1"/>
                <w:sz w:val="21"/>
                <w:szCs w:val="21"/>
                <w:highlight w:val="none"/>
                <w:u w:val="none"/>
                <w14:textFill>
                  <w14:solidFill>
                    <w14:schemeClr w14:val="tx1"/>
                  </w14:solidFill>
                </w14:textFill>
              </w:rPr>
              <w:t>，不得分</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pacing w:val="2"/>
                <w:sz w:val="21"/>
                <w:szCs w:val="21"/>
                <w:highlight w:val="none"/>
                <w:u w:val="none"/>
                <w14:textFill>
                  <w14:solidFill>
                    <w14:schemeClr w14:val="tx1"/>
                  </w14:solidFill>
                </w14:textFill>
              </w:rPr>
              <w:t>售后服务</w:t>
            </w:r>
          </w:p>
        </w:tc>
        <w:tc>
          <w:tcPr>
            <w:tcW w:w="8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57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根据各投标人提供的售后服务方案（包括售后响应时间、技术支持和售后服务计划、质保期外的维修服务收费标准、服务质量保证、应急方案）进行</w:t>
            </w:r>
            <w:r>
              <w:rPr>
                <w:rFonts w:hint="eastAsia" w:ascii="宋体" w:hAnsi="宋体" w:eastAsia="宋体" w:cs="宋体"/>
                <w:color w:val="000000" w:themeColor="text1"/>
                <w:sz w:val="21"/>
                <w:szCs w:val="21"/>
                <w:highlight w:val="none"/>
                <w:u w:val="none"/>
                <w:lang w:eastAsia="zh-CN"/>
                <w14:textFill>
                  <w14:solidFill>
                    <w14:schemeClr w14:val="tx1"/>
                  </w14:solidFill>
                </w14:textFill>
              </w:rPr>
              <w:t>评审</w:t>
            </w:r>
            <w:r>
              <w:rPr>
                <w:rFonts w:hint="eastAsia" w:ascii="宋体" w:hAnsi="宋体" w:eastAsia="宋体" w:cs="宋体"/>
                <w:color w:val="000000" w:themeColor="text1"/>
                <w:sz w:val="21"/>
                <w:szCs w:val="21"/>
                <w:highlight w:val="none"/>
                <w:u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①售后服务方案保障措施详细完整，</w:t>
            </w:r>
            <w:r>
              <w:rPr>
                <w:rFonts w:hint="eastAsia" w:ascii="宋体" w:hAnsi="宋体" w:eastAsia="宋体" w:cs="宋体"/>
                <w:color w:val="000000" w:themeColor="text1"/>
                <w:sz w:val="21"/>
                <w:szCs w:val="21"/>
                <w:highlight w:val="none"/>
                <w:u w:val="none"/>
                <w:lang w:eastAsia="zh-CN"/>
                <w14:textFill>
                  <w14:solidFill>
                    <w14:schemeClr w14:val="tx1"/>
                  </w14:solidFill>
                </w14:textFill>
              </w:rPr>
              <w:t>科学合理，</w:t>
            </w:r>
            <w:r>
              <w:rPr>
                <w:rFonts w:hint="eastAsia" w:ascii="宋体" w:hAnsi="宋体" w:eastAsia="宋体" w:cs="宋体"/>
                <w:color w:val="000000" w:themeColor="text1"/>
                <w:sz w:val="21"/>
                <w:szCs w:val="21"/>
                <w:highlight w:val="none"/>
                <w:u w:val="none"/>
                <w14:textFill>
                  <w14:solidFill>
                    <w14:schemeClr w14:val="tx1"/>
                  </w14:solidFill>
                </w14:textFill>
              </w:rPr>
              <w:t>切实可行的</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得</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u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②售后服务方案保障措施基本完整，</w:t>
            </w:r>
            <w:r>
              <w:rPr>
                <w:rFonts w:hint="eastAsia" w:ascii="宋体" w:hAnsi="宋体" w:eastAsia="宋体" w:cs="宋体"/>
                <w:color w:val="000000" w:themeColor="text1"/>
                <w:sz w:val="21"/>
                <w:szCs w:val="21"/>
                <w:highlight w:val="none"/>
                <w:u w:val="none"/>
                <w:lang w:eastAsia="zh-CN"/>
                <w14:textFill>
                  <w14:solidFill>
                    <w14:schemeClr w14:val="tx1"/>
                  </w14:solidFill>
                </w14:textFill>
              </w:rPr>
              <w:t>较科学合理，</w:t>
            </w:r>
            <w:r>
              <w:rPr>
                <w:rFonts w:hint="eastAsia" w:ascii="宋体" w:hAnsi="宋体" w:eastAsia="宋体" w:cs="宋体"/>
                <w:color w:val="000000" w:themeColor="text1"/>
                <w:sz w:val="21"/>
                <w:szCs w:val="21"/>
                <w:highlight w:val="none"/>
                <w:u w:val="none"/>
                <w14:textFill>
                  <w14:solidFill>
                    <w14:schemeClr w14:val="tx1"/>
                  </w14:solidFill>
                </w14:textFill>
              </w:rPr>
              <w:t>可行性</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较强</w:t>
            </w:r>
            <w:r>
              <w:rPr>
                <w:rFonts w:hint="eastAsia" w:ascii="宋体" w:hAnsi="宋体" w:eastAsia="宋体" w:cs="宋体"/>
                <w:color w:val="000000" w:themeColor="text1"/>
                <w:sz w:val="21"/>
                <w:szCs w:val="21"/>
                <w:highlight w:val="none"/>
                <w:u w:val="none"/>
                <w14:textFill>
                  <w14:solidFill>
                    <w14:schemeClr w14:val="tx1"/>
                  </w14:solidFill>
                </w14:textFill>
              </w:rPr>
              <w:t>的</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得</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u w:val="none"/>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eastAsia="宋体" w:cs="宋体"/>
                <w:color w:val="000000" w:themeColor="text1"/>
                <w:sz w:val="21"/>
                <w:szCs w:val="21"/>
                <w:highlight w:val="none"/>
                <w:u w:val="none"/>
                <w14:textFill>
                  <w14:solidFill>
                    <w14:schemeClr w14:val="tx1"/>
                  </w14:solidFill>
                </w14:textFill>
              </w:rPr>
              <w:t>③售后服务方案保障措施可行性</w:t>
            </w:r>
            <w:r>
              <w:rPr>
                <w:rFonts w:hint="eastAsia" w:ascii="宋体" w:hAnsi="宋体" w:eastAsia="宋体" w:cs="宋体"/>
                <w:color w:val="000000" w:themeColor="text1"/>
                <w:sz w:val="21"/>
                <w:szCs w:val="21"/>
                <w:highlight w:val="none"/>
                <w:u w:val="none"/>
                <w:lang w:eastAsia="zh-CN"/>
                <w14:textFill>
                  <w14:solidFill>
                    <w14:schemeClr w14:val="tx1"/>
                  </w14:solidFill>
                </w14:textFill>
              </w:rPr>
              <w:t>一般，合理性一般，不太可行的，得</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3分</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④</w:t>
            </w:r>
            <w:r>
              <w:rPr>
                <w:rFonts w:hint="eastAsia" w:ascii="宋体" w:hAnsi="宋体" w:eastAsia="宋体" w:cs="宋体"/>
                <w:color w:val="000000" w:themeColor="text1"/>
                <w:sz w:val="21"/>
                <w:szCs w:val="21"/>
                <w:highlight w:val="none"/>
                <w:u w:val="none"/>
                <w14:textFill>
                  <w14:solidFill>
                    <w14:schemeClr w14:val="tx1"/>
                  </w14:solidFill>
                </w14:textFill>
              </w:rPr>
              <w:t>售后服务方案保障措施可行性</w:t>
            </w:r>
            <w:r>
              <w:rPr>
                <w:rFonts w:hint="eastAsia" w:ascii="宋体" w:hAnsi="宋体" w:eastAsia="宋体" w:cs="宋体"/>
                <w:color w:val="000000" w:themeColor="text1"/>
                <w:sz w:val="21"/>
                <w:szCs w:val="21"/>
                <w:highlight w:val="none"/>
                <w:u w:val="none"/>
                <w:lang w:eastAsia="zh-CN"/>
                <w14:textFill>
                  <w14:solidFill>
                    <w14:schemeClr w14:val="tx1"/>
                  </w14:solidFill>
                </w14:textFill>
              </w:rPr>
              <w:t>差，不合理的，不可行的，得</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1分</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000000" w:themeColor="text1"/>
                <w:sz w:val="21"/>
                <w:szCs w:val="21"/>
                <w:highlight w:val="none"/>
                <w:u w:val="none"/>
                <w:lang w:val="zh-CN"/>
                <w14:textFill>
                  <w14:solidFill>
                    <w14:schemeClr w14:val="tx1"/>
                  </w14:solidFill>
                </w14:textFill>
              </w:rPr>
            </w:pPr>
            <w:r>
              <w:rPr>
                <w:rFonts w:hint="eastAsia" w:ascii="宋体" w:hAnsi="宋体" w:eastAsia="宋体" w:cs="宋体"/>
                <w:color w:val="000000" w:themeColor="text1"/>
                <w:sz w:val="21"/>
                <w:szCs w:val="21"/>
                <w:highlight w:val="none"/>
                <w:u w:val="none"/>
                <w:lang w:eastAsia="zh-CN"/>
                <w14:textFill>
                  <w14:solidFill>
                    <w14:schemeClr w14:val="tx1"/>
                  </w14:solidFill>
                </w14:textFill>
              </w:rPr>
              <w:t>⑤</w:t>
            </w:r>
            <w:r>
              <w:rPr>
                <w:rFonts w:hint="eastAsia" w:ascii="宋体" w:hAnsi="宋体" w:eastAsia="宋体" w:cs="宋体"/>
                <w:color w:val="000000" w:themeColor="text1"/>
                <w:sz w:val="21"/>
                <w:szCs w:val="21"/>
                <w:highlight w:val="none"/>
                <w:u w:val="none"/>
                <w14:textFill>
                  <w14:solidFill>
                    <w14:schemeClr w14:val="tx1"/>
                  </w14:solidFill>
                </w14:textFill>
              </w:rPr>
              <w:t>未提供</w:t>
            </w:r>
            <w:r>
              <w:rPr>
                <w:rFonts w:hint="eastAsia" w:ascii="宋体" w:hAnsi="宋体" w:eastAsia="宋体" w:cs="宋体"/>
                <w:color w:val="000000" w:themeColor="text1"/>
                <w:sz w:val="21"/>
                <w:szCs w:val="21"/>
                <w:highlight w:val="none"/>
                <w:u w:val="none"/>
                <w:lang w:eastAsia="zh-CN"/>
                <w14:textFill>
                  <w14:solidFill>
                    <w14:schemeClr w14:val="tx1"/>
                  </w14:solidFill>
                </w14:textFill>
              </w:rPr>
              <w:t>相关方案的</w:t>
            </w:r>
            <w:r>
              <w:rPr>
                <w:rFonts w:hint="eastAsia" w:ascii="宋体" w:hAnsi="宋体" w:eastAsia="宋体" w:cs="宋体"/>
                <w:color w:val="000000" w:themeColor="text1"/>
                <w:sz w:val="21"/>
                <w:szCs w:val="21"/>
                <w:highlight w:val="none"/>
                <w:u w:val="none"/>
                <w14:textFill>
                  <w14:solidFill>
                    <w14:schemeClr w14:val="tx1"/>
                  </w14:solidFill>
                </w14:textFill>
              </w:rPr>
              <w:t>，不得分</w:t>
            </w:r>
            <w:r>
              <w:rPr>
                <w:rFonts w:hint="eastAsia" w:ascii="宋体" w:hAnsi="宋体" w:eastAsia="宋体" w:cs="宋体"/>
                <w:color w:val="000000" w:themeColor="text1"/>
                <w:sz w:val="21"/>
                <w:szCs w:val="21"/>
                <w:highlight w:val="none"/>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ind w:firstLine="422"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注：（1）无特殊说明外，以上评审项，同一证明文件不重复计分。（2）投标人根据以上评分要求提供的投标材料因模糊不清导致评标委员会无法清晰辨认进行评审的，视为无效材料。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价格评审（</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b/>
                <w:bCs/>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pPr>
              <w:pStyle w:val="42"/>
              <w:spacing w:line="360" w:lineRule="auto"/>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投标总价</w:t>
            </w:r>
          </w:p>
        </w:tc>
        <w:tc>
          <w:tcPr>
            <w:tcW w:w="883"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jc w:val="center"/>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kern w:val="2"/>
                <w:sz w:val="21"/>
                <w:szCs w:val="21"/>
                <w:highlight w:val="none"/>
                <w14:textFill>
                  <w14:solidFill>
                    <w14:schemeClr w14:val="tx1"/>
                  </w14:solidFill>
                </w14:textFill>
              </w:rPr>
              <w:t xml:space="preserve"> </w:t>
            </w:r>
          </w:p>
        </w:tc>
        <w:tc>
          <w:tcPr>
            <w:tcW w:w="5722" w:type="dxa"/>
            <w:tcBorders>
              <w:top w:val="single" w:color="auto" w:sz="4" w:space="0"/>
              <w:left w:val="single" w:color="auto" w:sz="4" w:space="0"/>
              <w:bottom w:val="single" w:color="auto" w:sz="4" w:space="0"/>
              <w:right w:val="single" w:color="auto" w:sz="4" w:space="0"/>
            </w:tcBorders>
            <w:vAlign w:val="center"/>
          </w:tcPr>
          <w:p>
            <w:pPr>
              <w:widowControl w:val="0"/>
              <w:adjustRightInd/>
              <w:snapToGrid/>
              <w:ind w:firstLine="420" w:firstLineChars="200"/>
              <w:rPr>
                <w:rFonts w:hint="eastAsia" w:ascii="宋体" w:hAnsi="宋体" w:eastAsia="宋体" w:cs="宋体"/>
                <w:color w:val="000000" w:themeColor="text1"/>
                <w:kern w:val="2"/>
                <w:sz w:val="21"/>
                <w:szCs w:val="21"/>
                <w:highlight w:val="none"/>
                <w:lang w:val="zh-CN"/>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价格分计算方法：满足采购文件要求且投标价格最低的投标报价为评标基准价，其价格分为满分。其他投标人的价格分统一按照下列公式计算：</w:t>
            </w:r>
          </w:p>
          <w:p>
            <w:pPr>
              <w:widowControl w:val="0"/>
              <w:adjustRightInd/>
              <w:snapToGrid/>
              <w:ind w:firstLine="420" w:firstLineChars="200"/>
              <w:rPr>
                <w:rFonts w:hint="eastAsia" w:ascii="宋体" w:hAnsi="宋体" w:eastAsia="宋体" w:cs="宋体"/>
                <w:color w:val="000000" w:themeColor="text1"/>
                <w:kern w:val="2"/>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zh-CN"/>
                <w14:textFill>
                  <w14:solidFill>
                    <w14:schemeClr w14:val="tx1"/>
                  </w14:solidFill>
                </w14:textFill>
              </w:rPr>
              <w:t>投标报价得分=(评标基准价／投标报价)×价格权</w:t>
            </w:r>
            <w:r>
              <w:rPr>
                <w:rFonts w:hint="eastAsia" w:ascii="宋体" w:hAnsi="宋体" w:eastAsia="宋体" w:cs="宋体"/>
                <w:color w:val="000000" w:themeColor="text1"/>
                <w:kern w:val="2"/>
                <w:sz w:val="21"/>
                <w:szCs w:val="21"/>
                <w:highlight w:val="none"/>
                <w14:textFill>
                  <w14:solidFill>
                    <w14:schemeClr w14:val="tx1"/>
                  </w14:solidFill>
                </w14:textFill>
              </w:rPr>
              <w:t>重</w:t>
            </w:r>
          </w:p>
        </w:tc>
      </w:tr>
    </w:tbl>
    <w:p>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3"/>
        <w:spacing w:before="0" w:after="0" w:line="240" w:lineRule="auto"/>
        <w:rPr>
          <w:color w:val="000000" w:themeColor="text1"/>
          <w:sz w:val="36"/>
          <w:szCs w:val="36"/>
          <w:highlight w:val="none"/>
          <w14:textFill>
            <w14:solidFill>
              <w14:schemeClr w14:val="tx1"/>
            </w14:solidFill>
          </w14:textFill>
        </w:rPr>
      </w:pPr>
      <w:bookmarkStart w:id="6" w:name="_Toc4078"/>
      <w:r>
        <w:rPr>
          <w:rFonts w:hint="eastAsia"/>
          <w:color w:val="000000" w:themeColor="text1"/>
          <w:sz w:val="28"/>
          <w:szCs w:val="28"/>
          <w:highlight w:val="none"/>
          <w14:textFill>
            <w14:solidFill>
              <w14:schemeClr w14:val="tx1"/>
            </w14:solidFill>
          </w14:textFill>
        </w:rPr>
        <w:t>第三部分用户需求书</w:t>
      </w:r>
      <w:bookmarkEnd w:id="6"/>
    </w:p>
    <w:p>
      <w:pPr>
        <w:pStyle w:val="4"/>
        <w:spacing w:before="0" w:after="0" w:line="360" w:lineRule="auto"/>
        <w:jc w:val="center"/>
        <w:rPr>
          <w:rFonts w:ascii="宋体" w:hAnsi="宋体"/>
          <w:color w:val="000000" w:themeColor="text1"/>
          <w:highlight w:val="none"/>
          <w14:textFill>
            <w14:solidFill>
              <w14:schemeClr w14:val="tx1"/>
            </w14:solidFill>
          </w14:textFill>
        </w:rPr>
      </w:pPr>
      <w:bookmarkStart w:id="7" w:name="_Toc27644"/>
      <w:bookmarkStart w:id="8" w:name="_Toc1593"/>
      <w:bookmarkStart w:id="9" w:name="_Toc308786492"/>
      <w:bookmarkStart w:id="10" w:name="_Toc24679"/>
      <w:bookmarkStart w:id="11" w:name="_Toc14462"/>
      <w:bookmarkStart w:id="12" w:name="_Toc13112"/>
      <w:bookmarkStart w:id="13" w:name="_Toc31278"/>
      <w:r>
        <w:rPr>
          <w:rFonts w:hint="eastAsia" w:ascii="宋体" w:hAnsi="宋体"/>
          <w:color w:val="000000" w:themeColor="text1"/>
          <w:highlight w:val="none"/>
          <w14:textFill>
            <w14:solidFill>
              <w14:schemeClr w14:val="tx1"/>
            </w14:solidFill>
          </w14:textFill>
        </w:rPr>
        <w:t>第一章 商务需求书</w:t>
      </w:r>
      <w:bookmarkEnd w:id="7"/>
      <w:bookmarkEnd w:id="8"/>
    </w:p>
    <w:tbl>
      <w:tblPr>
        <w:tblStyle w:val="27"/>
        <w:tblW w:w="868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718" w:type="dxa"/>
            <w:vAlign w:val="center"/>
          </w:tcPr>
          <w:p>
            <w:pPr>
              <w:jc w:val="center"/>
              <w:rPr>
                <w:rFonts w:ascii="宋体" w:hAnsi="宋体" w:cs="宋体"/>
                <w:b/>
                <w:bCs/>
                <w:color w:val="000000" w:themeColor="text1"/>
                <w:szCs w:val="21"/>
                <w:highlight w:val="none"/>
                <w14:textFill>
                  <w14:solidFill>
                    <w14:schemeClr w14:val="tx1"/>
                  </w14:solidFill>
                </w14:textFill>
              </w:rPr>
            </w:pPr>
            <w:bookmarkStart w:id="14" w:name="_Toc19316"/>
            <w:r>
              <w:rPr>
                <w:rFonts w:hint="eastAsia" w:ascii="宋体" w:hAnsi="宋体" w:cs="宋体"/>
                <w:b/>
                <w:bCs/>
                <w:color w:val="000000" w:themeColor="text1"/>
                <w:szCs w:val="21"/>
                <w:highlight w:val="none"/>
                <w14:textFill>
                  <w14:solidFill>
                    <w14:schemeClr w14:val="tx1"/>
                  </w14:solidFill>
                </w14:textFill>
              </w:rPr>
              <w:t>序号</w:t>
            </w:r>
          </w:p>
        </w:tc>
        <w:tc>
          <w:tcPr>
            <w:tcW w:w="1501" w:type="dxa"/>
            <w:vAlign w:val="center"/>
          </w:tcPr>
          <w:p>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条款名称</w:t>
            </w:r>
          </w:p>
        </w:tc>
        <w:tc>
          <w:tcPr>
            <w:tcW w:w="6466" w:type="dxa"/>
            <w:vAlign w:val="center"/>
          </w:tcPr>
          <w:p>
            <w:pPr>
              <w:jc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说  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9" w:hRule="atLeast"/>
        </w:trPr>
        <w:tc>
          <w:tcPr>
            <w:tcW w:w="718" w:type="dxa"/>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1501" w:type="dxa"/>
            <w:vAlign w:val="center"/>
          </w:tcPr>
          <w:p>
            <w:pPr>
              <w:jc w:val="center"/>
              <w:rPr>
                <w:rFonts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供货期</w:t>
            </w:r>
          </w:p>
        </w:tc>
        <w:tc>
          <w:tcPr>
            <w:tcW w:w="6466" w:type="dxa"/>
            <w:vAlign w:val="center"/>
          </w:tcPr>
          <w:p>
            <w:pPr>
              <w:pStyle w:val="36"/>
              <w:spacing w:line="360" w:lineRule="auto"/>
              <w:ind w:firstLine="420" w:firstLineChars="200"/>
              <w:rPr>
                <w:rFonts w:ascii="宋体" w:hAnsi="宋体" w:eastAsia="方正书宋简体" w:cs="宋体"/>
                <w:color w:val="000000" w:themeColor="text1"/>
                <w:sz w:val="20"/>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14:textFill>
                  <w14:solidFill>
                    <w14:schemeClr w14:val="tx1"/>
                  </w14:solidFill>
                </w14:textFill>
              </w:rPr>
              <w:t>签订合同后，</w:t>
            </w:r>
            <w:r>
              <w:rPr>
                <w:rFonts w:hint="eastAsia" w:ascii="宋体" w:hAnsi="宋体" w:eastAsia="宋体" w:cs="宋体"/>
                <w:color w:val="000000" w:themeColor="text1"/>
                <w:kern w:val="2"/>
                <w:sz w:val="21"/>
                <w:szCs w:val="21"/>
                <w:highlight w:val="none"/>
                <w:lang w:val="en-US" w:eastAsia="zh-CN"/>
                <w14:textFill>
                  <w14:solidFill>
                    <w14:schemeClr w14:val="tx1"/>
                  </w14:solidFill>
                </w14:textFill>
              </w:rPr>
              <w:t>120天</w:t>
            </w:r>
            <w:r>
              <w:rPr>
                <w:rFonts w:hint="eastAsia" w:ascii="宋体" w:hAnsi="宋体" w:eastAsia="宋体" w:cs="宋体"/>
                <w:color w:val="000000" w:themeColor="text1"/>
                <w:kern w:val="2"/>
                <w:sz w:val="21"/>
                <w:szCs w:val="21"/>
                <w:highlight w:val="none"/>
                <w14:textFill>
                  <w14:solidFill>
                    <w14:schemeClr w14:val="tx1"/>
                  </w14:solidFill>
                </w14:textFill>
              </w:rPr>
              <w:t>内完成（包括供货、</w:t>
            </w:r>
            <w:r>
              <w:rPr>
                <w:rFonts w:hint="eastAsia" w:ascii="宋体" w:hAnsi="宋体" w:eastAsia="宋体" w:cs="宋体"/>
                <w:color w:val="000000" w:themeColor="text1"/>
                <w:kern w:val="2"/>
                <w:sz w:val="21"/>
                <w:szCs w:val="21"/>
                <w:highlight w:val="none"/>
                <w:lang w:eastAsia="zh-CN"/>
                <w14:textFill>
                  <w14:solidFill>
                    <w14:schemeClr w14:val="tx1"/>
                  </w14:solidFill>
                </w14:textFill>
              </w:rPr>
              <w:t>安装</w:t>
            </w:r>
            <w:r>
              <w:rPr>
                <w:rFonts w:hint="eastAsia" w:ascii="宋体" w:hAnsi="宋体" w:eastAsia="宋体" w:cs="宋体"/>
                <w:color w:val="000000" w:themeColor="text1"/>
                <w:kern w:val="2"/>
                <w:sz w:val="21"/>
                <w:szCs w:val="21"/>
                <w:highlight w:val="none"/>
                <w14:textFill>
                  <w14:solidFill>
                    <w14:schemeClr w14:val="tx1"/>
                  </w14:solidFill>
                </w14:textFill>
              </w:rPr>
              <w:t>、调试、验收</w:t>
            </w:r>
            <w:r>
              <w:rPr>
                <w:rFonts w:hint="eastAsia" w:ascii="宋体" w:hAnsi="宋体" w:eastAsia="宋体" w:cs="宋体"/>
                <w:color w:val="000000" w:themeColor="text1"/>
                <w:kern w:val="2"/>
                <w:sz w:val="21"/>
                <w:szCs w:val="21"/>
                <w:highlight w:val="none"/>
                <w:lang w:eastAsia="zh-CN"/>
                <w14:textFill>
                  <w14:solidFill>
                    <w14:schemeClr w14:val="tx1"/>
                  </w14:solidFill>
                </w14:textFill>
              </w:rPr>
              <w:t>等</w:t>
            </w:r>
            <w:r>
              <w:rPr>
                <w:rFonts w:hint="eastAsia" w:ascii="宋体" w:hAnsi="宋体" w:eastAsia="宋体" w:cs="宋体"/>
                <w:color w:val="000000" w:themeColor="text1"/>
                <w:kern w:val="2"/>
                <w:sz w:val="21"/>
                <w:szCs w:val="21"/>
                <w:highlight w:val="none"/>
                <w14:textFill>
                  <w14:solidFill>
                    <w14:schemeClr w14:val="tx1"/>
                  </w14:solidFill>
                </w14:textFill>
              </w:rPr>
              <w:t>工作）</w:t>
            </w:r>
            <w:r>
              <w:rPr>
                <w:rFonts w:hint="eastAsia" w:ascii="宋体" w:hAnsi="宋体" w:eastAsia="宋体" w:cs="宋体"/>
                <w:color w:val="000000" w:themeColor="text1"/>
                <w:kern w:val="2"/>
                <w:sz w:val="21"/>
                <w:szCs w:val="21"/>
                <w:highlight w:val="none"/>
                <w:lang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718" w:type="dxa"/>
            <w:vAlign w:val="center"/>
          </w:tcPr>
          <w:p>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c>
          <w:tcPr>
            <w:tcW w:w="1501" w:type="dxa"/>
            <w:vAlign w:val="center"/>
          </w:tcPr>
          <w:p>
            <w:pPr>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项目地点</w:t>
            </w:r>
          </w:p>
        </w:tc>
        <w:tc>
          <w:tcPr>
            <w:tcW w:w="6466" w:type="dxa"/>
            <w:vAlign w:val="center"/>
          </w:tcPr>
          <w:p>
            <w:pPr>
              <w:ind w:firstLine="420" w:firstLineChars="200"/>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43" w:hRule="atLeast"/>
        </w:trPr>
        <w:tc>
          <w:tcPr>
            <w:tcW w:w="718" w:type="dxa"/>
            <w:vAlign w:val="center"/>
          </w:tcPr>
          <w:p>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c>
          <w:tcPr>
            <w:tcW w:w="1501" w:type="dxa"/>
            <w:vAlign w:val="center"/>
          </w:tcPr>
          <w:p>
            <w:pPr>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报价要求</w:t>
            </w:r>
          </w:p>
        </w:tc>
        <w:tc>
          <w:tcPr>
            <w:tcW w:w="6466" w:type="dxa"/>
            <w:vAlign w:val="center"/>
          </w:tcPr>
          <w:p>
            <w:pPr>
              <w:pStyle w:val="8"/>
              <w:ind w:firstLine="420" w:firstLineChars="200"/>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投标报价应包括本次采购所有服务内容的费用，包括但不限于人工、材料、成本、利润、机械设备使用费、措施费、税费以及合同实施过程中的不可预见费用等全部费用。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718" w:type="dxa"/>
            <w:vAlign w:val="center"/>
          </w:tcPr>
          <w:p>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p>
        </w:tc>
        <w:tc>
          <w:tcPr>
            <w:tcW w:w="1501" w:type="dxa"/>
            <w:vAlign w:val="center"/>
          </w:tcPr>
          <w:p>
            <w:pPr>
              <w:jc w:val="center"/>
              <w:rPr>
                <w:rFonts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付款方式</w:t>
            </w:r>
          </w:p>
        </w:tc>
        <w:tc>
          <w:tcPr>
            <w:tcW w:w="646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22" w:firstLineChars="200"/>
              <w:jc w:val="both"/>
              <w:textAlignment w:val="auto"/>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t>一、预付款支付</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(1)预付款的金额或比例为：合同金额的10%。</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(2)预付款支付期限：签合同后15天内。</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(3)预付款条件：在规定期限内提供相关资料并协助</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采购</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人统筹安排备案工作，配合</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采购人</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取得备案许可证。</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22" w:firstLineChars="200"/>
              <w:jc w:val="both"/>
              <w:textAlignment w:val="auto"/>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bidi="ar-SA"/>
                <w14:textFill>
                  <w14:solidFill>
                    <w14:schemeClr w14:val="tx1"/>
                  </w14:solidFill>
                </w14:textFill>
              </w:rPr>
              <w:t>二、货物进度款</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货物进度付款申请</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货物进度付款申请方式：按货物供货安装进度分阶段申请支付</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（1）办理完成各种货物安装相关的报批、报建、报装申报手续及</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安装</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所需许可、证件、批件，包括但不限于办理施工许可证（或临时施工许可或夜间施工）、报监手续、余泥排放证、排水手续、排水接驳、排水许可证等及交纳散装水泥专项资金等工作，完成监控系统（甲方负责人指定位置）安装并投运，中标人向采购人申请支付合同金额的20%的进度款。</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（2）提交全套合同约定的施工图设计文件、</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货物</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的主设备（组件、逆变器）全部进场并验收合格后，</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向</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采购人</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申请支付合同金额的20%的进度款。</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（3）现场安装完毕并经并经相关部门验收并网送电后，中标人向采购人申请支付合同金额的30%的进度款。</w:t>
            </w:r>
          </w:p>
          <w:p>
            <w:pPr>
              <w:ind w:firstLine="420" w:firstLineChars="200"/>
              <w:rPr>
                <w:rFonts w:ascii="Tahoma" w:hAnsi="Tahoma" w:eastAsia="宋体" w:cstheme="minorBidi"/>
                <w:color w:val="000000" w:themeColor="text1"/>
                <w:sz w:val="21"/>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（4）本</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项目</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经</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采购人</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验收合格确认、递交全套竣工图设计文件，</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中标人</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向</w:t>
            </w:r>
            <w:r>
              <w:rPr>
                <w:rFonts w:hint="eastAsia" w:ascii="宋体" w:hAnsi="宋体" w:cs="宋体"/>
                <w:b w:val="0"/>
                <w:bCs/>
                <w:color w:val="000000" w:themeColor="text1"/>
                <w:kern w:val="2"/>
                <w:sz w:val="21"/>
                <w:szCs w:val="21"/>
                <w:highlight w:val="none"/>
                <w:lang w:val="en-US" w:eastAsia="zh-CN"/>
                <w14:textFill>
                  <w14:solidFill>
                    <w14:schemeClr w14:val="tx1"/>
                  </w14:solidFill>
                </w14:textFill>
              </w:rPr>
              <w:t>采购人</w:t>
            </w:r>
            <w:r>
              <w:rPr>
                <w:rFonts w:hint="eastAsia" w:ascii="宋体" w:hAnsi="宋体" w:eastAsia="宋体" w:cs="宋体"/>
                <w:b w:val="0"/>
                <w:bCs/>
                <w:color w:val="000000" w:themeColor="text1"/>
                <w:kern w:val="2"/>
                <w:sz w:val="21"/>
                <w:szCs w:val="21"/>
                <w:highlight w:val="none"/>
                <w:lang w:val="en-US" w:eastAsia="zh-CN"/>
                <w14:textFill>
                  <w14:solidFill>
                    <w14:schemeClr w14:val="tx1"/>
                  </w14:solidFill>
                </w14:textFill>
              </w:rPr>
              <w:t>申请支付至合同总结算金额的97%，剩余合同总结算金额3%为质保金。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trPr>
        <w:tc>
          <w:tcPr>
            <w:tcW w:w="718" w:type="dxa"/>
            <w:vAlign w:val="center"/>
          </w:tcPr>
          <w:p>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p>
        </w:tc>
        <w:tc>
          <w:tcPr>
            <w:tcW w:w="1501" w:type="dxa"/>
            <w:vAlign w:val="center"/>
          </w:tcPr>
          <w:p>
            <w:pPr>
              <w:keepNext w:val="0"/>
              <w:keepLines w:val="0"/>
              <w:pageBreakBefore w:val="0"/>
              <w:widowControl/>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eastAsia="zh-CN"/>
                <w14:textFill>
                  <w14:solidFill>
                    <w14:schemeClr w14:val="tx1"/>
                  </w14:solidFill>
                </w14:textFill>
              </w:rPr>
              <w:t>结算说明</w:t>
            </w:r>
          </w:p>
        </w:tc>
        <w:tc>
          <w:tcPr>
            <w:tcW w:w="6466" w:type="dxa"/>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14:textFill>
                  <w14:solidFill>
                    <w14:schemeClr w14:val="tx1"/>
                  </w14:solidFill>
                </w14:textFill>
              </w:rPr>
              <w:t>合同价格形式</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（1）关于合同价格形式的约定：以暂定总价、固定每瓦单价总承包的方式。</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（2）关于合同价格调整的约定：根据最终容量及国家相关法律法规作相应调整。</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注：在组件及支架安装数量不变的情况下，如果因单块组件容量增大导致实际装机容量增大，仍按单块组件580Wp计算总装机容量来结算总价，如组件单块容量不变，安装组件数量增多，应按照实际装机容量结算。中标固定每瓦单价=中标报价总价÷装机容量（四舍五入保留小数点后3位小数），中标人按中标固定每瓦单价×实际装机容量进行结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718" w:type="dxa"/>
            <w:vAlign w:val="center"/>
          </w:tcPr>
          <w:p>
            <w:pPr>
              <w:jc w:val="center"/>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p>
        </w:tc>
        <w:tc>
          <w:tcPr>
            <w:tcW w:w="1501" w:type="dxa"/>
            <w:vAlign w:val="center"/>
          </w:tcPr>
          <w:p>
            <w:pPr>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质保期</w:t>
            </w:r>
          </w:p>
        </w:tc>
        <w:tc>
          <w:tcPr>
            <w:tcW w:w="6466" w:type="dxa"/>
            <w:vAlign w:val="center"/>
          </w:tcPr>
          <w:p>
            <w:pPr>
              <w:tabs>
                <w:tab w:val="center" w:pos="3125"/>
              </w:tabs>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质保期为项目验收合格后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2</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年，如个体设备有更高要求的，遵循更高要求。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718" w:type="dxa"/>
            <w:vAlign w:val="center"/>
          </w:tcPr>
          <w:p>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p>
        </w:tc>
        <w:tc>
          <w:tcPr>
            <w:tcW w:w="1501" w:type="dxa"/>
            <w:vAlign w:val="center"/>
          </w:tcPr>
          <w:p>
            <w:pPr>
              <w:jc w:val="center"/>
              <w:rPr>
                <w:rFonts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w:t>
            </w:r>
          </w:p>
        </w:tc>
        <w:tc>
          <w:tcPr>
            <w:tcW w:w="6466" w:type="dxa"/>
            <w:vAlign w:val="center"/>
          </w:tcPr>
          <w:p>
            <w:pPr>
              <w:tabs>
                <w:tab w:val="center" w:pos="3125"/>
              </w:tabs>
              <w:ind w:firstLine="420" w:firstLineChars="200"/>
              <w:rPr>
                <w:rFonts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自开标之日起90天。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trPr>
        <w:tc>
          <w:tcPr>
            <w:tcW w:w="718" w:type="dxa"/>
            <w:vAlign w:val="center"/>
          </w:tcPr>
          <w:p>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8</w:t>
            </w:r>
          </w:p>
        </w:tc>
        <w:tc>
          <w:tcPr>
            <w:tcW w:w="1501" w:type="dxa"/>
            <w:vAlign w:val="center"/>
          </w:tcPr>
          <w:p>
            <w:pPr>
              <w:jc w:val="center"/>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合同条款</w:t>
            </w:r>
          </w:p>
        </w:tc>
        <w:tc>
          <w:tcPr>
            <w:tcW w:w="6466" w:type="dxa"/>
            <w:vAlign w:val="center"/>
          </w:tcPr>
          <w:p>
            <w:pPr>
              <w:ind w:firstLine="420" w:firstLineChars="200"/>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投标人实质响应合同各条款。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5" w:hRule="atLeast"/>
        </w:trPr>
        <w:tc>
          <w:tcPr>
            <w:tcW w:w="718" w:type="dxa"/>
            <w:vAlign w:val="center"/>
          </w:tcPr>
          <w:p>
            <w:pPr>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9</w:t>
            </w:r>
          </w:p>
        </w:tc>
        <w:tc>
          <w:tcPr>
            <w:tcW w:w="1501" w:type="dxa"/>
            <w:vAlign w:val="center"/>
          </w:tcPr>
          <w:p>
            <w:pPr>
              <w:jc w:val="center"/>
              <w:rPr>
                <w:rFonts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其他要求</w:t>
            </w:r>
          </w:p>
        </w:tc>
        <w:tc>
          <w:tcPr>
            <w:tcW w:w="646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1、投标人须执行国家、省或行业现行的相关质量验收标准及规范，须达到合格标准，并通过当地相关供电部门的并网验收。</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20" w:firstLineChars="200"/>
              <w:jc w:val="both"/>
              <w:textAlignment w:val="auto"/>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2、符合国家、省、市安全生产、文明施工管理相关规定，承诺达到合格标准。</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420" w:firstLineChars="200"/>
              <w:jc w:val="both"/>
              <w:textAlignment w:val="auto"/>
              <w:rPr>
                <w:rFonts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1"/>
                <w:szCs w:val="21"/>
                <w:highlight w:val="none"/>
                <w14:textFill>
                  <w14:solidFill>
                    <w14:schemeClr w14:val="tx1"/>
                  </w14:solidFill>
                </w14:textFill>
              </w:rPr>
              <w:t>遵守采购人下属工程技术部编制的《工程管理制度汇编》中的承包商管理条款。</w:t>
            </w:r>
          </w:p>
        </w:tc>
      </w:tr>
    </w:tbl>
    <w:p>
      <w:pP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p>
    <w:p>
      <w:pPr>
        <w:pStyle w:val="4"/>
        <w:spacing w:before="0" w:after="0" w:line="360" w:lineRule="auto"/>
        <w:jc w:val="center"/>
        <w:rPr>
          <w:color w:val="000000" w:themeColor="text1"/>
          <w:highlight w:val="none"/>
          <w14:textFill>
            <w14:solidFill>
              <w14:schemeClr w14:val="tx1"/>
            </w14:solidFill>
          </w14:textFill>
        </w:rPr>
      </w:pPr>
      <w:bookmarkStart w:id="15" w:name="_Toc25424"/>
      <w:r>
        <w:rPr>
          <w:rFonts w:hint="eastAsia" w:ascii="宋体" w:hAnsi="宋体"/>
          <w:color w:val="000000" w:themeColor="text1"/>
          <w:highlight w:val="none"/>
          <w14:textFill>
            <w14:solidFill>
              <w14:schemeClr w14:val="tx1"/>
            </w14:solidFill>
          </w14:textFill>
        </w:rPr>
        <w:t>第二章 技术需求书</w:t>
      </w:r>
      <w:bookmarkEnd w:id="14"/>
      <w:bookmarkEnd w:id="15"/>
    </w:p>
    <w:bookmarkEnd w:id="9"/>
    <w:p>
      <w:pPr>
        <w:keepNext/>
        <w:keepLines/>
        <w:widowControl w:val="0"/>
        <w:adjustRightInd/>
        <w:snapToGrid/>
        <w:spacing w:after="0" w:line="360" w:lineRule="auto"/>
        <w:jc w:val="both"/>
        <w:outlineLvl w:val="3"/>
        <w:rPr>
          <w:rFonts w:hint="eastAsia" w:ascii="Calibri Light" w:hAnsi="Calibri Light" w:eastAsia="宋体" w:cs="Times New Roman"/>
          <w:b/>
          <w:bCs/>
          <w:color w:val="000000" w:themeColor="text1"/>
          <w:kern w:val="2"/>
          <w:sz w:val="24"/>
          <w:szCs w:val="28"/>
          <w:highlight w:val="none"/>
          <w:lang w:eastAsia="zh-CN"/>
          <w14:textFill>
            <w14:solidFill>
              <w14:schemeClr w14:val="tx1"/>
            </w14:solidFill>
          </w14:textFill>
        </w:rPr>
      </w:pPr>
      <w:r>
        <w:rPr>
          <w:rFonts w:hint="eastAsia" w:ascii="Calibri Light" w:hAnsi="Calibri Light" w:eastAsia="宋体" w:cs="Times New Roman"/>
          <w:b/>
          <w:bCs/>
          <w:color w:val="000000" w:themeColor="text1"/>
          <w:kern w:val="2"/>
          <w:sz w:val="24"/>
          <w:szCs w:val="28"/>
          <w:highlight w:val="none"/>
          <w:lang w:eastAsia="zh-CN"/>
          <w14:textFill>
            <w14:solidFill>
              <w14:schemeClr w14:val="tx1"/>
            </w14:solidFill>
          </w14:textFill>
        </w:rPr>
        <w:t>一</w:t>
      </w:r>
      <w:r>
        <w:rPr>
          <w:rFonts w:hint="eastAsia" w:ascii="Calibri Light" w:hAnsi="Calibri Light" w:eastAsia="宋体" w:cs="Times New Roman"/>
          <w:b/>
          <w:bCs/>
          <w:color w:val="000000" w:themeColor="text1"/>
          <w:kern w:val="2"/>
          <w:sz w:val="24"/>
          <w:szCs w:val="28"/>
          <w:highlight w:val="none"/>
          <w14:textFill>
            <w14:solidFill>
              <w14:schemeClr w14:val="tx1"/>
            </w14:solidFill>
          </w14:textFill>
        </w:rPr>
        <w:t>、</w:t>
      </w:r>
      <w:r>
        <w:rPr>
          <w:rFonts w:hint="eastAsia" w:ascii="Calibri Light" w:hAnsi="Calibri Light" w:eastAsia="宋体" w:cs="Times New Roman"/>
          <w:b/>
          <w:bCs/>
          <w:color w:val="000000" w:themeColor="text1"/>
          <w:kern w:val="2"/>
          <w:sz w:val="24"/>
          <w:szCs w:val="28"/>
          <w:highlight w:val="none"/>
          <w:lang w:val="en-US" w:eastAsia="zh-CN"/>
          <w14:textFill>
            <w14:solidFill>
              <w14:schemeClr w14:val="tx1"/>
            </w14:solidFill>
          </w14:textFill>
        </w:rPr>
        <w:t>项目概况</w:t>
      </w:r>
    </w:p>
    <w:p>
      <w:pPr>
        <w:widowControl w:val="0"/>
        <w:numPr>
          <w:ilvl w:val="0"/>
          <w:numId w:val="0"/>
        </w:numPr>
        <w:adjustRightInd/>
        <w:snapToGrid/>
        <w:spacing w:after="0" w:line="240" w:lineRule="auto"/>
        <w:jc w:val="both"/>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14:textFill>
            <w14:solidFill>
              <w14:schemeClr w14:val="tx1"/>
            </w14:solidFill>
          </w14:textFill>
        </w:rPr>
        <w:t>1.1现场图片</w:t>
      </w:r>
    </w:p>
    <w:p>
      <w:pPr>
        <w:numPr>
          <w:ilvl w:val="0"/>
          <w:numId w:val="0"/>
        </w:numPr>
        <w:rPr>
          <w:rFonts w:hint="eastAsia" w:eastAsiaTheme="minorEastAsia"/>
          <w:lang w:eastAsia="zh-CN"/>
        </w:rPr>
      </w:pPr>
      <w:r>
        <w:rPr>
          <w:rFonts w:hint="eastAsia" w:eastAsia="黑体"/>
          <w:lang w:eastAsia="zh-CN"/>
        </w:rPr>
        <w:drawing>
          <wp:inline distT="0" distB="0" distL="114300" distR="114300">
            <wp:extent cx="5504180" cy="3096895"/>
            <wp:effectExtent l="0" t="0" r="1270" b="8255"/>
            <wp:docPr id="5" name="图片 5" descr="ac4bbad3224376af28d8008a95f9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c4bbad3224376af28d8008a95f9182"/>
                    <pic:cNvPicPr>
                      <a:picLocks noChangeAspect="1"/>
                    </pic:cNvPicPr>
                  </pic:nvPicPr>
                  <pic:blipFill>
                    <a:blip r:embed="rId17"/>
                    <a:stretch>
                      <a:fillRect/>
                    </a:stretch>
                  </pic:blipFill>
                  <pic:spPr>
                    <a:xfrm>
                      <a:off x="0" y="0"/>
                      <a:ext cx="5504180" cy="3096895"/>
                    </a:xfrm>
                    <a:prstGeom prst="rect">
                      <a:avLst/>
                    </a:prstGeom>
                  </pic:spPr>
                </pic:pic>
              </a:graphicData>
            </a:graphic>
          </wp:inline>
        </w:drawing>
      </w:r>
    </w:p>
    <w:p>
      <w:pPr>
        <w:numPr>
          <w:ilvl w:val="0"/>
          <w:numId w:val="0"/>
        </w:num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图 1-1 现场航拍图</w:t>
      </w:r>
    </w:p>
    <w:p>
      <w:pPr>
        <w:numPr>
          <w:ilvl w:val="0"/>
          <w:numId w:val="0"/>
        </w:numPr>
        <w:jc w:val="left"/>
      </w:pPr>
      <w:r>
        <w:rPr>
          <w:rFonts w:hint="eastAsia"/>
          <w:lang w:val="en-US" w:eastAsia="zh-CN"/>
        </w:rPr>
        <w:drawing>
          <wp:inline distT="0" distB="0" distL="114300" distR="114300">
            <wp:extent cx="5504180" cy="3096895"/>
            <wp:effectExtent l="0" t="0" r="1270" b="8255"/>
            <wp:docPr id="11" name="图片 11" descr="ee17224e72dd6a4787abd7e6038762b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e17224e72dd6a4787abd7e6038762b3_"/>
                    <pic:cNvPicPr>
                      <a:picLocks noChangeAspect="1"/>
                    </pic:cNvPicPr>
                  </pic:nvPicPr>
                  <pic:blipFill>
                    <a:blip r:embed="rId18"/>
                    <a:stretch>
                      <a:fillRect/>
                    </a:stretch>
                  </pic:blipFill>
                  <pic:spPr>
                    <a:xfrm>
                      <a:off x="0" y="0"/>
                      <a:ext cx="5504180" cy="3096895"/>
                    </a:xfrm>
                    <a:prstGeom prst="rect">
                      <a:avLst/>
                    </a:prstGeom>
                  </pic:spPr>
                </pic:pic>
              </a:graphicData>
            </a:graphic>
          </wp:inline>
        </w:drawing>
      </w:r>
    </w:p>
    <w:p>
      <w:pPr>
        <w:numPr>
          <w:ilvl w:val="0"/>
          <w:numId w:val="0"/>
        </w:num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图 1-2 现场航拍图</w:t>
      </w:r>
    </w:p>
    <w:p>
      <w:pPr>
        <w:numPr>
          <w:ilvl w:val="0"/>
          <w:numId w:val="0"/>
        </w:numPr>
        <w:rPr>
          <w:rFonts w:hint="eastAsia" w:ascii="仿宋_GB2312" w:hAnsi="仿宋_GB2312" w:eastAsia="仿宋_GB2312" w:cs="仿宋_GB2312"/>
          <w:sz w:val="28"/>
          <w:szCs w:val="36"/>
          <w:lang w:val="en-US" w:eastAsia="zh-CN"/>
        </w:rPr>
      </w:pPr>
      <w:r>
        <w:rPr>
          <w:rFonts w:hint="eastAsia" w:eastAsia="宋体"/>
          <w:lang w:eastAsia="zh-CN"/>
        </w:rPr>
        <w:drawing>
          <wp:inline distT="0" distB="0" distL="114300" distR="114300">
            <wp:extent cx="5269230" cy="2926080"/>
            <wp:effectExtent l="0" t="0" r="7620" b="7620"/>
            <wp:docPr id="6" name="图片 6" descr="171265374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12653740646"/>
                    <pic:cNvPicPr>
                      <a:picLocks noChangeAspect="1"/>
                    </pic:cNvPicPr>
                  </pic:nvPicPr>
                  <pic:blipFill>
                    <a:blip r:embed="rId19"/>
                    <a:stretch>
                      <a:fillRect/>
                    </a:stretch>
                  </pic:blipFill>
                  <pic:spPr>
                    <a:xfrm>
                      <a:off x="0" y="0"/>
                      <a:ext cx="5269230" cy="2926080"/>
                    </a:xfrm>
                    <a:prstGeom prst="rect">
                      <a:avLst/>
                    </a:prstGeom>
                  </pic:spPr>
                </pic:pic>
              </a:graphicData>
            </a:graphic>
          </wp:inline>
        </w:drawing>
      </w:r>
    </w:p>
    <w:p>
      <w:pPr>
        <w:numPr>
          <w:ilvl w:val="0"/>
          <w:numId w:val="0"/>
        </w:num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图 1-3 光伏组件布置图</w:t>
      </w:r>
    </w:p>
    <w:p>
      <w:pPr>
        <w:numPr>
          <w:ilvl w:val="0"/>
          <w:numId w:val="0"/>
        </w:numPr>
        <w:spacing w:after="200" w:line="24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p>
    <w:p>
      <w:pPr>
        <w:numPr>
          <w:ilvl w:val="0"/>
          <w:numId w:val="0"/>
        </w:numPr>
        <w:spacing w:after="200" w:line="240" w:lineRule="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1.2 项目基本概况</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6716" w:type="dxa"/>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东莞新锋光伏能源科技有限公司刘汉波厂区分布式光伏发电项目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项目地址</w:t>
            </w:r>
          </w:p>
        </w:tc>
        <w:tc>
          <w:tcPr>
            <w:tcW w:w="6716" w:type="dxa"/>
          </w:tcPr>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清溪镇青皇村横窝工业区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屋顶面积</w:t>
            </w:r>
          </w:p>
        </w:tc>
        <w:tc>
          <w:tcPr>
            <w:tcW w:w="6716" w:type="dxa"/>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楼面类型</w:t>
            </w:r>
          </w:p>
        </w:tc>
        <w:tc>
          <w:tcPr>
            <w:tcW w:w="6716" w:type="dxa"/>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彩钢瓦屋顶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装机容量</w:t>
            </w:r>
          </w:p>
        </w:tc>
        <w:tc>
          <w:tcPr>
            <w:tcW w:w="6716" w:type="dxa"/>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609.58kWp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变压器容量</w:t>
            </w:r>
          </w:p>
        </w:tc>
        <w:tc>
          <w:tcPr>
            <w:tcW w:w="6716" w:type="dxa"/>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1×1000kVA=1000kVA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6" w:type="dxa"/>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安装方式</w:t>
            </w:r>
          </w:p>
        </w:tc>
        <w:tc>
          <w:tcPr>
            <w:tcW w:w="6716" w:type="dxa"/>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平铺式，自发自用，余电上网（安装包含彩钢瓦加固和换瓦等措施）</w:t>
            </w:r>
          </w:p>
        </w:tc>
      </w:tr>
    </w:tbl>
    <w:p>
      <w:pPr>
        <w:bidi w:val="0"/>
        <w:rPr>
          <w:rFonts w:hint="default"/>
          <w:color w:val="000000" w:themeColor="text1"/>
          <w:highlight w:val="none"/>
          <w:lang w:val="en-US" w:eastAsia="zh-CN"/>
          <w14:textFill>
            <w14:solidFill>
              <w14:schemeClr w14:val="tx1"/>
            </w14:solidFill>
          </w14:textFill>
        </w:rPr>
      </w:pPr>
    </w:p>
    <w:p>
      <w:pPr>
        <w:widowControl w:val="0"/>
        <w:numPr>
          <w:ilvl w:val="0"/>
          <w:numId w:val="0"/>
        </w:numPr>
        <w:wordWrap w:val="0"/>
        <w:adjustRightInd/>
        <w:snapToGrid/>
        <w:spacing w:after="0" w:line="288" w:lineRule="auto"/>
        <w:rPr>
          <w:rFonts w:ascii="宋体" w:hAnsi="宋体" w:eastAsia="宋体" w:cs="宋体"/>
          <w:b/>
          <w:bCs/>
          <w:color w:val="000000" w:themeColor="text1"/>
          <w:kern w:val="2"/>
          <w:sz w:val="21"/>
          <w:szCs w:val="21"/>
          <w:highlight w:val="none"/>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1.</w:t>
      </w:r>
      <w:r>
        <w:rPr>
          <w:rFonts w:ascii="宋体" w:hAnsi="宋体" w:eastAsia="宋体" w:cs="宋体"/>
          <w:b/>
          <w:bCs/>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 xml:space="preserve"> </w:t>
      </w:r>
      <w:r>
        <w:rPr>
          <w:rFonts w:hint="eastAsia" w:ascii="宋体" w:hAnsi="宋体" w:eastAsia="宋体" w:cs="宋体"/>
          <w:b/>
          <w:bCs/>
          <w:color w:val="000000" w:themeColor="text1"/>
          <w:kern w:val="2"/>
          <w:sz w:val="21"/>
          <w:szCs w:val="21"/>
          <w:highlight w:val="none"/>
          <w:lang w:eastAsia="zh-CN"/>
          <w14:textFill>
            <w14:solidFill>
              <w14:schemeClr w14:val="tx1"/>
            </w14:solidFill>
          </w14:textFill>
        </w:rPr>
        <w:t>采购</w:t>
      </w:r>
      <w:r>
        <w:rPr>
          <w:rFonts w:hint="eastAsia" w:ascii="宋体" w:hAnsi="宋体" w:eastAsia="宋体" w:cs="宋体"/>
          <w:b/>
          <w:bCs/>
          <w:color w:val="000000" w:themeColor="text1"/>
          <w:kern w:val="2"/>
          <w:sz w:val="21"/>
          <w:szCs w:val="21"/>
          <w:highlight w:val="none"/>
          <w14:textFill>
            <w14:solidFill>
              <w14:schemeClr w14:val="tx1"/>
            </w14:solidFill>
          </w14:textFill>
        </w:rPr>
        <w:t>清单</w:t>
      </w:r>
    </w:p>
    <w:tbl>
      <w:tblPr>
        <w:tblStyle w:val="27"/>
        <w:tblW w:w="855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811"/>
        <w:gridCol w:w="1712"/>
        <w:gridCol w:w="636"/>
        <w:gridCol w:w="682"/>
        <w:gridCol w:w="1221"/>
        <w:gridCol w:w="1165"/>
        <w:gridCol w:w="63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5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一、设备材料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项目特征描述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计量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含税综合</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单价（元）</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含税合价（元）</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品牌</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光伏组件</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1.规格：580Wp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2.类型：单晶硅高效 单面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3.其他：含边框导流器、压块、接地垫片等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块</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并网逆变器</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1.规格：110kW</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2.类型：AC380V 组串式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3.其他：含监控模块等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并网逆变器</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1.规格：50kW</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2.类型：AC380V 组串式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3.其他：含监控模块等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并网逆变器</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1.规格：30kW</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2.类型：AC380V 组串式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3.其他：含监控模块等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交流汇流箱</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1.类型：户外、冷轧钢板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2.其他：防护等级IP65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并网计量箱</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1.类型：户外、冷轧钢板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2.其他：防护等级IP65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并网计量柜</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1.类型：室内、冷轧钢板、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2.其他：防护等级IP30、含槽钢底座等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彩钢瓦屋面固定支架</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1.类型：铝合金导轨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2.其他：含彩钢瓦夹具等所需配件等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3.区域：A栋、C栋</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阵列式固定支架</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1.类型：镀锌U型钢导轨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2.其他：含C25水泥墩基础等所需配件等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3.区域：B栋、D栋</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防水棚架</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1.类型：防腐防锈型钢立柱、横梁，镀锌C型钢檩条等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2.其他：含镀锌镁铝M型排水槽、副水槽、不锈钢接水槽、排水管等所需配件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3.区域：E栋、F栋</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光伏专用直流电缆</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1.规格：PV1-F-1×4mm²</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2.其他：配MC4接头、配管不外露等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交流电缆</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1.类型：阻燃型5芯绝缘护套铜芯电缆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2.其他：配电缆头等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电缆桥架</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1.类型：镀锌美铝电缆桥架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2.其他：配固定支架、连接件、接地线等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电缆通道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1.类型：HDPE管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2.其他：含破复地面、埋管、电缆井、防火封堵等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避雷接地系统</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1.类型：不小于20m×20m或24 m×16m网格50×5热镀锌扁钢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2.其他：每栋建筑光伏系统不少于两处独立接地极等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视频监控系统</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1.类型：360度4G卡视频监控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2.其他：配固定支架、连接件、含电源接线、接地线等，包1年流量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3.区域：逆变器、光伏阵列对角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水清洗系统</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1.类型：PPR热熔管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2.区域：运维通道附近</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3.其他：含水龙头、增压泵、水表等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彩钢瓦运维通道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1.规格：宽度不低于0.4m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2.类型：镀锌格栅板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3.其他：配固定件、夹具等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4.区域：彩钢瓦区域</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棚架运维通道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1.规格：宽度不低于0.4m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2.类型：镀锌花纹钢板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3.其他：配安全生命线、固定件、夹具等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4.区域：棚架区域</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防护围栏</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1.规格：高度不低于1.2m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2.类型：镀锌角钢、U型钢，带0.6m高铁丝网</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3.其他：配固定件、夹具等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扶手踏步斜梯</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1.规格：宽度不低于0.8m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2.类型：镀锌方通，带0.9m高扶手与0.8m×1.2m操作平台，与运维通道进行连接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3.区域：棚架区域、彩钢瓦屋顶等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护笼爬梯</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1.规格：护笼直径为0.8m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2.类型：镀锌圆管，带直径0.8m护笼</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3.区域：高度不高于3.5m等炮楼区域</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消防器材</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1.要求：每台逆变器配置两个4kg手提式干粉灭火器，并装箱保护</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2.区域：逆变器区域等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检修配电箱</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1.类型：户外、不锈钢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2.其他：防护等级IP65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3.区域：逆变器区域等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逆变器遮雨棚</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1.规格：宽度不低于逆变器宽度+0.4m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2.类型：304不锈钢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3.区域：逆变器区域等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安全警示牌</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1.内容：结合现场包括但不限于“高空作业，系好安全带”“临边区域，当心坠落”“以防坠落，请勿攀爬”“当心触电”等等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其他所需辅材</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1.内容：结合现场包括但不限于结构胶、防腐漆、防锈期、焊条、防火泥、接线耳、绝缘套管、配管、安健环等等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6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小计：</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5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项目特征描述</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含税综合</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单价（元）</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含税合价（元）</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试验费</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1.要求：满足供电局验收要求</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69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小计：</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5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三、安装安全防护措施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项目特征描述</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含税综合</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单价（元）</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含税合价（元）</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安装安全防护措施费</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1.要求：满足建设方施工安全制度</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2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135000.00</w:t>
            </w:r>
          </w:p>
        </w:tc>
        <w:tc>
          <w:tcPr>
            <w:tcW w:w="1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kern w:val="0"/>
                <w:sz w:val="21"/>
                <w:szCs w:val="21"/>
                <w:highlight w:val="none"/>
                <w:u w:val="none"/>
                <w:lang w:val="en-US" w:eastAsia="zh-CN" w:bidi="ar"/>
                <w14:textFill>
                  <w14:solidFill>
                    <w14:schemeClr w14:val="tx1"/>
                  </w14:solidFill>
                </w14:textFill>
              </w:rPr>
              <w:t>135000.00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不可修改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98" w:type="dxa"/>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小计：</w:t>
            </w:r>
          </w:p>
        </w:tc>
        <w:tc>
          <w:tcPr>
            <w:tcW w:w="116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6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9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合计：</w:t>
            </w:r>
          </w:p>
        </w:tc>
        <w:tc>
          <w:tcPr>
            <w:tcW w:w="285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4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人民币（大写）：</w:t>
            </w:r>
          </w:p>
        </w:tc>
        <w:tc>
          <w:tcPr>
            <w:tcW w:w="710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20" w:firstLineChars="200"/>
        <w:jc w:val="both"/>
        <w:textAlignment w:val="auto"/>
        <w:outlineLvl w:val="9"/>
        <w:rPr>
          <w:rFonts w:hint="default" w:ascii="宋体" w:hAnsi="宋体" w:cs="Times New Roman"/>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cs="Times New Roman"/>
          <w:b w:val="0"/>
          <w:bCs w:val="0"/>
          <w:color w:val="000000" w:themeColor="text1"/>
          <w:kern w:val="2"/>
          <w:sz w:val="21"/>
          <w:szCs w:val="21"/>
          <w:highlight w:val="none"/>
          <w:lang w:val="en-US" w:eastAsia="zh-CN"/>
          <w14:textFill>
            <w14:solidFill>
              <w14:schemeClr w14:val="tx1"/>
            </w14:solidFill>
          </w14:textFill>
        </w:rPr>
        <w:t>注：</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20" w:firstLineChars="200"/>
        <w:jc w:val="both"/>
        <w:textAlignment w:val="auto"/>
        <w:outlineLvl w:val="9"/>
        <w:rPr>
          <w:rFonts w:hint="eastAsia" w:ascii="宋体" w:hAnsi="宋体" w:eastAsia="宋体" w:cs="Times New Roman"/>
          <w:b w:val="0"/>
          <w:bCs w:val="0"/>
          <w:color w:val="000000" w:themeColor="text1"/>
          <w:kern w:val="2"/>
          <w:sz w:val="21"/>
          <w:szCs w:val="21"/>
          <w:highlight w:val="none"/>
          <w:lang w:eastAsia="zh-CN"/>
          <w14:textFill>
            <w14:solidFill>
              <w14:schemeClr w14:val="tx1"/>
            </w14:solidFill>
          </w14:textFill>
        </w:rPr>
      </w:pPr>
      <w:r>
        <w:rPr>
          <w:rFonts w:hint="eastAsia" w:ascii="宋体" w:hAnsi="宋体" w:cs="Times New Roman"/>
          <w:b w:val="0"/>
          <w:bCs w:val="0"/>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Times New Roman"/>
          <w:b w:val="0"/>
          <w:bCs w:val="0"/>
          <w:color w:val="000000" w:themeColor="text1"/>
          <w:kern w:val="2"/>
          <w:sz w:val="21"/>
          <w:szCs w:val="21"/>
          <w:highlight w:val="none"/>
          <w:lang w:eastAsia="zh-CN"/>
          <w14:textFill>
            <w14:solidFill>
              <w14:schemeClr w14:val="tx1"/>
            </w14:solidFill>
          </w14:textFill>
        </w:rPr>
        <w:t>、本次采购为包干价，包含项目并网报装所需的相关手续、必要的配套设施，投标方需要考虑此部分费用在报价中；</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20" w:firstLineChars="200"/>
        <w:jc w:val="both"/>
        <w:textAlignment w:val="auto"/>
        <w:outlineLvl w:val="9"/>
        <w:rPr>
          <w:rFonts w:hint="eastAsia" w:ascii="宋体" w:hAnsi="宋体" w:eastAsia="宋体" w:cs="Times New Roman"/>
          <w:b w:val="0"/>
          <w:bCs w:val="0"/>
          <w:color w:val="000000" w:themeColor="text1"/>
          <w:kern w:val="2"/>
          <w:sz w:val="21"/>
          <w:szCs w:val="21"/>
          <w:highlight w:val="none"/>
          <w:lang w:eastAsia="zh-CN"/>
          <w14:textFill>
            <w14:solidFill>
              <w14:schemeClr w14:val="tx1"/>
            </w14:solidFill>
          </w14:textFill>
        </w:rPr>
      </w:pPr>
      <w:r>
        <w:rPr>
          <w:rFonts w:hint="eastAsia" w:ascii="宋体" w:hAnsi="宋体" w:cs="Times New Roman"/>
          <w:b w:val="0"/>
          <w:bCs w:val="0"/>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Times New Roman"/>
          <w:b w:val="0"/>
          <w:bCs w:val="0"/>
          <w:color w:val="000000" w:themeColor="text1"/>
          <w:kern w:val="2"/>
          <w:sz w:val="21"/>
          <w:szCs w:val="21"/>
          <w:highlight w:val="none"/>
          <w:lang w:eastAsia="zh-CN"/>
          <w14:textFill>
            <w14:solidFill>
              <w14:schemeClr w14:val="tx1"/>
            </w14:solidFill>
          </w14:textFill>
        </w:rPr>
        <w:t>、本次采购报价需参考招标技术要求；</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20" w:firstLineChars="200"/>
        <w:jc w:val="both"/>
        <w:textAlignment w:val="auto"/>
        <w:outlineLvl w:val="9"/>
        <w:rPr>
          <w:rFonts w:hint="eastAsia" w:ascii="宋体" w:hAnsi="宋体" w:eastAsia="宋体" w:cs="Times New Roman"/>
          <w:b w:val="0"/>
          <w:bCs w:val="0"/>
          <w:color w:val="000000" w:themeColor="text1"/>
          <w:kern w:val="2"/>
          <w:sz w:val="21"/>
          <w:szCs w:val="21"/>
          <w:highlight w:val="none"/>
          <w:lang w:eastAsia="zh-CN"/>
          <w14:textFill>
            <w14:solidFill>
              <w14:schemeClr w14:val="tx1"/>
            </w14:solidFill>
          </w14:textFill>
        </w:rPr>
      </w:pPr>
      <w:r>
        <w:rPr>
          <w:rFonts w:hint="eastAsia" w:ascii="宋体" w:hAnsi="宋体" w:cs="Times New Roman"/>
          <w:b w:val="0"/>
          <w:bCs w:val="0"/>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Times New Roman"/>
          <w:b w:val="0"/>
          <w:bCs w:val="0"/>
          <w:color w:val="000000" w:themeColor="text1"/>
          <w:kern w:val="2"/>
          <w:sz w:val="21"/>
          <w:szCs w:val="21"/>
          <w:highlight w:val="none"/>
          <w:lang w:eastAsia="zh-CN"/>
          <w14:textFill>
            <w14:solidFill>
              <w14:schemeClr w14:val="tx1"/>
            </w14:solidFill>
          </w14:textFill>
        </w:rPr>
        <w:t>、本次采购报价含税；</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20" w:firstLineChars="200"/>
        <w:jc w:val="both"/>
        <w:textAlignment w:val="auto"/>
        <w:outlineLvl w:val="9"/>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cs="Times New Roman"/>
          <w:b w:val="0"/>
          <w:bCs w:val="0"/>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t>、本</w:t>
      </w:r>
      <w:r>
        <w:rPr>
          <w:rFonts w:hint="eastAsia" w:ascii="宋体" w:hAnsi="宋体" w:eastAsia="宋体" w:cs="Times New Roman"/>
          <w:b w:val="0"/>
          <w:bCs w:val="0"/>
          <w:color w:val="000000" w:themeColor="text1"/>
          <w:kern w:val="2"/>
          <w:sz w:val="21"/>
          <w:szCs w:val="21"/>
          <w:highlight w:val="none"/>
          <w:lang w:eastAsia="zh-CN"/>
          <w14:textFill>
            <w14:solidFill>
              <w14:schemeClr w14:val="tx1"/>
            </w14:solidFill>
          </w14:textFill>
        </w:rPr>
        <w:t>次采购</w:t>
      </w:r>
      <w:r>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t>报价须标明设备材料型号与品牌；</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20" w:firstLineChars="200"/>
        <w:jc w:val="both"/>
        <w:textAlignment w:val="auto"/>
        <w:outlineLvl w:val="9"/>
        <w:rPr>
          <w:rFonts w:hint="eastAsia" w:ascii="Calibri Light" w:hAnsi="Calibri Light" w:eastAsia="宋体" w:cs="Times New Roman"/>
          <w:b w:val="0"/>
          <w:bCs w:val="0"/>
          <w:color w:val="000000" w:themeColor="text1"/>
          <w:kern w:val="2"/>
          <w:sz w:val="24"/>
          <w:szCs w:val="28"/>
          <w:highlight w:val="none"/>
          <w:lang w:val="en-US" w:eastAsia="zh-CN"/>
          <w14:textFill>
            <w14:solidFill>
              <w14:schemeClr w14:val="tx1"/>
            </w14:solidFill>
          </w14:textFill>
        </w:rPr>
      </w:pPr>
      <w:r>
        <w:rPr>
          <w:rFonts w:hint="eastAsia" w:ascii="宋体" w:hAnsi="宋体" w:cs="Times New Roman"/>
          <w:b w:val="0"/>
          <w:bCs w:val="0"/>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t>、具体安装技术要求，本采购清单中未标注数量的设备材料，投标单位应根据项目各项技术要求自行衡量数量并考虑在投标报价中。</w:t>
      </w:r>
    </w:p>
    <w:p>
      <w:pPr>
        <w:bidi w:val="0"/>
        <w:rPr>
          <w:rFonts w:hint="eastAsia"/>
          <w:color w:val="000000" w:themeColor="text1"/>
          <w:highlight w:val="none"/>
          <w:lang w:val="en-US" w:eastAsia="zh-CN"/>
          <w14:textFill>
            <w14:solidFill>
              <w14:schemeClr w14:val="tx1"/>
            </w14:solidFill>
          </w14:textFill>
        </w:rPr>
      </w:pPr>
    </w:p>
    <w:bookmarkEnd w:id="10"/>
    <w:bookmarkEnd w:id="11"/>
    <w:bookmarkEnd w:id="12"/>
    <w:bookmarkEnd w:id="13"/>
    <w:p>
      <w:pPr>
        <w:keepNext/>
        <w:keepLines/>
        <w:widowControl w:val="0"/>
        <w:adjustRightInd/>
        <w:snapToGrid/>
        <w:spacing w:after="0" w:line="360" w:lineRule="auto"/>
        <w:jc w:val="both"/>
        <w:outlineLvl w:val="3"/>
        <w:rPr>
          <w:rFonts w:hint="eastAsia" w:ascii="Calibri Light" w:hAnsi="Calibri Light" w:eastAsia="宋体" w:cs="Times New Roman"/>
          <w:b/>
          <w:bCs/>
          <w:color w:val="000000" w:themeColor="text1"/>
          <w:kern w:val="2"/>
          <w:sz w:val="24"/>
          <w:szCs w:val="28"/>
          <w:highlight w:val="none"/>
          <w:lang w:val="en-US" w:eastAsia="zh-CN"/>
          <w14:textFill>
            <w14:solidFill>
              <w14:schemeClr w14:val="tx1"/>
            </w14:solidFill>
          </w14:textFill>
        </w:rPr>
      </w:pPr>
      <w:r>
        <w:rPr>
          <w:rFonts w:hint="eastAsia" w:ascii="Calibri Light" w:hAnsi="Calibri Light" w:eastAsia="宋体" w:cs="Times New Roman"/>
          <w:b/>
          <w:bCs/>
          <w:color w:val="000000" w:themeColor="text1"/>
          <w:kern w:val="2"/>
          <w:sz w:val="24"/>
          <w:szCs w:val="28"/>
          <w:highlight w:val="none"/>
          <w:lang w:val="en-US" w:eastAsia="zh-CN"/>
          <w14:textFill>
            <w14:solidFill>
              <w14:schemeClr w14:val="tx1"/>
            </w14:solidFill>
          </w14:textFill>
        </w:rPr>
        <w:t>二、光伏发电设施技术要求</w:t>
      </w:r>
    </w:p>
    <w:p>
      <w:pPr>
        <w:widowControl w:val="0"/>
        <w:adjustRightInd/>
        <w:snapToGrid/>
        <w:spacing w:after="0" w:line="360" w:lineRule="auto"/>
        <w:jc w:val="both"/>
        <w:rPr>
          <w:rFonts w:ascii="宋体" w:hAnsi="宋体" w:eastAsia="宋体" w:cs="Times New Roman"/>
          <w:b/>
          <w:bCs/>
          <w:color w:val="auto"/>
          <w:kern w:val="2"/>
          <w:sz w:val="21"/>
          <w:szCs w:val="24"/>
          <w:highlight w:val="none"/>
        </w:rPr>
      </w:pPr>
      <w:r>
        <w:rPr>
          <w:rFonts w:hint="eastAsia" w:ascii="宋体" w:hAnsi="宋体" w:eastAsia="宋体" w:cs="Times New Roman"/>
          <w:b/>
          <w:bCs/>
          <w:color w:val="auto"/>
          <w:kern w:val="2"/>
          <w:sz w:val="21"/>
          <w:szCs w:val="24"/>
          <w:highlight w:val="none"/>
        </w:rPr>
        <w:t>1.光伏支架、基础技术要求</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（1）图纸要求</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本项目必须在正式施工前出具完整的施工图纸。</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（2）如需进行深化设计时的设计要求</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①本项目光伏系统的支架应按照国家规范所规定的50年一遇风压进行支架结构及基础设计。</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②彩钢瓦屋面光伏系统安装后的总荷载原则上必须≤15kG/m2，混凝土屋面光伏系统安装后的总荷载原则上必须≤150kG/m2,且必须找设计院核算是否满足屋面结构荷载要求，出具屋面承重报告。</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彩钢瓦屋面的支架应采用轻质铝合金材料作为支架及基础，用6005-T5及以上材质，要求做到阳极氧化处理以达到充分的防腐效果。彩钢瓦屋面铝合金夹具厚度应在4mm及以上；铝合金导轨厚度在2mm及以上；铝合金中压块的厚度应在3mm及以上，铝合金边压块的厚度应在4mm及以上。采取的支架和夹具必须只能夹在屋面瓦楞上，不得在</w:t>
      </w:r>
      <w:r>
        <w:rPr>
          <w:rFonts w:hint="eastAsia" w:ascii="宋体" w:hAnsi="宋体" w:eastAsia="宋体" w:cs="宋体"/>
          <w:color w:val="auto"/>
          <w:kern w:val="2"/>
          <w:sz w:val="21"/>
          <w:szCs w:val="21"/>
          <w:highlight w:val="none"/>
          <w:lang w:val="en-US" w:eastAsia="zh-CN"/>
        </w:rPr>
        <w:t>彩钢瓦</w:t>
      </w:r>
      <w:r>
        <w:rPr>
          <w:rFonts w:hint="eastAsia" w:ascii="宋体" w:hAnsi="宋体" w:eastAsia="宋体" w:cs="宋体"/>
          <w:color w:val="auto"/>
          <w:kern w:val="2"/>
          <w:sz w:val="21"/>
          <w:szCs w:val="21"/>
          <w:highlight w:val="none"/>
        </w:rPr>
        <w:t>屋面开孔、开洞、</w:t>
      </w:r>
      <w:r>
        <w:rPr>
          <w:rFonts w:hint="eastAsia" w:ascii="宋体" w:hAnsi="宋体" w:eastAsia="宋体" w:cs="宋体"/>
          <w:color w:val="auto"/>
          <w:kern w:val="2"/>
          <w:sz w:val="21"/>
          <w:szCs w:val="21"/>
          <w:highlight w:val="none"/>
          <w:lang w:val="en-US" w:eastAsia="zh-CN"/>
        </w:rPr>
        <w:t>钻</w:t>
      </w:r>
      <w:r>
        <w:rPr>
          <w:rFonts w:hint="eastAsia" w:ascii="宋体" w:hAnsi="宋体" w:eastAsia="宋体" w:cs="宋体"/>
          <w:color w:val="auto"/>
          <w:kern w:val="2"/>
          <w:sz w:val="21"/>
          <w:szCs w:val="21"/>
          <w:highlight w:val="none"/>
        </w:rPr>
        <w:t>钉，以充分保证原彩钢瓦屋面的防水效果</w:t>
      </w:r>
      <w:r>
        <w:rPr>
          <w:rFonts w:hint="eastAsia" w:ascii="宋体" w:hAnsi="宋体" w:eastAsia="宋体" w:cs="宋体"/>
          <w:color w:val="auto"/>
          <w:kern w:val="2"/>
          <w:sz w:val="21"/>
          <w:szCs w:val="21"/>
          <w:highlight w:val="none"/>
          <w:lang w:eastAsia="zh-CN"/>
        </w:rPr>
        <w:t>，若由此造成屋面漏水的，</w:t>
      </w:r>
      <w:r>
        <w:rPr>
          <w:rFonts w:hint="eastAsia" w:ascii="宋体" w:hAnsi="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lang w:eastAsia="zh-CN"/>
        </w:rPr>
        <w:t>必须无条件维修好并承担所需全部费用</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④混凝土屋顶支架形式采用固定式钢支架，用Q235B及以上钢材，钢材防腐采用热浸锌和镀镁铝锌两种方式。若采用热浸锌防腐，锌层平均厚度不低于65um；若采用镀镁铝锌防腐，双面镀层重量不少于275g/m2。主梁和立柱的厚度不小于2.5mm，用于次梁的板厚不小于2.0mm，用于主次构件连接的钢板和构件厚度不得小于3mm。为防止混凝土开裂，按规范要求配置钢筋，混凝土强度等级用C25以上。</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⑤棚架结构采用固定式钢支架，用Q235B及以上</w:t>
      </w:r>
      <w:r>
        <w:rPr>
          <w:rFonts w:hint="eastAsia" w:ascii="宋体" w:hAnsi="宋体" w:eastAsia="宋体" w:cs="宋体"/>
          <w:color w:val="auto"/>
          <w:kern w:val="2"/>
          <w:sz w:val="21"/>
          <w:szCs w:val="21"/>
          <w:highlight w:val="none"/>
          <w:lang w:val="en-US" w:eastAsia="zh-CN"/>
        </w:rPr>
        <w:t>型钢(特殊要求除外)</w:t>
      </w:r>
      <w:r>
        <w:rPr>
          <w:rFonts w:hint="eastAsia" w:ascii="宋体" w:hAnsi="宋体" w:eastAsia="宋体" w:cs="宋体"/>
          <w:color w:val="auto"/>
          <w:kern w:val="2"/>
          <w:sz w:val="21"/>
          <w:szCs w:val="21"/>
          <w:highlight w:val="none"/>
        </w:rPr>
        <w:t>，锌层厚度不低于65um。棚架的檐口高度不得低于2.5m，最高点不得高于2.8m，安装倾角经模拟后判断后确定，整体棚架设计必须通过</w:t>
      </w:r>
      <w:r>
        <w:rPr>
          <w:rFonts w:hint="eastAsia" w:ascii="宋体" w:hAnsi="宋体" w:eastAsia="宋体" w:cs="宋体"/>
          <w:color w:val="auto"/>
          <w:kern w:val="2"/>
          <w:sz w:val="21"/>
          <w:szCs w:val="21"/>
          <w:highlight w:val="none"/>
          <w:lang w:val="en-US" w:eastAsia="zh-CN"/>
        </w:rPr>
        <w:t>城管部门和</w:t>
      </w:r>
      <w:r>
        <w:rPr>
          <w:rFonts w:hint="eastAsia" w:ascii="宋体" w:hAnsi="宋体" w:eastAsia="宋体" w:cs="宋体"/>
          <w:color w:val="auto"/>
          <w:kern w:val="2"/>
          <w:sz w:val="21"/>
          <w:szCs w:val="21"/>
          <w:highlight w:val="none"/>
        </w:rPr>
        <w:t>供电部门验收。</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⑥混凝土屋面不得采用膨胀螺栓固定支架的方式，而应采用混凝土支墩基础</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形状要求：圆柱形</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的方案来达到抗风荷载的要求；若因光伏项目造成屋面漏水的，由投标单位负责处理完好。</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⑦光伏支架设计应满足10年内可拆卸再利用和25年内安全使用的要求。</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⑧设计时，整个支架结构的强度、挠度、稳定性应符合国家结构设计相关规范的安全性要求；同时，支架结构的的节点连接也应满足国家结构设计规范的结构安全性的要求。</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（3）安装要求</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光伏组件安装时必须在天窗周边、天沟周边、女儿墙边、出屋面风管等设备周边、采光带周边、高低跨交界面边等位置设置检修维护通道和空间，检修通道宽度、尺寸必须满足检修人员及工具正常通行和作业，并利于紧急情况下快速撤离。</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②屋顶光伏安装区域的维护通道、参观通道、洞口、屋顶坠落高度基准面2</w:t>
      </w:r>
      <w:r>
        <w:rPr>
          <w:rFonts w:ascii="宋体" w:hAnsi="宋体" w:eastAsia="宋体" w:cs="宋体"/>
          <w:color w:val="auto"/>
          <w:kern w:val="2"/>
          <w:sz w:val="21"/>
          <w:szCs w:val="21"/>
          <w:highlight w:val="none"/>
        </w:rPr>
        <w:t xml:space="preserve">m </w:t>
      </w:r>
      <w:r>
        <w:rPr>
          <w:rFonts w:hint="eastAsia" w:ascii="宋体" w:hAnsi="宋体" w:eastAsia="宋体" w:cs="宋体"/>
          <w:color w:val="auto"/>
          <w:kern w:val="2"/>
          <w:sz w:val="21"/>
          <w:szCs w:val="21"/>
          <w:highlight w:val="none"/>
        </w:rPr>
        <w:t>及以上的临空一侧需要安装防坠落保护设施，在临空一侧设置高度≥1</w:t>
      </w:r>
      <w:r>
        <w:rPr>
          <w:rFonts w:ascii="宋体" w:hAnsi="宋体" w:eastAsia="宋体" w:cs="宋体"/>
          <w:color w:val="auto"/>
          <w:kern w:val="2"/>
          <w:sz w:val="21"/>
          <w:szCs w:val="21"/>
          <w:highlight w:val="none"/>
        </w:rPr>
        <w:t>.2m</w:t>
      </w:r>
      <w:r>
        <w:rPr>
          <w:rFonts w:hint="eastAsia" w:ascii="宋体" w:hAnsi="宋体" w:eastAsia="宋体" w:cs="宋体"/>
          <w:color w:val="auto"/>
          <w:kern w:val="2"/>
          <w:sz w:val="21"/>
          <w:szCs w:val="21"/>
          <w:highlight w:val="none"/>
        </w:rPr>
        <w:t>的防护栏杆，并采用密目式安全立网或工具式栏板封闭，确保登上屋顶人员的人身安全和防止高空坠物，防护栏杆应满足25年内安全使用的要求。相关防护设施的参数需要满足《建筑施工高处作业安全技术规范》J</w:t>
      </w:r>
      <w:r>
        <w:rPr>
          <w:rFonts w:ascii="宋体" w:hAnsi="宋体" w:eastAsia="宋体" w:cs="宋体"/>
          <w:color w:val="auto"/>
          <w:kern w:val="2"/>
          <w:sz w:val="21"/>
          <w:szCs w:val="21"/>
          <w:highlight w:val="none"/>
        </w:rPr>
        <w:t>GJ80-2016</w:t>
      </w:r>
      <w:r>
        <w:rPr>
          <w:rFonts w:hint="eastAsia" w:ascii="宋体" w:hAnsi="宋体" w:eastAsia="宋体" w:cs="宋体"/>
          <w:color w:val="auto"/>
          <w:kern w:val="2"/>
          <w:sz w:val="21"/>
          <w:szCs w:val="21"/>
          <w:highlight w:val="none"/>
        </w:rPr>
        <w:t>及国家相关规范和我司安全管理的相关要求。</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w:t>
      </w:r>
      <w:r>
        <w:rPr>
          <w:rFonts w:hint="eastAsia" w:ascii="宋体" w:hAnsi="宋体" w:eastAsia="宋体" w:cs="宋体"/>
          <w:color w:val="auto"/>
          <w:kern w:val="2"/>
          <w:sz w:val="21"/>
          <w:szCs w:val="21"/>
          <w:highlight w:val="none"/>
          <w:lang w:val="en-US" w:eastAsia="zh-CN"/>
        </w:rPr>
        <w:t>光伏</w:t>
      </w:r>
      <w:r>
        <w:rPr>
          <w:rFonts w:hint="eastAsia" w:ascii="宋体" w:hAnsi="宋体" w:eastAsia="宋体" w:cs="宋体"/>
          <w:color w:val="auto"/>
          <w:kern w:val="2"/>
          <w:sz w:val="21"/>
          <w:szCs w:val="21"/>
          <w:highlight w:val="none"/>
        </w:rPr>
        <w:t>组件安装时，</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rPr>
        <w:t>必须对</w:t>
      </w:r>
      <w:r>
        <w:rPr>
          <w:rFonts w:hint="eastAsia" w:ascii="宋体" w:hAnsi="宋体" w:eastAsia="宋体" w:cs="宋体"/>
          <w:color w:val="auto"/>
          <w:kern w:val="2"/>
          <w:sz w:val="21"/>
          <w:szCs w:val="21"/>
          <w:highlight w:val="none"/>
          <w:lang w:val="en-US" w:eastAsia="zh-CN"/>
        </w:rPr>
        <w:t>业主</w:t>
      </w:r>
      <w:r>
        <w:rPr>
          <w:rFonts w:hint="eastAsia" w:ascii="宋体" w:hAnsi="宋体" w:eastAsia="宋体" w:cs="宋体"/>
          <w:color w:val="auto"/>
          <w:kern w:val="2"/>
          <w:sz w:val="21"/>
          <w:szCs w:val="21"/>
          <w:highlight w:val="none"/>
        </w:rPr>
        <w:t>屋面做好相应的保护措施，避免</w:t>
      </w:r>
      <w:r>
        <w:rPr>
          <w:rFonts w:hint="eastAsia" w:ascii="宋体" w:hAnsi="宋体" w:eastAsia="宋体" w:cs="宋体"/>
          <w:color w:val="auto"/>
          <w:kern w:val="2"/>
          <w:sz w:val="21"/>
          <w:szCs w:val="21"/>
          <w:highlight w:val="none"/>
          <w:lang w:val="en-US" w:eastAsia="zh-CN"/>
        </w:rPr>
        <w:t>安装</w:t>
      </w:r>
      <w:r>
        <w:rPr>
          <w:rFonts w:hint="eastAsia" w:ascii="宋体" w:hAnsi="宋体" w:eastAsia="宋体" w:cs="宋体"/>
          <w:color w:val="auto"/>
          <w:kern w:val="2"/>
          <w:sz w:val="21"/>
          <w:szCs w:val="21"/>
          <w:highlight w:val="none"/>
        </w:rPr>
        <w:t>过程中对</w:t>
      </w:r>
      <w:r>
        <w:rPr>
          <w:rFonts w:hint="eastAsia" w:ascii="宋体" w:hAnsi="宋体" w:eastAsia="宋体" w:cs="宋体"/>
          <w:color w:val="auto"/>
          <w:kern w:val="2"/>
          <w:sz w:val="21"/>
          <w:szCs w:val="21"/>
          <w:highlight w:val="none"/>
          <w:lang w:val="en-US" w:eastAsia="zh-CN"/>
        </w:rPr>
        <w:t>业主</w:t>
      </w:r>
      <w:r>
        <w:rPr>
          <w:rFonts w:hint="eastAsia" w:ascii="宋体" w:hAnsi="宋体" w:eastAsia="宋体" w:cs="宋体"/>
          <w:color w:val="auto"/>
          <w:kern w:val="2"/>
          <w:sz w:val="21"/>
          <w:szCs w:val="21"/>
          <w:highlight w:val="none"/>
        </w:rPr>
        <w:t>屋面造成损坏(尤其是屋面的</w:t>
      </w:r>
      <w:r>
        <w:rPr>
          <w:rFonts w:hint="eastAsia" w:ascii="宋体" w:hAnsi="宋体" w:eastAsia="宋体" w:cs="宋体"/>
          <w:color w:val="auto"/>
          <w:kern w:val="2"/>
          <w:sz w:val="21"/>
          <w:szCs w:val="21"/>
          <w:highlight w:val="none"/>
          <w:lang w:val="en-US" w:eastAsia="zh-CN"/>
        </w:rPr>
        <w:t>防水</w:t>
      </w:r>
      <w:r>
        <w:rPr>
          <w:rFonts w:hint="eastAsia" w:ascii="宋体" w:hAnsi="宋体" w:eastAsia="宋体" w:cs="宋体"/>
          <w:color w:val="auto"/>
          <w:kern w:val="2"/>
          <w:sz w:val="21"/>
          <w:szCs w:val="21"/>
          <w:highlight w:val="none"/>
        </w:rPr>
        <w:t>层</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油漆</w:t>
      </w:r>
      <w:r>
        <w:rPr>
          <w:rFonts w:hint="eastAsia" w:ascii="宋体" w:hAnsi="宋体" w:eastAsia="宋体" w:cs="宋体"/>
          <w:color w:val="auto"/>
          <w:kern w:val="2"/>
          <w:sz w:val="21"/>
          <w:szCs w:val="21"/>
          <w:highlight w:val="none"/>
        </w:rPr>
        <w:t>层)。</w:t>
      </w:r>
      <w:r>
        <w:rPr>
          <w:rFonts w:hint="eastAsia" w:ascii="宋体" w:hAnsi="宋体" w:eastAsia="宋体" w:cs="宋体"/>
          <w:color w:val="auto"/>
          <w:kern w:val="2"/>
          <w:sz w:val="21"/>
          <w:szCs w:val="21"/>
          <w:highlight w:val="none"/>
          <w:lang w:val="en-US" w:eastAsia="zh-CN"/>
        </w:rPr>
        <w:t>如</w:t>
      </w:r>
      <w:r>
        <w:rPr>
          <w:rFonts w:hint="eastAsia" w:ascii="宋体" w:hAnsi="宋体" w:eastAsia="宋体" w:cs="宋体"/>
          <w:color w:val="auto"/>
          <w:kern w:val="2"/>
          <w:sz w:val="21"/>
          <w:szCs w:val="21"/>
          <w:highlight w:val="none"/>
        </w:rPr>
        <w:t>不慎造成损坏，</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rPr>
        <w:t>必须无条件维修好并承担所需全部费用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若由</w:t>
      </w:r>
      <w:r>
        <w:rPr>
          <w:rFonts w:hint="eastAsia" w:ascii="宋体" w:hAnsi="宋体" w:eastAsia="宋体" w:cs="宋体"/>
          <w:color w:val="auto"/>
          <w:kern w:val="2"/>
          <w:sz w:val="21"/>
          <w:szCs w:val="21"/>
          <w:highlight w:val="none"/>
        </w:rPr>
        <w:t>此造成屋面漏</w:t>
      </w:r>
      <w:r>
        <w:rPr>
          <w:rFonts w:hint="eastAsia" w:ascii="宋体" w:hAnsi="宋体" w:eastAsia="宋体" w:cs="宋体"/>
          <w:color w:val="auto"/>
          <w:kern w:val="2"/>
          <w:sz w:val="21"/>
          <w:szCs w:val="21"/>
          <w:highlight w:val="none"/>
          <w:lang w:val="en-US" w:eastAsia="zh-CN"/>
        </w:rPr>
        <w:t>水</w:t>
      </w:r>
      <w:r>
        <w:rPr>
          <w:rFonts w:hint="eastAsia" w:ascii="宋体" w:hAnsi="宋体" w:eastAsia="宋体" w:cs="宋体"/>
          <w:color w:val="auto"/>
          <w:kern w:val="2"/>
          <w:sz w:val="21"/>
          <w:szCs w:val="21"/>
          <w:highlight w:val="none"/>
        </w:rPr>
        <w:t>的，</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rPr>
        <w:t>应按照</w:t>
      </w:r>
      <w:r>
        <w:rPr>
          <w:rFonts w:hint="eastAsia" w:ascii="Calibri" w:hAnsi="宋体" w:eastAsia="宋体" w:cs="宋体"/>
          <w:color w:val="auto"/>
          <w:kern w:val="2"/>
          <w:sz w:val="21"/>
          <w:szCs w:val="21"/>
          <w:highlight w:val="none"/>
        </w:rPr>
        <w:t>采购人</w:t>
      </w:r>
      <w:r>
        <w:rPr>
          <w:rFonts w:hint="eastAsia" w:ascii="宋体" w:hAnsi="宋体" w:eastAsia="宋体" w:cs="宋体"/>
          <w:color w:val="auto"/>
          <w:kern w:val="2"/>
          <w:sz w:val="21"/>
          <w:szCs w:val="21"/>
          <w:highlight w:val="none"/>
        </w:rPr>
        <w:t>遭受的连带损失统一进行赔偿。</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④安装螺栓选用不锈钢304及以上材质，表面需钝化，安装前须点胶或采用防松动螺母。</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⑤本项目的部分屋面的利用率，各投标单位在投标前认真查看图纸核算。</w:t>
      </w:r>
    </w:p>
    <w:p>
      <w:pPr>
        <w:widowControl w:val="0"/>
        <w:adjustRightInd/>
        <w:snapToGrid/>
        <w:spacing w:after="0" w:line="360" w:lineRule="auto"/>
        <w:jc w:val="both"/>
        <w:rPr>
          <w:rFonts w:ascii="宋体" w:hAnsi="宋体" w:eastAsia="宋体" w:cs="Times New Roman"/>
          <w:b/>
          <w:bCs/>
          <w:color w:val="auto"/>
          <w:kern w:val="2"/>
          <w:sz w:val="21"/>
          <w:szCs w:val="24"/>
          <w:highlight w:val="none"/>
        </w:rPr>
      </w:pPr>
      <w:r>
        <w:rPr>
          <w:rFonts w:hint="eastAsia" w:ascii="宋体" w:hAnsi="宋体" w:eastAsia="宋体" w:cs="Times New Roman"/>
          <w:b/>
          <w:bCs/>
          <w:color w:val="auto"/>
          <w:kern w:val="2"/>
          <w:sz w:val="21"/>
          <w:szCs w:val="24"/>
          <w:highlight w:val="none"/>
        </w:rPr>
        <w:t>2.光伏系统的电气接入(并网)技术要求</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rPr>
        <w:t>需完成</w:t>
      </w:r>
      <w:r>
        <w:rPr>
          <w:rFonts w:hint="eastAsia" w:ascii="宋体" w:hAnsi="宋体" w:eastAsia="宋体" w:cs="宋体"/>
          <w:color w:val="auto"/>
          <w:kern w:val="2"/>
          <w:sz w:val="21"/>
          <w:szCs w:val="21"/>
          <w:highlight w:val="none"/>
          <w:lang w:val="en-US" w:eastAsia="zh-CN"/>
        </w:rPr>
        <w:t>项目</w:t>
      </w:r>
      <w:r>
        <w:rPr>
          <w:rFonts w:hint="eastAsia" w:ascii="宋体" w:hAnsi="宋体" w:eastAsia="宋体" w:cs="宋体"/>
          <w:color w:val="auto"/>
          <w:kern w:val="2"/>
          <w:sz w:val="21"/>
          <w:szCs w:val="21"/>
          <w:highlight w:val="none"/>
        </w:rPr>
        <w:t>接入系统部分</w:t>
      </w:r>
      <w:r>
        <w:rPr>
          <w:rFonts w:hint="eastAsia" w:ascii="宋体" w:hAnsi="宋体" w:eastAsia="宋体" w:cs="宋体"/>
          <w:color w:val="auto"/>
          <w:kern w:val="2"/>
          <w:sz w:val="21"/>
          <w:szCs w:val="21"/>
          <w:highlight w:val="none"/>
          <w:lang w:val="en-US" w:eastAsia="zh-CN"/>
        </w:rPr>
        <w:t>供电</w:t>
      </w:r>
      <w:r>
        <w:rPr>
          <w:rFonts w:hint="eastAsia" w:ascii="宋体" w:hAnsi="宋体" w:eastAsia="宋体" w:cs="宋体"/>
          <w:color w:val="auto"/>
          <w:kern w:val="2"/>
          <w:sz w:val="21"/>
          <w:szCs w:val="21"/>
          <w:highlight w:val="none"/>
        </w:rPr>
        <w:t>部门的备案、</w:t>
      </w:r>
      <w:r>
        <w:rPr>
          <w:rFonts w:hint="eastAsia" w:ascii="宋体" w:hAnsi="宋体" w:eastAsia="宋体" w:cs="宋体"/>
          <w:color w:val="auto"/>
          <w:kern w:val="2"/>
          <w:sz w:val="21"/>
          <w:szCs w:val="21"/>
          <w:highlight w:val="none"/>
          <w:lang w:val="en-US" w:eastAsia="zh-CN"/>
        </w:rPr>
        <w:t>报装、</w:t>
      </w:r>
      <w:r>
        <w:rPr>
          <w:rFonts w:hint="eastAsia" w:ascii="宋体" w:hAnsi="宋体" w:eastAsia="宋体" w:cs="宋体"/>
          <w:color w:val="auto"/>
          <w:kern w:val="2"/>
          <w:sz w:val="21"/>
          <w:szCs w:val="21"/>
          <w:highlight w:val="none"/>
        </w:rPr>
        <w:t>相关报验流程</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验收手续</w:t>
      </w:r>
      <w:r>
        <w:rPr>
          <w:rFonts w:hint="eastAsia" w:ascii="宋体" w:hAnsi="宋体" w:eastAsia="宋体" w:cs="宋体"/>
          <w:color w:val="auto"/>
          <w:kern w:val="2"/>
          <w:sz w:val="21"/>
          <w:szCs w:val="21"/>
          <w:highlight w:val="none"/>
          <w:lang w:val="en-US" w:eastAsia="zh-CN"/>
        </w:rPr>
        <w:t>及装表并网</w:t>
      </w:r>
      <w:r>
        <w:rPr>
          <w:rFonts w:hint="eastAsia" w:ascii="宋体" w:hAnsi="宋体" w:eastAsia="宋体" w:cs="宋体"/>
          <w:color w:val="auto"/>
          <w:kern w:val="2"/>
          <w:sz w:val="21"/>
          <w:szCs w:val="21"/>
          <w:highlight w:val="none"/>
        </w:rPr>
        <w:t>手续</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同时在并网后前期做好相关供售电手续交接事宜</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分布式</w:t>
      </w:r>
      <w:r>
        <w:rPr>
          <w:rFonts w:hint="eastAsia" w:ascii="宋体" w:hAnsi="宋体" w:eastAsia="宋体" w:cs="宋体"/>
          <w:color w:val="auto"/>
          <w:kern w:val="2"/>
          <w:sz w:val="21"/>
          <w:szCs w:val="21"/>
          <w:highlight w:val="none"/>
        </w:rPr>
        <w:t>光伏</w:t>
      </w:r>
      <w:r>
        <w:rPr>
          <w:rFonts w:hint="eastAsia" w:ascii="宋体" w:hAnsi="宋体" w:eastAsia="宋体" w:cs="宋体"/>
          <w:color w:val="auto"/>
          <w:kern w:val="2"/>
          <w:sz w:val="21"/>
          <w:szCs w:val="21"/>
          <w:highlight w:val="none"/>
          <w:lang w:val="en-US" w:eastAsia="zh-CN"/>
        </w:rPr>
        <w:t>发电</w:t>
      </w:r>
      <w:r>
        <w:rPr>
          <w:rFonts w:hint="eastAsia" w:ascii="宋体" w:hAnsi="宋体" w:eastAsia="宋体" w:cs="宋体"/>
          <w:color w:val="auto"/>
          <w:kern w:val="2"/>
          <w:sz w:val="21"/>
          <w:szCs w:val="21"/>
          <w:highlight w:val="none"/>
        </w:rPr>
        <w:t>系统的电气接入电压等级、接线等应满足国标及南方电网有关的技术规程规范的要求</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须考虑</w:t>
      </w:r>
      <w:r>
        <w:rPr>
          <w:rFonts w:hint="eastAsia" w:ascii="宋体" w:hAnsi="宋体" w:eastAsia="宋体" w:cs="宋体"/>
          <w:color w:val="auto"/>
          <w:kern w:val="2"/>
          <w:sz w:val="21"/>
          <w:szCs w:val="21"/>
          <w:highlight w:val="none"/>
          <w:lang w:val="en-US" w:eastAsia="zh-CN"/>
        </w:rPr>
        <w:t>单个并网</w:t>
      </w:r>
      <w:r>
        <w:rPr>
          <w:rFonts w:hint="eastAsia" w:ascii="宋体" w:hAnsi="宋体" w:eastAsia="宋体" w:cs="宋体"/>
          <w:color w:val="auto"/>
          <w:kern w:val="2"/>
          <w:sz w:val="21"/>
          <w:szCs w:val="21"/>
          <w:highlight w:val="none"/>
        </w:rPr>
        <w:t>点</w:t>
      </w:r>
      <w:r>
        <w:rPr>
          <w:rFonts w:hint="eastAsia" w:ascii="宋体" w:hAnsi="宋体" w:eastAsia="宋体" w:cs="宋体"/>
          <w:color w:val="auto"/>
          <w:kern w:val="2"/>
          <w:sz w:val="21"/>
          <w:szCs w:val="21"/>
          <w:highlight w:val="none"/>
          <w:lang w:val="en-US" w:eastAsia="zh-CN"/>
        </w:rPr>
        <w:t>装机容量</w:t>
      </w:r>
      <w:r>
        <w:rPr>
          <w:rFonts w:hint="eastAsia" w:ascii="宋体" w:hAnsi="宋体" w:eastAsia="宋体" w:cs="宋体"/>
          <w:color w:val="auto"/>
          <w:kern w:val="2"/>
          <w:sz w:val="21"/>
          <w:szCs w:val="21"/>
          <w:highlight w:val="none"/>
        </w:rPr>
        <w:t>、接入条件、变压器容量、功率因数及负荷情况。应根据有关光伏系统接入规程规范做接入系统的技术经济研究，确定最优的、满足当地南方电网公司相关要求的电气接入系统方案，并需得到当地供电部门的批准。</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分布式</w:t>
      </w:r>
      <w:r>
        <w:rPr>
          <w:rFonts w:hint="eastAsia" w:ascii="宋体" w:hAnsi="宋体" w:eastAsia="宋体" w:cs="宋体"/>
          <w:color w:val="auto"/>
          <w:kern w:val="2"/>
          <w:sz w:val="21"/>
          <w:szCs w:val="21"/>
          <w:highlight w:val="none"/>
        </w:rPr>
        <w:t>光伏</w:t>
      </w:r>
      <w:r>
        <w:rPr>
          <w:rFonts w:hint="eastAsia" w:ascii="宋体" w:hAnsi="宋体" w:eastAsia="宋体" w:cs="宋体"/>
          <w:color w:val="auto"/>
          <w:kern w:val="2"/>
          <w:sz w:val="21"/>
          <w:szCs w:val="21"/>
          <w:highlight w:val="none"/>
          <w:lang w:val="en-US" w:eastAsia="zh-CN"/>
        </w:rPr>
        <w:t>发电</w:t>
      </w:r>
      <w:r>
        <w:rPr>
          <w:rFonts w:hint="eastAsia" w:ascii="宋体" w:hAnsi="宋体" w:eastAsia="宋体" w:cs="宋体"/>
          <w:color w:val="auto"/>
          <w:kern w:val="2"/>
          <w:sz w:val="21"/>
          <w:szCs w:val="21"/>
          <w:highlight w:val="none"/>
        </w:rPr>
        <w:t>系统接入后应不</w:t>
      </w:r>
      <w:r>
        <w:rPr>
          <w:rFonts w:hint="eastAsia" w:ascii="宋体" w:hAnsi="宋体" w:eastAsia="宋体" w:cs="宋体"/>
          <w:color w:val="auto"/>
          <w:kern w:val="2"/>
          <w:sz w:val="21"/>
          <w:szCs w:val="21"/>
          <w:highlight w:val="none"/>
          <w:lang w:val="en-US" w:eastAsia="zh-CN"/>
        </w:rPr>
        <w:t>得</w:t>
      </w:r>
      <w:r>
        <w:rPr>
          <w:rFonts w:hint="eastAsia" w:ascii="宋体" w:hAnsi="宋体" w:eastAsia="宋体" w:cs="宋体"/>
          <w:color w:val="auto"/>
          <w:kern w:val="2"/>
          <w:sz w:val="21"/>
          <w:szCs w:val="21"/>
          <w:highlight w:val="none"/>
        </w:rPr>
        <w:t>降低</w:t>
      </w:r>
      <w:r>
        <w:rPr>
          <w:rFonts w:hint="eastAsia" w:ascii="宋体" w:hAnsi="宋体" w:eastAsia="宋体" w:cs="宋体"/>
          <w:color w:val="auto"/>
          <w:kern w:val="2"/>
          <w:sz w:val="21"/>
          <w:szCs w:val="21"/>
          <w:highlight w:val="none"/>
          <w:lang w:val="en-US" w:eastAsia="zh-CN"/>
        </w:rPr>
        <w:t>业主</w:t>
      </w:r>
      <w:r>
        <w:rPr>
          <w:rFonts w:hint="eastAsia" w:ascii="宋体" w:hAnsi="宋体" w:eastAsia="宋体" w:cs="宋体"/>
          <w:color w:val="auto"/>
          <w:kern w:val="2"/>
          <w:sz w:val="21"/>
          <w:szCs w:val="21"/>
          <w:highlight w:val="none"/>
        </w:rPr>
        <w:t>原有</w:t>
      </w:r>
      <w:r>
        <w:rPr>
          <w:rFonts w:hint="eastAsia" w:ascii="宋体" w:hAnsi="宋体" w:eastAsia="宋体" w:cs="宋体"/>
          <w:color w:val="auto"/>
          <w:kern w:val="2"/>
          <w:sz w:val="21"/>
          <w:szCs w:val="21"/>
          <w:highlight w:val="none"/>
          <w:lang w:val="en-US" w:eastAsia="zh-CN"/>
        </w:rPr>
        <w:t>供</w:t>
      </w:r>
      <w:r>
        <w:rPr>
          <w:rFonts w:hint="eastAsia" w:ascii="宋体" w:hAnsi="宋体" w:eastAsia="宋体" w:cs="宋体"/>
          <w:color w:val="auto"/>
          <w:kern w:val="2"/>
          <w:sz w:val="21"/>
          <w:szCs w:val="21"/>
          <w:highlight w:val="none"/>
        </w:rPr>
        <w:t>配电系统的供电稳定性、可靠性，应把对原</w:t>
      </w:r>
      <w:r>
        <w:rPr>
          <w:rFonts w:hint="eastAsia" w:ascii="宋体" w:hAnsi="宋体" w:eastAsia="宋体" w:cs="宋体"/>
          <w:color w:val="auto"/>
          <w:kern w:val="2"/>
          <w:sz w:val="21"/>
          <w:szCs w:val="21"/>
          <w:highlight w:val="none"/>
          <w:lang w:val="en-US" w:eastAsia="zh-CN"/>
        </w:rPr>
        <w:t>供</w:t>
      </w:r>
      <w:r>
        <w:rPr>
          <w:rFonts w:hint="eastAsia" w:ascii="宋体" w:hAnsi="宋体" w:eastAsia="宋体" w:cs="宋体"/>
          <w:color w:val="auto"/>
          <w:kern w:val="2"/>
          <w:sz w:val="21"/>
          <w:szCs w:val="21"/>
          <w:highlight w:val="none"/>
        </w:rPr>
        <w:t>配电系统的影响降低到最小限度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同时</w:t>
      </w:r>
      <w:r>
        <w:rPr>
          <w:rFonts w:hint="eastAsia" w:ascii="宋体" w:hAnsi="宋体" w:eastAsia="宋体" w:cs="宋体"/>
          <w:color w:val="auto"/>
          <w:kern w:val="2"/>
          <w:sz w:val="21"/>
          <w:szCs w:val="21"/>
          <w:highlight w:val="none"/>
        </w:rPr>
        <w:t>不</w:t>
      </w:r>
      <w:r>
        <w:rPr>
          <w:rFonts w:hint="eastAsia" w:ascii="宋体" w:hAnsi="宋体" w:eastAsia="宋体" w:cs="宋体"/>
          <w:color w:val="auto"/>
          <w:kern w:val="2"/>
          <w:sz w:val="21"/>
          <w:szCs w:val="21"/>
          <w:highlight w:val="none"/>
          <w:lang w:val="en-US" w:eastAsia="zh-CN"/>
        </w:rPr>
        <w:t>得影响供电部门停电检修</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分布式</w:t>
      </w:r>
      <w:r>
        <w:rPr>
          <w:rFonts w:hint="eastAsia" w:ascii="宋体" w:hAnsi="宋体" w:eastAsia="宋体" w:cs="宋体"/>
          <w:color w:val="auto"/>
          <w:kern w:val="2"/>
          <w:sz w:val="21"/>
          <w:szCs w:val="21"/>
          <w:highlight w:val="none"/>
        </w:rPr>
        <w:t>光伏</w:t>
      </w:r>
      <w:r>
        <w:rPr>
          <w:rFonts w:hint="eastAsia" w:ascii="宋体" w:hAnsi="宋体" w:eastAsia="宋体" w:cs="宋体"/>
          <w:color w:val="auto"/>
          <w:kern w:val="2"/>
          <w:sz w:val="21"/>
          <w:szCs w:val="21"/>
          <w:highlight w:val="none"/>
          <w:lang w:val="en-US" w:eastAsia="zh-CN"/>
        </w:rPr>
        <w:t>发电</w:t>
      </w:r>
      <w:r>
        <w:rPr>
          <w:rFonts w:hint="eastAsia" w:ascii="宋体" w:hAnsi="宋体" w:eastAsia="宋体" w:cs="宋体"/>
          <w:color w:val="auto"/>
          <w:kern w:val="2"/>
          <w:sz w:val="21"/>
          <w:szCs w:val="21"/>
          <w:highlight w:val="none"/>
        </w:rPr>
        <w:t>系统必须在逆变器输出汇总点设置易于操作、可闭锁、且具有明显断开点的并网总断路器，以保证电力设备检修维护人员的人身安全。</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分布式</w:t>
      </w:r>
      <w:r>
        <w:rPr>
          <w:rFonts w:hint="eastAsia" w:ascii="宋体" w:hAnsi="宋体" w:eastAsia="宋体" w:cs="宋体"/>
          <w:color w:val="auto"/>
          <w:kern w:val="2"/>
          <w:sz w:val="21"/>
          <w:szCs w:val="21"/>
          <w:highlight w:val="none"/>
        </w:rPr>
        <w:t>光伏</w:t>
      </w:r>
      <w:r>
        <w:rPr>
          <w:rFonts w:hint="eastAsia" w:ascii="宋体" w:hAnsi="宋体" w:eastAsia="宋体" w:cs="宋体"/>
          <w:color w:val="auto"/>
          <w:kern w:val="2"/>
          <w:sz w:val="21"/>
          <w:szCs w:val="21"/>
          <w:highlight w:val="none"/>
          <w:lang w:val="en-US" w:eastAsia="zh-CN"/>
        </w:rPr>
        <w:t>发电</w:t>
      </w:r>
      <w:r>
        <w:rPr>
          <w:rFonts w:hint="eastAsia" w:ascii="宋体" w:hAnsi="宋体" w:eastAsia="宋体" w:cs="宋体"/>
          <w:color w:val="auto"/>
          <w:kern w:val="2"/>
          <w:sz w:val="21"/>
          <w:szCs w:val="21"/>
          <w:highlight w:val="none"/>
        </w:rPr>
        <w:t>系统和并网点设备的防雷和接地应符合南方电网公司规定要求，接地电阻合格，</w:t>
      </w:r>
      <w:r>
        <w:rPr>
          <w:rFonts w:hint="eastAsia" w:ascii="宋体" w:hAnsi="宋体" w:eastAsia="宋体" w:cs="宋体"/>
          <w:color w:val="auto"/>
          <w:kern w:val="2"/>
          <w:sz w:val="21"/>
          <w:szCs w:val="21"/>
          <w:highlight w:val="none"/>
          <w:lang w:val="en-US" w:eastAsia="zh-CN"/>
        </w:rPr>
        <w:t>并</w:t>
      </w:r>
      <w:r>
        <w:rPr>
          <w:rFonts w:hint="eastAsia" w:ascii="宋体" w:hAnsi="宋体" w:eastAsia="宋体" w:cs="宋体"/>
          <w:color w:val="auto"/>
          <w:kern w:val="2"/>
          <w:sz w:val="21"/>
          <w:szCs w:val="21"/>
          <w:highlight w:val="none"/>
        </w:rPr>
        <w:t>按规定周期进行测试。</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分布式</w:t>
      </w:r>
      <w:r>
        <w:rPr>
          <w:rFonts w:hint="eastAsia" w:ascii="宋体" w:hAnsi="宋体" w:eastAsia="宋体" w:cs="宋体"/>
          <w:color w:val="auto"/>
          <w:kern w:val="2"/>
          <w:sz w:val="21"/>
          <w:szCs w:val="21"/>
          <w:highlight w:val="none"/>
        </w:rPr>
        <w:t>光伏</w:t>
      </w:r>
      <w:r>
        <w:rPr>
          <w:rFonts w:hint="eastAsia" w:ascii="宋体" w:hAnsi="宋体" w:eastAsia="宋体" w:cs="宋体"/>
          <w:color w:val="auto"/>
          <w:kern w:val="2"/>
          <w:sz w:val="21"/>
          <w:szCs w:val="21"/>
          <w:highlight w:val="none"/>
          <w:lang w:val="en-US" w:eastAsia="zh-CN"/>
        </w:rPr>
        <w:t>发电</w:t>
      </w:r>
      <w:r>
        <w:rPr>
          <w:rFonts w:hint="eastAsia" w:ascii="宋体" w:hAnsi="宋体" w:eastAsia="宋体" w:cs="宋体"/>
          <w:color w:val="auto"/>
          <w:kern w:val="2"/>
          <w:sz w:val="21"/>
          <w:szCs w:val="21"/>
          <w:highlight w:val="none"/>
        </w:rPr>
        <w:t>系统或电网异常、故障时为保护设备和人身安全，应具有相应继电保护功能，保护电网和光伏设备的安全运行，确保维护人员和公众人身安全。光伏电站的保护应符合南方电网规定的可靠性、选择性、灵活性和速动性的要求。</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分布式</w:t>
      </w:r>
      <w:r>
        <w:rPr>
          <w:rFonts w:hint="eastAsia" w:ascii="宋体" w:hAnsi="宋体" w:eastAsia="宋体" w:cs="宋体"/>
          <w:color w:val="auto"/>
          <w:kern w:val="2"/>
          <w:sz w:val="21"/>
          <w:szCs w:val="21"/>
          <w:highlight w:val="none"/>
        </w:rPr>
        <w:t>光伏</w:t>
      </w:r>
      <w:r>
        <w:rPr>
          <w:rFonts w:hint="eastAsia" w:ascii="宋体" w:hAnsi="宋体" w:eastAsia="宋体" w:cs="宋体"/>
          <w:color w:val="auto"/>
          <w:kern w:val="2"/>
          <w:sz w:val="21"/>
          <w:szCs w:val="21"/>
          <w:highlight w:val="none"/>
          <w:lang w:val="en-US" w:eastAsia="zh-CN"/>
        </w:rPr>
        <w:t>发电</w:t>
      </w:r>
      <w:r>
        <w:rPr>
          <w:rFonts w:hint="eastAsia" w:ascii="宋体" w:hAnsi="宋体" w:eastAsia="宋体" w:cs="宋体"/>
          <w:color w:val="auto"/>
          <w:kern w:val="2"/>
          <w:sz w:val="21"/>
          <w:szCs w:val="21"/>
          <w:highlight w:val="none"/>
        </w:rPr>
        <w:t>系统的过流与短路保护、防孤岛能力、逆变器保护、恢复并网等应满足南方电网规定的要求。</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分布式</w:t>
      </w:r>
      <w:r>
        <w:rPr>
          <w:rFonts w:hint="eastAsia" w:ascii="宋体" w:hAnsi="宋体" w:eastAsia="宋体" w:cs="宋体"/>
          <w:color w:val="auto"/>
          <w:kern w:val="2"/>
          <w:sz w:val="21"/>
          <w:szCs w:val="21"/>
          <w:highlight w:val="none"/>
        </w:rPr>
        <w:t>光伏</w:t>
      </w:r>
      <w:r>
        <w:rPr>
          <w:rFonts w:hint="eastAsia" w:ascii="宋体" w:hAnsi="宋体" w:eastAsia="宋体" w:cs="宋体"/>
          <w:color w:val="auto"/>
          <w:kern w:val="2"/>
          <w:sz w:val="21"/>
          <w:szCs w:val="21"/>
          <w:highlight w:val="none"/>
          <w:lang w:val="en-US" w:eastAsia="zh-CN"/>
        </w:rPr>
        <w:t>发电</w:t>
      </w:r>
      <w:r>
        <w:rPr>
          <w:rFonts w:hint="eastAsia" w:ascii="宋体" w:hAnsi="宋体" w:eastAsia="宋体" w:cs="宋体"/>
          <w:color w:val="auto"/>
          <w:kern w:val="2"/>
          <w:sz w:val="21"/>
          <w:szCs w:val="21"/>
          <w:highlight w:val="none"/>
        </w:rPr>
        <w:t>系统的电能质量满足规程要求，电压谐波和波形畸变、电压偏差、电压波动和闪变、电压不平衡度、直流分量在南方电网规定的范围内，保证功率因素在0.98以上。</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r>
        <w:rPr>
          <w:rFonts w:hint="eastAsia" w:ascii="宋体" w:hAnsi="宋体" w:eastAsia="宋体" w:cs="宋体"/>
          <w:color w:val="auto"/>
          <w:kern w:val="2"/>
          <w:sz w:val="21"/>
          <w:szCs w:val="21"/>
          <w:highlight w:val="none"/>
          <w:lang w:val="en-US" w:eastAsia="zh-CN"/>
        </w:rPr>
        <w:t>分布式</w:t>
      </w:r>
      <w:r>
        <w:rPr>
          <w:rFonts w:hint="eastAsia" w:ascii="宋体" w:hAnsi="宋体" w:eastAsia="宋体" w:cs="宋体"/>
          <w:color w:val="auto"/>
          <w:kern w:val="2"/>
          <w:sz w:val="21"/>
          <w:szCs w:val="21"/>
          <w:highlight w:val="none"/>
        </w:rPr>
        <w:t>光伏</w:t>
      </w:r>
      <w:r>
        <w:rPr>
          <w:rFonts w:hint="eastAsia" w:ascii="宋体" w:hAnsi="宋体" w:eastAsia="宋体" w:cs="宋体"/>
          <w:color w:val="auto"/>
          <w:kern w:val="2"/>
          <w:sz w:val="21"/>
          <w:szCs w:val="21"/>
          <w:highlight w:val="none"/>
          <w:lang w:val="en-US" w:eastAsia="zh-CN"/>
        </w:rPr>
        <w:t>发电</w:t>
      </w:r>
      <w:r>
        <w:rPr>
          <w:rFonts w:hint="eastAsia" w:ascii="宋体" w:hAnsi="宋体" w:eastAsia="宋体" w:cs="宋体"/>
          <w:color w:val="auto"/>
          <w:kern w:val="2"/>
          <w:sz w:val="21"/>
          <w:szCs w:val="21"/>
          <w:highlight w:val="none"/>
        </w:rPr>
        <w:t>系统的安全自动装置应按国家规定配置齐全。</w:t>
      </w:r>
    </w:p>
    <w:p>
      <w:pPr>
        <w:widowControl w:val="0"/>
        <w:adjustRightInd/>
        <w:snapToGrid/>
        <w:spacing w:after="0" w:line="360" w:lineRule="auto"/>
        <w:jc w:val="both"/>
        <w:rPr>
          <w:rFonts w:ascii="宋体" w:hAnsi="宋体" w:eastAsia="宋体" w:cs="Times New Roman"/>
          <w:b/>
          <w:bCs/>
          <w:color w:val="auto"/>
          <w:kern w:val="2"/>
          <w:sz w:val="21"/>
          <w:szCs w:val="24"/>
          <w:highlight w:val="none"/>
        </w:rPr>
      </w:pPr>
      <w:r>
        <w:rPr>
          <w:rFonts w:hint="eastAsia" w:ascii="宋体" w:hAnsi="宋体" w:eastAsia="宋体" w:cs="Times New Roman"/>
          <w:b/>
          <w:bCs/>
          <w:color w:val="auto"/>
          <w:kern w:val="2"/>
          <w:sz w:val="21"/>
          <w:szCs w:val="24"/>
          <w:highlight w:val="none"/>
        </w:rPr>
        <w:t>3.光伏组件技术要求</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（1）采用高效率单晶硅5</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0Wp及以上的太阳能光伏组件，使用寿命不低于</w:t>
      </w: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rPr>
        <w:t>年，不少于</w:t>
      </w:r>
      <w:r>
        <w:rPr>
          <w:rFonts w:hint="eastAsia" w:ascii="宋体" w:hAnsi="宋体" w:eastAsia="宋体" w:cs="宋体"/>
          <w:color w:val="auto"/>
          <w:kern w:val="2"/>
          <w:sz w:val="21"/>
          <w:szCs w:val="21"/>
          <w:highlight w:val="none"/>
          <w:lang w:val="en-US" w:eastAsia="zh-CN"/>
        </w:rPr>
        <w:t>15年材料工艺质保和</w:t>
      </w:r>
      <w:r>
        <w:rPr>
          <w:rFonts w:hint="eastAsia" w:ascii="宋体" w:hAnsi="宋体" w:eastAsia="宋体" w:cs="宋体"/>
          <w:color w:val="auto"/>
          <w:kern w:val="2"/>
          <w:sz w:val="21"/>
          <w:szCs w:val="21"/>
          <w:highlight w:val="none"/>
        </w:rPr>
        <w:t>25年线性功率质保，投标文件中提供质保说明书，</w:t>
      </w:r>
      <w:r>
        <w:rPr>
          <w:rFonts w:hint="eastAsia" w:ascii="宋体" w:hAnsi="宋体" w:eastAsia="宋体" w:cs="宋体"/>
          <w:color w:val="auto"/>
          <w:kern w:val="2"/>
          <w:sz w:val="21"/>
          <w:szCs w:val="21"/>
          <w:highlight w:val="none"/>
          <w:lang w:val="en-US" w:eastAsia="zh-CN"/>
        </w:rPr>
        <w:t>具体</w:t>
      </w:r>
      <w:r>
        <w:rPr>
          <w:rFonts w:hint="eastAsia" w:ascii="宋体" w:hAnsi="宋体" w:eastAsia="宋体" w:cs="宋体"/>
          <w:color w:val="auto"/>
          <w:kern w:val="2"/>
          <w:sz w:val="21"/>
          <w:szCs w:val="21"/>
          <w:highlight w:val="none"/>
        </w:rPr>
        <w:t>技术参数要求</w:t>
      </w:r>
      <w:r>
        <w:rPr>
          <w:rFonts w:hint="eastAsia" w:ascii="宋体" w:hAnsi="宋体" w:eastAsia="宋体" w:cs="宋体"/>
          <w:color w:val="auto"/>
          <w:kern w:val="2"/>
          <w:sz w:val="21"/>
          <w:szCs w:val="21"/>
          <w:highlight w:val="none"/>
          <w:lang w:val="en-US" w:eastAsia="zh-CN"/>
        </w:rPr>
        <w:t>严格按</w:t>
      </w:r>
      <w:r>
        <w:rPr>
          <w:rFonts w:hint="eastAsia" w:ascii="宋体" w:hAnsi="宋体" w:eastAsia="宋体" w:cs="宋体"/>
          <w:color w:val="auto"/>
          <w:kern w:val="2"/>
          <w:sz w:val="21"/>
          <w:szCs w:val="21"/>
          <w:highlight w:val="none"/>
        </w:rPr>
        <w:t>下表</w:t>
      </w:r>
      <w:r>
        <w:rPr>
          <w:rFonts w:hint="eastAsia" w:ascii="宋体" w:hAnsi="宋体" w:eastAsia="宋体" w:cs="宋体"/>
          <w:color w:val="auto"/>
          <w:kern w:val="2"/>
          <w:sz w:val="21"/>
          <w:szCs w:val="21"/>
          <w:highlight w:val="none"/>
          <w:lang w:val="en-US" w:eastAsia="zh-CN"/>
        </w:rPr>
        <w:t>执行</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jc w:val="center"/>
        <w:rPr>
          <w:rFonts w:ascii="宋体" w:hAnsi="宋体" w:eastAsia="宋体" w:cs="宋体"/>
          <w:b/>
          <w:bCs/>
          <w:color w:val="auto"/>
          <w:kern w:val="2"/>
          <w:sz w:val="21"/>
          <w:szCs w:val="21"/>
          <w:highlight w:val="none"/>
        </w:rPr>
      </w:pPr>
      <w:r>
        <w:rPr>
          <w:rFonts w:hint="eastAsia" w:ascii="宋体" w:hAnsi="宋体" w:eastAsia="宋体" w:cs="宋体"/>
          <w:b/>
          <w:bCs/>
          <w:color w:val="auto"/>
          <w:spacing w:val="13"/>
          <w:kern w:val="2"/>
          <w:sz w:val="21"/>
          <w:szCs w:val="21"/>
          <w:highlight w:val="none"/>
          <w:lang w:val="en-US" w:eastAsia="zh-CN"/>
        </w:rPr>
        <w:t>光伏</w:t>
      </w:r>
      <w:r>
        <w:rPr>
          <w:rFonts w:hint="eastAsia" w:ascii="宋体" w:hAnsi="宋体" w:eastAsia="宋体" w:cs="宋体"/>
          <w:b/>
          <w:bCs/>
          <w:color w:val="auto"/>
          <w:spacing w:val="13"/>
          <w:kern w:val="2"/>
          <w:sz w:val="21"/>
          <w:szCs w:val="21"/>
          <w:highlight w:val="none"/>
        </w:rPr>
        <w:t>组</w:t>
      </w:r>
      <w:r>
        <w:rPr>
          <w:rFonts w:hint="eastAsia" w:ascii="宋体" w:hAnsi="宋体" w:eastAsia="宋体" w:cs="宋体"/>
          <w:b/>
          <w:bCs/>
          <w:color w:val="auto"/>
          <w:spacing w:val="8"/>
          <w:kern w:val="2"/>
          <w:sz w:val="21"/>
          <w:szCs w:val="21"/>
          <w:highlight w:val="none"/>
        </w:rPr>
        <w:t>件主要技术参数表</w:t>
      </w:r>
    </w:p>
    <w:tbl>
      <w:tblPr>
        <w:tblStyle w:val="77"/>
        <w:tblW w:w="502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987"/>
        <w:gridCol w:w="43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2387"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6"/>
                <w:kern w:val="2"/>
                <w:sz w:val="21"/>
                <w:szCs w:val="21"/>
                <w:highlight w:val="none"/>
              </w:rPr>
              <w:t>型号规</w:t>
            </w:r>
            <w:r>
              <w:rPr>
                <w:rFonts w:hint="eastAsia" w:ascii="宋体" w:hAnsi="宋体" w:eastAsia="宋体" w:cs="宋体"/>
                <w:color w:val="auto"/>
                <w:spacing w:val="5"/>
                <w:kern w:val="2"/>
                <w:sz w:val="21"/>
                <w:szCs w:val="21"/>
                <w:highlight w:val="none"/>
              </w:rPr>
              <w:t>格</w:t>
            </w:r>
          </w:p>
        </w:tc>
        <w:tc>
          <w:tcPr>
            <w:tcW w:w="2612" w:type="pct"/>
            <w:vAlign w:val="bottom"/>
          </w:tcPr>
          <w:p>
            <w:pPr>
              <w:widowControl w:val="0"/>
              <w:adjustRightInd/>
              <w:snapToGrid/>
              <w:spacing w:after="0" w:line="288" w:lineRule="auto"/>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单晶硅</w:t>
            </w:r>
            <w:r>
              <w:rPr>
                <w:rFonts w:hint="eastAsia" w:ascii="宋体" w:hAnsi="宋体" w:eastAsia="宋体" w:cs="宋体"/>
                <w:color w:val="auto"/>
                <w:kern w:val="2"/>
                <w:sz w:val="21"/>
                <w:szCs w:val="21"/>
                <w:highlight w:val="none"/>
                <w:lang w:val="en-US" w:eastAsia="zh-CN"/>
              </w:rPr>
              <w:t>单面</w:t>
            </w:r>
            <w:r>
              <w:rPr>
                <w:rFonts w:hint="eastAsia" w:ascii="宋体" w:hAnsi="宋体" w:eastAsia="宋体" w:cs="宋体"/>
                <w:color w:val="auto"/>
                <w:spacing w:val="-2"/>
                <w:kern w:val="2"/>
                <w:sz w:val="21"/>
                <w:szCs w:val="21"/>
                <w:highlight w:val="none"/>
              </w:rPr>
              <w:t>5</w:t>
            </w:r>
            <w:r>
              <w:rPr>
                <w:rFonts w:hint="eastAsia" w:ascii="宋体" w:hAnsi="宋体" w:eastAsia="宋体" w:cs="宋体"/>
                <w:color w:val="auto"/>
                <w:spacing w:val="-2"/>
                <w:kern w:val="2"/>
                <w:sz w:val="21"/>
                <w:szCs w:val="21"/>
                <w:highlight w:val="none"/>
                <w:lang w:val="en-US" w:eastAsia="zh-CN"/>
              </w:rPr>
              <w:t>8</w:t>
            </w:r>
            <w:r>
              <w:rPr>
                <w:rFonts w:hint="eastAsia" w:ascii="宋体" w:hAnsi="宋体" w:eastAsia="宋体" w:cs="宋体"/>
                <w:color w:val="auto"/>
                <w:spacing w:val="-2"/>
                <w:kern w:val="2"/>
                <w:sz w:val="21"/>
                <w:szCs w:val="21"/>
                <w:highlight w:val="none"/>
              </w:rPr>
              <w:t>0Wp</w:t>
            </w:r>
            <w:r>
              <w:rPr>
                <w:rFonts w:hint="eastAsia" w:ascii="宋体" w:hAnsi="宋体" w:eastAsia="宋体" w:cs="宋体"/>
                <w:color w:val="auto"/>
                <w:spacing w:val="-2"/>
                <w:kern w:val="2"/>
                <w:sz w:val="21"/>
                <w:szCs w:val="21"/>
                <w:highlight w:val="none"/>
                <w:lang w:val="en-US" w:eastAsia="zh-CN"/>
              </w:rPr>
              <w:t>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rPr>
              <w:t>标称功率</w:t>
            </w:r>
            <w:r>
              <w:rPr>
                <w:rFonts w:hint="eastAsia" w:ascii="宋体" w:hAnsi="宋体" w:eastAsia="宋体" w:cs="宋体"/>
                <w:color w:val="auto"/>
                <w:kern w:val="2"/>
                <w:sz w:val="21"/>
                <w:szCs w:val="21"/>
                <w:highlight w:val="none"/>
              </w:rPr>
              <w:t>(W)</w:t>
            </w:r>
          </w:p>
        </w:tc>
        <w:tc>
          <w:tcPr>
            <w:tcW w:w="2612" w:type="pct"/>
            <w:vAlign w:val="bottom"/>
          </w:tcPr>
          <w:p>
            <w:pPr>
              <w:widowControl w:val="0"/>
              <w:adjustRightInd/>
              <w:snapToGrid/>
              <w:spacing w:after="0" w:line="288"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5</w:t>
            </w:r>
            <w:r>
              <w:rPr>
                <w:rFonts w:hint="eastAsia" w:ascii="宋体" w:hAnsi="宋体" w:eastAsia="宋体" w:cs="宋体"/>
                <w:color w:val="auto"/>
                <w:kern w:val="2"/>
                <w:sz w:val="21"/>
                <w:szCs w:val="21"/>
                <w:highlight w:val="none"/>
                <w:lang w:val="en-US" w:eastAsia="zh-CN"/>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8"/>
                <w:kern w:val="2"/>
                <w:sz w:val="21"/>
                <w:szCs w:val="21"/>
                <w:highlight w:val="none"/>
              </w:rPr>
              <w:t>组</w:t>
            </w:r>
            <w:r>
              <w:rPr>
                <w:rFonts w:hint="eastAsia" w:ascii="宋体" w:hAnsi="宋体" w:eastAsia="宋体" w:cs="宋体"/>
                <w:color w:val="auto"/>
                <w:spacing w:val="-5"/>
                <w:kern w:val="2"/>
                <w:sz w:val="21"/>
                <w:szCs w:val="21"/>
                <w:highlight w:val="none"/>
              </w:rPr>
              <w:t>件效率(</w:t>
            </w:r>
            <w:r>
              <w:rPr>
                <w:rFonts w:hint="eastAsia" w:ascii="宋体" w:hAnsi="宋体" w:eastAsia="宋体" w:cs="宋体"/>
                <w:color w:val="auto"/>
                <w:spacing w:val="2"/>
                <w:kern w:val="2"/>
                <w:position w:val="-1"/>
                <w:sz w:val="21"/>
                <w:szCs w:val="21"/>
                <w:highlight w:val="none"/>
                <w:lang w:val="en-US" w:eastAsia="zh-CN"/>
              </w:rPr>
              <w:t>%</w:t>
            </w:r>
            <w:r>
              <w:rPr>
                <w:rFonts w:hint="eastAsia" w:ascii="宋体" w:hAnsi="宋体" w:eastAsia="宋体" w:cs="宋体"/>
                <w:color w:val="auto"/>
                <w:spacing w:val="-5"/>
                <w:kern w:val="2"/>
                <w:sz w:val="21"/>
                <w:szCs w:val="21"/>
                <w:highlight w:val="none"/>
              </w:rPr>
              <w:t>)</w:t>
            </w:r>
          </w:p>
        </w:tc>
        <w:tc>
          <w:tcPr>
            <w:tcW w:w="2612" w:type="pct"/>
            <w:vAlign w:val="bottom"/>
          </w:tcPr>
          <w:p>
            <w:pPr>
              <w:widowControl w:val="0"/>
              <w:adjustRightInd/>
              <w:snapToGrid/>
              <w:spacing w:after="0" w:line="288"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pacing w:val="-2"/>
                <w:kern w:val="2"/>
                <w:sz w:val="21"/>
                <w:szCs w:val="21"/>
                <w:highlight w:val="none"/>
                <w:lang w:val="en-US" w:eastAsia="zh-CN"/>
              </w:rPr>
              <w:t>22.4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首年功率衰减率</w:t>
            </w:r>
            <w:r>
              <w:rPr>
                <w:rFonts w:hint="eastAsia" w:ascii="宋体" w:hAnsi="宋体" w:eastAsia="宋体" w:cs="宋体"/>
                <w:color w:val="auto"/>
                <w:spacing w:val="-5"/>
                <w:kern w:val="2"/>
                <w:sz w:val="21"/>
                <w:szCs w:val="21"/>
                <w:highlight w:val="none"/>
              </w:rPr>
              <w:t>(</w:t>
            </w:r>
            <w:r>
              <w:rPr>
                <w:rFonts w:hint="eastAsia" w:ascii="宋体" w:hAnsi="宋体" w:eastAsia="宋体" w:cs="宋体"/>
                <w:color w:val="auto"/>
                <w:spacing w:val="2"/>
                <w:kern w:val="2"/>
                <w:position w:val="-1"/>
                <w:sz w:val="21"/>
                <w:szCs w:val="21"/>
                <w:highlight w:val="none"/>
                <w:lang w:val="en-US" w:eastAsia="zh-CN"/>
              </w:rPr>
              <w:t>%</w:t>
            </w:r>
            <w:r>
              <w:rPr>
                <w:rFonts w:hint="eastAsia" w:ascii="宋体" w:hAnsi="宋体" w:eastAsia="宋体" w:cs="宋体"/>
                <w:color w:val="auto"/>
                <w:spacing w:val="-5"/>
                <w:kern w:val="2"/>
                <w:sz w:val="21"/>
                <w:szCs w:val="21"/>
                <w:highlight w:val="none"/>
              </w:rPr>
              <w:t>)</w:t>
            </w:r>
          </w:p>
        </w:tc>
        <w:tc>
          <w:tcPr>
            <w:tcW w:w="2612"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次年后每年功率衰减率</w:t>
            </w:r>
            <w:r>
              <w:rPr>
                <w:rFonts w:hint="eastAsia" w:ascii="宋体" w:hAnsi="宋体" w:eastAsia="宋体" w:cs="宋体"/>
                <w:color w:val="auto"/>
                <w:spacing w:val="-5"/>
                <w:kern w:val="2"/>
                <w:sz w:val="21"/>
                <w:szCs w:val="21"/>
                <w:highlight w:val="none"/>
              </w:rPr>
              <w:t>(</w:t>
            </w:r>
            <w:r>
              <w:rPr>
                <w:rFonts w:hint="eastAsia" w:ascii="宋体" w:hAnsi="宋体" w:eastAsia="宋体" w:cs="宋体"/>
                <w:color w:val="auto"/>
                <w:spacing w:val="2"/>
                <w:kern w:val="2"/>
                <w:position w:val="-1"/>
                <w:sz w:val="21"/>
                <w:szCs w:val="21"/>
                <w:highlight w:val="none"/>
                <w:lang w:val="en-US" w:eastAsia="zh-CN"/>
              </w:rPr>
              <w:t>%</w:t>
            </w:r>
            <w:r>
              <w:rPr>
                <w:rFonts w:hint="eastAsia" w:ascii="宋体" w:hAnsi="宋体" w:eastAsia="宋体" w:cs="宋体"/>
                <w:color w:val="auto"/>
                <w:spacing w:val="-5"/>
                <w:kern w:val="2"/>
                <w:sz w:val="21"/>
                <w:szCs w:val="21"/>
                <w:highlight w:val="none"/>
              </w:rPr>
              <w:t>)</w:t>
            </w:r>
          </w:p>
        </w:tc>
        <w:tc>
          <w:tcPr>
            <w:tcW w:w="2612" w:type="pct"/>
            <w:vAlign w:val="bottom"/>
          </w:tcPr>
          <w:p>
            <w:pPr>
              <w:widowControl w:val="0"/>
              <w:adjustRightInd/>
              <w:snapToGrid/>
              <w:spacing w:after="0" w:line="288"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pacing w:val="-2"/>
                <w:kern w:val="2"/>
                <w:sz w:val="21"/>
                <w:szCs w:val="21"/>
                <w:highlight w:val="none"/>
                <w:lang w:val="en-US" w:eastAsia="zh-CN"/>
              </w:rPr>
              <w:t>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pPr>
              <w:widowControl w:val="0"/>
              <w:adjustRightInd/>
              <w:snapToGrid/>
              <w:spacing w:after="0" w:line="288" w:lineRule="auto"/>
              <w:jc w:val="center"/>
              <w:rPr>
                <w:rFonts w:hint="eastAsia" w:ascii="宋体" w:hAnsi="宋体" w:eastAsia="宋体" w:cs="宋体"/>
                <w:color w:val="auto"/>
                <w:spacing w:val="6"/>
                <w:kern w:val="2"/>
                <w:sz w:val="21"/>
                <w:szCs w:val="21"/>
                <w:highlight w:val="none"/>
                <w:lang w:val="en-US" w:eastAsia="zh-CN"/>
              </w:rPr>
            </w:pPr>
            <w:r>
              <w:rPr>
                <w:rFonts w:hint="eastAsia" w:ascii="宋体" w:hAnsi="宋体" w:eastAsia="宋体" w:cs="宋体"/>
                <w:color w:val="auto"/>
                <w:spacing w:val="6"/>
                <w:kern w:val="2"/>
                <w:sz w:val="21"/>
                <w:szCs w:val="21"/>
                <w:highlight w:val="none"/>
                <w:lang w:val="en-US" w:eastAsia="zh-CN"/>
              </w:rPr>
              <w:t>25年后</w:t>
            </w:r>
            <w:r>
              <w:rPr>
                <w:rFonts w:hint="eastAsia" w:ascii="宋体" w:hAnsi="宋体" w:eastAsia="宋体" w:cs="宋体"/>
                <w:color w:val="auto"/>
                <w:kern w:val="2"/>
                <w:sz w:val="21"/>
                <w:szCs w:val="21"/>
                <w:highlight w:val="none"/>
              </w:rPr>
              <w:t>功率衰减率</w:t>
            </w:r>
            <w:r>
              <w:rPr>
                <w:rFonts w:hint="eastAsia" w:ascii="宋体" w:hAnsi="宋体" w:eastAsia="宋体" w:cs="宋体"/>
                <w:color w:val="auto"/>
                <w:spacing w:val="-5"/>
                <w:kern w:val="2"/>
                <w:sz w:val="21"/>
                <w:szCs w:val="21"/>
                <w:highlight w:val="none"/>
              </w:rPr>
              <w:t>(</w:t>
            </w:r>
            <w:r>
              <w:rPr>
                <w:rFonts w:hint="eastAsia" w:ascii="宋体" w:hAnsi="宋体" w:eastAsia="宋体" w:cs="宋体"/>
                <w:color w:val="auto"/>
                <w:spacing w:val="2"/>
                <w:kern w:val="2"/>
                <w:position w:val="-1"/>
                <w:sz w:val="21"/>
                <w:szCs w:val="21"/>
                <w:highlight w:val="none"/>
                <w:lang w:val="en-US" w:eastAsia="zh-CN"/>
              </w:rPr>
              <w:t>%</w:t>
            </w:r>
            <w:r>
              <w:rPr>
                <w:rFonts w:hint="eastAsia" w:ascii="宋体" w:hAnsi="宋体" w:eastAsia="宋体" w:cs="宋体"/>
                <w:color w:val="auto"/>
                <w:spacing w:val="-5"/>
                <w:kern w:val="2"/>
                <w:sz w:val="21"/>
                <w:szCs w:val="21"/>
                <w:highlight w:val="none"/>
              </w:rPr>
              <w:t>)</w:t>
            </w:r>
          </w:p>
        </w:tc>
        <w:tc>
          <w:tcPr>
            <w:tcW w:w="2612" w:type="pct"/>
            <w:vAlign w:val="bottom"/>
          </w:tcPr>
          <w:p>
            <w:pPr>
              <w:widowControl w:val="0"/>
              <w:adjustRightInd/>
              <w:snapToGrid/>
              <w:spacing w:after="0" w:line="288" w:lineRule="auto"/>
              <w:jc w:val="center"/>
              <w:rPr>
                <w:rFonts w:hint="eastAsia" w:ascii="宋体" w:hAnsi="宋体" w:eastAsia="宋体" w:cs="宋体"/>
                <w:color w:val="auto"/>
                <w:spacing w:val="-12"/>
                <w:kern w:val="2"/>
                <w:position w:val="1"/>
                <w:sz w:val="21"/>
                <w:szCs w:val="21"/>
                <w:highlight w:val="none"/>
              </w:rPr>
            </w:pP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spacing w:val="-2"/>
                <w:kern w:val="2"/>
                <w:sz w:val="21"/>
                <w:szCs w:val="21"/>
                <w:highlight w:val="none"/>
                <w:lang w:val="en-US" w:eastAsia="zh-CN"/>
              </w:rPr>
              <w:t>11.1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pPr>
              <w:widowControl w:val="0"/>
              <w:adjustRightInd/>
              <w:snapToGrid/>
              <w:spacing w:after="0" w:line="288" w:lineRule="auto"/>
              <w:jc w:val="center"/>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功率公差(</w:t>
            </w:r>
            <w:r>
              <w:rPr>
                <w:rFonts w:hint="eastAsia" w:ascii="宋体" w:hAnsi="宋体" w:eastAsia="宋体" w:cs="宋体"/>
                <w:color w:val="auto"/>
                <w:spacing w:val="2"/>
                <w:kern w:val="2"/>
                <w:position w:val="-1"/>
                <w:sz w:val="21"/>
                <w:szCs w:val="21"/>
                <w:highlight w:val="none"/>
                <w:lang w:val="en-US" w:eastAsia="zh-CN"/>
              </w:rPr>
              <w:t>%</w:t>
            </w:r>
            <w:r>
              <w:rPr>
                <w:rFonts w:hint="eastAsia" w:ascii="宋体" w:hAnsi="宋体" w:eastAsia="宋体" w:cs="宋体"/>
                <w:color w:val="auto"/>
                <w:spacing w:val="5"/>
                <w:kern w:val="2"/>
                <w:sz w:val="21"/>
                <w:szCs w:val="21"/>
                <w:highlight w:val="none"/>
              </w:rPr>
              <w:t>)</w:t>
            </w:r>
          </w:p>
        </w:tc>
        <w:tc>
          <w:tcPr>
            <w:tcW w:w="2612" w:type="pct"/>
            <w:vAlign w:val="bottom"/>
          </w:tcPr>
          <w:p>
            <w:pPr>
              <w:widowControl w:val="0"/>
              <w:adjustRightInd/>
              <w:snapToGrid/>
              <w:spacing w:after="0" w:line="288" w:lineRule="auto"/>
              <w:jc w:val="center"/>
              <w:rPr>
                <w:rFonts w:hint="eastAsia" w:ascii="宋体" w:hAnsi="宋体" w:eastAsia="宋体" w:cs="宋体"/>
                <w:color w:val="auto"/>
                <w:spacing w:val="-12"/>
                <w:kern w:val="2"/>
                <w:position w:val="1"/>
                <w:sz w:val="21"/>
                <w:szCs w:val="21"/>
                <w:highlight w:val="none"/>
              </w:rPr>
            </w:pPr>
            <w:r>
              <w:rPr>
                <w:rFonts w:hint="eastAsia" w:ascii="宋体" w:hAnsi="宋体" w:eastAsia="宋体" w:cs="宋体"/>
                <w:color w:val="auto"/>
                <w:spacing w:val="2"/>
                <w:kern w:val="2"/>
                <w:position w:val="-1"/>
                <w:sz w:val="21"/>
                <w:szCs w:val="21"/>
                <w:highlight w:val="none"/>
              </w:rPr>
              <w:t>0</w:t>
            </w:r>
            <w:r>
              <w:rPr>
                <w:rFonts w:hint="eastAsia" w:ascii="宋体" w:hAnsi="宋体" w:eastAsia="宋体" w:cs="宋体"/>
                <w:color w:val="auto"/>
                <w:spacing w:val="5"/>
                <w:kern w:val="2"/>
                <w:sz w:val="21"/>
                <w:szCs w:val="21"/>
                <w:highlight w:val="none"/>
                <w:lang w:val="en-US" w:eastAsia="zh-CN"/>
              </w:rPr>
              <w:t>⁓+</w:t>
            </w:r>
            <w:r>
              <w:rPr>
                <w:rFonts w:hint="eastAsia" w:ascii="宋体" w:hAnsi="宋体" w:eastAsia="宋体" w:cs="宋体"/>
                <w:color w:val="auto"/>
                <w:spacing w:val="2"/>
                <w:kern w:val="2"/>
                <w:position w:val="-1"/>
                <w:sz w:val="21"/>
                <w:szCs w:val="21"/>
                <w:highlight w:val="none"/>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6"/>
                <w:kern w:val="2"/>
                <w:sz w:val="21"/>
                <w:szCs w:val="21"/>
                <w:highlight w:val="none"/>
              </w:rPr>
              <w:t>功</w:t>
            </w:r>
            <w:r>
              <w:rPr>
                <w:rFonts w:hint="eastAsia" w:ascii="宋体" w:hAnsi="宋体" w:eastAsia="宋体" w:cs="宋体"/>
                <w:color w:val="auto"/>
                <w:spacing w:val="5"/>
                <w:kern w:val="2"/>
                <w:sz w:val="21"/>
                <w:szCs w:val="21"/>
                <w:highlight w:val="none"/>
              </w:rPr>
              <w:t>率误差(%)</w:t>
            </w:r>
          </w:p>
        </w:tc>
        <w:tc>
          <w:tcPr>
            <w:tcW w:w="2612"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12"/>
                <w:kern w:val="2"/>
                <w:position w:val="1"/>
                <w:sz w:val="21"/>
                <w:szCs w:val="21"/>
                <w:highlight w:val="none"/>
              </w:rPr>
              <w:t>±</w:t>
            </w:r>
            <w:r>
              <w:rPr>
                <w:rFonts w:hint="eastAsia" w:ascii="宋体" w:hAnsi="宋体" w:eastAsia="宋体" w:cs="宋体"/>
                <w:color w:val="auto"/>
                <w:spacing w:val="-11"/>
                <w:kern w:val="2"/>
                <w:position w:val="1"/>
                <w:sz w:val="21"/>
                <w:szCs w:val="21"/>
                <w:highlight w:val="none"/>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7"/>
                <w:kern w:val="2"/>
                <w:sz w:val="21"/>
                <w:szCs w:val="21"/>
                <w:highlight w:val="none"/>
              </w:rPr>
              <w:t>短路电流温度系数(%/℃</w:t>
            </w:r>
            <w:r>
              <w:rPr>
                <w:rFonts w:hint="eastAsia" w:ascii="宋体" w:hAnsi="宋体" w:eastAsia="宋体" w:cs="宋体"/>
                <w:color w:val="auto"/>
                <w:spacing w:val="6"/>
                <w:kern w:val="2"/>
                <w:sz w:val="21"/>
                <w:szCs w:val="21"/>
                <w:highlight w:val="none"/>
              </w:rPr>
              <w:t>)</w:t>
            </w:r>
          </w:p>
        </w:tc>
        <w:tc>
          <w:tcPr>
            <w:tcW w:w="2612" w:type="pct"/>
            <w:vAlign w:val="bottom"/>
          </w:tcPr>
          <w:p>
            <w:pPr>
              <w:widowControl w:val="0"/>
              <w:adjustRightInd/>
              <w:snapToGrid/>
              <w:spacing w:after="0" w:line="288" w:lineRule="auto"/>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3"/>
                <w:kern w:val="2"/>
                <w:position w:val="1"/>
                <w:sz w:val="21"/>
                <w:szCs w:val="21"/>
                <w:highlight w:val="none"/>
              </w:rPr>
              <w:t>+0.0</w:t>
            </w:r>
            <w:r>
              <w:rPr>
                <w:rFonts w:hint="eastAsia" w:ascii="宋体" w:hAnsi="宋体" w:eastAsia="宋体" w:cs="宋体"/>
                <w:color w:val="auto"/>
                <w:spacing w:val="2"/>
                <w:kern w:val="2"/>
                <w:position w:val="1"/>
                <w:sz w:val="21"/>
                <w:szCs w:val="21"/>
                <w:highlight w:val="none"/>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8"/>
                <w:kern w:val="2"/>
                <w:sz w:val="21"/>
                <w:szCs w:val="21"/>
                <w:highlight w:val="none"/>
              </w:rPr>
              <w:t>开</w:t>
            </w:r>
            <w:r>
              <w:rPr>
                <w:rFonts w:hint="eastAsia" w:ascii="宋体" w:hAnsi="宋体" w:eastAsia="宋体" w:cs="宋体"/>
                <w:color w:val="auto"/>
                <w:spacing w:val="7"/>
                <w:kern w:val="2"/>
                <w:sz w:val="21"/>
                <w:szCs w:val="21"/>
                <w:highlight w:val="none"/>
              </w:rPr>
              <w:t>路电压温度系数(%/℃)</w:t>
            </w:r>
          </w:p>
        </w:tc>
        <w:tc>
          <w:tcPr>
            <w:tcW w:w="2612" w:type="pct"/>
            <w:vAlign w:val="bottom"/>
          </w:tcPr>
          <w:p>
            <w:pPr>
              <w:widowControl w:val="0"/>
              <w:adjustRightInd/>
              <w:snapToGrid/>
              <w:spacing w:after="0" w:line="288" w:lineRule="auto"/>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5"/>
                <w:kern w:val="2"/>
                <w:sz w:val="21"/>
                <w:szCs w:val="21"/>
                <w:highlight w:val="none"/>
              </w:rPr>
              <w:t>-</w:t>
            </w:r>
            <w:r>
              <w:rPr>
                <w:rFonts w:hint="eastAsia" w:ascii="宋体" w:hAnsi="宋体" w:eastAsia="宋体" w:cs="宋体"/>
                <w:color w:val="auto"/>
                <w:spacing w:val="3"/>
                <w:kern w:val="2"/>
                <w:sz w:val="21"/>
                <w:szCs w:val="21"/>
                <w:highlight w:val="none"/>
              </w:rPr>
              <w:t>0.2</w:t>
            </w:r>
            <w:r>
              <w:rPr>
                <w:rFonts w:hint="eastAsia" w:ascii="宋体" w:hAnsi="宋体" w:eastAsia="宋体" w:cs="宋体"/>
                <w:color w:val="auto"/>
                <w:spacing w:val="3"/>
                <w:kern w:val="2"/>
                <w:sz w:val="21"/>
                <w:szCs w:val="21"/>
                <w:highlight w:val="none"/>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7"/>
                <w:kern w:val="2"/>
                <w:sz w:val="21"/>
                <w:szCs w:val="21"/>
                <w:highlight w:val="none"/>
              </w:rPr>
              <w:t>最大功率温度系数(%/℃</w:t>
            </w:r>
            <w:r>
              <w:rPr>
                <w:rFonts w:hint="eastAsia" w:ascii="宋体" w:hAnsi="宋体" w:eastAsia="宋体" w:cs="宋体"/>
                <w:color w:val="auto"/>
                <w:spacing w:val="6"/>
                <w:kern w:val="2"/>
                <w:sz w:val="21"/>
                <w:szCs w:val="21"/>
                <w:highlight w:val="none"/>
              </w:rPr>
              <w:t>)</w:t>
            </w:r>
          </w:p>
        </w:tc>
        <w:tc>
          <w:tcPr>
            <w:tcW w:w="2612" w:type="pct"/>
            <w:vAlign w:val="bottom"/>
          </w:tcPr>
          <w:p>
            <w:pPr>
              <w:widowControl w:val="0"/>
              <w:adjustRightInd/>
              <w:snapToGrid/>
              <w:spacing w:after="0" w:line="288"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pacing w:val="5"/>
                <w:kern w:val="2"/>
                <w:sz w:val="21"/>
                <w:szCs w:val="21"/>
                <w:highlight w:val="none"/>
              </w:rPr>
              <w:t>-</w:t>
            </w:r>
            <w:r>
              <w:rPr>
                <w:rFonts w:hint="eastAsia" w:ascii="宋体" w:hAnsi="宋体" w:eastAsia="宋体" w:cs="宋体"/>
                <w:color w:val="auto"/>
                <w:spacing w:val="3"/>
                <w:kern w:val="2"/>
                <w:sz w:val="21"/>
                <w:szCs w:val="21"/>
                <w:highlight w:val="none"/>
              </w:rPr>
              <w:t>0.</w:t>
            </w:r>
            <w:r>
              <w:rPr>
                <w:rFonts w:hint="eastAsia" w:ascii="宋体" w:hAnsi="宋体" w:eastAsia="宋体" w:cs="宋体"/>
                <w:color w:val="auto"/>
                <w:spacing w:val="3"/>
                <w:kern w:val="2"/>
                <w:sz w:val="21"/>
                <w:szCs w:val="21"/>
                <w:highlight w:val="none"/>
                <w:lang w:val="en-US" w:eastAsia="zh-CN"/>
              </w:rPr>
              <w:t>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387"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8"/>
                <w:kern w:val="2"/>
                <w:sz w:val="21"/>
                <w:szCs w:val="21"/>
                <w:highlight w:val="none"/>
              </w:rPr>
              <w:t>最大系统电</w:t>
            </w:r>
            <w:r>
              <w:rPr>
                <w:rFonts w:hint="eastAsia" w:ascii="宋体" w:hAnsi="宋体" w:eastAsia="宋体" w:cs="宋体"/>
                <w:color w:val="auto"/>
                <w:spacing w:val="7"/>
                <w:kern w:val="2"/>
                <w:sz w:val="21"/>
                <w:szCs w:val="21"/>
                <w:highlight w:val="none"/>
              </w:rPr>
              <w:t>压</w:t>
            </w:r>
          </w:p>
        </w:tc>
        <w:tc>
          <w:tcPr>
            <w:tcW w:w="2612" w:type="pct"/>
            <w:vAlign w:val="bottom"/>
          </w:tcPr>
          <w:p>
            <w:pPr>
              <w:widowControl w:val="0"/>
              <w:adjustRightInd/>
              <w:snapToGrid/>
              <w:spacing w:after="0" w:line="288" w:lineRule="auto"/>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DC</w:t>
            </w:r>
            <w:r>
              <w:rPr>
                <w:rFonts w:hint="eastAsia" w:ascii="宋体" w:hAnsi="宋体" w:eastAsia="宋体" w:cs="宋体"/>
                <w:color w:val="auto"/>
                <w:spacing w:val="9"/>
                <w:kern w:val="2"/>
                <w:sz w:val="21"/>
                <w:szCs w:val="21"/>
                <w:highlight w:val="none"/>
              </w:rPr>
              <w:t>1</w:t>
            </w:r>
            <w:r>
              <w:rPr>
                <w:rFonts w:hint="eastAsia" w:ascii="宋体" w:hAnsi="宋体" w:eastAsia="宋体" w:cs="宋体"/>
                <w:color w:val="auto"/>
                <w:spacing w:val="7"/>
                <w:kern w:val="2"/>
                <w:sz w:val="21"/>
                <w:szCs w:val="21"/>
                <w:highlight w:val="none"/>
              </w:rPr>
              <w:t>500</w:t>
            </w:r>
            <w:r>
              <w:rPr>
                <w:rFonts w:hint="eastAsia" w:ascii="宋体" w:hAnsi="宋体" w:eastAsia="宋体" w:cs="宋体"/>
                <w:color w:val="auto"/>
                <w:kern w:val="2"/>
                <w:sz w:val="21"/>
                <w:szCs w:val="21"/>
                <w:highlight w:val="none"/>
              </w:rPr>
              <w:t>V</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IEC</w:t>
            </w:r>
            <w:r>
              <w:rPr>
                <w:rFonts w:hint="eastAsia" w:ascii="宋体" w:hAnsi="宋体" w:eastAsia="宋体" w:cs="宋体"/>
                <w:color w:val="auto"/>
                <w:kern w:val="2"/>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7"/>
                <w:kern w:val="2"/>
                <w:sz w:val="21"/>
                <w:szCs w:val="21"/>
                <w:highlight w:val="none"/>
                <w:lang w:val="en-US" w:eastAsia="zh-CN"/>
              </w:rPr>
              <w:t>工作</w:t>
            </w:r>
            <w:r>
              <w:rPr>
                <w:rFonts w:hint="eastAsia" w:ascii="宋体" w:hAnsi="宋体" w:eastAsia="宋体" w:cs="宋体"/>
                <w:color w:val="auto"/>
                <w:spacing w:val="7"/>
                <w:kern w:val="2"/>
                <w:sz w:val="21"/>
                <w:szCs w:val="21"/>
                <w:highlight w:val="none"/>
              </w:rPr>
              <w:t>温度范围</w:t>
            </w:r>
            <w:r>
              <w:rPr>
                <w:rFonts w:hint="eastAsia" w:ascii="宋体" w:hAnsi="宋体" w:eastAsia="宋体" w:cs="宋体"/>
                <w:color w:val="auto"/>
                <w:spacing w:val="6"/>
                <w:kern w:val="2"/>
                <w:sz w:val="21"/>
                <w:szCs w:val="21"/>
                <w:highlight w:val="none"/>
              </w:rPr>
              <w:t>(</w:t>
            </w:r>
            <w:r>
              <w:rPr>
                <w:rFonts w:hint="eastAsia" w:ascii="宋体" w:hAnsi="宋体" w:eastAsia="宋体" w:cs="宋体"/>
                <w:color w:val="auto"/>
                <w:spacing w:val="5"/>
                <w:kern w:val="2"/>
                <w:sz w:val="21"/>
                <w:szCs w:val="21"/>
                <w:highlight w:val="none"/>
              </w:rPr>
              <w:t>℃)</w:t>
            </w:r>
          </w:p>
        </w:tc>
        <w:tc>
          <w:tcPr>
            <w:tcW w:w="2612"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7"/>
                <w:kern w:val="2"/>
                <w:sz w:val="21"/>
                <w:szCs w:val="21"/>
                <w:highlight w:val="none"/>
              </w:rPr>
              <w:t>-</w:t>
            </w:r>
            <w:r>
              <w:rPr>
                <w:rFonts w:hint="eastAsia" w:ascii="宋体" w:hAnsi="宋体" w:eastAsia="宋体" w:cs="宋体"/>
                <w:color w:val="auto"/>
                <w:spacing w:val="5"/>
                <w:kern w:val="2"/>
                <w:sz w:val="21"/>
                <w:szCs w:val="21"/>
                <w:highlight w:val="none"/>
              </w:rPr>
              <w:t>40</w:t>
            </w:r>
            <w:r>
              <w:rPr>
                <w:rFonts w:hint="eastAsia" w:ascii="宋体" w:hAnsi="宋体" w:eastAsia="宋体" w:cs="宋体"/>
                <w:color w:val="auto"/>
                <w:spacing w:val="5"/>
                <w:kern w:val="2"/>
                <w:sz w:val="21"/>
                <w:szCs w:val="21"/>
                <w:highlight w:val="none"/>
                <w:lang w:val="en-US" w:eastAsia="zh-CN"/>
              </w:rPr>
              <w:t xml:space="preserve"> ⁓</w:t>
            </w:r>
            <w:r>
              <w:rPr>
                <w:rFonts w:hint="eastAsia" w:ascii="宋体" w:hAnsi="宋体" w:eastAsia="宋体" w:cs="宋体"/>
                <w:color w:val="auto"/>
                <w:spacing w:val="5"/>
                <w:kern w:val="2"/>
                <w:sz w:val="21"/>
                <w:szCs w:val="21"/>
                <w:highlight w:val="none"/>
              </w:rPr>
              <w:t>+85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387"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9"/>
                <w:kern w:val="2"/>
                <w:sz w:val="21"/>
                <w:szCs w:val="21"/>
                <w:highlight w:val="none"/>
              </w:rPr>
              <w:t>接</w:t>
            </w:r>
            <w:r>
              <w:rPr>
                <w:rFonts w:hint="eastAsia" w:ascii="宋体" w:hAnsi="宋体" w:eastAsia="宋体" w:cs="宋体"/>
                <w:color w:val="auto"/>
                <w:spacing w:val="8"/>
                <w:kern w:val="2"/>
                <w:sz w:val="21"/>
                <w:szCs w:val="21"/>
                <w:highlight w:val="none"/>
              </w:rPr>
              <w:t>线盒类型</w:t>
            </w:r>
          </w:p>
        </w:tc>
        <w:tc>
          <w:tcPr>
            <w:tcW w:w="2612"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4"/>
                <w:kern w:val="2"/>
                <w:sz w:val="21"/>
                <w:szCs w:val="21"/>
                <w:highlight w:val="none"/>
              </w:rPr>
              <w:t>密封防水型</w:t>
            </w:r>
            <w:r>
              <w:rPr>
                <w:rFonts w:hint="eastAsia" w:ascii="宋体" w:hAnsi="宋体" w:eastAsia="宋体" w:cs="宋体"/>
                <w:color w:val="auto"/>
                <w:spacing w:val="4"/>
                <w:kern w:val="2"/>
                <w:sz w:val="21"/>
                <w:szCs w:val="21"/>
                <w:highlight w:val="none"/>
                <w:lang w:val="en-US" w:eastAsia="zh-CN"/>
              </w:rPr>
              <w:t xml:space="preserve"> </w:t>
            </w:r>
            <w:r>
              <w:rPr>
                <w:rFonts w:hint="eastAsia" w:ascii="宋体" w:hAnsi="宋体" w:eastAsia="宋体" w:cs="宋体"/>
                <w:color w:val="auto"/>
                <w:spacing w:val="4"/>
                <w:kern w:val="2"/>
                <w:sz w:val="21"/>
                <w:szCs w:val="21"/>
                <w:highlight w:val="none"/>
              </w:rPr>
              <w:t>防护等级</w:t>
            </w:r>
            <w:r>
              <w:rPr>
                <w:rFonts w:hint="eastAsia" w:ascii="宋体" w:hAnsi="宋体" w:eastAsia="宋体" w:cs="宋体"/>
                <w:color w:val="auto"/>
                <w:kern w:val="2"/>
                <w:sz w:val="21"/>
                <w:szCs w:val="21"/>
                <w:highlight w:val="none"/>
              </w:rPr>
              <w:t>IP</w:t>
            </w:r>
            <w:r>
              <w:rPr>
                <w:rFonts w:hint="eastAsia" w:ascii="宋体" w:hAnsi="宋体" w:eastAsia="宋体" w:cs="宋体"/>
                <w:color w:val="auto"/>
                <w:spacing w:val="4"/>
                <w:kern w:val="2"/>
                <w:sz w:val="21"/>
                <w:szCs w:val="21"/>
                <w:highlight w:val="none"/>
              </w:rPr>
              <w:t>6</w:t>
            </w:r>
            <w:r>
              <w:rPr>
                <w:rFonts w:hint="eastAsia" w:ascii="宋体" w:hAnsi="宋体" w:eastAsia="宋体" w:cs="宋体"/>
                <w:color w:val="auto"/>
                <w:spacing w:val="1"/>
                <w:kern w:val="2"/>
                <w:sz w:val="21"/>
                <w:szCs w:val="21"/>
                <w:highlight w:val="none"/>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pPr>
              <w:widowControl w:val="0"/>
              <w:adjustRightInd/>
              <w:snapToGrid/>
              <w:spacing w:after="0" w:line="288" w:lineRule="auto"/>
              <w:jc w:val="center"/>
              <w:rPr>
                <w:rFonts w:hint="eastAsia" w:ascii="宋体" w:hAnsi="宋体" w:eastAsia="宋体" w:cs="宋体"/>
                <w:color w:val="auto"/>
                <w:spacing w:val="5"/>
                <w:kern w:val="2"/>
                <w:sz w:val="21"/>
                <w:szCs w:val="21"/>
                <w:highlight w:val="none"/>
                <w:lang w:val="en-US" w:eastAsia="zh-CN"/>
              </w:rPr>
            </w:pPr>
            <w:r>
              <w:rPr>
                <w:rFonts w:hint="eastAsia" w:ascii="宋体" w:hAnsi="宋体" w:eastAsia="宋体" w:cs="宋体"/>
                <w:color w:val="auto"/>
                <w:spacing w:val="5"/>
                <w:kern w:val="2"/>
                <w:sz w:val="21"/>
                <w:szCs w:val="21"/>
                <w:highlight w:val="none"/>
                <w:lang w:val="en-US" w:eastAsia="zh-CN"/>
              </w:rPr>
              <w:t>边框</w:t>
            </w:r>
            <w:r>
              <w:rPr>
                <w:rFonts w:hint="eastAsia" w:ascii="宋体" w:hAnsi="宋体" w:eastAsia="宋体" w:cs="宋体"/>
                <w:color w:val="auto"/>
                <w:spacing w:val="8"/>
                <w:kern w:val="2"/>
                <w:sz w:val="21"/>
                <w:szCs w:val="21"/>
                <w:highlight w:val="none"/>
              </w:rPr>
              <w:t>类型</w:t>
            </w:r>
          </w:p>
        </w:tc>
        <w:tc>
          <w:tcPr>
            <w:tcW w:w="2612" w:type="pct"/>
            <w:vAlign w:val="bottom"/>
          </w:tcPr>
          <w:p>
            <w:pPr>
              <w:widowControl w:val="0"/>
              <w:adjustRightInd/>
              <w:snapToGrid/>
              <w:spacing w:after="0" w:line="288" w:lineRule="auto"/>
              <w:jc w:val="center"/>
              <w:rPr>
                <w:rFonts w:hint="default" w:ascii="宋体" w:hAnsi="宋体" w:eastAsia="宋体" w:cs="宋体"/>
                <w:color w:val="auto"/>
                <w:spacing w:val="5"/>
                <w:kern w:val="2"/>
                <w:position w:val="1"/>
                <w:sz w:val="21"/>
                <w:szCs w:val="21"/>
                <w:highlight w:val="none"/>
                <w:lang w:val="en-US" w:eastAsia="zh-CN"/>
              </w:rPr>
            </w:pPr>
            <w:r>
              <w:rPr>
                <w:rFonts w:hint="eastAsia" w:ascii="宋体" w:hAnsi="宋体" w:eastAsia="宋体" w:cs="宋体"/>
                <w:color w:val="auto"/>
                <w:spacing w:val="5"/>
                <w:kern w:val="2"/>
                <w:position w:val="1"/>
                <w:sz w:val="21"/>
                <w:szCs w:val="21"/>
                <w:highlight w:val="none"/>
                <w:lang w:val="en-US" w:eastAsia="zh-CN"/>
              </w:rPr>
              <w:t>阳极氧化铝合金 防积灰设计（可加装导流器）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2387" w:type="pct"/>
            <w:vAlign w:val="bottom"/>
          </w:tcPr>
          <w:p>
            <w:pPr>
              <w:widowControl w:val="0"/>
              <w:adjustRightInd/>
              <w:snapToGrid/>
              <w:spacing w:after="0" w:line="288" w:lineRule="auto"/>
              <w:jc w:val="center"/>
              <w:rPr>
                <w:rFonts w:hint="default" w:ascii="宋体" w:hAnsi="宋体" w:eastAsia="宋体" w:cs="宋体"/>
                <w:color w:val="auto"/>
                <w:spacing w:val="5"/>
                <w:kern w:val="2"/>
                <w:sz w:val="21"/>
                <w:szCs w:val="21"/>
                <w:highlight w:val="none"/>
                <w:lang w:val="en-US" w:eastAsia="zh-CN"/>
              </w:rPr>
            </w:pPr>
            <w:r>
              <w:rPr>
                <w:rFonts w:hint="eastAsia" w:ascii="宋体" w:hAnsi="宋体" w:eastAsia="宋体" w:cs="宋体"/>
                <w:color w:val="auto"/>
                <w:spacing w:val="5"/>
                <w:kern w:val="2"/>
                <w:sz w:val="21"/>
                <w:szCs w:val="21"/>
                <w:highlight w:val="none"/>
                <w:lang w:val="en-US" w:eastAsia="zh-CN"/>
              </w:rPr>
              <w:t>安全防护等级</w:t>
            </w:r>
          </w:p>
        </w:tc>
        <w:tc>
          <w:tcPr>
            <w:tcW w:w="2612" w:type="pct"/>
            <w:vAlign w:val="bottom"/>
          </w:tcPr>
          <w:p>
            <w:pPr>
              <w:widowControl w:val="0"/>
              <w:adjustRightInd/>
              <w:snapToGrid/>
              <w:spacing w:after="0" w:line="288" w:lineRule="auto"/>
              <w:jc w:val="center"/>
              <w:rPr>
                <w:rFonts w:hint="default" w:ascii="宋体" w:hAnsi="宋体" w:eastAsia="宋体" w:cs="宋体"/>
                <w:color w:val="auto"/>
                <w:spacing w:val="5"/>
                <w:kern w:val="2"/>
                <w:position w:val="1"/>
                <w:sz w:val="21"/>
                <w:szCs w:val="21"/>
                <w:highlight w:val="none"/>
                <w:lang w:val="en-US" w:eastAsia="zh-CN"/>
              </w:rPr>
            </w:pPr>
            <w:r>
              <w:rPr>
                <w:rFonts w:hint="eastAsia" w:ascii="宋体" w:hAnsi="宋体" w:eastAsia="宋体" w:cs="宋体"/>
                <w:color w:val="auto"/>
                <w:spacing w:val="5"/>
                <w:kern w:val="2"/>
                <w:position w:val="1"/>
                <w:sz w:val="21"/>
                <w:szCs w:val="21"/>
                <w:highlight w:val="none"/>
                <w:lang w:val="en-US" w:eastAsia="zh-CN"/>
              </w:rPr>
              <w:t>ClassⅡ</w:t>
            </w:r>
          </w:p>
        </w:tc>
      </w:tr>
    </w:tbl>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（2）光伏组件型号获得抗PID认证、抗盐雾腐蚀认证、载荷认证、产品定型认证(金太阳认证或是TUV、CSA、UL、SGS、VDE、JET等国际认证)并附</w:t>
      </w:r>
      <w:r>
        <w:rPr>
          <w:rFonts w:hint="eastAsia" w:ascii="宋体" w:hAnsi="宋体" w:eastAsia="宋体" w:cs="宋体"/>
          <w:color w:val="auto"/>
          <w:kern w:val="2"/>
          <w:sz w:val="21"/>
          <w:szCs w:val="21"/>
          <w:highlight w:val="none"/>
          <w:lang w:val="en-US" w:eastAsia="zh-CN"/>
        </w:rPr>
        <w:t>试验</w:t>
      </w:r>
      <w:r>
        <w:rPr>
          <w:rFonts w:hint="eastAsia" w:ascii="宋体" w:hAnsi="宋体" w:eastAsia="宋体" w:cs="宋体"/>
          <w:color w:val="auto"/>
          <w:kern w:val="2"/>
          <w:sz w:val="21"/>
          <w:szCs w:val="21"/>
          <w:highlight w:val="none"/>
        </w:rPr>
        <w:t>报告、认证证书全部内容。</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（3）光伏组件进场后</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lang w:val="en-US" w:eastAsia="zh-CN"/>
        </w:rPr>
        <w:t>需安排抽样进行开箱检查与</w:t>
      </w:r>
      <w:r>
        <w:rPr>
          <w:rFonts w:hint="eastAsia" w:ascii="宋体" w:hAnsi="宋体" w:eastAsia="宋体" w:cs="宋体"/>
          <w:b w:val="0"/>
          <w:bCs w:val="0"/>
          <w:color w:val="auto"/>
          <w:kern w:val="2"/>
          <w:sz w:val="21"/>
          <w:szCs w:val="21"/>
          <w:highlight w:val="none"/>
          <w:lang w:val="en-US" w:eastAsia="zh-CN"/>
        </w:rPr>
        <w:t>EL检测</w:t>
      </w:r>
      <w:r>
        <w:rPr>
          <w:rFonts w:hint="eastAsia" w:ascii="宋体" w:hAnsi="宋体" w:eastAsia="宋体" w:cs="宋体"/>
          <w:color w:val="auto"/>
          <w:kern w:val="2"/>
          <w:sz w:val="21"/>
          <w:szCs w:val="21"/>
          <w:highlight w:val="none"/>
          <w:lang w:val="en-US" w:eastAsia="zh-CN"/>
        </w:rPr>
        <w:t>，抽检数量≥总量*3%，且抽检数量最低不得少于32块，</w:t>
      </w:r>
      <w:r>
        <w:rPr>
          <w:rFonts w:hint="eastAsia" w:ascii="宋体" w:hAnsi="宋体" w:eastAsia="宋体" w:cs="宋体"/>
          <w:color w:val="auto"/>
          <w:kern w:val="2"/>
          <w:sz w:val="21"/>
          <w:szCs w:val="21"/>
          <w:highlight w:val="none"/>
        </w:rPr>
        <w:t>如</w:t>
      </w:r>
      <w:r>
        <w:rPr>
          <w:rFonts w:hint="eastAsia" w:ascii="宋体" w:hAnsi="宋体" w:eastAsia="宋体" w:cs="宋体"/>
          <w:color w:val="auto"/>
          <w:kern w:val="2"/>
          <w:sz w:val="21"/>
          <w:szCs w:val="21"/>
          <w:highlight w:val="none"/>
          <w:lang w:val="en-US" w:eastAsia="zh-CN"/>
        </w:rPr>
        <w:t>EL检测中一旦发现有不合格的光伏组件，</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lang w:val="en-US" w:eastAsia="zh-CN"/>
        </w:rPr>
        <w:t>必须无条件一律进行更换并承担更换所需全部费用。</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rPr>
        <w:t>负责</w:t>
      </w:r>
      <w:r>
        <w:rPr>
          <w:rFonts w:hint="eastAsia" w:ascii="宋体" w:hAnsi="宋体" w:eastAsia="宋体" w:cs="宋体"/>
          <w:color w:val="auto"/>
          <w:kern w:val="2"/>
          <w:sz w:val="21"/>
          <w:szCs w:val="21"/>
          <w:highlight w:val="none"/>
          <w:lang w:val="en-US" w:eastAsia="zh-CN"/>
        </w:rPr>
        <w:t>光伏</w:t>
      </w:r>
      <w:r>
        <w:rPr>
          <w:rFonts w:hint="eastAsia" w:ascii="宋体" w:hAnsi="宋体" w:eastAsia="宋体" w:cs="宋体"/>
          <w:color w:val="auto"/>
          <w:kern w:val="2"/>
          <w:sz w:val="21"/>
          <w:szCs w:val="21"/>
          <w:highlight w:val="none"/>
        </w:rPr>
        <w:t>组件</w:t>
      </w:r>
      <w:r>
        <w:rPr>
          <w:rFonts w:hint="eastAsia" w:ascii="宋体" w:hAnsi="宋体" w:eastAsia="宋体" w:cs="宋体"/>
          <w:color w:val="auto"/>
          <w:kern w:val="2"/>
          <w:sz w:val="21"/>
          <w:szCs w:val="21"/>
          <w:highlight w:val="none"/>
          <w:lang w:val="en-US" w:eastAsia="zh-CN"/>
        </w:rPr>
        <w:t>运输、</w:t>
      </w:r>
      <w:r>
        <w:rPr>
          <w:rFonts w:hint="eastAsia" w:ascii="宋体" w:hAnsi="宋体" w:eastAsia="宋体" w:cs="宋体"/>
          <w:color w:val="auto"/>
          <w:kern w:val="2"/>
          <w:sz w:val="21"/>
          <w:szCs w:val="21"/>
          <w:highlight w:val="none"/>
        </w:rPr>
        <w:t>卸货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吊装</w:t>
      </w:r>
      <w:r>
        <w:rPr>
          <w:rFonts w:hint="eastAsia" w:ascii="宋体" w:hAnsi="宋体" w:eastAsia="宋体" w:cs="宋体"/>
          <w:color w:val="auto"/>
          <w:kern w:val="2"/>
          <w:sz w:val="21"/>
          <w:szCs w:val="21"/>
          <w:highlight w:val="none"/>
        </w:rPr>
        <w:t>及保管，保管</w:t>
      </w:r>
      <w:r>
        <w:rPr>
          <w:rFonts w:hint="eastAsia" w:ascii="宋体" w:hAnsi="宋体" w:eastAsia="宋体" w:cs="宋体"/>
          <w:color w:val="auto"/>
          <w:kern w:val="2"/>
          <w:sz w:val="21"/>
          <w:szCs w:val="21"/>
          <w:highlight w:val="none"/>
          <w:lang w:val="en-US" w:eastAsia="zh-CN"/>
        </w:rPr>
        <w:t>过程中</w:t>
      </w:r>
      <w:r>
        <w:rPr>
          <w:rFonts w:hint="eastAsia" w:ascii="宋体" w:hAnsi="宋体" w:eastAsia="宋体" w:cs="宋体"/>
          <w:color w:val="auto"/>
          <w:kern w:val="2"/>
          <w:sz w:val="21"/>
          <w:szCs w:val="21"/>
          <w:highlight w:val="none"/>
        </w:rPr>
        <w:t>按原包装存放</w:t>
      </w:r>
      <w:r>
        <w:rPr>
          <w:rFonts w:hint="eastAsia" w:ascii="宋体" w:hAnsi="宋体" w:eastAsia="宋体" w:cs="宋体"/>
          <w:color w:val="auto"/>
          <w:kern w:val="2"/>
          <w:sz w:val="21"/>
          <w:szCs w:val="21"/>
          <w:highlight w:val="none"/>
          <w:lang w:val="en-US" w:eastAsia="zh-CN"/>
        </w:rPr>
        <w:t>并做好相应的防雨防倒防误撞等保护措施</w:t>
      </w:r>
      <w:r>
        <w:rPr>
          <w:rFonts w:hint="eastAsia" w:ascii="宋体" w:hAnsi="宋体" w:eastAsia="宋体" w:cs="宋体"/>
          <w:color w:val="auto"/>
          <w:kern w:val="2"/>
          <w:sz w:val="21"/>
          <w:szCs w:val="21"/>
          <w:highlight w:val="none"/>
        </w:rPr>
        <w:t>，开箱必须有监理在场旁站确认</w:t>
      </w:r>
      <w:r>
        <w:rPr>
          <w:rFonts w:hint="eastAsia" w:ascii="宋体" w:hAnsi="宋体" w:eastAsia="宋体" w:cs="宋体"/>
          <w:color w:val="auto"/>
          <w:kern w:val="2"/>
          <w:sz w:val="21"/>
          <w:szCs w:val="21"/>
          <w:highlight w:val="none"/>
          <w:lang w:val="en-US" w:eastAsia="zh-CN"/>
        </w:rPr>
        <w:t>光伏</w:t>
      </w:r>
      <w:r>
        <w:rPr>
          <w:rFonts w:hint="eastAsia" w:ascii="宋体" w:hAnsi="宋体" w:eastAsia="宋体" w:cs="宋体"/>
          <w:color w:val="auto"/>
          <w:kern w:val="2"/>
          <w:sz w:val="21"/>
          <w:szCs w:val="21"/>
          <w:highlight w:val="none"/>
        </w:rPr>
        <w:t>组件完好，如开箱时有破损则需现场拍照取证，如有损坏需承担更换所需全部费用。</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）光伏组件的布置方案需兼顾发电量、抗风、</w:t>
      </w:r>
      <w:r>
        <w:rPr>
          <w:rFonts w:hint="eastAsia" w:ascii="宋体" w:hAnsi="宋体" w:eastAsia="宋体" w:cs="宋体"/>
          <w:color w:val="auto"/>
          <w:kern w:val="2"/>
          <w:sz w:val="21"/>
          <w:szCs w:val="21"/>
          <w:highlight w:val="none"/>
          <w:lang w:val="en-US" w:eastAsia="zh-CN"/>
        </w:rPr>
        <w:t>签约</w:t>
      </w:r>
      <w:r>
        <w:rPr>
          <w:rFonts w:hint="eastAsia" w:ascii="宋体" w:hAnsi="宋体" w:eastAsia="宋体" w:cs="宋体"/>
          <w:color w:val="auto"/>
          <w:kern w:val="2"/>
          <w:sz w:val="21"/>
          <w:szCs w:val="21"/>
          <w:highlight w:val="none"/>
        </w:rPr>
        <w:t>总容量等因素</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同时在安装过程中要求</w:t>
      </w:r>
      <w:r>
        <w:rPr>
          <w:rFonts w:hint="eastAsia" w:ascii="宋体" w:hAnsi="宋体" w:eastAsia="宋体" w:cs="宋体"/>
          <w:color w:val="auto"/>
          <w:kern w:val="2"/>
          <w:sz w:val="21"/>
          <w:szCs w:val="21"/>
          <w:highlight w:val="none"/>
        </w:rPr>
        <w:t>光伏组件</w:t>
      </w:r>
      <w:r>
        <w:rPr>
          <w:rFonts w:hint="eastAsia" w:ascii="宋体" w:hAnsi="宋体" w:eastAsia="宋体" w:cs="宋体"/>
          <w:color w:val="auto"/>
          <w:kern w:val="2"/>
          <w:sz w:val="21"/>
          <w:szCs w:val="21"/>
          <w:highlight w:val="none"/>
          <w:lang w:val="en-US" w:eastAsia="zh-CN"/>
        </w:rPr>
        <w:t>全年每天上午9点</w:t>
      </w:r>
      <w:r>
        <w:rPr>
          <w:rFonts w:hint="eastAsia" w:ascii="宋体" w:hAnsi="宋体" w:eastAsia="宋体" w:cs="宋体"/>
          <w:color w:val="auto"/>
          <w:spacing w:val="5"/>
          <w:kern w:val="2"/>
          <w:sz w:val="21"/>
          <w:szCs w:val="21"/>
          <w:highlight w:val="none"/>
          <w:lang w:val="en-US" w:eastAsia="zh-CN"/>
        </w:rPr>
        <w:t>至</w:t>
      </w:r>
      <w:r>
        <w:rPr>
          <w:rFonts w:hint="eastAsia" w:ascii="宋体" w:hAnsi="宋体" w:eastAsia="宋体" w:cs="宋体"/>
          <w:color w:val="auto"/>
          <w:kern w:val="2"/>
          <w:sz w:val="21"/>
          <w:szCs w:val="21"/>
          <w:highlight w:val="none"/>
          <w:lang w:val="en-US" w:eastAsia="zh-CN"/>
        </w:rPr>
        <w:t>下午15点不得出现任何阴影遮挡</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w:t>
      </w:r>
      <w:r>
        <w:rPr>
          <w:rFonts w:hint="eastAsia" w:ascii="宋体" w:hAnsi="宋体" w:eastAsia="宋体" w:cs="宋体"/>
          <w:color w:val="auto"/>
          <w:kern w:val="2"/>
          <w:sz w:val="21"/>
          <w:szCs w:val="21"/>
          <w:highlight w:val="none"/>
          <w:lang w:val="en-US" w:eastAsia="zh-CN"/>
        </w:rPr>
        <w:t>一旦发现在要求的时间段内有光伏组件出现阴影遮挡，</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lang w:val="en-US" w:eastAsia="zh-CN"/>
        </w:rPr>
        <w:t>必须无条件采取相应措施解决阴影遮挡问题并承担所需全部费用。</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在安装过程中严禁</w:t>
      </w:r>
      <w:r>
        <w:rPr>
          <w:rFonts w:hint="eastAsia" w:ascii="宋体" w:hAnsi="宋体" w:eastAsia="宋体" w:cs="宋体"/>
          <w:color w:val="auto"/>
          <w:kern w:val="2"/>
          <w:sz w:val="21"/>
          <w:szCs w:val="21"/>
          <w:highlight w:val="none"/>
        </w:rPr>
        <w:t>直接踩踏光伏组件</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包括边框</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一经发现除进行相应罚款外，</w:t>
      </w:r>
      <w:r>
        <w:rPr>
          <w:rFonts w:hint="eastAsia" w:ascii="宋体" w:hAnsi="宋体" w:eastAsia="宋体" w:cs="宋体"/>
          <w:color w:val="auto"/>
          <w:kern w:val="2"/>
          <w:sz w:val="21"/>
          <w:szCs w:val="21"/>
          <w:highlight w:val="none"/>
        </w:rPr>
        <w:t>如有损坏</w:t>
      </w:r>
      <w:r>
        <w:rPr>
          <w:rFonts w:hint="eastAsia" w:ascii="宋体" w:hAnsi="宋体" w:eastAsia="宋体" w:cs="宋体"/>
          <w:color w:val="auto"/>
          <w:kern w:val="2"/>
          <w:sz w:val="21"/>
          <w:szCs w:val="21"/>
          <w:highlight w:val="none"/>
          <w:lang w:val="en-US" w:eastAsia="zh-CN"/>
        </w:rPr>
        <w:t>还</w:t>
      </w:r>
      <w:r>
        <w:rPr>
          <w:rFonts w:hint="eastAsia" w:ascii="宋体" w:hAnsi="宋体" w:eastAsia="宋体" w:cs="宋体"/>
          <w:color w:val="auto"/>
          <w:kern w:val="2"/>
          <w:sz w:val="21"/>
          <w:szCs w:val="21"/>
          <w:highlight w:val="none"/>
        </w:rPr>
        <w:t>需</w:t>
      </w:r>
      <w:r>
        <w:rPr>
          <w:rFonts w:hint="eastAsia" w:ascii="宋体" w:hAnsi="宋体" w:eastAsia="宋体" w:cs="宋体"/>
          <w:color w:val="auto"/>
          <w:kern w:val="2"/>
          <w:sz w:val="21"/>
          <w:szCs w:val="21"/>
          <w:highlight w:val="none"/>
          <w:lang w:val="en-US" w:eastAsia="zh-CN"/>
        </w:rPr>
        <w:t>无条件进行</w:t>
      </w:r>
      <w:r>
        <w:rPr>
          <w:rFonts w:hint="eastAsia" w:ascii="宋体" w:hAnsi="宋体" w:eastAsia="宋体" w:cs="宋体"/>
          <w:color w:val="auto"/>
          <w:kern w:val="2"/>
          <w:sz w:val="21"/>
          <w:szCs w:val="21"/>
          <w:highlight w:val="none"/>
        </w:rPr>
        <w:t>更换</w:t>
      </w:r>
      <w:r>
        <w:rPr>
          <w:rFonts w:hint="eastAsia" w:ascii="宋体" w:hAnsi="宋体" w:eastAsia="宋体" w:cs="宋体"/>
          <w:color w:val="auto"/>
          <w:kern w:val="2"/>
          <w:sz w:val="21"/>
          <w:szCs w:val="21"/>
          <w:highlight w:val="none"/>
          <w:lang w:val="en-US" w:eastAsia="zh-CN"/>
        </w:rPr>
        <w:t>并</w:t>
      </w:r>
      <w:r>
        <w:rPr>
          <w:rFonts w:hint="eastAsia" w:ascii="宋体" w:hAnsi="宋体" w:eastAsia="宋体" w:cs="宋体"/>
          <w:color w:val="auto"/>
          <w:kern w:val="2"/>
          <w:sz w:val="21"/>
          <w:szCs w:val="21"/>
          <w:highlight w:val="none"/>
        </w:rPr>
        <w:t>承担所需全部费用。</w:t>
      </w:r>
    </w:p>
    <w:p>
      <w:pPr>
        <w:widowControl w:val="0"/>
        <w:wordWrap w:val="0"/>
        <w:adjustRightInd/>
        <w:snapToGrid/>
        <w:spacing w:after="0" w:line="288" w:lineRule="auto"/>
        <w:ind w:firstLine="420" w:firstLineChars="200"/>
        <w:jc w:val="both"/>
        <w:rPr>
          <w:rFonts w:hint="eastAsia"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）光伏组件</w:t>
      </w:r>
      <w:r>
        <w:rPr>
          <w:rFonts w:hint="eastAsia" w:ascii="宋体" w:hAnsi="宋体" w:eastAsia="宋体" w:cs="宋体"/>
          <w:color w:val="auto"/>
          <w:kern w:val="2"/>
          <w:sz w:val="21"/>
          <w:szCs w:val="21"/>
          <w:highlight w:val="none"/>
          <w:lang w:val="en-US" w:eastAsia="zh-CN"/>
        </w:rPr>
        <w:t>在</w:t>
      </w:r>
      <w:r>
        <w:rPr>
          <w:rFonts w:hint="eastAsia" w:ascii="宋体" w:hAnsi="宋体" w:eastAsia="宋体" w:cs="宋体"/>
          <w:color w:val="auto"/>
          <w:kern w:val="2"/>
          <w:sz w:val="21"/>
          <w:szCs w:val="21"/>
          <w:highlight w:val="none"/>
        </w:rPr>
        <w:t>整体</w:t>
      </w:r>
      <w:r>
        <w:rPr>
          <w:rFonts w:hint="eastAsia" w:ascii="宋体" w:hAnsi="宋体" w:cs="宋体"/>
          <w:color w:val="auto"/>
          <w:kern w:val="2"/>
          <w:sz w:val="21"/>
          <w:szCs w:val="21"/>
          <w:highlight w:val="none"/>
          <w:lang w:eastAsia="zh-CN"/>
        </w:rPr>
        <w:t>项目</w:t>
      </w:r>
      <w:r>
        <w:rPr>
          <w:rFonts w:hint="eastAsia" w:ascii="宋体" w:hAnsi="宋体" w:eastAsia="宋体" w:cs="宋体"/>
          <w:color w:val="auto"/>
          <w:kern w:val="2"/>
          <w:sz w:val="21"/>
          <w:szCs w:val="21"/>
          <w:highlight w:val="none"/>
        </w:rPr>
        <w:t>通电并网</w:t>
      </w:r>
      <w:r>
        <w:rPr>
          <w:rFonts w:hint="eastAsia" w:ascii="宋体" w:hAnsi="宋体" w:eastAsia="宋体" w:cs="宋体"/>
          <w:color w:val="auto"/>
          <w:kern w:val="2"/>
          <w:sz w:val="21"/>
          <w:szCs w:val="21"/>
          <w:highlight w:val="none"/>
          <w:lang w:val="en-US" w:eastAsia="zh-CN"/>
        </w:rPr>
        <w:t>前</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rPr>
        <w:t>需</w:t>
      </w:r>
      <w:r>
        <w:rPr>
          <w:rFonts w:hint="eastAsia" w:ascii="宋体" w:hAnsi="宋体" w:eastAsia="宋体" w:cs="宋体"/>
          <w:color w:val="auto"/>
          <w:kern w:val="2"/>
          <w:sz w:val="21"/>
          <w:szCs w:val="21"/>
          <w:highlight w:val="none"/>
          <w:lang w:val="en-US" w:eastAsia="zh-CN"/>
        </w:rPr>
        <w:t>在晴天对接入逆变器的所有组串进行开路电压检测</w:t>
      </w:r>
      <w:r>
        <w:rPr>
          <w:rFonts w:hint="eastAsia" w:ascii="宋体" w:hAnsi="宋体" w:eastAsia="宋体" w:cs="宋体"/>
          <w:color w:val="auto"/>
          <w:kern w:val="2"/>
          <w:sz w:val="21"/>
          <w:szCs w:val="21"/>
          <w:highlight w:val="none"/>
        </w:rPr>
        <w:t>，保证项目投运</w:t>
      </w:r>
      <w:r>
        <w:rPr>
          <w:rFonts w:hint="eastAsia" w:ascii="宋体" w:hAnsi="宋体" w:eastAsia="宋体" w:cs="宋体"/>
          <w:color w:val="auto"/>
          <w:kern w:val="2"/>
          <w:sz w:val="21"/>
          <w:szCs w:val="21"/>
          <w:highlight w:val="none"/>
          <w:lang w:val="en-US" w:eastAsia="zh-CN"/>
        </w:rPr>
        <w:t>前</w:t>
      </w:r>
      <w:r>
        <w:rPr>
          <w:rFonts w:hint="eastAsia" w:ascii="宋体" w:hAnsi="宋体" w:eastAsia="宋体" w:cs="宋体"/>
          <w:color w:val="auto"/>
          <w:kern w:val="2"/>
          <w:sz w:val="21"/>
          <w:szCs w:val="21"/>
          <w:highlight w:val="none"/>
        </w:rPr>
        <w:t>光伏组件</w:t>
      </w:r>
      <w:r>
        <w:rPr>
          <w:rFonts w:hint="eastAsia" w:ascii="宋体" w:hAnsi="宋体" w:eastAsia="宋体" w:cs="宋体"/>
          <w:color w:val="auto"/>
          <w:kern w:val="2"/>
          <w:sz w:val="21"/>
          <w:szCs w:val="21"/>
          <w:highlight w:val="none"/>
          <w:lang w:val="en-US" w:eastAsia="zh-CN"/>
        </w:rPr>
        <w:t>所有组串开路</w:t>
      </w:r>
      <w:r>
        <w:rPr>
          <w:rFonts w:hint="eastAsia" w:ascii="宋体" w:hAnsi="宋体" w:eastAsia="宋体" w:cs="宋体"/>
          <w:color w:val="auto"/>
          <w:kern w:val="2"/>
          <w:sz w:val="21"/>
          <w:szCs w:val="21"/>
          <w:highlight w:val="none"/>
        </w:rPr>
        <w:t>电压读数</w:t>
      </w:r>
      <w:r>
        <w:rPr>
          <w:rFonts w:hint="eastAsia" w:ascii="宋体" w:hAnsi="宋体" w:eastAsia="宋体" w:cs="宋体"/>
          <w:color w:val="auto"/>
          <w:kern w:val="2"/>
          <w:sz w:val="21"/>
          <w:szCs w:val="21"/>
          <w:highlight w:val="none"/>
          <w:lang w:val="en-US" w:eastAsia="zh-CN"/>
        </w:rPr>
        <w:t>与理论</w:t>
      </w:r>
      <w:r>
        <w:rPr>
          <w:rFonts w:hint="eastAsia" w:ascii="宋体" w:hAnsi="宋体" w:eastAsia="宋体" w:cs="宋体"/>
          <w:color w:val="auto"/>
          <w:kern w:val="2"/>
          <w:sz w:val="21"/>
          <w:szCs w:val="21"/>
          <w:highlight w:val="none"/>
        </w:rPr>
        <w:t>值偏差</w:t>
      </w:r>
      <w:r>
        <w:rPr>
          <w:rFonts w:hint="eastAsia" w:ascii="宋体" w:hAnsi="宋体" w:eastAsia="宋体" w:cs="宋体"/>
          <w:color w:val="auto"/>
          <w:kern w:val="2"/>
          <w:sz w:val="21"/>
          <w:szCs w:val="21"/>
          <w:highlight w:val="none"/>
          <w:lang w:val="en-US" w:eastAsia="zh-CN"/>
        </w:rPr>
        <w:t>控制在</w:t>
      </w:r>
      <w:r>
        <w:rPr>
          <w:rFonts w:hint="eastAsia" w:ascii="宋体" w:hAnsi="宋体" w:eastAsia="宋体" w:cs="宋体"/>
          <w:color w:val="auto"/>
          <w:spacing w:val="-12"/>
          <w:kern w:val="2"/>
          <w:position w:val="1"/>
          <w:sz w:val="21"/>
          <w:szCs w:val="21"/>
          <w:highlight w:val="none"/>
        </w:rPr>
        <w:t>±</w:t>
      </w:r>
      <w:r>
        <w:rPr>
          <w:rFonts w:hint="eastAsia" w:ascii="宋体" w:hAnsi="宋体" w:eastAsia="宋体" w:cs="宋体"/>
          <w:color w:val="auto"/>
          <w:kern w:val="2"/>
          <w:sz w:val="21"/>
          <w:szCs w:val="21"/>
          <w:highlight w:val="none"/>
        </w:rPr>
        <w:t>5％以内</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w:t>
      </w:r>
      <w:r>
        <w:rPr>
          <w:rFonts w:hint="eastAsia" w:ascii="宋体" w:hAnsi="宋体" w:eastAsia="宋体" w:cs="宋体"/>
          <w:color w:val="auto"/>
          <w:kern w:val="2"/>
          <w:sz w:val="21"/>
          <w:szCs w:val="21"/>
          <w:highlight w:val="none"/>
          <w:lang w:val="en-US" w:eastAsia="zh-CN"/>
        </w:rPr>
        <w:t>一旦发现超出超出偏差，</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lang w:val="en-US" w:eastAsia="zh-CN"/>
        </w:rPr>
        <w:t>必须无条件采取相应措施进行检查并解决组串开路电压偏差问题并承担所需全部费用。</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）光伏组件</w:t>
      </w:r>
      <w:r>
        <w:rPr>
          <w:rFonts w:hint="eastAsia" w:ascii="宋体" w:hAnsi="宋体" w:eastAsia="宋体" w:cs="宋体"/>
          <w:color w:val="auto"/>
          <w:kern w:val="2"/>
          <w:sz w:val="21"/>
          <w:szCs w:val="21"/>
          <w:highlight w:val="none"/>
          <w:lang w:val="en-US" w:eastAsia="zh-CN"/>
        </w:rPr>
        <w:t>在</w:t>
      </w:r>
      <w:r>
        <w:rPr>
          <w:rFonts w:hint="eastAsia" w:ascii="宋体" w:hAnsi="宋体" w:eastAsia="宋体" w:cs="宋体"/>
          <w:color w:val="auto"/>
          <w:kern w:val="2"/>
          <w:sz w:val="21"/>
          <w:szCs w:val="21"/>
          <w:highlight w:val="none"/>
        </w:rPr>
        <w:t>整体</w:t>
      </w:r>
      <w:r>
        <w:rPr>
          <w:rFonts w:hint="eastAsia" w:ascii="宋体" w:hAnsi="宋体" w:cs="宋体"/>
          <w:color w:val="auto"/>
          <w:kern w:val="2"/>
          <w:sz w:val="21"/>
          <w:szCs w:val="21"/>
          <w:highlight w:val="none"/>
          <w:lang w:eastAsia="zh-CN"/>
        </w:rPr>
        <w:t>项目</w:t>
      </w:r>
      <w:r>
        <w:rPr>
          <w:rFonts w:hint="eastAsia" w:ascii="宋体" w:hAnsi="宋体" w:eastAsia="宋体" w:cs="宋体"/>
          <w:color w:val="auto"/>
          <w:kern w:val="2"/>
          <w:sz w:val="21"/>
          <w:szCs w:val="21"/>
          <w:highlight w:val="none"/>
        </w:rPr>
        <w:t>通电并网后</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rPr>
        <w:t>需</w:t>
      </w:r>
      <w:r>
        <w:rPr>
          <w:rFonts w:hint="eastAsia" w:ascii="宋体" w:hAnsi="宋体" w:eastAsia="宋体" w:cs="宋体"/>
          <w:color w:val="auto"/>
          <w:kern w:val="2"/>
          <w:sz w:val="21"/>
          <w:szCs w:val="21"/>
          <w:highlight w:val="none"/>
          <w:lang w:val="en-US" w:eastAsia="zh-CN"/>
        </w:rPr>
        <w:t>组织</w:t>
      </w:r>
      <w:r>
        <w:rPr>
          <w:rFonts w:hint="eastAsia" w:ascii="宋体" w:hAnsi="宋体" w:eastAsia="宋体" w:cs="宋体"/>
          <w:color w:val="auto"/>
          <w:kern w:val="2"/>
          <w:sz w:val="21"/>
          <w:szCs w:val="21"/>
          <w:highlight w:val="none"/>
        </w:rPr>
        <w:t>进行一次</w:t>
      </w:r>
      <w:r>
        <w:rPr>
          <w:rFonts w:hint="eastAsia" w:ascii="宋体" w:hAnsi="宋体" w:eastAsia="宋体" w:cs="宋体"/>
          <w:color w:val="auto"/>
          <w:kern w:val="2"/>
          <w:sz w:val="21"/>
          <w:szCs w:val="21"/>
          <w:highlight w:val="none"/>
          <w:lang w:val="en-US" w:eastAsia="zh-CN"/>
        </w:rPr>
        <w:t>全体</w:t>
      </w:r>
      <w:r>
        <w:rPr>
          <w:rFonts w:hint="eastAsia" w:ascii="宋体" w:hAnsi="宋体" w:eastAsia="宋体" w:cs="宋体"/>
          <w:color w:val="auto"/>
          <w:kern w:val="2"/>
          <w:sz w:val="21"/>
          <w:szCs w:val="21"/>
          <w:highlight w:val="none"/>
        </w:rPr>
        <w:t>清洗，保证项目投运时</w:t>
      </w:r>
      <w:r>
        <w:rPr>
          <w:rFonts w:hint="eastAsia" w:ascii="宋体" w:hAnsi="宋体" w:eastAsia="宋体" w:cs="宋体"/>
          <w:color w:val="auto"/>
          <w:kern w:val="2"/>
          <w:sz w:val="21"/>
          <w:szCs w:val="21"/>
          <w:highlight w:val="none"/>
          <w:lang w:val="en-US" w:eastAsia="zh-CN"/>
        </w:rPr>
        <w:t>所有</w:t>
      </w:r>
      <w:r>
        <w:rPr>
          <w:rFonts w:hint="eastAsia" w:ascii="宋体" w:hAnsi="宋体" w:eastAsia="宋体" w:cs="宋体"/>
          <w:color w:val="auto"/>
          <w:kern w:val="2"/>
          <w:sz w:val="21"/>
          <w:szCs w:val="21"/>
          <w:highlight w:val="none"/>
        </w:rPr>
        <w:t>光伏组件表面干净无污渍，如有污渍</w:t>
      </w:r>
      <w:r>
        <w:rPr>
          <w:rFonts w:hint="eastAsia" w:ascii="宋体" w:hAnsi="宋体" w:eastAsia="宋体" w:cs="宋体"/>
          <w:color w:val="auto"/>
          <w:kern w:val="2"/>
          <w:sz w:val="21"/>
          <w:szCs w:val="21"/>
          <w:highlight w:val="none"/>
          <w:lang w:val="en-US" w:eastAsia="zh-CN"/>
        </w:rPr>
        <w:t>无法清除立刻</w:t>
      </w:r>
      <w:r>
        <w:rPr>
          <w:rFonts w:hint="eastAsia" w:ascii="宋体" w:hAnsi="宋体" w:eastAsia="宋体" w:cs="宋体"/>
          <w:color w:val="auto"/>
          <w:kern w:val="2"/>
          <w:sz w:val="21"/>
          <w:szCs w:val="21"/>
          <w:highlight w:val="none"/>
        </w:rPr>
        <w:t>更换</w:t>
      </w:r>
      <w:r>
        <w:rPr>
          <w:rFonts w:hint="eastAsia" w:ascii="宋体" w:hAnsi="宋体" w:eastAsia="宋体" w:cs="宋体"/>
          <w:color w:val="auto"/>
          <w:kern w:val="2"/>
          <w:sz w:val="21"/>
          <w:szCs w:val="21"/>
          <w:highlight w:val="none"/>
          <w:lang w:val="en-US" w:eastAsia="zh-CN"/>
        </w:rPr>
        <w:t>并</w:t>
      </w:r>
      <w:r>
        <w:rPr>
          <w:rFonts w:hint="eastAsia" w:ascii="宋体" w:hAnsi="宋体" w:eastAsia="宋体" w:cs="宋体"/>
          <w:color w:val="auto"/>
          <w:kern w:val="2"/>
          <w:sz w:val="21"/>
          <w:szCs w:val="21"/>
          <w:highlight w:val="none"/>
        </w:rPr>
        <w:t>承担所需全部费用。</w:t>
      </w:r>
    </w:p>
    <w:p>
      <w:pPr>
        <w:widowControl w:val="0"/>
        <w:wordWrap w:val="0"/>
        <w:adjustRightInd/>
        <w:snapToGrid/>
        <w:spacing w:after="0" w:line="288" w:lineRule="auto"/>
        <w:ind w:firstLine="420" w:firstLineChars="200"/>
        <w:jc w:val="both"/>
        <w:rPr>
          <w:rFonts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）光伏组件</w:t>
      </w:r>
      <w:r>
        <w:rPr>
          <w:rFonts w:hint="eastAsia" w:ascii="宋体" w:hAnsi="宋体" w:eastAsia="宋体" w:cs="宋体"/>
          <w:color w:val="auto"/>
          <w:kern w:val="2"/>
          <w:sz w:val="21"/>
          <w:szCs w:val="21"/>
          <w:highlight w:val="none"/>
          <w:lang w:val="en-US" w:eastAsia="zh-CN"/>
        </w:rPr>
        <w:t>安装过程中每块组件必须有6处进行压块固定，以此增强抗台风能力</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）光伏组件推荐厂家品牌：</w:t>
      </w:r>
      <w:r>
        <w:rPr>
          <w:rFonts w:hint="eastAsia" w:ascii="宋体" w:hAnsi="宋体" w:eastAsia="宋体" w:cs="宋体"/>
          <w:color w:val="auto"/>
          <w:kern w:val="2"/>
          <w:sz w:val="21"/>
          <w:szCs w:val="21"/>
          <w:highlight w:val="none"/>
          <w:lang w:val="en-US" w:eastAsia="zh-CN"/>
        </w:rPr>
        <w:t>优先考虑</w:t>
      </w:r>
      <w:r>
        <w:rPr>
          <w:rFonts w:hint="eastAsia" w:ascii="宋体" w:hAnsi="宋体" w:eastAsia="宋体" w:cs="宋体"/>
          <w:color w:val="auto"/>
          <w:kern w:val="2"/>
          <w:sz w:val="21"/>
          <w:szCs w:val="21"/>
          <w:highlight w:val="none"/>
        </w:rPr>
        <w:t>隆基绿能</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晶科能源</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晶澳科技</w:t>
      </w:r>
      <w:r>
        <w:rPr>
          <w:rFonts w:hint="eastAsia" w:ascii="宋体" w:hAnsi="宋体" w:eastAsia="宋体" w:cs="宋体"/>
          <w:color w:val="auto"/>
          <w:kern w:val="2"/>
          <w:sz w:val="21"/>
          <w:szCs w:val="21"/>
          <w:highlight w:val="none"/>
        </w:rPr>
        <w:t>。</w:t>
      </w:r>
    </w:p>
    <w:p>
      <w:pPr>
        <w:widowControl w:val="0"/>
        <w:adjustRightInd/>
        <w:snapToGrid/>
        <w:spacing w:after="0" w:line="360" w:lineRule="auto"/>
        <w:jc w:val="both"/>
        <w:rPr>
          <w:rFonts w:ascii="宋体" w:hAnsi="宋体" w:eastAsia="宋体" w:cs="Times New Roman"/>
          <w:b/>
          <w:bCs/>
          <w:color w:val="auto"/>
          <w:kern w:val="2"/>
          <w:sz w:val="21"/>
          <w:szCs w:val="24"/>
          <w:highlight w:val="none"/>
        </w:rPr>
      </w:pPr>
      <w:r>
        <w:rPr>
          <w:rFonts w:hint="eastAsia" w:ascii="宋体" w:hAnsi="宋体" w:eastAsia="宋体" w:cs="Times New Roman"/>
          <w:b/>
          <w:bCs/>
          <w:color w:val="auto"/>
          <w:kern w:val="2"/>
          <w:sz w:val="21"/>
          <w:szCs w:val="24"/>
          <w:highlight w:val="none"/>
        </w:rPr>
        <w:t>4.并网逆变器技术要求</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（1）根据</w:t>
      </w:r>
      <w:r>
        <w:rPr>
          <w:rFonts w:hint="eastAsia" w:ascii="宋体" w:hAnsi="宋体" w:eastAsia="宋体" w:cs="宋体"/>
          <w:color w:val="auto"/>
          <w:kern w:val="2"/>
          <w:sz w:val="21"/>
          <w:szCs w:val="21"/>
          <w:highlight w:val="none"/>
          <w:lang w:val="en-US" w:eastAsia="zh-CN"/>
        </w:rPr>
        <w:t>安装</w:t>
      </w:r>
      <w:r>
        <w:rPr>
          <w:rFonts w:hint="eastAsia" w:ascii="宋体" w:hAnsi="宋体" w:eastAsia="宋体" w:cs="宋体"/>
          <w:color w:val="auto"/>
          <w:kern w:val="2"/>
          <w:sz w:val="21"/>
          <w:szCs w:val="21"/>
          <w:highlight w:val="none"/>
        </w:rPr>
        <w:t>场景合理</w:t>
      </w:r>
      <w:r>
        <w:rPr>
          <w:rFonts w:hint="eastAsia" w:ascii="宋体" w:hAnsi="宋体" w:eastAsia="宋体" w:cs="宋体"/>
          <w:color w:val="auto"/>
          <w:kern w:val="2"/>
          <w:sz w:val="21"/>
          <w:szCs w:val="21"/>
          <w:highlight w:val="none"/>
          <w:lang w:val="en-US" w:eastAsia="zh-CN"/>
        </w:rPr>
        <w:t>采用匹配</w:t>
      </w:r>
      <w:r>
        <w:rPr>
          <w:rFonts w:hint="eastAsia" w:ascii="宋体" w:hAnsi="宋体" w:eastAsia="宋体" w:cs="宋体"/>
          <w:color w:val="auto"/>
          <w:kern w:val="2"/>
          <w:sz w:val="21"/>
          <w:szCs w:val="21"/>
          <w:highlight w:val="none"/>
        </w:rPr>
        <w:t>的高效率110</w:t>
      </w:r>
      <w:r>
        <w:rPr>
          <w:rFonts w:hint="eastAsia" w:ascii="宋体" w:hAnsi="宋体" w:eastAsia="宋体" w:cs="宋体"/>
          <w:color w:val="auto"/>
          <w:kern w:val="2"/>
          <w:sz w:val="21"/>
          <w:szCs w:val="21"/>
          <w:highlight w:val="none"/>
          <w:lang w:val="en-US" w:eastAsia="zh-CN"/>
        </w:rPr>
        <w:t>k</w:t>
      </w:r>
      <w:r>
        <w:rPr>
          <w:rFonts w:hint="eastAsia" w:ascii="宋体" w:hAnsi="宋体" w:eastAsia="宋体" w:cs="宋体"/>
          <w:color w:val="auto"/>
          <w:kern w:val="2"/>
          <w:sz w:val="21"/>
          <w:szCs w:val="21"/>
          <w:highlight w:val="none"/>
        </w:rPr>
        <w:t>W及以</w:t>
      </w:r>
      <w:r>
        <w:rPr>
          <w:rFonts w:hint="eastAsia" w:ascii="宋体" w:hAnsi="宋体" w:eastAsia="宋体" w:cs="宋体"/>
          <w:color w:val="auto"/>
          <w:kern w:val="2"/>
          <w:sz w:val="21"/>
          <w:szCs w:val="21"/>
          <w:highlight w:val="none"/>
          <w:lang w:val="en-US" w:eastAsia="zh-CN"/>
        </w:rPr>
        <w:t>下</w:t>
      </w:r>
      <w:r>
        <w:rPr>
          <w:rFonts w:hint="eastAsia" w:ascii="宋体" w:hAnsi="宋体" w:eastAsia="宋体" w:cs="宋体"/>
          <w:color w:val="auto"/>
          <w:kern w:val="2"/>
          <w:sz w:val="21"/>
          <w:szCs w:val="21"/>
          <w:highlight w:val="none"/>
        </w:rPr>
        <w:t>组串型并网</w:t>
      </w:r>
      <w:r>
        <w:rPr>
          <w:rFonts w:hint="eastAsia" w:ascii="宋体" w:hAnsi="宋体" w:eastAsia="宋体" w:cs="宋体"/>
          <w:color w:val="auto"/>
          <w:kern w:val="2"/>
          <w:sz w:val="21"/>
          <w:szCs w:val="21"/>
          <w:highlight w:val="none"/>
          <w:lang w:val="en-US" w:eastAsia="zh-CN"/>
        </w:rPr>
        <w:t>逆变器</w:t>
      </w:r>
      <w:r>
        <w:rPr>
          <w:rFonts w:hint="eastAsia" w:ascii="宋体" w:hAnsi="宋体" w:eastAsia="宋体" w:cs="宋体"/>
          <w:color w:val="auto"/>
          <w:kern w:val="2"/>
          <w:sz w:val="21"/>
          <w:szCs w:val="21"/>
          <w:highlight w:val="none"/>
        </w:rPr>
        <w:t>，使用寿命不低于1</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年，不少于5年产品质保，在投标文件中提供质保说明书</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若采用110</w:t>
      </w:r>
      <w:r>
        <w:rPr>
          <w:rFonts w:hint="eastAsia" w:ascii="宋体" w:hAnsi="宋体" w:eastAsia="宋体" w:cs="宋体"/>
          <w:color w:val="auto"/>
          <w:kern w:val="2"/>
          <w:sz w:val="21"/>
          <w:szCs w:val="21"/>
          <w:highlight w:val="none"/>
          <w:lang w:val="en-US" w:eastAsia="zh-CN"/>
        </w:rPr>
        <w:t>k</w:t>
      </w:r>
      <w:r>
        <w:rPr>
          <w:rFonts w:hint="eastAsia" w:ascii="宋体" w:hAnsi="宋体" w:eastAsia="宋体" w:cs="宋体"/>
          <w:color w:val="auto"/>
          <w:kern w:val="2"/>
          <w:sz w:val="21"/>
          <w:szCs w:val="21"/>
          <w:highlight w:val="none"/>
        </w:rPr>
        <w:t>W组串型</w:t>
      </w:r>
      <w:r>
        <w:rPr>
          <w:rFonts w:hint="eastAsia" w:ascii="宋体" w:hAnsi="宋体" w:eastAsia="宋体" w:cs="宋体"/>
          <w:color w:val="auto"/>
          <w:kern w:val="2"/>
          <w:sz w:val="21"/>
          <w:szCs w:val="21"/>
          <w:highlight w:val="none"/>
          <w:lang w:val="en-US" w:eastAsia="zh-CN"/>
        </w:rPr>
        <w:t>并网</w:t>
      </w:r>
      <w:r>
        <w:rPr>
          <w:rFonts w:hint="eastAsia" w:ascii="宋体" w:hAnsi="宋体" w:eastAsia="宋体" w:cs="宋体"/>
          <w:color w:val="auto"/>
          <w:kern w:val="2"/>
          <w:sz w:val="21"/>
          <w:szCs w:val="21"/>
          <w:highlight w:val="none"/>
        </w:rPr>
        <w:t>逆变器，</w:t>
      </w:r>
      <w:r>
        <w:rPr>
          <w:rFonts w:hint="eastAsia" w:ascii="宋体" w:hAnsi="宋体" w:eastAsia="宋体" w:cs="宋体"/>
          <w:color w:val="auto"/>
          <w:kern w:val="2"/>
          <w:sz w:val="21"/>
          <w:szCs w:val="21"/>
          <w:highlight w:val="none"/>
          <w:lang w:val="en-US" w:eastAsia="zh-CN"/>
        </w:rPr>
        <w:t>具体</w:t>
      </w:r>
      <w:r>
        <w:rPr>
          <w:rFonts w:hint="eastAsia" w:ascii="宋体" w:hAnsi="宋体" w:eastAsia="宋体" w:cs="宋体"/>
          <w:color w:val="auto"/>
          <w:kern w:val="2"/>
          <w:sz w:val="21"/>
          <w:szCs w:val="21"/>
          <w:highlight w:val="none"/>
        </w:rPr>
        <w:t>技术参数要求</w:t>
      </w:r>
      <w:r>
        <w:rPr>
          <w:rFonts w:hint="eastAsia" w:ascii="宋体" w:hAnsi="宋体" w:eastAsia="宋体" w:cs="宋体"/>
          <w:color w:val="auto"/>
          <w:kern w:val="2"/>
          <w:sz w:val="21"/>
          <w:szCs w:val="21"/>
          <w:highlight w:val="none"/>
          <w:lang w:val="en-US" w:eastAsia="zh-CN"/>
        </w:rPr>
        <w:t>严格按</w:t>
      </w:r>
      <w:r>
        <w:rPr>
          <w:rFonts w:hint="eastAsia" w:ascii="宋体" w:hAnsi="宋体" w:eastAsia="宋体" w:cs="宋体"/>
          <w:color w:val="auto"/>
          <w:kern w:val="2"/>
          <w:sz w:val="21"/>
          <w:szCs w:val="21"/>
          <w:highlight w:val="none"/>
        </w:rPr>
        <w:t>下表</w:t>
      </w:r>
      <w:r>
        <w:rPr>
          <w:rFonts w:hint="eastAsia" w:ascii="宋体" w:hAnsi="宋体" w:eastAsia="宋体" w:cs="宋体"/>
          <w:color w:val="auto"/>
          <w:kern w:val="2"/>
          <w:sz w:val="21"/>
          <w:szCs w:val="21"/>
          <w:highlight w:val="none"/>
          <w:lang w:val="en-US" w:eastAsia="zh-CN"/>
        </w:rPr>
        <w:t>执行</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jc w:val="center"/>
        <w:rPr>
          <w:rFonts w:ascii="Calibri" w:hAnsi="Calibri" w:eastAsia="宋体" w:cs="Times New Roman"/>
          <w:color w:val="auto"/>
          <w:kern w:val="2"/>
          <w:sz w:val="21"/>
          <w:szCs w:val="24"/>
          <w:highlight w:val="none"/>
        </w:rPr>
      </w:pPr>
      <w:r>
        <w:rPr>
          <w:rFonts w:hint="eastAsia" w:ascii="宋体" w:hAnsi="宋体" w:eastAsia="宋体" w:cs="宋体"/>
          <w:b/>
          <w:bCs/>
          <w:color w:val="auto"/>
          <w:kern w:val="2"/>
          <w:sz w:val="21"/>
          <w:szCs w:val="21"/>
          <w:highlight w:val="none"/>
        </w:rPr>
        <w:t>并网逆变器主要技术参数表</w:t>
      </w:r>
    </w:p>
    <w:tbl>
      <w:tblPr>
        <w:tblStyle w:val="77"/>
        <w:tblW w:w="504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98"/>
        <w:gridCol w:w="3140"/>
        <w:gridCol w:w="35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jc w:val="center"/>
        </w:trPr>
        <w:tc>
          <w:tcPr>
            <w:tcW w:w="1013" w:type="pct"/>
            <w:vMerge w:val="restart"/>
            <w:tcBorders>
              <w:bottom w:val="nil"/>
            </w:tcBorders>
            <w:vAlign w:val="center"/>
          </w:tcPr>
          <w:p>
            <w:pPr>
              <w:widowControl w:val="0"/>
              <w:adjustRightInd/>
              <w:snapToGrid/>
              <w:spacing w:after="0" w:line="288" w:lineRule="auto"/>
              <w:jc w:val="center"/>
              <w:rPr>
                <w:rFonts w:hint="eastAsia" w:ascii="宋体" w:hAnsi="宋体" w:eastAsia="宋体" w:cs="宋体"/>
                <w:color w:val="auto"/>
                <w:spacing w:val="7"/>
                <w:kern w:val="2"/>
                <w:sz w:val="21"/>
                <w:szCs w:val="21"/>
                <w:highlight w:val="none"/>
              </w:rPr>
            </w:pPr>
            <w:r>
              <w:rPr>
                <w:rFonts w:hint="eastAsia" w:ascii="宋体" w:hAnsi="宋体" w:eastAsia="宋体" w:cs="宋体"/>
                <w:color w:val="auto"/>
                <w:spacing w:val="10"/>
                <w:kern w:val="2"/>
                <w:sz w:val="21"/>
                <w:szCs w:val="21"/>
                <w:highlight w:val="none"/>
              </w:rPr>
              <w:t>直</w:t>
            </w:r>
            <w:r>
              <w:rPr>
                <w:rFonts w:hint="eastAsia" w:ascii="宋体" w:hAnsi="宋体" w:eastAsia="宋体" w:cs="宋体"/>
                <w:color w:val="auto"/>
                <w:spacing w:val="7"/>
                <w:kern w:val="2"/>
                <w:sz w:val="21"/>
                <w:szCs w:val="21"/>
                <w:highlight w:val="none"/>
              </w:rPr>
              <w:t>流侧参数</w:t>
            </w:r>
          </w:p>
          <w:p>
            <w:pPr>
              <w:widowControl w:val="0"/>
              <w:adjustRightInd/>
              <w:snapToGrid/>
              <w:spacing w:after="0" w:line="288" w:lineRule="auto"/>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7"/>
                <w:kern w:val="2"/>
                <w:sz w:val="21"/>
                <w:szCs w:val="21"/>
                <w:highlight w:val="none"/>
                <w:lang w:eastAsia="zh-CN"/>
              </w:rPr>
              <w:t>（</w:t>
            </w:r>
            <w:r>
              <w:rPr>
                <w:rFonts w:hint="eastAsia" w:ascii="宋体" w:hAnsi="宋体" w:eastAsia="宋体" w:cs="宋体"/>
                <w:color w:val="auto"/>
                <w:spacing w:val="7"/>
                <w:kern w:val="2"/>
                <w:sz w:val="21"/>
                <w:szCs w:val="21"/>
                <w:highlight w:val="none"/>
                <w:lang w:val="en-US" w:eastAsia="zh-CN"/>
              </w:rPr>
              <w:t>输入</w:t>
            </w:r>
            <w:r>
              <w:rPr>
                <w:rFonts w:hint="eastAsia" w:ascii="宋体" w:hAnsi="宋体" w:eastAsia="宋体" w:cs="宋体"/>
                <w:color w:val="auto"/>
                <w:spacing w:val="7"/>
                <w:kern w:val="2"/>
                <w:sz w:val="21"/>
                <w:szCs w:val="21"/>
                <w:highlight w:val="none"/>
                <w:lang w:eastAsia="zh-CN"/>
              </w:rPr>
              <w:t>）</w:t>
            </w:r>
          </w:p>
        </w:tc>
        <w:tc>
          <w:tcPr>
            <w:tcW w:w="1873" w:type="pct"/>
            <w:vAlign w:val="bottom"/>
          </w:tcPr>
          <w:p>
            <w:pPr>
              <w:widowControl w:val="0"/>
              <w:adjustRightInd/>
              <w:snapToGrid/>
              <w:spacing w:after="0" w:line="288"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最大输入电压</w:t>
            </w:r>
            <w:r>
              <w:rPr>
                <w:rFonts w:hint="eastAsia" w:ascii="宋体" w:hAnsi="宋体" w:eastAsia="宋体" w:cs="宋体"/>
                <w:color w:val="auto"/>
                <w:kern w:val="2"/>
                <w:sz w:val="21"/>
                <w:szCs w:val="21"/>
                <w:highlight w:val="none"/>
              </w:rPr>
              <w:t>(V)</w:t>
            </w:r>
          </w:p>
        </w:tc>
        <w:tc>
          <w:tcPr>
            <w:tcW w:w="211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1100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013" w:type="pct"/>
            <w:vMerge w:val="continue"/>
            <w:tcBorders>
              <w:top w:val="nil"/>
              <w:bottom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187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额定输入电压</w:t>
            </w:r>
            <w:r>
              <w:rPr>
                <w:rFonts w:hint="eastAsia" w:ascii="宋体" w:hAnsi="宋体" w:eastAsia="宋体" w:cs="宋体"/>
                <w:color w:val="auto"/>
                <w:kern w:val="2"/>
                <w:sz w:val="21"/>
                <w:szCs w:val="21"/>
                <w:highlight w:val="none"/>
              </w:rPr>
              <w:t>(V)</w:t>
            </w:r>
          </w:p>
        </w:tc>
        <w:tc>
          <w:tcPr>
            <w:tcW w:w="211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rPr>
              <w:t>6</w:t>
            </w:r>
            <w:r>
              <w:rPr>
                <w:rFonts w:hint="eastAsia" w:ascii="宋体" w:hAnsi="宋体" w:eastAsia="宋体" w:cs="宋体"/>
                <w:color w:val="auto"/>
                <w:spacing w:val="1"/>
                <w:kern w:val="2"/>
                <w:sz w:val="21"/>
                <w:szCs w:val="21"/>
                <w:highlight w:val="none"/>
                <w:lang w:val="en-US" w:eastAsia="zh-CN"/>
              </w:rPr>
              <w:t>0</w:t>
            </w:r>
            <w:r>
              <w:rPr>
                <w:rFonts w:hint="eastAsia" w:ascii="宋体" w:hAnsi="宋体" w:eastAsia="宋体" w:cs="宋体"/>
                <w:color w:val="auto"/>
                <w:spacing w:val="1"/>
                <w:kern w:val="2"/>
                <w:sz w:val="21"/>
                <w:szCs w:val="21"/>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bottom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187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3"/>
                <w:kern w:val="2"/>
                <w:sz w:val="21"/>
                <w:szCs w:val="21"/>
                <w:highlight w:val="none"/>
              </w:rPr>
              <w:t>MPPT电压范围</w:t>
            </w:r>
            <w:r>
              <w:rPr>
                <w:rFonts w:hint="eastAsia" w:ascii="宋体" w:hAnsi="宋体" w:eastAsia="宋体" w:cs="宋体"/>
                <w:color w:val="auto"/>
                <w:kern w:val="2"/>
                <w:sz w:val="21"/>
                <w:szCs w:val="21"/>
                <w:highlight w:val="none"/>
              </w:rPr>
              <w:t>(V)</w:t>
            </w:r>
          </w:p>
        </w:tc>
        <w:tc>
          <w:tcPr>
            <w:tcW w:w="211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6"/>
                <w:kern w:val="2"/>
                <w:sz w:val="21"/>
                <w:szCs w:val="21"/>
                <w:highlight w:val="none"/>
              </w:rPr>
              <w:t>2</w:t>
            </w:r>
            <w:r>
              <w:rPr>
                <w:rFonts w:hint="eastAsia" w:ascii="宋体" w:hAnsi="宋体" w:eastAsia="宋体" w:cs="宋体"/>
                <w:color w:val="auto"/>
                <w:spacing w:val="3"/>
                <w:kern w:val="2"/>
                <w:sz w:val="21"/>
                <w:szCs w:val="21"/>
                <w:highlight w:val="none"/>
              </w:rPr>
              <w:t>00</w:t>
            </w:r>
            <w:r>
              <w:rPr>
                <w:rFonts w:hint="eastAsia" w:ascii="宋体" w:hAnsi="宋体" w:eastAsia="宋体" w:cs="宋体"/>
                <w:color w:val="auto"/>
                <w:spacing w:val="3"/>
                <w:kern w:val="2"/>
                <w:sz w:val="21"/>
                <w:szCs w:val="21"/>
                <w:highlight w:val="none"/>
                <w:lang w:val="en-US" w:eastAsia="zh-CN"/>
              </w:rPr>
              <w:t xml:space="preserve"> </w:t>
            </w:r>
            <w:r>
              <w:rPr>
                <w:rFonts w:hint="eastAsia" w:ascii="宋体" w:hAnsi="宋体" w:eastAsia="宋体" w:cs="宋体"/>
                <w:color w:val="auto"/>
                <w:spacing w:val="5"/>
                <w:kern w:val="2"/>
                <w:sz w:val="21"/>
                <w:szCs w:val="21"/>
                <w:highlight w:val="none"/>
                <w:lang w:val="en-US" w:eastAsia="zh-CN"/>
              </w:rPr>
              <w:t>⁓</w:t>
            </w:r>
            <w:r>
              <w:rPr>
                <w:rFonts w:hint="eastAsia" w:ascii="宋体" w:hAnsi="宋体" w:eastAsia="宋体" w:cs="宋体"/>
                <w:color w:val="auto"/>
                <w:spacing w:val="3"/>
                <w:kern w:val="2"/>
                <w:sz w:val="21"/>
                <w:szCs w:val="21"/>
                <w:highlight w:val="none"/>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013" w:type="pct"/>
            <w:vMerge w:val="continue"/>
            <w:tcBorders>
              <w:top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187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8"/>
                <w:kern w:val="2"/>
                <w:sz w:val="21"/>
                <w:szCs w:val="21"/>
                <w:highlight w:val="none"/>
              </w:rPr>
              <w:t>最大输入路</w:t>
            </w:r>
            <w:r>
              <w:rPr>
                <w:rFonts w:hint="eastAsia" w:ascii="宋体" w:hAnsi="宋体" w:eastAsia="宋体" w:cs="宋体"/>
                <w:color w:val="auto"/>
                <w:spacing w:val="7"/>
                <w:kern w:val="2"/>
                <w:sz w:val="21"/>
                <w:szCs w:val="21"/>
                <w:highlight w:val="none"/>
              </w:rPr>
              <w:t>数</w:t>
            </w:r>
          </w:p>
        </w:tc>
        <w:tc>
          <w:tcPr>
            <w:tcW w:w="211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3"/>
                <w:kern w:val="2"/>
                <w:sz w:val="21"/>
                <w:szCs w:val="21"/>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restart"/>
            <w:tcBorders>
              <w:bottom w:val="nil"/>
            </w:tcBorders>
            <w:vAlign w:val="center"/>
          </w:tcPr>
          <w:p>
            <w:pPr>
              <w:widowControl w:val="0"/>
              <w:adjustRightInd/>
              <w:snapToGrid/>
              <w:spacing w:after="0" w:line="288" w:lineRule="auto"/>
              <w:jc w:val="center"/>
              <w:rPr>
                <w:rFonts w:hint="eastAsia" w:ascii="宋体" w:hAnsi="宋体" w:eastAsia="宋体" w:cs="宋体"/>
                <w:color w:val="auto"/>
                <w:spacing w:val="7"/>
                <w:kern w:val="2"/>
                <w:sz w:val="21"/>
                <w:szCs w:val="21"/>
                <w:highlight w:val="none"/>
              </w:rPr>
            </w:pPr>
            <w:r>
              <w:rPr>
                <w:rFonts w:hint="eastAsia" w:ascii="宋体" w:hAnsi="宋体" w:eastAsia="宋体" w:cs="宋体"/>
                <w:color w:val="auto"/>
                <w:spacing w:val="7"/>
                <w:kern w:val="2"/>
                <w:sz w:val="21"/>
                <w:szCs w:val="21"/>
                <w:highlight w:val="none"/>
              </w:rPr>
              <w:t>交流测参数</w:t>
            </w:r>
          </w:p>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7"/>
                <w:kern w:val="2"/>
                <w:sz w:val="21"/>
                <w:szCs w:val="21"/>
                <w:highlight w:val="none"/>
                <w:lang w:eastAsia="zh-CN"/>
              </w:rPr>
              <w:t>（</w:t>
            </w:r>
            <w:r>
              <w:rPr>
                <w:rFonts w:hint="eastAsia" w:ascii="宋体" w:hAnsi="宋体" w:eastAsia="宋体" w:cs="宋体"/>
                <w:color w:val="auto"/>
                <w:spacing w:val="7"/>
                <w:kern w:val="2"/>
                <w:sz w:val="21"/>
                <w:szCs w:val="21"/>
                <w:highlight w:val="none"/>
                <w:lang w:val="en-US" w:eastAsia="zh-CN"/>
              </w:rPr>
              <w:t>输出</w:t>
            </w:r>
            <w:r>
              <w:rPr>
                <w:rFonts w:hint="eastAsia" w:ascii="宋体" w:hAnsi="宋体" w:eastAsia="宋体" w:cs="宋体"/>
                <w:color w:val="auto"/>
                <w:spacing w:val="7"/>
                <w:kern w:val="2"/>
                <w:sz w:val="21"/>
                <w:szCs w:val="21"/>
                <w:highlight w:val="none"/>
                <w:lang w:eastAsia="zh-CN"/>
              </w:rPr>
              <w:t>）</w:t>
            </w:r>
          </w:p>
        </w:tc>
        <w:tc>
          <w:tcPr>
            <w:tcW w:w="187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额定输出功率</w:t>
            </w:r>
            <w:r>
              <w:rPr>
                <w:rFonts w:hint="eastAsia" w:ascii="宋体" w:hAnsi="宋体" w:eastAsia="宋体" w:cs="宋体"/>
                <w:color w:val="auto"/>
                <w:kern w:val="2"/>
                <w:sz w:val="21"/>
                <w:szCs w:val="21"/>
                <w:highlight w:val="none"/>
              </w:rPr>
              <w:t>(kW)</w:t>
            </w:r>
          </w:p>
        </w:tc>
        <w:tc>
          <w:tcPr>
            <w:tcW w:w="211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5"/>
                <w:kern w:val="2"/>
                <w:sz w:val="21"/>
                <w:szCs w:val="21"/>
                <w:highlight w:val="none"/>
              </w:rPr>
              <w:t>1</w:t>
            </w:r>
            <w:r>
              <w:rPr>
                <w:rFonts w:hint="eastAsia" w:ascii="宋体" w:hAnsi="宋体" w:eastAsia="宋体" w:cs="宋体"/>
                <w:color w:val="auto"/>
                <w:spacing w:val="-4"/>
                <w:kern w:val="2"/>
                <w:sz w:val="21"/>
                <w:szCs w:val="21"/>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013" w:type="pct"/>
            <w:vMerge w:val="continue"/>
            <w:tcBorders>
              <w:top w:val="nil"/>
              <w:bottom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187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最大输出功率</w:t>
            </w:r>
            <w:r>
              <w:rPr>
                <w:rFonts w:hint="eastAsia" w:ascii="宋体" w:hAnsi="宋体" w:eastAsia="宋体" w:cs="宋体"/>
                <w:color w:val="auto"/>
                <w:kern w:val="2"/>
                <w:sz w:val="21"/>
                <w:szCs w:val="21"/>
                <w:highlight w:val="none"/>
              </w:rPr>
              <w:t>(kW)</w:t>
            </w:r>
          </w:p>
        </w:tc>
        <w:tc>
          <w:tcPr>
            <w:tcW w:w="211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5"/>
                <w:kern w:val="2"/>
                <w:sz w:val="21"/>
                <w:szCs w:val="21"/>
                <w:highlight w:val="none"/>
              </w:rPr>
              <w:t>1</w:t>
            </w:r>
            <w:r>
              <w:rPr>
                <w:rFonts w:hint="eastAsia" w:ascii="宋体" w:hAnsi="宋体" w:eastAsia="宋体" w:cs="宋体"/>
                <w:color w:val="auto"/>
                <w:spacing w:val="-4"/>
                <w:kern w:val="2"/>
                <w:sz w:val="21"/>
                <w:szCs w:val="21"/>
                <w:highlight w:val="none"/>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bottom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1873" w:type="pct"/>
            <w:vAlign w:val="bottom"/>
          </w:tcPr>
          <w:p>
            <w:pPr>
              <w:widowControl w:val="0"/>
              <w:adjustRightInd/>
              <w:snapToGrid/>
              <w:spacing w:after="0" w:line="288"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额定输出电压(V)</w:t>
            </w:r>
          </w:p>
        </w:tc>
        <w:tc>
          <w:tcPr>
            <w:tcW w:w="2113" w:type="pct"/>
            <w:vAlign w:val="bottom"/>
          </w:tcPr>
          <w:p>
            <w:pPr>
              <w:widowControl w:val="0"/>
              <w:adjustRightInd/>
              <w:snapToGrid/>
              <w:spacing w:after="0" w:line="288" w:lineRule="auto"/>
              <w:jc w:val="center"/>
              <w:rPr>
                <w:rFonts w:hint="eastAsia" w:ascii="宋体" w:hAnsi="宋体" w:eastAsia="宋体" w:cs="宋体"/>
                <w:color w:val="auto"/>
                <w:spacing w:val="1"/>
                <w:kern w:val="2"/>
                <w:sz w:val="21"/>
                <w:szCs w:val="21"/>
                <w:highlight w:val="none"/>
              </w:rPr>
            </w:pPr>
            <w:r>
              <w:rPr>
                <w:rFonts w:hint="eastAsia" w:ascii="宋体" w:hAnsi="宋体" w:eastAsia="宋体" w:cs="宋体"/>
                <w:color w:val="auto"/>
                <w:spacing w:val="-5"/>
                <w:kern w:val="2"/>
                <w:sz w:val="21"/>
                <w:szCs w:val="21"/>
                <w:highlight w:val="none"/>
              </w:rPr>
              <w:t>380/400</w:t>
            </w:r>
            <w:r>
              <w:rPr>
                <w:rFonts w:hint="eastAsia" w:ascii="宋体" w:hAnsi="宋体" w:eastAsia="宋体" w:cs="宋体"/>
                <w:color w:val="auto"/>
                <w:spacing w:val="-5"/>
                <w:kern w:val="2"/>
                <w:sz w:val="21"/>
                <w:szCs w:val="21"/>
                <w:highlight w:val="none"/>
                <w:lang w:val="en-US" w:eastAsia="zh-CN"/>
              </w:rPr>
              <w:t xml:space="preserve"> </w:t>
            </w:r>
            <w:r>
              <w:rPr>
                <w:rFonts w:hint="eastAsia" w:ascii="宋体" w:hAnsi="宋体" w:eastAsia="宋体" w:cs="宋体"/>
                <w:color w:val="auto"/>
                <w:spacing w:val="-5"/>
                <w:kern w:val="2"/>
                <w:sz w:val="21"/>
                <w:szCs w:val="21"/>
                <w:highlight w:val="none"/>
              </w:rPr>
              <w:t>3W+N+PE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bottom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1873" w:type="pct"/>
            <w:vAlign w:val="bottom"/>
          </w:tcPr>
          <w:p>
            <w:pPr>
              <w:widowControl w:val="0"/>
              <w:adjustRightInd/>
              <w:snapToGrid/>
              <w:spacing w:after="0" w:line="288"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rPr>
              <w:t>允许电网电压</w:t>
            </w:r>
            <w:r>
              <w:rPr>
                <w:rFonts w:hint="eastAsia" w:ascii="宋体" w:hAnsi="宋体" w:eastAsia="宋体" w:cs="宋体"/>
                <w:color w:val="auto"/>
                <w:kern w:val="2"/>
                <w:sz w:val="21"/>
                <w:szCs w:val="21"/>
                <w:highlight w:val="none"/>
              </w:rPr>
              <w:t>(</w:t>
            </w:r>
            <w:r>
              <w:rPr>
                <w:rFonts w:hint="eastAsia" w:ascii="宋体" w:hAnsi="宋体" w:eastAsia="宋体" w:cs="宋体"/>
                <w:color w:val="auto"/>
                <w:spacing w:val="-1"/>
                <w:kern w:val="2"/>
                <w:sz w:val="21"/>
                <w:szCs w:val="21"/>
                <w:highlight w:val="none"/>
              </w:rPr>
              <w:t>V</w:t>
            </w:r>
            <w:r>
              <w:rPr>
                <w:rFonts w:hint="eastAsia" w:ascii="宋体" w:hAnsi="宋体" w:eastAsia="宋体" w:cs="宋体"/>
                <w:color w:val="auto"/>
                <w:kern w:val="2"/>
                <w:sz w:val="21"/>
                <w:szCs w:val="21"/>
                <w:highlight w:val="none"/>
              </w:rPr>
              <w:t>)</w:t>
            </w:r>
          </w:p>
        </w:tc>
        <w:tc>
          <w:tcPr>
            <w:tcW w:w="2113" w:type="pct"/>
            <w:vAlign w:val="bottom"/>
          </w:tcPr>
          <w:p>
            <w:pPr>
              <w:widowControl w:val="0"/>
              <w:adjustRightInd/>
              <w:snapToGrid/>
              <w:spacing w:after="0" w:line="288" w:lineRule="auto"/>
              <w:jc w:val="center"/>
              <w:rPr>
                <w:rFonts w:hint="eastAsia" w:ascii="宋体" w:hAnsi="宋体" w:eastAsia="宋体" w:cs="宋体"/>
                <w:color w:val="auto"/>
                <w:spacing w:val="1"/>
                <w:kern w:val="2"/>
                <w:sz w:val="21"/>
                <w:szCs w:val="21"/>
                <w:highlight w:val="none"/>
              </w:rPr>
            </w:pPr>
            <w:r>
              <w:rPr>
                <w:rFonts w:hint="eastAsia" w:ascii="宋体" w:hAnsi="宋体" w:eastAsia="宋体" w:cs="宋体"/>
                <w:color w:val="auto"/>
                <w:spacing w:val="3"/>
                <w:kern w:val="2"/>
                <w:sz w:val="21"/>
                <w:szCs w:val="21"/>
                <w:highlight w:val="none"/>
                <w:lang w:val="en-US" w:eastAsia="zh-CN"/>
              </w:rPr>
              <w:t>320</w:t>
            </w:r>
            <w:r>
              <w:rPr>
                <w:rFonts w:hint="eastAsia" w:ascii="宋体" w:hAnsi="宋体" w:eastAsia="宋体" w:cs="宋体"/>
                <w:color w:val="auto"/>
                <w:spacing w:val="3"/>
                <w:kern w:val="2"/>
                <w:sz w:val="21"/>
                <w:szCs w:val="21"/>
                <w:highlight w:val="none"/>
              </w:rPr>
              <w:t>~48</w:t>
            </w:r>
            <w:r>
              <w:rPr>
                <w:rFonts w:hint="eastAsia" w:ascii="宋体" w:hAnsi="宋体" w:eastAsia="宋体" w:cs="宋体"/>
                <w:color w:val="auto"/>
                <w:spacing w:val="2"/>
                <w:kern w:val="2"/>
                <w:sz w:val="21"/>
                <w:szCs w:val="21"/>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bottom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187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额定输出电流(A)</w:t>
            </w:r>
          </w:p>
        </w:tc>
        <w:tc>
          <w:tcPr>
            <w:tcW w:w="2113" w:type="pct"/>
            <w:vAlign w:val="bottom"/>
          </w:tcPr>
          <w:p>
            <w:pPr>
              <w:widowControl w:val="0"/>
              <w:adjustRightInd/>
              <w:snapToGrid/>
              <w:spacing w:after="0" w:line="288"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pacing w:val="1"/>
                <w:kern w:val="2"/>
                <w:sz w:val="21"/>
                <w:szCs w:val="21"/>
                <w:highlight w:val="none"/>
              </w:rPr>
              <w:t>167.2</w:t>
            </w:r>
            <w:r>
              <w:rPr>
                <w:rFonts w:hint="eastAsia" w:ascii="宋体" w:hAnsi="宋体" w:eastAsia="宋体" w:cs="宋体"/>
                <w:color w:val="auto"/>
                <w:spacing w:val="1"/>
                <w:kern w:val="2"/>
                <w:sz w:val="21"/>
                <w:szCs w:val="21"/>
                <w:highlight w:val="none"/>
                <w:lang w:val="en-US" w:eastAsia="zh-CN"/>
              </w:rPr>
              <w:t>/158.8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013" w:type="pct"/>
            <w:vMerge w:val="continue"/>
            <w:tcBorders>
              <w:top w:val="nil"/>
              <w:bottom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187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rPr>
              <w:t>最大输</w:t>
            </w:r>
            <w:r>
              <w:rPr>
                <w:rFonts w:hint="eastAsia" w:ascii="宋体" w:hAnsi="宋体" w:eastAsia="宋体" w:cs="宋体"/>
                <w:color w:val="auto"/>
                <w:kern w:val="2"/>
                <w:sz w:val="21"/>
                <w:szCs w:val="21"/>
                <w:highlight w:val="none"/>
              </w:rPr>
              <w:t>出电流(A)</w:t>
            </w:r>
          </w:p>
        </w:tc>
        <w:tc>
          <w:tcPr>
            <w:tcW w:w="2113" w:type="pct"/>
            <w:vAlign w:val="bottom"/>
          </w:tcPr>
          <w:p>
            <w:pPr>
              <w:widowControl w:val="0"/>
              <w:adjustRightInd/>
              <w:snapToGrid/>
              <w:spacing w:after="0" w:line="288" w:lineRule="auto"/>
              <w:jc w:val="center"/>
              <w:rPr>
                <w:rFonts w:hint="default" w:ascii="宋体" w:hAnsi="宋体" w:eastAsia="宋体" w:cs="宋体"/>
                <w:color w:val="auto"/>
                <w:kern w:val="2"/>
                <w:sz w:val="21"/>
                <w:szCs w:val="21"/>
                <w:highlight w:val="none"/>
                <w:lang w:val="en-US"/>
              </w:rPr>
            </w:pPr>
            <w:r>
              <w:rPr>
                <w:rFonts w:hint="eastAsia" w:ascii="宋体" w:hAnsi="宋体" w:eastAsia="宋体" w:cs="宋体"/>
                <w:color w:val="auto"/>
                <w:spacing w:val="2"/>
                <w:kern w:val="2"/>
                <w:sz w:val="21"/>
                <w:szCs w:val="21"/>
                <w:highlight w:val="none"/>
              </w:rPr>
              <w:t>185</w:t>
            </w:r>
            <w:r>
              <w:rPr>
                <w:rFonts w:hint="eastAsia" w:ascii="宋体" w:hAnsi="宋体" w:eastAsia="宋体" w:cs="宋体"/>
                <w:color w:val="auto"/>
                <w:spacing w:val="1"/>
                <w:kern w:val="2"/>
                <w:sz w:val="21"/>
                <w:szCs w:val="21"/>
                <w:highlight w:val="none"/>
              </w:rPr>
              <w:t>.7</w:t>
            </w:r>
            <w:r>
              <w:rPr>
                <w:rFonts w:hint="eastAsia" w:ascii="宋体" w:hAnsi="宋体" w:eastAsia="宋体" w:cs="宋体"/>
                <w:color w:val="auto"/>
                <w:spacing w:val="1"/>
                <w:kern w:val="2"/>
                <w:sz w:val="21"/>
                <w:szCs w:val="21"/>
                <w:highlight w:val="none"/>
                <w:lang w:val="en-US" w:eastAsia="zh-CN"/>
              </w:rPr>
              <w:t>/176.4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bottom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187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额定输出频率</w:t>
            </w:r>
            <w:r>
              <w:rPr>
                <w:rFonts w:hint="eastAsia" w:ascii="宋体" w:hAnsi="宋体" w:eastAsia="宋体" w:cs="宋体"/>
                <w:color w:val="auto"/>
                <w:kern w:val="2"/>
                <w:sz w:val="21"/>
                <w:szCs w:val="21"/>
                <w:highlight w:val="none"/>
              </w:rPr>
              <w:t>(Hz)</w:t>
            </w:r>
          </w:p>
        </w:tc>
        <w:tc>
          <w:tcPr>
            <w:tcW w:w="211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3"/>
                <w:kern w:val="2"/>
                <w:sz w:val="21"/>
                <w:szCs w:val="21"/>
                <w:highlight w:val="none"/>
              </w:rPr>
              <w:t>5</w:t>
            </w:r>
            <w:r>
              <w:rPr>
                <w:rFonts w:hint="eastAsia" w:ascii="宋体" w:hAnsi="宋体" w:eastAsia="宋体" w:cs="宋体"/>
                <w:color w:val="auto"/>
                <w:spacing w:val="-2"/>
                <w:kern w:val="2"/>
                <w:sz w:val="21"/>
                <w:szCs w:val="21"/>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013" w:type="pct"/>
            <w:vMerge w:val="continue"/>
            <w:tcBorders>
              <w:top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187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8"/>
                <w:kern w:val="2"/>
                <w:sz w:val="21"/>
                <w:szCs w:val="21"/>
                <w:highlight w:val="none"/>
              </w:rPr>
              <w:t>功</w:t>
            </w:r>
            <w:r>
              <w:rPr>
                <w:rFonts w:hint="eastAsia" w:ascii="宋体" w:hAnsi="宋体" w:eastAsia="宋体" w:cs="宋体"/>
                <w:color w:val="auto"/>
                <w:spacing w:val="6"/>
                <w:kern w:val="2"/>
                <w:sz w:val="21"/>
                <w:szCs w:val="21"/>
                <w:highlight w:val="none"/>
              </w:rPr>
              <w:t>率因数</w:t>
            </w:r>
          </w:p>
        </w:tc>
        <w:tc>
          <w:tcPr>
            <w:tcW w:w="211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0</w:t>
            </w:r>
            <w:r>
              <w:rPr>
                <w:rFonts w:hint="eastAsia" w:ascii="宋体" w:hAnsi="宋体" w:eastAsia="宋体" w:cs="宋体"/>
                <w:color w:val="auto"/>
                <w:spacing w:val="-1"/>
                <w:kern w:val="2"/>
                <w:sz w:val="21"/>
                <w:szCs w:val="21"/>
                <w:highlight w:val="none"/>
              </w:rPr>
              <w:t>.8超前...0.8滞后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013" w:type="pct"/>
            <w:vMerge w:val="restart"/>
            <w:tcBorders>
              <w:bottom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7"/>
                <w:kern w:val="2"/>
                <w:sz w:val="21"/>
                <w:szCs w:val="21"/>
                <w:highlight w:val="none"/>
              </w:rPr>
              <w:t>系</w:t>
            </w:r>
            <w:r>
              <w:rPr>
                <w:rFonts w:hint="eastAsia" w:ascii="宋体" w:hAnsi="宋体" w:eastAsia="宋体" w:cs="宋体"/>
                <w:color w:val="auto"/>
                <w:spacing w:val="6"/>
                <w:kern w:val="2"/>
                <w:sz w:val="21"/>
                <w:szCs w:val="21"/>
                <w:highlight w:val="none"/>
              </w:rPr>
              <w:t>统特性</w:t>
            </w:r>
          </w:p>
        </w:tc>
        <w:tc>
          <w:tcPr>
            <w:tcW w:w="1873" w:type="pct"/>
            <w:vAlign w:val="bottom"/>
          </w:tcPr>
          <w:p>
            <w:pPr>
              <w:widowControl w:val="0"/>
              <w:adjustRightInd/>
              <w:snapToGrid/>
              <w:spacing w:after="0" w:line="288"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最大效率</w:t>
            </w:r>
            <w:r>
              <w:rPr>
                <w:rFonts w:hint="eastAsia" w:ascii="宋体" w:hAnsi="宋体" w:eastAsia="宋体" w:cs="宋体"/>
                <w:color w:val="auto"/>
                <w:kern w:val="2"/>
                <w:sz w:val="21"/>
                <w:szCs w:val="21"/>
                <w:highlight w:val="none"/>
              </w:rPr>
              <w:t>(</w:t>
            </w:r>
            <w:r>
              <w:rPr>
                <w:rFonts w:hint="eastAsia" w:ascii="宋体" w:hAnsi="宋体" w:eastAsia="宋体" w:cs="宋体"/>
                <w:color w:val="auto"/>
                <w:spacing w:val="6"/>
                <w:kern w:val="2"/>
                <w:sz w:val="21"/>
                <w:szCs w:val="21"/>
                <w:highlight w:val="none"/>
              </w:rPr>
              <w:t>%</w:t>
            </w:r>
            <w:r>
              <w:rPr>
                <w:rFonts w:hint="eastAsia" w:ascii="宋体" w:hAnsi="宋体" w:eastAsia="宋体" w:cs="宋体"/>
                <w:color w:val="auto"/>
                <w:kern w:val="2"/>
                <w:sz w:val="21"/>
                <w:szCs w:val="21"/>
                <w:highlight w:val="none"/>
              </w:rPr>
              <w:t>)</w:t>
            </w:r>
          </w:p>
        </w:tc>
        <w:tc>
          <w:tcPr>
            <w:tcW w:w="211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4"/>
                <w:kern w:val="2"/>
                <w:sz w:val="21"/>
                <w:szCs w:val="21"/>
                <w:highlight w:val="none"/>
              </w:rPr>
              <w:t>98.</w:t>
            </w:r>
            <w:r>
              <w:rPr>
                <w:rFonts w:hint="eastAsia" w:ascii="宋体" w:hAnsi="宋体" w:eastAsia="宋体" w:cs="宋体"/>
                <w:color w:val="auto"/>
                <w:spacing w:val="3"/>
                <w:kern w:val="2"/>
                <w:sz w:val="21"/>
                <w:szCs w:val="21"/>
                <w:highlight w:val="none"/>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bottom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187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4"/>
                <w:kern w:val="2"/>
                <w:sz w:val="21"/>
                <w:szCs w:val="21"/>
                <w:highlight w:val="none"/>
              </w:rPr>
              <w:t>中</w:t>
            </w:r>
            <w:r>
              <w:rPr>
                <w:rFonts w:hint="eastAsia" w:ascii="宋体" w:hAnsi="宋体" w:eastAsia="宋体" w:cs="宋体"/>
                <w:color w:val="auto"/>
                <w:spacing w:val="3"/>
                <w:kern w:val="2"/>
                <w:sz w:val="21"/>
                <w:szCs w:val="21"/>
                <w:highlight w:val="none"/>
              </w:rPr>
              <w:t>国</w:t>
            </w:r>
            <w:r>
              <w:rPr>
                <w:rFonts w:hint="eastAsia" w:ascii="宋体" w:hAnsi="宋体" w:eastAsia="宋体" w:cs="宋体"/>
                <w:color w:val="auto"/>
                <w:spacing w:val="2"/>
                <w:kern w:val="2"/>
                <w:sz w:val="21"/>
                <w:szCs w:val="21"/>
                <w:highlight w:val="none"/>
              </w:rPr>
              <w:t>效率</w:t>
            </w:r>
            <w:r>
              <w:rPr>
                <w:rFonts w:hint="eastAsia" w:ascii="宋体" w:hAnsi="宋体" w:eastAsia="宋体" w:cs="宋体"/>
                <w:color w:val="auto"/>
                <w:kern w:val="2"/>
                <w:sz w:val="21"/>
                <w:szCs w:val="21"/>
                <w:highlight w:val="none"/>
              </w:rPr>
              <w:t>(</w:t>
            </w:r>
            <w:r>
              <w:rPr>
                <w:rFonts w:hint="eastAsia" w:ascii="宋体" w:hAnsi="宋体" w:eastAsia="宋体" w:cs="宋体"/>
                <w:color w:val="auto"/>
                <w:spacing w:val="2"/>
                <w:kern w:val="2"/>
                <w:sz w:val="21"/>
                <w:szCs w:val="21"/>
                <w:highlight w:val="none"/>
              </w:rPr>
              <w:t>%</w:t>
            </w:r>
            <w:r>
              <w:rPr>
                <w:rFonts w:hint="eastAsia" w:ascii="宋体" w:hAnsi="宋体" w:eastAsia="宋体" w:cs="宋体"/>
                <w:color w:val="auto"/>
                <w:kern w:val="2"/>
                <w:sz w:val="21"/>
                <w:szCs w:val="21"/>
                <w:highlight w:val="none"/>
              </w:rPr>
              <w:t>)</w:t>
            </w:r>
          </w:p>
        </w:tc>
        <w:tc>
          <w:tcPr>
            <w:tcW w:w="2113" w:type="pct"/>
            <w:vAlign w:val="bottom"/>
          </w:tcPr>
          <w:p>
            <w:pPr>
              <w:widowControl w:val="0"/>
              <w:adjustRightInd/>
              <w:snapToGrid/>
              <w:spacing w:after="0" w:line="288" w:lineRule="auto"/>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4"/>
                <w:kern w:val="2"/>
                <w:sz w:val="21"/>
                <w:szCs w:val="21"/>
                <w:highlight w:val="none"/>
              </w:rPr>
              <w:t>98.</w:t>
            </w:r>
            <w:r>
              <w:rPr>
                <w:rFonts w:hint="eastAsia" w:ascii="宋体" w:hAnsi="宋体" w:eastAsia="宋体" w:cs="宋体"/>
                <w:color w:val="auto"/>
                <w:spacing w:val="3"/>
                <w:kern w:val="2"/>
                <w:sz w:val="21"/>
                <w:szCs w:val="21"/>
                <w:highlight w:val="none"/>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1013" w:type="pct"/>
            <w:vMerge w:val="continue"/>
            <w:tcBorders>
              <w:top w:val="nil"/>
              <w:bottom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187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4"/>
                <w:kern w:val="2"/>
                <w:sz w:val="21"/>
                <w:szCs w:val="21"/>
                <w:highlight w:val="none"/>
              </w:rPr>
              <w:t>防护等</w:t>
            </w:r>
            <w:r>
              <w:rPr>
                <w:rFonts w:hint="eastAsia" w:ascii="宋体" w:hAnsi="宋体" w:eastAsia="宋体" w:cs="宋体"/>
                <w:color w:val="auto"/>
                <w:spacing w:val="3"/>
                <w:kern w:val="2"/>
                <w:sz w:val="21"/>
                <w:szCs w:val="21"/>
                <w:highlight w:val="none"/>
              </w:rPr>
              <w:t>级</w:t>
            </w:r>
          </w:p>
        </w:tc>
        <w:tc>
          <w:tcPr>
            <w:tcW w:w="211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1"/>
                <w:kern w:val="2"/>
                <w:sz w:val="21"/>
                <w:szCs w:val="21"/>
                <w:highlight w:val="none"/>
              </w:rPr>
              <w:t>I</w:t>
            </w:r>
            <w:r>
              <w:rPr>
                <w:rFonts w:hint="eastAsia" w:ascii="宋体" w:hAnsi="宋体" w:eastAsia="宋体" w:cs="宋体"/>
                <w:color w:val="auto"/>
                <w:kern w:val="2"/>
                <w:sz w:val="21"/>
                <w:szCs w:val="21"/>
                <w:highlight w:val="none"/>
              </w:rPr>
              <w:t>P</w:t>
            </w:r>
            <w:r>
              <w:rPr>
                <w:rFonts w:hint="eastAsia" w:ascii="宋体" w:hAnsi="宋体" w:eastAsia="宋体" w:cs="宋体"/>
                <w:color w:val="auto"/>
                <w:spacing w:val="-1"/>
                <w:kern w:val="2"/>
                <w:sz w:val="21"/>
                <w:szCs w:val="21"/>
                <w:highlight w:val="none"/>
              </w:rPr>
              <w:t>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bottom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187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夜间自耗电</w:t>
            </w:r>
            <w:r>
              <w:rPr>
                <w:rFonts w:hint="eastAsia" w:ascii="宋体" w:hAnsi="宋体" w:eastAsia="宋体" w:cs="宋体"/>
                <w:color w:val="auto"/>
                <w:kern w:val="2"/>
                <w:sz w:val="21"/>
                <w:szCs w:val="21"/>
                <w:highlight w:val="none"/>
              </w:rPr>
              <w:t>(</w:t>
            </w:r>
            <w:r>
              <w:rPr>
                <w:rFonts w:hint="eastAsia" w:ascii="宋体" w:hAnsi="宋体" w:eastAsia="宋体" w:cs="宋体"/>
                <w:color w:val="auto"/>
                <w:spacing w:val="-2"/>
                <w:kern w:val="2"/>
                <w:sz w:val="21"/>
                <w:szCs w:val="21"/>
                <w:highlight w:val="none"/>
              </w:rPr>
              <w:t>W</w:t>
            </w:r>
            <w:r>
              <w:rPr>
                <w:rFonts w:hint="eastAsia" w:ascii="宋体" w:hAnsi="宋体" w:eastAsia="宋体" w:cs="宋体"/>
                <w:color w:val="auto"/>
                <w:kern w:val="2"/>
                <w:sz w:val="21"/>
                <w:szCs w:val="21"/>
                <w:highlight w:val="none"/>
              </w:rPr>
              <w:t>)</w:t>
            </w:r>
          </w:p>
        </w:tc>
        <w:tc>
          <w:tcPr>
            <w:tcW w:w="211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7"/>
                <w:kern w:val="2"/>
                <w:position w:val="1"/>
                <w:sz w:val="21"/>
                <w:szCs w:val="21"/>
                <w:highlight w:val="none"/>
              </w:rPr>
              <w:t>≤</w:t>
            </w:r>
            <w:r>
              <w:rPr>
                <w:rFonts w:hint="eastAsia" w:ascii="宋体" w:hAnsi="宋体" w:eastAsia="宋体" w:cs="宋体"/>
                <w:color w:val="auto"/>
                <w:spacing w:val="-5"/>
                <w:kern w:val="2"/>
                <w:position w:val="1"/>
                <w:sz w:val="21"/>
                <w:szCs w:val="21"/>
                <w:highlight w:val="none"/>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013" w:type="pct"/>
            <w:vMerge w:val="continue"/>
            <w:tcBorders>
              <w:top w:val="nil"/>
              <w:bottom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187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8"/>
                <w:kern w:val="2"/>
                <w:sz w:val="21"/>
                <w:szCs w:val="21"/>
                <w:highlight w:val="none"/>
              </w:rPr>
              <w:t>环境温度</w:t>
            </w:r>
            <w:r>
              <w:rPr>
                <w:rFonts w:hint="eastAsia" w:ascii="宋体" w:hAnsi="宋体" w:eastAsia="宋体" w:cs="宋体"/>
                <w:color w:val="auto"/>
                <w:kern w:val="2"/>
                <w:sz w:val="21"/>
                <w:szCs w:val="21"/>
                <w:highlight w:val="none"/>
              </w:rPr>
              <w:t>(</w:t>
            </w:r>
            <w:r>
              <w:rPr>
                <w:rFonts w:hint="eastAsia" w:ascii="宋体" w:hAnsi="宋体" w:eastAsia="宋体" w:cs="宋体"/>
                <w:color w:val="auto"/>
                <w:spacing w:val="8"/>
                <w:kern w:val="2"/>
                <w:sz w:val="21"/>
                <w:szCs w:val="21"/>
                <w:highlight w:val="none"/>
              </w:rPr>
              <w:t>℃</w:t>
            </w:r>
            <w:r>
              <w:rPr>
                <w:rFonts w:hint="eastAsia" w:ascii="宋体" w:hAnsi="宋体" w:eastAsia="宋体" w:cs="宋体"/>
                <w:color w:val="auto"/>
                <w:kern w:val="2"/>
                <w:sz w:val="21"/>
                <w:szCs w:val="21"/>
                <w:highlight w:val="none"/>
              </w:rPr>
              <w:t>)</w:t>
            </w:r>
          </w:p>
        </w:tc>
        <w:tc>
          <w:tcPr>
            <w:tcW w:w="211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4"/>
                <w:kern w:val="2"/>
                <w:position w:val="1"/>
                <w:sz w:val="21"/>
                <w:szCs w:val="21"/>
                <w:highlight w:val="none"/>
              </w:rPr>
              <w:t>-</w:t>
            </w:r>
            <w:r>
              <w:rPr>
                <w:rFonts w:hint="eastAsia" w:ascii="宋体" w:hAnsi="宋体" w:eastAsia="宋体" w:cs="宋体"/>
                <w:color w:val="auto"/>
                <w:spacing w:val="4"/>
                <w:kern w:val="2"/>
                <w:position w:val="1"/>
                <w:sz w:val="21"/>
                <w:szCs w:val="21"/>
                <w:highlight w:val="none"/>
                <w:lang w:val="en-US" w:eastAsia="zh-CN"/>
              </w:rPr>
              <w:t xml:space="preserve">25 </w:t>
            </w:r>
            <w:r>
              <w:rPr>
                <w:rFonts w:hint="eastAsia" w:ascii="宋体" w:hAnsi="宋体" w:eastAsia="宋体" w:cs="宋体"/>
                <w:color w:val="auto"/>
                <w:spacing w:val="5"/>
                <w:kern w:val="2"/>
                <w:sz w:val="21"/>
                <w:szCs w:val="21"/>
                <w:highlight w:val="none"/>
                <w:lang w:val="en-US" w:eastAsia="zh-CN"/>
              </w:rPr>
              <w:t>⁓</w:t>
            </w:r>
            <w:r>
              <w:rPr>
                <w:rFonts w:hint="eastAsia" w:ascii="宋体" w:hAnsi="宋体" w:eastAsia="宋体" w:cs="宋体"/>
                <w:color w:val="auto"/>
                <w:spacing w:val="4"/>
                <w:kern w:val="2"/>
                <w:position w:val="1"/>
                <w:sz w:val="21"/>
                <w:szCs w:val="21"/>
                <w:highlight w:val="none"/>
              </w:rPr>
              <w:t>6</w:t>
            </w:r>
            <w:r>
              <w:rPr>
                <w:rFonts w:hint="eastAsia" w:ascii="宋体" w:hAnsi="宋体" w:eastAsia="宋体" w:cs="宋体"/>
                <w:color w:val="auto"/>
                <w:spacing w:val="3"/>
                <w:kern w:val="2"/>
                <w:position w:val="1"/>
                <w:sz w:val="21"/>
                <w:szCs w:val="21"/>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bottom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187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7"/>
                <w:kern w:val="2"/>
                <w:sz w:val="21"/>
                <w:szCs w:val="21"/>
                <w:highlight w:val="none"/>
              </w:rPr>
              <w:t>冷却方式</w:t>
            </w:r>
          </w:p>
        </w:tc>
        <w:tc>
          <w:tcPr>
            <w:tcW w:w="211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6"/>
                <w:kern w:val="2"/>
                <w:sz w:val="21"/>
                <w:szCs w:val="21"/>
                <w:highlight w:val="none"/>
              </w:rPr>
              <w:t>智能风冷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187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7"/>
                <w:kern w:val="2"/>
                <w:sz w:val="21"/>
                <w:szCs w:val="21"/>
                <w:highlight w:val="none"/>
              </w:rPr>
              <w:t>允许相对湿度</w:t>
            </w:r>
          </w:p>
        </w:tc>
        <w:tc>
          <w:tcPr>
            <w:tcW w:w="211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8"/>
                <w:kern w:val="2"/>
                <w:sz w:val="21"/>
                <w:szCs w:val="21"/>
                <w:highlight w:val="none"/>
              </w:rPr>
              <w:t>0</w:t>
            </w:r>
            <w:r>
              <w:rPr>
                <w:rFonts w:hint="eastAsia" w:ascii="宋体" w:hAnsi="宋体" w:eastAsia="宋体" w:cs="宋体"/>
                <w:color w:val="auto"/>
                <w:spacing w:val="8"/>
                <w:kern w:val="2"/>
                <w:sz w:val="21"/>
                <w:szCs w:val="21"/>
                <w:highlight w:val="none"/>
                <w:lang w:val="en-US" w:eastAsia="zh-CN"/>
              </w:rPr>
              <w:t xml:space="preserve"> </w:t>
            </w:r>
            <w:r>
              <w:rPr>
                <w:rFonts w:hint="eastAsia" w:ascii="宋体" w:hAnsi="宋体" w:eastAsia="宋体" w:cs="宋体"/>
                <w:color w:val="auto"/>
                <w:spacing w:val="5"/>
                <w:kern w:val="2"/>
                <w:sz w:val="21"/>
                <w:szCs w:val="21"/>
                <w:highlight w:val="none"/>
                <w:lang w:val="en-US" w:eastAsia="zh-CN"/>
              </w:rPr>
              <w:t>⁓</w:t>
            </w:r>
            <w:r>
              <w:rPr>
                <w:rFonts w:hint="eastAsia" w:ascii="宋体" w:hAnsi="宋体" w:eastAsia="宋体" w:cs="宋体"/>
                <w:color w:val="auto"/>
                <w:spacing w:val="5"/>
                <w:kern w:val="2"/>
                <w:sz w:val="21"/>
                <w:szCs w:val="21"/>
                <w:highlight w:val="none"/>
              </w:rPr>
              <w:t>100%</w:t>
            </w:r>
            <w:r>
              <w:rPr>
                <w:rFonts w:hint="eastAsia" w:ascii="宋体" w:hAnsi="宋体" w:eastAsia="宋体" w:cs="宋体"/>
                <w:color w:val="auto"/>
                <w:spacing w:val="5"/>
                <w:kern w:val="2"/>
                <w:sz w:val="21"/>
                <w:szCs w:val="21"/>
                <w:highlight w:val="none"/>
                <w:lang w:val="en-US" w:eastAsia="zh-CN"/>
              </w:rPr>
              <w:t xml:space="preserve"> </w:t>
            </w:r>
            <w:r>
              <w:rPr>
                <w:rFonts w:hint="eastAsia" w:ascii="宋体" w:hAnsi="宋体" w:eastAsia="宋体" w:cs="宋体"/>
                <w:color w:val="auto"/>
                <w:spacing w:val="5"/>
                <w:kern w:val="2"/>
                <w:sz w:val="21"/>
                <w:szCs w:val="21"/>
                <w:highlight w:val="none"/>
              </w:rPr>
              <w:t>无冷凝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jc w:val="center"/>
        </w:trPr>
        <w:tc>
          <w:tcPr>
            <w:tcW w:w="1013" w:type="pct"/>
            <w:vMerge w:val="restart"/>
            <w:tcBorders>
              <w:bottom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7"/>
                <w:kern w:val="2"/>
                <w:sz w:val="21"/>
                <w:szCs w:val="21"/>
                <w:highlight w:val="none"/>
              </w:rPr>
              <w:t>显示与通</w:t>
            </w:r>
            <w:r>
              <w:rPr>
                <w:rFonts w:hint="eastAsia" w:ascii="宋体" w:hAnsi="宋体" w:eastAsia="宋体" w:cs="宋体"/>
                <w:color w:val="auto"/>
                <w:spacing w:val="6"/>
                <w:kern w:val="2"/>
                <w:sz w:val="21"/>
                <w:szCs w:val="21"/>
                <w:highlight w:val="none"/>
              </w:rPr>
              <w:t>讯</w:t>
            </w:r>
          </w:p>
        </w:tc>
        <w:tc>
          <w:tcPr>
            <w:tcW w:w="187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2"/>
                <w:kern w:val="2"/>
                <w:sz w:val="21"/>
                <w:szCs w:val="21"/>
                <w:highlight w:val="none"/>
              </w:rPr>
              <w:t>显示</w:t>
            </w:r>
          </w:p>
        </w:tc>
        <w:tc>
          <w:tcPr>
            <w:tcW w:w="211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LED</w:t>
            </w:r>
            <w:r>
              <w:rPr>
                <w:rFonts w:hint="eastAsia" w:ascii="宋体" w:hAnsi="宋体" w:eastAsia="宋体" w:cs="宋体"/>
                <w:color w:val="auto"/>
                <w:spacing w:val="4"/>
                <w:kern w:val="2"/>
                <w:sz w:val="21"/>
                <w:szCs w:val="21"/>
                <w:highlight w:val="none"/>
              </w:rPr>
              <w:t>指示灯、蓝牙+</w:t>
            </w:r>
            <w:r>
              <w:rPr>
                <w:rFonts w:hint="eastAsia" w:ascii="宋体" w:hAnsi="宋体" w:eastAsia="宋体" w:cs="宋体"/>
                <w:color w:val="auto"/>
                <w:kern w:val="2"/>
                <w:sz w:val="21"/>
                <w:szCs w:val="21"/>
                <w:highlight w:val="none"/>
              </w:rPr>
              <w:t>APP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1013" w:type="pct"/>
            <w:vMerge w:val="continue"/>
            <w:tcBorders>
              <w:top w:val="nil"/>
            </w:tcBorders>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187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spacing w:val="9"/>
                <w:kern w:val="2"/>
                <w:sz w:val="21"/>
                <w:szCs w:val="21"/>
                <w:highlight w:val="none"/>
              </w:rPr>
              <w:t>通</w:t>
            </w:r>
            <w:r>
              <w:rPr>
                <w:rFonts w:hint="eastAsia" w:ascii="宋体" w:hAnsi="宋体" w:eastAsia="宋体" w:cs="宋体"/>
                <w:color w:val="auto"/>
                <w:spacing w:val="7"/>
                <w:kern w:val="2"/>
                <w:sz w:val="21"/>
                <w:szCs w:val="21"/>
                <w:highlight w:val="none"/>
              </w:rPr>
              <w:t>讯方式</w:t>
            </w:r>
          </w:p>
        </w:tc>
        <w:tc>
          <w:tcPr>
            <w:tcW w:w="2113" w:type="pct"/>
            <w:vAlign w:val="bottom"/>
          </w:tcPr>
          <w:p>
            <w:pPr>
              <w:widowControl w:val="0"/>
              <w:adjustRightInd/>
              <w:snapToGrid/>
              <w:spacing w:after="0" w:line="288" w:lineRule="auto"/>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RS</w:t>
            </w:r>
            <w:r>
              <w:rPr>
                <w:rFonts w:hint="eastAsia" w:ascii="宋体" w:hAnsi="宋体" w:eastAsia="宋体" w:cs="宋体"/>
                <w:color w:val="auto"/>
                <w:spacing w:val="17"/>
                <w:kern w:val="2"/>
                <w:sz w:val="21"/>
                <w:szCs w:val="21"/>
                <w:highlight w:val="none"/>
              </w:rPr>
              <w:t>4</w:t>
            </w:r>
            <w:r>
              <w:rPr>
                <w:rFonts w:hint="eastAsia" w:ascii="宋体" w:hAnsi="宋体" w:eastAsia="宋体" w:cs="宋体"/>
                <w:color w:val="auto"/>
                <w:spacing w:val="15"/>
                <w:kern w:val="2"/>
                <w:sz w:val="21"/>
                <w:szCs w:val="21"/>
                <w:highlight w:val="none"/>
              </w:rPr>
              <w:t>85、4</w:t>
            </w:r>
            <w:r>
              <w:rPr>
                <w:rFonts w:hint="eastAsia" w:ascii="宋体" w:hAnsi="宋体" w:eastAsia="宋体" w:cs="宋体"/>
                <w:color w:val="auto"/>
                <w:kern w:val="2"/>
                <w:sz w:val="21"/>
                <w:szCs w:val="21"/>
                <w:highlight w:val="none"/>
              </w:rPr>
              <w:t>G</w:t>
            </w:r>
          </w:p>
        </w:tc>
      </w:tr>
    </w:tbl>
    <w:p>
      <w:pPr>
        <w:widowControl w:val="0"/>
        <w:numPr>
          <w:ilvl w:val="0"/>
          <w:numId w:val="0"/>
        </w:numPr>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rPr>
        <w:t>配置的并网</w:t>
      </w:r>
      <w:r>
        <w:rPr>
          <w:rFonts w:hint="eastAsia" w:ascii="宋体" w:hAnsi="宋体" w:eastAsia="宋体" w:cs="宋体"/>
          <w:color w:val="auto"/>
          <w:kern w:val="2"/>
          <w:sz w:val="21"/>
          <w:szCs w:val="21"/>
          <w:highlight w:val="none"/>
        </w:rPr>
        <w:t>逆变器</w:t>
      </w:r>
      <w:r>
        <w:rPr>
          <w:rFonts w:hint="eastAsia" w:ascii="宋体" w:hAnsi="宋体" w:eastAsia="宋体" w:cs="宋体"/>
          <w:color w:val="auto"/>
          <w:kern w:val="2"/>
          <w:sz w:val="21"/>
          <w:szCs w:val="21"/>
          <w:highlight w:val="none"/>
          <w:lang w:val="en-US" w:eastAsia="zh-CN"/>
        </w:rPr>
        <w:t>必须具备</w:t>
      </w:r>
      <w:r>
        <w:rPr>
          <w:rFonts w:hint="eastAsia" w:ascii="宋体" w:hAnsi="宋体" w:eastAsia="宋体" w:cs="宋体"/>
          <w:color w:val="auto"/>
          <w:kern w:val="2"/>
          <w:sz w:val="21"/>
          <w:szCs w:val="21"/>
          <w:highlight w:val="none"/>
        </w:rPr>
        <w:t>最大功率跟踪、绝缘阻抗检测、</w:t>
      </w:r>
      <w:r>
        <w:rPr>
          <w:rFonts w:hint="eastAsia" w:ascii="宋体" w:hAnsi="宋体" w:eastAsia="宋体" w:cs="宋体"/>
          <w:color w:val="auto"/>
          <w:kern w:val="2"/>
          <w:sz w:val="21"/>
          <w:szCs w:val="21"/>
          <w:highlight w:val="none"/>
          <w:lang w:val="en-US" w:eastAsia="zh-CN"/>
        </w:rPr>
        <w:t>组串故障检测、</w:t>
      </w:r>
      <w:r>
        <w:rPr>
          <w:rFonts w:hint="eastAsia" w:ascii="宋体" w:hAnsi="宋体" w:eastAsia="宋体" w:cs="宋体"/>
          <w:color w:val="auto"/>
          <w:kern w:val="2"/>
          <w:sz w:val="21"/>
          <w:szCs w:val="21"/>
          <w:highlight w:val="none"/>
        </w:rPr>
        <w:t>残余电流检测、交直流浪涌II级保护</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直流反接保护、交流短路保护、漏电流保护、过电流保护、并网保护、</w:t>
      </w:r>
      <w:r>
        <w:rPr>
          <w:rFonts w:hint="eastAsia" w:ascii="宋体" w:hAnsi="宋体" w:eastAsia="宋体" w:cs="宋体"/>
          <w:color w:val="auto"/>
          <w:kern w:val="2"/>
          <w:sz w:val="21"/>
          <w:szCs w:val="21"/>
          <w:highlight w:val="none"/>
          <w:lang w:val="en-US" w:eastAsia="zh-CN"/>
        </w:rPr>
        <w:t>温度保护、</w:t>
      </w:r>
      <w:r>
        <w:rPr>
          <w:rFonts w:hint="eastAsia" w:ascii="宋体" w:hAnsi="宋体" w:eastAsia="宋体" w:cs="宋体"/>
          <w:color w:val="auto"/>
          <w:kern w:val="2"/>
          <w:sz w:val="21"/>
          <w:szCs w:val="21"/>
          <w:highlight w:val="none"/>
        </w:rPr>
        <w:t>防孤岛</w:t>
      </w:r>
      <w:r>
        <w:rPr>
          <w:rFonts w:hint="eastAsia" w:ascii="宋体" w:hAnsi="宋体" w:eastAsia="宋体" w:cs="宋体"/>
          <w:color w:val="auto"/>
          <w:kern w:val="2"/>
          <w:sz w:val="21"/>
          <w:szCs w:val="21"/>
          <w:highlight w:val="none"/>
          <w:lang w:val="en-US" w:eastAsia="zh-CN"/>
        </w:rPr>
        <w:t>保护</w:t>
      </w:r>
      <w:r>
        <w:rPr>
          <w:rFonts w:hint="eastAsia" w:ascii="宋体" w:hAnsi="宋体" w:eastAsia="宋体" w:cs="宋体"/>
          <w:color w:val="auto"/>
          <w:kern w:val="2"/>
          <w:sz w:val="21"/>
          <w:szCs w:val="21"/>
          <w:highlight w:val="none"/>
        </w:rPr>
        <w:t>、直流开关</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电网监控等基本功能并可发出告警信号</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需</w:t>
      </w:r>
      <w:r>
        <w:rPr>
          <w:rFonts w:hint="eastAsia" w:ascii="宋体" w:hAnsi="宋体" w:eastAsia="宋体" w:cs="宋体"/>
          <w:color w:val="auto"/>
          <w:kern w:val="2"/>
          <w:sz w:val="21"/>
          <w:szCs w:val="21"/>
          <w:highlight w:val="none"/>
        </w:rPr>
        <w:t>具备良好的电气隔离性，整机符合国家相关标准。</w:t>
      </w:r>
    </w:p>
    <w:p>
      <w:pPr>
        <w:widowControl w:val="0"/>
        <w:numPr>
          <w:ilvl w:val="0"/>
          <w:numId w:val="0"/>
        </w:numPr>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配置的并网</w:t>
      </w:r>
      <w:r>
        <w:rPr>
          <w:rFonts w:hint="eastAsia" w:ascii="宋体" w:hAnsi="宋体" w:eastAsia="宋体" w:cs="宋体"/>
          <w:color w:val="auto"/>
          <w:kern w:val="2"/>
          <w:sz w:val="21"/>
          <w:szCs w:val="21"/>
          <w:highlight w:val="none"/>
        </w:rPr>
        <w:t>逆变器</w:t>
      </w:r>
      <w:r>
        <w:rPr>
          <w:rFonts w:hint="eastAsia" w:ascii="宋体" w:hAnsi="宋体" w:eastAsia="宋体" w:cs="宋体"/>
          <w:color w:val="auto"/>
          <w:kern w:val="2"/>
          <w:sz w:val="21"/>
          <w:szCs w:val="21"/>
          <w:highlight w:val="none"/>
          <w:lang w:val="en-US" w:eastAsia="zh-CN"/>
        </w:rPr>
        <w:t>须</w:t>
      </w:r>
      <w:r>
        <w:rPr>
          <w:rFonts w:hint="eastAsia" w:ascii="宋体" w:hAnsi="宋体" w:eastAsia="宋体" w:cs="宋体"/>
          <w:color w:val="auto"/>
          <w:kern w:val="2"/>
          <w:sz w:val="21"/>
          <w:szCs w:val="21"/>
          <w:highlight w:val="none"/>
        </w:rPr>
        <w:t>可进行高精度组串检测及智能I-V曲线扫描诊断，</w:t>
      </w:r>
      <w:r>
        <w:rPr>
          <w:rFonts w:hint="eastAsia" w:ascii="宋体" w:hAnsi="宋体" w:eastAsia="宋体" w:cs="宋体"/>
          <w:color w:val="auto"/>
          <w:kern w:val="2"/>
          <w:sz w:val="21"/>
          <w:szCs w:val="21"/>
          <w:highlight w:val="none"/>
          <w:lang w:val="en-US" w:eastAsia="zh-CN"/>
        </w:rPr>
        <w:t>可</w:t>
      </w:r>
      <w:r>
        <w:rPr>
          <w:rFonts w:hint="eastAsia" w:ascii="宋体" w:hAnsi="宋体" w:eastAsia="宋体" w:cs="宋体"/>
          <w:color w:val="auto"/>
          <w:kern w:val="2"/>
          <w:sz w:val="21"/>
          <w:szCs w:val="21"/>
          <w:highlight w:val="none"/>
        </w:rPr>
        <w:t>精确定位异常组串</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方便后期运维。</w:t>
      </w:r>
    </w:p>
    <w:p>
      <w:pPr>
        <w:widowControl w:val="0"/>
        <w:wordWrap w:val="0"/>
        <w:adjustRightInd/>
        <w:snapToGrid/>
        <w:spacing w:after="0" w:line="288" w:lineRule="auto"/>
        <w:ind w:firstLine="420" w:firstLineChars="200"/>
        <w:jc w:val="both"/>
        <w:rPr>
          <w:rFonts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并网</w:t>
      </w:r>
      <w:r>
        <w:rPr>
          <w:rFonts w:hint="eastAsia" w:ascii="宋体" w:hAnsi="宋体" w:eastAsia="宋体" w:cs="宋体"/>
          <w:color w:val="auto"/>
          <w:kern w:val="2"/>
          <w:sz w:val="21"/>
          <w:szCs w:val="21"/>
          <w:highlight w:val="none"/>
        </w:rPr>
        <w:t>逆变器与光伏组件布置采用就近原则，</w:t>
      </w:r>
      <w:r>
        <w:rPr>
          <w:rFonts w:hint="eastAsia" w:ascii="宋体" w:hAnsi="宋体" w:eastAsia="宋体" w:cs="宋体"/>
          <w:color w:val="auto"/>
          <w:kern w:val="2"/>
          <w:sz w:val="21"/>
          <w:szCs w:val="21"/>
          <w:highlight w:val="none"/>
          <w:lang w:val="en-US" w:eastAsia="zh-CN"/>
        </w:rPr>
        <w:t>并网</w:t>
      </w:r>
      <w:r>
        <w:rPr>
          <w:rFonts w:hint="eastAsia" w:ascii="宋体" w:hAnsi="宋体" w:eastAsia="宋体" w:cs="宋体"/>
          <w:color w:val="auto"/>
          <w:kern w:val="2"/>
          <w:sz w:val="21"/>
          <w:szCs w:val="21"/>
          <w:highlight w:val="none"/>
        </w:rPr>
        <w:t>逆变器对应的最近距离的光伏组串不能超过5m</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接入光伏</w:t>
      </w:r>
      <w:r>
        <w:rPr>
          <w:rFonts w:hint="eastAsia" w:ascii="宋体" w:hAnsi="宋体" w:eastAsia="宋体" w:cs="宋体"/>
          <w:color w:val="auto"/>
          <w:kern w:val="2"/>
          <w:sz w:val="21"/>
          <w:szCs w:val="21"/>
          <w:highlight w:val="none"/>
          <w:lang w:eastAsia="zh-CN"/>
        </w:rPr>
        <w:t>组串</w:t>
      </w:r>
      <w:r>
        <w:rPr>
          <w:rFonts w:hint="eastAsia" w:ascii="宋体" w:hAnsi="宋体" w:eastAsia="宋体" w:cs="宋体"/>
          <w:color w:val="auto"/>
          <w:kern w:val="2"/>
          <w:sz w:val="21"/>
          <w:szCs w:val="21"/>
          <w:highlight w:val="none"/>
          <w:lang w:val="en-US" w:eastAsia="zh-CN"/>
        </w:rPr>
        <w:t>容量与配置并网</w:t>
      </w:r>
      <w:r>
        <w:rPr>
          <w:rFonts w:hint="eastAsia" w:ascii="宋体" w:hAnsi="宋体" w:eastAsia="宋体" w:cs="宋体"/>
          <w:color w:val="auto"/>
          <w:kern w:val="2"/>
          <w:sz w:val="21"/>
          <w:szCs w:val="21"/>
          <w:highlight w:val="none"/>
        </w:rPr>
        <w:t>逆变器</w:t>
      </w:r>
      <w:r>
        <w:rPr>
          <w:rFonts w:hint="eastAsia" w:ascii="宋体" w:hAnsi="宋体" w:eastAsia="宋体" w:cs="宋体"/>
          <w:color w:val="auto"/>
          <w:kern w:val="2"/>
          <w:sz w:val="21"/>
          <w:szCs w:val="21"/>
          <w:highlight w:val="none"/>
          <w:lang w:val="en-US" w:eastAsia="zh-CN"/>
        </w:rPr>
        <w:t>功率之间的</w:t>
      </w:r>
      <w:r>
        <w:rPr>
          <w:rFonts w:hint="eastAsia" w:ascii="宋体" w:hAnsi="宋体" w:eastAsia="宋体" w:cs="宋体"/>
          <w:color w:val="auto"/>
          <w:kern w:val="2"/>
          <w:sz w:val="21"/>
          <w:szCs w:val="21"/>
          <w:highlight w:val="none"/>
        </w:rPr>
        <w:t>容配比不得超过1.</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lang w:val="en-US" w:eastAsia="zh-CN"/>
        </w:rPr>
        <w:t>负责并网</w:t>
      </w:r>
      <w:r>
        <w:rPr>
          <w:rFonts w:hint="eastAsia" w:ascii="宋体" w:hAnsi="宋体" w:eastAsia="宋体" w:cs="宋体"/>
          <w:color w:val="auto"/>
          <w:kern w:val="2"/>
          <w:sz w:val="21"/>
          <w:szCs w:val="21"/>
          <w:highlight w:val="none"/>
        </w:rPr>
        <w:t>逆变器</w:t>
      </w:r>
      <w:r>
        <w:rPr>
          <w:rFonts w:hint="eastAsia" w:ascii="宋体" w:hAnsi="宋体" w:eastAsia="宋体" w:cs="宋体"/>
          <w:color w:val="auto"/>
          <w:kern w:val="2"/>
          <w:sz w:val="21"/>
          <w:szCs w:val="21"/>
          <w:highlight w:val="none"/>
          <w:lang w:val="en-US" w:eastAsia="zh-CN"/>
        </w:rPr>
        <w:t>运输、卸货、吊装及保管，保管过程中按原包装存放并做好相应的防雨防倒防误撞等保护措施，开箱必须有监理在场旁站确认并网</w:t>
      </w:r>
      <w:r>
        <w:rPr>
          <w:rFonts w:hint="eastAsia" w:ascii="宋体" w:hAnsi="宋体" w:eastAsia="宋体" w:cs="宋体"/>
          <w:color w:val="auto"/>
          <w:kern w:val="2"/>
          <w:sz w:val="21"/>
          <w:szCs w:val="21"/>
          <w:highlight w:val="none"/>
        </w:rPr>
        <w:t>逆变器</w:t>
      </w:r>
      <w:r>
        <w:rPr>
          <w:rFonts w:hint="eastAsia" w:ascii="宋体" w:hAnsi="宋体" w:eastAsia="宋体" w:cs="宋体"/>
          <w:color w:val="auto"/>
          <w:kern w:val="2"/>
          <w:sz w:val="21"/>
          <w:szCs w:val="21"/>
          <w:highlight w:val="none"/>
          <w:lang w:val="en-US" w:eastAsia="zh-CN"/>
        </w:rPr>
        <w:t>完好，如开箱时有破损则需现场拍照取证，如有损坏需承担更换所需全部费用。</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并网</w:t>
      </w:r>
      <w:r>
        <w:rPr>
          <w:rFonts w:hint="eastAsia" w:ascii="宋体" w:hAnsi="宋体" w:eastAsia="宋体" w:cs="宋体"/>
          <w:color w:val="auto"/>
          <w:kern w:val="2"/>
          <w:sz w:val="21"/>
          <w:szCs w:val="21"/>
          <w:highlight w:val="none"/>
        </w:rPr>
        <w:t>逆变器的布置方案</w:t>
      </w:r>
      <w:r>
        <w:rPr>
          <w:rFonts w:hint="eastAsia" w:ascii="宋体" w:hAnsi="宋体" w:eastAsia="宋体" w:cs="宋体"/>
          <w:color w:val="auto"/>
          <w:kern w:val="2"/>
          <w:sz w:val="21"/>
          <w:szCs w:val="21"/>
          <w:highlight w:val="none"/>
          <w:lang w:val="en-US" w:eastAsia="zh-CN"/>
        </w:rPr>
        <w:t>须提前与房屋业主进行确认，</w:t>
      </w:r>
      <w:r>
        <w:rPr>
          <w:rFonts w:hint="eastAsia" w:ascii="宋体" w:hAnsi="宋体" w:eastAsia="宋体" w:cs="宋体"/>
          <w:color w:val="auto"/>
          <w:kern w:val="2"/>
          <w:sz w:val="21"/>
          <w:szCs w:val="21"/>
          <w:highlight w:val="none"/>
        </w:rPr>
        <w:t>需</w:t>
      </w:r>
      <w:r>
        <w:rPr>
          <w:rFonts w:hint="eastAsia" w:ascii="宋体" w:hAnsi="宋体" w:eastAsia="宋体" w:cs="宋体"/>
          <w:color w:val="auto"/>
          <w:kern w:val="2"/>
          <w:sz w:val="21"/>
          <w:szCs w:val="21"/>
          <w:highlight w:val="none"/>
          <w:lang w:val="en-US" w:eastAsia="zh-CN"/>
        </w:rPr>
        <w:t>兼顾安全运维</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操作方便、避晒通</w:t>
      </w:r>
      <w:r>
        <w:rPr>
          <w:rFonts w:hint="eastAsia" w:ascii="宋体" w:hAnsi="宋体" w:eastAsia="宋体" w:cs="宋体"/>
          <w:color w:val="auto"/>
          <w:kern w:val="2"/>
          <w:sz w:val="21"/>
          <w:szCs w:val="21"/>
          <w:highlight w:val="none"/>
        </w:rPr>
        <w:t>风</w:t>
      </w:r>
      <w:r>
        <w:rPr>
          <w:rFonts w:hint="eastAsia" w:ascii="宋体" w:hAnsi="宋体" w:eastAsia="宋体" w:cs="宋体"/>
          <w:color w:val="auto"/>
          <w:kern w:val="2"/>
          <w:sz w:val="21"/>
          <w:szCs w:val="21"/>
          <w:highlight w:val="none"/>
          <w:lang w:eastAsia="zh-CN"/>
        </w:rPr>
        <w:t>、抗台风</w:t>
      </w:r>
      <w:r>
        <w:rPr>
          <w:rFonts w:hint="eastAsia" w:ascii="宋体" w:hAnsi="宋体" w:eastAsia="宋体" w:cs="宋体"/>
          <w:color w:val="auto"/>
          <w:kern w:val="2"/>
          <w:sz w:val="21"/>
          <w:szCs w:val="21"/>
          <w:highlight w:val="none"/>
        </w:rPr>
        <w:t>等因素</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若是</w:t>
      </w:r>
      <w:r>
        <w:rPr>
          <w:rFonts w:hint="eastAsia" w:ascii="宋体" w:hAnsi="宋体" w:eastAsia="宋体" w:cs="宋体"/>
          <w:color w:val="auto"/>
          <w:kern w:val="2"/>
          <w:sz w:val="21"/>
          <w:szCs w:val="21"/>
          <w:highlight w:val="none"/>
        </w:rPr>
        <w:t>室外</w:t>
      </w:r>
      <w:r>
        <w:rPr>
          <w:rFonts w:hint="eastAsia" w:ascii="宋体" w:hAnsi="宋体" w:eastAsia="宋体" w:cs="宋体"/>
          <w:color w:val="auto"/>
          <w:kern w:val="2"/>
          <w:sz w:val="21"/>
          <w:szCs w:val="21"/>
          <w:highlight w:val="none"/>
          <w:lang w:val="en-US" w:eastAsia="zh-CN"/>
        </w:rPr>
        <w:t>安装</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并网</w:t>
      </w:r>
      <w:r>
        <w:rPr>
          <w:rFonts w:hint="eastAsia" w:ascii="宋体" w:hAnsi="宋体" w:eastAsia="宋体" w:cs="宋体"/>
          <w:color w:val="auto"/>
          <w:kern w:val="2"/>
          <w:sz w:val="21"/>
          <w:szCs w:val="21"/>
          <w:highlight w:val="none"/>
        </w:rPr>
        <w:t>逆变器上面</w:t>
      </w:r>
      <w:r>
        <w:rPr>
          <w:rFonts w:hint="eastAsia" w:ascii="宋体" w:hAnsi="宋体" w:eastAsia="宋体" w:cs="宋体"/>
          <w:color w:val="auto"/>
          <w:kern w:val="2"/>
          <w:sz w:val="21"/>
          <w:szCs w:val="21"/>
          <w:highlight w:val="none"/>
          <w:lang w:val="en-US" w:eastAsia="zh-CN"/>
        </w:rPr>
        <w:t>须加装304不锈钢挡</w:t>
      </w:r>
      <w:r>
        <w:rPr>
          <w:rFonts w:hint="eastAsia" w:ascii="宋体" w:hAnsi="宋体" w:eastAsia="宋体" w:cs="宋体"/>
          <w:color w:val="auto"/>
          <w:kern w:val="2"/>
          <w:sz w:val="21"/>
          <w:szCs w:val="21"/>
          <w:highlight w:val="none"/>
        </w:rPr>
        <w:t>雨遮阳蓬，避免烈日直射暴晒和雨水浸泡</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若安装在经常有人员进出的场所，并网</w:t>
      </w:r>
      <w:r>
        <w:rPr>
          <w:rFonts w:hint="eastAsia" w:ascii="宋体" w:hAnsi="宋体" w:eastAsia="宋体" w:cs="宋体"/>
          <w:color w:val="auto"/>
          <w:kern w:val="2"/>
          <w:sz w:val="21"/>
          <w:szCs w:val="21"/>
          <w:highlight w:val="none"/>
        </w:rPr>
        <w:t>逆变器</w:t>
      </w:r>
      <w:r>
        <w:rPr>
          <w:rFonts w:hint="eastAsia" w:ascii="宋体" w:hAnsi="宋体" w:eastAsia="宋体" w:cs="宋体"/>
          <w:color w:val="auto"/>
          <w:kern w:val="2"/>
          <w:sz w:val="21"/>
          <w:szCs w:val="21"/>
          <w:highlight w:val="none"/>
          <w:lang w:val="en-US" w:eastAsia="zh-CN"/>
        </w:rPr>
        <w:t>须加装镀锌网格围屏，防止非专业人员误碰导致触电。</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并网</w:t>
      </w:r>
      <w:r>
        <w:rPr>
          <w:rFonts w:hint="eastAsia" w:ascii="宋体" w:hAnsi="宋体" w:eastAsia="宋体" w:cs="宋体"/>
          <w:color w:val="auto"/>
          <w:kern w:val="2"/>
          <w:sz w:val="21"/>
          <w:szCs w:val="21"/>
          <w:highlight w:val="none"/>
        </w:rPr>
        <w:t>逆变器的布置要留有足够的空间以便</w:t>
      </w:r>
      <w:r>
        <w:rPr>
          <w:rFonts w:hint="eastAsia" w:ascii="宋体" w:hAnsi="宋体" w:eastAsia="宋体" w:cs="宋体"/>
          <w:color w:val="auto"/>
          <w:kern w:val="2"/>
          <w:sz w:val="21"/>
          <w:szCs w:val="21"/>
          <w:highlight w:val="none"/>
          <w:lang w:val="en-US" w:eastAsia="zh-CN"/>
        </w:rPr>
        <w:t>后期更换</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上下留有50cm空间距离，两侧留有100cm以上空间距离</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同时离地安装高度要合适，以便观察读取LED显示与运维操作</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hint="eastAsia"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每台</w:t>
      </w:r>
      <w:r>
        <w:rPr>
          <w:rFonts w:hint="eastAsia" w:ascii="宋体" w:hAnsi="宋体" w:eastAsia="宋体" w:cs="宋体"/>
          <w:color w:val="auto"/>
          <w:kern w:val="2"/>
          <w:sz w:val="21"/>
          <w:szCs w:val="21"/>
          <w:highlight w:val="none"/>
        </w:rPr>
        <w:t>并网逆变器</w:t>
      </w:r>
      <w:r>
        <w:rPr>
          <w:rFonts w:hint="eastAsia" w:ascii="宋体" w:hAnsi="宋体" w:eastAsia="宋体" w:cs="宋体"/>
          <w:color w:val="auto"/>
          <w:kern w:val="2"/>
          <w:sz w:val="21"/>
          <w:szCs w:val="21"/>
          <w:highlight w:val="none"/>
          <w:lang w:val="en-US" w:eastAsia="zh-CN"/>
        </w:rPr>
        <w:t>必须配置两瓶干粉灭火器和两桶消防沙</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）支持PLC通讯，项目通电并网后</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lang w:val="en-US" w:eastAsia="zh-CN"/>
        </w:rPr>
        <w:t>必须</w:t>
      </w:r>
      <w:r>
        <w:rPr>
          <w:rFonts w:hint="eastAsia" w:ascii="宋体" w:hAnsi="宋体" w:eastAsia="宋体" w:cs="宋体"/>
          <w:color w:val="auto"/>
          <w:kern w:val="2"/>
          <w:sz w:val="21"/>
          <w:szCs w:val="21"/>
          <w:highlight w:val="none"/>
        </w:rPr>
        <w:t>负责</w:t>
      </w:r>
      <w:r>
        <w:rPr>
          <w:rFonts w:hint="eastAsia" w:ascii="宋体" w:hAnsi="宋体" w:eastAsia="宋体" w:cs="宋体"/>
          <w:color w:val="auto"/>
          <w:kern w:val="2"/>
          <w:sz w:val="21"/>
          <w:szCs w:val="21"/>
          <w:highlight w:val="none"/>
          <w:lang w:val="en-US" w:eastAsia="zh-CN"/>
        </w:rPr>
        <w:t>为安全运维部技术员</w:t>
      </w:r>
      <w:r>
        <w:rPr>
          <w:rFonts w:hint="eastAsia" w:ascii="宋体" w:hAnsi="宋体" w:eastAsia="宋体" w:cs="宋体"/>
          <w:color w:val="auto"/>
          <w:kern w:val="2"/>
          <w:sz w:val="21"/>
          <w:szCs w:val="21"/>
          <w:highlight w:val="none"/>
        </w:rPr>
        <w:t>注册APP监控软件，并将光伏电站现场实时监测数据联通传送至东莞新锋光伏能源科技有限公司数据控制中心PC端，实现集中监控。</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）并网逆变器推荐厂家品牌：</w:t>
      </w:r>
      <w:r>
        <w:rPr>
          <w:rFonts w:hint="eastAsia" w:ascii="宋体" w:hAnsi="宋体" w:eastAsia="宋体" w:cs="宋体"/>
          <w:color w:val="auto"/>
          <w:kern w:val="2"/>
          <w:sz w:val="21"/>
          <w:szCs w:val="21"/>
          <w:highlight w:val="none"/>
          <w:lang w:val="en-US" w:eastAsia="zh-CN"/>
        </w:rPr>
        <w:t>优先考虑</w:t>
      </w:r>
      <w:r>
        <w:rPr>
          <w:rFonts w:hint="eastAsia" w:ascii="宋体" w:hAnsi="宋体" w:eastAsia="宋体" w:cs="宋体"/>
          <w:color w:val="auto"/>
          <w:kern w:val="2"/>
          <w:sz w:val="21"/>
          <w:szCs w:val="21"/>
          <w:highlight w:val="none"/>
        </w:rPr>
        <w:t>华为</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阳光电源</w:t>
      </w:r>
      <w:r>
        <w:rPr>
          <w:rFonts w:hint="eastAsia" w:ascii="宋体" w:hAnsi="宋体" w:eastAsia="宋体" w:cs="宋体"/>
          <w:color w:val="auto"/>
          <w:kern w:val="2"/>
          <w:sz w:val="21"/>
          <w:szCs w:val="21"/>
          <w:highlight w:val="none"/>
          <w:lang w:val="en-US" w:eastAsia="zh-CN"/>
        </w:rPr>
        <w:t>与古瑞瓦特</w:t>
      </w:r>
      <w:r>
        <w:rPr>
          <w:rFonts w:hint="eastAsia" w:ascii="宋体" w:hAnsi="宋体" w:eastAsia="宋体" w:cs="宋体"/>
          <w:color w:val="auto"/>
          <w:kern w:val="2"/>
          <w:sz w:val="21"/>
          <w:szCs w:val="21"/>
          <w:highlight w:val="none"/>
        </w:rPr>
        <w:t>。</w:t>
      </w:r>
    </w:p>
    <w:p>
      <w:pPr>
        <w:widowControl w:val="0"/>
        <w:adjustRightInd/>
        <w:snapToGrid/>
        <w:spacing w:after="0" w:line="360" w:lineRule="auto"/>
        <w:jc w:val="both"/>
        <w:rPr>
          <w:rFonts w:ascii="宋体" w:hAnsi="宋体" w:eastAsia="宋体" w:cs="Times New Roman"/>
          <w:b/>
          <w:bCs/>
          <w:color w:val="auto"/>
          <w:kern w:val="2"/>
          <w:sz w:val="21"/>
          <w:szCs w:val="24"/>
          <w:highlight w:val="none"/>
        </w:rPr>
      </w:pPr>
      <w:r>
        <w:rPr>
          <w:rFonts w:hint="eastAsia" w:ascii="宋体" w:hAnsi="宋体" w:eastAsia="宋体" w:cs="Times New Roman"/>
          <w:b/>
          <w:bCs/>
          <w:color w:val="auto"/>
          <w:kern w:val="2"/>
          <w:sz w:val="21"/>
          <w:szCs w:val="24"/>
          <w:highlight w:val="none"/>
        </w:rPr>
        <w:t>5.交流汇流箱技术要求</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（1）产品质保不少于2年，在投标文件中提供质保说明书。</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（2）电气元件应使用国际国内知名品牌，汇流箱与电气元件均具备国内3C认证。</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（3）内置漏电保护和浪涌保护，采用交直II级防雷保护，整体符合国家相关标准。</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（4）箱体的防护等级不低于IP65，适合户外安装，满足防水、防尘、防紫外线、防盐雾、耐腐蚀等，安装位置干燥、通风良好。</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（5）箱体采用冷扎钢板制作，钢板的厚度≥1.5mm，经过静电喷塑处理，内部全部的金属结构都需经过防腐处理，内外表面平整、光洁，无锈蚀、涂层脱落和磕碰损伤现象。</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（6）箱体内部结构具有足够的机械强度，保证元器件安装后及操作时无摇晃、不变形；元器件安装走线应整齐、可靠、合理布置；电器间绝缘应符合国家有关标准，进出线必须通过接线端子。</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（7）箱体内应该针对接入的设备及线路，拥有明显的电气开断元件，能够确保检修时能够逐级断开系统，每个汇流箱必须给出一次及二次接线图。</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（8）为避免烈日暴晒或雨淋，交流汇流箱须安装遮阳棚。</w:t>
      </w:r>
    </w:p>
    <w:p>
      <w:pPr>
        <w:widowControl w:val="0"/>
        <w:wordWrap w:val="0"/>
        <w:adjustRightInd/>
        <w:snapToGrid/>
        <w:spacing w:after="0" w:line="288" w:lineRule="auto"/>
        <w:ind w:firstLine="420" w:firstLineChars="200"/>
        <w:jc w:val="both"/>
        <w:rPr>
          <w:rFonts w:hint="eastAsia"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交流汇流箱</w:t>
      </w:r>
      <w:r>
        <w:rPr>
          <w:rFonts w:hint="eastAsia" w:ascii="宋体" w:hAnsi="宋体" w:eastAsia="宋体" w:cs="宋体"/>
          <w:color w:val="auto"/>
          <w:kern w:val="2"/>
          <w:sz w:val="21"/>
          <w:szCs w:val="21"/>
          <w:highlight w:val="none"/>
        </w:rPr>
        <w:t>的布置要留有足够的空间</w:t>
      </w:r>
      <w:r>
        <w:rPr>
          <w:rFonts w:hint="eastAsia" w:ascii="宋体" w:hAnsi="宋体" w:eastAsia="宋体" w:cs="宋体"/>
          <w:color w:val="auto"/>
          <w:kern w:val="2"/>
          <w:sz w:val="21"/>
          <w:szCs w:val="21"/>
          <w:highlight w:val="none"/>
          <w:lang w:val="en-US" w:eastAsia="zh-CN"/>
        </w:rPr>
        <w:t>同时离地安装高度要合适，以便运维操作</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（10）开关、真空断路器推荐厂家品牌：常熟、良信、上海人民或同等及以上的品牌。</w:t>
      </w:r>
    </w:p>
    <w:p>
      <w:pPr>
        <w:widowControl w:val="0"/>
        <w:adjustRightInd/>
        <w:snapToGrid/>
        <w:spacing w:after="0" w:line="360" w:lineRule="auto"/>
        <w:jc w:val="both"/>
        <w:rPr>
          <w:rFonts w:ascii="宋体" w:hAnsi="宋体" w:eastAsia="宋体" w:cs="Times New Roman"/>
          <w:b/>
          <w:bCs/>
          <w:color w:val="auto"/>
          <w:kern w:val="2"/>
          <w:sz w:val="21"/>
          <w:szCs w:val="24"/>
          <w:highlight w:val="none"/>
        </w:rPr>
      </w:pPr>
      <w:r>
        <w:rPr>
          <w:rFonts w:hint="eastAsia" w:ascii="宋体" w:hAnsi="宋体" w:eastAsia="宋体" w:cs="Times New Roman"/>
          <w:b/>
          <w:bCs/>
          <w:color w:val="auto"/>
          <w:kern w:val="2"/>
          <w:sz w:val="21"/>
          <w:szCs w:val="24"/>
          <w:highlight w:val="none"/>
        </w:rPr>
        <w:t>6.光伏并网柜技术要求</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（1）产品质保不少于2年，在投标文件中提供质保说明书。</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（2）电气元件应使用国际国内知名品牌，</w:t>
      </w:r>
      <w:r>
        <w:rPr>
          <w:rFonts w:hint="eastAsia" w:ascii="宋体" w:hAnsi="宋体" w:eastAsia="宋体" w:cs="宋体"/>
          <w:color w:val="auto"/>
          <w:kern w:val="2"/>
          <w:sz w:val="21"/>
          <w:szCs w:val="21"/>
          <w:highlight w:val="none"/>
          <w:lang w:val="en-US" w:eastAsia="zh-CN"/>
        </w:rPr>
        <w:t>光伏</w:t>
      </w:r>
      <w:r>
        <w:rPr>
          <w:rFonts w:hint="eastAsia" w:ascii="宋体" w:hAnsi="宋体" w:eastAsia="宋体" w:cs="宋体"/>
          <w:color w:val="auto"/>
          <w:kern w:val="2"/>
          <w:sz w:val="21"/>
          <w:szCs w:val="21"/>
          <w:highlight w:val="none"/>
        </w:rPr>
        <w:t>并网柜与电气元件均具备国内3C认证。</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val="en-US" w:eastAsia="zh-CN"/>
        </w:rPr>
        <w:t>光伏</w:t>
      </w:r>
      <w:r>
        <w:rPr>
          <w:rFonts w:hint="eastAsia" w:ascii="宋体" w:hAnsi="宋体" w:eastAsia="宋体" w:cs="宋体"/>
          <w:color w:val="auto"/>
          <w:kern w:val="2"/>
          <w:sz w:val="21"/>
          <w:szCs w:val="21"/>
          <w:highlight w:val="none"/>
        </w:rPr>
        <w:t>并网柜具备被动孤岛检测、有压自动重合闸、失压</w:t>
      </w:r>
      <w:r>
        <w:rPr>
          <w:rFonts w:hint="eastAsia" w:ascii="宋体" w:hAnsi="宋体" w:eastAsia="宋体" w:cs="宋体"/>
          <w:color w:val="auto"/>
          <w:kern w:val="2"/>
          <w:sz w:val="21"/>
          <w:szCs w:val="21"/>
          <w:highlight w:val="none"/>
          <w:lang w:val="en-US" w:eastAsia="zh-CN"/>
        </w:rPr>
        <w:t>脱扣</w:t>
      </w:r>
      <w:r>
        <w:rPr>
          <w:rFonts w:hint="eastAsia" w:ascii="宋体" w:hAnsi="宋体" w:eastAsia="宋体" w:cs="宋体"/>
          <w:color w:val="auto"/>
          <w:kern w:val="2"/>
          <w:sz w:val="21"/>
          <w:szCs w:val="21"/>
          <w:highlight w:val="none"/>
        </w:rPr>
        <w:t>、过欠压保护、过电流保护、防雷保护、短路保护、高低频保护、防孤岛保护等基本功能，</w:t>
      </w:r>
      <w:r>
        <w:rPr>
          <w:rFonts w:hint="eastAsia" w:ascii="宋体" w:hAnsi="宋体" w:eastAsia="宋体" w:cs="宋体"/>
          <w:color w:val="auto"/>
          <w:kern w:val="2"/>
          <w:sz w:val="21"/>
          <w:szCs w:val="21"/>
          <w:highlight w:val="none"/>
          <w:lang w:val="en-US" w:eastAsia="zh-CN"/>
        </w:rPr>
        <w:t>同时需要加装电气连锁</w:t>
      </w:r>
      <w:r>
        <w:rPr>
          <w:rFonts w:hint="eastAsia" w:ascii="宋体" w:hAnsi="宋体" w:eastAsia="宋体" w:cs="宋体"/>
          <w:color w:val="auto"/>
          <w:kern w:val="2"/>
          <w:sz w:val="21"/>
          <w:szCs w:val="21"/>
          <w:highlight w:val="none"/>
        </w:rPr>
        <w:t>。若当地供电部门要求，还需配置逆功率保护。</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光伏并网柜可以加装计量仓，计量仓带铅封装置，可以有效防止窃电。计量仓内可以安装计量装置和负控装置(一般当地供电局提供)，能很好的记录发电量情况，计量表具备双向计量功能，计量电表数据均接入到监控系统后台。</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（5）柜体的防护等级不低于IP30，配电房内安装，柜型按照原有配电房开关柜定做，整体符合国家相关标准</w:t>
      </w:r>
      <w:r>
        <w:rPr>
          <w:rFonts w:hint="eastAsia" w:ascii="宋体" w:hAnsi="宋体" w:eastAsia="宋体" w:cs="宋体"/>
          <w:color w:val="auto"/>
          <w:kern w:val="2"/>
          <w:sz w:val="21"/>
          <w:szCs w:val="21"/>
          <w:highlight w:val="none"/>
          <w:lang w:val="en-US" w:eastAsia="zh-CN"/>
        </w:rPr>
        <w:t>并通过当地供电部门验收</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）光伏并网柜</w:t>
      </w:r>
      <w:r>
        <w:rPr>
          <w:rFonts w:hint="eastAsia" w:ascii="宋体" w:hAnsi="宋体" w:eastAsia="宋体" w:cs="宋体"/>
          <w:color w:val="auto"/>
          <w:kern w:val="2"/>
          <w:sz w:val="21"/>
          <w:szCs w:val="21"/>
          <w:highlight w:val="none"/>
          <w:lang w:val="en-US" w:eastAsia="zh-CN"/>
        </w:rPr>
        <w:t>必须加装镀锌槽钢底座，安装处必须</w:t>
      </w:r>
      <w:r>
        <w:rPr>
          <w:rFonts w:hint="eastAsia" w:ascii="宋体" w:hAnsi="宋体" w:eastAsia="宋体" w:cs="宋体"/>
          <w:color w:val="auto"/>
          <w:kern w:val="2"/>
          <w:sz w:val="21"/>
          <w:szCs w:val="21"/>
          <w:highlight w:val="none"/>
        </w:rPr>
        <w:t>留有足够的</w:t>
      </w:r>
      <w:r>
        <w:rPr>
          <w:rFonts w:hint="eastAsia" w:ascii="宋体" w:hAnsi="宋体" w:eastAsia="宋体" w:cs="宋体"/>
          <w:color w:val="auto"/>
          <w:kern w:val="2"/>
          <w:sz w:val="21"/>
          <w:szCs w:val="21"/>
          <w:highlight w:val="none"/>
          <w:lang w:val="en-US" w:eastAsia="zh-CN"/>
        </w:rPr>
        <w:t>运维检修</w:t>
      </w:r>
      <w:r>
        <w:rPr>
          <w:rFonts w:hint="eastAsia" w:ascii="宋体" w:hAnsi="宋体" w:eastAsia="宋体" w:cs="宋体"/>
          <w:color w:val="auto"/>
          <w:kern w:val="2"/>
          <w:sz w:val="21"/>
          <w:szCs w:val="21"/>
          <w:highlight w:val="none"/>
        </w:rPr>
        <w:t>空间</w:t>
      </w:r>
      <w:r>
        <w:rPr>
          <w:rFonts w:hint="eastAsia" w:ascii="宋体" w:hAnsi="宋体" w:eastAsia="宋体" w:cs="宋体"/>
          <w:color w:val="auto"/>
          <w:kern w:val="2"/>
          <w:sz w:val="21"/>
          <w:szCs w:val="21"/>
          <w:highlight w:val="none"/>
          <w:lang w:val="en-US" w:eastAsia="zh-CN"/>
        </w:rPr>
        <w:t>且光线充足，方便后期运维操作</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）柜体采用冷扎钢板制作，钢板的厚度≥1.5mm，经过静电喷塑处理，内部全部的金属结构都需经过防腐处理，内外表面平整、光洁，无锈蚀、涂层脱落和磕碰损伤现象。</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）柜体内部结构具有足够的机械强度，保证元器件安装后及操作时无摇晃、不变形；元器件安装走线应整齐、可靠、合理布置；电器间绝缘应符合国家有关标准，进出线必须通过接线端子。</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）光伏并网柜</w:t>
      </w:r>
      <w:r>
        <w:rPr>
          <w:rFonts w:hint="eastAsia" w:ascii="宋体" w:hAnsi="宋体" w:eastAsia="宋体" w:cs="宋体"/>
          <w:color w:val="auto"/>
          <w:kern w:val="2"/>
          <w:sz w:val="21"/>
          <w:szCs w:val="21"/>
          <w:highlight w:val="none"/>
          <w:lang w:val="en-US" w:eastAsia="zh-CN"/>
        </w:rPr>
        <w:t>每个</w:t>
      </w:r>
      <w:r>
        <w:rPr>
          <w:rFonts w:hint="eastAsia" w:ascii="宋体" w:hAnsi="宋体" w:eastAsia="宋体" w:cs="宋体"/>
          <w:color w:val="auto"/>
          <w:kern w:val="2"/>
          <w:sz w:val="21"/>
          <w:szCs w:val="21"/>
          <w:highlight w:val="none"/>
        </w:rPr>
        <w:t>光伏出线回路</w:t>
      </w:r>
      <w:r>
        <w:rPr>
          <w:rFonts w:hint="eastAsia" w:ascii="宋体" w:hAnsi="宋体" w:eastAsia="宋体" w:cs="宋体"/>
          <w:color w:val="auto"/>
          <w:kern w:val="2"/>
          <w:sz w:val="21"/>
          <w:szCs w:val="21"/>
          <w:highlight w:val="none"/>
          <w:lang w:val="en-US" w:eastAsia="zh-CN"/>
        </w:rPr>
        <w:t>需</w:t>
      </w:r>
      <w:r>
        <w:rPr>
          <w:rFonts w:hint="eastAsia" w:ascii="宋体" w:hAnsi="宋体" w:eastAsia="宋体" w:cs="宋体"/>
          <w:color w:val="auto"/>
          <w:kern w:val="2"/>
          <w:sz w:val="21"/>
          <w:szCs w:val="21"/>
          <w:highlight w:val="none"/>
        </w:rPr>
        <w:t>电流表、电压表。</w:t>
      </w:r>
    </w:p>
    <w:p>
      <w:pPr>
        <w:widowControl w:val="0"/>
        <w:wordWrap w:val="0"/>
        <w:adjustRightInd/>
        <w:snapToGrid/>
        <w:spacing w:after="0" w:line="288" w:lineRule="auto"/>
        <w:ind w:firstLine="420" w:firstLineChars="200"/>
        <w:jc w:val="both"/>
        <w:rPr>
          <w:rFonts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）单个光伏并网柜并网容量是否能超过400kW请与</w:t>
      </w:r>
      <w:r>
        <w:rPr>
          <w:rFonts w:hint="eastAsia" w:ascii="宋体" w:hAnsi="宋体" w:eastAsia="宋体" w:cs="宋体"/>
          <w:color w:val="auto"/>
          <w:kern w:val="2"/>
          <w:sz w:val="21"/>
          <w:szCs w:val="21"/>
          <w:highlight w:val="none"/>
          <w:lang w:val="en-US" w:eastAsia="zh-CN"/>
        </w:rPr>
        <w:t>当地供电部门</w:t>
      </w:r>
      <w:r>
        <w:rPr>
          <w:rFonts w:hint="eastAsia" w:ascii="宋体" w:hAnsi="宋体" w:eastAsia="宋体" w:cs="宋体"/>
          <w:color w:val="auto"/>
          <w:kern w:val="2"/>
          <w:sz w:val="21"/>
          <w:szCs w:val="21"/>
          <w:highlight w:val="none"/>
        </w:rPr>
        <w:t>确认清楚</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当</w:t>
      </w:r>
      <w:r>
        <w:rPr>
          <w:rFonts w:hint="eastAsia" w:ascii="宋体" w:hAnsi="宋体" w:eastAsia="宋体" w:cs="宋体"/>
          <w:color w:val="auto"/>
          <w:kern w:val="2"/>
          <w:sz w:val="21"/>
          <w:szCs w:val="21"/>
          <w:highlight w:val="none"/>
        </w:rPr>
        <w:t>光伏并网柜并网容量超过</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00kW</w:t>
      </w:r>
      <w:r>
        <w:rPr>
          <w:rFonts w:hint="eastAsia" w:ascii="宋体" w:hAnsi="宋体" w:eastAsia="宋体" w:cs="宋体"/>
          <w:color w:val="auto"/>
          <w:kern w:val="2"/>
          <w:sz w:val="21"/>
          <w:szCs w:val="21"/>
          <w:highlight w:val="none"/>
          <w:lang w:val="en-US" w:eastAsia="zh-CN"/>
        </w:rPr>
        <w:t>时，除铜排拼柜外必须采用封闭式铜母线槽，严禁采用电缆</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11</w:t>
      </w:r>
      <w:r>
        <w:rPr>
          <w:rFonts w:hint="eastAsia" w:ascii="宋体" w:hAnsi="宋体" w:eastAsia="宋体" w:cs="宋体"/>
          <w:color w:val="auto"/>
          <w:kern w:val="2"/>
          <w:sz w:val="21"/>
          <w:szCs w:val="21"/>
          <w:highlight w:val="none"/>
        </w:rPr>
        <w:t>）柜体内应该针对接入的设备及线路，拥有明显的电气开断元件，能够确保检修时能够逐级断开系统，每个</w:t>
      </w:r>
      <w:r>
        <w:rPr>
          <w:rFonts w:hint="eastAsia" w:ascii="宋体" w:hAnsi="宋体" w:eastAsia="宋体" w:cs="宋体"/>
          <w:color w:val="auto"/>
          <w:kern w:val="2"/>
          <w:sz w:val="21"/>
          <w:szCs w:val="21"/>
          <w:highlight w:val="none"/>
          <w:lang w:val="en-US" w:eastAsia="zh-CN"/>
        </w:rPr>
        <w:t>光伏</w:t>
      </w:r>
      <w:r>
        <w:rPr>
          <w:rFonts w:hint="eastAsia" w:ascii="宋体" w:hAnsi="宋体" w:eastAsia="宋体" w:cs="宋体"/>
          <w:color w:val="auto"/>
          <w:kern w:val="2"/>
          <w:sz w:val="21"/>
          <w:szCs w:val="21"/>
          <w:highlight w:val="none"/>
        </w:rPr>
        <w:t>并网柜必须给出一次及二次接线图。</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rPr>
        <w:t>）有光伏系统接入的配电房需配置含有光伏并网柜的电力系统图版。</w:t>
      </w:r>
    </w:p>
    <w:p>
      <w:pPr>
        <w:widowControl w:val="0"/>
        <w:wordWrap w:val="0"/>
        <w:adjustRightInd/>
        <w:snapToGrid/>
        <w:spacing w:after="0" w:line="288" w:lineRule="auto"/>
        <w:ind w:firstLine="420" w:firstLineChars="200"/>
        <w:jc w:val="both"/>
        <w:rPr>
          <w:rFonts w:hint="eastAsia"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13</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所有电气设备安装完成后，应进行电气交接试验，并形成记录</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（14）开关、真空断路器推荐厂家品牌：常熟、良信、上海人民或同等及以上的品牌</w:t>
      </w:r>
      <w:r>
        <w:rPr>
          <w:rFonts w:hint="eastAsia" w:ascii="宋体" w:hAnsi="宋体" w:eastAsia="宋体" w:cs="宋体"/>
          <w:b w:val="0"/>
          <w:bCs w:val="0"/>
          <w:color w:val="auto"/>
          <w:kern w:val="2"/>
          <w:sz w:val="21"/>
          <w:szCs w:val="21"/>
          <w:highlight w:val="none"/>
          <w:lang w:val="en-US" w:eastAsia="zh-CN" w:bidi="ar-SA"/>
        </w:rPr>
        <w:t>。</w:t>
      </w:r>
    </w:p>
    <w:p>
      <w:pPr>
        <w:widowControl w:val="0"/>
        <w:adjustRightInd/>
        <w:snapToGrid/>
        <w:spacing w:after="0" w:line="360" w:lineRule="auto"/>
        <w:jc w:val="both"/>
        <w:rPr>
          <w:rFonts w:ascii="宋体" w:hAnsi="宋体" w:eastAsia="宋体" w:cs="Times New Roman"/>
          <w:b/>
          <w:bCs/>
          <w:color w:val="auto"/>
          <w:kern w:val="2"/>
          <w:sz w:val="21"/>
          <w:szCs w:val="24"/>
          <w:highlight w:val="none"/>
        </w:rPr>
      </w:pPr>
      <w:r>
        <w:rPr>
          <w:rFonts w:hint="eastAsia" w:ascii="宋体" w:hAnsi="宋体" w:eastAsia="宋体" w:cs="Times New Roman"/>
          <w:b/>
          <w:bCs/>
          <w:color w:val="auto"/>
          <w:kern w:val="2"/>
          <w:sz w:val="21"/>
          <w:szCs w:val="24"/>
          <w:highlight w:val="none"/>
        </w:rPr>
        <w:t>7.</w:t>
      </w:r>
      <w:r>
        <w:rPr>
          <w:rFonts w:hint="eastAsia" w:ascii="宋体" w:hAnsi="宋体" w:eastAsia="宋体" w:cs="Times New Roman"/>
          <w:b/>
          <w:bCs/>
          <w:color w:val="auto"/>
          <w:kern w:val="2"/>
          <w:sz w:val="21"/>
          <w:szCs w:val="24"/>
          <w:highlight w:val="none"/>
          <w:lang w:val="en-US" w:eastAsia="zh-CN"/>
        </w:rPr>
        <w:t>直流</w:t>
      </w:r>
      <w:r>
        <w:rPr>
          <w:rFonts w:hint="eastAsia" w:ascii="宋体" w:hAnsi="宋体" w:eastAsia="宋体" w:cs="Times New Roman"/>
          <w:b/>
          <w:bCs/>
          <w:color w:val="auto"/>
          <w:kern w:val="2"/>
          <w:sz w:val="21"/>
          <w:szCs w:val="24"/>
          <w:highlight w:val="none"/>
        </w:rPr>
        <w:t>电缆</w:t>
      </w:r>
      <w:r>
        <w:rPr>
          <w:rFonts w:hint="eastAsia" w:ascii="宋体" w:hAnsi="宋体" w:eastAsia="宋体" w:cs="Times New Roman"/>
          <w:b/>
          <w:bCs/>
          <w:color w:val="auto"/>
          <w:kern w:val="2"/>
          <w:sz w:val="21"/>
          <w:szCs w:val="24"/>
          <w:highlight w:val="none"/>
          <w:lang w:eastAsia="zh-CN"/>
        </w:rPr>
        <w:t>、</w:t>
      </w:r>
      <w:r>
        <w:rPr>
          <w:rFonts w:hint="eastAsia" w:ascii="宋体" w:hAnsi="宋体" w:eastAsia="宋体" w:cs="Times New Roman"/>
          <w:b/>
          <w:bCs/>
          <w:color w:val="auto"/>
          <w:kern w:val="2"/>
          <w:sz w:val="21"/>
          <w:szCs w:val="24"/>
          <w:highlight w:val="none"/>
          <w:lang w:val="en-US" w:eastAsia="zh-CN"/>
        </w:rPr>
        <w:t>交流电缆</w:t>
      </w:r>
      <w:r>
        <w:rPr>
          <w:rFonts w:hint="eastAsia" w:ascii="宋体" w:hAnsi="宋体" w:eastAsia="宋体" w:cs="Times New Roman"/>
          <w:b/>
          <w:bCs/>
          <w:color w:val="auto"/>
          <w:kern w:val="2"/>
          <w:sz w:val="21"/>
          <w:szCs w:val="24"/>
          <w:highlight w:val="none"/>
        </w:rPr>
        <w:t>技术要求</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（1）本项目涉及的所有</w:t>
      </w:r>
      <w:r>
        <w:rPr>
          <w:rFonts w:hint="eastAsia" w:ascii="宋体" w:hAnsi="宋体" w:eastAsia="宋体" w:cs="宋体"/>
          <w:color w:val="auto"/>
          <w:kern w:val="2"/>
          <w:sz w:val="21"/>
          <w:szCs w:val="21"/>
          <w:highlight w:val="none"/>
          <w:lang w:val="en-US" w:eastAsia="zh-CN"/>
        </w:rPr>
        <w:t>线</w:t>
      </w:r>
      <w:r>
        <w:rPr>
          <w:rFonts w:hint="eastAsia" w:ascii="宋体" w:hAnsi="宋体" w:eastAsia="宋体" w:cs="宋体"/>
          <w:color w:val="auto"/>
          <w:kern w:val="2"/>
          <w:sz w:val="21"/>
          <w:szCs w:val="21"/>
          <w:highlight w:val="none"/>
        </w:rPr>
        <w:t>缆</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包含但不限于直流电缆、交流电缆、电源线、信号线等</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均属投标单位</w:t>
      </w:r>
      <w:r>
        <w:rPr>
          <w:rFonts w:hint="eastAsia" w:ascii="宋体" w:hAnsi="宋体" w:eastAsia="宋体" w:cs="宋体"/>
          <w:color w:val="auto"/>
          <w:kern w:val="2"/>
          <w:sz w:val="21"/>
          <w:szCs w:val="21"/>
          <w:highlight w:val="none"/>
          <w:lang w:val="en-US" w:eastAsia="zh-CN"/>
        </w:rPr>
        <w:t>承包</w:t>
      </w:r>
      <w:r>
        <w:rPr>
          <w:rFonts w:hint="eastAsia" w:ascii="宋体" w:hAnsi="宋体" w:eastAsia="宋体" w:cs="宋体"/>
          <w:color w:val="auto"/>
          <w:kern w:val="2"/>
          <w:sz w:val="21"/>
          <w:szCs w:val="21"/>
          <w:highlight w:val="none"/>
        </w:rPr>
        <w:t>范围。</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）直流侧电缆要以减少线损并防止外界干扰的原则选型，选用双绝缘防紫外线阻燃铜芯光伏专用电缆，电缆性能符合GB/T18950-2003性能测试的要求；交流侧需要考虑敷设的形式和安全来选择，采用</w:t>
      </w:r>
      <w:r>
        <w:rPr>
          <w:rFonts w:hint="eastAsia" w:ascii="宋体" w:hAnsi="宋体" w:eastAsia="宋体" w:cs="宋体"/>
          <w:color w:val="auto"/>
          <w:kern w:val="2"/>
          <w:sz w:val="21"/>
          <w:szCs w:val="21"/>
          <w:highlight w:val="none"/>
          <w:lang w:val="en-US" w:eastAsia="zh-CN"/>
        </w:rPr>
        <w:t>5芯</w:t>
      </w:r>
      <w:r>
        <w:rPr>
          <w:rFonts w:hint="eastAsia" w:ascii="宋体" w:hAnsi="宋体" w:eastAsia="宋体" w:cs="宋体"/>
          <w:color w:val="auto"/>
          <w:kern w:val="2"/>
          <w:sz w:val="21"/>
          <w:szCs w:val="21"/>
          <w:highlight w:val="none"/>
        </w:rPr>
        <w:t>阻燃</w:t>
      </w:r>
      <w:r>
        <w:rPr>
          <w:rFonts w:hint="eastAsia" w:ascii="宋体" w:hAnsi="宋体" w:eastAsia="宋体" w:cs="宋体"/>
          <w:color w:val="auto"/>
          <w:kern w:val="2"/>
          <w:sz w:val="21"/>
          <w:szCs w:val="21"/>
          <w:highlight w:val="none"/>
          <w:lang w:val="en-US" w:eastAsia="zh-CN"/>
        </w:rPr>
        <w:t>绝缘护套</w:t>
      </w:r>
      <w:r>
        <w:rPr>
          <w:rFonts w:hint="eastAsia" w:ascii="宋体" w:hAnsi="宋体" w:eastAsia="宋体" w:cs="宋体"/>
          <w:color w:val="auto"/>
          <w:kern w:val="2"/>
          <w:sz w:val="21"/>
          <w:szCs w:val="21"/>
          <w:highlight w:val="none"/>
        </w:rPr>
        <w:t>铜芯电缆</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若涉及埋管电缆须采用铠装</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）直流部分和交流低压部分的总线路损耗应控制在2%以内。</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）光伏线缆MC4插头制作应严格按规范进行，所有</w:t>
      </w:r>
      <w:r>
        <w:rPr>
          <w:rFonts w:hint="eastAsia" w:ascii="宋体" w:hAnsi="宋体" w:eastAsia="宋体" w:cs="宋体"/>
          <w:color w:val="auto"/>
          <w:kern w:val="2"/>
          <w:sz w:val="21"/>
          <w:szCs w:val="21"/>
          <w:highlight w:val="none"/>
          <w:lang w:val="en-US" w:eastAsia="zh-CN"/>
        </w:rPr>
        <w:t>直流</w:t>
      </w:r>
      <w:r>
        <w:rPr>
          <w:rFonts w:hint="eastAsia" w:ascii="宋体" w:hAnsi="宋体" w:eastAsia="宋体" w:cs="宋体"/>
          <w:color w:val="auto"/>
          <w:kern w:val="2"/>
          <w:sz w:val="21"/>
          <w:szCs w:val="21"/>
          <w:highlight w:val="none"/>
        </w:rPr>
        <w:t>电缆</w:t>
      </w:r>
      <w:r>
        <w:rPr>
          <w:rFonts w:hint="eastAsia" w:ascii="宋体" w:hAnsi="宋体" w:eastAsia="宋体" w:cs="宋体"/>
          <w:color w:val="auto"/>
          <w:kern w:val="2"/>
          <w:sz w:val="21"/>
          <w:szCs w:val="21"/>
          <w:highlight w:val="none"/>
          <w:lang w:val="en-US" w:eastAsia="zh-CN"/>
        </w:rPr>
        <w:t>做好套管或其他防护措施，防止直流</w:t>
      </w:r>
      <w:r>
        <w:rPr>
          <w:rFonts w:hint="eastAsia" w:ascii="宋体" w:hAnsi="宋体" w:eastAsia="宋体" w:cs="宋体"/>
          <w:color w:val="auto"/>
          <w:kern w:val="2"/>
          <w:sz w:val="21"/>
          <w:szCs w:val="21"/>
          <w:highlight w:val="none"/>
        </w:rPr>
        <w:t>电缆裸</w:t>
      </w:r>
      <w:r>
        <w:rPr>
          <w:rFonts w:hint="eastAsia" w:ascii="宋体" w:hAnsi="宋体" w:eastAsia="宋体" w:cs="宋体"/>
          <w:color w:val="auto"/>
          <w:kern w:val="2"/>
          <w:sz w:val="21"/>
          <w:szCs w:val="21"/>
          <w:highlight w:val="none"/>
          <w:lang w:val="en-US" w:eastAsia="zh-CN"/>
        </w:rPr>
        <w:t>露</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交直流电缆、</w:t>
      </w:r>
      <w:r>
        <w:rPr>
          <w:rFonts w:hint="eastAsia" w:ascii="宋体" w:hAnsi="宋体" w:eastAsia="宋体" w:cs="宋体"/>
          <w:color w:val="auto"/>
          <w:kern w:val="2"/>
          <w:sz w:val="21"/>
          <w:szCs w:val="21"/>
          <w:highlight w:val="none"/>
        </w:rPr>
        <w:t>配线</w:t>
      </w:r>
      <w:r>
        <w:rPr>
          <w:rFonts w:hint="eastAsia" w:ascii="宋体" w:hAnsi="宋体" w:eastAsia="宋体" w:cs="宋体"/>
          <w:color w:val="auto"/>
          <w:kern w:val="2"/>
          <w:sz w:val="21"/>
          <w:szCs w:val="21"/>
          <w:highlight w:val="none"/>
          <w:lang w:val="en-US" w:eastAsia="zh-CN"/>
        </w:rPr>
        <w:t>线管和桥架</w:t>
      </w:r>
      <w:r>
        <w:rPr>
          <w:rFonts w:hint="eastAsia" w:ascii="宋体" w:hAnsi="宋体" w:eastAsia="宋体" w:cs="宋体"/>
          <w:color w:val="auto"/>
          <w:kern w:val="2"/>
          <w:sz w:val="21"/>
          <w:szCs w:val="21"/>
          <w:highlight w:val="none"/>
        </w:rPr>
        <w:t>在建筑物</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光伏棚结构</w:t>
      </w:r>
      <w:r>
        <w:rPr>
          <w:rFonts w:hint="eastAsia" w:ascii="宋体" w:hAnsi="宋体" w:eastAsia="宋体" w:cs="宋体"/>
          <w:color w:val="auto"/>
          <w:kern w:val="2"/>
          <w:sz w:val="21"/>
          <w:szCs w:val="21"/>
          <w:highlight w:val="none"/>
        </w:rPr>
        <w:t>上的布置应美观，与整个建筑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棚架</w:t>
      </w:r>
      <w:r>
        <w:rPr>
          <w:rFonts w:hint="eastAsia" w:ascii="宋体" w:hAnsi="宋体" w:eastAsia="宋体" w:cs="宋体"/>
          <w:color w:val="auto"/>
          <w:kern w:val="2"/>
          <w:sz w:val="21"/>
          <w:szCs w:val="21"/>
          <w:highlight w:val="none"/>
        </w:rPr>
        <w:t>协调一致，布线应隐蔽，从底部不能明显的看到线缆。各方阵的线缆便于连接，并有足够的强度，线缆连接附件应防水、抗老化。</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）各类线缆通过TUV、UL、VDE 认证，能满足室外30年的使用年限。</w:t>
      </w:r>
    </w:p>
    <w:p>
      <w:pPr>
        <w:widowControl w:val="0"/>
        <w:wordWrap w:val="0"/>
        <w:adjustRightInd/>
        <w:snapToGrid/>
        <w:spacing w:after="0" w:line="288" w:lineRule="auto"/>
        <w:ind w:firstLine="420" w:firstLineChars="200"/>
        <w:jc w:val="both"/>
        <w:rPr>
          <w:rFonts w:hint="eastAsia" w:ascii="Calibri" w:hAnsi="Calibri" w:eastAsia="宋体" w:cs="Times New Roman"/>
          <w:color w:val="auto"/>
          <w:kern w:val="2"/>
          <w:sz w:val="21"/>
          <w:szCs w:val="24"/>
          <w:highlight w:val="none"/>
        </w:rPr>
      </w:pPr>
      <w:r>
        <w:rPr>
          <w:rFonts w:hint="eastAsia" w:ascii="宋体" w:hAnsi="宋体" w:eastAsia="宋体" w:cs="宋体"/>
          <w:b w:val="0"/>
          <w:bCs w:val="0"/>
          <w:color w:val="auto"/>
          <w:kern w:val="2"/>
          <w:sz w:val="21"/>
          <w:szCs w:val="21"/>
          <w:highlight w:val="none"/>
          <w:lang w:val="en-US" w:eastAsia="zh-CN" w:bidi="ar-SA"/>
        </w:rPr>
        <w:t>（7）所有线缆敷设完成后，应进行直流电阻、绝缘电阻、直流耐压/交流耐压试验，并形成记录。</w:t>
      </w:r>
    </w:p>
    <w:p>
      <w:pPr>
        <w:widowControl w:val="0"/>
        <w:wordWrap w:val="0"/>
        <w:adjustRightInd/>
        <w:snapToGrid/>
        <w:spacing w:after="0" w:line="288" w:lineRule="auto"/>
        <w:ind w:firstLine="420" w:firstLineChars="200"/>
        <w:jc w:val="both"/>
        <w:rPr>
          <w:rFonts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lang w:val="en-US" w:eastAsia="zh-CN"/>
        </w:rPr>
        <w:t>（8）交流电缆推荐厂家品牌：珠江、成天泰、南洋或同等及以上的品牌</w:t>
      </w:r>
      <w:r>
        <w:rPr>
          <w:rFonts w:hint="eastAsia" w:ascii="宋体" w:hAnsi="宋体" w:eastAsia="宋体" w:cs="宋体"/>
          <w:b w:val="0"/>
          <w:bCs w:val="0"/>
          <w:color w:val="auto"/>
          <w:kern w:val="2"/>
          <w:sz w:val="21"/>
          <w:szCs w:val="21"/>
          <w:highlight w:val="none"/>
          <w:lang w:val="en-US" w:eastAsia="zh-CN" w:bidi="ar-SA"/>
        </w:rPr>
        <w:t>。</w:t>
      </w:r>
    </w:p>
    <w:p>
      <w:pPr>
        <w:widowControl w:val="0"/>
        <w:adjustRightInd/>
        <w:snapToGrid/>
        <w:spacing w:after="0" w:line="360" w:lineRule="auto"/>
        <w:jc w:val="both"/>
        <w:rPr>
          <w:rFonts w:ascii="宋体" w:hAnsi="宋体" w:eastAsia="宋体" w:cs="Times New Roman"/>
          <w:b/>
          <w:bCs/>
          <w:color w:val="auto"/>
          <w:kern w:val="2"/>
          <w:sz w:val="21"/>
          <w:szCs w:val="24"/>
          <w:highlight w:val="none"/>
        </w:rPr>
      </w:pPr>
      <w:r>
        <w:rPr>
          <w:rFonts w:hint="eastAsia" w:ascii="宋体" w:hAnsi="宋体" w:eastAsia="宋体" w:cs="Times New Roman"/>
          <w:b/>
          <w:bCs/>
          <w:color w:val="auto"/>
          <w:kern w:val="2"/>
          <w:sz w:val="21"/>
          <w:szCs w:val="24"/>
          <w:highlight w:val="none"/>
          <w:lang w:val="en-US" w:eastAsia="zh-CN"/>
        </w:rPr>
        <w:t>8</w:t>
      </w:r>
      <w:r>
        <w:rPr>
          <w:rFonts w:hint="eastAsia" w:ascii="宋体" w:hAnsi="宋体" w:eastAsia="宋体" w:cs="Times New Roman"/>
          <w:b/>
          <w:bCs/>
          <w:color w:val="auto"/>
          <w:kern w:val="2"/>
          <w:sz w:val="21"/>
          <w:szCs w:val="24"/>
          <w:highlight w:val="none"/>
        </w:rPr>
        <w:t>.电缆桥架</w:t>
      </w:r>
      <w:r>
        <w:rPr>
          <w:rFonts w:hint="eastAsia" w:ascii="宋体" w:hAnsi="宋体" w:eastAsia="宋体" w:cs="Times New Roman"/>
          <w:b/>
          <w:bCs/>
          <w:color w:val="auto"/>
          <w:kern w:val="2"/>
          <w:sz w:val="21"/>
          <w:szCs w:val="24"/>
          <w:highlight w:val="none"/>
          <w:lang w:eastAsia="zh-CN"/>
        </w:rPr>
        <w:t>、</w:t>
      </w:r>
      <w:r>
        <w:rPr>
          <w:rFonts w:hint="eastAsia" w:ascii="宋体" w:hAnsi="宋体" w:eastAsia="宋体" w:cs="Times New Roman"/>
          <w:b/>
          <w:bCs/>
          <w:color w:val="auto"/>
          <w:kern w:val="2"/>
          <w:sz w:val="21"/>
          <w:szCs w:val="24"/>
          <w:highlight w:val="none"/>
          <w:lang w:val="en-US" w:eastAsia="zh-CN"/>
        </w:rPr>
        <w:t>电缆管道</w:t>
      </w:r>
      <w:r>
        <w:rPr>
          <w:rFonts w:hint="eastAsia" w:ascii="宋体" w:hAnsi="宋体" w:eastAsia="宋体" w:cs="Times New Roman"/>
          <w:b/>
          <w:bCs/>
          <w:color w:val="auto"/>
          <w:kern w:val="2"/>
          <w:sz w:val="21"/>
          <w:szCs w:val="24"/>
          <w:highlight w:val="none"/>
        </w:rPr>
        <w:t>技术要求</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（1）本项目涉及的所有电缆走廊</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包含但不限于电缆桥架、破复路面开挖埋管、顶管、电缆井等</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均属投标单位</w:t>
      </w:r>
      <w:r>
        <w:rPr>
          <w:rFonts w:hint="eastAsia" w:ascii="宋体" w:hAnsi="宋体" w:eastAsia="宋体" w:cs="宋体"/>
          <w:color w:val="auto"/>
          <w:kern w:val="2"/>
          <w:sz w:val="21"/>
          <w:szCs w:val="21"/>
          <w:highlight w:val="none"/>
          <w:lang w:val="en-US" w:eastAsia="zh-CN"/>
        </w:rPr>
        <w:t>承包</w:t>
      </w:r>
      <w:r>
        <w:rPr>
          <w:rFonts w:hint="eastAsia" w:ascii="宋体" w:hAnsi="宋体" w:eastAsia="宋体" w:cs="宋体"/>
          <w:color w:val="auto"/>
          <w:kern w:val="2"/>
          <w:sz w:val="21"/>
          <w:szCs w:val="21"/>
          <w:highlight w:val="none"/>
        </w:rPr>
        <w:t>范围。</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（2）所有电缆桥架必须采用</w:t>
      </w:r>
      <w:r>
        <w:rPr>
          <w:rFonts w:hint="eastAsia" w:ascii="宋体" w:hAnsi="宋体" w:eastAsia="宋体" w:cs="宋体"/>
          <w:color w:val="auto"/>
          <w:kern w:val="2"/>
          <w:sz w:val="21"/>
          <w:szCs w:val="21"/>
          <w:highlight w:val="none"/>
          <w:lang w:val="en-US" w:eastAsia="zh-CN"/>
        </w:rPr>
        <w:t>喷涂镀锌桥架</w:t>
      </w:r>
      <w:r>
        <w:rPr>
          <w:rFonts w:hint="eastAsia" w:ascii="宋体" w:hAnsi="宋体" w:eastAsia="宋体" w:cs="宋体"/>
          <w:color w:val="auto"/>
          <w:kern w:val="2"/>
          <w:sz w:val="21"/>
          <w:szCs w:val="21"/>
          <w:highlight w:val="none"/>
        </w:rPr>
        <w:t>，壁厚不少于国标要求，每隔一定距离（支架间距不大于1500mm）必须加装镀锌金属托架（抱箍）固定并做好防锈处理，避免桥架上下部分变形与移位。桥架结合处用非自攻螺钉连接，所有联接件为</w:t>
      </w:r>
      <w:r>
        <w:rPr>
          <w:rFonts w:hint="eastAsia" w:ascii="宋体" w:hAnsi="宋体" w:eastAsia="宋体" w:cs="宋体"/>
          <w:color w:val="auto"/>
          <w:kern w:val="2"/>
          <w:sz w:val="21"/>
          <w:szCs w:val="21"/>
          <w:highlight w:val="none"/>
          <w:lang w:val="en-US" w:eastAsia="zh-CN"/>
        </w:rPr>
        <w:t>镀锌</w:t>
      </w:r>
      <w:r>
        <w:rPr>
          <w:rFonts w:hint="eastAsia" w:ascii="宋体" w:hAnsi="宋体" w:eastAsia="宋体" w:cs="宋体"/>
          <w:color w:val="auto"/>
          <w:kern w:val="2"/>
          <w:sz w:val="21"/>
          <w:szCs w:val="21"/>
          <w:highlight w:val="none"/>
        </w:rPr>
        <w:t>材料。所有电缆桥架均密闭，不能看到电缆及接头外露，且保证桥架内的通风、散热，电缆在桥架里占的空间不超过40%。</w:t>
      </w:r>
    </w:p>
    <w:p>
      <w:pPr>
        <w:widowControl w:val="0"/>
        <w:wordWrap w:val="0"/>
        <w:adjustRightInd/>
        <w:snapToGrid/>
        <w:spacing w:after="0" w:line="288" w:lineRule="auto"/>
        <w:ind w:firstLine="420" w:firstLineChars="200"/>
        <w:jc w:val="both"/>
        <w:rPr>
          <w:rFonts w:hint="eastAsia"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）汇流箱和</w:t>
      </w:r>
      <w:r>
        <w:rPr>
          <w:rFonts w:hint="eastAsia" w:ascii="宋体" w:hAnsi="宋体" w:eastAsia="宋体" w:cs="宋体"/>
          <w:color w:val="auto"/>
          <w:kern w:val="2"/>
          <w:sz w:val="21"/>
          <w:szCs w:val="21"/>
          <w:highlight w:val="none"/>
          <w:lang w:val="en-US" w:eastAsia="zh-CN"/>
        </w:rPr>
        <w:t>并网</w:t>
      </w:r>
      <w:r>
        <w:rPr>
          <w:rFonts w:hint="eastAsia" w:ascii="宋体" w:hAnsi="宋体" w:eastAsia="宋体" w:cs="宋体"/>
          <w:color w:val="auto"/>
          <w:kern w:val="2"/>
          <w:sz w:val="21"/>
          <w:szCs w:val="21"/>
          <w:highlight w:val="none"/>
        </w:rPr>
        <w:t>逆变器线缆进出线也需考虑转弯半径，预留操作空间</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同时</w:t>
      </w:r>
      <w:r>
        <w:rPr>
          <w:rFonts w:hint="eastAsia" w:ascii="宋体" w:hAnsi="宋体" w:eastAsia="宋体" w:cs="宋体"/>
          <w:color w:val="auto"/>
          <w:kern w:val="2"/>
          <w:sz w:val="21"/>
          <w:szCs w:val="21"/>
          <w:highlight w:val="none"/>
          <w:lang w:eastAsia="zh-CN"/>
        </w:rPr>
        <w:t>PVC管进入桥架采用杯梳固定，电缆进入桥架请做好保护</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）所有电缆</w:t>
      </w:r>
      <w:r>
        <w:rPr>
          <w:rFonts w:hint="eastAsia" w:ascii="宋体" w:hAnsi="宋体" w:eastAsia="宋体" w:cs="宋体"/>
          <w:color w:val="auto"/>
          <w:kern w:val="2"/>
          <w:sz w:val="21"/>
          <w:szCs w:val="21"/>
          <w:highlight w:val="none"/>
          <w:lang w:val="en-US" w:eastAsia="zh-CN"/>
        </w:rPr>
        <w:t>管道</w:t>
      </w:r>
      <w:r>
        <w:rPr>
          <w:rFonts w:hint="eastAsia" w:ascii="宋体" w:hAnsi="宋体" w:eastAsia="宋体" w:cs="宋体"/>
          <w:color w:val="auto"/>
          <w:kern w:val="2"/>
          <w:sz w:val="21"/>
          <w:szCs w:val="21"/>
          <w:highlight w:val="none"/>
        </w:rPr>
        <w:t>均采用</w:t>
      </w:r>
      <w:r>
        <w:rPr>
          <w:rFonts w:hint="eastAsia" w:ascii="宋体" w:hAnsi="宋体" w:eastAsia="宋体" w:cs="宋体"/>
          <w:color w:val="auto"/>
          <w:kern w:val="2"/>
          <w:sz w:val="21"/>
          <w:szCs w:val="21"/>
          <w:highlight w:val="none"/>
          <w:lang w:val="en-US" w:eastAsia="zh-CN"/>
        </w:rPr>
        <w:t>套电缆保护管埋管</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严禁采用电缆直埋，</w:t>
      </w:r>
      <w:r>
        <w:rPr>
          <w:rFonts w:hint="eastAsia" w:ascii="宋体" w:hAnsi="宋体" w:eastAsia="宋体" w:cs="宋体"/>
          <w:color w:val="auto"/>
          <w:kern w:val="2"/>
          <w:sz w:val="21"/>
          <w:szCs w:val="21"/>
          <w:highlight w:val="none"/>
        </w:rPr>
        <w:t>所有</w:t>
      </w:r>
      <w:r>
        <w:rPr>
          <w:rFonts w:hint="eastAsia" w:ascii="宋体" w:hAnsi="宋体" w:eastAsia="宋体" w:cs="宋体"/>
          <w:color w:val="auto"/>
          <w:kern w:val="2"/>
          <w:sz w:val="21"/>
          <w:szCs w:val="21"/>
          <w:highlight w:val="none"/>
          <w:lang w:val="en-US" w:eastAsia="zh-CN"/>
        </w:rPr>
        <w:t>电缆保护管</w:t>
      </w:r>
      <w:r>
        <w:rPr>
          <w:rFonts w:hint="eastAsia" w:ascii="宋体" w:hAnsi="宋体" w:eastAsia="宋体" w:cs="宋体"/>
          <w:color w:val="auto"/>
          <w:kern w:val="2"/>
          <w:sz w:val="21"/>
          <w:szCs w:val="21"/>
          <w:highlight w:val="none"/>
        </w:rPr>
        <w:t>应采用HDPE管，</w:t>
      </w:r>
      <w:r>
        <w:rPr>
          <w:rFonts w:hint="eastAsia" w:ascii="宋体" w:hAnsi="宋体" w:eastAsia="宋体" w:cs="宋体"/>
          <w:color w:val="auto"/>
          <w:kern w:val="2"/>
          <w:sz w:val="21"/>
          <w:szCs w:val="21"/>
          <w:highlight w:val="none"/>
          <w:lang w:val="en-US" w:eastAsia="zh-CN"/>
        </w:rPr>
        <w:t>管道直径不低于电缆直径1.5倍，增加</w:t>
      </w:r>
      <w:r>
        <w:rPr>
          <w:rFonts w:hint="eastAsia" w:ascii="宋体" w:hAnsi="宋体" w:eastAsia="宋体" w:cs="宋体"/>
          <w:color w:val="auto"/>
          <w:kern w:val="2"/>
          <w:sz w:val="21"/>
          <w:szCs w:val="21"/>
          <w:highlight w:val="none"/>
        </w:rPr>
        <w:t>C15混凝土垫层</w:t>
      </w:r>
      <w:r>
        <w:rPr>
          <w:rFonts w:hint="eastAsia" w:ascii="宋体" w:hAnsi="宋体" w:eastAsia="宋体" w:cs="宋体"/>
          <w:color w:val="auto"/>
          <w:kern w:val="2"/>
          <w:sz w:val="21"/>
          <w:szCs w:val="21"/>
          <w:highlight w:val="none"/>
          <w:lang w:val="en-US" w:eastAsia="zh-CN"/>
        </w:rPr>
        <w:t>并进行混凝土包封，按C30</w:t>
      </w:r>
      <w:r>
        <w:rPr>
          <w:rFonts w:hint="eastAsia" w:ascii="宋体" w:hAnsi="宋体" w:eastAsia="宋体" w:cs="宋体"/>
          <w:color w:val="auto"/>
          <w:kern w:val="2"/>
          <w:sz w:val="21"/>
          <w:szCs w:val="21"/>
          <w:highlight w:val="none"/>
        </w:rPr>
        <w:t>混凝土</w:t>
      </w:r>
      <w:r>
        <w:rPr>
          <w:rFonts w:hint="eastAsia" w:ascii="宋体" w:hAnsi="宋体" w:eastAsia="宋体" w:cs="宋体"/>
          <w:color w:val="auto"/>
          <w:kern w:val="2"/>
          <w:sz w:val="21"/>
          <w:szCs w:val="21"/>
          <w:highlight w:val="none"/>
          <w:lang w:val="en-US" w:eastAsia="zh-CN"/>
        </w:rPr>
        <w:t>进行路面恢复至与路面平齐，管道每隔50米和转弯处设电缆井，每隔15米左右设置电缆标志牌</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hint="eastAsia"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）所有</w:t>
      </w:r>
      <w:r>
        <w:rPr>
          <w:rFonts w:hint="eastAsia" w:ascii="宋体" w:hAnsi="宋体" w:eastAsia="宋体" w:cs="宋体"/>
          <w:color w:val="auto"/>
          <w:kern w:val="2"/>
          <w:sz w:val="21"/>
          <w:szCs w:val="21"/>
          <w:highlight w:val="none"/>
          <w:lang w:val="en-US" w:eastAsia="zh-CN"/>
        </w:rPr>
        <w:t>电缆井四周需预埋镀锌角铁包边，内空深度不低于600mm，且电缆井内具备排水措施，以防止积水，井盖板统一采用预制镀锌包边砼盖板并设置电缆标志牌</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位于经常有车辆出入得场所，所有电缆管道、电缆井应按行车标准进行设计</w:t>
      </w:r>
      <w:r>
        <w:rPr>
          <w:rFonts w:hint="eastAsia" w:ascii="宋体" w:hAnsi="宋体" w:cs="宋体"/>
          <w:color w:val="auto"/>
          <w:kern w:val="2"/>
          <w:sz w:val="21"/>
          <w:szCs w:val="21"/>
          <w:highlight w:val="none"/>
          <w:lang w:val="en-US" w:eastAsia="zh-CN"/>
        </w:rPr>
        <w:t>并安装</w:t>
      </w:r>
      <w:r>
        <w:rPr>
          <w:rFonts w:hint="eastAsia" w:ascii="宋体" w:hAnsi="宋体" w:eastAsia="宋体" w:cs="宋体"/>
          <w:color w:val="auto"/>
          <w:kern w:val="2"/>
          <w:sz w:val="21"/>
          <w:szCs w:val="21"/>
          <w:highlight w:val="none"/>
          <w:lang w:val="en-US" w:eastAsia="zh-CN"/>
        </w:rPr>
        <w:t>（有车辆经过的道路电缆井盖厚度不少得于150mm）</w:t>
      </w:r>
      <w:r>
        <w:rPr>
          <w:rFonts w:hint="eastAsia" w:ascii="宋体" w:hAnsi="宋体" w:eastAsia="宋体" w:cs="宋体"/>
          <w:color w:val="auto"/>
          <w:kern w:val="2"/>
          <w:sz w:val="21"/>
          <w:szCs w:val="21"/>
          <w:highlight w:val="none"/>
        </w:rPr>
        <w:t>。</w:t>
      </w:r>
    </w:p>
    <w:p>
      <w:pPr>
        <w:widowControl w:val="0"/>
        <w:adjustRightInd/>
        <w:snapToGrid/>
        <w:spacing w:after="0" w:line="360" w:lineRule="auto"/>
        <w:jc w:val="both"/>
        <w:rPr>
          <w:rFonts w:ascii="宋体" w:hAnsi="宋体" w:eastAsia="宋体" w:cs="Times New Roman"/>
          <w:b/>
          <w:bCs/>
          <w:color w:val="auto"/>
          <w:kern w:val="2"/>
          <w:sz w:val="21"/>
          <w:szCs w:val="24"/>
          <w:highlight w:val="none"/>
        </w:rPr>
      </w:pPr>
      <w:r>
        <w:rPr>
          <w:rFonts w:hint="eastAsia" w:ascii="宋体" w:hAnsi="宋体" w:eastAsia="宋体" w:cs="Times New Roman"/>
          <w:b/>
          <w:bCs/>
          <w:color w:val="auto"/>
          <w:kern w:val="2"/>
          <w:sz w:val="21"/>
          <w:szCs w:val="24"/>
          <w:highlight w:val="none"/>
          <w:lang w:val="en-US" w:eastAsia="zh-CN"/>
        </w:rPr>
        <w:t>9</w:t>
      </w:r>
      <w:r>
        <w:rPr>
          <w:rFonts w:hint="eastAsia" w:ascii="宋体" w:hAnsi="宋体" w:eastAsia="宋体" w:cs="Times New Roman"/>
          <w:b/>
          <w:bCs/>
          <w:color w:val="auto"/>
          <w:kern w:val="2"/>
          <w:sz w:val="21"/>
          <w:szCs w:val="24"/>
          <w:highlight w:val="none"/>
        </w:rPr>
        <w:t>.防雷系统</w:t>
      </w:r>
      <w:r>
        <w:rPr>
          <w:rFonts w:hint="eastAsia" w:ascii="宋体" w:hAnsi="宋体" w:eastAsia="宋体" w:cs="Times New Roman"/>
          <w:b/>
          <w:bCs/>
          <w:color w:val="auto"/>
          <w:kern w:val="2"/>
          <w:sz w:val="21"/>
          <w:szCs w:val="24"/>
          <w:highlight w:val="none"/>
          <w:lang w:eastAsia="zh-CN"/>
        </w:rPr>
        <w:t>、</w:t>
      </w:r>
      <w:r>
        <w:rPr>
          <w:rFonts w:hint="eastAsia" w:ascii="宋体" w:hAnsi="宋体" w:eastAsia="宋体" w:cs="Times New Roman"/>
          <w:b/>
          <w:bCs/>
          <w:color w:val="auto"/>
          <w:kern w:val="2"/>
          <w:sz w:val="21"/>
          <w:szCs w:val="24"/>
          <w:highlight w:val="none"/>
          <w:lang w:val="en-US" w:eastAsia="zh-CN"/>
        </w:rPr>
        <w:t>接地</w:t>
      </w:r>
      <w:r>
        <w:rPr>
          <w:rFonts w:hint="eastAsia" w:ascii="宋体" w:hAnsi="宋体" w:eastAsia="宋体" w:cs="Times New Roman"/>
          <w:b/>
          <w:bCs/>
          <w:color w:val="auto"/>
          <w:kern w:val="2"/>
          <w:sz w:val="21"/>
          <w:szCs w:val="24"/>
          <w:highlight w:val="none"/>
        </w:rPr>
        <w:t>系统技术要求</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（1）光伏系统</w:t>
      </w:r>
      <w:r>
        <w:rPr>
          <w:rFonts w:hint="eastAsia" w:ascii="宋体" w:hAnsi="宋体" w:eastAsia="宋体" w:cs="宋体"/>
          <w:color w:val="auto"/>
          <w:kern w:val="2"/>
          <w:sz w:val="21"/>
          <w:szCs w:val="21"/>
          <w:highlight w:val="none"/>
          <w:lang w:val="en-US" w:eastAsia="zh-CN"/>
        </w:rPr>
        <w:t>应独立</w:t>
      </w:r>
      <w:r>
        <w:rPr>
          <w:rFonts w:hint="eastAsia" w:ascii="宋体" w:hAnsi="宋体" w:eastAsia="宋体" w:cs="宋体"/>
          <w:color w:val="auto"/>
          <w:kern w:val="2"/>
          <w:sz w:val="21"/>
          <w:szCs w:val="21"/>
          <w:highlight w:val="none"/>
        </w:rPr>
        <w:t>设计</w:t>
      </w:r>
      <w:r>
        <w:rPr>
          <w:rFonts w:hint="eastAsia" w:ascii="宋体" w:hAnsi="宋体" w:eastAsia="宋体" w:cs="宋体"/>
          <w:color w:val="auto"/>
          <w:kern w:val="2"/>
          <w:sz w:val="21"/>
          <w:szCs w:val="21"/>
          <w:highlight w:val="none"/>
          <w:lang w:val="en-US" w:eastAsia="zh-CN"/>
        </w:rPr>
        <w:t>防雷接地系统</w:t>
      </w:r>
      <w:r>
        <w:rPr>
          <w:rFonts w:hint="eastAsia" w:ascii="宋体" w:hAnsi="宋体" w:eastAsia="宋体" w:cs="宋体"/>
          <w:color w:val="auto"/>
          <w:kern w:val="2"/>
          <w:sz w:val="21"/>
          <w:szCs w:val="21"/>
          <w:highlight w:val="none"/>
        </w:rPr>
        <w:t>,满足雷电防护分区、分级确定的防雷等级要求。各连接点的连接电阻应小于4Ω。接地网的制作应符合国家相关规范要求。屋顶必须有等电位接地地网作为接地连接。</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（2）提供的并网逆变器安全可靠，能确保25年内有效防止光伏组件PID现象的发生。</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（3）带边框的光伏组件防雷接地要牢靠，并网逆变器将外壳可靠接地，避雷扁</w:t>
      </w:r>
      <w:r>
        <w:rPr>
          <w:rFonts w:hint="eastAsia" w:ascii="宋体" w:hAnsi="宋体" w:eastAsia="宋体" w:cs="宋体"/>
          <w:color w:val="auto"/>
          <w:kern w:val="2"/>
          <w:sz w:val="21"/>
          <w:szCs w:val="21"/>
          <w:highlight w:val="none"/>
          <w:lang w:val="en-US" w:eastAsia="zh-CN"/>
        </w:rPr>
        <w:t>铁</w:t>
      </w:r>
      <w:r>
        <w:rPr>
          <w:rFonts w:hint="eastAsia" w:ascii="宋体" w:hAnsi="宋体" w:eastAsia="宋体" w:cs="宋体"/>
          <w:color w:val="auto"/>
          <w:kern w:val="2"/>
          <w:sz w:val="21"/>
          <w:szCs w:val="21"/>
          <w:highlight w:val="none"/>
        </w:rPr>
        <w:t>、接地线及接地级要符合规范要求，保障每年防雷接地检测合格。</w:t>
      </w:r>
    </w:p>
    <w:p>
      <w:pPr>
        <w:widowControl w:val="0"/>
        <w:wordWrap w:val="0"/>
        <w:adjustRightInd/>
        <w:snapToGrid/>
        <w:spacing w:after="0" w:line="288" w:lineRule="auto"/>
        <w:ind w:firstLine="420" w:firstLineChars="200"/>
        <w:jc w:val="both"/>
        <w:rPr>
          <w:rFonts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）避雷</w:t>
      </w:r>
      <w:r>
        <w:rPr>
          <w:rFonts w:hint="eastAsia" w:ascii="宋体" w:hAnsi="宋体" w:eastAsia="宋体" w:cs="宋体"/>
          <w:color w:val="auto"/>
          <w:kern w:val="2"/>
          <w:sz w:val="21"/>
          <w:szCs w:val="21"/>
          <w:highlight w:val="none"/>
          <w:lang w:val="en-US" w:eastAsia="zh-CN"/>
        </w:rPr>
        <w:t>接地网统一采用50×5热镀锌扁钢，垂直</w:t>
      </w:r>
      <w:r>
        <w:rPr>
          <w:rFonts w:hint="eastAsia" w:ascii="宋体" w:hAnsi="宋体" w:eastAsia="宋体" w:cs="宋体"/>
          <w:color w:val="auto"/>
          <w:kern w:val="2"/>
          <w:sz w:val="21"/>
          <w:szCs w:val="21"/>
          <w:highlight w:val="none"/>
        </w:rPr>
        <w:t>接地级</w:t>
      </w:r>
      <w:r>
        <w:rPr>
          <w:rFonts w:hint="eastAsia" w:ascii="宋体" w:hAnsi="宋体" w:eastAsia="宋体" w:cs="宋体"/>
          <w:color w:val="auto"/>
          <w:kern w:val="2"/>
          <w:sz w:val="21"/>
          <w:szCs w:val="21"/>
          <w:highlight w:val="none"/>
          <w:lang w:val="en-US" w:eastAsia="zh-CN"/>
        </w:rPr>
        <w:t>统一采用∠50×5热镀锌角钢，连接处严禁采用螺栓固定</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（4）光伏组件与光伏组件之间、光伏组件与导轨</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排水槽</w:t>
      </w:r>
      <w:r>
        <w:rPr>
          <w:rFonts w:hint="eastAsia" w:ascii="宋体" w:hAnsi="宋体" w:eastAsia="宋体" w:cs="宋体"/>
          <w:color w:val="auto"/>
          <w:kern w:val="2"/>
          <w:sz w:val="21"/>
          <w:szCs w:val="21"/>
          <w:highlight w:val="none"/>
        </w:rPr>
        <w:t>之间</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排水槽与光伏结构棚架之间、桥架与桥架之间</w:t>
      </w:r>
      <w:r>
        <w:rPr>
          <w:rFonts w:hint="eastAsia" w:ascii="宋体" w:hAnsi="宋体" w:eastAsia="宋体" w:cs="宋体"/>
          <w:color w:val="auto"/>
          <w:kern w:val="2"/>
          <w:sz w:val="21"/>
          <w:szCs w:val="21"/>
          <w:highlight w:val="none"/>
        </w:rPr>
        <w:t>做好</w:t>
      </w:r>
      <w:r>
        <w:rPr>
          <w:rFonts w:hint="eastAsia" w:ascii="宋体" w:hAnsi="宋体" w:eastAsia="宋体" w:cs="宋体"/>
          <w:color w:val="auto"/>
          <w:kern w:val="2"/>
          <w:sz w:val="21"/>
          <w:szCs w:val="21"/>
          <w:highlight w:val="none"/>
          <w:lang w:val="en-US" w:eastAsia="zh-CN"/>
        </w:rPr>
        <w:t>不少于4mm2的铜线绝缘</w:t>
      </w:r>
      <w:r>
        <w:rPr>
          <w:rFonts w:hint="eastAsia" w:ascii="宋体" w:hAnsi="宋体" w:eastAsia="宋体" w:cs="宋体"/>
          <w:color w:val="auto"/>
          <w:kern w:val="2"/>
          <w:sz w:val="21"/>
          <w:szCs w:val="21"/>
          <w:highlight w:val="none"/>
        </w:rPr>
        <w:t>接地线</w:t>
      </w:r>
      <w:r>
        <w:rPr>
          <w:rFonts w:hint="eastAsia" w:ascii="宋体" w:hAnsi="宋体" w:eastAsia="宋体" w:cs="宋体"/>
          <w:color w:val="auto"/>
          <w:kern w:val="2"/>
          <w:sz w:val="21"/>
          <w:szCs w:val="21"/>
          <w:highlight w:val="none"/>
          <w:lang w:val="en-US" w:eastAsia="zh-CN"/>
        </w:rPr>
        <w:t>跨接</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等电位连接与接地。</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（5）光伏组件作为建筑一部分，本身要具备很好的防雷措施，与建筑物的防雷带</w:t>
      </w:r>
      <w:r>
        <w:rPr>
          <w:rFonts w:hint="eastAsia" w:ascii="宋体" w:hAnsi="宋体" w:eastAsia="宋体" w:cs="宋体"/>
          <w:color w:val="auto"/>
          <w:kern w:val="2"/>
          <w:sz w:val="21"/>
          <w:szCs w:val="21"/>
          <w:highlight w:val="none"/>
          <w:lang w:val="en-US" w:eastAsia="zh-CN"/>
        </w:rPr>
        <w:t>必须进行可靠连接（或与增设的防雷接闪网、接闪带可靠连接）</w:t>
      </w:r>
      <w:r>
        <w:rPr>
          <w:rFonts w:hint="eastAsia" w:ascii="宋体" w:hAnsi="宋体" w:eastAsia="宋体" w:cs="宋体"/>
          <w:color w:val="auto"/>
          <w:kern w:val="2"/>
          <w:sz w:val="21"/>
          <w:szCs w:val="21"/>
          <w:highlight w:val="none"/>
        </w:rPr>
        <w:t>。在并网逆变器、交流汇流箱，光伏并网柜都应该有分级别的防雷防浪涌保护模块，保护相关的电气设备和线路。</w:t>
      </w:r>
    </w:p>
    <w:p>
      <w:pPr>
        <w:widowControl w:val="0"/>
        <w:wordWrap w:val="0"/>
        <w:adjustRightInd/>
        <w:snapToGrid/>
        <w:spacing w:after="0" w:line="288" w:lineRule="auto"/>
        <w:ind w:firstLine="420" w:firstLineChars="200"/>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w:t>
      </w:r>
      <w:r>
        <w:rPr>
          <w:rFonts w:ascii="宋体" w:hAnsi="宋体" w:eastAsia="宋体" w:cs="宋体"/>
          <w:color w:val="auto"/>
          <w:kern w:val="2"/>
          <w:sz w:val="21"/>
          <w:szCs w:val="21"/>
          <w:highlight w:val="none"/>
        </w:rPr>
        <w:t>6</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安装组件的屋面，必须设置接闪网、接闪带进行保护，并应在整个屋面组成不大于20m×20m或24 m×16m的网格。</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rPr>
        <w:t>）防雷设施安装必须符合《建筑物防雷设计规范》GB50057及国家相关规范要求。</w:t>
      </w:r>
    </w:p>
    <w:p>
      <w:pPr>
        <w:widowControl w:val="0"/>
        <w:wordWrap w:val="0"/>
        <w:adjustRightInd/>
        <w:snapToGrid/>
        <w:spacing w:after="0" w:line="288" w:lineRule="auto"/>
        <w:ind w:firstLine="420" w:firstLineChars="200"/>
        <w:jc w:val="both"/>
        <w:rPr>
          <w:rFonts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）彩钢瓦屋面要求在</w:t>
      </w:r>
      <w:r>
        <w:rPr>
          <w:rFonts w:hint="eastAsia" w:ascii="宋体" w:hAnsi="宋体" w:eastAsia="宋体" w:cs="宋体"/>
          <w:color w:val="auto"/>
          <w:kern w:val="2"/>
          <w:sz w:val="21"/>
          <w:szCs w:val="21"/>
          <w:highlight w:val="none"/>
          <w:lang w:val="en-US" w:eastAsia="zh-CN"/>
        </w:rPr>
        <w:t>焊接防雷网时</w:t>
      </w:r>
      <w:r>
        <w:rPr>
          <w:rFonts w:hint="eastAsia" w:ascii="宋体" w:hAnsi="宋体" w:eastAsia="宋体" w:cs="宋体"/>
          <w:color w:val="auto"/>
          <w:kern w:val="2"/>
          <w:sz w:val="21"/>
          <w:szCs w:val="21"/>
          <w:highlight w:val="none"/>
        </w:rPr>
        <w:t>，应在底部铺满防火隔热板，防止燃烧物溅落至彩钢瓦屋面，烧坏屋顶。</w:t>
      </w:r>
    </w:p>
    <w:p>
      <w:pPr>
        <w:widowControl w:val="0"/>
        <w:adjustRightInd/>
        <w:snapToGrid/>
        <w:spacing w:after="0" w:line="360" w:lineRule="auto"/>
        <w:jc w:val="both"/>
        <w:rPr>
          <w:rFonts w:ascii="宋体" w:hAnsi="宋体" w:eastAsia="宋体" w:cs="Times New Roman"/>
          <w:b/>
          <w:bCs/>
          <w:color w:val="auto"/>
          <w:kern w:val="2"/>
          <w:sz w:val="21"/>
          <w:szCs w:val="24"/>
          <w:highlight w:val="none"/>
        </w:rPr>
      </w:pPr>
      <w:r>
        <w:rPr>
          <w:rFonts w:hint="eastAsia" w:ascii="宋体" w:hAnsi="宋体" w:eastAsia="宋体" w:cs="Times New Roman"/>
          <w:b/>
          <w:bCs/>
          <w:color w:val="auto"/>
          <w:kern w:val="2"/>
          <w:sz w:val="21"/>
          <w:szCs w:val="24"/>
          <w:highlight w:val="none"/>
          <w:lang w:val="en-US" w:eastAsia="zh-CN"/>
        </w:rPr>
        <w:t>10</w:t>
      </w:r>
      <w:r>
        <w:rPr>
          <w:rFonts w:hint="eastAsia" w:ascii="宋体" w:hAnsi="宋体" w:eastAsia="宋体" w:cs="Times New Roman"/>
          <w:b/>
          <w:bCs/>
          <w:color w:val="auto"/>
          <w:kern w:val="2"/>
          <w:sz w:val="21"/>
          <w:szCs w:val="24"/>
          <w:highlight w:val="none"/>
        </w:rPr>
        <w:t>.视频监控系统技术要求</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（1）投标单位提供整套光伏项目的智能型综合自动化系统，实时监测系统的运行情况；该系统集电站设备</w:t>
      </w:r>
      <w:r>
        <w:rPr>
          <w:rFonts w:hint="eastAsia" w:ascii="宋体" w:hAnsi="宋体" w:eastAsia="宋体" w:cs="宋体"/>
          <w:color w:val="auto"/>
          <w:kern w:val="2"/>
          <w:sz w:val="21"/>
          <w:szCs w:val="21"/>
          <w:highlight w:val="none"/>
          <w:lang w:val="en-US" w:eastAsia="zh-CN"/>
        </w:rPr>
        <w:t>视频</w:t>
      </w:r>
      <w:r>
        <w:rPr>
          <w:rFonts w:hint="eastAsia" w:ascii="宋体" w:hAnsi="宋体" w:eastAsia="宋体" w:cs="宋体"/>
          <w:color w:val="auto"/>
          <w:kern w:val="2"/>
          <w:sz w:val="21"/>
          <w:szCs w:val="21"/>
          <w:highlight w:val="none"/>
        </w:rPr>
        <w:t>监控、电站发电量整体分析、生产报表等于一体，使光伏电站实现安全、规范、高效、智能的运行，保证电站获得持续稳定的发电收益。本项目中系统监控管理由中标方提供，中标方负责安装调试及配合业主后期维护。</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视频监控</w:t>
      </w:r>
      <w:r>
        <w:rPr>
          <w:rFonts w:hint="eastAsia" w:ascii="宋体" w:hAnsi="宋体" w:eastAsia="宋体" w:cs="宋体"/>
          <w:color w:val="auto"/>
          <w:kern w:val="2"/>
          <w:sz w:val="21"/>
          <w:szCs w:val="21"/>
          <w:highlight w:val="none"/>
        </w:rPr>
        <w:t>采用高清光口网络摄像机加光口高速摄像机的模式，</w:t>
      </w:r>
      <w:r>
        <w:rPr>
          <w:rFonts w:hint="eastAsia" w:ascii="宋体" w:hAnsi="宋体" w:eastAsia="宋体" w:cs="宋体"/>
          <w:color w:val="auto"/>
          <w:kern w:val="2"/>
          <w:sz w:val="21"/>
          <w:szCs w:val="21"/>
          <w:highlight w:val="none"/>
          <w:lang w:val="en-US" w:eastAsia="zh-CN"/>
        </w:rPr>
        <w:t>投资方</w:t>
      </w:r>
      <w:r>
        <w:rPr>
          <w:rFonts w:hint="eastAsia" w:ascii="宋体" w:hAnsi="宋体" w:eastAsia="宋体" w:cs="宋体"/>
          <w:color w:val="auto"/>
          <w:kern w:val="2"/>
          <w:sz w:val="21"/>
          <w:szCs w:val="21"/>
          <w:highlight w:val="none"/>
        </w:rPr>
        <w:t>能通过投标单位提供的网络地址</w:t>
      </w:r>
      <w:r>
        <w:rPr>
          <w:rFonts w:hint="eastAsia" w:ascii="宋体" w:hAnsi="宋体" w:eastAsia="宋体" w:cs="宋体"/>
          <w:color w:val="auto"/>
          <w:kern w:val="2"/>
          <w:sz w:val="21"/>
          <w:szCs w:val="21"/>
          <w:highlight w:val="none"/>
          <w:lang w:val="en-US" w:eastAsia="zh-CN"/>
        </w:rPr>
        <w:t>或软件</w:t>
      </w:r>
      <w:r>
        <w:rPr>
          <w:rFonts w:hint="eastAsia" w:ascii="宋体" w:hAnsi="宋体" w:eastAsia="宋体" w:cs="宋体"/>
          <w:color w:val="auto"/>
          <w:kern w:val="2"/>
          <w:sz w:val="21"/>
          <w:szCs w:val="21"/>
          <w:highlight w:val="none"/>
        </w:rPr>
        <w:t>对</w:t>
      </w:r>
      <w:r>
        <w:rPr>
          <w:rFonts w:hint="eastAsia" w:ascii="宋体" w:hAnsi="宋体" w:eastAsia="宋体" w:cs="宋体"/>
          <w:color w:val="auto"/>
          <w:kern w:val="2"/>
          <w:sz w:val="21"/>
          <w:szCs w:val="21"/>
          <w:highlight w:val="none"/>
          <w:lang w:val="en-US" w:eastAsia="zh-CN"/>
        </w:rPr>
        <w:t>光伏</w:t>
      </w:r>
      <w:r>
        <w:rPr>
          <w:rFonts w:hint="eastAsia" w:ascii="宋体" w:hAnsi="宋体" w:eastAsia="宋体" w:cs="宋体"/>
          <w:color w:val="auto"/>
          <w:kern w:val="2"/>
          <w:sz w:val="21"/>
          <w:szCs w:val="21"/>
          <w:highlight w:val="none"/>
        </w:rPr>
        <w:t>电站</w:t>
      </w:r>
      <w:r>
        <w:rPr>
          <w:rFonts w:hint="eastAsia" w:ascii="宋体" w:hAnsi="宋体" w:eastAsia="宋体" w:cs="宋体"/>
          <w:color w:val="auto"/>
          <w:kern w:val="2"/>
          <w:sz w:val="21"/>
          <w:szCs w:val="21"/>
          <w:highlight w:val="none"/>
          <w:lang w:val="en-US" w:eastAsia="zh-CN"/>
        </w:rPr>
        <w:t>进行实时</w:t>
      </w:r>
      <w:r>
        <w:rPr>
          <w:rFonts w:hint="eastAsia" w:ascii="宋体" w:hAnsi="宋体" w:eastAsia="宋体" w:cs="宋体"/>
          <w:color w:val="auto"/>
          <w:kern w:val="2"/>
          <w:sz w:val="21"/>
          <w:szCs w:val="21"/>
          <w:highlight w:val="none"/>
        </w:rPr>
        <w:t>远程监控，图像分辨率达到1280*960以上，镜头变倍≥20 倍光学变焦，能够分辨出设备的外观及运行状态、识别出人员车辆等，防护等级要求达到IP67，TVS 8000V防雷、防浪涌、防突波，具有红外夜视功能，夜视距离≥150 米，使用先进的压缩编码技术，视频图像直接在前端进行压缩，通过网络传输回电站监控室，避免外界电磁场对图像的影响。</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视频监控</w:t>
      </w:r>
      <w:r>
        <w:rPr>
          <w:rFonts w:hint="eastAsia" w:ascii="宋体" w:hAnsi="宋体" w:eastAsia="宋体" w:cs="宋体"/>
          <w:color w:val="auto"/>
          <w:kern w:val="2"/>
          <w:sz w:val="21"/>
          <w:szCs w:val="21"/>
          <w:highlight w:val="none"/>
        </w:rPr>
        <w:t>系统既支持</w:t>
      </w:r>
      <w:r>
        <w:rPr>
          <w:rFonts w:hint="eastAsia" w:ascii="宋体" w:hAnsi="宋体" w:eastAsia="宋体" w:cs="宋体"/>
          <w:color w:val="auto"/>
          <w:kern w:val="2"/>
          <w:sz w:val="21"/>
          <w:szCs w:val="21"/>
          <w:highlight w:val="none"/>
          <w:lang w:val="en-US" w:eastAsia="zh-CN"/>
        </w:rPr>
        <w:t>光伏电</w:t>
      </w:r>
      <w:r>
        <w:rPr>
          <w:rFonts w:hint="eastAsia" w:ascii="宋体" w:hAnsi="宋体" w:eastAsia="宋体" w:cs="宋体"/>
          <w:color w:val="auto"/>
          <w:kern w:val="2"/>
          <w:sz w:val="21"/>
          <w:szCs w:val="21"/>
          <w:highlight w:val="none"/>
        </w:rPr>
        <w:t>站全景展示又能进行细节展示，对于重要设备还具有从多个摄像机进行多角度监视的功能</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同时</w:t>
      </w:r>
      <w:r>
        <w:rPr>
          <w:rFonts w:hint="eastAsia" w:ascii="宋体" w:hAnsi="宋体" w:eastAsia="宋体" w:cs="宋体"/>
          <w:color w:val="auto"/>
          <w:kern w:val="2"/>
          <w:sz w:val="21"/>
          <w:szCs w:val="21"/>
          <w:highlight w:val="none"/>
        </w:rPr>
        <w:t>实时图像自动复位，即可对发电阵列内可旋转的摄像机设定默认监视位置，正常状态下摄像机保持默认位置；在控制完成后自动恢复到默认监视位置。</w:t>
      </w:r>
    </w:p>
    <w:p>
      <w:pPr>
        <w:widowControl w:val="0"/>
        <w:wordWrap w:val="0"/>
        <w:adjustRightInd/>
        <w:snapToGrid/>
        <w:spacing w:after="0" w:line="288" w:lineRule="auto"/>
        <w:ind w:firstLine="420" w:firstLineChars="200"/>
        <w:jc w:val="both"/>
        <w:rPr>
          <w:rFonts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）项目通电并网后</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lang w:val="en-US" w:eastAsia="zh-CN"/>
        </w:rPr>
        <w:t>必须</w:t>
      </w:r>
      <w:r>
        <w:rPr>
          <w:rFonts w:hint="eastAsia" w:ascii="宋体" w:hAnsi="宋体" w:eastAsia="宋体" w:cs="宋体"/>
          <w:color w:val="auto"/>
          <w:kern w:val="2"/>
          <w:sz w:val="21"/>
          <w:szCs w:val="21"/>
          <w:highlight w:val="none"/>
        </w:rPr>
        <w:t>负责</w:t>
      </w:r>
      <w:r>
        <w:rPr>
          <w:rFonts w:hint="eastAsia" w:ascii="宋体" w:hAnsi="宋体" w:eastAsia="宋体" w:cs="宋体"/>
          <w:color w:val="auto"/>
          <w:kern w:val="2"/>
          <w:sz w:val="21"/>
          <w:szCs w:val="21"/>
          <w:highlight w:val="none"/>
          <w:lang w:val="en-US" w:eastAsia="zh-CN"/>
        </w:rPr>
        <w:t>为安全运维部技术员</w:t>
      </w:r>
      <w:r>
        <w:rPr>
          <w:rFonts w:hint="eastAsia" w:ascii="宋体" w:hAnsi="宋体" w:eastAsia="宋体" w:cs="宋体"/>
          <w:color w:val="auto"/>
          <w:kern w:val="2"/>
          <w:sz w:val="21"/>
          <w:szCs w:val="21"/>
          <w:highlight w:val="none"/>
        </w:rPr>
        <w:t>注册APP</w:t>
      </w:r>
      <w:r>
        <w:rPr>
          <w:rFonts w:hint="eastAsia" w:ascii="宋体" w:hAnsi="宋体" w:eastAsia="宋体" w:cs="宋体"/>
          <w:color w:val="auto"/>
          <w:kern w:val="2"/>
          <w:sz w:val="21"/>
          <w:szCs w:val="21"/>
          <w:highlight w:val="none"/>
          <w:lang w:val="en-US" w:eastAsia="zh-CN"/>
        </w:rPr>
        <w:t>视频</w:t>
      </w:r>
      <w:r>
        <w:rPr>
          <w:rFonts w:hint="eastAsia" w:ascii="宋体" w:hAnsi="宋体" w:eastAsia="宋体" w:cs="宋体"/>
          <w:color w:val="auto"/>
          <w:kern w:val="2"/>
          <w:sz w:val="21"/>
          <w:szCs w:val="21"/>
          <w:highlight w:val="none"/>
        </w:rPr>
        <w:t>监控软件，并将光伏电站现场实时监测数据联通传送至东莞新锋光伏能源科技有限公司数据控制中心PC端，实现集中监控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具体要求如下：</w:t>
      </w:r>
    </w:p>
    <w:tbl>
      <w:tblPr>
        <w:tblStyle w:val="77"/>
        <w:tblW w:w="504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44"/>
        <w:gridCol w:w="2191"/>
        <w:gridCol w:w="51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622" w:type="pct"/>
            <w:vAlign w:val="center"/>
          </w:tcPr>
          <w:p>
            <w:pPr>
              <w:widowControl w:val="0"/>
              <w:adjustRightInd/>
              <w:snapToGrid/>
              <w:spacing w:after="0" w:line="288" w:lineRule="auto"/>
              <w:jc w:val="center"/>
              <w:rPr>
                <w:rFonts w:ascii="宋体" w:hAnsi="宋体" w:eastAsia="宋体" w:cs="宋体"/>
                <w:b/>
                <w:bCs/>
                <w:color w:val="auto"/>
                <w:kern w:val="2"/>
                <w:sz w:val="21"/>
                <w:szCs w:val="21"/>
                <w:highlight w:val="none"/>
              </w:rPr>
            </w:pPr>
            <w:r>
              <w:rPr>
                <w:rFonts w:ascii="宋体" w:hAnsi="宋体" w:eastAsia="宋体" w:cs="宋体"/>
                <w:b/>
                <w:bCs/>
                <w:color w:val="auto"/>
                <w:spacing w:val="-5"/>
                <w:kern w:val="2"/>
                <w:sz w:val="21"/>
                <w:szCs w:val="21"/>
                <w:highlight w:val="none"/>
              </w:rPr>
              <w:t>区</w:t>
            </w:r>
            <w:r>
              <w:rPr>
                <w:rFonts w:ascii="宋体" w:hAnsi="宋体" w:eastAsia="宋体" w:cs="宋体"/>
                <w:b/>
                <w:bCs/>
                <w:color w:val="auto"/>
                <w:spacing w:val="-3"/>
                <w:kern w:val="2"/>
                <w:sz w:val="21"/>
                <w:szCs w:val="21"/>
                <w:highlight w:val="none"/>
              </w:rPr>
              <w:t>域</w:t>
            </w:r>
          </w:p>
        </w:tc>
        <w:tc>
          <w:tcPr>
            <w:tcW w:w="1306" w:type="pct"/>
            <w:vAlign w:val="center"/>
          </w:tcPr>
          <w:p>
            <w:pPr>
              <w:widowControl w:val="0"/>
              <w:adjustRightInd/>
              <w:snapToGrid/>
              <w:spacing w:after="0" w:line="288" w:lineRule="auto"/>
              <w:jc w:val="center"/>
              <w:rPr>
                <w:rFonts w:ascii="宋体" w:hAnsi="宋体" w:eastAsia="宋体" w:cs="宋体"/>
                <w:b/>
                <w:bCs/>
                <w:color w:val="auto"/>
                <w:kern w:val="2"/>
                <w:sz w:val="21"/>
                <w:szCs w:val="21"/>
                <w:highlight w:val="none"/>
              </w:rPr>
            </w:pPr>
            <w:r>
              <w:rPr>
                <w:rFonts w:ascii="宋体" w:hAnsi="宋体" w:eastAsia="宋体" w:cs="宋体"/>
                <w:b/>
                <w:bCs/>
                <w:color w:val="auto"/>
                <w:spacing w:val="8"/>
                <w:kern w:val="2"/>
                <w:sz w:val="21"/>
                <w:szCs w:val="21"/>
                <w:highlight w:val="none"/>
              </w:rPr>
              <w:t>摄像头数量</w:t>
            </w:r>
          </w:p>
        </w:tc>
        <w:tc>
          <w:tcPr>
            <w:tcW w:w="3071" w:type="pct"/>
            <w:vAlign w:val="center"/>
          </w:tcPr>
          <w:p>
            <w:pPr>
              <w:widowControl w:val="0"/>
              <w:adjustRightInd/>
              <w:snapToGrid/>
              <w:spacing w:after="0" w:line="288" w:lineRule="auto"/>
              <w:jc w:val="center"/>
              <w:rPr>
                <w:rFonts w:ascii="宋体" w:hAnsi="宋体" w:eastAsia="宋体" w:cs="宋体"/>
                <w:b/>
                <w:bCs/>
                <w:color w:val="auto"/>
                <w:kern w:val="2"/>
                <w:sz w:val="21"/>
                <w:szCs w:val="21"/>
                <w:highlight w:val="none"/>
              </w:rPr>
            </w:pPr>
            <w:r>
              <w:rPr>
                <w:rFonts w:hint="eastAsia" w:ascii="宋体" w:hAnsi="宋体" w:eastAsia="宋体" w:cs="宋体"/>
                <w:b/>
                <w:bCs/>
                <w:color w:val="auto"/>
                <w:spacing w:val="4"/>
                <w:kern w:val="2"/>
                <w:sz w:val="21"/>
                <w:szCs w:val="21"/>
                <w:highlight w:val="none"/>
                <w:lang w:val="en-US" w:eastAsia="zh-CN"/>
              </w:rPr>
              <w:t>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3" w:hRule="atLeast"/>
          <w:jc w:val="center"/>
        </w:trPr>
        <w:tc>
          <w:tcPr>
            <w:tcW w:w="622" w:type="pct"/>
            <w:vAlign w:val="center"/>
          </w:tcPr>
          <w:p>
            <w:pPr>
              <w:widowControl w:val="0"/>
              <w:adjustRightInd/>
              <w:snapToGrid/>
              <w:spacing w:after="0" w:line="288" w:lineRule="auto"/>
              <w:jc w:val="center"/>
              <w:rPr>
                <w:rFonts w:hint="eastAsia" w:ascii="宋体" w:hAnsi="宋体" w:eastAsia="宋体" w:cs="宋体"/>
                <w:color w:val="auto"/>
                <w:spacing w:val="4"/>
                <w:kern w:val="2"/>
                <w:sz w:val="21"/>
                <w:szCs w:val="21"/>
                <w:highlight w:val="none"/>
                <w:lang w:val="en-US" w:eastAsia="zh-CN"/>
              </w:rPr>
            </w:pPr>
            <w:r>
              <w:rPr>
                <w:rFonts w:hint="eastAsia" w:ascii="宋体" w:hAnsi="宋体" w:eastAsia="宋体" w:cs="宋体"/>
                <w:color w:val="auto"/>
                <w:spacing w:val="4"/>
                <w:kern w:val="2"/>
                <w:sz w:val="21"/>
                <w:szCs w:val="21"/>
                <w:highlight w:val="none"/>
                <w:lang w:val="en-US" w:eastAsia="zh-CN"/>
              </w:rPr>
              <w:t>光伏</w:t>
            </w:r>
          </w:p>
          <w:p>
            <w:pPr>
              <w:widowControl w:val="0"/>
              <w:adjustRightInd/>
              <w:snapToGrid/>
              <w:spacing w:after="0" w:line="288" w:lineRule="auto"/>
              <w:jc w:val="center"/>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spacing w:val="4"/>
                <w:kern w:val="2"/>
                <w:sz w:val="21"/>
                <w:szCs w:val="21"/>
                <w:highlight w:val="none"/>
                <w:lang w:val="en-US" w:eastAsia="zh-CN"/>
              </w:rPr>
              <w:t>组件</w:t>
            </w:r>
          </w:p>
        </w:tc>
        <w:tc>
          <w:tcPr>
            <w:tcW w:w="1306" w:type="pct"/>
            <w:vMerge w:val="restart"/>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p>
            <w:pPr>
              <w:widowControl w:val="0"/>
              <w:adjustRightInd/>
              <w:snapToGrid/>
              <w:spacing w:after="0" w:line="288" w:lineRule="auto"/>
              <w:jc w:val="left"/>
              <w:rPr>
                <w:rFonts w:hint="eastAsia" w:ascii="宋体" w:hAnsi="宋体" w:eastAsia="宋体" w:cs="宋体"/>
                <w:color w:val="auto"/>
                <w:kern w:val="2"/>
                <w:sz w:val="21"/>
                <w:szCs w:val="21"/>
                <w:highlight w:val="none"/>
                <w:lang w:eastAsia="zh-CN"/>
              </w:rPr>
            </w:pPr>
            <w:r>
              <w:rPr>
                <w:rFonts w:ascii="宋体" w:hAnsi="宋体" w:eastAsia="宋体" w:cs="宋体"/>
                <w:color w:val="auto"/>
                <w:spacing w:val="-4"/>
                <w:kern w:val="2"/>
                <w:sz w:val="21"/>
                <w:szCs w:val="21"/>
                <w:highlight w:val="none"/>
              </w:rPr>
              <w:t>1.</w:t>
            </w:r>
            <w:r>
              <w:rPr>
                <w:rFonts w:hint="eastAsia" w:ascii="宋体" w:hAnsi="宋体" w:eastAsia="宋体" w:cs="宋体"/>
                <w:color w:val="auto"/>
                <w:kern w:val="2"/>
                <w:sz w:val="21"/>
                <w:szCs w:val="21"/>
                <w:highlight w:val="none"/>
              </w:rPr>
              <w:t>根据现场及业主意见调整</w:t>
            </w:r>
            <w:r>
              <w:rPr>
                <w:rFonts w:hint="eastAsia" w:ascii="宋体" w:hAnsi="宋体" w:eastAsia="宋体" w:cs="宋体"/>
                <w:color w:val="auto"/>
                <w:kern w:val="2"/>
                <w:sz w:val="21"/>
                <w:szCs w:val="21"/>
                <w:highlight w:val="none"/>
                <w:lang w:eastAsia="zh-CN"/>
              </w:rPr>
              <w:t>；</w:t>
            </w:r>
          </w:p>
          <w:p>
            <w:pPr>
              <w:widowControl w:val="0"/>
              <w:adjustRightInd/>
              <w:snapToGrid/>
              <w:spacing w:after="0" w:line="288" w:lineRule="auto"/>
              <w:ind w:right="203"/>
              <w:jc w:val="both"/>
              <w:rPr>
                <w:rFonts w:hint="eastAsia" w:ascii="宋体" w:hAnsi="宋体" w:eastAsia="宋体" w:cs="宋体"/>
                <w:color w:val="auto"/>
                <w:spacing w:val="8"/>
                <w:kern w:val="2"/>
                <w:sz w:val="21"/>
                <w:szCs w:val="21"/>
                <w:highlight w:val="none"/>
                <w:lang w:eastAsia="zh-CN"/>
              </w:rPr>
            </w:pPr>
            <w:r>
              <w:rPr>
                <w:rFonts w:hint="eastAsia" w:ascii="宋体" w:hAnsi="宋体" w:eastAsia="宋体" w:cs="宋体"/>
                <w:color w:val="auto"/>
                <w:spacing w:val="8"/>
                <w:kern w:val="2"/>
                <w:sz w:val="21"/>
                <w:szCs w:val="21"/>
                <w:highlight w:val="none"/>
                <w:lang w:val="en-US" w:eastAsia="zh-CN"/>
              </w:rPr>
              <w:t>2</w:t>
            </w:r>
            <w:r>
              <w:rPr>
                <w:rFonts w:ascii="宋体" w:hAnsi="宋体" w:eastAsia="宋体" w:cs="宋体"/>
                <w:color w:val="auto"/>
                <w:spacing w:val="8"/>
                <w:kern w:val="2"/>
                <w:sz w:val="21"/>
                <w:szCs w:val="21"/>
                <w:highlight w:val="none"/>
              </w:rPr>
              <w:t>.</w:t>
            </w:r>
            <w:r>
              <w:rPr>
                <w:rFonts w:hint="eastAsia" w:ascii="宋体" w:hAnsi="宋体" w:eastAsia="宋体" w:cs="宋体"/>
                <w:color w:val="auto"/>
                <w:spacing w:val="8"/>
                <w:kern w:val="2"/>
                <w:sz w:val="21"/>
                <w:szCs w:val="21"/>
                <w:highlight w:val="none"/>
              </w:rPr>
              <w:t>视频监控画面必须覆盖所有光伏</w:t>
            </w:r>
            <w:r>
              <w:rPr>
                <w:rFonts w:hint="eastAsia" w:ascii="宋体" w:hAnsi="宋体" w:eastAsia="宋体" w:cs="宋体"/>
                <w:color w:val="auto"/>
                <w:spacing w:val="8"/>
                <w:kern w:val="2"/>
                <w:sz w:val="21"/>
                <w:szCs w:val="21"/>
                <w:highlight w:val="none"/>
                <w:lang w:val="en-US" w:eastAsia="zh-CN"/>
              </w:rPr>
              <w:t>组件</w:t>
            </w:r>
            <w:r>
              <w:rPr>
                <w:rFonts w:hint="eastAsia" w:ascii="宋体" w:hAnsi="宋体" w:eastAsia="宋体" w:cs="宋体"/>
                <w:color w:val="auto"/>
                <w:spacing w:val="8"/>
                <w:kern w:val="2"/>
                <w:sz w:val="21"/>
                <w:szCs w:val="21"/>
                <w:highlight w:val="none"/>
              </w:rPr>
              <w:t>、逆变器区域，不得存在盲区</w:t>
            </w:r>
            <w:r>
              <w:rPr>
                <w:rFonts w:hint="eastAsia" w:ascii="宋体" w:hAnsi="宋体" w:eastAsia="宋体" w:cs="宋体"/>
                <w:color w:val="auto"/>
                <w:spacing w:val="8"/>
                <w:kern w:val="2"/>
                <w:sz w:val="21"/>
                <w:szCs w:val="21"/>
                <w:highlight w:val="none"/>
                <w:lang w:eastAsia="zh-CN"/>
              </w:rPr>
              <w:t>；</w:t>
            </w:r>
          </w:p>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3071" w:type="pct"/>
            <w:vMerge w:val="restart"/>
            <w:tcBorders>
              <w:bottom w:val="nil"/>
            </w:tcBorders>
            <w:vAlign w:val="center"/>
          </w:tcPr>
          <w:p>
            <w:pPr>
              <w:widowControl w:val="0"/>
              <w:adjustRightInd/>
              <w:snapToGrid/>
              <w:spacing w:after="0" w:line="288" w:lineRule="auto"/>
              <w:ind w:right="203"/>
              <w:jc w:val="both"/>
              <w:rPr>
                <w:rFonts w:ascii="宋体" w:hAnsi="宋体" w:eastAsia="宋体" w:cs="宋体"/>
                <w:color w:val="auto"/>
                <w:spacing w:val="-2"/>
                <w:kern w:val="2"/>
                <w:sz w:val="21"/>
                <w:szCs w:val="21"/>
                <w:highlight w:val="none"/>
              </w:rPr>
            </w:pPr>
            <w:r>
              <w:rPr>
                <w:rFonts w:ascii="宋体" w:hAnsi="宋体" w:eastAsia="宋体" w:cs="宋体"/>
                <w:color w:val="auto"/>
                <w:spacing w:val="-4"/>
                <w:kern w:val="2"/>
                <w:sz w:val="21"/>
                <w:szCs w:val="21"/>
                <w:highlight w:val="none"/>
              </w:rPr>
              <w:t>1.直接</w:t>
            </w:r>
            <w:r>
              <w:rPr>
                <w:rFonts w:ascii="宋体" w:hAnsi="宋体" w:eastAsia="宋体" w:cs="宋体"/>
                <w:color w:val="auto"/>
                <w:spacing w:val="-2"/>
                <w:kern w:val="2"/>
                <w:sz w:val="21"/>
                <w:szCs w:val="21"/>
                <w:highlight w:val="none"/>
              </w:rPr>
              <w:t>插移动</w:t>
            </w:r>
            <w:r>
              <w:rPr>
                <w:rFonts w:hint="eastAsia" w:ascii="宋体" w:hAnsi="宋体" w:eastAsia="宋体" w:cs="宋体"/>
                <w:color w:val="auto"/>
                <w:spacing w:val="-2"/>
                <w:kern w:val="2"/>
                <w:sz w:val="21"/>
                <w:szCs w:val="21"/>
                <w:highlight w:val="none"/>
                <w:lang w:val="en-US" w:eastAsia="zh-CN"/>
              </w:rPr>
              <w:t>1年流量包</w:t>
            </w:r>
            <w:r>
              <w:rPr>
                <w:rFonts w:ascii="宋体" w:hAnsi="宋体" w:eastAsia="宋体" w:cs="宋体"/>
                <w:color w:val="auto"/>
                <w:spacing w:val="-2"/>
                <w:kern w:val="2"/>
                <w:sz w:val="21"/>
                <w:szCs w:val="21"/>
                <w:highlight w:val="none"/>
              </w:rPr>
              <w:t>4G手机卡；</w:t>
            </w:r>
          </w:p>
          <w:p>
            <w:pPr>
              <w:widowControl w:val="0"/>
              <w:adjustRightInd/>
              <w:snapToGrid/>
              <w:spacing w:after="0" w:line="288" w:lineRule="auto"/>
              <w:ind w:right="203"/>
              <w:jc w:val="both"/>
              <w:rPr>
                <w:rFonts w:ascii="宋体" w:hAnsi="宋体" w:eastAsia="宋体" w:cs="宋体"/>
                <w:color w:val="auto"/>
                <w:kern w:val="2"/>
                <w:sz w:val="21"/>
                <w:szCs w:val="21"/>
                <w:highlight w:val="none"/>
              </w:rPr>
            </w:pPr>
            <w:r>
              <w:rPr>
                <w:rFonts w:ascii="宋体" w:hAnsi="宋体" w:eastAsia="宋体" w:cs="宋体"/>
                <w:color w:val="auto"/>
                <w:spacing w:val="1"/>
                <w:kern w:val="2"/>
                <w:sz w:val="21"/>
                <w:szCs w:val="21"/>
                <w:highlight w:val="none"/>
              </w:rPr>
              <w:t>2.支持手机远程监控，</w:t>
            </w:r>
            <w:r>
              <w:rPr>
                <w:rFonts w:ascii="宋体" w:hAnsi="宋体" w:eastAsia="宋体" w:cs="宋体"/>
                <w:color w:val="auto"/>
                <w:kern w:val="2"/>
                <w:sz w:val="21"/>
                <w:szCs w:val="21"/>
                <w:highlight w:val="none"/>
              </w:rPr>
              <w:t>TF卡容量不小于</w:t>
            </w:r>
            <w:r>
              <w:rPr>
                <w:rFonts w:hint="eastAsia" w:ascii="宋体" w:hAnsi="宋体" w:eastAsia="宋体" w:cs="宋体"/>
                <w:color w:val="auto"/>
                <w:kern w:val="2"/>
                <w:sz w:val="21"/>
                <w:szCs w:val="21"/>
                <w:highlight w:val="none"/>
                <w:lang w:val="en-US" w:eastAsia="zh-CN"/>
              </w:rPr>
              <w:t>256</w:t>
            </w:r>
            <w:r>
              <w:rPr>
                <w:rFonts w:ascii="宋体" w:hAnsi="宋体" w:eastAsia="宋体" w:cs="宋体"/>
                <w:color w:val="auto"/>
                <w:kern w:val="2"/>
                <w:sz w:val="21"/>
                <w:szCs w:val="21"/>
                <w:highlight w:val="none"/>
              </w:rPr>
              <w:t>G</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所有监控数据要保留</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个月以上。</w:t>
            </w:r>
            <w:r>
              <w:rPr>
                <w:rFonts w:ascii="宋体" w:hAnsi="宋体" w:eastAsia="宋体" w:cs="宋体"/>
                <w:color w:val="auto"/>
                <w:kern w:val="2"/>
                <w:sz w:val="21"/>
                <w:szCs w:val="21"/>
                <w:highlight w:val="none"/>
              </w:rPr>
              <w:t>；</w:t>
            </w:r>
          </w:p>
          <w:p>
            <w:pPr>
              <w:widowControl w:val="0"/>
              <w:adjustRightInd/>
              <w:snapToGrid/>
              <w:spacing w:after="0" w:line="288" w:lineRule="auto"/>
              <w:ind w:right="203"/>
              <w:jc w:val="both"/>
              <w:rPr>
                <w:rFonts w:ascii="宋体" w:hAnsi="宋体" w:eastAsia="宋体" w:cs="宋体"/>
                <w:color w:val="auto"/>
                <w:spacing w:val="8"/>
                <w:kern w:val="2"/>
                <w:sz w:val="21"/>
                <w:szCs w:val="21"/>
                <w:highlight w:val="none"/>
              </w:rPr>
            </w:pPr>
            <w:r>
              <w:rPr>
                <w:rFonts w:ascii="宋体" w:hAnsi="宋体" w:eastAsia="宋体" w:cs="宋体"/>
                <w:color w:val="auto"/>
                <w:spacing w:val="11"/>
                <w:kern w:val="2"/>
                <w:sz w:val="21"/>
                <w:szCs w:val="21"/>
                <w:highlight w:val="none"/>
              </w:rPr>
              <w:t>3</w:t>
            </w:r>
            <w:r>
              <w:rPr>
                <w:rFonts w:ascii="宋体" w:hAnsi="宋体" w:eastAsia="宋体" w:cs="宋体"/>
                <w:color w:val="auto"/>
                <w:spacing w:val="8"/>
                <w:kern w:val="2"/>
                <w:sz w:val="21"/>
                <w:szCs w:val="21"/>
                <w:highlight w:val="none"/>
              </w:rPr>
              <w:t>.</w:t>
            </w:r>
            <w:r>
              <w:rPr>
                <w:rFonts w:hint="eastAsia" w:ascii="宋体" w:hAnsi="宋体" w:eastAsia="宋体" w:cs="宋体"/>
                <w:color w:val="auto"/>
                <w:spacing w:val="8"/>
                <w:kern w:val="2"/>
                <w:sz w:val="21"/>
                <w:szCs w:val="21"/>
                <w:highlight w:val="none"/>
                <w:lang w:val="en-US" w:eastAsia="zh-CN"/>
              </w:rPr>
              <w:t>视频</w:t>
            </w:r>
            <w:r>
              <w:rPr>
                <w:rFonts w:hint="eastAsia" w:ascii="宋体" w:hAnsi="宋体" w:eastAsia="宋体" w:cs="宋体"/>
                <w:color w:val="auto"/>
                <w:kern w:val="2"/>
                <w:sz w:val="21"/>
                <w:szCs w:val="21"/>
                <w:highlight w:val="none"/>
              </w:rPr>
              <w:t>摄像头为高清、</w:t>
            </w:r>
            <w:r>
              <w:rPr>
                <w:rFonts w:ascii="宋体" w:hAnsi="宋体" w:eastAsia="宋体" w:cs="宋体"/>
                <w:color w:val="auto"/>
                <w:spacing w:val="8"/>
                <w:kern w:val="2"/>
                <w:sz w:val="21"/>
                <w:szCs w:val="21"/>
                <w:highlight w:val="none"/>
              </w:rPr>
              <w:t>具有夜视功能，支持移动侦测报警</w:t>
            </w:r>
            <w:r>
              <w:rPr>
                <w:rFonts w:hint="eastAsia" w:ascii="宋体" w:hAnsi="宋体" w:eastAsia="宋体" w:cs="宋体"/>
                <w:color w:val="auto"/>
                <w:spacing w:val="8"/>
                <w:kern w:val="2"/>
                <w:sz w:val="21"/>
                <w:szCs w:val="21"/>
                <w:highlight w:val="none"/>
              </w:rPr>
              <w:t>；</w:t>
            </w:r>
          </w:p>
          <w:p>
            <w:pPr>
              <w:widowControl w:val="0"/>
              <w:adjustRightInd/>
              <w:snapToGrid/>
              <w:spacing w:after="0" w:line="288" w:lineRule="auto"/>
              <w:ind w:right="203"/>
              <w:jc w:val="both"/>
              <w:rPr>
                <w:rFonts w:hint="eastAsia" w:ascii="宋体" w:hAnsi="宋体" w:eastAsia="宋体" w:cs="宋体"/>
                <w:color w:val="auto"/>
                <w:spacing w:val="8"/>
                <w:kern w:val="2"/>
                <w:sz w:val="21"/>
                <w:szCs w:val="21"/>
                <w:highlight w:val="none"/>
                <w:lang w:eastAsia="zh-CN"/>
              </w:rPr>
            </w:pPr>
            <w:r>
              <w:rPr>
                <w:rFonts w:hint="eastAsia" w:ascii="宋体" w:hAnsi="宋体" w:eastAsia="宋体" w:cs="宋体"/>
                <w:color w:val="auto"/>
                <w:spacing w:val="8"/>
                <w:kern w:val="2"/>
                <w:sz w:val="21"/>
                <w:szCs w:val="21"/>
                <w:highlight w:val="none"/>
                <w:lang w:val="en-US" w:eastAsia="zh-CN"/>
              </w:rPr>
              <w:t>4</w:t>
            </w:r>
            <w:r>
              <w:rPr>
                <w:rFonts w:ascii="宋体" w:hAnsi="宋体" w:eastAsia="宋体" w:cs="宋体"/>
                <w:color w:val="auto"/>
                <w:spacing w:val="8"/>
                <w:kern w:val="2"/>
                <w:sz w:val="21"/>
                <w:szCs w:val="21"/>
                <w:highlight w:val="none"/>
              </w:rPr>
              <w:t>.</w:t>
            </w:r>
            <w:r>
              <w:rPr>
                <w:rFonts w:hint="eastAsia" w:ascii="宋体" w:hAnsi="宋体" w:eastAsia="宋体" w:cs="宋体"/>
                <w:color w:val="auto"/>
                <w:spacing w:val="8"/>
                <w:kern w:val="2"/>
                <w:sz w:val="21"/>
                <w:szCs w:val="21"/>
                <w:highlight w:val="none"/>
              </w:rPr>
              <w:t>视频监控</w:t>
            </w:r>
            <w:r>
              <w:rPr>
                <w:rFonts w:hint="eastAsia" w:ascii="宋体" w:hAnsi="宋体" w:eastAsia="宋体" w:cs="宋体"/>
                <w:color w:val="auto"/>
                <w:kern w:val="2"/>
                <w:sz w:val="21"/>
                <w:szCs w:val="21"/>
                <w:highlight w:val="none"/>
              </w:rPr>
              <w:t>电源需引自市电</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spacing w:val="8"/>
                <w:kern w:val="2"/>
                <w:sz w:val="21"/>
                <w:szCs w:val="21"/>
                <w:highlight w:val="none"/>
                <w:lang w:val="en-US" w:eastAsia="zh-CN"/>
              </w:rPr>
              <w:t>若配置室外立杆需可靠接地并不造成光伏组件阴影遮挡</w:t>
            </w:r>
            <w:r>
              <w:rPr>
                <w:rFonts w:hint="eastAsia" w:ascii="宋体" w:hAnsi="宋体" w:eastAsia="宋体" w:cs="宋体"/>
                <w:color w:val="auto"/>
                <w:spacing w:val="8"/>
                <w:kern w:val="2"/>
                <w:sz w:val="21"/>
                <w:szCs w:val="21"/>
                <w:highlight w:val="none"/>
                <w:lang w:eastAsia="zh-CN"/>
              </w:rPr>
              <w:t>；</w:t>
            </w:r>
          </w:p>
          <w:p>
            <w:pPr>
              <w:widowControl w:val="0"/>
              <w:adjustRightInd/>
              <w:snapToGrid/>
              <w:spacing w:after="0" w:line="288" w:lineRule="auto"/>
              <w:ind w:right="203"/>
              <w:jc w:val="both"/>
              <w:rPr>
                <w:rFonts w:hint="eastAsia" w:ascii="宋体" w:hAnsi="宋体" w:eastAsia="宋体" w:cs="宋体"/>
                <w:color w:val="auto"/>
                <w:spacing w:val="8"/>
                <w:kern w:val="2"/>
                <w:sz w:val="21"/>
                <w:szCs w:val="21"/>
                <w:highlight w:val="none"/>
                <w:lang w:eastAsia="zh-CN"/>
              </w:rPr>
            </w:pPr>
            <w:r>
              <w:rPr>
                <w:rFonts w:hint="eastAsia" w:ascii="宋体" w:hAnsi="宋体" w:eastAsia="宋体" w:cs="宋体"/>
                <w:color w:val="auto"/>
                <w:spacing w:val="8"/>
                <w:kern w:val="2"/>
                <w:sz w:val="21"/>
                <w:szCs w:val="21"/>
                <w:highlight w:val="none"/>
                <w:lang w:val="en-US" w:eastAsia="zh-CN"/>
              </w:rPr>
              <w:t>5</w:t>
            </w:r>
            <w:r>
              <w:rPr>
                <w:rFonts w:ascii="宋体" w:hAnsi="宋体" w:eastAsia="宋体" w:cs="宋体"/>
                <w:color w:val="auto"/>
                <w:spacing w:val="8"/>
                <w:kern w:val="2"/>
                <w:sz w:val="21"/>
                <w:szCs w:val="21"/>
                <w:highlight w:val="none"/>
              </w:rPr>
              <w:t>.</w:t>
            </w:r>
            <w:r>
              <w:rPr>
                <w:rFonts w:hint="eastAsia" w:ascii="宋体" w:hAnsi="宋体" w:eastAsia="宋体" w:cs="宋体"/>
                <w:color w:val="auto"/>
                <w:kern w:val="2"/>
                <w:sz w:val="21"/>
                <w:szCs w:val="21"/>
                <w:highlight w:val="none"/>
              </w:rPr>
              <w:t>所有摄像头均可360</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自由转动巡检</w:t>
            </w:r>
            <w:r>
              <w:rPr>
                <w:rFonts w:hint="eastAsia" w:ascii="宋体" w:hAnsi="宋体" w:eastAsia="宋体" w:cs="宋体"/>
                <w:color w:val="auto"/>
                <w:spacing w:val="8"/>
                <w:kern w:val="2"/>
                <w:sz w:val="21"/>
                <w:szCs w:val="21"/>
                <w:highlight w:val="none"/>
                <w:lang w:eastAsia="zh-CN"/>
              </w:rPr>
              <w:t>；</w:t>
            </w:r>
          </w:p>
          <w:p>
            <w:pPr>
              <w:widowControl w:val="0"/>
              <w:wordWrap w:val="0"/>
              <w:adjustRightInd/>
              <w:snapToGrid/>
              <w:spacing w:after="0" w:line="288" w:lineRule="auto"/>
              <w:jc w:val="both"/>
              <w:rPr>
                <w:rFonts w:hint="eastAsia"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spacing w:val="8"/>
                <w:kern w:val="2"/>
                <w:sz w:val="21"/>
                <w:szCs w:val="21"/>
                <w:highlight w:val="none"/>
              </w:rPr>
              <w:t>视频监控</w:t>
            </w:r>
            <w:r>
              <w:rPr>
                <w:rFonts w:hint="eastAsia" w:ascii="宋体" w:hAnsi="宋体" w:eastAsia="宋体" w:cs="宋体"/>
                <w:color w:val="auto"/>
                <w:kern w:val="2"/>
                <w:sz w:val="21"/>
                <w:szCs w:val="21"/>
                <w:highlight w:val="none"/>
                <w:lang w:val="en-US" w:eastAsia="zh-CN"/>
              </w:rPr>
              <w:t>推荐厂家品牌：华为、海康威视或同等及以上的品牌</w:t>
            </w:r>
            <w:r>
              <w:rPr>
                <w:rFonts w:hint="eastAsia" w:ascii="宋体" w:hAnsi="宋体" w:eastAsia="宋体" w:cs="宋体"/>
                <w:b w:val="0"/>
                <w:bCs w:val="0"/>
                <w:color w:val="auto"/>
                <w:kern w:val="2"/>
                <w:sz w:val="21"/>
                <w:szCs w:val="21"/>
                <w:highlight w:val="none"/>
                <w:lang w:val="en-US" w:eastAsia="zh-CN" w:bidi="ar-S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8" w:hRule="atLeast"/>
          <w:jc w:val="center"/>
        </w:trPr>
        <w:tc>
          <w:tcPr>
            <w:tcW w:w="622" w:type="pct"/>
            <w:vAlign w:val="center"/>
          </w:tcPr>
          <w:p>
            <w:pPr>
              <w:widowControl w:val="0"/>
              <w:adjustRightInd/>
              <w:snapToGrid/>
              <w:spacing w:after="0" w:line="288" w:lineRule="auto"/>
              <w:jc w:val="center"/>
              <w:rPr>
                <w:rFonts w:hint="eastAsia" w:ascii="宋体" w:hAnsi="宋体" w:eastAsia="宋体" w:cs="宋体"/>
                <w:color w:val="auto"/>
                <w:spacing w:val="7"/>
                <w:kern w:val="2"/>
                <w:sz w:val="21"/>
                <w:szCs w:val="21"/>
                <w:highlight w:val="none"/>
                <w:lang w:val="en-US" w:eastAsia="zh-CN"/>
              </w:rPr>
            </w:pPr>
            <w:r>
              <w:rPr>
                <w:rFonts w:hint="eastAsia" w:ascii="宋体" w:hAnsi="宋体" w:eastAsia="宋体" w:cs="宋体"/>
                <w:color w:val="auto"/>
                <w:spacing w:val="7"/>
                <w:kern w:val="2"/>
                <w:sz w:val="21"/>
                <w:szCs w:val="21"/>
                <w:highlight w:val="none"/>
                <w:lang w:val="en-US" w:eastAsia="zh-CN"/>
              </w:rPr>
              <w:t>并网</w:t>
            </w:r>
          </w:p>
          <w:p>
            <w:pPr>
              <w:widowControl w:val="0"/>
              <w:adjustRightInd/>
              <w:snapToGrid/>
              <w:spacing w:after="0" w:line="288" w:lineRule="auto"/>
              <w:jc w:val="center"/>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spacing w:val="7"/>
                <w:kern w:val="2"/>
                <w:sz w:val="21"/>
                <w:szCs w:val="21"/>
                <w:highlight w:val="none"/>
                <w:lang w:val="en-US" w:eastAsia="zh-CN"/>
              </w:rPr>
              <w:t>逆变器</w:t>
            </w:r>
          </w:p>
        </w:tc>
        <w:tc>
          <w:tcPr>
            <w:tcW w:w="1306" w:type="pct"/>
            <w:vMerge w:val="continue"/>
            <w:vAlign w:val="center"/>
          </w:tcPr>
          <w:p>
            <w:pPr>
              <w:widowControl w:val="0"/>
              <w:adjustRightInd/>
              <w:snapToGrid/>
              <w:spacing w:after="0" w:line="288" w:lineRule="auto"/>
              <w:jc w:val="center"/>
              <w:rPr>
                <w:rFonts w:ascii="宋体" w:hAnsi="宋体" w:eastAsia="宋体" w:cs="宋体"/>
                <w:color w:val="auto"/>
                <w:kern w:val="2"/>
                <w:sz w:val="21"/>
                <w:szCs w:val="21"/>
                <w:highlight w:val="none"/>
              </w:rPr>
            </w:pPr>
          </w:p>
        </w:tc>
        <w:tc>
          <w:tcPr>
            <w:tcW w:w="3071" w:type="pct"/>
            <w:vMerge w:val="continue"/>
            <w:tcBorders>
              <w:top w:val="nil"/>
            </w:tcBorders>
            <w:vAlign w:val="center"/>
          </w:tcPr>
          <w:p>
            <w:pPr>
              <w:widowControl w:val="0"/>
              <w:adjustRightInd/>
              <w:snapToGrid/>
              <w:spacing w:after="0" w:line="288" w:lineRule="auto"/>
              <w:jc w:val="center"/>
              <w:rPr>
                <w:rFonts w:ascii="Arial" w:hAnsi="Calibri" w:eastAsia="宋体" w:cs="Times New Roman"/>
                <w:color w:val="auto"/>
                <w:kern w:val="2"/>
                <w:sz w:val="21"/>
                <w:szCs w:val="21"/>
                <w:highlight w:val="none"/>
              </w:rPr>
            </w:pPr>
          </w:p>
        </w:tc>
      </w:tr>
    </w:tbl>
    <w:p>
      <w:pPr>
        <w:bidi w:val="0"/>
        <w:rPr>
          <w:rFonts w:hint="eastAsia"/>
        </w:rPr>
      </w:pPr>
    </w:p>
    <w:p>
      <w:pPr>
        <w:keepNext/>
        <w:keepLines/>
        <w:widowControl w:val="0"/>
        <w:adjustRightInd/>
        <w:snapToGrid/>
        <w:spacing w:after="0" w:line="360" w:lineRule="auto"/>
        <w:jc w:val="both"/>
        <w:outlineLvl w:val="3"/>
        <w:rPr>
          <w:rFonts w:hint="eastAsia" w:ascii="Calibri Light" w:hAnsi="Calibri Light" w:eastAsia="宋体" w:cs="Times New Roman"/>
          <w:b/>
          <w:bCs/>
          <w:color w:val="auto"/>
          <w:kern w:val="2"/>
          <w:sz w:val="24"/>
          <w:szCs w:val="28"/>
          <w:highlight w:val="none"/>
          <w:lang w:val="en-US" w:eastAsia="zh-CN"/>
        </w:rPr>
      </w:pPr>
      <w:r>
        <w:rPr>
          <w:rFonts w:hint="eastAsia" w:ascii="Calibri Light" w:hAnsi="Calibri Light" w:eastAsia="宋体" w:cs="Times New Roman"/>
          <w:b/>
          <w:bCs/>
          <w:color w:val="auto"/>
          <w:kern w:val="2"/>
          <w:sz w:val="24"/>
          <w:szCs w:val="28"/>
          <w:highlight w:val="none"/>
          <w:lang w:val="en-US" w:eastAsia="zh-CN"/>
        </w:rPr>
        <w:t>三、技术要求</w:t>
      </w:r>
    </w:p>
    <w:p>
      <w:pPr>
        <w:widowControl w:val="0"/>
        <w:wordWrap w:val="0"/>
        <w:adjustRightInd/>
        <w:snapToGrid/>
        <w:spacing w:after="0" w:line="288" w:lineRule="auto"/>
        <w:jc w:val="both"/>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 执行的标准和规范</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《光伏发电工程验收规范》 GB 50796-2012</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《屋面工程质量验收规范》 GB 50207-2012</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《建筑结构加固工程施工质量验收规范》 GB 50550-2010</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《建筑工程施工质量验收统一标准》 GB 50300-2013</w:t>
      </w:r>
    </w:p>
    <w:p>
      <w:pPr>
        <w:widowControl w:val="0"/>
        <w:wordWrap w:val="0"/>
        <w:adjustRightInd/>
        <w:snapToGrid/>
        <w:spacing w:after="0" w:line="288" w:lineRule="auto"/>
        <w:jc w:val="both"/>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 施工组织布署</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（1）建立项目管理组织机构，健全安全质量保证体系。</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（2）组织建设所用的机械、劳动力等保障资源，以满足建设进度的要求。</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（3）采购项目所需的组件等设备、支架等材料。</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（4）项目</w:t>
      </w:r>
      <w:r>
        <w:rPr>
          <w:rFonts w:hint="eastAsia" w:ascii="宋体" w:hAnsi="宋体" w:eastAsia="宋体" w:cs="宋体"/>
          <w:color w:val="auto"/>
          <w:kern w:val="2"/>
          <w:sz w:val="21"/>
          <w:szCs w:val="21"/>
          <w:highlight w:val="none"/>
          <w:lang w:val="en-US" w:eastAsia="zh-CN"/>
        </w:rPr>
        <w:t>按照</w:t>
      </w:r>
      <w:r>
        <w:rPr>
          <w:rFonts w:hint="eastAsia" w:ascii="宋体" w:hAnsi="宋体" w:eastAsia="宋体" w:cs="宋体"/>
          <w:color w:val="auto"/>
          <w:kern w:val="2"/>
          <w:sz w:val="21"/>
          <w:szCs w:val="21"/>
          <w:highlight w:val="none"/>
        </w:rPr>
        <w:t>图纸、</w:t>
      </w:r>
      <w:r>
        <w:rPr>
          <w:rFonts w:hint="eastAsia" w:ascii="宋体" w:hAnsi="宋体" w:eastAsia="宋体" w:cs="宋体"/>
          <w:color w:val="auto"/>
          <w:kern w:val="2"/>
          <w:sz w:val="21"/>
          <w:szCs w:val="21"/>
          <w:highlight w:val="none"/>
          <w:lang w:eastAsia="zh-CN"/>
        </w:rPr>
        <w:t>安装调试</w:t>
      </w:r>
      <w:r>
        <w:rPr>
          <w:rFonts w:hint="eastAsia" w:ascii="宋体" w:hAnsi="宋体" w:eastAsia="宋体" w:cs="宋体"/>
          <w:color w:val="auto"/>
          <w:kern w:val="2"/>
          <w:sz w:val="21"/>
          <w:szCs w:val="21"/>
          <w:highlight w:val="none"/>
        </w:rPr>
        <w:t>方案满足项目建设要求。</w:t>
      </w:r>
    </w:p>
    <w:p>
      <w:pPr>
        <w:widowControl w:val="0"/>
        <w:wordWrap w:val="0"/>
        <w:adjustRightInd/>
        <w:snapToGrid/>
        <w:spacing w:after="0" w:line="288" w:lineRule="auto"/>
        <w:jc w:val="both"/>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 质量要求</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（1）达到国家或</w:t>
      </w:r>
      <w:r>
        <w:rPr>
          <w:rFonts w:hint="eastAsia" w:ascii="宋体" w:hAnsi="宋体" w:eastAsia="宋体" w:cs="宋体"/>
          <w:color w:val="auto"/>
          <w:kern w:val="2"/>
          <w:sz w:val="21"/>
          <w:szCs w:val="21"/>
          <w:highlight w:val="none"/>
          <w:lang w:val="en-US" w:eastAsia="zh-CN"/>
        </w:rPr>
        <w:t>光伏、电力</w:t>
      </w:r>
      <w:r>
        <w:rPr>
          <w:rFonts w:hint="eastAsia" w:ascii="宋体" w:hAnsi="宋体" w:eastAsia="宋体" w:cs="宋体"/>
          <w:color w:val="auto"/>
          <w:kern w:val="2"/>
          <w:sz w:val="21"/>
          <w:szCs w:val="21"/>
          <w:highlight w:val="none"/>
        </w:rPr>
        <w:t>行业质量检验评定的</w:t>
      </w:r>
      <w:r>
        <w:rPr>
          <w:rFonts w:hint="eastAsia" w:ascii="宋体" w:hAnsi="宋体" w:eastAsia="宋体" w:cs="宋体"/>
          <w:color w:val="auto"/>
          <w:kern w:val="2"/>
          <w:sz w:val="21"/>
          <w:szCs w:val="21"/>
          <w:highlight w:val="none"/>
          <w:u w:val="single"/>
        </w:rPr>
        <w:t xml:space="preserve"> 合格 </w:t>
      </w:r>
      <w:r>
        <w:rPr>
          <w:rFonts w:hint="eastAsia" w:ascii="宋体" w:hAnsi="宋体" w:eastAsia="宋体" w:cs="宋体"/>
          <w:color w:val="auto"/>
          <w:kern w:val="2"/>
          <w:sz w:val="21"/>
          <w:szCs w:val="21"/>
          <w:highlight w:val="none"/>
        </w:rPr>
        <w:t>标准。</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（2）建立健全质量保证体系，并保证其正常运作。</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（3）加强</w:t>
      </w:r>
      <w:r>
        <w:rPr>
          <w:rFonts w:hint="eastAsia" w:ascii="宋体" w:hAnsi="宋体" w:eastAsia="宋体" w:cs="宋体"/>
          <w:color w:val="auto"/>
          <w:kern w:val="2"/>
          <w:sz w:val="21"/>
          <w:szCs w:val="21"/>
          <w:highlight w:val="none"/>
          <w:lang w:eastAsia="zh-CN"/>
        </w:rPr>
        <w:t>安装调试</w:t>
      </w:r>
      <w:r>
        <w:rPr>
          <w:rFonts w:hint="eastAsia" w:ascii="宋体" w:hAnsi="宋体" w:eastAsia="宋体" w:cs="宋体"/>
          <w:color w:val="auto"/>
          <w:kern w:val="2"/>
          <w:sz w:val="21"/>
          <w:szCs w:val="21"/>
          <w:highlight w:val="none"/>
        </w:rPr>
        <w:t>过程控制，设专人对</w:t>
      </w:r>
      <w:r>
        <w:rPr>
          <w:rFonts w:hint="eastAsia" w:ascii="宋体" w:hAnsi="宋体" w:eastAsia="宋体" w:cs="宋体"/>
          <w:color w:val="auto"/>
          <w:kern w:val="2"/>
          <w:sz w:val="21"/>
          <w:szCs w:val="21"/>
          <w:highlight w:val="none"/>
          <w:lang w:eastAsia="zh-CN"/>
        </w:rPr>
        <w:t>安装</w:t>
      </w:r>
      <w:r>
        <w:rPr>
          <w:rFonts w:hint="eastAsia" w:ascii="宋体" w:hAnsi="宋体" w:eastAsia="宋体" w:cs="宋体"/>
          <w:color w:val="auto"/>
          <w:kern w:val="2"/>
          <w:sz w:val="21"/>
          <w:szCs w:val="21"/>
          <w:highlight w:val="none"/>
        </w:rPr>
        <w:t>质量进行跟踪检查。</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（4）对</w:t>
      </w:r>
      <w:r>
        <w:rPr>
          <w:rFonts w:hint="eastAsia" w:ascii="宋体" w:hAnsi="宋体" w:cs="宋体"/>
          <w:color w:val="auto"/>
          <w:kern w:val="2"/>
          <w:sz w:val="21"/>
          <w:szCs w:val="21"/>
          <w:highlight w:val="none"/>
          <w:lang w:eastAsia="zh-CN"/>
        </w:rPr>
        <w:t>项目</w:t>
      </w:r>
      <w:r>
        <w:rPr>
          <w:rFonts w:hint="eastAsia" w:ascii="宋体" w:hAnsi="宋体" w:eastAsia="宋体" w:cs="宋体"/>
          <w:color w:val="auto"/>
          <w:kern w:val="2"/>
          <w:sz w:val="21"/>
          <w:szCs w:val="21"/>
          <w:highlight w:val="none"/>
        </w:rPr>
        <w:t>质量的检查严格执行三检制（自检、互检、专检）。</w:t>
      </w:r>
    </w:p>
    <w:p>
      <w:pPr>
        <w:widowControl w:val="0"/>
        <w:wordWrap w:val="0"/>
        <w:adjustRightInd/>
        <w:snapToGrid/>
        <w:spacing w:after="0" w:line="288" w:lineRule="auto"/>
        <w:jc w:val="both"/>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 安全保证措施</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（1）建立安全生产体系，制定详细的安全保证措施，加强安全管理，保证安全生产无事故。</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项目现场</w:t>
      </w:r>
      <w:r>
        <w:rPr>
          <w:rFonts w:hint="eastAsia" w:ascii="宋体" w:hAnsi="宋体" w:eastAsia="宋体" w:cs="宋体"/>
          <w:color w:val="auto"/>
          <w:kern w:val="2"/>
          <w:sz w:val="21"/>
          <w:szCs w:val="21"/>
          <w:highlight w:val="none"/>
        </w:rPr>
        <w:t>的布置符合防火、防爆、防雷电等安全规定及文明施工的要求。</w:t>
      </w:r>
      <w:r>
        <w:rPr>
          <w:rFonts w:hint="eastAsia" w:ascii="宋体" w:hAnsi="宋体" w:eastAsia="宋体" w:cs="宋体"/>
          <w:color w:val="auto"/>
          <w:kern w:val="2"/>
          <w:sz w:val="21"/>
          <w:szCs w:val="21"/>
          <w:highlight w:val="none"/>
          <w:lang w:eastAsia="zh-CN"/>
        </w:rPr>
        <w:t>项目现场</w:t>
      </w:r>
      <w:r>
        <w:rPr>
          <w:rFonts w:hint="eastAsia" w:ascii="宋体" w:hAnsi="宋体" w:eastAsia="宋体" w:cs="宋体"/>
          <w:color w:val="auto"/>
          <w:kern w:val="2"/>
          <w:sz w:val="21"/>
          <w:szCs w:val="21"/>
          <w:highlight w:val="none"/>
        </w:rPr>
        <w:t>生活办公用房、仓库、材料堆放场按批准的总平面布置图进行布置。</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（3）现场道路保持畅通，危险地点悬挂安全警示标牌，</w:t>
      </w:r>
      <w:r>
        <w:rPr>
          <w:rFonts w:hint="eastAsia" w:ascii="宋体" w:hAnsi="宋体" w:eastAsia="宋体" w:cs="宋体"/>
          <w:color w:val="auto"/>
          <w:kern w:val="2"/>
          <w:sz w:val="21"/>
          <w:szCs w:val="21"/>
          <w:highlight w:val="none"/>
          <w:lang w:eastAsia="zh-CN"/>
        </w:rPr>
        <w:t>项目现场</w:t>
      </w:r>
      <w:r>
        <w:rPr>
          <w:rFonts w:hint="eastAsia" w:ascii="宋体" w:hAnsi="宋体" w:eastAsia="宋体" w:cs="宋体"/>
          <w:color w:val="auto"/>
          <w:kern w:val="2"/>
          <w:sz w:val="21"/>
          <w:szCs w:val="21"/>
          <w:highlight w:val="none"/>
        </w:rPr>
        <w:t>设置安全宣传标语。</w:t>
      </w:r>
    </w:p>
    <w:p>
      <w:pPr>
        <w:widowControl w:val="0"/>
        <w:tabs>
          <w:tab w:val="left" w:pos="360"/>
        </w:tabs>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（4）各类房屋、库棚、料场等安全消防距离符合有关规定，现场易燃杂物随时清理，严禁在有火种的场所或其近旁堆放易燃物品。</w:t>
      </w:r>
    </w:p>
    <w:p>
      <w:pPr>
        <w:widowControl w:val="0"/>
        <w:tabs>
          <w:tab w:val="left" w:pos="360"/>
        </w:tabs>
        <w:adjustRightInd/>
        <w:snapToGrid/>
        <w:spacing w:after="0" w:line="288" w:lineRule="auto"/>
        <w:ind w:firstLine="420" w:firstLineChars="200"/>
        <w:jc w:val="both"/>
        <w:rPr>
          <w:rFonts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）成品保护</w:t>
      </w:r>
      <w:r>
        <w:rPr>
          <w:rFonts w:hint="eastAsia" w:ascii="宋体" w:hAnsi="宋体" w:eastAsia="宋体" w:cs="宋体"/>
          <w:color w:val="auto"/>
          <w:kern w:val="2"/>
          <w:sz w:val="21"/>
          <w:szCs w:val="21"/>
          <w:highlight w:val="none"/>
          <w:lang w:val="en-US" w:eastAsia="zh-CN"/>
        </w:rPr>
        <w:t>措施</w:t>
      </w:r>
      <w:r>
        <w:rPr>
          <w:rFonts w:hint="eastAsia" w:ascii="宋体" w:hAnsi="宋体" w:eastAsia="宋体" w:cs="宋体"/>
          <w:color w:val="auto"/>
          <w:kern w:val="2"/>
          <w:sz w:val="21"/>
          <w:szCs w:val="21"/>
          <w:highlight w:val="none"/>
        </w:rPr>
        <w:t>：彩钢瓦屋面或脆弱屋面在实施前应采集承载数据，符合承载要求才可进行</w:t>
      </w:r>
      <w:r>
        <w:rPr>
          <w:rFonts w:hint="eastAsia" w:ascii="宋体" w:hAnsi="宋体" w:eastAsia="宋体" w:cs="宋体"/>
          <w:color w:val="auto"/>
          <w:kern w:val="2"/>
          <w:sz w:val="21"/>
          <w:szCs w:val="21"/>
          <w:highlight w:val="none"/>
          <w:lang w:eastAsia="zh-CN"/>
        </w:rPr>
        <w:t>安装</w:t>
      </w:r>
      <w:r>
        <w:rPr>
          <w:rFonts w:hint="eastAsia" w:ascii="宋体" w:hAnsi="宋体" w:eastAsia="宋体" w:cs="宋体"/>
          <w:color w:val="auto"/>
          <w:kern w:val="2"/>
          <w:sz w:val="21"/>
          <w:szCs w:val="21"/>
          <w:highlight w:val="none"/>
        </w:rPr>
        <w:t>；应采取避免集中受力的保证措施，如</w:t>
      </w:r>
      <w:r>
        <w:rPr>
          <w:rFonts w:hint="eastAsia" w:ascii="宋体" w:hAnsi="宋体" w:eastAsia="宋体" w:cs="宋体"/>
          <w:color w:val="auto"/>
          <w:kern w:val="2"/>
          <w:sz w:val="21"/>
          <w:szCs w:val="21"/>
          <w:highlight w:val="none"/>
          <w:lang w:val="en-US" w:eastAsia="zh-CN"/>
        </w:rPr>
        <w:t>架</w:t>
      </w:r>
      <w:r>
        <w:rPr>
          <w:rFonts w:hint="eastAsia" w:ascii="宋体" w:hAnsi="宋体" w:eastAsia="宋体" w:cs="宋体"/>
          <w:color w:val="auto"/>
          <w:kern w:val="2"/>
          <w:sz w:val="21"/>
          <w:szCs w:val="21"/>
          <w:highlight w:val="none"/>
        </w:rPr>
        <w:t>设轻质木板或其他增大受力面积的保证措施</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同时</w:t>
      </w:r>
      <w:r>
        <w:rPr>
          <w:rFonts w:hint="eastAsia" w:ascii="宋体" w:hAnsi="宋体" w:eastAsia="宋体" w:cs="宋体"/>
          <w:color w:val="auto"/>
          <w:kern w:val="2"/>
          <w:sz w:val="21"/>
          <w:szCs w:val="21"/>
          <w:highlight w:val="none"/>
        </w:rPr>
        <w:t>必须优先</w:t>
      </w:r>
      <w:r>
        <w:rPr>
          <w:rFonts w:hint="eastAsia" w:ascii="宋体" w:hAnsi="宋体" w:eastAsia="宋体" w:cs="宋体"/>
          <w:color w:val="auto"/>
          <w:kern w:val="2"/>
          <w:sz w:val="21"/>
          <w:szCs w:val="21"/>
          <w:highlight w:val="none"/>
          <w:lang w:val="en-US" w:eastAsia="zh-CN"/>
        </w:rPr>
        <w:t>安装</w:t>
      </w:r>
      <w:r>
        <w:rPr>
          <w:rFonts w:hint="eastAsia" w:ascii="宋体" w:hAnsi="宋体" w:eastAsia="宋体" w:cs="宋体"/>
          <w:color w:val="auto"/>
          <w:kern w:val="2"/>
          <w:sz w:val="21"/>
          <w:szCs w:val="21"/>
          <w:highlight w:val="none"/>
        </w:rPr>
        <w:t>运维通道，避免彩钢瓦因集中受力</w:t>
      </w:r>
      <w:r>
        <w:rPr>
          <w:rFonts w:hint="eastAsia" w:ascii="宋体" w:hAnsi="宋体" w:eastAsia="宋体" w:cs="宋体"/>
          <w:color w:val="auto"/>
          <w:kern w:val="2"/>
          <w:sz w:val="21"/>
          <w:szCs w:val="21"/>
          <w:highlight w:val="none"/>
          <w:lang w:val="en-US" w:eastAsia="zh-CN"/>
        </w:rPr>
        <w:t>变形破裂</w:t>
      </w:r>
      <w:r>
        <w:rPr>
          <w:rFonts w:hint="eastAsia" w:ascii="宋体" w:hAnsi="宋体" w:eastAsia="宋体" w:cs="宋体"/>
          <w:color w:val="auto"/>
          <w:kern w:val="2"/>
          <w:sz w:val="21"/>
          <w:szCs w:val="21"/>
          <w:highlight w:val="none"/>
        </w:rPr>
        <w:t>受损。如因保护措施不足，使原有彩钢瓦受损，</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rPr>
        <w:t>应承担维修责任及费用，情况严重的，我司有权要求更换整片彩钢瓦</w:t>
      </w:r>
      <w:r>
        <w:rPr>
          <w:rFonts w:hint="eastAsia" w:ascii="宋体" w:hAnsi="宋体" w:eastAsia="宋体" w:cs="宋体"/>
          <w:color w:val="auto"/>
          <w:kern w:val="2"/>
          <w:sz w:val="21"/>
          <w:szCs w:val="21"/>
          <w:highlight w:val="none"/>
          <w:lang w:val="en-US" w:eastAsia="zh-CN"/>
        </w:rPr>
        <w:t>屋面</w:t>
      </w:r>
      <w:r>
        <w:rPr>
          <w:rFonts w:hint="eastAsia" w:ascii="宋体" w:hAnsi="宋体" w:eastAsia="宋体" w:cs="宋体"/>
          <w:color w:val="auto"/>
          <w:kern w:val="2"/>
          <w:sz w:val="21"/>
          <w:szCs w:val="21"/>
          <w:highlight w:val="none"/>
        </w:rPr>
        <w:t>。</w:t>
      </w:r>
    </w:p>
    <w:p>
      <w:pPr>
        <w:widowControl w:val="0"/>
        <w:tabs>
          <w:tab w:val="left" w:pos="360"/>
        </w:tabs>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项目现场</w:t>
      </w:r>
      <w:r>
        <w:rPr>
          <w:rFonts w:hint="eastAsia" w:ascii="宋体" w:hAnsi="宋体" w:eastAsia="宋体" w:cs="宋体"/>
          <w:color w:val="auto"/>
          <w:kern w:val="2"/>
          <w:sz w:val="21"/>
          <w:szCs w:val="21"/>
          <w:highlight w:val="none"/>
        </w:rPr>
        <w:t>的临时用电严格按照《施工现场临时用电安全技术规范》JGJ46-2005 的规定执行</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严格按照三相五线制布设电线，做到二级保护，三级控制，一机一闸</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同时需出专项方案</w:t>
      </w:r>
      <w:r>
        <w:rPr>
          <w:rFonts w:hint="eastAsia" w:ascii="宋体" w:hAnsi="宋体" w:eastAsia="宋体" w:cs="宋体"/>
          <w:color w:val="auto"/>
          <w:kern w:val="2"/>
          <w:sz w:val="21"/>
          <w:szCs w:val="21"/>
          <w:highlight w:val="none"/>
        </w:rPr>
        <w:t>。</w:t>
      </w:r>
    </w:p>
    <w:p>
      <w:pPr>
        <w:widowControl w:val="0"/>
        <w:tabs>
          <w:tab w:val="left" w:pos="360"/>
        </w:tabs>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（7）</w:t>
      </w:r>
      <w:r>
        <w:rPr>
          <w:rFonts w:hint="eastAsia" w:ascii="宋体" w:hAnsi="宋体" w:eastAsia="宋体" w:cs="宋体"/>
          <w:color w:val="auto"/>
          <w:kern w:val="2"/>
          <w:sz w:val="21"/>
          <w:szCs w:val="21"/>
          <w:highlight w:val="none"/>
          <w:lang w:eastAsia="zh-CN"/>
        </w:rPr>
        <w:t>项目现场</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高处作业严格</w:t>
      </w:r>
      <w:r>
        <w:rPr>
          <w:rFonts w:hint="eastAsia" w:ascii="宋体" w:hAnsi="宋体" w:eastAsia="宋体" w:cs="宋体"/>
          <w:color w:val="auto"/>
          <w:kern w:val="2"/>
          <w:sz w:val="21"/>
          <w:szCs w:val="21"/>
          <w:highlight w:val="none"/>
        </w:rPr>
        <w:t>按照《建筑施工高处作业安全技术规范》JGJ80-2016的规定</w:t>
      </w:r>
      <w:r>
        <w:rPr>
          <w:rFonts w:hint="eastAsia" w:ascii="宋体" w:hAnsi="宋体" w:eastAsia="宋体" w:cs="宋体"/>
          <w:color w:val="auto"/>
          <w:kern w:val="2"/>
          <w:sz w:val="21"/>
          <w:szCs w:val="21"/>
          <w:highlight w:val="none"/>
          <w:lang w:val="en-US" w:eastAsia="zh-CN"/>
        </w:rPr>
        <w:t>落实安全措施，正确佩戴五点式安全带（绳）、安全帽</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同时需出专项方案</w:t>
      </w:r>
      <w:r>
        <w:rPr>
          <w:rFonts w:hint="eastAsia" w:ascii="宋体" w:hAnsi="宋体" w:eastAsia="宋体" w:cs="宋体"/>
          <w:color w:val="auto"/>
          <w:kern w:val="2"/>
          <w:sz w:val="21"/>
          <w:szCs w:val="21"/>
          <w:highlight w:val="none"/>
        </w:rPr>
        <w:t>。</w:t>
      </w:r>
    </w:p>
    <w:p>
      <w:pPr>
        <w:widowControl w:val="0"/>
        <w:tabs>
          <w:tab w:val="left" w:pos="360"/>
        </w:tabs>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项目现场</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吊装作业必须设置警戒区域，禁止人员跟随物体起吊，禁止人员站在吊物作业范围内下方</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同时需出专项方案</w:t>
      </w:r>
      <w:r>
        <w:rPr>
          <w:rFonts w:hint="eastAsia" w:ascii="宋体" w:hAnsi="宋体" w:eastAsia="宋体" w:cs="宋体"/>
          <w:color w:val="auto"/>
          <w:kern w:val="2"/>
          <w:sz w:val="21"/>
          <w:szCs w:val="21"/>
          <w:highlight w:val="none"/>
        </w:rPr>
        <w:t>。</w:t>
      </w:r>
    </w:p>
    <w:p>
      <w:pPr>
        <w:widowControl w:val="0"/>
        <w:tabs>
          <w:tab w:val="left" w:pos="360"/>
        </w:tabs>
        <w:adjustRightInd/>
        <w:snapToGrid/>
        <w:spacing w:after="0" w:line="288" w:lineRule="auto"/>
        <w:ind w:firstLine="420" w:firstLineChars="200"/>
        <w:jc w:val="both"/>
        <w:rPr>
          <w:rFonts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项目现场</w:t>
      </w:r>
      <w:r>
        <w:rPr>
          <w:rFonts w:hint="eastAsia" w:ascii="宋体" w:hAnsi="宋体" w:eastAsia="宋体" w:cs="宋体"/>
          <w:color w:val="auto"/>
          <w:kern w:val="2"/>
          <w:sz w:val="21"/>
          <w:szCs w:val="21"/>
          <w:highlight w:val="none"/>
        </w:rPr>
        <w:t>的</w:t>
      </w:r>
      <w:r>
        <w:rPr>
          <w:rFonts w:hint="eastAsia" w:ascii="宋体" w:hAnsi="宋体" w:eastAsia="宋体" w:cs="宋体"/>
          <w:color w:val="auto"/>
          <w:kern w:val="2"/>
          <w:sz w:val="21"/>
          <w:szCs w:val="21"/>
          <w:highlight w:val="none"/>
          <w:lang w:val="en-US" w:eastAsia="zh-CN"/>
        </w:rPr>
        <w:t>动火作业点应落实消防安全措施</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清理周边易燃、可燃物体，设置灭火毯、灭火器等设施</w:t>
      </w:r>
      <w:r>
        <w:rPr>
          <w:rFonts w:hint="eastAsia" w:ascii="宋体" w:hAnsi="宋体" w:eastAsia="宋体" w:cs="宋体"/>
          <w:color w:val="auto"/>
          <w:kern w:val="2"/>
          <w:sz w:val="21"/>
          <w:szCs w:val="21"/>
          <w:highlight w:val="none"/>
        </w:rPr>
        <w:t>，严禁在</w:t>
      </w:r>
      <w:r>
        <w:rPr>
          <w:rFonts w:hint="eastAsia" w:ascii="宋体" w:hAnsi="宋体" w:eastAsia="宋体" w:cs="宋体"/>
          <w:color w:val="auto"/>
          <w:kern w:val="2"/>
          <w:sz w:val="21"/>
          <w:szCs w:val="21"/>
          <w:highlight w:val="none"/>
          <w:lang w:val="en-US" w:eastAsia="zh-CN"/>
        </w:rPr>
        <w:t>禁火区域进行动火</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同时需出专项方案</w:t>
      </w:r>
      <w:r>
        <w:rPr>
          <w:rFonts w:hint="eastAsia" w:ascii="宋体" w:hAnsi="宋体" w:eastAsia="宋体" w:cs="宋体"/>
          <w:color w:val="auto"/>
          <w:kern w:val="2"/>
          <w:sz w:val="21"/>
          <w:szCs w:val="21"/>
          <w:highlight w:val="none"/>
        </w:rPr>
        <w:t>。</w:t>
      </w:r>
    </w:p>
    <w:p>
      <w:pPr>
        <w:widowControl w:val="0"/>
        <w:tabs>
          <w:tab w:val="left" w:pos="360"/>
        </w:tabs>
        <w:adjustRightInd/>
        <w:snapToGrid/>
        <w:spacing w:after="0" w:line="288" w:lineRule="auto"/>
        <w:ind w:firstLine="420" w:firstLineChars="200"/>
        <w:jc w:val="both"/>
        <w:rPr>
          <w:rFonts w:ascii="宋体" w:hAnsi="宋体" w:eastAsia="宋体" w:cs="宋体"/>
          <w:b/>
          <w:bCs/>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项目现场</w:t>
      </w:r>
      <w:r>
        <w:rPr>
          <w:rFonts w:hint="eastAsia" w:ascii="宋体" w:hAnsi="宋体" w:eastAsia="宋体" w:cs="宋体"/>
          <w:color w:val="auto"/>
          <w:kern w:val="2"/>
          <w:sz w:val="21"/>
          <w:szCs w:val="21"/>
          <w:highlight w:val="none"/>
        </w:rPr>
        <w:t>设立安全</w:t>
      </w:r>
      <w:r>
        <w:rPr>
          <w:rFonts w:hint="eastAsia" w:ascii="宋体" w:hAnsi="宋体" w:eastAsia="宋体" w:cs="宋体"/>
          <w:color w:val="auto"/>
          <w:kern w:val="2"/>
          <w:sz w:val="21"/>
          <w:szCs w:val="21"/>
          <w:highlight w:val="none"/>
          <w:lang w:val="en-US" w:eastAsia="zh-CN"/>
        </w:rPr>
        <w:t>警示牌</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危险区域必须</w:t>
      </w:r>
      <w:r>
        <w:rPr>
          <w:rFonts w:hint="eastAsia" w:ascii="宋体" w:hAnsi="宋体" w:eastAsia="宋体" w:cs="宋体"/>
          <w:color w:val="auto"/>
          <w:kern w:val="2"/>
          <w:sz w:val="21"/>
          <w:szCs w:val="21"/>
          <w:highlight w:val="none"/>
        </w:rPr>
        <w:t>悬挂“</w:t>
      </w:r>
      <w:r>
        <w:rPr>
          <w:rFonts w:hint="eastAsia" w:ascii="宋体" w:hAnsi="宋体" w:eastAsia="宋体" w:cs="宋体"/>
          <w:color w:val="auto"/>
          <w:kern w:val="2"/>
          <w:sz w:val="21"/>
          <w:szCs w:val="21"/>
          <w:highlight w:val="none"/>
          <w:lang w:val="en-US" w:eastAsia="zh-CN"/>
        </w:rPr>
        <w:t>临边区域，当心坠落</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高空作业，当心坠落</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小心踏空，以防坠落</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以防坠落，请勿攀爬</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吊装作业，请勿靠近</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高压有电，请勿靠近</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当心触电</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注意安全</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“严禁烟火”、“禁止通行”或“</w:t>
      </w:r>
      <w:r>
        <w:rPr>
          <w:rFonts w:hint="eastAsia" w:ascii="宋体" w:hAnsi="宋体" w:eastAsia="宋体" w:cs="宋体"/>
          <w:color w:val="auto"/>
          <w:kern w:val="2"/>
          <w:sz w:val="21"/>
          <w:szCs w:val="21"/>
          <w:highlight w:val="none"/>
          <w:lang w:val="en-US" w:eastAsia="zh-CN"/>
        </w:rPr>
        <w:t>高空作业，系好安全带</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必须系安全带</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必须戴安全帽</w:t>
      </w:r>
      <w:r>
        <w:rPr>
          <w:rFonts w:hint="eastAsia" w:ascii="宋体" w:hAnsi="宋体" w:eastAsia="宋体" w:cs="宋体"/>
          <w:color w:val="auto"/>
          <w:kern w:val="2"/>
          <w:sz w:val="21"/>
          <w:szCs w:val="21"/>
          <w:highlight w:val="none"/>
        </w:rPr>
        <w:t>”等</w:t>
      </w:r>
      <w:r>
        <w:rPr>
          <w:rFonts w:hint="eastAsia" w:ascii="宋体" w:hAnsi="宋体" w:eastAsia="宋体" w:cs="宋体"/>
          <w:color w:val="auto"/>
          <w:kern w:val="2"/>
          <w:sz w:val="21"/>
          <w:szCs w:val="21"/>
          <w:highlight w:val="none"/>
          <w:lang w:val="en-US" w:eastAsia="zh-CN"/>
        </w:rPr>
        <w:t>警示</w:t>
      </w:r>
      <w:r>
        <w:rPr>
          <w:rFonts w:hint="eastAsia" w:ascii="宋体" w:hAnsi="宋体" w:eastAsia="宋体" w:cs="宋体"/>
          <w:color w:val="auto"/>
          <w:kern w:val="2"/>
          <w:sz w:val="21"/>
          <w:szCs w:val="21"/>
          <w:highlight w:val="none"/>
        </w:rPr>
        <w:t>标志。</w:t>
      </w:r>
    </w:p>
    <w:p>
      <w:pPr>
        <w:bidi w:val="0"/>
      </w:pPr>
    </w:p>
    <w:p>
      <w:pPr>
        <w:keepNext/>
        <w:keepLines/>
        <w:widowControl w:val="0"/>
        <w:adjustRightInd/>
        <w:snapToGrid/>
        <w:spacing w:after="0" w:line="360" w:lineRule="auto"/>
        <w:jc w:val="both"/>
        <w:outlineLvl w:val="3"/>
        <w:rPr>
          <w:rFonts w:ascii="Calibri Light" w:hAnsi="Calibri Light" w:eastAsia="宋体" w:cs="Times New Roman"/>
          <w:b/>
          <w:bCs/>
          <w:color w:val="auto"/>
          <w:kern w:val="2"/>
          <w:sz w:val="24"/>
          <w:szCs w:val="28"/>
          <w:highlight w:val="none"/>
        </w:rPr>
      </w:pPr>
      <w:r>
        <w:rPr>
          <w:rFonts w:hint="eastAsia" w:ascii="Calibri Light" w:hAnsi="Calibri Light" w:eastAsia="宋体" w:cs="Times New Roman"/>
          <w:b/>
          <w:bCs/>
          <w:color w:val="auto"/>
          <w:kern w:val="2"/>
          <w:sz w:val="24"/>
          <w:szCs w:val="28"/>
          <w:highlight w:val="none"/>
          <w:lang w:val="en-US" w:eastAsia="zh-CN"/>
        </w:rPr>
        <w:t>四</w:t>
      </w:r>
      <w:r>
        <w:rPr>
          <w:rFonts w:hint="eastAsia" w:ascii="Calibri Light" w:hAnsi="Calibri Light" w:eastAsia="宋体" w:cs="Times New Roman"/>
          <w:b/>
          <w:bCs/>
          <w:color w:val="auto"/>
          <w:kern w:val="2"/>
          <w:sz w:val="24"/>
          <w:szCs w:val="28"/>
          <w:highlight w:val="none"/>
        </w:rPr>
        <w:t>、安全运维技术要求</w:t>
      </w:r>
    </w:p>
    <w:p>
      <w:pPr>
        <w:widowControl w:val="0"/>
        <w:wordWrap w:val="0"/>
        <w:adjustRightInd/>
        <w:snapToGrid/>
        <w:spacing w:after="0" w:line="288" w:lineRule="auto"/>
        <w:jc w:val="both"/>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 xml:space="preserve">1. </w:t>
      </w:r>
      <w:r>
        <w:rPr>
          <w:rFonts w:hint="eastAsia" w:ascii="宋体" w:hAnsi="宋体" w:eastAsia="宋体" w:cs="宋体"/>
          <w:b/>
          <w:bCs/>
          <w:color w:val="auto"/>
          <w:kern w:val="2"/>
          <w:sz w:val="21"/>
          <w:szCs w:val="21"/>
          <w:highlight w:val="none"/>
          <w:lang w:val="en-US" w:eastAsia="zh-CN"/>
        </w:rPr>
        <w:t>安全</w:t>
      </w:r>
      <w:r>
        <w:rPr>
          <w:rFonts w:hint="eastAsia" w:ascii="宋体" w:hAnsi="宋体" w:eastAsia="宋体" w:cs="宋体"/>
          <w:b/>
          <w:bCs/>
          <w:color w:val="auto"/>
          <w:kern w:val="2"/>
          <w:sz w:val="21"/>
          <w:szCs w:val="21"/>
          <w:highlight w:val="none"/>
        </w:rPr>
        <w:t>运维要求</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光伏系统</w:t>
      </w:r>
      <w:r>
        <w:rPr>
          <w:rFonts w:hint="eastAsia" w:ascii="宋体" w:hAnsi="宋体" w:eastAsia="宋体" w:cs="宋体"/>
          <w:color w:val="auto"/>
          <w:kern w:val="2"/>
          <w:sz w:val="21"/>
          <w:szCs w:val="21"/>
          <w:highlight w:val="none"/>
        </w:rPr>
        <w:t>投入运行后，投资方应当制定相应的运维制度，成立专门的管理团队，确保光伏设施的安全运行；</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rPr>
        <w:t>在质保期内需配合投资方</w:t>
      </w:r>
      <w:r>
        <w:rPr>
          <w:rFonts w:hint="eastAsia" w:ascii="宋体" w:hAnsi="宋体" w:eastAsia="宋体" w:cs="宋体"/>
          <w:color w:val="auto"/>
          <w:kern w:val="2"/>
          <w:sz w:val="21"/>
          <w:szCs w:val="21"/>
          <w:highlight w:val="none"/>
          <w:lang w:val="en-US" w:eastAsia="zh-CN"/>
        </w:rPr>
        <w:t>安全运维部门进行</w:t>
      </w:r>
      <w:r>
        <w:rPr>
          <w:rFonts w:hint="eastAsia" w:ascii="宋体" w:hAnsi="宋体" w:eastAsia="宋体" w:cs="宋体"/>
          <w:color w:val="auto"/>
          <w:kern w:val="2"/>
          <w:sz w:val="21"/>
          <w:szCs w:val="21"/>
          <w:highlight w:val="none"/>
        </w:rPr>
        <w:t>运维管理。</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光伏系统</w:t>
      </w:r>
      <w:r>
        <w:rPr>
          <w:rFonts w:hint="eastAsia" w:ascii="宋体" w:hAnsi="宋体" w:eastAsia="宋体" w:cs="宋体"/>
          <w:color w:val="auto"/>
          <w:kern w:val="2"/>
          <w:sz w:val="21"/>
          <w:szCs w:val="21"/>
          <w:highlight w:val="none"/>
        </w:rPr>
        <w:t>投入运行后经营期最高不得超过 25 年；最低不得低于 10 年；</w:t>
      </w:r>
    </w:p>
    <w:p>
      <w:pPr>
        <w:widowControl w:val="0"/>
        <w:tabs>
          <w:tab w:val="left" w:pos="360"/>
        </w:tabs>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（3）质保期内</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rPr>
        <w:t>应确保</w:t>
      </w:r>
      <w:r>
        <w:rPr>
          <w:rFonts w:hint="eastAsia" w:ascii="宋体" w:hAnsi="宋体" w:eastAsia="宋体" w:cs="宋体"/>
          <w:color w:val="auto"/>
          <w:kern w:val="2"/>
          <w:sz w:val="21"/>
          <w:szCs w:val="21"/>
          <w:highlight w:val="none"/>
          <w:lang w:val="en-US" w:eastAsia="zh-CN"/>
        </w:rPr>
        <w:t>光伏</w:t>
      </w:r>
      <w:r>
        <w:rPr>
          <w:rFonts w:hint="eastAsia" w:ascii="宋体" w:hAnsi="宋体" w:eastAsia="宋体" w:cs="宋体"/>
          <w:color w:val="auto"/>
          <w:kern w:val="2"/>
          <w:sz w:val="21"/>
          <w:szCs w:val="21"/>
          <w:highlight w:val="none"/>
        </w:rPr>
        <w:t>系统安全、稳定、可靠运行，定期派人检查、监管和记录项目的运行情况，并定期汇总给投资方</w:t>
      </w:r>
      <w:r>
        <w:rPr>
          <w:rFonts w:hint="eastAsia" w:ascii="宋体" w:hAnsi="宋体" w:eastAsia="宋体" w:cs="宋体"/>
          <w:color w:val="auto"/>
          <w:kern w:val="2"/>
          <w:sz w:val="21"/>
          <w:szCs w:val="21"/>
          <w:highlight w:val="none"/>
          <w:lang w:val="en-US" w:eastAsia="zh-CN"/>
        </w:rPr>
        <w:t>安全运维部门</w:t>
      </w:r>
      <w:r>
        <w:rPr>
          <w:rFonts w:hint="eastAsia" w:ascii="宋体" w:hAnsi="宋体" w:eastAsia="宋体" w:cs="宋体"/>
          <w:color w:val="auto"/>
          <w:kern w:val="2"/>
          <w:sz w:val="21"/>
          <w:szCs w:val="21"/>
          <w:highlight w:val="none"/>
        </w:rPr>
        <w:t>。</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w:t>
      </w:r>
      <w:r>
        <w:rPr>
          <w:rFonts w:hint="eastAsia" w:ascii="宋体" w:hAnsi="宋体" w:cs="宋体"/>
          <w:color w:val="auto"/>
          <w:kern w:val="2"/>
          <w:sz w:val="21"/>
          <w:szCs w:val="21"/>
          <w:highlight w:val="none"/>
          <w:lang w:val="en-US" w:eastAsia="zh-CN"/>
        </w:rPr>
        <w:t>中标人</w:t>
      </w:r>
      <w:r>
        <w:rPr>
          <w:rFonts w:hint="eastAsia" w:ascii="宋体" w:hAnsi="宋体" w:eastAsia="宋体" w:cs="宋体"/>
          <w:color w:val="auto"/>
          <w:kern w:val="2"/>
          <w:sz w:val="21"/>
          <w:szCs w:val="21"/>
          <w:highlight w:val="none"/>
        </w:rPr>
        <w:t>承诺对</w:t>
      </w:r>
      <w:r>
        <w:rPr>
          <w:rFonts w:hint="eastAsia" w:ascii="宋体" w:hAnsi="宋体" w:eastAsia="宋体" w:cs="宋体"/>
          <w:color w:val="auto"/>
          <w:kern w:val="2"/>
          <w:sz w:val="21"/>
          <w:szCs w:val="21"/>
          <w:highlight w:val="none"/>
          <w:lang w:val="en-US" w:eastAsia="zh-CN"/>
        </w:rPr>
        <w:t>光伏系统</w:t>
      </w:r>
      <w:r>
        <w:rPr>
          <w:rFonts w:hint="eastAsia" w:ascii="宋体" w:hAnsi="宋体" w:eastAsia="宋体" w:cs="宋体"/>
          <w:color w:val="auto"/>
          <w:kern w:val="2"/>
          <w:sz w:val="21"/>
          <w:szCs w:val="21"/>
          <w:highlight w:val="none"/>
        </w:rPr>
        <w:t>提供合同期内维修保养服务，并承担维修保养费用。</w:t>
      </w:r>
    </w:p>
    <w:p>
      <w:pPr>
        <w:widowControl w:val="0"/>
        <w:wordWrap w:val="0"/>
        <w:adjustRightInd/>
        <w:snapToGrid/>
        <w:spacing w:after="0" w:line="288" w:lineRule="auto"/>
        <w:jc w:val="both"/>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 xml:space="preserve">2. </w:t>
      </w:r>
      <w:r>
        <w:rPr>
          <w:rFonts w:hint="eastAsia" w:ascii="宋体" w:hAnsi="宋体" w:eastAsia="宋体" w:cs="宋体"/>
          <w:b/>
          <w:bCs/>
          <w:color w:val="auto"/>
          <w:kern w:val="2"/>
          <w:sz w:val="21"/>
          <w:szCs w:val="21"/>
          <w:highlight w:val="none"/>
          <w:lang w:val="en-US" w:eastAsia="zh-CN"/>
        </w:rPr>
        <w:t>安全</w:t>
      </w:r>
      <w:r>
        <w:rPr>
          <w:rFonts w:hint="eastAsia" w:ascii="宋体" w:hAnsi="宋体" w:eastAsia="宋体" w:cs="宋体"/>
          <w:b/>
          <w:bCs/>
          <w:color w:val="auto"/>
          <w:kern w:val="2"/>
          <w:sz w:val="21"/>
          <w:szCs w:val="21"/>
          <w:highlight w:val="none"/>
        </w:rPr>
        <w:t>运维设施</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水清洗</w:t>
      </w:r>
      <w:r>
        <w:rPr>
          <w:rFonts w:hint="eastAsia" w:ascii="宋体" w:hAnsi="宋体" w:eastAsia="宋体" w:cs="宋体"/>
          <w:color w:val="auto"/>
          <w:kern w:val="2"/>
          <w:sz w:val="21"/>
          <w:szCs w:val="21"/>
          <w:highlight w:val="none"/>
        </w:rPr>
        <w:t>系统</w:t>
      </w:r>
    </w:p>
    <w:p>
      <w:pPr>
        <w:widowControl w:val="0"/>
        <w:tabs>
          <w:tab w:val="left" w:pos="360"/>
        </w:tabs>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①考虑到后期</w:t>
      </w:r>
      <w:r>
        <w:rPr>
          <w:rFonts w:hint="eastAsia" w:ascii="宋体" w:hAnsi="宋体" w:eastAsia="宋体" w:cs="宋体"/>
          <w:color w:val="auto"/>
          <w:kern w:val="2"/>
          <w:sz w:val="21"/>
          <w:szCs w:val="21"/>
          <w:highlight w:val="none"/>
          <w:lang w:val="en-US" w:eastAsia="zh-CN"/>
        </w:rPr>
        <w:t>光伏组件</w:t>
      </w:r>
      <w:r>
        <w:rPr>
          <w:rFonts w:hint="eastAsia" w:ascii="宋体" w:hAnsi="宋体" w:eastAsia="宋体" w:cs="宋体"/>
          <w:color w:val="auto"/>
          <w:kern w:val="2"/>
          <w:sz w:val="21"/>
          <w:szCs w:val="21"/>
          <w:highlight w:val="none"/>
        </w:rPr>
        <w:t>清洗，每个屋面光伏</w:t>
      </w:r>
      <w:r>
        <w:rPr>
          <w:rFonts w:hint="eastAsia" w:ascii="宋体" w:hAnsi="宋体" w:eastAsia="宋体" w:cs="宋体"/>
          <w:color w:val="auto"/>
          <w:kern w:val="2"/>
          <w:sz w:val="21"/>
          <w:szCs w:val="21"/>
          <w:highlight w:val="none"/>
          <w:lang w:val="en-US" w:eastAsia="zh-CN"/>
        </w:rPr>
        <w:t>系统需</w:t>
      </w:r>
      <w:r>
        <w:rPr>
          <w:rFonts w:hint="eastAsia" w:ascii="宋体" w:hAnsi="宋体" w:eastAsia="宋体" w:cs="宋体"/>
          <w:color w:val="auto"/>
          <w:kern w:val="2"/>
          <w:sz w:val="21"/>
          <w:szCs w:val="21"/>
          <w:highlight w:val="none"/>
        </w:rPr>
        <w:t>设计</w:t>
      </w:r>
      <w:r>
        <w:rPr>
          <w:rFonts w:hint="eastAsia" w:ascii="宋体" w:hAnsi="宋体" w:eastAsia="宋体" w:cs="宋体"/>
          <w:color w:val="auto"/>
          <w:kern w:val="2"/>
          <w:sz w:val="21"/>
          <w:szCs w:val="21"/>
          <w:highlight w:val="none"/>
          <w:lang w:val="en-US" w:eastAsia="zh-CN"/>
        </w:rPr>
        <w:t>水清洗</w:t>
      </w:r>
      <w:r>
        <w:rPr>
          <w:rFonts w:hint="eastAsia" w:ascii="宋体" w:hAnsi="宋体" w:eastAsia="宋体" w:cs="宋体"/>
          <w:color w:val="auto"/>
          <w:kern w:val="2"/>
          <w:sz w:val="21"/>
          <w:szCs w:val="21"/>
          <w:highlight w:val="none"/>
        </w:rPr>
        <w:t>系统，要求在</w:t>
      </w:r>
      <w:r>
        <w:rPr>
          <w:rFonts w:hint="eastAsia" w:ascii="宋体" w:hAnsi="宋体" w:eastAsia="宋体" w:cs="宋体"/>
          <w:color w:val="auto"/>
          <w:kern w:val="2"/>
          <w:sz w:val="21"/>
          <w:szCs w:val="21"/>
          <w:highlight w:val="none"/>
          <w:lang w:val="en-US" w:eastAsia="zh-CN"/>
        </w:rPr>
        <w:t>光伏</w:t>
      </w:r>
      <w:r>
        <w:rPr>
          <w:rFonts w:hint="eastAsia" w:ascii="宋体" w:hAnsi="宋体" w:eastAsia="宋体" w:cs="宋体"/>
          <w:color w:val="auto"/>
          <w:kern w:val="2"/>
          <w:sz w:val="21"/>
          <w:szCs w:val="21"/>
          <w:highlight w:val="none"/>
        </w:rPr>
        <w:t>组件排布屋面安装</w:t>
      </w:r>
      <w:r>
        <w:rPr>
          <w:rFonts w:hint="eastAsia" w:ascii="宋体" w:hAnsi="宋体" w:eastAsia="宋体" w:cs="宋体"/>
          <w:color w:val="auto"/>
          <w:kern w:val="2"/>
          <w:sz w:val="21"/>
          <w:szCs w:val="21"/>
          <w:highlight w:val="none"/>
          <w:lang w:val="en-US" w:eastAsia="zh-CN"/>
        </w:rPr>
        <w:t>水管，并在出水口加装</w:t>
      </w:r>
      <w:r>
        <w:rPr>
          <w:rFonts w:hint="eastAsia" w:ascii="宋体" w:hAnsi="宋体" w:eastAsia="宋体" w:cs="宋体"/>
          <w:color w:val="auto"/>
          <w:kern w:val="2"/>
          <w:sz w:val="21"/>
          <w:szCs w:val="21"/>
          <w:highlight w:val="none"/>
        </w:rPr>
        <w:t>水龙头，</w:t>
      </w:r>
      <w:r>
        <w:rPr>
          <w:rFonts w:hint="eastAsia" w:ascii="宋体" w:hAnsi="宋体" w:eastAsia="宋体" w:cs="宋体"/>
          <w:color w:val="auto"/>
          <w:kern w:val="2"/>
          <w:sz w:val="21"/>
          <w:szCs w:val="21"/>
          <w:highlight w:val="none"/>
          <w:lang w:val="en-US" w:eastAsia="zh-CN"/>
        </w:rPr>
        <w:t>在每个接水口需要</w:t>
      </w:r>
      <w:r>
        <w:rPr>
          <w:rFonts w:hint="eastAsia" w:ascii="宋体" w:hAnsi="宋体" w:eastAsia="宋体" w:cs="宋体"/>
          <w:color w:val="auto"/>
          <w:kern w:val="2"/>
          <w:sz w:val="21"/>
          <w:szCs w:val="21"/>
          <w:highlight w:val="none"/>
        </w:rPr>
        <w:t>配置相应的计量水表。</w:t>
      </w:r>
    </w:p>
    <w:p>
      <w:pPr>
        <w:widowControl w:val="0"/>
        <w:tabs>
          <w:tab w:val="left" w:pos="360"/>
        </w:tabs>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w:t>
      </w:r>
      <w:r>
        <w:rPr>
          <w:rFonts w:hint="eastAsia" w:ascii="宋体" w:hAnsi="宋体" w:eastAsia="宋体" w:cs="宋体"/>
          <w:color w:val="auto"/>
          <w:kern w:val="2"/>
          <w:sz w:val="21"/>
          <w:szCs w:val="21"/>
          <w:highlight w:val="none"/>
          <w:lang w:val="en-US" w:eastAsia="zh-CN"/>
        </w:rPr>
        <w:t>水清洗</w:t>
      </w:r>
      <w:r>
        <w:rPr>
          <w:rFonts w:hint="eastAsia" w:ascii="宋体" w:hAnsi="宋体" w:eastAsia="宋体" w:cs="宋体"/>
          <w:color w:val="auto"/>
          <w:kern w:val="2"/>
          <w:sz w:val="21"/>
          <w:szCs w:val="21"/>
          <w:highlight w:val="none"/>
        </w:rPr>
        <w:t>系统冲洗端</w:t>
      </w:r>
      <w:r>
        <w:rPr>
          <w:rFonts w:hint="eastAsia" w:ascii="宋体" w:hAnsi="宋体" w:eastAsia="宋体" w:cs="宋体"/>
          <w:color w:val="auto"/>
          <w:kern w:val="2"/>
          <w:sz w:val="21"/>
          <w:szCs w:val="21"/>
          <w:highlight w:val="none"/>
          <w:lang w:val="en-US" w:eastAsia="zh-CN"/>
        </w:rPr>
        <w:t>水压不足（压力小于</w:t>
      </w:r>
      <w:r>
        <w:rPr>
          <w:rFonts w:hint="eastAsia" w:ascii="宋体" w:hAnsi="宋体" w:eastAsia="宋体" w:cs="宋体"/>
          <w:color w:val="auto"/>
          <w:kern w:val="2"/>
          <w:sz w:val="21"/>
          <w:szCs w:val="21"/>
          <w:highlight w:val="none"/>
        </w:rPr>
        <w:t>0.2MPa</w:t>
      </w:r>
      <w:r>
        <w:rPr>
          <w:rFonts w:hint="eastAsia" w:ascii="宋体" w:hAnsi="宋体" w:eastAsia="宋体" w:cs="宋体"/>
          <w:color w:val="auto"/>
          <w:kern w:val="2"/>
          <w:sz w:val="21"/>
          <w:szCs w:val="21"/>
          <w:highlight w:val="none"/>
          <w:lang w:val="en-US" w:eastAsia="zh-CN"/>
        </w:rPr>
        <w:t>时）需加装</w:t>
      </w:r>
      <w:r>
        <w:rPr>
          <w:rFonts w:hint="eastAsia" w:ascii="宋体" w:hAnsi="宋体" w:eastAsia="宋体" w:cs="宋体"/>
          <w:color w:val="auto"/>
          <w:kern w:val="2"/>
          <w:sz w:val="21"/>
          <w:szCs w:val="21"/>
          <w:highlight w:val="none"/>
        </w:rPr>
        <w:t>增压泵，出口压力可调节，最小出口压力保证</w:t>
      </w:r>
      <w:r>
        <w:rPr>
          <w:rFonts w:hint="eastAsia" w:ascii="宋体" w:hAnsi="宋体" w:eastAsia="宋体" w:cs="宋体"/>
          <w:color w:val="auto"/>
          <w:kern w:val="2"/>
          <w:sz w:val="21"/>
          <w:szCs w:val="21"/>
          <w:highlight w:val="none"/>
          <w:lang w:val="en-US" w:eastAsia="zh-CN"/>
        </w:rPr>
        <w:t>每</w:t>
      </w:r>
      <w:r>
        <w:rPr>
          <w:rFonts w:hint="eastAsia" w:ascii="宋体" w:hAnsi="宋体" w:eastAsia="宋体" w:cs="宋体"/>
          <w:color w:val="auto"/>
          <w:kern w:val="2"/>
          <w:sz w:val="21"/>
          <w:szCs w:val="21"/>
          <w:highlight w:val="none"/>
        </w:rPr>
        <w:t>个终端同时开启时冲洗压力大于0.2MPa，泵入口设置可拆卸式滤网保证冲洗水不含杂质。</w:t>
      </w:r>
    </w:p>
    <w:p>
      <w:pPr>
        <w:widowControl w:val="0"/>
        <w:tabs>
          <w:tab w:val="left" w:pos="360"/>
        </w:tabs>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③所有的冲洗水管采用PPR热熔管，清洗水管管网放在通道上</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水管拖长不超过</w:t>
      </w:r>
      <w:r>
        <w:rPr>
          <w:rFonts w:hint="eastAsia" w:ascii="宋体" w:hAnsi="宋体" w:eastAsia="宋体" w:cs="宋体"/>
          <w:color w:val="auto"/>
          <w:kern w:val="2"/>
          <w:sz w:val="21"/>
          <w:szCs w:val="21"/>
          <w:highlight w:val="none"/>
          <w:lang w:val="en-US" w:eastAsia="zh-CN"/>
        </w:rPr>
        <w:t>50</w:t>
      </w:r>
      <w:r>
        <w:rPr>
          <w:rFonts w:hint="eastAsia" w:ascii="宋体" w:hAnsi="宋体" w:eastAsia="宋体" w:cs="宋体"/>
          <w:color w:val="auto"/>
          <w:kern w:val="2"/>
          <w:sz w:val="21"/>
          <w:szCs w:val="21"/>
          <w:highlight w:val="none"/>
        </w:rPr>
        <w:t>米且不能放在</w:t>
      </w:r>
      <w:r>
        <w:rPr>
          <w:rFonts w:hint="eastAsia" w:ascii="宋体" w:hAnsi="宋体" w:eastAsia="宋体" w:cs="宋体"/>
          <w:color w:val="auto"/>
          <w:kern w:val="2"/>
          <w:sz w:val="21"/>
          <w:szCs w:val="21"/>
          <w:highlight w:val="none"/>
          <w:lang w:val="en-US" w:eastAsia="zh-CN"/>
        </w:rPr>
        <w:t>光伏</w:t>
      </w:r>
      <w:r>
        <w:rPr>
          <w:rFonts w:hint="eastAsia" w:ascii="宋体" w:hAnsi="宋体" w:eastAsia="宋体" w:cs="宋体"/>
          <w:color w:val="auto"/>
          <w:kern w:val="2"/>
          <w:sz w:val="21"/>
          <w:szCs w:val="21"/>
          <w:highlight w:val="none"/>
        </w:rPr>
        <w:t>组件上，在阵列式屋面、彩钢瓦屋面、棚架</w:t>
      </w:r>
      <w:r>
        <w:rPr>
          <w:rFonts w:hint="eastAsia" w:ascii="宋体" w:hAnsi="宋体" w:eastAsia="宋体" w:cs="宋体"/>
          <w:color w:val="auto"/>
          <w:kern w:val="2"/>
          <w:sz w:val="21"/>
          <w:szCs w:val="21"/>
          <w:highlight w:val="none"/>
          <w:lang w:val="en-US" w:eastAsia="zh-CN"/>
        </w:rPr>
        <w:t>光伏</w:t>
      </w:r>
      <w:r>
        <w:rPr>
          <w:rFonts w:hint="eastAsia" w:ascii="宋体" w:hAnsi="宋体" w:eastAsia="宋体" w:cs="宋体"/>
          <w:color w:val="auto"/>
          <w:kern w:val="2"/>
          <w:sz w:val="21"/>
          <w:szCs w:val="21"/>
          <w:highlight w:val="none"/>
        </w:rPr>
        <w:t>组件面每25米设置一个水龙头，按只能走通道的原则来布置水龙头。</w:t>
      </w:r>
    </w:p>
    <w:p>
      <w:pPr>
        <w:widowControl w:val="0"/>
        <w:tabs>
          <w:tab w:val="left" w:pos="360"/>
        </w:tabs>
        <w:adjustRightInd/>
        <w:snapToGrid/>
        <w:spacing w:after="0" w:line="288" w:lineRule="auto"/>
        <w:ind w:firstLine="420" w:firstLineChars="200"/>
        <w:jc w:val="both"/>
        <w:rPr>
          <w:rFonts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rPr>
        <w:t>④</w:t>
      </w:r>
      <w:r>
        <w:rPr>
          <w:rFonts w:hint="eastAsia" w:ascii="宋体" w:hAnsi="宋体" w:eastAsia="宋体" w:cs="宋体"/>
          <w:color w:val="auto"/>
          <w:kern w:val="2"/>
          <w:sz w:val="21"/>
          <w:szCs w:val="21"/>
          <w:highlight w:val="none"/>
          <w:lang w:val="en-US" w:eastAsia="zh-CN"/>
        </w:rPr>
        <w:t>水管、水龙头应安装整齐、牢固，外观无明显破损和质量问题</w:t>
      </w:r>
      <w:r>
        <w:rPr>
          <w:rFonts w:hint="eastAsia" w:ascii="宋体" w:hAnsi="宋体" w:eastAsia="宋体" w:cs="宋体"/>
          <w:color w:val="auto"/>
          <w:kern w:val="2"/>
          <w:sz w:val="21"/>
          <w:szCs w:val="21"/>
          <w:highlight w:val="none"/>
        </w:rPr>
        <w:t>。</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val="en-US" w:eastAsia="zh-CN"/>
        </w:rPr>
        <w:t>运维</w:t>
      </w:r>
      <w:r>
        <w:rPr>
          <w:rFonts w:hint="eastAsia" w:ascii="宋体" w:hAnsi="宋体" w:eastAsia="宋体" w:cs="宋体"/>
          <w:color w:val="auto"/>
          <w:kern w:val="2"/>
          <w:sz w:val="21"/>
          <w:szCs w:val="21"/>
          <w:highlight w:val="none"/>
        </w:rPr>
        <w:t>通道</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各项目根据组件排布设置合理的运维通道，确保方便运维人员进行运维。运维通道应连成一体，并和水管、</w:t>
      </w:r>
      <w:r>
        <w:rPr>
          <w:rFonts w:hint="eastAsia" w:ascii="宋体" w:hAnsi="宋体" w:eastAsia="宋体" w:cs="宋体"/>
          <w:color w:val="auto"/>
          <w:kern w:val="2"/>
          <w:sz w:val="21"/>
          <w:szCs w:val="21"/>
          <w:highlight w:val="none"/>
          <w:lang w:val="en-US" w:eastAsia="zh-CN"/>
        </w:rPr>
        <w:t>桥架</w:t>
      </w:r>
      <w:r>
        <w:rPr>
          <w:rFonts w:hint="eastAsia" w:ascii="宋体" w:hAnsi="宋体" w:eastAsia="宋体" w:cs="宋体"/>
          <w:color w:val="auto"/>
          <w:kern w:val="2"/>
          <w:sz w:val="21"/>
          <w:szCs w:val="21"/>
          <w:highlight w:val="none"/>
        </w:rPr>
        <w:t>等统一布置。</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A.</w:t>
      </w:r>
      <w:r>
        <w:rPr>
          <w:rFonts w:hint="eastAsia" w:ascii="宋体" w:hAnsi="宋体" w:eastAsia="宋体" w:cs="宋体"/>
          <w:color w:val="auto"/>
          <w:kern w:val="2"/>
          <w:sz w:val="21"/>
          <w:szCs w:val="21"/>
          <w:highlight w:val="none"/>
        </w:rPr>
        <w:t>彩钢瓦屋面</w:t>
      </w:r>
      <w:r>
        <w:rPr>
          <w:rFonts w:hint="eastAsia" w:ascii="宋体" w:hAnsi="宋体" w:eastAsia="宋体" w:cs="宋体"/>
          <w:color w:val="auto"/>
          <w:kern w:val="2"/>
          <w:sz w:val="21"/>
          <w:szCs w:val="21"/>
          <w:highlight w:val="none"/>
          <w:lang w:val="en-US" w:eastAsia="zh-CN"/>
        </w:rPr>
        <w:t>宜沿着护杆设置</w:t>
      </w:r>
      <w:r>
        <w:rPr>
          <w:rFonts w:hint="eastAsia" w:ascii="宋体" w:hAnsi="宋体" w:eastAsia="宋体" w:cs="宋体"/>
          <w:color w:val="auto"/>
          <w:kern w:val="2"/>
          <w:sz w:val="21"/>
          <w:szCs w:val="21"/>
          <w:highlight w:val="none"/>
        </w:rPr>
        <w:t>格栅板</w:t>
      </w:r>
      <w:r>
        <w:rPr>
          <w:rFonts w:hint="eastAsia" w:ascii="宋体" w:hAnsi="宋体" w:eastAsia="宋体" w:cs="宋体"/>
          <w:color w:val="auto"/>
          <w:kern w:val="2"/>
          <w:sz w:val="21"/>
          <w:szCs w:val="21"/>
          <w:highlight w:val="none"/>
          <w:lang w:val="en-US" w:eastAsia="zh-CN"/>
        </w:rPr>
        <w:t>运维</w:t>
      </w:r>
      <w:r>
        <w:rPr>
          <w:rFonts w:hint="eastAsia" w:ascii="宋体" w:hAnsi="宋体" w:eastAsia="宋体" w:cs="宋体"/>
          <w:color w:val="auto"/>
          <w:kern w:val="2"/>
          <w:sz w:val="21"/>
          <w:szCs w:val="21"/>
          <w:highlight w:val="none"/>
        </w:rPr>
        <w:t>通道，通道能直达到每一路逆变器。且不影响光伏系统件的正常运行。运维格栅板要求如下：</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①格栅板材质</w:t>
      </w:r>
      <w:r>
        <w:rPr>
          <w:rFonts w:hint="eastAsia" w:ascii="宋体" w:hAnsi="宋体" w:eastAsia="宋体" w:cs="宋体"/>
          <w:color w:val="auto"/>
          <w:kern w:val="2"/>
          <w:sz w:val="21"/>
          <w:szCs w:val="21"/>
          <w:highlight w:val="none"/>
          <w:lang w:val="en-US" w:eastAsia="zh-CN"/>
        </w:rPr>
        <w:t>采用</w:t>
      </w:r>
      <w:r>
        <w:rPr>
          <w:rFonts w:hint="eastAsia" w:ascii="宋体" w:hAnsi="宋体" w:eastAsia="宋体" w:cs="宋体"/>
          <w:color w:val="auto"/>
          <w:kern w:val="2"/>
          <w:sz w:val="21"/>
          <w:szCs w:val="21"/>
          <w:highlight w:val="none"/>
        </w:rPr>
        <w:t>镀锌钢，格栅板的重量在15kg/m2以内，宽度不低于400mm；</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②格栅板能够满足并能覆盖整个屋面太阳能板区域运维过程中的清洗、检修等工作；</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③格栅板与格栅板衔接处可靠固定，格栅板与屋面可靠连接；</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④格栅板强度和质量，满足如下要求：每间隔 500mm 在格栅板底部加一道支撑，同时格栅板用</w:t>
      </w:r>
      <w:r>
        <w:rPr>
          <w:rFonts w:hint="eastAsia" w:ascii="宋体" w:hAnsi="宋体" w:eastAsia="宋体" w:cs="宋体"/>
          <w:color w:val="auto"/>
          <w:kern w:val="2"/>
          <w:sz w:val="21"/>
          <w:szCs w:val="21"/>
          <w:highlight w:val="none"/>
          <w:lang w:val="en-US" w:eastAsia="zh-CN"/>
        </w:rPr>
        <w:t>铝合金</w:t>
      </w:r>
      <w:r>
        <w:rPr>
          <w:rFonts w:hint="eastAsia" w:ascii="宋体" w:hAnsi="宋体" w:eastAsia="宋体" w:cs="宋体"/>
          <w:color w:val="auto"/>
          <w:kern w:val="2"/>
          <w:sz w:val="21"/>
          <w:szCs w:val="21"/>
          <w:highlight w:val="none"/>
        </w:rPr>
        <w:t>支撑，确保格栅板不移位晃动，不下垂并满足踩踏强度要求</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同时要做好</w:t>
      </w:r>
      <w:r>
        <w:rPr>
          <w:rFonts w:hint="eastAsia" w:ascii="宋体" w:hAnsi="宋体" w:eastAsia="宋体" w:cs="宋体"/>
          <w:color w:val="auto"/>
          <w:kern w:val="2"/>
          <w:sz w:val="21"/>
          <w:szCs w:val="21"/>
          <w:highlight w:val="none"/>
        </w:rPr>
        <w:t>防腐措施，寿命要求25年以上；</w:t>
      </w:r>
    </w:p>
    <w:p>
      <w:pPr>
        <w:widowControl w:val="0"/>
        <w:tabs>
          <w:tab w:val="left" w:pos="360"/>
        </w:tabs>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⑤因特殊情况</w:t>
      </w:r>
      <w:r>
        <w:rPr>
          <w:rFonts w:hint="eastAsia" w:ascii="宋体" w:hAnsi="宋体" w:eastAsia="宋体" w:cs="宋体"/>
          <w:color w:val="auto"/>
          <w:kern w:val="2"/>
          <w:sz w:val="21"/>
          <w:szCs w:val="21"/>
          <w:highlight w:val="none"/>
          <w:lang w:val="en-US" w:eastAsia="zh-CN"/>
        </w:rPr>
        <w:t>无法</w:t>
      </w:r>
      <w:r>
        <w:rPr>
          <w:rFonts w:hint="eastAsia" w:ascii="宋体" w:hAnsi="宋体" w:eastAsia="宋体" w:cs="宋体"/>
          <w:color w:val="auto"/>
          <w:kern w:val="2"/>
          <w:sz w:val="21"/>
          <w:szCs w:val="21"/>
          <w:highlight w:val="none"/>
        </w:rPr>
        <w:t>设置护栏的彩钢瓦屋面，格栅板运维通道不宜设置在高处临边侧，同时</w:t>
      </w:r>
      <w:r>
        <w:rPr>
          <w:rFonts w:hint="eastAsia" w:ascii="宋体" w:hAnsi="宋体" w:eastAsia="宋体" w:cs="宋体"/>
          <w:color w:val="auto"/>
          <w:kern w:val="2"/>
          <w:sz w:val="21"/>
          <w:szCs w:val="21"/>
          <w:highlight w:val="none"/>
          <w:lang w:val="en-US" w:eastAsia="zh-CN"/>
        </w:rPr>
        <w:t>参照</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坠落防护 水平生命线装置》GB38454-2019</w:t>
      </w:r>
      <w:r>
        <w:rPr>
          <w:rFonts w:hint="eastAsia" w:ascii="宋体" w:hAnsi="宋体" w:eastAsia="宋体" w:cs="宋体"/>
          <w:color w:val="auto"/>
          <w:kern w:val="2"/>
          <w:sz w:val="21"/>
          <w:szCs w:val="21"/>
          <w:highlight w:val="none"/>
        </w:rPr>
        <w:t>沿着格栅板运维通道设置水平生命线。</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B.混凝土屋面光伏结构棚面中间</w:t>
      </w:r>
      <w:r>
        <w:rPr>
          <w:rFonts w:hint="eastAsia" w:ascii="宋体" w:hAnsi="宋体" w:eastAsia="宋体" w:cs="宋体"/>
          <w:color w:val="auto"/>
          <w:kern w:val="2"/>
          <w:sz w:val="21"/>
          <w:szCs w:val="21"/>
          <w:highlight w:val="none"/>
        </w:rPr>
        <w:t>设置</w:t>
      </w:r>
      <w:r>
        <w:rPr>
          <w:rFonts w:hint="eastAsia" w:ascii="宋体" w:hAnsi="宋体" w:eastAsia="宋体" w:cs="宋体"/>
          <w:color w:val="auto"/>
          <w:kern w:val="2"/>
          <w:sz w:val="21"/>
          <w:szCs w:val="21"/>
          <w:highlight w:val="none"/>
          <w:lang w:val="en-US" w:eastAsia="zh-CN"/>
        </w:rPr>
        <w:t>花纹钢</w:t>
      </w:r>
      <w:r>
        <w:rPr>
          <w:rFonts w:hint="eastAsia" w:ascii="宋体" w:hAnsi="宋体" w:eastAsia="宋体" w:cs="宋体"/>
          <w:color w:val="auto"/>
          <w:kern w:val="2"/>
          <w:sz w:val="21"/>
          <w:szCs w:val="21"/>
          <w:highlight w:val="none"/>
        </w:rPr>
        <w:t>板</w:t>
      </w:r>
      <w:r>
        <w:rPr>
          <w:rFonts w:hint="eastAsia" w:ascii="宋体" w:hAnsi="宋体" w:eastAsia="宋体" w:cs="宋体"/>
          <w:color w:val="auto"/>
          <w:kern w:val="2"/>
          <w:sz w:val="21"/>
          <w:szCs w:val="21"/>
          <w:highlight w:val="none"/>
          <w:lang w:val="en-US" w:eastAsia="zh-CN"/>
        </w:rPr>
        <w:t>运维</w:t>
      </w:r>
      <w:r>
        <w:rPr>
          <w:rFonts w:hint="eastAsia" w:ascii="宋体" w:hAnsi="宋体" w:eastAsia="宋体" w:cs="宋体"/>
          <w:color w:val="auto"/>
          <w:kern w:val="2"/>
          <w:sz w:val="21"/>
          <w:szCs w:val="21"/>
          <w:highlight w:val="none"/>
        </w:rPr>
        <w:t>通道，通道能直达到</w:t>
      </w:r>
      <w:r>
        <w:rPr>
          <w:rFonts w:hint="eastAsia" w:ascii="宋体" w:hAnsi="宋体" w:eastAsia="宋体" w:cs="宋体"/>
          <w:color w:val="auto"/>
          <w:kern w:val="2"/>
          <w:sz w:val="21"/>
          <w:szCs w:val="21"/>
          <w:highlight w:val="none"/>
          <w:lang w:val="en-US" w:eastAsia="zh-CN"/>
        </w:rPr>
        <w:t>检修楼梯平台</w:t>
      </w:r>
      <w:r>
        <w:rPr>
          <w:rFonts w:hint="eastAsia" w:ascii="宋体" w:hAnsi="宋体" w:eastAsia="宋体" w:cs="宋体"/>
          <w:color w:val="auto"/>
          <w:kern w:val="2"/>
          <w:sz w:val="21"/>
          <w:szCs w:val="21"/>
          <w:highlight w:val="none"/>
        </w:rPr>
        <w:t>且不影响光伏系统件的正常运行。运维</w:t>
      </w:r>
      <w:r>
        <w:rPr>
          <w:rFonts w:hint="eastAsia" w:ascii="宋体" w:hAnsi="宋体" w:eastAsia="宋体" w:cs="宋体"/>
          <w:color w:val="auto"/>
          <w:kern w:val="2"/>
          <w:sz w:val="21"/>
          <w:szCs w:val="21"/>
          <w:highlight w:val="none"/>
          <w:lang w:val="en-US" w:eastAsia="zh-CN"/>
        </w:rPr>
        <w:t>花纹钢</w:t>
      </w:r>
      <w:r>
        <w:rPr>
          <w:rFonts w:hint="eastAsia" w:ascii="宋体" w:hAnsi="宋体" w:eastAsia="宋体" w:cs="宋体"/>
          <w:color w:val="auto"/>
          <w:kern w:val="2"/>
          <w:sz w:val="21"/>
          <w:szCs w:val="21"/>
          <w:highlight w:val="none"/>
        </w:rPr>
        <w:t>板要求如下：</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w:t>
      </w:r>
      <w:r>
        <w:rPr>
          <w:rFonts w:hint="eastAsia" w:ascii="宋体" w:hAnsi="宋体" w:eastAsia="宋体" w:cs="宋体"/>
          <w:color w:val="auto"/>
          <w:kern w:val="2"/>
          <w:sz w:val="21"/>
          <w:szCs w:val="21"/>
          <w:highlight w:val="none"/>
          <w:lang w:val="en-US" w:eastAsia="zh-CN"/>
        </w:rPr>
        <w:t>花纹钢</w:t>
      </w:r>
      <w:r>
        <w:rPr>
          <w:rFonts w:hint="eastAsia" w:ascii="宋体" w:hAnsi="宋体" w:eastAsia="宋体" w:cs="宋体"/>
          <w:color w:val="auto"/>
          <w:kern w:val="2"/>
          <w:sz w:val="21"/>
          <w:szCs w:val="21"/>
          <w:highlight w:val="none"/>
        </w:rPr>
        <w:t>板材质</w:t>
      </w:r>
      <w:r>
        <w:rPr>
          <w:rFonts w:hint="eastAsia" w:ascii="宋体" w:hAnsi="宋体" w:eastAsia="宋体" w:cs="宋体"/>
          <w:color w:val="auto"/>
          <w:kern w:val="2"/>
          <w:sz w:val="21"/>
          <w:szCs w:val="21"/>
          <w:highlight w:val="none"/>
          <w:lang w:val="en-US" w:eastAsia="zh-CN"/>
        </w:rPr>
        <w:t>采用</w:t>
      </w:r>
      <w:r>
        <w:rPr>
          <w:rFonts w:hint="eastAsia" w:ascii="宋体" w:hAnsi="宋体" w:eastAsia="宋体" w:cs="宋体"/>
          <w:color w:val="auto"/>
          <w:kern w:val="2"/>
          <w:sz w:val="21"/>
          <w:szCs w:val="21"/>
          <w:highlight w:val="none"/>
        </w:rPr>
        <w:t>镀锌钢，</w:t>
      </w:r>
      <w:r>
        <w:rPr>
          <w:rFonts w:hint="eastAsia" w:ascii="宋体" w:hAnsi="宋体" w:eastAsia="宋体" w:cs="宋体"/>
          <w:color w:val="auto"/>
          <w:kern w:val="2"/>
          <w:sz w:val="21"/>
          <w:szCs w:val="21"/>
          <w:highlight w:val="none"/>
          <w:lang w:val="en-US" w:eastAsia="zh-CN"/>
        </w:rPr>
        <w:t>花纹钢</w:t>
      </w:r>
      <w:r>
        <w:rPr>
          <w:rFonts w:hint="eastAsia" w:ascii="宋体" w:hAnsi="宋体" w:eastAsia="宋体" w:cs="宋体"/>
          <w:color w:val="auto"/>
          <w:kern w:val="2"/>
          <w:sz w:val="21"/>
          <w:szCs w:val="21"/>
          <w:highlight w:val="none"/>
        </w:rPr>
        <w:t>板的重量在15kg/m2以内，宽度不低于</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00mm；</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w:t>
      </w:r>
      <w:r>
        <w:rPr>
          <w:rFonts w:hint="eastAsia" w:ascii="宋体" w:hAnsi="宋体" w:eastAsia="宋体" w:cs="宋体"/>
          <w:color w:val="auto"/>
          <w:kern w:val="2"/>
          <w:sz w:val="21"/>
          <w:szCs w:val="21"/>
          <w:highlight w:val="none"/>
          <w:lang w:val="en-US" w:eastAsia="zh-CN"/>
        </w:rPr>
        <w:t>花纹钢</w:t>
      </w:r>
      <w:r>
        <w:rPr>
          <w:rFonts w:hint="eastAsia" w:ascii="宋体" w:hAnsi="宋体" w:eastAsia="宋体" w:cs="宋体"/>
          <w:color w:val="auto"/>
          <w:kern w:val="2"/>
          <w:sz w:val="21"/>
          <w:szCs w:val="21"/>
          <w:highlight w:val="none"/>
        </w:rPr>
        <w:t>板能够满足并能覆盖整个屋面太阳能板区域运维过程中的清洗、检修等工作；</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w:t>
      </w:r>
      <w:r>
        <w:rPr>
          <w:rFonts w:hint="eastAsia" w:ascii="宋体" w:hAnsi="宋体" w:eastAsia="宋体" w:cs="宋体"/>
          <w:color w:val="auto"/>
          <w:kern w:val="2"/>
          <w:sz w:val="21"/>
          <w:szCs w:val="21"/>
          <w:highlight w:val="none"/>
          <w:lang w:val="en-US" w:eastAsia="zh-CN"/>
        </w:rPr>
        <w:t>花纹钢</w:t>
      </w:r>
      <w:r>
        <w:rPr>
          <w:rFonts w:hint="eastAsia" w:ascii="宋体" w:hAnsi="宋体" w:eastAsia="宋体" w:cs="宋体"/>
          <w:color w:val="auto"/>
          <w:kern w:val="2"/>
          <w:sz w:val="21"/>
          <w:szCs w:val="21"/>
          <w:highlight w:val="none"/>
        </w:rPr>
        <w:t>板与</w:t>
      </w:r>
      <w:r>
        <w:rPr>
          <w:rFonts w:hint="eastAsia" w:ascii="宋体" w:hAnsi="宋体" w:eastAsia="宋体" w:cs="宋体"/>
          <w:color w:val="auto"/>
          <w:kern w:val="2"/>
          <w:sz w:val="21"/>
          <w:szCs w:val="21"/>
          <w:highlight w:val="none"/>
          <w:lang w:val="en-US" w:eastAsia="zh-CN"/>
        </w:rPr>
        <w:t>花纹钢</w:t>
      </w:r>
      <w:r>
        <w:rPr>
          <w:rFonts w:hint="eastAsia" w:ascii="宋体" w:hAnsi="宋体" w:eastAsia="宋体" w:cs="宋体"/>
          <w:color w:val="auto"/>
          <w:kern w:val="2"/>
          <w:sz w:val="21"/>
          <w:szCs w:val="21"/>
          <w:highlight w:val="none"/>
        </w:rPr>
        <w:t>板衔接处可靠固定，</w:t>
      </w:r>
      <w:r>
        <w:rPr>
          <w:rFonts w:hint="eastAsia" w:ascii="宋体" w:hAnsi="宋体" w:eastAsia="宋体" w:cs="宋体"/>
          <w:color w:val="auto"/>
          <w:kern w:val="2"/>
          <w:sz w:val="21"/>
          <w:szCs w:val="21"/>
          <w:highlight w:val="none"/>
          <w:lang w:val="en-US" w:eastAsia="zh-CN"/>
        </w:rPr>
        <w:t>花纹钢</w:t>
      </w:r>
      <w:r>
        <w:rPr>
          <w:rFonts w:hint="eastAsia" w:ascii="宋体" w:hAnsi="宋体" w:eastAsia="宋体" w:cs="宋体"/>
          <w:color w:val="auto"/>
          <w:kern w:val="2"/>
          <w:sz w:val="21"/>
          <w:szCs w:val="21"/>
          <w:highlight w:val="none"/>
        </w:rPr>
        <w:t>板与光伏结构棚可靠连接；</w:t>
      </w:r>
    </w:p>
    <w:p>
      <w:pPr>
        <w:widowControl w:val="0"/>
        <w:tabs>
          <w:tab w:val="left" w:pos="360"/>
        </w:tabs>
        <w:adjustRightInd/>
        <w:snapToGrid/>
        <w:spacing w:after="0" w:line="288" w:lineRule="auto"/>
        <w:ind w:firstLine="420" w:firstLineChars="200"/>
        <w:jc w:val="both"/>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④</w:t>
      </w:r>
      <w:r>
        <w:rPr>
          <w:rFonts w:hint="eastAsia" w:ascii="宋体" w:hAnsi="宋体" w:eastAsia="宋体" w:cs="宋体"/>
          <w:color w:val="auto"/>
          <w:kern w:val="2"/>
          <w:sz w:val="21"/>
          <w:szCs w:val="21"/>
          <w:highlight w:val="none"/>
          <w:lang w:val="en-US" w:eastAsia="zh-CN"/>
        </w:rPr>
        <w:t>花纹钢</w:t>
      </w:r>
      <w:r>
        <w:rPr>
          <w:rFonts w:hint="eastAsia" w:ascii="宋体" w:hAnsi="宋体" w:eastAsia="宋体" w:cs="宋体"/>
          <w:color w:val="auto"/>
          <w:kern w:val="2"/>
          <w:sz w:val="21"/>
          <w:szCs w:val="21"/>
          <w:highlight w:val="none"/>
        </w:rPr>
        <w:t>板强度和质量，满足如下要求：确保</w:t>
      </w:r>
      <w:r>
        <w:rPr>
          <w:rFonts w:hint="eastAsia" w:ascii="宋体" w:hAnsi="宋体" w:eastAsia="宋体" w:cs="宋体"/>
          <w:color w:val="auto"/>
          <w:kern w:val="2"/>
          <w:sz w:val="21"/>
          <w:szCs w:val="21"/>
          <w:highlight w:val="none"/>
          <w:lang w:val="en-US" w:eastAsia="zh-CN"/>
        </w:rPr>
        <w:t>花纹钢</w:t>
      </w:r>
      <w:r>
        <w:rPr>
          <w:rFonts w:hint="eastAsia" w:ascii="宋体" w:hAnsi="宋体" w:eastAsia="宋体" w:cs="宋体"/>
          <w:color w:val="auto"/>
          <w:kern w:val="2"/>
          <w:sz w:val="21"/>
          <w:szCs w:val="21"/>
          <w:highlight w:val="none"/>
        </w:rPr>
        <w:t>板不移位晃动，不下垂并满足踩踏强度要求</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寿命要求25年以上；</w:t>
      </w:r>
    </w:p>
    <w:p>
      <w:pPr>
        <w:widowControl w:val="0"/>
        <w:tabs>
          <w:tab w:val="left" w:pos="360"/>
        </w:tabs>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⑤</w:t>
      </w:r>
      <w:r>
        <w:rPr>
          <w:rFonts w:hint="eastAsia" w:ascii="宋体" w:hAnsi="宋体" w:eastAsia="宋体" w:cs="宋体"/>
          <w:color w:val="auto"/>
          <w:kern w:val="2"/>
          <w:sz w:val="21"/>
          <w:szCs w:val="21"/>
          <w:highlight w:val="none"/>
          <w:lang w:val="en-US" w:eastAsia="zh-CN"/>
        </w:rPr>
        <w:t>花纹钢</w:t>
      </w:r>
      <w:r>
        <w:rPr>
          <w:rFonts w:hint="eastAsia" w:ascii="宋体" w:hAnsi="宋体" w:eastAsia="宋体" w:cs="宋体"/>
          <w:color w:val="auto"/>
          <w:kern w:val="2"/>
          <w:sz w:val="21"/>
          <w:szCs w:val="21"/>
          <w:highlight w:val="none"/>
        </w:rPr>
        <w:t>板</w:t>
      </w:r>
      <w:r>
        <w:rPr>
          <w:rFonts w:hint="eastAsia" w:ascii="宋体" w:hAnsi="宋体" w:eastAsia="宋体" w:cs="宋体"/>
          <w:color w:val="auto"/>
          <w:kern w:val="2"/>
          <w:sz w:val="21"/>
          <w:szCs w:val="21"/>
          <w:highlight w:val="none"/>
          <w:lang w:val="en-US" w:eastAsia="zh-CN"/>
        </w:rPr>
        <w:t>侧必须设置悬挂安全绳的牢固点，并参照</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坠落防护 水平生命线装置》GB38454-2019</w:t>
      </w:r>
      <w:r>
        <w:rPr>
          <w:rFonts w:hint="eastAsia" w:ascii="宋体" w:hAnsi="宋体" w:eastAsia="宋体" w:cs="宋体"/>
          <w:color w:val="auto"/>
          <w:kern w:val="2"/>
          <w:sz w:val="21"/>
          <w:szCs w:val="21"/>
          <w:highlight w:val="none"/>
        </w:rPr>
        <w:t>沿着</w:t>
      </w:r>
      <w:r>
        <w:rPr>
          <w:rFonts w:hint="eastAsia" w:ascii="宋体" w:hAnsi="宋体" w:eastAsia="宋体" w:cs="宋体"/>
          <w:color w:val="auto"/>
          <w:kern w:val="2"/>
          <w:sz w:val="21"/>
          <w:szCs w:val="21"/>
          <w:highlight w:val="none"/>
          <w:lang w:val="en-US" w:eastAsia="zh-CN"/>
        </w:rPr>
        <w:t>花纹钢</w:t>
      </w:r>
      <w:r>
        <w:rPr>
          <w:rFonts w:hint="eastAsia" w:ascii="宋体" w:hAnsi="宋体" w:eastAsia="宋体" w:cs="宋体"/>
          <w:color w:val="auto"/>
          <w:kern w:val="2"/>
          <w:sz w:val="21"/>
          <w:szCs w:val="21"/>
          <w:highlight w:val="none"/>
        </w:rPr>
        <w:t>板</w:t>
      </w:r>
      <w:r>
        <w:rPr>
          <w:rFonts w:hint="eastAsia" w:ascii="宋体" w:hAnsi="宋体" w:eastAsia="宋体" w:cs="宋体"/>
          <w:color w:val="auto"/>
          <w:kern w:val="2"/>
          <w:sz w:val="21"/>
          <w:szCs w:val="21"/>
          <w:highlight w:val="none"/>
          <w:lang w:val="en-US" w:eastAsia="zh-CN"/>
        </w:rPr>
        <w:t>加装水平生命线，</w:t>
      </w:r>
      <w:r>
        <w:rPr>
          <w:rFonts w:hint="eastAsia" w:ascii="宋体" w:hAnsi="宋体" w:eastAsia="宋体" w:cs="宋体"/>
          <w:color w:val="auto"/>
          <w:kern w:val="2"/>
          <w:sz w:val="21"/>
          <w:szCs w:val="21"/>
          <w:highlight w:val="none"/>
        </w:rPr>
        <w:t>确保方便运维人员</w:t>
      </w:r>
      <w:r>
        <w:rPr>
          <w:rFonts w:hint="eastAsia" w:ascii="宋体" w:hAnsi="宋体" w:eastAsia="宋体" w:cs="宋体"/>
          <w:color w:val="auto"/>
          <w:kern w:val="2"/>
          <w:sz w:val="21"/>
          <w:szCs w:val="21"/>
          <w:highlight w:val="none"/>
          <w:lang w:val="en-US" w:eastAsia="zh-CN"/>
        </w:rPr>
        <w:t>安全</w:t>
      </w:r>
      <w:r>
        <w:rPr>
          <w:rFonts w:hint="eastAsia" w:ascii="宋体" w:hAnsi="宋体" w:eastAsia="宋体" w:cs="宋体"/>
          <w:color w:val="auto"/>
          <w:kern w:val="2"/>
          <w:sz w:val="21"/>
          <w:szCs w:val="21"/>
          <w:highlight w:val="none"/>
        </w:rPr>
        <w:t>清洗、运维。</w:t>
      </w:r>
    </w:p>
    <w:p>
      <w:pPr>
        <w:widowControl w:val="0"/>
        <w:tabs>
          <w:tab w:val="left" w:pos="360"/>
        </w:tabs>
        <w:adjustRightInd/>
        <w:snapToGrid/>
        <w:spacing w:after="0" w:line="288" w:lineRule="auto"/>
        <w:ind w:firstLine="420" w:firstLineChars="200"/>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检修配电箱</w:t>
      </w:r>
    </w:p>
    <w:p>
      <w:pPr>
        <w:widowControl w:val="0"/>
        <w:tabs>
          <w:tab w:val="left" w:pos="360"/>
        </w:tabs>
        <w:adjustRightInd/>
        <w:snapToGrid/>
        <w:spacing w:after="0" w:line="288" w:lineRule="auto"/>
        <w:ind w:firstLine="420" w:firstLineChars="200"/>
        <w:jc w:val="both"/>
        <w:rPr>
          <w:rFonts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lang w:val="en-US" w:eastAsia="zh-CN"/>
        </w:rPr>
        <w:t>为</w:t>
      </w:r>
      <w:r>
        <w:rPr>
          <w:rFonts w:hint="eastAsia" w:ascii="宋体" w:hAnsi="宋体" w:eastAsia="宋体" w:cs="宋体"/>
          <w:color w:val="auto"/>
          <w:kern w:val="2"/>
          <w:sz w:val="21"/>
          <w:szCs w:val="21"/>
          <w:highlight w:val="none"/>
        </w:rPr>
        <w:t>方便运维人员进行</w:t>
      </w:r>
      <w:r>
        <w:rPr>
          <w:rFonts w:hint="eastAsia" w:ascii="宋体" w:hAnsi="宋体" w:eastAsia="宋体" w:cs="宋体"/>
          <w:color w:val="auto"/>
          <w:kern w:val="2"/>
          <w:sz w:val="21"/>
          <w:szCs w:val="21"/>
          <w:highlight w:val="none"/>
          <w:lang w:val="en-US" w:eastAsia="zh-CN"/>
        </w:rPr>
        <w:t>后期</w:t>
      </w:r>
      <w:r>
        <w:rPr>
          <w:rFonts w:hint="eastAsia" w:ascii="宋体" w:hAnsi="宋体" w:eastAsia="宋体" w:cs="宋体"/>
          <w:color w:val="auto"/>
          <w:kern w:val="2"/>
          <w:sz w:val="21"/>
          <w:szCs w:val="21"/>
          <w:highlight w:val="none"/>
        </w:rPr>
        <w:t>运维</w:t>
      </w:r>
      <w:r>
        <w:rPr>
          <w:rFonts w:hint="eastAsia" w:ascii="宋体" w:hAnsi="宋体" w:eastAsia="宋体" w:cs="宋体"/>
          <w:color w:val="auto"/>
          <w:kern w:val="2"/>
          <w:sz w:val="21"/>
          <w:szCs w:val="21"/>
          <w:highlight w:val="none"/>
          <w:lang w:val="en-US" w:eastAsia="zh-CN"/>
        </w:rPr>
        <w:t>作业</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安装光伏系统的屋面需加装</w:t>
      </w:r>
      <w:r>
        <w:rPr>
          <w:rFonts w:hint="eastAsia" w:ascii="宋体" w:hAnsi="宋体" w:eastAsia="宋体" w:cs="宋体"/>
          <w:color w:val="auto"/>
          <w:kern w:val="2"/>
          <w:sz w:val="21"/>
          <w:szCs w:val="21"/>
          <w:highlight w:val="none"/>
        </w:rPr>
        <w:t>检修配电箱</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做法同逆变器</w:t>
      </w:r>
      <w:r>
        <w:rPr>
          <w:rFonts w:hint="eastAsia" w:ascii="宋体" w:hAnsi="宋体" w:eastAsia="宋体" w:cs="宋体"/>
          <w:color w:val="auto"/>
          <w:kern w:val="2"/>
          <w:sz w:val="21"/>
          <w:szCs w:val="21"/>
          <w:highlight w:val="none"/>
          <w:lang w:val="en-US" w:eastAsia="zh-CN"/>
        </w:rPr>
        <w:t>一样，</w:t>
      </w:r>
      <w:r>
        <w:rPr>
          <w:rFonts w:hint="eastAsia" w:ascii="宋体" w:hAnsi="宋体" w:eastAsia="宋体" w:cs="宋体"/>
          <w:color w:val="auto"/>
          <w:kern w:val="2"/>
          <w:sz w:val="21"/>
          <w:szCs w:val="21"/>
          <w:highlight w:val="none"/>
        </w:rPr>
        <w:t>安装户外支架或挂墙安装,箱体采用厚度≥1.5mm的冷轧钢板制成，防护等级不低于IP65</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可靠接地，电</w:t>
      </w:r>
      <w:r>
        <w:rPr>
          <w:rFonts w:hint="eastAsia" w:ascii="宋体" w:hAnsi="宋体" w:eastAsia="宋体" w:cs="宋体"/>
          <w:color w:val="auto"/>
          <w:kern w:val="2"/>
          <w:sz w:val="21"/>
          <w:szCs w:val="21"/>
          <w:highlight w:val="none"/>
          <w:lang w:eastAsia="zh-CN"/>
        </w:rPr>
        <w:t>源由</w:t>
      </w:r>
      <w:r>
        <w:rPr>
          <w:rFonts w:hint="eastAsia" w:ascii="宋体" w:hAnsi="宋体" w:eastAsia="宋体" w:cs="宋体"/>
          <w:color w:val="auto"/>
          <w:kern w:val="2"/>
          <w:sz w:val="21"/>
          <w:szCs w:val="21"/>
          <w:highlight w:val="none"/>
          <w:lang w:val="en-US" w:eastAsia="zh-CN"/>
        </w:rPr>
        <w:t>交流汇流箱、逆变器交流端</w:t>
      </w:r>
      <w:r>
        <w:rPr>
          <w:rFonts w:hint="eastAsia" w:ascii="宋体" w:hAnsi="宋体" w:eastAsia="宋体" w:cs="宋体"/>
          <w:color w:val="auto"/>
          <w:kern w:val="2"/>
          <w:sz w:val="21"/>
          <w:szCs w:val="21"/>
          <w:highlight w:val="none"/>
          <w:lang w:eastAsia="zh-CN"/>
        </w:rPr>
        <w:t>就近引入，</w:t>
      </w:r>
      <w:r>
        <w:rPr>
          <w:rFonts w:hint="eastAsia" w:ascii="宋体" w:hAnsi="宋体" w:eastAsia="宋体" w:cs="宋体"/>
          <w:color w:val="auto"/>
          <w:kern w:val="2"/>
          <w:sz w:val="21"/>
          <w:szCs w:val="21"/>
          <w:highlight w:val="none"/>
          <w:lang w:val="en-US" w:eastAsia="zh-CN"/>
        </w:rPr>
        <w:t>开关与线缆大小的选型需满足焊接要求，同时方便视频监控系统取电</w:t>
      </w:r>
      <w:r>
        <w:rPr>
          <w:rFonts w:hint="eastAsia" w:ascii="宋体" w:hAnsi="宋体" w:eastAsia="宋体" w:cs="宋体"/>
          <w:color w:val="auto"/>
          <w:kern w:val="2"/>
          <w:sz w:val="21"/>
          <w:szCs w:val="21"/>
          <w:highlight w:val="none"/>
          <w:lang w:eastAsia="zh-CN"/>
        </w:rPr>
        <w:t>。</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）安全护栏、</w:t>
      </w:r>
      <w:r>
        <w:rPr>
          <w:rFonts w:hint="eastAsia" w:ascii="宋体" w:hAnsi="宋体" w:eastAsia="宋体" w:cs="宋体"/>
          <w:color w:val="auto"/>
          <w:kern w:val="2"/>
          <w:sz w:val="21"/>
          <w:szCs w:val="21"/>
          <w:highlight w:val="none"/>
          <w:lang w:val="en-US" w:eastAsia="zh-CN"/>
        </w:rPr>
        <w:t>钢</w:t>
      </w:r>
      <w:r>
        <w:rPr>
          <w:rFonts w:hint="eastAsia" w:ascii="宋体" w:hAnsi="宋体" w:eastAsia="宋体" w:cs="宋体"/>
          <w:color w:val="auto"/>
          <w:kern w:val="2"/>
          <w:sz w:val="21"/>
          <w:szCs w:val="21"/>
          <w:highlight w:val="none"/>
        </w:rPr>
        <w:t>斜梯、采光带标识</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①安全护栏</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若</w:t>
      </w:r>
      <w:r>
        <w:rPr>
          <w:rFonts w:hint="eastAsia" w:ascii="宋体" w:hAnsi="宋体" w:eastAsia="宋体" w:cs="宋体"/>
          <w:color w:val="auto"/>
          <w:kern w:val="2"/>
          <w:sz w:val="21"/>
          <w:szCs w:val="21"/>
          <w:highlight w:val="none"/>
          <w:lang w:val="en-US" w:eastAsia="zh-CN"/>
        </w:rPr>
        <w:t>彩钢瓦屋顶</w:t>
      </w:r>
      <w:r>
        <w:rPr>
          <w:rFonts w:hint="eastAsia" w:ascii="宋体" w:hAnsi="宋体" w:eastAsia="宋体" w:cs="宋体"/>
          <w:color w:val="auto"/>
          <w:kern w:val="2"/>
          <w:sz w:val="21"/>
          <w:szCs w:val="21"/>
          <w:highlight w:val="none"/>
        </w:rPr>
        <w:t>无护栏或女儿墙屋顶的屋顶</w:t>
      </w:r>
      <w:r>
        <w:rPr>
          <w:rFonts w:hint="eastAsia" w:ascii="宋体" w:hAnsi="宋体" w:eastAsia="宋体" w:cs="宋体"/>
          <w:color w:val="auto"/>
          <w:kern w:val="2"/>
          <w:sz w:val="21"/>
          <w:szCs w:val="21"/>
          <w:highlight w:val="none"/>
          <w:lang w:val="en-US" w:eastAsia="zh-CN"/>
        </w:rPr>
        <w:t>临边、洞口处</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需</w:t>
      </w:r>
      <w:r>
        <w:rPr>
          <w:rFonts w:hint="eastAsia" w:ascii="宋体" w:hAnsi="宋体" w:eastAsia="宋体" w:cs="宋体"/>
          <w:color w:val="auto"/>
          <w:kern w:val="2"/>
          <w:sz w:val="21"/>
          <w:szCs w:val="21"/>
          <w:highlight w:val="none"/>
        </w:rPr>
        <w:t>加装高度</w:t>
      </w:r>
      <w:r>
        <w:rPr>
          <w:rFonts w:hint="eastAsia" w:ascii="宋体" w:hAnsi="宋体" w:eastAsia="宋体" w:cs="宋体"/>
          <w:color w:val="auto"/>
          <w:kern w:val="2"/>
          <w:sz w:val="21"/>
          <w:szCs w:val="21"/>
          <w:highlight w:val="none"/>
          <w:lang w:val="en-US" w:eastAsia="zh-CN"/>
        </w:rPr>
        <w:t>≥</w:t>
      </w:r>
      <w:r>
        <w:rPr>
          <w:rFonts w:hint="eastAsia" w:ascii="宋体" w:hAnsi="宋体" w:eastAsia="宋体" w:cs="宋体"/>
          <w:color w:val="auto"/>
          <w:kern w:val="2"/>
          <w:sz w:val="21"/>
          <w:szCs w:val="21"/>
          <w:highlight w:val="none"/>
        </w:rPr>
        <w:t>1200mm的永久</w:t>
      </w:r>
      <w:r>
        <w:rPr>
          <w:rFonts w:hint="eastAsia" w:ascii="宋体" w:hAnsi="宋体" w:eastAsia="宋体" w:cs="宋体"/>
          <w:color w:val="auto"/>
          <w:kern w:val="2"/>
          <w:sz w:val="21"/>
          <w:szCs w:val="21"/>
          <w:highlight w:val="none"/>
          <w:lang w:val="en-US" w:eastAsia="zh-CN"/>
        </w:rPr>
        <w:t>热镀锌角钢、U型钢</w:t>
      </w:r>
      <w:r>
        <w:rPr>
          <w:rFonts w:hint="eastAsia" w:ascii="宋体" w:hAnsi="宋体" w:eastAsia="宋体" w:cs="宋体"/>
          <w:color w:val="auto"/>
          <w:kern w:val="2"/>
          <w:sz w:val="21"/>
          <w:szCs w:val="21"/>
          <w:highlight w:val="none"/>
        </w:rPr>
        <w:t>材质</w:t>
      </w:r>
      <w:r>
        <w:rPr>
          <w:rFonts w:hint="eastAsia" w:ascii="宋体" w:hAnsi="宋体" w:eastAsia="宋体" w:cs="宋体"/>
          <w:color w:val="auto"/>
          <w:kern w:val="2"/>
          <w:sz w:val="21"/>
          <w:szCs w:val="21"/>
          <w:highlight w:val="none"/>
          <w:lang w:val="en-US" w:eastAsia="zh-CN"/>
        </w:rPr>
        <w:t>防</w:t>
      </w:r>
      <w:r>
        <w:rPr>
          <w:rFonts w:hint="eastAsia" w:ascii="宋体" w:hAnsi="宋体" w:eastAsia="宋体" w:cs="宋体"/>
          <w:color w:val="auto"/>
          <w:kern w:val="2"/>
          <w:sz w:val="21"/>
          <w:szCs w:val="21"/>
          <w:highlight w:val="none"/>
        </w:rPr>
        <w:t>护</w:t>
      </w:r>
      <w:r>
        <w:rPr>
          <w:rFonts w:hint="eastAsia" w:ascii="宋体" w:hAnsi="宋体" w:eastAsia="宋体" w:cs="宋体"/>
          <w:color w:val="auto"/>
          <w:kern w:val="2"/>
          <w:sz w:val="21"/>
          <w:szCs w:val="21"/>
          <w:highlight w:val="none"/>
          <w:lang w:val="en-US" w:eastAsia="zh-CN"/>
        </w:rPr>
        <w:t>围栏</w:t>
      </w:r>
      <w:r>
        <w:rPr>
          <w:rFonts w:hint="eastAsia" w:ascii="宋体" w:hAnsi="宋体" w:eastAsia="宋体" w:cs="宋体"/>
          <w:color w:val="auto"/>
          <w:kern w:val="2"/>
          <w:sz w:val="21"/>
          <w:szCs w:val="21"/>
          <w:highlight w:val="none"/>
        </w:rPr>
        <w:t>，以保护人身安全，</w:t>
      </w:r>
      <w:r>
        <w:rPr>
          <w:rFonts w:hint="eastAsia" w:ascii="宋体" w:hAnsi="宋体" w:eastAsia="宋体" w:cs="宋体"/>
          <w:color w:val="auto"/>
          <w:kern w:val="2"/>
          <w:sz w:val="21"/>
          <w:szCs w:val="21"/>
          <w:highlight w:val="none"/>
          <w:lang w:val="en-US" w:eastAsia="zh-CN"/>
        </w:rPr>
        <w:t>同时也要</w:t>
      </w:r>
      <w:r>
        <w:rPr>
          <w:rFonts w:hint="eastAsia" w:ascii="宋体" w:hAnsi="宋体" w:eastAsia="宋体" w:cs="宋体"/>
          <w:color w:val="auto"/>
          <w:kern w:val="2"/>
          <w:sz w:val="21"/>
          <w:szCs w:val="21"/>
          <w:highlight w:val="none"/>
        </w:rPr>
        <w:t>减少护栏对</w:t>
      </w:r>
      <w:r>
        <w:rPr>
          <w:rFonts w:hint="eastAsia" w:ascii="宋体" w:hAnsi="宋体" w:eastAsia="宋体" w:cs="宋体"/>
          <w:color w:val="auto"/>
          <w:kern w:val="2"/>
          <w:sz w:val="21"/>
          <w:szCs w:val="21"/>
          <w:highlight w:val="none"/>
          <w:lang w:val="en-US" w:eastAsia="zh-CN"/>
        </w:rPr>
        <w:t>光伏</w:t>
      </w:r>
      <w:r>
        <w:rPr>
          <w:rFonts w:hint="eastAsia" w:ascii="宋体" w:hAnsi="宋体" w:eastAsia="宋体" w:cs="宋体"/>
          <w:color w:val="auto"/>
          <w:kern w:val="2"/>
          <w:sz w:val="21"/>
          <w:szCs w:val="21"/>
          <w:highlight w:val="none"/>
        </w:rPr>
        <w:t>组件阴影</w:t>
      </w:r>
      <w:r>
        <w:rPr>
          <w:rFonts w:hint="eastAsia" w:ascii="宋体" w:hAnsi="宋体" w:eastAsia="宋体" w:cs="宋体"/>
          <w:color w:val="auto"/>
          <w:kern w:val="2"/>
          <w:sz w:val="21"/>
          <w:szCs w:val="21"/>
          <w:highlight w:val="none"/>
          <w:lang w:val="en-US" w:eastAsia="zh-CN"/>
        </w:rPr>
        <w:t>遮挡</w:t>
      </w:r>
      <w:r>
        <w:rPr>
          <w:rFonts w:hint="eastAsia" w:ascii="宋体" w:hAnsi="宋体" w:eastAsia="宋体" w:cs="宋体"/>
          <w:color w:val="auto"/>
          <w:kern w:val="2"/>
          <w:sz w:val="21"/>
          <w:szCs w:val="21"/>
          <w:highlight w:val="none"/>
        </w:rPr>
        <w:t>影响。护</w:t>
      </w:r>
      <w:r>
        <w:rPr>
          <w:rFonts w:hint="eastAsia" w:ascii="宋体" w:hAnsi="宋体" w:eastAsia="宋体" w:cs="宋体"/>
          <w:color w:val="auto"/>
          <w:kern w:val="2"/>
          <w:sz w:val="21"/>
          <w:szCs w:val="21"/>
          <w:highlight w:val="none"/>
          <w:lang w:val="en-US" w:eastAsia="zh-CN"/>
        </w:rPr>
        <w:t>栏</w:t>
      </w:r>
      <w:r>
        <w:rPr>
          <w:rFonts w:hint="eastAsia" w:ascii="宋体" w:hAnsi="宋体" w:eastAsia="宋体" w:cs="宋体"/>
          <w:color w:val="auto"/>
          <w:kern w:val="2"/>
          <w:sz w:val="21"/>
          <w:szCs w:val="21"/>
          <w:highlight w:val="none"/>
        </w:rPr>
        <w:t>立柱之间的间距小于1.5m，</w:t>
      </w:r>
      <w:r>
        <w:rPr>
          <w:rFonts w:hint="eastAsia" w:ascii="宋体" w:hAnsi="宋体" w:eastAsia="宋体" w:cs="宋体"/>
          <w:color w:val="auto"/>
          <w:kern w:val="2"/>
          <w:sz w:val="21"/>
          <w:szCs w:val="21"/>
          <w:highlight w:val="none"/>
          <w:lang w:val="en-US" w:eastAsia="zh-CN"/>
        </w:rPr>
        <w:t>横杆</w:t>
      </w:r>
      <w:r>
        <w:rPr>
          <w:rFonts w:hint="eastAsia" w:ascii="宋体" w:hAnsi="宋体" w:eastAsia="宋体" w:cs="宋体"/>
          <w:color w:val="auto"/>
          <w:kern w:val="2"/>
          <w:sz w:val="21"/>
          <w:szCs w:val="21"/>
          <w:highlight w:val="none"/>
        </w:rPr>
        <w:t>之间的间距小于</w:t>
      </w:r>
      <w:r>
        <w:rPr>
          <w:rFonts w:hint="eastAsia" w:ascii="宋体" w:hAnsi="宋体" w:eastAsia="宋体" w:cs="宋体"/>
          <w:color w:val="auto"/>
          <w:kern w:val="2"/>
          <w:sz w:val="21"/>
          <w:szCs w:val="21"/>
          <w:highlight w:val="none"/>
          <w:lang w:val="en-US" w:eastAsia="zh-CN"/>
        </w:rPr>
        <w:t>0.6</w:t>
      </w:r>
      <w:r>
        <w:rPr>
          <w:rFonts w:hint="eastAsia" w:ascii="宋体" w:hAnsi="宋体" w:eastAsia="宋体" w:cs="宋体"/>
          <w:color w:val="auto"/>
          <w:kern w:val="2"/>
          <w:sz w:val="21"/>
          <w:szCs w:val="21"/>
          <w:highlight w:val="none"/>
        </w:rPr>
        <w:t>m</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护栏按间隔可靠</w:t>
      </w:r>
      <w:r>
        <w:rPr>
          <w:rFonts w:hint="eastAsia" w:ascii="宋体" w:hAnsi="宋体" w:eastAsia="宋体" w:cs="宋体"/>
          <w:color w:val="auto"/>
          <w:kern w:val="2"/>
          <w:sz w:val="21"/>
          <w:szCs w:val="21"/>
          <w:highlight w:val="none"/>
          <w:lang w:val="en-US" w:eastAsia="zh-CN"/>
        </w:rPr>
        <w:t>防雷</w:t>
      </w:r>
      <w:r>
        <w:rPr>
          <w:rFonts w:hint="eastAsia" w:ascii="宋体" w:hAnsi="宋体" w:eastAsia="宋体" w:cs="宋体"/>
          <w:color w:val="auto"/>
          <w:kern w:val="2"/>
          <w:sz w:val="21"/>
          <w:szCs w:val="21"/>
          <w:highlight w:val="none"/>
        </w:rPr>
        <w:t>接地。</w:t>
      </w:r>
      <w:r>
        <w:rPr>
          <w:rFonts w:hint="eastAsia" w:ascii="宋体" w:hAnsi="宋体" w:eastAsia="宋体" w:cs="宋体"/>
          <w:color w:val="auto"/>
          <w:kern w:val="2"/>
          <w:sz w:val="21"/>
          <w:szCs w:val="21"/>
          <w:highlight w:val="none"/>
          <w:lang w:val="en-US" w:eastAsia="zh-CN"/>
        </w:rPr>
        <w:t>护栏安装应牢固、美观，符合《建筑施工高处作业安全技术规范》JGJ80-2016</w:t>
      </w:r>
      <w:r>
        <w:rPr>
          <w:rFonts w:hint="eastAsia" w:ascii="宋体" w:hAnsi="宋体" w:eastAsia="宋体" w:cs="宋体"/>
          <w:color w:val="auto"/>
          <w:kern w:val="2"/>
          <w:sz w:val="21"/>
          <w:szCs w:val="21"/>
          <w:highlight w:val="none"/>
        </w:rPr>
        <w:t>。</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②</w:t>
      </w:r>
      <w:r>
        <w:rPr>
          <w:rFonts w:hint="eastAsia" w:ascii="宋体" w:hAnsi="宋体" w:eastAsia="宋体" w:cs="宋体"/>
          <w:color w:val="auto"/>
          <w:kern w:val="2"/>
          <w:sz w:val="21"/>
          <w:szCs w:val="21"/>
          <w:highlight w:val="none"/>
          <w:lang w:val="en-US" w:eastAsia="zh-CN"/>
        </w:rPr>
        <w:t>扶手踏步</w:t>
      </w:r>
      <w:r>
        <w:rPr>
          <w:rFonts w:hint="eastAsia" w:ascii="宋体" w:hAnsi="宋体" w:eastAsia="宋体" w:cs="宋体"/>
          <w:color w:val="auto"/>
          <w:kern w:val="2"/>
          <w:sz w:val="21"/>
          <w:szCs w:val="21"/>
          <w:highlight w:val="none"/>
        </w:rPr>
        <w:t>钢斜梯</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为方便运维和安全作业，未设置楼梯的</w:t>
      </w:r>
      <w:r>
        <w:rPr>
          <w:rFonts w:hint="eastAsia" w:ascii="宋体" w:hAnsi="宋体" w:eastAsia="宋体" w:cs="宋体"/>
          <w:color w:val="auto"/>
          <w:kern w:val="2"/>
          <w:sz w:val="21"/>
          <w:szCs w:val="21"/>
          <w:highlight w:val="none"/>
          <w:lang w:val="en-US" w:eastAsia="zh-CN"/>
        </w:rPr>
        <w:t>彩钢瓦屋</w:t>
      </w:r>
      <w:r>
        <w:rPr>
          <w:rFonts w:hint="eastAsia" w:ascii="宋体" w:hAnsi="宋体" w:eastAsia="宋体" w:cs="宋体"/>
          <w:color w:val="auto"/>
          <w:kern w:val="2"/>
          <w:sz w:val="21"/>
          <w:szCs w:val="21"/>
          <w:highlight w:val="none"/>
        </w:rPr>
        <w:t>面、棚</w:t>
      </w:r>
      <w:r>
        <w:rPr>
          <w:rFonts w:hint="eastAsia" w:ascii="宋体" w:hAnsi="宋体" w:eastAsia="宋体" w:cs="宋体"/>
          <w:color w:val="auto"/>
          <w:kern w:val="2"/>
          <w:sz w:val="21"/>
          <w:szCs w:val="21"/>
          <w:highlight w:val="none"/>
          <w:lang w:val="en-US" w:eastAsia="zh-CN"/>
        </w:rPr>
        <w:t>架</w:t>
      </w:r>
      <w:r>
        <w:rPr>
          <w:rFonts w:hint="eastAsia" w:ascii="宋体" w:hAnsi="宋体" w:eastAsia="宋体" w:cs="宋体"/>
          <w:color w:val="auto"/>
          <w:kern w:val="2"/>
          <w:sz w:val="21"/>
          <w:szCs w:val="21"/>
          <w:highlight w:val="none"/>
        </w:rPr>
        <w:t>式光伏</w:t>
      </w:r>
      <w:r>
        <w:rPr>
          <w:rFonts w:hint="eastAsia" w:ascii="宋体" w:hAnsi="宋体" w:eastAsia="宋体" w:cs="宋体"/>
          <w:color w:val="auto"/>
          <w:kern w:val="2"/>
          <w:sz w:val="21"/>
          <w:szCs w:val="21"/>
          <w:highlight w:val="none"/>
          <w:lang w:val="en-US" w:eastAsia="zh-CN"/>
        </w:rPr>
        <w:t>组件</w:t>
      </w:r>
      <w:r>
        <w:rPr>
          <w:rFonts w:hint="eastAsia" w:ascii="宋体" w:hAnsi="宋体" w:eastAsia="宋体" w:cs="宋体"/>
          <w:color w:val="auto"/>
          <w:kern w:val="2"/>
          <w:sz w:val="21"/>
          <w:szCs w:val="21"/>
          <w:highlight w:val="none"/>
        </w:rPr>
        <w:t>面，须设置</w:t>
      </w:r>
      <w:r>
        <w:rPr>
          <w:rFonts w:hint="eastAsia" w:ascii="宋体" w:hAnsi="宋体" w:eastAsia="宋体" w:cs="宋体"/>
          <w:color w:val="auto"/>
          <w:kern w:val="2"/>
          <w:sz w:val="21"/>
          <w:szCs w:val="21"/>
          <w:highlight w:val="none"/>
          <w:lang w:val="en-US" w:eastAsia="zh-CN"/>
        </w:rPr>
        <w:t>扶手踏步镀锌</w:t>
      </w:r>
      <w:r>
        <w:rPr>
          <w:rFonts w:hint="eastAsia" w:ascii="宋体" w:hAnsi="宋体" w:eastAsia="宋体" w:cs="宋体"/>
          <w:color w:val="auto"/>
          <w:kern w:val="2"/>
          <w:sz w:val="21"/>
          <w:szCs w:val="21"/>
          <w:highlight w:val="none"/>
        </w:rPr>
        <w:t>钢斜梯，钢梯</w:t>
      </w:r>
      <w:r>
        <w:rPr>
          <w:rFonts w:hint="eastAsia" w:ascii="宋体" w:hAnsi="宋体" w:eastAsia="宋体" w:cs="宋体"/>
          <w:color w:val="auto"/>
          <w:kern w:val="2"/>
          <w:sz w:val="21"/>
          <w:szCs w:val="21"/>
          <w:highlight w:val="none"/>
          <w:lang w:val="en-US" w:eastAsia="zh-CN"/>
        </w:rPr>
        <w:t>宽度</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0.8</w:t>
      </w:r>
      <w:r>
        <w:rPr>
          <w:rFonts w:hint="eastAsia" w:ascii="宋体" w:hAnsi="宋体" w:eastAsia="宋体" w:cs="宋体"/>
          <w:color w:val="auto"/>
          <w:kern w:val="2"/>
          <w:sz w:val="21"/>
          <w:szCs w:val="21"/>
          <w:highlight w:val="none"/>
        </w:rPr>
        <w:t>m</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扶手高度</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0.9</w:t>
      </w:r>
      <w:r>
        <w:rPr>
          <w:rFonts w:hint="eastAsia" w:ascii="宋体" w:hAnsi="宋体" w:eastAsia="宋体" w:cs="宋体"/>
          <w:color w:val="auto"/>
          <w:kern w:val="2"/>
          <w:sz w:val="21"/>
          <w:szCs w:val="21"/>
          <w:highlight w:val="none"/>
        </w:rPr>
        <w:t>m</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同时加装0.8</w:t>
      </w:r>
      <w:r>
        <w:rPr>
          <w:rFonts w:hint="eastAsia" w:ascii="宋体" w:hAnsi="宋体" w:eastAsia="宋体" w:cs="宋体"/>
          <w:color w:val="auto"/>
          <w:kern w:val="2"/>
          <w:sz w:val="21"/>
          <w:szCs w:val="21"/>
          <w:highlight w:val="none"/>
        </w:rPr>
        <w:t>m</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rPr>
        <w:t>m</w:t>
      </w:r>
      <w:r>
        <w:rPr>
          <w:rFonts w:hint="eastAsia" w:ascii="宋体" w:hAnsi="宋体" w:eastAsia="宋体" w:cs="宋体"/>
          <w:color w:val="auto"/>
          <w:kern w:val="2"/>
          <w:sz w:val="21"/>
          <w:szCs w:val="21"/>
          <w:highlight w:val="none"/>
          <w:lang w:val="en-US" w:eastAsia="zh-CN"/>
        </w:rPr>
        <w:t>运维操作平台并与运维通道进行连接，</w:t>
      </w:r>
      <w:r>
        <w:rPr>
          <w:rFonts w:hint="eastAsia" w:ascii="宋体" w:hAnsi="宋体" w:eastAsia="宋体" w:cs="宋体"/>
          <w:color w:val="auto"/>
          <w:kern w:val="2"/>
          <w:sz w:val="21"/>
          <w:szCs w:val="21"/>
          <w:highlight w:val="none"/>
        </w:rPr>
        <w:t>应符合《</w:t>
      </w:r>
      <w:r>
        <w:rPr>
          <w:rFonts w:ascii="宋体" w:hAnsi="宋体" w:eastAsia="宋体" w:cs="宋体"/>
          <w:color w:val="auto"/>
          <w:kern w:val="2"/>
          <w:sz w:val="21"/>
          <w:szCs w:val="21"/>
          <w:highlight w:val="none"/>
        </w:rPr>
        <w:t>固定式钢梯及平台安全要求.第2部分:钢斜梯</w:t>
      </w:r>
      <w:r>
        <w:rPr>
          <w:rFonts w:hint="eastAsia" w:ascii="宋体" w:hAnsi="宋体" w:eastAsia="宋体" w:cs="宋体"/>
          <w:color w:val="auto"/>
          <w:kern w:val="2"/>
          <w:sz w:val="21"/>
          <w:szCs w:val="21"/>
          <w:highlight w:val="none"/>
        </w:rPr>
        <w:t>》</w:t>
      </w:r>
      <w:r>
        <w:rPr>
          <w:rFonts w:ascii="宋体" w:hAnsi="宋体" w:eastAsia="宋体" w:cs="宋体"/>
          <w:color w:val="auto"/>
          <w:kern w:val="2"/>
          <w:sz w:val="21"/>
          <w:szCs w:val="21"/>
          <w:highlight w:val="none"/>
        </w:rPr>
        <w:t>GB4053.2-2009</w:t>
      </w:r>
      <w:r>
        <w:rPr>
          <w:rFonts w:hint="eastAsia" w:ascii="宋体" w:hAnsi="宋体" w:eastAsia="宋体" w:cs="宋体"/>
          <w:color w:val="auto"/>
          <w:kern w:val="2"/>
          <w:sz w:val="21"/>
          <w:szCs w:val="21"/>
          <w:highlight w:val="none"/>
          <w:lang w:val="en-US" w:eastAsia="zh-CN"/>
        </w:rPr>
        <w:t>规定</w:t>
      </w:r>
      <w:r>
        <w:rPr>
          <w:rFonts w:hint="eastAsia" w:ascii="宋体" w:hAnsi="宋体" w:eastAsia="宋体" w:cs="宋体"/>
          <w:color w:val="auto"/>
          <w:kern w:val="2"/>
          <w:sz w:val="21"/>
          <w:szCs w:val="21"/>
          <w:highlight w:val="none"/>
        </w:rPr>
        <w:t>。钢斜梯入口要有带锁的活动门，钢斜梯旁边设置“</w:t>
      </w:r>
      <w:r>
        <w:rPr>
          <w:rFonts w:hint="eastAsia" w:ascii="宋体" w:hAnsi="宋体" w:eastAsia="宋体" w:cs="宋体"/>
          <w:color w:val="auto"/>
          <w:kern w:val="2"/>
          <w:sz w:val="21"/>
          <w:szCs w:val="21"/>
          <w:highlight w:val="none"/>
          <w:lang w:val="en-US" w:eastAsia="zh-CN"/>
        </w:rPr>
        <w:t>非内部人员</w:t>
      </w:r>
      <w:r>
        <w:rPr>
          <w:rFonts w:hint="eastAsia" w:ascii="宋体" w:hAnsi="宋体" w:eastAsia="宋体" w:cs="宋体"/>
          <w:color w:val="auto"/>
          <w:kern w:val="2"/>
          <w:sz w:val="21"/>
          <w:szCs w:val="21"/>
          <w:highlight w:val="none"/>
        </w:rPr>
        <w:t>禁止</w:t>
      </w:r>
      <w:r>
        <w:rPr>
          <w:rFonts w:hint="eastAsia" w:ascii="宋体" w:hAnsi="宋体" w:eastAsia="宋体" w:cs="宋体"/>
          <w:color w:val="auto"/>
          <w:kern w:val="2"/>
          <w:sz w:val="21"/>
          <w:szCs w:val="21"/>
          <w:highlight w:val="none"/>
          <w:lang w:val="en-US" w:eastAsia="zh-CN"/>
        </w:rPr>
        <w:t>进入</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等</w:t>
      </w:r>
      <w:r>
        <w:rPr>
          <w:rFonts w:hint="eastAsia" w:ascii="宋体" w:hAnsi="宋体" w:eastAsia="宋体" w:cs="宋体"/>
          <w:color w:val="auto"/>
          <w:kern w:val="2"/>
          <w:sz w:val="21"/>
          <w:szCs w:val="21"/>
          <w:highlight w:val="none"/>
        </w:rPr>
        <w:t>安全警示牌。</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③采光带周围用宽度不少于100mm黄色油漆标识</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或贴警示带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，并</w:t>
      </w:r>
      <w:r>
        <w:rPr>
          <w:rFonts w:hint="eastAsia" w:ascii="宋体" w:hAnsi="宋体" w:eastAsia="宋体" w:cs="宋体"/>
          <w:color w:val="auto"/>
          <w:kern w:val="2"/>
          <w:sz w:val="21"/>
          <w:szCs w:val="21"/>
          <w:highlight w:val="none"/>
          <w:lang w:val="en-US" w:eastAsia="zh-CN"/>
        </w:rPr>
        <w:t>设置“</w:t>
      </w:r>
      <w:r>
        <w:rPr>
          <w:rFonts w:hint="eastAsia" w:ascii="宋体" w:hAnsi="宋体" w:eastAsia="宋体" w:cs="宋体"/>
          <w:color w:val="auto"/>
          <w:kern w:val="2"/>
          <w:sz w:val="21"/>
          <w:szCs w:val="21"/>
          <w:highlight w:val="none"/>
        </w:rPr>
        <w:t>禁止踩踏</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警示牌</w:t>
      </w:r>
      <w:r>
        <w:rPr>
          <w:rFonts w:hint="eastAsia" w:ascii="宋体" w:hAnsi="宋体" w:eastAsia="宋体" w:cs="宋体"/>
          <w:color w:val="auto"/>
          <w:kern w:val="2"/>
          <w:sz w:val="21"/>
          <w:szCs w:val="21"/>
          <w:highlight w:val="none"/>
        </w:rPr>
        <w:t>；同时设置</w:t>
      </w:r>
      <w:r>
        <w:rPr>
          <w:rFonts w:hint="eastAsia" w:ascii="宋体" w:hAnsi="宋体" w:eastAsia="宋体" w:cs="宋体"/>
          <w:color w:val="auto"/>
          <w:kern w:val="2"/>
          <w:sz w:val="21"/>
          <w:szCs w:val="21"/>
          <w:highlight w:val="none"/>
          <w:lang w:val="en-US" w:eastAsia="zh-CN"/>
        </w:rPr>
        <w:t>防坠落网进行</w:t>
      </w:r>
      <w:r>
        <w:rPr>
          <w:rFonts w:hint="eastAsia" w:ascii="宋体" w:hAnsi="宋体" w:eastAsia="宋体" w:cs="宋体"/>
          <w:color w:val="auto"/>
          <w:kern w:val="2"/>
          <w:sz w:val="21"/>
          <w:szCs w:val="21"/>
          <w:highlight w:val="none"/>
        </w:rPr>
        <w:t>保护，</w:t>
      </w:r>
      <w:r>
        <w:rPr>
          <w:rFonts w:hint="eastAsia" w:ascii="宋体" w:hAnsi="宋体" w:eastAsia="宋体" w:cs="宋体"/>
          <w:color w:val="auto"/>
          <w:kern w:val="2"/>
          <w:sz w:val="21"/>
          <w:szCs w:val="21"/>
          <w:highlight w:val="none"/>
          <w:lang w:val="en-US" w:eastAsia="zh-CN"/>
        </w:rPr>
        <w:t>防止</w:t>
      </w:r>
      <w:r>
        <w:rPr>
          <w:rFonts w:hint="eastAsia" w:ascii="宋体" w:hAnsi="宋体" w:eastAsia="宋体" w:cs="宋体"/>
          <w:color w:val="auto"/>
          <w:kern w:val="2"/>
          <w:sz w:val="21"/>
          <w:szCs w:val="21"/>
          <w:highlight w:val="none"/>
        </w:rPr>
        <w:t>人员踩空。</w:t>
      </w:r>
    </w:p>
    <w:p>
      <w:pPr>
        <w:bidi w:val="0"/>
      </w:pPr>
    </w:p>
    <w:p>
      <w:pPr>
        <w:keepNext/>
        <w:keepLines/>
        <w:widowControl w:val="0"/>
        <w:adjustRightInd/>
        <w:snapToGrid/>
        <w:spacing w:after="0" w:line="360" w:lineRule="auto"/>
        <w:jc w:val="both"/>
        <w:outlineLvl w:val="3"/>
        <w:rPr>
          <w:rFonts w:ascii="Calibri Light" w:hAnsi="Calibri Light" w:eastAsia="宋体" w:cs="Times New Roman"/>
          <w:b/>
          <w:bCs/>
          <w:color w:val="auto"/>
          <w:kern w:val="2"/>
          <w:sz w:val="24"/>
          <w:szCs w:val="28"/>
          <w:highlight w:val="none"/>
        </w:rPr>
      </w:pPr>
      <w:r>
        <w:rPr>
          <w:rFonts w:hint="eastAsia" w:ascii="Calibri Light" w:hAnsi="Calibri Light" w:eastAsia="宋体" w:cs="Times New Roman"/>
          <w:b/>
          <w:bCs/>
          <w:color w:val="auto"/>
          <w:kern w:val="2"/>
          <w:sz w:val="24"/>
          <w:szCs w:val="28"/>
          <w:highlight w:val="none"/>
          <w:lang w:eastAsia="zh-CN"/>
        </w:rPr>
        <w:t>五</w:t>
      </w:r>
      <w:r>
        <w:rPr>
          <w:rFonts w:hint="eastAsia" w:ascii="Calibri Light" w:hAnsi="Calibri Light" w:eastAsia="宋体" w:cs="Times New Roman"/>
          <w:b/>
          <w:bCs/>
          <w:color w:val="auto"/>
          <w:kern w:val="2"/>
          <w:sz w:val="24"/>
          <w:szCs w:val="28"/>
          <w:highlight w:val="none"/>
        </w:rPr>
        <w:t>、设计规范和设计依据</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（1）建筑平面、总平面；其他相关专业提出的要求。</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（2）建设方所提供的设计任务委托书、设计要点、经批准的扩初设计文件、配电房管线资料等。</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（3）国家及省的有关规范、标准、规程：</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《光伏发电站防雷技术规程》 DL/T 1364-2014(国家能源局)</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《光伏发电并网逆变器技术规范》 NB/T 32004-2013(国家能源局)</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《光伏发电站电能质量检测技术规程》 NB/T 32006-2013(国家能源局)</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《光伏发电站功率预测系统技术要求》 NB/T 32011-2013(国家能源局)</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《光伏发电站防孤岛效应检测技术规程》 NB/T 32014-2013(国家能源局)</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《并网光伏发电监控系统技术规范》 NB/T 32016-2013(国家能源局)</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《太阳能光伏系统防雷技术规范》 QX/T 263-2015(中国气象局)</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《光伏发电接入配电网设计规范》 GB/T 50865-2013</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《光伏发电站接入电力系统设计规范》 GB/T 50866-2013</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《光伏发电站继电保护技术规范》 GB/T_32900-2016</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《分布式光伏发电系统接入电网技术规范》 Q/CSG_1211001-2014</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《光伏发电站接入电网技术规范》 Q/CSG_1211002-2014</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《光伏发电并网技术标准》 Q/CSG_1211006-2016</w:t>
      </w:r>
    </w:p>
    <w:p>
      <w:pPr>
        <w:widowControl w:val="0"/>
        <w:wordWrap w:val="0"/>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《并网光伏发电站监控系统技术规范》 Q/CSG_1211011-2016</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《建筑结构荷载规范》 GB50009-2012</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《建筑物防雷设计规范》 GB50057-2010</w:t>
      </w:r>
    </w:p>
    <w:p>
      <w:pPr>
        <w:bidi w:val="0"/>
      </w:pPr>
    </w:p>
    <w:p>
      <w:pPr>
        <w:keepNext/>
        <w:keepLines/>
        <w:widowControl w:val="0"/>
        <w:adjustRightInd/>
        <w:snapToGrid/>
        <w:spacing w:after="0" w:line="360" w:lineRule="auto"/>
        <w:jc w:val="both"/>
        <w:outlineLvl w:val="3"/>
        <w:rPr>
          <w:rFonts w:ascii="Calibri Light" w:hAnsi="Calibri Light" w:eastAsia="宋体" w:cs="Times New Roman"/>
          <w:b/>
          <w:bCs/>
          <w:color w:val="auto"/>
          <w:kern w:val="2"/>
          <w:sz w:val="24"/>
          <w:szCs w:val="28"/>
          <w:highlight w:val="none"/>
        </w:rPr>
      </w:pPr>
      <w:r>
        <w:rPr>
          <w:rFonts w:hint="eastAsia" w:ascii="Calibri Light" w:hAnsi="Calibri Light" w:eastAsia="宋体" w:cs="Times New Roman"/>
          <w:b/>
          <w:bCs/>
          <w:color w:val="auto"/>
          <w:kern w:val="2"/>
          <w:sz w:val="24"/>
          <w:szCs w:val="28"/>
          <w:highlight w:val="none"/>
          <w:lang w:eastAsia="zh-CN"/>
        </w:rPr>
        <w:t>六</w:t>
      </w:r>
      <w:r>
        <w:rPr>
          <w:rFonts w:hint="eastAsia" w:ascii="Calibri Light" w:hAnsi="Calibri Light" w:eastAsia="宋体" w:cs="Times New Roman"/>
          <w:b/>
          <w:bCs/>
          <w:color w:val="auto"/>
          <w:kern w:val="2"/>
          <w:sz w:val="24"/>
          <w:szCs w:val="28"/>
          <w:highlight w:val="none"/>
        </w:rPr>
        <w:t>、消防要求</w:t>
      </w:r>
    </w:p>
    <w:p>
      <w:pPr>
        <w:widowControl w:val="0"/>
        <w:wordWrap w:val="0"/>
        <w:adjustRightInd/>
        <w:snapToGrid/>
        <w:spacing w:after="0" w:line="288" w:lineRule="auto"/>
        <w:jc w:val="both"/>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1. 主要设计原则、功能及配置</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本项目依据国家有关消防条例、规范进行设计，本着“预防为主、防消结合 ”的消防工作方针，消防系统的设置以加强自身防范力量为主，立足于自救，同时与消防部门联防，做到“防患于未然 ”，从积极的方面预防火灾的发生及蔓延。变电站内电气设备较多，消防设计的重点是防止电气火灾。</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（1）对设有电气仪表设备的房间，应配置移动式气体灭火器和手动火灾报警（警铃）。</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（2）对光伏组件屋面应按方阵、逆变器数量配置干粉灭火器和消防沙，用于发电单元电气设备的灭火。</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（3）根据“预防为主、防消结合 ”的原则，本着减少着火机率，阻止电缆着火延燃及窜燃的目的，结合现场实际情况，主要采取“封 ”“堵 ”“隔 ”“涂 ”等技术措施，封堵施工按照国家及行业有关标准和以往的电缆防火封堵措施并结合电站实际情况进行</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lang w:val="en-US" w:eastAsia="zh-CN"/>
        </w:rPr>
        <w:t>交流电缆采用阻燃型</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eastAsia="zh-CN"/>
        </w:rPr>
        <w:t>安装</w:t>
      </w:r>
      <w:r>
        <w:rPr>
          <w:rFonts w:hint="eastAsia" w:ascii="宋体" w:hAnsi="宋体" w:eastAsia="宋体" w:cs="宋体"/>
          <w:color w:val="auto"/>
          <w:kern w:val="2"/>
          <w:sz w:val="21"/>
          <w:szCs w:val="21"/>
          <w:highlight w:val="none"/>
        </w:rPr>
        <w:t>主要达到《电气装置安装工程 电缆线路施工及验收标准》GB50168-2018。</w:t>
      </w:r>
    </w:p>
    <w:p>
      <w:pPr>
        <w:widowControl w:val="0"/>
        <w:wordWrap w:val="0"/>
        <w:adjustRightInd/>
        <w:snapToGrid/>
        <w:spacing w:after="0" w:line="288" w:lineRule="auto"/>
        <w:jc w:val="both"/>
        <w:rPr>
          <w:rFonts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2. 消防设计及消防验收</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投标方须依据《中华人名共和国消防法》、《建设工程消防监督管理规定》等法律法规及当地消防管理部门的要求，完成如下事项（包括但不限于）:</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（1）光伏发电项目的消防设计及备案；</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（2）委托有资质的第三方机构进行消防检测，并取得消防设施检测合格证明文件；</w:t>
      </w:r>
    </w:p>
    <w:p>
      <w:pPr>
        <w:widowControl w:val="0"/>
        <w:tabs>
          <w:tab w:val="left" w:pos="360"/>
        </w:tabs>
        <w:adjustRightInd/>
        <w:snapToGrid/>
        <w:spacing w:after="0" w:line="288" w:lineRule="auto"/>
        <w:ind w:firstLine="420" w:firstLine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（3）竣工验收消防备案；</w:t>
      </w:r>
    </w:p>
    <w:p>
      <w:pPr>
        <w:widowControl w:val="0"/>
        <w:wordWrap w:val="0"/>
        <w:adjustRightInd/>
        <w:snapToGrid/>
        <w:spacing w:after="0" w:line="288" w:lineRule="auto"/>
        <w:ind w:left="420" w:leftChars="200"/>
        <w:jc w:val="both"/>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（4）如本项目被确定为抽查对象，须通过当地消防管理部门的检测检验。</w:t>
      </w:r>
    </w:p>
    <w:p>
      <w:pPr>
        <w:bidi w:val="0"/>
      </w:pPr>
    </w:p>
    <w:p>
      <w:pPr>
        <w:keepNext/>
        <w:keepLines/>
        <w:widowControl w:val="0"/>
        <w:adjustRightInd/>
        <w:snapToGrid/>
        <w:spacing w:after="0" w:line="360" w:lineRule="auto"/>
        <w:jc w:val="both"/>
        <w:outlineLvl w:val="3"/>
        <w:rPr>
          <w:rFonts w:ascii="Calibri Light" w:hAnsi="Calibri Light" w:eastAsia="宋体" w:cs="Times New Roman"/>
          <w:b/>
          <w:bCs/>
          <w:color w:val="auto"/>
          <w:kern w:val="2"/>
          <w:sz w:val="24"/>
          <w:szCs w:val="28"/>
          <w:highlight w:val="none"/>
        </w:rPr>
      </w:pPr>
      <w:r>
        <w:rPr>
          <w:rFonts w:hint="eastAsia" w:ascii="Calibri Light" w:hAnsi="Calibri Light" w:eastAsia="宋体" w:cs="Times New Roman"/>
          <w:b/>
          <w:bCs/>
          <w:color w:val="auto"/>
          <w:kern w:val="2"/>
          <w:sz w:val="24"/>
          <w:szCs w:val="28"/>
          <w:highlight w:val="none"/>
          <w:lang w:val="en-US" w:eastAsia="zh-CN"/>
        </w:rPr>
        <w:t>七</w:t>
      </w:r>
      <w:r>
        <w:rPr>
          <w:rFonts w:hint="eastAsia" w:ascii="Calibri Light" w:hAnsi="Calibri Light" w:eastAsia="宋体" w:cs="Times New Roman"/>
          <w:b/>
          <w:bCs/>
          <w:color w:val="auto"/>
          <w:kern w:val="2"/>
          <w:sz w:val="24"/>
          <w:szCs w:val="28"/>
          <w:highlight w:val="none"/>
        </w:rPr>
        <w:t>、特别要求</w:t>
      </w:r>
    </w:p>
    <w:p>
      <w:pPr>
        <w:widowControl w:val="0"/>
        <w:wordWrap w:val="0"/>
        <w:adjustRightInd/>
        <w:snapToGrid/>
        <w:spacing w:after="0" w:line="288"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cs="宋体"/>
          <w:color w:val="auto"/>
          <w:kern w:val="2"/>
          <w:sz w:val="21"/>
          <w:szCs w:val="21"/>
          <w:highlight w:val="none"/>
          <w:lang w:eastAsia="zh-CN"/>
        </w:rPr>
        <w:t>中标人</w:t>
      </w:r>
      <w:r>
        <w:rPr>
          <w:rFonts w:hint="eastAsia" w:ascii="宋体" w:hAnsi="宋体" w:eastAsia="宋体" w:cs="宋体"/>
          <w:color w:val="auto"/>
          <w:kern w:val="2"/>
          <w:sz w:val="21"/>
          <w:szCs w:val="21"/>
          <w:highlight w:val="none"/>
          <w:lang w:val="en-US" w:eastAsia="zh-CN"/>
        </w:rPr>
        <w:t>在</w:t>
      </w:r>
      <w:r>
        <w:rPr>
          <w:rFonts w:hint="eastAsia" w:ascii="宋体" w:hAnsi="宋体" w:eastAsia="宋体" w:cs="宋体"/>
          <w:color w:val="auto"/>
          <w:kern w:val="2"/>
          <w:sz w:val="21"/>
          <w:szCs w:val="21"/>
          <w:highlight w:val="none"/>
        </w:rPr>
        <w:t>涉及</w:t>
      </w:r>
      <w:r>
        <w:rPr>
          <w:rFonts w:hint="eastAsia" w:ascii="宋体" w:hAnsi="宋体" w:eastAsia="宋体" w:cs="宋体"/>
          <w:color w:val="auto"/>
          <w:kern w:val="2"/>
          <w:sz w:val="21"/>
          <w:szCs w:val="21"/>
          <w:highlight w:val="none"/>
          <w:lang w:val="en-US" w:eastAsia="zh-CN"/>
        </w:rPr>
        <w:t>光伏发电</w:t>
      </w:r>
      <w:r>
        <w:rPr>
          <w:rFonts w:hint="eastAsia" w:ascii="宋体" w:hAnsi="宋体" w:eastAsia="宋体" w:cs="宋体"/>
          <w:color w:val="auto"/>
          <w:kern w:val="2"/>
          <w:sz w:val="21"/>
          <w:szCs w:val="21"/>
          <w:highlight w:val="none"/>
        </w:rPr>
        <w:t>系统并网验收及报批方面，必须</w:t>
      </w:r>
      <w:r>
        <w:rPr>
          <w:rFonts w:hint="eastAsia" w:ascii="宋体" w:hAnsi="宋体" w:eastAsia="宋体" w:cs="宋体"/>
          <w:color w:val="auto"/>
          <w:kern w:val="2"/>
          <w:sz w:val="21"/>
          <w:szCs w:val="21"/>
          <w:highlight w:val="none"/>
          <w:lang w:val="en-US" w:eastAsia="zh-CN"/>
        </w:rPr>
        <w:t>充分</w:t>
      </w:r>
      <w:r>
        <w:rPr>
          <w:rFonts w:hint="eastAsia" w:ascii="宋体" w:hAnsi="宋体" w:eastAsia="宋体" w:cs="宋体"/>
          <w:color w:val="auto"/>
          <w:kern w:val="2"/>
          <w:sz w:val="21"/>
          <w:szCs w:val="21"/>
          <w:highlight w:val="none"/>
        </w:rPr>
        <w:t>与当地供电</w:t>
      </w:r>
      <w:r>
        <w:rPr>
          <w:rFonts w:hint="eastAsia" w:ascii="Calibri" w:hAnsi="Calibri" w:eastAsia="宋体" w:cs="Times New Roman"/>
          <w:color w:val="auto"/>
          <w:kern w:val="2"/>
          <w:sz w:val="21"/>
          <w:szCs w:val="21"/>
          <w:highlight w:val="none"/>
        </w:rPr>
        <w:t>部门</w:t>
      </w:r>
      <w:r>
        <w:rPr>
          <w:rFonts w:hint="eastAsia" w:ascii="宋体" w:hAnsi="宋体" w:eastAsia="宋体" w:cs="宋体"/>
          <w:color w:val="auto"/>
          <w:kern w:val="2"/>
          <w:sz w:val="21"/>
          <w:szCs w:val="21"/>
          <w:highlight w:val="none"/>
        </w:rPr>
        <w:t>协调沟通，保证项目</w:t>
      </w:r>
      <w:r>
        <w:rPr>
          <w:rFonts w:hint="eastAsia" w:ascii="宋体" w:hAnsi="宋体" w:eastAsia="宋体" w:cs="宋体"/>
          <w:color w:val="auto"/>
          <w:kern w:val="2"/>
          <w:sz w:val="21"/>
          <w:szCs w:val="21"/>
          <w:highlight w:val="none"/>
          <w:lang w:val="en-US" w:eastAsia="zh-CN"/>
        </w:rPr>
        <w:t>按工期并网投运</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ascii="Calibri" w:hAnsi="Calibri" w:eastAsia="宋体" w:cs="Times New Roman"/>
          <w:color w:val="auto"/>
          <w:kern w:val="2"/>
          <w:sz w:val="21"/>
          <w:szCs w:val="24"/>
          <w:highlight w:val="none"/>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、如涉及</w:t>
      </w:r>
      <w:r>
        <w:rPr>
          <w:rFonts w:hint="eastAsia" w:ascii="宋体" w:hAnsi="宋体" w:eastAsia="宋体" w:cs="宋体"/>
          <w:color w:val="auto"/>
          <w:kern w:val="2"/>
          <w:sz w:val="21"/>
          <w:szCs w:val="21"/>
          <w:highlight w:val="none"/>
          <w:lang w:val="en-US" w:eastAsia="zh-CN"/>
        </w:rPr>
        <w:t>屋顶</w:t>
      </w:r>
      <w:r>
        <w:rPr>
          <w:rFonts w:hint="eastAsia" w:ascii="Calibri" w:hAnsi="Calibri" w:eastAsia="宋体" w:cs="Times New Roman"/>
          <w:color w:val="auto"/>
          <w:kern w:val="2"/>
          <w:sz w:val="21"/>
          <w:szCs w:val="21"/>
          <w:highlight w:val="none"/>
        </w:rPr>
        <w:t>业主、</w:t>
      </w:r>
      <w:r>
        <w:rPr>
          <w:rFonts w:hint="eastAsia" w:ascii="Calibri" w:hAnsi="Calibri" w:eastAsia="宋体" w:cs="Times New Roman"/>
          <w:color w:val="auto"/>
          <w:kern w:val="2"/>
          <w:sz w:val="21"/>
          <w:szCs w:val="21"/>
          <w:highlight w:val="none"/>
          <w:lang w:val="en-US" w:eastAsia="zh-CN"/>
        </w:rPr>
        <w:t>当地两违办</w:t>
      </w:r>
      <w:r>
        <w:rPr>
          <w:rFonts w:hint="eastAsia" w:ascii="Calibri" w:hAnsi="Calibri" w:eastAsia="宋体" w:cs="Times New Roman"/>
          <w:color w:val="auto"/>
          <w:kern w:val="2"/>
          <w:sz w:val="21"/>
          <w:szCs w:val="21"/>
          <w:highlight w:val="none"/>
        </w:rPr>
        <w:t>、</w:t>
      </w:r>
      <w:r>
        <w:rPr>
          <w:rFonts w:hint="eastAsia" w:ascii="Calibri" w:hAnsi="Calibri" w:eastAsia="宋体" w:cs="Times New Roman"/>
          <w:color w:val="auto"/>
          <w:kern w:val="2"/>
          <w:sz w:val="21"/>
          <w:szCs w:val="21"/>
          <w:highlight w:val="none"/>
          <w:lang w:val="en-US" w:eastAsia="zh-CN"/>
        </w:rPr>
        <w:t>经发局、</w:t>
      </w:r>
      <w:r>
        <w:rPr>
          <w:rFonts w:hint="eastAsia" w:ascii="Calibri" w:hAnsi="Calibri" w:eastAsia="宋体" w:cs="Times New Roman"/>
          <w:color w:val="auto"/>
          <w:kern w:val="2"/>
          <w:sz w:val="21"/>
          <w:szCs w:val="21"/>
          <w:highlight w:val="none"/>
        </w:rPr>
        <w:t>供电部门及其他相关</w:t>
      </w:r>
      <w:r>
        <w:rPr>
          <w:rFonts w:hint="eastAsia" w:ascii="Calibri" w:hAnsi="Calibri" w:eastAsia="宋体" w:cs="Times New Roman"/>
          <w:color w:val="auto"/>
          <w:kern w:val="2"/>
          <w:sz w:val="21"/>
          <w:szCs w:val="21"/>
          <w:highlight w:val="none"/>
          <w:lang w:val="en-US" w:eastAsia="zh-CN"/>
        </w:rPr>
        <w:t>部门</w:t>
      </w:r>
      <w:r>
        <w:rPr>
          <w:rFonts w:hint="eastAsia" w:ascii="Calibri" w:hAnsi="Calibri" w:eastAsia="宋体" w:cs="Times New Roman"/>
          <w:color w:val="auto"/>
          <w:kern w:val="2"/>
          <w:sz w:val="21"/>
          <w:szCs w:val="21"/>
          <w:highlight w:val="none"/>
        </w:rPr>
        <w:t>协调工作及费用一切由</w:t>
      </w:r>
      <w:r>
        <w:rPr>
          <w:rFonts w:hint="eastAsia" w:ascii="宋体" w:hAnsi="宋体" w:cs="宋体"/>
          <w:color w:val="auto"/>
          <w:kern w:val="2"/>
          <w:sz w:val="21"/>
          <w:szCs w:val="21"/>
          <w:highlight w:val="none"/>
          <w:lang w:eastAsia="zh-CN"/>
        </w:rPr>
        <w:t>中标人</w:t>
      </w:r>
      <w:r>
        <w:rPr>
          <w:rFonts w:hint="eastAsia" w:ascii="Calibri" w:hAnsi="Calibri" w:eastAsia="宋体" w:cs="Times New Roman"/>
          <w:color w:val="auto"/>
          <w:kern w:val="2"/>
          <w:sz w:val="21"/>
          <w:szCs w:val="21"/>
          <w:highlight w:val="none"/>
        </w:rPr>
        <w:t>负责，在不增加装机容量的前提，不得</w:t>
      </w:r>
      <w:r>
        <w:rPr>
          <w:rFonts w:hint="eastAsia" w:ascii="Calibri" w:hAnsi="Calibri" w:eastAsia="宋体" w:cs="Times New Roman"/>
          <w:color w:val="auto"/>
          <w:kern w:val="2"/>
          <w:sz w:val="21"/>
          <w:szCs w:val="21"/>
          <w:highlight w:val="none"/>
          <w:lang w:val="en-US" w:eastAsia="zh-CN"/>
        </w:rPr>
        <w:t>额外</w:t>
      </w:r>
      <w:r>
        <w:rPr>
          <w:rFonts w:hint="eastAsia" w:ascii="Calibri" w:hAnsi="Calibri" w:eastAsia="宋体" w:cs="Times New Roman"/>
          <w:color w:val="auto"/>
          <w:kern w:val="2"/>
          <w:sz w:val="21"/>
          <w:szCs w:val="21"/>
          <w:highlight w:val="none"/>
        </w:rPr>
        <w:t>增加费用</w:t>
      </w:r>
      <w:r>
        <w:rPr>
          <w:rFonts w:hint="eastAsia" w:ascii="宋体" w:hAnsi="宋体" w:eastAsia="宋体" w:cs="宋体"/>
          <w:color w:val="auto"/>
          <w:kern w:val="2"/>
          <w:sz w:val="21"/>
          <w:szCs w:val="21"/>
          <w:highlight w:val="none"/>
        </w:rPr>
        <w:t>。</w:t>
      </w:r>
    </w:p>
    <w:p>
      <w:pPr>
        <w:widowControl w:val="0"/>
        <w:wordWrap w:val="0"/>
        <w:adjustRightInd/>
        <w:snapToGrid/>
        <w:spacing w:after="0" w:line="288" w:lineRule="auto"/>
        <w:ind w:firstLine="420" w:firstLineChars="200"/>
        <w:jc w:val="both"/>
        <w:rPr>
          <w:rFonts w:hint="eastAsia" w:ascii="宋体" w:hAnsi="宋体" w:eastAsia="宋体" w:cs="宋体"/>
          <w:b w:val="0"/>
          <w:bCs w:val="0"/>
          <w:color w:val="000000" w:themeColor="text1"/>
          <w:kern w:val="2"/>
          <w:sz w:val="21"/>
          <w:szCs w:val="21"/>
          <w:highlight w:val="none"/>
          <w:lang w:val="en-US" w:eastAsia="zh-CN"/>
          <w14:textFill>
            <w14:solidFill>
              <w14:schemeClr w14:val="tx1"/>
            </w14:solidFill>
          </w14:textFill>
        </w:rPr>
      </w:pPr>
    </w:p>
    <w:p>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p>
    <w:p>
      <w:pPr>
        <w:pStyle w:val="3"/>
        <w:spacing w:before="0" w:after="0" w:line="240" w:lineRule="auto"/>
        <w:rPr>
          <w:color w:val="000000" w:themeColor="text1"/>
          <w:sz w:val="24"/>
          <w:szCs w:val="24"/>
          <w:highlight w:val="none"/>
          <w14:textFill>
            <w14:solidFill>
              <w14:schemeClr w14:val="tx1"/>
            </w14:solidFill>
          </w14:textFill>
        </w:rPr>
      </w:pPr>
      <w:bookmarkStart w:id="16" w:name="_Toc5833"/>
      <w:r>
        <w:rPr>
          <w:rFonts w:hint="eastAsia"/>
          <w:color w:val="000000" w:themeColor="text1"/>
          <w:sz w:val="28"/>
          <w:szCs w:val="28"/>
          <w:highlight w:val="none"/>
          <w14:textFill>
            <w14:solidFill>
              <w14:schemeClr w14:val="tx1"/>
            </w14:solidFill>
          </w14:textFill>
        </w:rPr>
        <w:t>第四部分投标人须知</w:t>
      </w:r>
      <w:bookmarkEnd w:id="16"/>
    </w:p>
    <w:p>
      <w:pPr>
        <w:pStyle w:val="4"/>
        <w:numPr>
          <w:ilvl w:val="0"/>
          <w:numId w:val="1"/>
        </w:numPr>
        <w:spacing w:before="0" w:after="0" w:line="480" w:lineRule="auto"/>
        <w:jc w:val="center"/>
        <w:rPr>
          <w:rFonts w:ascii="宋体" w:hAnsi="宋体"/>
          <w:color w:val="000000" w:themeColor="text1"/>
          <w:highlight w:val="none"/>
          <w14:textFill>
            <w14:solidFill>
              <w14:schemeClr w14:val="tx1"/>
            </w14:solidFill>
          </w14:textFill>
        </w:rPr>
      </w:pPr>
      <w:bookmarkStart w:id="17" w:name="_Toc15408"/>
      <w:r>
        <w:rPr>
          <w:rFonts w:hint="eastAsia" w:ascii="宋体" w:hAnsi="宋体"/>
          <w:color w:val="000000" w:themeColor="text1"/>
          <w:highlight w:val="none"/>
          <w14:textFill>
            <w14:solidFill>
              <w14:schemeClr w14:val="tx1"/>
            </w14:solidFill>
          </w14:textFill>
        </w:rPr>
        <w:t>说明</w:t>
      </w:r>
      <w:bookmarkEnd w:id="17"/>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18" w:name="_Toc10233"/>
      <w:r>
        <w:rPr>
          <w:rFonts w:hint="eastAsia" w:ascii="宋体" w:hAnsi="宋体" w:cs="宋体"/>
          <w:color w:val="000000" w:themeColor="text1"/>
          <w:sz w:val="21"/>
          <w:szCs w:val="21"/>
          <w:highlight w:val="none"/>
          <w14:textFill>
            <w14:solidFill>
              <w14:schemeClr w14:val="tx1"/>
            </w14:solidFill>
          </w14:textFill>
        </w:rPr>
        <w:t>适用范围</w:t>
      </w:r>
      <w:bookmarkEnd w:id="18"/>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采购范围：见本文件《用户需求书》</w:t>
      </w:r>
    </w:p>
    <w:p>
      <w:pPr>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19" w:name="_Toc303084246"/>
      <w:bookmarkStart w:id="20" w:name="_Toc15953"/>
      <w:bookmarkStart w:id="21" w:name="_Toc1530"/>
      <w:bookmarkStart w:id="22" w:name="_Toc298847174"/>
      <w:bookmarkStart w:id="23" w:name="_Toc382049092"/>
      <w:r>
        <w:rPr>
          <w:rFonts w:hint="eastAsia" w:ascii="宋体" w:hAnsi="宋体" w:cs="宋体"/>
          <w:color w:val="000000" w:themeColor="text1"/>
          <w:sz w:val="21"/>
          <w:szCs w:val="21"/>
          <w:highlight w:val="none"/>
          <w14:textFill>
            <w14:solidFill>
              <w14:schemeClr w14:val="tx1"/>
            </w14:solidFill>
          </w14:textFill>
        </w:rPr>
        <w:t>定义</w:t>
      </w:r>
      <w:bookmarkEnd w:id="19"/>
      <w:bookmarkEnd w:id="20"/>
      <w:bookmarkEnd w:id="21"/>
      <w:bookmarkEnd w:id="22"/>
      <w:bookmarkEnd w:id="23"/>
    </w:p>
    <w:p>
      <w:pPr>
        <w:pStyle w:val="39"/>
        <w:widowControl w:val="0"/>
        <w:adjustRightInd/>
        <w:snapToGrid/>
        <w:ind w:left="425"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采购人：见投标邀请书。</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投标人：响应采购并且符合采购文件规定资格条件和参加投标竞争的法人、其他组织或者自然人。</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法人：法人是依法在国内进行注册并具有民事权利能力和民事行为能力，依法独立享有民事权利和承担民事义务的组织。</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中标人：指经评标委员会评审推荐、采购人确认的获得本项目中标资格的投标人。</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采购代理机构：见投标邀请书。</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评标委员会：评标委员会是依据相关规定组建的专门负责本次采购其评标工作的临时性机构。</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合同：指由本次采购所产生的合同或合约文件。</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时间：本文件规定按日计算期间的，开始当天不计入，从次日开始计算。期限的最后一日是国家法定节假日的，顺延到节假日后的次日为期限的最后一日。</w:t>
      </w:r>
    </w:p>
    <w:p>
      <w:pPr>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24" w:name="_Toc25894"/>
      <w:r>
        <w:rPr>
          <w:rFonts w:hint="eastAsia" w:ascii="宋体" w:hAnsi="宋体" w:cs="宋体"/>
          <w:color w:val="000000" w:themeColor="text1"/>
          <w:sz w:val="21"/>
          <w:szCs w:val="21"/>
          <w:highlight w:val="none"/>
          <w14:textFill>
            <w14:solidFill>
              <w14:schemeClr w14:val="tx1"/>
            </w14:solidFill>
          </w14:textFill>
        </w:rPr>
        <w:t>货物和服务</w:t>
      </w:r>
      <w:bookmarkEnd w:id="24"/>
    </w:p>
    <w:p>
      <w:pPr>
        <w:pStyle w:val="39"/>
        <w:widowControl w:val="0"/>
        <w:adjustRightInd/>
        <w:snapToGrid/>
        <w:ind w:left="425"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货物是指各种形态和种类的物品，包括原材料、燃料、设备、产品等。</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服务是指除货物和工程以外的其他采购对象。</w:t>
      </w:r>
    </w:p>
    <w:p>
      <w:pPr>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25" w:name="_Toc3646"/>
      <w:r>
        <w:rPr>
          <w:rFonts w:hint="eastAsia" w:ascii="宋体" w:hAnsi="宋体" w:cs="宋体"/>
          <w:color w:val="000000" w:themeColor="text1"/>
          <w:sz w:val="21"/>
          <w:szCs w:val="21"/>
          <w:highlight w:val="none"/>
          <w14:textFill>
            <w14:solidFill>
              <w14:schemeClr w14:val="tx1"/>
            </w14:solidFill>
          </w14:textFill>
        </w:rPr>
        <w:t>投标费用</w:t>
      </w:r>
      <w:bookmarkEnd w:id="25"/>
    </w:p>
    <w:p>
      <w:pPr>
        <w:pStyle w:val="39"/>
        <w:widowControl w:val="0"/>
        <w:adjustRightInd/>
        <w:snapToGrid/>
        <w:ind w:left="425"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投标人应承担所有与编写投标文件和参加投标有关的自身的所有费用，不论投标的结果如何，采购代理机构和采购人在任何情况下均无义务和责任承担这些费用。</w:t>
      </w:r>
    </w:p>
    <w:p>
      <w:pPr>
        <w:widowControl w:val="0"/>
        <w:adjustRightInd/>
        <w:snapToGrid/>
        <w:jc w:val="both"/>
        <w:rPr>
          <w:rFonts w:ascii="宋体" w:hAnsi="宋体" w:cs="宋体"/>
          <w:color w:val="000000" w:themeColor="text1"/>
          <w:szCs w:val="2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26" w:name="_Toc26779"/>
      <w:r>
        <w:rPr>
          <w:rFonts w:hint="eastAsia" w:ascii="宋体" w:hAnsi="宋体" w:cs="宋体"/>
          <w:color w:val="000000" w:themeColor="text1"/>
          <w:sz w:val="21"/>
          <w:szCs w:val="21"/>
          <w:highlight w:val="none"/>
          <w14:textFill>
            <w14:solidFill>
              <w14:schemeClr w14:val="tx1"/>
            </w14:solidFill>
          </w14:textFill>
        </w:rPr>
        <w:t>知识产权</w:t>
      </w:r>
      <w:bookmarkEnd w:id="26"/>
    </w:p>
    <w:p>
      <w:pPr>
        <w:pStyle w:val="39"/>
        <w:widowControl w:val="0"/>
        <w:adjustRightInd/>
        <w:snapToGrid/>
        <w:ind w:left="425"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采购人享有本项目实施过程中产生的知识成果及知识产权。</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采购货物为计算机办公设备时，投标人提供的产品必须是预装正版操作系统软件的计算机产品。</w:t>
      </w:r>
    </w:p>
    <w:p>
      <w:pPr>
        <w:widowControl w:val="0"/>
        <w:adjustRightInd/>
        <w:snapToGrid/>
        <w:ind w:left="567"/>
        <w:jc w:val="both"/>
        <w:rPr>
          <w:rFonts w:ascii="宋体" w:hAnsi="宋体" w:cs="宋体"/>
          <w:color w:val="000000" w:themeColor="text1"/>
          <w:szCs w:val="2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27" w:name="_Toc3398"/>
      <w:r>
        <w:rPr>
          <w:rFonts w:hint="eastAsia" w:ascii="宋体" w:hAnsi="宋体" w:cs="宋体"/>
          <w:color w:val="000000" w:themeColor="text1"/>
          <w:sz w:val="21"/>
          <w:szCs w:val="21"/>
          <w:highlight w:val="none"/>
          <w14:textFill>
            <w14:solidFill>
              <w14:schemeClr w14:val="tx1"/>
            </w14:solidFill>
          </w14:textFill>
        </w:rPr>
        <w:t>关于联合体投标</w:t>
      </w:r>
      <w:bookmarkEnd w:id="27"/>
    </w:p>
    <w:p>
      <w:pPr>
        <w:pStyle w:val="39"/>
        <w:widowControl w:val="0"/>
        <w:adjustRightInd/>
        <w:snapToGrid/>
        <w:ind w:left="425"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对接受联合体投标的项目：两个以上的自然人、法人或者其他组织可以组成一个联合体，以一个投标人的身份共同参加采购活动。</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以联合体形式参与项目的供应商在领购采购文件时，应提供所有联合体组成成员的营业执照复印件，并加盖各联合体组成成员的公章。</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联合体各方均应具有独立承担民事责任能力的法人或其他组织。</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采购文件对投标人资格条件有规定的，联合体各方均应当具备规定的相应资格条件。由同一专业的单位组成的联合体，按照资质等级较低的单位确定资质等级。</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供应商为联合体的，可以由联合体中的任意一方交纳保证金，其交纳的保证金对联合体各方均具有约束力。</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除联合体协议明确授权盖章单位外，联合体投标时投标文件中所有要求盖章的地方均须加盖联合体所有组成成员的公章，否则该处盖章无效。</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ind w:left="567"/>
        <w:jc w:val="both"/>
        <w:rPr>
          <w:rFonts w:ascii="宋体" w:hAnsi="宋体" w:cs="宋体"/>
          <w:color w:val="000000" w:themeColor="text1"/>
          <w:szCs w:val="2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28" w:name="_Toc9716"/>
      <w:r>
        <w:rPr>
          <w:rFonts w:hint="eastAsia" w:ascii="宋体" w:hAnsi="宋体" w:cs="宋体"/>
          <w:color w:val="000000" w:themeColor="text1"/>
          <w:sz w:val="21"/>
          <w:szCs w:val="21"/>
          <w:highlight w:val="none"/>
          <w14:textFill>
            <w14:solidFill>
              <w14:schemeClr w14:val="tx1"/>
            </w14:solidFill>
          </w14:textFill>
        </w:rPr>
        <w:t>关于分支机构投标</w:t>
      </w:r>
      <w:bookmarkEnd w:id="28"/>
    </w:p>
    <w:p>
      <w:pPr>
        <w:pStyle w:val="39"/>
        <w:widowControl w:val="0"/>
        <w:adjustRightInd/>
        <w:snapToGrid/>
        <w:ind w:left="425" w:firstLineChars="0"/>
        <w:jc w:val="both"/>
        <w:rPr>
          <w:rFonts w:ascii="宋体" w:hAnsi="宋体" w:cs="宋体"/>
          <w:vanish/>
          <w:color w:val="000000" w:themeColor="text1"/>
          <w:szCs w:val="21"/>
          <w:highlight w:val="none"/>
          <w14:textFill>
            <w14:solidFill>
              <w14:schemeClr w14:val="tx1"/>
            </w14:solidFill>
          </w14:textFill>
        </w:rPr>
      </w:pPr>
      <w:bookmarkStart w:id="29" w:name="EB389f116341dd4693875bc7987e7327f3"/>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9"/>
    </w:p>
    <w:p>
      <w:pPr>
        <w:widowControl w:val="0"/>
        <w:adjustRightInd/>
        <w:snapToGrid/>
        <w:ind w:left="567"/>
        <w:jc w:val="both"/>
        <w:rPr>
          <w:rFonts w:ascii="宋体" w:hAnsi="宋体" w:cs="宋体"/>
          <w:color w:val="000000" w:themeColor="text1"/>
          <w:szCs w:val="2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30" w:name="_Toc8711"/>
      <w:r>
        <w:rPr>
          <w:rFonts w:hint="eastAsia" w:ascii="宋体" w:hAnsi="宋体" w:cs="宋体"/>
          <w:color w:val="000000" w:themeColor="text1"/>
          <w:sz w:val="21"/>
          <w:szCs w:val="21"/>
          <w:highlight w:val="none"/>
          <w14:textFill>
            <w14:solidFill>
              <w14:schemeClr w14:val="tx1"/>
            </w14:solidFill>
          </w14:textFill>
        </w:rPr>
        <w:t>踏勘现场</w:t>
      </w:r>
      <w:bookmarkEnd w:id="30"/>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《投标资料表》规定组织踏勘现场的，采购人按《投标资料表》规定的时间、地点组织响应人踏勘项目现场；</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响应人踏勘现场发生的费用自理；</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除采购人的原因外，响应人自行负责在踏勘现场中所发生的人员伤亡和财产损失；</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采购人在踏勘现场中介绍的实施地点和相关的周边环境情况，供响应人在编制响应文件时参考，采购人不对响应人据此作出的判断和决策负责；</w:t>
      </w:r>
    </w:p>
    <w:p>
      <w:pPr>
        <w:rPr>
          <w:rFonts w:ascii="宋体" w:hAnsi="宋体" w:cs="宋体"/>
          <w:color w:val="000000" w:themeColor="text1"/>
          <w:highlight w:val="none"/>
          <w14:textFill>
            <w14:solidFill>
              <w14:schemeClr w14:val="tx1"/>
            </w14:solidFill>
          </w14:textFill>
        </w:rPr>
      </w:pPr>
    </w:p>
    <w:p>
      <w:pPr>
        <w:pStyle w:val="4"/>
        <w:numPr>
          <w:ilvl w:val="0"/>
          <w:numId w:val="1"/>
        </w:numPr>
        <w:spacing w:before="0" w:after="0" w:line="360" w:lineRule="auto"/>
        <w:jc w:val="center"/>
        <w:rPr>
          <w:rFonts w:ascii="宋体" w:hAnsi="宋体" w:cs="宋体"/>
          <w:color w:val="000000" w:themeColor="text1"/>
          <w:highlight w:val="none"/>
          <w14:textFill>
            <w14:solidFill>
              <w14:schemeClr w14:val="tx1"/>
            </w14:solidFill>
          </w14:textFill>
        </w:rPr>
      </w:pPr>
      <w:bookmarkStart w:id="31" w:name="_Toc3302"/>
      <w:r>
        <w:rPr>
          <w:rFonts w:hint="eastAsia" w:ascii="宋体" w:hAnsi="宋体" w:cs="宋体"/>
          <w:color w:val="000000" w:themeColor="text1"/>
          <w:highlight w:val="none"/>
          <w14:textFill>
            <w14:solidFill>
              <w14:schemeClr w14:val="tx1"/>
            </w14:solidFill>
          </w14:textFill>
        </w:rPr>
        <w:t>采购文件</w:t>
      </w:r>
      <w:bookmarkEnd w:id="31"/>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32" w:name="_Toc23219"/>
      <w:r>
        <w:rPr>
          <w:rFonts w:hint="eastAsia" w:ascii="宋体" w:hAnsi="宋体" w:cs="宋体"/>
          <w:color w:val="000000" w:themeColor="text1"/>
          <w:sz w:val="21"/>
          <w:szCs w:val="21"/>
          <w:highlight w:val="none"/>
          <w14:textFill>
            <w14:solidFill>
              <w14:schemeClr w14:val="tx1"/>
            </w14:solidFill>
          </w14:textFill>
        </w:rPr>
        <w:t>采购文件的组成</w:t>
      </w:r>
      <w:bookmarkEnd w:id="32"/>
    </w:p>
    <w:p>
      <w:pPr>
        <w:pStyle w:val="39"/>
        <w:widowControl w:val="0"/>
        <w:numPr>
          <w:ilvl w:val="0"/>
          <w:numId w:val="3"/>
        </w:numPr>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采购文件包括：</w:t>
      </w:r>
    </w:p>
    <w:p>
      <w:pPr>
        <w:widowControl w:val="0"/>
        <w:numPr>
          <w:ilvl w:val="0"/>
          <w:numId w:val="0"/>
        </w:numPr>
        <w:overflowPunct w:val="0"/>
        <w:ind w:left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（1）投标邀请书；</w:t>
      </w:r>
    </w:p>
    <w:p>
      <w:pPr>
        <w:widowControl w:val="0"/>
        <w:numPr>
          <w:ilvl w:val="0"/>
          <w:numId w:val="0"/>
        </w:numPr>
        <w:overflowPunct w:val="0"/>
        <w:ind w:left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（2）投标资料表；</w:t>
      </w:r>
    </w:p>
    <w:p>
      <w:pPr>
        <w:widowControl w:val="0"/>
        <w:numPr>
          <w:ilvl w:val="0"/>
          <w:numId w:val="0"/>
        </w:numPr>
        <w:overflowPunct w:val="0"/>
        <w:ind w:left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（3）用户需求书；</w:t>
      </w:r>
    </w:p>
    <w:p>
      <w:pPr>
        <w:widowControl w:val="0"/>
        <w:numPr>
          <w:ilvl w:val="0"/>
          <w:numId w:val="0"/>
        </w:numPr>
        <w:overflowPunct w:val="0"/>
        <w:ind w:left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（4）投标人须知；</w:t>
      </w:r>
    </w:p>
    <w:p>
      <w:pPr>
        <w:widowControl w:val="0"/>
        <w:numPr>
          <w:ilvl w:val="0"/>
          <w:numId w:val="0"/>
        </w:numPr>
        <w:overflowPunct w:val="0"/>
        <w:ind w:left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（5）拟签订的合同文本；</w:t>
      </w:r>
    </w:p>
    <w:p>
      <w:pPr>
        <w:widowControl w:val="0"/>
        <w:numPr>
          <w:ilvl w:val="0"/>
          <w:numId w:val="0"/>
        </w:numPr>
        <w:overflowPunct w:val="0"/>
        <w:ind w:left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（6）投标文件格式；</w:t>
      </w:r>
    </w:p>
    <w:p>
      <w:pPr>
        <w:widowControl w:val="0"/>
        <w:numPr>
          <w:ilvl w:val="0"/>
          <w:numId w:val="0"/>
        </w:numPr>
        <w:overflowPunct w:val="0"/>
        <w:ind w:leftChars="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（7）在采购过程中由采购代理机构发出的澄清更正文件等。</w:t>
      </w:r>
    </w:p>
    <w:p>
      <w:pPr>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33" w:name="_Toc765"/>
      <w:r>
        <w:rPr>
          <w:rFonts w:hint="eastAsia" w:ascii="宋体" w:hAnsi="宋体" w:cs="宋体"/>
          <w:color w:val="000000" w:themeColor="text1"/>
          <w:sz w:val="21"/>
          <w:szCs w:val="21"/>
          <w:highlight w:val="none"/>
          <w14:textFill>
            <w14:solidFill>
              <w14:schemeClr w14:val="tx1"/>
            </w14:solidFill>
          </w14:textFill>
        </w:rPr>
        <w:t>采购文件的澄清或修改</w:t>
      </w:r>
      <w:bookmarkEnd w:id="33"/>
    </w:p>
    <w:p>
      <w:pPr>
        <w:pStyle w:val="39"/>
        <w:widowControl w:val="0"/>
        <w:numPr>
          <w:ilvl w:val="0"/>
          <w:numId w:val="3"/>
        </w:numPr>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pPr>
        <w:widowControl w:val="0"/>
        <w:numPr>
          <w:ilvl w:val="1"/>
          <w:numId w:val="2"/>
        </w:numPr>
        <w:overflowPunct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采购期间，投标人有义务上网查看，公告一经上网发布，即视为送达。因投标人未及时上网查看而造成的所有后果，由投标人自行承担。</w:t>
      </w:r>
    </w:p>
    <w:p>
      <w:pPr>
        <w:widowControl w:val="0"/>
        <w:adjustRightInd/>
        <w:snapToGrid/>
        <w:ind w:left="567"/>
        <w:jc w:val="both"/>
        <w:rPr>
          <w:rFonts w:ascii="宋体" w:hAnsi="宋体" w:cs="宋体"/>
          <w:color w:val="000000" w:themeColor="text1"/>
          <w:szCs w:val="21"/>
          <w:highlight w:val="none"/>
          <w14:textFill>
            <w14:solidFill>
              <w14:schemeClr w14:val="tx1"/>
            </w14:solidFill>
          </w14:textFill>
        </w:rPr>
      </w:pPr>
    </w:p>
    <w:p>
      <w:pPr>
        <w:pStyle w:val="4"/>
        <w:numPr>
          <w:ilvl w:val="0"/>
          <w:numId w:val="1"/>
        </w:numPr>
        <w:spacing w:before="0" w:after="0" w:line="360" w:lineRule="auto"/>
        <w:jc w:val="center"/>
        <w:rPr>
          <w:rFonts w:ascii="宋体" w:hAnsi="宋体" w:cs="宋体"/>
          <w:color w:val="000000" w:themeColor="text1"/>
          <w:highlight w:val="none"/>
          <w14:textFill>
            <w14:solidFill>
              <w14:schemeClr w14:val="tx1"/>
            </w14:solidFill>
          </w14:textFill>
        </w:rPr>
      </w:pPr>
      <w:bookmarkStart w:id="34" w:name="_Toc24125"/>
      <w:r>
        <w:rPr>
          <w:rFonts w:hint="eastAsia" w:ascii="宋体" w:hAnsi="宋体" w:cs="宋体"/>
          <w:color w:val="000000" w:themeColor="text1"/>
          <w:highlight w:val="none"/>
          <w14:textFill>
            <w14:solidFill>
              <w14:schemeClr w14:val="tx1"/>
            </w14:solidFill>
          </w14:textFill>
        </w:rPr>
        <w:t>投标文件的编制</w:t>
      </w:r>
      <w:bookmarkEnd w:id="34"/>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35" w:name="_Toc29844"/>
      <w:r>
        <w:rPr>
          <w:rFonts w:hint="eastAsia" w:ascii="宋体" w:hAnsi="宋体" w:cs="宋体"/>
          <w:color w:val="000000" w:themeColor="text1"/>
          <w:sz w:val="21"/>
          <w:szCs w:val="21"/>
          <w:highlight w:val="none"/>
          <w14:textFill>
            <w14:solidFill>
              <w14:schemeClr w14:val="tx1"/>
            </w14:solidFill>
          </w14:textFill>
        </w:rPr>
        <w:t>投标文件的语言及度量衡单位</w:t>
      </w:r>
      <w:bookmarkEnd w:id="35"/>
    </w:p>
    <w:p>
      <w:pPr>
        <w:pStyle w:val="39"/>
        <w:widowControl w:val="0"/>
        <w:numPr>
          <w:ilvl w:val="0"/>
          <w:numId w:val="3"/>
        </w:numPr>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除非采购文件在技术规格中另有规定，投标人在投标文件中及其与采购代理机构和采购人所有往来文件中的所有计量单位均应采用中华人民共和国法定计量单位。</w:t>
      </w:r>
    </w:p>
    <w:p>
      <w:pPr>
        <w:widowControl w:val="0"/>
        <w:adjustRightInd/>
        <w:snapToGrid/>
        <w:ind w:left="567"/>
        <w:jc w:val="both"/>
        <w:rPr>
          <w:rFonts w:ascii="宋体" w:hAnsi="宋体" w:cs="宋体"/>
          <w:color w:val="000000" w:themeColor="text1"/>
          <w:szCs w:val="2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36" w:name="_Toc28866"/>
      <w:bookmarkStart w:id="37" w:name="_Toc303084256"/>
      <w:bookmarkStart w:id="38" w:name="_Toc382049103"/>
      <w:bookmarkStart w:id="39" w:name="_Toc3072"/>
      <w:bookmarkStart w:id="40" w:name="_Toc307934854"/>
      <w:r>
        <w:rPr>
          <w:rFonts w:hint="eastAsia" w:ascii="宋体" w:hAnsi="宋体" w:cs="宋体"/>
          <w:color w:val="000000" w:themeColor="text1"/>
          <w:sz w:val="21"/>
          <w:szCs w:val="21"/>
          <w:highlight w:val="none"/>
          <w14:textFill>
            <w14:solidFill>
              <w14:schemeClr w14:val="tx1"/>
            </w14:solidFill>
          </w14:textFill>
        </w:rPr>
        <w:t>投标文件的组成</w:t>
      </w:r>
      <w:bookmarkEnd w:id="36"/>
      <w:bookmarkEnd w:id="37"/>
      <w:bookmarkEnd w:id="38"/>
      <w:bookmarkEnd w:id="39"/>
      <w:bookmarkEnd w:id="40"/>
    </w:p>
    <w:p>
      <w:pPr>
        <w:pStyle w:val="39"/>
        <w:widowControl w:val="0"/>
        <w:numPr>
          <w:ilvl w:val="0"/>
          <w:numId w:val="3"/>
        </w:numPr>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包括但不限于采购文件附件格式中要求提供的表格。</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上述文件须按顺序装订成册，并编制投标文件目录。除上述文件资料外投标人还须按投标人须知的要求制作“唱标信封”。“唱标信封”作为投标文件的一部分，但须单独密封。</w:t>
      </w:r>
    </w:p>
    <w:p>
      <w:pPr>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41" w:name="_Toc32344"/>
      <w:r>
        <w:rPr>
          <w:rFonts w:hint="eastAsia" w:ascii="宋体" w:hAnsi="宋体" w:cs="宋体"/>
          <w:color w:val="000000" w:themeColor="text1"/>
          <w:sz w:val="21"/>
          <w:szCs w:val="21"/>
          <w:highlight w:val="none"/>
          <w14:textFill>
            <w14:solidFill>
              <w14:schemeClr w14:val="tx1"/>
            </w14:solidFill>
          </w14:textFill>
        </w:rPr>
        <w:t>投标文件编制</w:t>
      </w:r>
      <w:bookmarkEnd w:id="41"/>
    </w:p>
    <w:p>
      <w:pPr>
        <w:pStyle w:val="39"/>
        <w:widowControl w:val="0"/>
        <w:numPr>
          <w:ilvl w:val="0"/>
          <w:numId w:val="3"/>
        </w:numPr>
        <w:adjustRightInd/>
        <w:snapToGrid/>
        <w:ind w:firstLineChars="0"/>
        <w:jc w:val="both"/>
        <w:rPr>
          <w:rFonts w:ascii="宋体" w:hAnsi="宋体" w:cs="宋体"/>
          <w:vanish/>
          <w:color w:val="000000" w:themeColor="text1"/>
          <w:szCs w:val="21"/>
          <w:highlight w:val="none"/>
          <w14:textFill>
            <w14:solidFill>
              <w14:schemeClr w14:val="tx1"/>
            </w14:solidFill>
          </w14:textFill>
        </w:rPr>
      </w:pPr>
      <w:bookmarkStart w:id="42" w:name="_Toc303084258"/>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因投标文件编制存在歧义对投标人产生负面影响的，投标人自行承担后果。</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投标单位名称与投标人公章不一致，若投标单位名称已进行变更，应在投标文件中提供相应的证明材料并加盖公章，否则投标文件无效。</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投标文件密封、标记及内容与本项目采购信息不符，导致无法分辨所投项目为本项目的，投标文件无效。</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投标人须客观撰写投标人简介（格式自理，并提供相关证明）以及所投的产品或服务说明。</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投标文件若出现以下内容，经评标委员会认定有可能间接影响评审秩序，作废标处理。</w:t>
      </w:r>
    </w:p>
    <w:p>
      <w:pPr>
        <w:pStyle w:val="39"/>
        <w:widowControl w:val="0"/>
        <w:numPr>
          <w:ilvl w:val="0"/>
          <w:numId w:val="4"/>
        </w:numPr>
        <w:adjustRightInd/>
        <w:snapToGrid/>
        <w:ind w:firstLineChars="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投标文件内出现无官方证明文件的行业地域排名或使用“国家级”、“最高级”、“最佳”等用语字眼的。</w:t>
      </w:r>
    </w:p>
    <w:p>
      <w:pPr>
        <w:pStyle w:val="39"/>
        <w:widowControl w:val="0"/>
        <w:numPr>
          <w:ilvl w:val="0"/>
          <w:numId w:val="4"/>
        </w:numPr>
        <w:adjustRightInd/>
        <w:snapToGrid/>
        <w:ind w:firstLineChars="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投标文件内出现恶意诋毁、贬低其他生产经营者的商品或者服务的内容。</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有下列情形之一的，视为投标人串通投标，其投标无效：</w:t>
      </w:r>
    </w:p>
    <w:p>
      <w:pPr>
        <w:widowControl w:val="0"/>
        <w:adjustRightInd/>
        <w:snapToGrid/>
        <w:ind w:firstLine="420" w:firstLineChars="2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（1）不同投标人的投标文件由同一单位或者个人编制；</w:t>
      </w:r>
    </w:p>
    <w:p>
      <w:pPr>
        <w:widowControl w:val="0"/>
        <w:adjustRightInd/>
        <w:snapToGrid/>
        <w:ind w:firstLine="420" w:firstLineChars="2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（2）不同投标人委托同一单位或者个人办理投标事宜；</w:t>
      </w:r>
    </w:p>
    <w:p>
      <w:pPr>
        <w:widowControl w:val="0"/>
        <w:adjustRightInd/>
        <w:snapToGrid/>
        <w:ind w:firstLine="420" w:firstLineChars="2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（3）不同投标人的投标文件载明的项目管理成员或者联系人员为同一人；</w:t>
      </w:r>
    </w:p>
    <w:p>
      <w:pPr>
        <w:widowControl w:val="0"/>
        <w:adjustRightInd/>
        <w:snapToGrid/>
        <w:ind w:firstLine="420" w:firstLineChars="2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（4）不同投标人的投标文件异常一致或者投标报价呈规律性差异；</w:t>
      </w:r>
    </w:p>
    <w:p>
      <w:pPr>
        <w:widowControl w:val="0"/>
        <w:adjustRightInd/>
        <w:snapToGrid/>
        <w:ind w:firstLine="420" w:firstLineChars="2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（5）不同投标人的投标文件相互混装；</w:t>
      </w:r>
    </w:p>
    <w:p>
      <w:pPr>
        <w:widowControl w:val="0"/>
        <w:adjustRightInd/>
        <w:snapToGrid/>
        <w:ind w:firstLine="420" w:firstLineChars="2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（6）不同投标人的投标保证金从同一单位或者个人的账户转出。</w:t>
      </w:r>
    </w:p>
    <w:bookmarkEnd w:id="42"/>
    <w:p>
      <w:pPr>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43" w:name="_Toc26026"/>
      <w:r>
        <w:rPr>
          <w:rFonts w:hint="eastAsia" w:ascii="宋体" w:hAnsi="宋体" w:cs="宋体"/>
          <w:color w:val="000000" w:themeColor="text1"/>
          <w:sz w:val="21"/>
          <w:szCs w:val="21"/>
          <w:highlight w:val="none"/>
          <w14:textFill>
            <w14:solidFill>
              <w14:schemeClr w14:val="tx1"/>
            </w14:solidFill>
          </w14:textFill>
        </w:rPr>
        <w:t>投标报价说明</w:t>
      </w:r>
      <w:bookmarkEnd w:id="43"/>
    </w:p>
    <w:p>
      <w:pPr>
        <w:pStyle w:val="39"/>
        <w:widowControl w:val="0"/>
        <w:numPr>
          <w:ilvl w:val="0"/>
          <w:numId w:val="3"/>
        </w:numPr>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本次采购，投标人应按用户需求中的要求进行投标报价，少报无效。</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投标人所提供的货物或服务均以人民币（或相关费率）报价。</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投标报价应包含完成本次采购所有服务内容的费用，包含各种税务费及合同实施过程中的全部费用和售后服务费等。</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中标后开出的所有发票必须与中标人的名称一致。</w:t>
      </w:r>
    </w:p>
    <w:p>
      <w:pPr>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44" w:name="_Toc31762"/>
      <w:r>
        <w:rPr>
          <w:rFonts w:hint="eastAsia" w:ascii="宋体" w:hAnsi="宋体" w:cs="宋体"/>
          <w:color w:val="000000" w:themeColor="text1"/>
          <w:sz w:val="21"/>
          <w:szCs w:val="21"/>
          <w:highlight w:val="none"/>
          <w14:textFill>
            <w14:solidFill>
              <w14:schemeClr w14:val="tx1"/>
            </w14:solidFill>
          </w14:textFill>
        </w:rPr>
        <w:t>投标人所提供的服务或货物的证明文件</w:t>
      </w:r>
      <w:bookmarkEnd w:id="44"/>
    </w:p>
    <w:p>
      <w:pPr>
        <w:pStyle w:val="39"/>
        <w:widowControl w:val="0"/>
        <w:numPr>
          <w:ilvl w:val="0"/>
          <w:numId w:val="3"/>
        </w:numPr>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bookmarkStart w:id="45" w:name="_Hlt107925638"/>
      <w:bookmarkEnd w:id="45"/>
      <w:bookmarkStart w:id="46" w:name="_Hlt107925668"/>
      <w:bookmarkEnd w:id="46"/>
      <w:r>
        <w:rPr>
          <w:rFonts w:hint="eastAsia" w:ascii="宋体" w:hAnsi="宋体" w:cs="宋体"/>
          <w:color w:val="000000" w:themeColor="text1"/>
          <w:szCs w:val="21"/>
          <w:highlight w:val="none"/>
          <w14:textFill>
            <w14:solidFill>
              <w14:schemeClr w14:val="tx1"/>
            </w14:solidFill>
          </w14:textFill>
        </w:rPr>
        <w:t>证明服务或货物的文件，它可以是文字资料、图纸和数据包括但不限于：服务主要内容、标准、质量、人员资质、计划安排、报告审核等的详细说明；对采购文件第三部分《用户需求书》中规定的要求进行详细应答和说明。</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有下列情形之一的，视为投标人弄虚作假，其投标无效：</w:t>
      </w:r>
    </w:p>
    <w:p>
      <w:pPr>
        <w:pStyle w:val="39"/>
        <w:widowControl w:val="0"/>
        <w:adjustRightInd/>
        <w:snapToGrid/>
        <w:ind w:left="425" w:firstLine="0" w:firstLineChars="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1、使用通过受让或者租借等方式获取的资格、资质证书投标的，属于以他人名义投标。</w:t>
      </w:r>
    </w:p>
    <w:p>
      <w:pPr>
        <w:pStyle w:val="39"/>
        <w:widowControl w:val="0"/>
        <w:adjustRightInd/>
        <w:snapToGrid/>
        <w:ind w:left="425" w:firstLine="0" w:firstLineChars="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2、投标人有下列情形之一的，属于以其他方式弄虚作假的行为：</w:t>
      </w:r>
    </w:p>
    <w:p>
      <w:pPr>
        <w:pStyle w:val="39"/>
        <w:widowControl w:val="0"/>
        <w:adjustRightInd/>
        <w:snapToGrid/>
        <w:ind w:left="425" w:firstLine="0" w:firstLineChars="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（1）使用伪造、变造的许可证件；</w:t>
      </w:r>
    </w:p>
    <w:p>
      <w:pPr>
        <w:pStyle w:val="39"/>
        <w:widowControl w:val="0"/>
        <w:adjustRightInd/>
        <w:snapToGrid/>
        <w:ind w:left="425" w:firstLine="0" w:firstLineChars="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（2）提供虚假的财务状况或者业绩；</w:t>
      </w:r>
    </w:p>
    <w:p>
      <w:pPr>
        <w:pStyle w:val="39"/>
        <w:widowControl w:val="0"/>
        <w:adjustRightInd/>
        <w:snapToGrid/>
        <w:ind w:left="425" w:firstLine="0" w:firstLineChars="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（3）提供虚假的项目负责人或者主要技术人员简历、劳动关系证明；</w:t>
      </w:r>
    </w:p>
    <w:p>
      <w:pPr>
        <w:pStyle w:val="39"/>
        <w:widowControl w:val="0"/>
        <w:adjustRightInd/>
        <w:snapToGrid/>
        <w:ind w:left="425" w:firstLine="0" w:firstLineChars="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（4）提供虚假的信用状况；</w:t>
      </w:r>
    </w:p>
    <w:p>
      <w:pPr>
        <w:pStyle w:val="39"/>
        <w:widowControl w:val="0"/>
        <w:adjustRightInd/>
        <w:snapToGrid/>
        <w:ind w:left="425" w:firstLine="0" w:firstLineChars="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（5）其他弄虚作假的行为。</w:t>
      </w: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47" w:name="_Toc32111"/>
      <w:r>
        <w:rPr>
          <w:rFonts w:hint="eastAsia" w:ascii="宋体" w:hAnsi="宋体" w:cs="宋体"/>
          <w:color w:val="000000" w:themeColor="text1"/>
          <w:sz w:val="21"/>
          <w:szCs w:val="21"/>
          <w:highlight w:val="none"/>
          <w14:textFill>
            <w14:solidFill>
              <w14:schemeClr w14:val="tx1"/>
            </w14:solidFill>
          </w14:textFill>
        </w:rPr>
        <w:t>投标有效期</w:t>
      </w:r>
      <w:bookmarkEnd w:id="47"/>
    </w:p>
    <w:p>
      <w:pPr>
        <w:pStyle w:val="39"/>
        <w:widowControl w:val="0"/>
        <w:numPr>
          <w:ilvl w:val="0"/>
          <w:numId w:val="3"/>
        </w:numPr>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投标文件应根据投标人须知的规定在投标截止日后的90天内保持有效。</w:t>
      </w:r>
    </w:p>
    <w:p>
      <w:pPr>
        <w:widowControl w:val="0"/>
        <w:adjustRightInd/>
        <w:snapToGrid/>
        <w:ind w:left="567"/>
        <w:jc w:val="both"/>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48" w:name="_Toc28301"/>
      <w:r>
        <w:rPr>
          <w:rFonts w:hint="eastAsia" w:ascii="宋体" w:hAnsi="宋体" w:cs="宋体"/>
          <w:color w:val="000000" w:themeColor="text1"/>
          <w:sz w:val="21"/>
          <w:szCs w:val="21"/>
          <w:highlight w:val="none"/>
          <w14:textFill>
            <w14:solidFill>
              <w14:schemeClr w14:val="tx1"/>
            </w14:solidFill>
          </w14:textFill>
        </w:rPr>
        <w:t>投标保证金</w:t>
      </w:r>
      <w:bookmarkEnd w:id="48"/>
    </w:p>
    <w:p>
      <w:pPr>
        <w:pStyle w:val="39"/>
        <w:widowControl w:val="0"/>
        <w:numPr>
          <w:ilvl w:val="0"/>
          <w:numId w:val="3"/>
        </w:numPr>
        <w:adjustRightInd/>
        <w:snapToGrid/>
        <w:ind w:firstLineChars="0"/>
        <w:jc w:val="both"/>
        <w:rPr>
          <w:rFonts w:ascii="宋体" w:hAnsi="宋体" w:cs="宋体"/>
          <w:vanish/>
          <w:color w:val="000000" w:themeColor="text1"/>
          <w:szCs w:val="21"/>
          <w:highlight w:val="none"/>
          <w14:textFill>
            <w14:solidFill>
              <w14:schemeClr w14:val="tx1"/>
            </w14:solidFill>
          </w14:textFill>
        </w:rPr>
      </w:pPr>
      <w:bookmarkStart w:id="49" w:name="_Ref179619405"/>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投标人应在投标文件递交截止前提交相应的投标保证金，并作为其投标的一部分。</w:t>
      </w:r>
      <w:bookmarkEnd w:id="49"/>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投标保证金是为了保护采购代理机构和采购人免遭因投标人的行为而蒙受的损失。采购代理机构和采购人在因投标人的行为受到损害时可根据本须知（17.7）的规定没收投标人的投标保证金。</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凡没有根据本须知（17.1和17.3）的规定随附有效的投标保证金的投标，将被视为非响应性投标予以拒绝。</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投标保证金有效期应当与投标有效期一致。采购人如果按照采购文件另外规定延长了投标文件有效期，则投标担保的有效期也相应延长。</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中标人在签订采购合同并按采购文件第（33）条规定提交履约担保金后，携带退保证金声明函、投标保证金汇款单复印件（加盖公章）和合同正本到采购人处办理投标保证金（无息）退回手续。</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下列任何情况发生时，投标保证金将不予退还：</w:t>
      </w:r>
    </w:p>
    <w:p>
      <w:pPr>
        <w:widowControl w:val="0"/>
        <w:adjustRightInd/>
        <w:snapToGrid/>
        <w:ind w:left="540" w:leftChars="257"/>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（1）投标人在采购文件中规定的投标有效期内撤回其投标；</w:t>
      </w:r>
    </w:p>
    <w:p>
      <w:pPr>
        <w:widowControl w:val="0"/>
        <w:adjustRightInd/>
        <w:snapToGrid/>
        <w:ind w:left="540" w:leftChars="257"/>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（2）中标人无正当理由不与采购人订立合同，在签订合同时向采购人提出附加条件，或者不按照采购文件要求提交履约保证金的；</w:t>
      </w:r>
    </w:p>
    <w:p>
      <w:pPr>
        <w:widowControl w:val="0"/>
        <w:adjustRightInd/>
        <w:snapToGrid/>
        <w:ind w:left="540" w:leftChars="257"/>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（3）中标人将本项目转让给他人，或者在投标文件中未说明，且未经采购人同意，将中标项目分包给他人的；</w:t>
      </w:r>
    </w:p>
    <w:p>
      <w:pPr>
        <w:widowControl w:val="0"/>
        <w:adjustRightInd/>
        <w:snapToGrid/>
        <w:ind w:left="540" w:leftChars="257"/>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（4）投标人提供虚假投标文件或虚假补充文件的。</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在中标通知书发出后，未中标投标人的投标保证金，由采购人自行返还至投标人的原转出账户。</w:t>
      </w:r>
    </w:p>
    <w:p>
      <w:pPr>
        <w:rPr>
          <w:rFonts w:ascii="宋体" w:hAnsi="宋体" w:cs="宋体"/>
          <w:color w:val="000000" w:themeColor="text1"/>
          <w:highlight w:val="none"/>
          <w14:textFill>
            <w14:solidFill>
              <w14:schemeClr w14:val="tx1"/>
            </w14:solidFill>
          </w14:textFill>
        </w:rPr>
      </w:pPr>
    </w:p>
    <w:p>
      <w:pPr>
        <w:pStyle w:val="4"/>
        <w:numPr>
          <w:ilvl w:val="0"/>
          <w:numId w:val="1"/>
        </w:numPr>
        <w:spacing w:before="0" w:after="0" w:line="360" w:lineRule="auto"/>
        <w:jc w:val="center"/>
        <w:rPr>
          <w:rFonts w:ascii="宋体" w:hAnsi="宋体" w:cs="宋体"/>
          <w:color w:val="000000" w:themeColor="text1"/>
          <w:highlight w:val="none"/>
          <w14:textFill>
            <w14:solidFill>
              <w14:schemeClr w14:val="tx1"/>
            </w14:solidFill>
          </w14:textFill>
        </w:rPr>
      </w:pPr>
      <w:bookmarkStart w:id="50" w:name="_Toc12999"/>
      <w:r>
        <w:rPr>
          <w:rFonts w:hint="eastAsia" w:ascii="宋体" w:hAnsi="宋体" w:cs="宋体"/>
          <w:color w:val="000000" w:themeColor="text1"/>
          <w:highlight w:val="none"/>
          <w14:textFill>
            <w14:solidFill>
              <w14:schemeClr w14:val="tx1"/>
            </w14:solidFill>
          </w14:textFill>
        </w:rPr>
        <w:t>投标文件的递交</w:t>
      </w:r>
      <w:bookmarkEnd w:id="50"/>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51" w:name="_Toc24997"/>
      <w:bookmarkStart w:id="52" w:name="_Toc303084264"/>
      <w:bookmarkStart w:id="53" w:name="_Toc382049111"/>
      <w:bookmarkStart w:id="54" w:name="_Toc31180"/>
      <w:r>
        <w:rPr>
          <w:rFonts w:hint="eastAsia" w:ascii="宋体" w:hAnsi="宋体" w:cs="宋体"/>
          <w:color w:val="000000" w:themeColor="text1"/>
          <w:sz w:val="21"/>
          <w:szCs w:val="21"/>
          <w:highlight w:val="none"/>
          <w14:textFill>
            <w14:solidFill>
              <w14:schemeClr w14:val="tx1"/>
            </w14:solidFill>
          </w14:textFill>
        </w:rPr>
        <w:t>投标文件的装订，签署，密封和标记</w:t>
      </w:r>
      <w:bookmarkEnd w:id="51"/>
      <w:bookmarkEnd w:id="52"/>
      <w:bookmarkEnd w:id="53"/>
      <w:bookmarkEnd w:id="54"/>
    </w:p>
    <w:p>
      <w:pPr>
        <w:pStyle w:val="39"/>
        <w:widowControl w:val="0"/>
        <w:numPr>
          <w:ilvl w:val="0"/>
          <w:numId w:val="3"/>
        </w:numPr>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投标人应按《投标资料表》的份数准备价格文件、商务文件、技术文件、唱标信封和电子文件（</w:t>
      </w:r>
      <w:r>
        <w:rPr>
          <w:rFonts w:hint="eastAsia" w:ascii="宋体" w:hAnsi="宋体"/>
          <w:b/>
          <w:color w:val="000000" w:themeColor="text1"/>
          <w:szCs w:val="21"/>
          <w:highlight w:val="none"/>
          <w14:textFill>
            <w14:solidFill>
              <w14:schemeClr w14:val="tx1"/>
            </w14:solidFill>
          </w14:textFill>
        </w:rPr>
        <w:t>价格文件、商务文件、技术文件分别单独装订成册</w:t>
      </w:r>
      <w:r>
        <w:rPr>
          <w:rFonts w:hint="eastAsia" w:ascii="宋体" w:hAnsi="宋体"/>
          <w:color w:val="000000" w:themeColor="text1"/>
          <w:szCs w:val="21"/>
          <w:highlight w:val="none"/>
          <w14:textFill>
            <w14:solidFill>
              <w14:schemeClr w14:val="tx1"/>
            </w14:solidFill>
          </w14:textFill>
        </w:rPr>
        <w:t>），每一份投标文件均需编上页次，装订成册（不允许使用活页夹，否则由此产生的风险由投标人自行承担）。所有投标文件必须封入密封完好的信封或包装，封口加盖公章</w:t>
      </w:r>
      <w:r>
        <w:rPr>
          <w:rFonts w:hint="eastAsia" w:ascii="宋体" w:hAnsi="宋体" w:cs="宋体"/>
          <w:color w:val="000000" w:themeColor="text1"/>
          <w:szCs w:val="21"/>
          <w:highlight w:val="none"/>
          <w14:textFill>
            <w14:solidFill>
              <w14:schemeClr w14:val="tx1"/>
            </w14:solidFill>
          </w14:textFill>
        </w:rPr>
        <w:t>。</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联合体投标文件的【正本】及【副本】的封面及骑缝均须加盖所有联合体组成成员的公章。（文件每页盖章等同于盖骑缝章）</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电子文件内容包括：由投标人自行制作的与正本文件一致的所有文件。电子文件由光盘或U盘储存，并注明投标人名称及项目名称、采购项目编号，随投标文件一同密封提交。</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除投标人对错误处修改外，全套投标文件应无涂改或行间插字和增删。如有修改，修改处须由法定代表人或其正式授权代表在旁边签字及盖章。</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投标人应将投标文件进行非透明的封装，以防止投标文件内容的泄露。采购代理机构将拒绝接收采用透明包装进行密封的投标文件。</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密封破损导致投标文件内容直接或间接泄露的投标文件，采购代理机构将拒绝接收。</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pPr>
        <w:widowControl w:val="0"/>
        <w:numPr>
          <w:ilvl w:val="1"/>
          <w:numId w:val="2"/>
        </w:numPr>
        <w:overflowPunct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未单独提交唱标信封的投标人投标文件不进行唱标，投标文件作无效处理。</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所有的信封均应注明： </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567"/>
        <w:jc w:val="both"/>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收件人： </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567"/>
        <w:jc w:val="both"/>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投标单位名称：</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567"/>
        <w:jc w:val="both"/>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567"/>
        <w:jc w:val="both"/>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项目采购项目编号：</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密封信封上的项目编号错误或项目名称出现严重歧义的（包括采购内容不符），采购代理机构将拒绝接收。</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采购代理机构对所有投标文件的误投或提前启封概不负责。</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投标人同时参加几个包投标时必须按采购文件要求按包号分别制作投标文件，分别密封递交。</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传真、电传的投标文件将被拒绝。</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递交的投标文件中所提供的通讯方式应保持联络畅通，因联系不上而导致的所有后果由投标人自行承担。</w:t>
      </w:r>
    </w:p>
    <w:p>
      <w:pPr>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55" w:name="_Toc6737"/>
      <w:r>
        <w:rPr>
          <w:rFonts w:hint="eastAsia" w:ascii="宋体" w:hAnsi="宋体" w:cs="宋体"/>
          <w:color w:val="000000" w:themeColor="text1"/>
          <w:sz w:val="21"/>
          <w:szCs w:val="21"/>
          <w:highlight w:val="none"/>
          <w14:textFill>
            <w14:solidFill>
              <w14:schemeClr w14:val="tx1"/>
            </w14:solidFill>
          </w14:textFill>
        </w:rPr>
        <w:t>迟交的投标文件</w:t>
      </w:r>
      <w:bookmarkEnd w:id="55"/>
    </w:p>
    <w:p>
      <w:pPr>
        <w:pStyle w:val="39"/>
        <w:widowControl w:val="0"/>
        <w:numPr>
          <w:ilvl w:val="0"/>
          <w:numId w:val="3"/>
        </w:numPr>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投标人在投标截止时间之后提交的投标文件，采购代理机构将拒绝接收。</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有违反其他法律规定情形的，采购代理机构将拒绝接收。</w:t>
      </w:r>
    </w:p>
    <w:p>
      <w:pPr>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56" w:name="_Toc1528"/>
      <w:r>
        <w:rPr>
          <w:rFonts w:hint="eastAsia" w:ascii="宋体" w:hAnsi="宋体" w:cs="宋体"/>
          <w:color w:val="000000" w:themeColor="text1"/>
          <w:sz w:val="21"/>
          <w:szCs w:val="21"/>
          <w:highlight w:val="none"/>
          <w14:textFill>
            <w14:solidFill>
              <w14:schemeClr w14:val="tx1"/>
            </w14:solidFill>
          </w14:textFill>
        </w:rPr>
        <w:t>投标样品（如需提交）</w:t>
      </w:r>
      <w:bookmarkEnd w:id="56"/>
    </w:p>
    <w:p>
      <w:pPr>
        <w:pStyle w:val="39"/>
        <w:widowControl w:val="0"/>
        <w:numPr>
          <w:ilvl w:val="0"/>
          <w:numId w:val="3"/>
        </w:numPr>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如有必要，采购代理机构可以要求投标人提供本服务项目涉及的部分设备或产品样品，投标人在投标时应提交《样品清单》。</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为方便评标，投标人在提供样品时，应在所提供的样品表面显著位置标注投标人的名称、包号、样品名称、采购文件规定的服务或货物编号。</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57" w:name="_Toc382049112"/>
      <w:bookmarkStart w:id="58" w:name="_Toc4491"/>
      <w:bookmarkStart w:id="59" w:name="_Toc303084265"/>
      <w:bookmarkStart w:id="60" w:name="_Toc9777"/>
      <w:r>
        <w:rPr>
          <w:rFonts w:hint="eastAsia" w:ascii="宋体" w:hAnsi="宋体" w:cs="宋体"/>
          <w:color w:val="000000" w:themeColor="text1"/>
          <w:sz w:val="21"/>
          <w:szCs w:val="21"/>
          <w:highlight w:val="none"/>
          <w14:textFill>
            <w14:solidFill>
              <w14:schemeClr w14:val="tx1"/>
            </w14:solidFill>
          </w14:textFill>
        </w:rPr>
        <w:t>投标截止期</w:t>
      </w:r>
      <w:bookmarkEnd w:id="57"/>
      <w:bookmarkEnd w:id="58"/>
      <w:bookmarkEnd w:id="59"/>
      <w:bookmarkEnd w:id="60"/>
    </w:p>
    <w:p>
      <w:pPr>
        <w:pStyle w:val="39"/>
        <w:widowControl w:val="0"/>
        <w:numPr>
          <w:ilvl w:val="0"/>
          <w:numId w:val="3"/>
        </w:numPr>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投标人应在采购文件规定的截止日期和时间内，将投标文件送达到指定地点。</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采购代理机构可按本须知规定以澄清或修改通知的方式，酌情延长递交投标文件的截止时间。在此情况下，投标人的所有权利和义务以及投标人受制约的截止时间，均以延长后新的投标截止时间为准。</w:t>
      </w:r>
    </w:p>
    <w:p>
      <w:pPr>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61" w:name="_Toc8362"/>
      <w:r>
        <w:rPr>
          <w:rFonts w:hint="eastAsia" w:ascii="宋体" w:hAnsi="宋体" w:cs="宋体"/>
          <w:color w:val="000000" w:themeColor="text1"/>
          <w:sz w:val="21"/>
          <w:szCs w:val="21"/>
          <w:highlight w:val="none"/>
          <w14:textFill>
            <w14:solidFill>
              <w14:schemeClr w14:val="tx1"/>
            </w14:solidFill>
          </w14:textFill>
        </w:rPr>
        <w:t>投标文件的补充、修改与撤回</w:t>
      </w:r>
      <w:bookmarkEnd w:id="61"/>
    </w:p>
    <w:p>
      <w:pPr>
        <w:pStyle w:val="39"/>
        <w:widowControl w:val="0"/>
        <w:numPr>
          <w:ilvl w:val="0"/>
          <w:numId w:val="3"/>
        </w:numPr>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投标人对投标文件的补充、修改的内容应当按采购文件要求的签署、盖章、密封后，作为投标文件的组成部分。并按照采购文件规定密封和标记的要求提交，并在投标文件密封袋上标明“补充、修改”字样。</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投标文件一经递交不予退还。</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在提交投标文件截止时间至投标有效期满之前，投标人不得撤回其投标，否则其投标保证金将不予退还。</w:t>
      </w:r>
    </w:p>
    <w:p>
      <w:pPr>
        <w:pStyle w:val="9"/>
        <w:rPr>
          <w:color w:val="000000" w:themeColor="text1"/>
          <w:highlight w:val="none"/>
          <w14:textFill>
            <w14:solidFill>
              <w14:schemeClr w14:val="tx1"/>
            </w14:solidFill>
          </w14:textFill>
        </w:rPr>
      </w:pPr>
    </w:p>
    <w:p>
      <w:pPr>
        <w:pStyle w:val="4"/>
        <w:numPr>
          <w:ilvl w:val="0"/>
          <w:numId w:val="1"/>
        </w:numPr>
        <w:spacing w:before="0" w:after="0" w:line="360" w:lineRule="auto"/>
        <w:jc w:val="center"/>
        <w:rPr>
          <w:rFonts w:ascii="宋体" w:hAnsi="宋体" w:cs="宋体"/>
          <w:color w:val="000000" w:themeColor="text1"/>
          <w:highlight w:val="none"/>
          <w14:textFill>
            <w14:solidFill>
              <w14:schemeClr w14:val="tx1"/>
            </w14:solidFill>
          </w14:textFill>
        </w:rPr>
      </w:pPr>
      <w:bookmarkStart w:id="62" w:name="_Toc17786"/>
      <w:r>
        <w:rPr>
          <w:rFonts w:hint="eastAsia" w:ascii="宋体" w:hAnsi="宋体" w:cs="宋体"/>
          <w:color w:val="000000" w:themeColor="text1"/>
          <w:highlight w:val="none"/>
          <w14:textFill>
            <w14:solidFill>
              <w14:schemeClr w14:val="tx1"/>
            </w14:solidFill>
          </w14:textFill>
        </w:rPr>
        <w:t>开标与评标</w:t>
      </w:r>
      <w:bookmarkEnd w:id="62"/>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63" w:name="_Toc26995"/>
      <w:r>
        <w:rPr>
          <w:rFonts w:hint="eastAsia" w:ascii="宋体" w:hAnsi="宋体" w:cs="宋体"/>
          <w:color w:val="000000" w:themeColor="text1"/>
          <w:sz w:val="21"/>
          <w:szCs w:val="21"/>
          <w:highlight w:val="none"/>
          <w14:textFill>
            <w14:solidFill>
              <w14:schemeClr w14:val="tx1"/>
            </w14:solidFill>
          </w14:textFill>
        </w:rPr>
        <w:t>开标</w:t>
      </w:r>
      <w:bookmarkEnd w:id="63"/>
    </w:p>
    <w:p>
      <w:pPr>
        <w:pStyle w:val="39"/>
        <w:widowControl w:val="0"/>
        <w:numPr>
          <w:ilvl w:val="0"/>
          <w:numId w:val="3"/>
        </w:numPr>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采购代理机构按本采购文件所规定的时间和地点公开开标，并邀请所有投标人代表参加。</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开标程序：</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开标会由采购代理机构主持，投标人的法定代表人或其授权代表携带有效身份证明准时参加开标会并签名报到。</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开标时，由投标人或者其推选的代表检查投标文件的密封情况；经确认无误后，由采购人或者采购代理机构工作人员当众拆封，宣布投标人名称、投标价格和采购文件规定的需要宣布的其他内容；</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投标人未参加开标的，视同认可开标结果。</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合格投标人不足3家的，不得开标；</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开标过程应当由采购人或者采购代理机构负责记录，由参加开标的各投标人代表和相关工作人员签字确认。</w:t>
      </w:r>
    </w:p>
    <w:p>
      <w:pPr>
        <w:widowControl w:val="0"/>
        <w:adjustRightInd/>
        <w:snapToGrid/>
        <w:ind w:left="567"/>
        <w:jc w:val="both"/>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64" w:name="_Toc27521"/>
      <w:r>
        <w:rPr>
          <w:rFonts w:hint="eastAsia" w:ascii="宋体" w:hAnsi="宋体" w:cs="宋体"/>
          <w:color w:val="000000" w:themeColor="text1"/>
          <w:sz w:val="21"/>
          <w:szCs w:val="21"/>
          <w:highlight w:val="none"/>
          <w14:textFill>
            <w14:solidFill>
              <w14:schemeClr w14:val="tx1"/>
            </w14:solidFill>
          </w14:textFill>
        </w:rPr>
        <w:t>评标委员会及评标方法</w:t>
      </w:r>
      <w:bookmarkEnd w:id="64"/>
    </w:p>
    <w:p>
      <w:pPr>
        <w:pStyle w:val="39"/>
        <w:widowControl w:val="0"/>
        <w:numPr>
          <w:ilvl w:val="0"/>
          <w:numId w:val="3"/>
        </w:numPr>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依法组成评标委员会，评标委员会由采购人和有关技术、经济等方面的专家组成，成员人数为五人或五人以上单数，其中技术、经济等方面的专家不少于成员总数的三分之二，并负责评标工作。</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评审方法：本次采购的评审方法采用综合评分法。</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定标原则：在最大限度满足采购文件实质性要求前提下，按照采购文件规定的各项评价因素进行量化打分，以评标总得分最高的投标人作为中标候选人或中标人。</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评标委员会和采购人在评审过程中有权核对投标文件中相关材料的原件，投标人在接到通知后应在评标委员会规定的时间内提交原件核查。</w:t>
      </w:r>
    </w:p>
    <w:p>
      <w:pPr>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65" w:name="_Toc27610"/>
      <w:r>
        <w:rPr>
          <w:rFonts w:hint="eastAsia" w:ascii="宋体" w:hAnsi="宋体" w:cs="宋体"/>
          <w:color w:val="000000" w:themeColor="text1"/>
          <w:sz w:val="21"/>
          <w:szCs w:val="21"/>
          <w:highlight w:val="none"/>
          <w14:textFill>
            <w14:solidFill>
              <w14:schemeClr w14:val="tx1"/>
            </w14:solidFill>
          </w14:textFill>
        </w:rPr>
        <w:t>评审原则及评标过程的保密</w:t>
      </w:r>
      <w:bookmarkEnd w:id="65"/>
    </w:p>
    <w:p>
      <w:pPr>
        <w:pStyle w:val="39"/>
        <w:widowControl w:val="0"/>
        <w:numPr>
          <w:ilvl w:val="0"/>
          <w:numId w:val="3"/>
        </w:numPr>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评审的基本原则：评标委员会将依据采购文件的规定，遵循“公开、公平、公正、择优、信用”的原则进行评审工作。</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从公开开标到签订合同，凡与审查、澄清、评审和投标有关的资料以及定标意见相关的事项，均不得向投标人及与评标无关的其他人透露。</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任何单位和个人不得非法干预、影响评标的过程和结果。</w:t>
      </w:r>
    </w:p>
    <w:p>
      <w:pPr>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66" w:name="_Toc9714"/>
      <w:bookmarkStart w:id="67" w:name="_Toc7361"/>
      <w:r>
        <w:rPr>
          <w:rFonts w:hint="eastAsia" w:ascii="宋体" w:hAnsi="宋体" w:cs="宋体"/>
          <w:color w:val="000000" w:themeColor="text1"/>
          <w:sz w:val="21"/>
          <w:szCs w:val="21"/>
          <w:highlight w:val="none"/>
          <w14:textFill>
            <w14:solidFill>
              <w14:schemeClr w14:val="tx1"/>
            </w14:solidFill>
          </w14:textFill>
        </w:rPr>
        <w:t>评标程序</w:t>
      </w:r>
      <w:bookmarkEnd w:id="66"/>
    </w:p>
    <w:p>
      <w:pPr>
        <w:widowControl w:val="0"/>
        <w:numPr>
          <w:ilvl w:val="1"/>
          <w:numId w:val="2"/>
        </w:numPr>
        <w:overflowPunct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资格性、符合性审查</w:t>
      </w:r>
    </w:p>
    <w:p>
      <w:pPr>
        <w:widowControl w:val="0"/>
        <w:overflowPunct w:val="0"/>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w:t>
      </w:r>
      <w:r>
        <w:rPr>
          <w:rFonts w:hint="eastAsia" w:hAnsi="宋体" w:cs="宋体"/>
          <w:color w:val="000000" w:themeColor="text1"/>
          <w:szCs w:val="21"/>
          <w:highlight w:val="none"/>
          <w14:textFill>
            <w14:solidFill>
              <w14:schemeClr w14:val="tx1"/>
            </w14:solidFill>
          </w14:textFill>
        </w:rPr>
        <w:t>评标阶段</w:t>
      </w:r>
      <w:r>
        <w:rPr>
          <w:rFonts w:hint="eastAsia" w:ascii="宋体" w:hAnsi="宋体" w:cs="宋体"/>
          <w:color w:val="000000" w:themeColor="text1"/>
          <w:szCs w:val="21"/>
          <w:highlight w:val="none"/>
          <w14:textFill>
            <w14:solidFill>
              <w14:schemeClr w14:val="tx1"/>
            </w14:solidFill>
          </w14:textFill>
        </w:rPr>
        <w:t>的评审。</w:t>
      </w:r>
    </w:p>
    <w:p>
      <w:pPr>
        <w:jc w:val="center"/>
        <w:rPr>
          <w:b/>
          <w:bCs/>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《资格性</w:t>
      </w:r>
      <w:r>
        <w:rPr>
          <w:rFonts w:hint="eastAsia"/>
          <w:b/>
          <w:bCs/>
          <w:color w:val="000000" w:themeColor="text1"/>
          <w:highlight w:val="none"/>
          <w14:textFill>
            <w14:solidFill>
              <w14:schemeClr w14:val="tx1"/>
            </w14:solidFill>
          </w14:textFill>
        </w:rPr>
        <w:t>、符合性</w:t>
      </w:r>
      <w:r>
        <w:rPr>
          <w:b/>
          <w:bCs/>
          <w:color w:val="000000" w:themeColor="text1"/>
          <w:highlight w:val="none"/>
          <w14:textFill>
            <w14:solidFill>
              <w14:schemeClr w14:val="tx1"/>
            </w14:solidFill>
          </w14:textFill>
        </w:rPr>
        <w:t>审查表》</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序号</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 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restart"/>
            <w:tcBorders>
              <w:top w:val="single" w:color="auto" w:sz="4" w:space="0"/>
              <w:left w:val="single" w:color="auto" w:sz="4" w:space="0"/>
              <w:right w:val="single" w:color="auto" w:sz="4" w:space="0"/>
              <w:tl2br w:val="nil"/>
              <w:tr2bl w:val="nil"/>
            </w:tcBorders>
            <w:vAlign w:val="center"/>
          </w:tcPr>
          <w:p>
            <w:pPr>
              <w:numPr>
                <w:ilvl w:val="0"/>
                <w:numId w:val="6"/>
              </w:numPr>
              <w:tabs>
                <w:tab w:val="left" w:pos="176"/>
                <w:tab w:val="left" w:pos="612"/>
              </w:tabs>
              <w:jc w:val="center"/>
              <w:rPr>
                <w:rFonts w:ascii="宋体" w:hAnsi="宋体" w:cs="宋体"/>
                <w:color w:val="000000" w:themeColor="text1"/>
                <w:szCs w:val="21"/>
                <w:highlight w:val="none"/>
                <w14:textFill>
                  <w14:solidFill>
                    <w14:schemeClr w14:val="tx1"/>
                  </w14:solidFill>
                </w14:textFill>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须为在中华人民共和国境内登记注册的具有独立承担民事责任能力的法人或其他组织【提供《营业执照》复印件（加盖公章）或《事业单位法人证书》复印件（加盖公章）或其他主体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ascii="宋体" w:hAnsi="宋体" w:cs="宋体"/>
                <w:color w:val="000000" w:themeColor="text1"/>
                <w:szCs w:val="21"/>
                <w:highlight w:val="none"/>
                <w14:textFill>
                  <w14:solidFill>
                    <w14:schemeClr w14:val="tx1"/>
                  </w14:solidFill>
                </w14:textFill>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（2）参加采购活动前三年内，在经营活动中没有重大违法记录（须提供书面声明）；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ascii="宋体" w:hAnsi="宋体" w:cs="宋体"/>
                <w:color w:val="000000" w:themeColor="text1"/>
                <w:szCs w:val="21"/>
                <w:highlight w:val="none"/>
                <w14:textFill>
                  <w14:solidFill>
                    <w14:schemeClr w14:val="tx1"/>
                  </w14:solidFill>
                </w14:textFill>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（3）投标人的单位负责人为同一人或者存在直接控股、管理关系的不同投标人，不得参加同一合同项下的采购活动；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pPr>
              <w:tabs>
                <w:tab w:val="left" w:pos="176"/>
                <w:tab w:val="left" w:pos="420"/>
                <w:tab w:val="left" w:pos="612"/>
              </w:tabs>
              <w:jc w:val="center"/>
              <w:rPr>
                <w:rFonts w:ascii="宋体" w:hAnsi="宋体" w:cs="宋体"/>
                <w:color w:val="000000" w:themeColor="text1"/>
                <w:szCs w:val="21"/>
                <w:highlight w:val="none"/>
                <w14:textFill>
                  <w14:solidFill>
                    <w14:schemeClr w14:val="tx1"/>
                  </w14:solidFill>
                </w14:textFill>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bottom w:val="single" w:color="auto" w:sz="4" w:space="0"/>
              <w:right w:val="single" w:color="auto" w:sz="4" w:space="0"/>
              <w:tl2br w:val="nil"/>
              <w:tr2bl w:val="nil"/>
            </w:tcBorders>
            <w:vAlign w:val="center"/>
          </w:tcPr>
          <w:p>
            <w:pPr>
              <w:tabs>
                <w:tab w:val="left" w:pos="176"/>
                <w:tab w:val="left" w:pos="420"/>
                <w:tab w:val="left" w:pos="612"/>
              </w:tabs>
              <w:jc w:val="center"/>
              <w:rPr>
                <w:rFonts w:ascii="宋体" w:hAnsi="宋体" w:cs="宋体"/>
                <w:color w:val="000000" w:themeColor="text1"/>
                <w:szCs w:val="21"/>
                <w:highlight w:val="none"/>
                <w14:textFill>
                  <w14:solidFill>
                    <w14:schemeClr w14:val="tx1"/>
                  </w14:solidFill>
                </w14:textFill>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612"/>
              </w:tabs>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）符合投标人资格要求中其他要求（如有）。（提供《附件9.相关资质证明文件》中对应证明文件。）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6"/>
              </w:numPr>
              <w:tabs>
                <w:tab w:val="left" w:pos="176"/>
                <w:tab w:val="left" w:pos="612"/>
              </w:tabs>
              <w:jc w:val="center"/>
              <w:rPr>
                <w:rFonts w:ascii="宋体" w:hAnsi="宋体" w:cs="宋体"/>
                <w:color w:val="000000" w:themeColor="text1"/>
                <w:szCs w:val="21"/>
                <w:highlight w:val="none"/>
                <w14:textFill>
                  <w14:solidFill>
                    <w14:schemeClr w14:val="tx1"/>
                  </w14:solidFill>
                </w14:textFill>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投标人按照采购文件要求提交投标保证金；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6"/>
              </w:numPr>
              <w:tabs>
                <w:tab w:val="left" w:pos="176"/>
                <w:tab w:val="left" w:pos="612"/>
              </w:tabs>
              <w:jc w:val="center"/>
              <w:rPr>
                <w:rFonts w:ascii="宋体" w:hAnsi="宋体" w:cs="宋体"/>
                <w:color w:val="000000" w:themeColor="text1"/>
                <w:szCs w:val="21"/>
                <w:highlight w:val="none"/>
                <w14:textFill>
                  <w14:solidFill>
                    <w14:schemeClr w14:val="tx1"/>
                  </w14:solidFill>
                </w14:textFill>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投标文件按照采购文件要求签署盖章；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6"/>
              </w:numPr>
              <w:tabs>
                <w:tab w:val="left" w:pos="176"/>
                <w:tab w:val="left" w:pos="612"/>
              </w:tabs>
              <w:jc w:val="center"/>
              <w:rPr>
                <w:rFonts w:ascii="宋体" w:hAnsi="宋体" w:cs="宋体"/>
                <w:color w:val="000000" w:themeColor="text1"/>
                <w:szCs w:val="21"/>
                <w:highlight w:val="none"/>
                <w14:textFill>
                  <w14:solidFill>
                    <w14:schemeClr w14:val="tx1"/>
                  </w14:solidFill>
                </w14:textFill>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投标总价未超出采购预算或最高限价；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176"/>
                <w:tab w:val="left" w:pos="612"/>
              </w:tabs>
              <w:ind w:firstLine="210" w:firstLineChars="1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投标文件未含有采购人不能接受的附加条件；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176"/>
                <w:tab w:val="left" w:pos="612"/>
              </w:tabs>
              <w:ind w:firstLine="210" w:firstLineChars="1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bidi="ar"/>
                <w14:textFill>
                  <w14:solidFill>
                    <w14:schemeClr w14:val="tx1"/>
                  </w14:solidFill>
                </w14:textFill>
              </w:rPr>
              <w:t>无负偏离标注“★”符号的条款。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pPr>
              <w:tabs>
                <w:tab w:val="left" w:pos="176"/>
                <w:tab w:val="left" w:pos="612"/>
              </w:tabs>
              <w:ind w:firstLine="210" w:firstLineChars="100"/>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pPr>
              <w:textAlignment w:val="center"/>
              <w:rPr>
                <w:rFonts w:ascii="宋体" w:hAnsi="宋体" w:cs="宋体"/>
                <w:color w:val="000000" w:themeColor="text1"/>
                <w:szCs w:val="21"/>
                <w:highlight w:val="none"/>
                <w:lang w:bidi="ar"/>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未出现</w:t>
            </w:r>
            <w:r>
              <w:rPr>
                <w:rFonts w:hint="eastAsia" w:ascii="宋体" w:hAnsi="宋体" w:cs="宋体"/>
                <w:color w:val="000000" w:themeColor="text1"/>
                <w:szCs w:val="21"/>
                <w:highlight w:val="none"/>
                <w:lang w:bidi="ar"/>
                <w14:textFill>
                  <w14:solidFill>
                    <w14:schemeClr w14:val="tx1"/>
                  </w14:solidFill>
                </w14:textFill>
              </w:rPr>
              <w:t>法律、法规和招标文件规定的其他无效情形。</w:t>
            </w:r>
          </w:p>
        </w:tc>
      </w:tr>
      <w:bookmarkEnd w:id="67"/>
    </w:tbl>
    <w:p>
      <w:pPr>
        <w:widowControl w:val="0"/>
        <w:overflowPunct w:val="0"/>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以上资格性、符合性审查中带有不合格分项的投标文件，将作无效标处理。经评标委员会确认的无效投标文件，采购人和采购代理机构将予以拒绝，并且不允许通过修正或撤消其不符合要求的差异，使之成为具有符合性的投标文件。经评标委员会资格性、符合性审查确认具有有效投标文件的投标人不足三家时将重新组织采购。</w:t>
      </w:r>
    </w:p>
    <w:p>
      <w:pPr>
        <w:widowControl w:val="0"/>
        <w:numPr>
          <w:ilvl w:val="1"/>
          <w:numId w:val="2"/>
        </w:numPr>
        <w:overflowPunct w:val="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投标文件报价出现前后不一致的，评标委员会按照下列规定修正：</w:t>
      </w:r>
    </w:p>
    <w:p>
      <w:pPr>
        <w:widowControl w:val="0"/>
        <w:numPr>
          <w:ilvl w:val="0"/>
          <w:numId w:val="7"/>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投标文件中开标一览表（报价表）内容与投标文件中相应内容不一致的，以开标一览表（报价表）为准；</w:t>
      </w:r>
    </w:p>
    <w:p>
      <w:pPr>
        <w:widowControl w:val="0"/>
        <w:numPr>
          <w:ilvl w:val="0"/>
          <w:numId w:val="7"/>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大写金额和小写金额不一致的，以大写金额为准；</w:t>
      </w:r>
    </w:p>
    <w:p>
      <w:pPr>
        <w:widowControl w:val="0"/>
        <w:numPr>
          <w:ilvl w:val="0"/>
          <w:numId w:val="7"/>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单价金额小数点或者百分比有明显错位的，以开标一览表的总价为准，并修改单价；</w:t>
      </w:r>
    </w:p>
    <w:p>
      <w:pPr>
        <w:widowControl w:val="0"/>
        <w:numPr>
          <w:ilvl w:val="0"/>
          <w:numId w:val="7"/>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总价金额与按单价汇总金额不一致的，以单价金额计算结果为准。</w:t>
      </w:r>
    </w:p>
    <w:p>
      <w:pPr>
        <w:widowControl w:val="0"/>
        <w:numPr>
          <w:ilvl w:val="0"/>
          <w:numId w:val="7"/>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同时出现两种以上不一致的，按照前款规定的顺序修正。修正后的报价按照经投标人确认后产生约束力，投标人不确认的，其投标无效。</w:t>
      </w:r>
    </w:p>
    <w:p>
      <w:pPr>
        <w:widowControl w:val="0"/>
        <w:overflowPunct w:val="0"/>
        <w:ind w:left="630" w:hanging="630" w:hanging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pPr>
        <w:widowControl w:val="0"/>
        <w:overflowPunct w:val="0"/>
        <w:ind w:left="630" w:hanging="630" w:hanging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26.4  对于投标文件中不构成实质性偏差的不正规、不一致或不规则，评标委员会可以接受，但这种接受不能损害或影响任何投标人的相对排序。</w:t>
      </w:r>
    </w:p>
    <w:p>
      <w:pPr>
        <w:widowControl w:val="0"/>
        <w:overflowPunct w:val="0"/>
        <w:ind w:left="630" w:hanging="630" w:hanging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pStyle w:val="9"/>
        <w:rPr>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68" w:name="_Toc6703"/>
      <w:r>
        <w:rPr>
          <w:rFonts w:hint="eastAsia" w:ascii="宋体" w:hAnsi="宋体" w:cs="宋体"/>
          <w:color w:val="000000" w:themeColor="text1"/>
          <w:sz w:val="21"/>
          <w:szCs w:val="21"/>
          <w:highlight w:val="none"/>
          <w14:textFill>
            <w14:solidFill>
              <w14:schemeClr w14:val="tx1"/>
            </w14:solidFill>
          </w14:textFill>
        </w:rPr>
        <w:t>商务、技术、价格评审（具体评审项目详见投标资料表）</w:t>
      </w:r>
      <w:bookmarkEnd w:id="68"/>
    </w:p>
    <w:p>
      <w:pPr>
        <w:pStyle w:val="39"/>
        <w:widowControl w:val="0"/>
        <w:numPr>
          <w:ilvl w:val="0"/>
          <w:numId w:val="3"/>
        </w:numPr>
        <w:tabs>
          <w:tab w:val="left" w:pos="907"/>
        </w:tabs>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对通过资格性、符合性审查的有效供应商方有资格进入综合评审。采购文件中要求投标人提供的相关资质证书证明材料因国家政策变动导致新旧证书名称不一致，旧证书未取消且新旧证书具有同等效力的，投标人提供新证书与提供在有效期内的旧证书给予同等认可。 </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对通过资格性、符合性审查的投标文件进行详细评审。评标委员会对每一投标文件进行详细的商务评审、技术评审。按照评审程序的规定和依据评分标准，各位评委就每个投标人的技术、商务状况及其对采购文件要求的响应情况进行评议和比较，评出其技术评分和商务评分。根据采购文件规定评出得分，将价格得分、商务得分、技术得分相加得出最终评标得分。</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采用综合评分法的，评标结果按评审后得分由高到低顺序排列。综合得分相同的，按价格评分由高到低顺序排列。综合</w:t>
      </w:r>
      <w:r>
        <w:rPr>
          <w:rFonts w:hint="eastAsia" w:ascii="宋体" w:hAnsi="宋体"/>
          <w:color w:val="000000" w:themeColor="text1"/>
          <w:szCs w:val="21"/>
          <w:highlight w:val="none"/>
          <w14:textFill>
            <w14:solidFill>
              <w14:schemeClr w14:val="tx1"/>
            </w14:solidFill>
          </w14:textFill>
        </w:rPr>
        <w:t>得分相同且价格评分相同的，按商务评分由高到低顺序排列，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r>
        <w:rPr>
          <w:rFonts w:hint="eastAsia" w:ascii="宋体" w:hAnsi="宋体" w:cs="宋体"/>
          <w:color w:val="000000" w:themeColor="text1"/>
          <w:szCs w:val="21"/>
          <w:highlight w:val="none"/>
          <w14:textFill>
            <w14:solidFill>
              <w14:schemeClr w14:val="tx1"/>
            </w14:solidFill>
          </w14:textFill>
        </w:rPr>
        <w:t>。</w:t>
      </w:r>
    </w:p>
    <w:p>
      <w:pPr>
        <w:widowControl w:val="0"/>
        <w:tabs>
          <w:tab w:val="left" w:pos="907"/>
        </w:tabs>
        <w:adjustRightInd/>
        <w:snapToGrid/>
        <w:ind w:left="567"/>
        <w:jc w:val="both"/>
        <w:rPr>
          <w:rFonts w:ascii="宋体" w:hAnsi="宋体" w:cs="宋体"/>
          <w:color w:val="000000" w:themeColor="text1"/>
          <w:szCs w:val="2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69" w:name="_Toc316375620"/>
      <w:bookmarkStart w:id="70" w:name="_Toc382049120"/>
      <w:bookmarkStart w:id="71" w:name="_Toc6685"/>
      <w:bookmarkStart w:id="72" w:name="_Toc20328"/>
      <w:r>
        <w:rPr>
          <w:rFonts w:hint="eastAsia" w:ascii="宋体" w:hAnsi="宋体" w:cs="宋体"/>
          <w:color w:val="000000" w:themeColor="text1"/>
          <w:sz w:val="21"/>
          <w:szCs w:val="21"/>
          <w:highlight w:val="none"/>
          <w14:textFill>
            <w14:solidFill>
              <w14:schemeClr w14:val="tx1"/>
            </w14:solidFill>
          </w14:textFill>
        </w:rPr>
        <w:t>纪律和保密</w:t>
      </w:r>
      <w:bookmarkEnd w:id="69"/>
      <w:r>
        <w:rPr>
          <w:rFonts w:hint="eastAsia" w:ascii="宋体" w:hAnsi="宋体" w:cs="宋体"/>
          <w:color w:val="000000" w:themeColor="text1"/>
          <w:sz w:val="21"/>
          <w:szCs w:val="21"/>
          <w:highlight w:val="none"/>
          <w14:textFill>
            <w14:solidFill>
              <w14:schemeClr w14:val="tx1"/>
            </w14:solidFill>
          </w14:textFill>
        </w:rPr>
        <w:t>事项</w:t>
      </w:r>
      <w:bookmarkEnd w:id="70"/>
      <w:bookmarkEnd w:id="71"/>
      <w:bookmarkEnd w:id="72"/>
    </w:p>
    <w:p>
      <w:pPr>
        <w:pStyle w:val="39"/>
        <w:widowControl w:val="0"/>
        <w:numPr>
          <w:ilvl w:val="0"/>
          <w:numId w:val="3"/>
        </w:numPr>
        <w:tabs>
          <w:tab w:val="left" w:pos="907"/>
        </w:tabs>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投标人不得串通作弊，以不正当的手段妨碍、排挤其他投标人，扰乱采购市场，破坏公平竞争原则。否则将按相关法律规定严肃处理。</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获得本采购文件的投标人，应对文件进行保密，不得用作本次投标以外的任何用途。开标后，投标人应归还采购文件中要求保密的文件和资料。</w:t>
      </w:r>
    </w:p>
    <w:p>
      <w:pPr>
        <w:rPr>
          <w:rFonts w:ascii="宋体" w:hAnsi="宋体" w:cs="宋体"/>
          <w:color w:val="000000" w:themeColor="text1"/>
          <w:highlight w:val="none"/>
          <w14:textFill>
            <w14:solidFill>
              <w14:schemeClr w14:val="tx1"/>
            </w14:solidFill>
          </w14:textFill>
        </w:rPr>
      </w:pPr>
    </w:p>
    <w:p>
      <w:pPr>
        <w:pStyle w:val="4"/>
        <w:numPr>
          <w:ilvl w:val="0"/>
          <w:numId w:val="1"/>
        </w:numPr>
        <w:spacing w:before="0" w:after="0" w:line="360" w:lineRule="auto"/>
        <w:jc w:val="center"/>
        <w:rPr>
          <w:rFonts w:ascii="宋体" w:hAnsi="宋体" w:cs="宋体"/>
          <w:color w:val="000000" w:themeColor="text1"/>
          <w:highlight w:val="none"/>
          <w14:textFill>
            <w14:solidFill>
              <w14:schemeClr w14:val="tx1"/>
            </w14:solidFill>
          </w14:textFill>
        </w:rPr>
      </w:pPr>
      <w:bookmarkStart w:id="73" w:name="_Toc30673"/>
      <w:r>
        <w:rPr>
          <w:rFonts w:hint="eastAsia" w:ascii="宋体" w:hAnsi="宋体" w:cs="宋体"/>
          <w:color w:val="000000" w:themeColor="text1"/>
          <w:highlight w:val="none"/>
          <w14:textFill>
            <w14:solidFill>
              <w14:schemeClr w14:val="tx1"/>
            </w14:solidFill>
          </w14:textFill>
        </w:rPr>
        <w:t>授予合同</w:t>
      </w:r>
      <w:bookmarkEnd w:id="73"/>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74" w:name="_Toc11245"/>
      <w:bookmarkStart w:id="75" w:name="_Toc508284011"/>
      <w:r>
        <w:rPr>
          <w:rFonts w:hint="eastAsia" w:ascii="宋体" w:hAnsi="宋体" w:cs="宋体"/>
          <w:color w:val="000000" w:themeColor="text1"/>
          <w:sz w:val="21"/>
          <w:szCs w:val="21"/>
          <w:highlight w:val="none"/>
          <w14:textFill>
            <w14:solidFill>
              <w14:schemeClr w14:val="tx1"/>
            </w14:solidFill>
          </w14:textFill>
        </w:rPr>
        <w:t>合同授予标准</w:t>
      </w:r>
      <w:bookmarkEnd w:id="74"/>
      <w:bookmarkEnd w:id="75"/>
    </w:p>
    <w:p>
      <w:pPr>
        <w:pStyle w:val="39"/>
        <w:widowControl w:val="0"/>
        <w:numPr>
          <w:ilvl w:val="0"/>
          <w:numId w:val="3"/>
        </w:numPr>
        <w:tabs>
          <w:tab w:val="left" w:pos="907"/>
        </w:tabs>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根据评标委员会的评审结果，采购人按照评审报告推荐的中标候选人中按顺序依法确定中标人。</w:t>
      </w:r>
    </w:p>
    <w:p>
      <w:pPr>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76" w:name="_Toc14051"/>
      <w:bookmarkStart w:id="77" w:name="_Toc508284013"/>
      <w:r>
        <w:rPr>
          <w:rFonts w:hint="eastAsia" w:ascii="宋体" w:hAnsi="宋体" w:cs="宋体"/>
          <w:color w:val="000000" w:themeColor="text1"/>
          <w:sz w:val="21"/>
          <w:szCs w:val="21"/>
          <w:highlight w:val="none"/>
          <w14:textFill>
            <w14:solidFill>
              <w14:schemeClr w14:val="tx1"/>
            </w14:solidFill>
          </w14:textFill>
        </w:rPr>
        <w:t>发布中标结果</w:t>
      </w:r>
      <w:bookmarkEnd w:id="76"/>
      <w:bookmarkEnd w:id="77"/>
    </w:p>
    <w:p>
      <w:pPr>
        <w:pStyle w:val="39"/>
        <w:widowControl w:val="0"/>
        <w:numPr>
          <w:ilvl w:val="0"/>
          <w:numId w:val="3"/>
        </w:numPr>
        <w:tabs>
          <w:tab w:val="left" w:pos="907"/>
        </w:tabs>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评标委员会提出评标书面报告和推荐中标意见报采购人确认后，采购代理机构将在指定的信息发布媒体上发布公告。</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中标公告期限为3个日历日。</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《中标通知书》是合同的一个组成部分，《中标通知书》对采购人和中标人均具有同等法律效力。</w:t>
      </w:r>
    </w:p>
    <w:p>
      <w:pPr>
        <w:widowControl w:val="0"/>
        <w:tabs>
          <w:tab w:val="left" w:pos="907"/>
        </w:tabs>
        <w:adjustRightInd/>
        <w:snapToGrid/>
        <w:jc w:val="both"/>
        <w:rPr>
          <w:rFonts w:ascii="宋体" w:hAnsi="宋体" w:cs="宋体"/>
          <w:color w:val="000000" w:themeColor="text1"/>
          <w:szCs w:val="2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78" w:name="_Toc13136"/>
      <w:r>
        <w:rPr>
          <w:rFonts w:hint="eastAsia" w:ascii="宋体" w:hAnsi="宋体" w:cs="宋体"/>
          <w:color w:val="000000" w:themeColor="text1"/>
          <w:sz w:val="21"/>
          <w:szCs w:val="21"/>
          <w:highlight w:val="none"/>
          <w14:textFill>
            <w14:solidFill>
              <w14:schemeClr w14:val="tx1"/>
            </w14:solidFill>
          </w14:textFill>
        </w:rPr>
        <w:t>资格后审</w:t>
      </w:r>
      <w:bookmarkEnd w:id="78"/>
    </w:p>
    <w:p>
      <w:pPr>
        <w:pStyle w:val="39"/>
        <w:widowControl w:val="0"/>
        <w:numPr>
          <w:ilvl w:val="0"/>
          <w:numId w:val="3"/>
        </w:numPr>
        <w:tabs>
          <w:tab w:val="left" w:pos="567"/>
          <w:tab w:val="left" w:pos="907"/>
        </w:tabs>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采购人将</w:t>
      </w:r>
      <w:r>
        <w:rPr>
          <w:rFonts w:hint="eastAsia" w:ascii="宋体" w:hAnsi="宋体" w:cs="宋体"/>
          <w:b/>
          <w:bCs/>
          <w:color w:val="000000" w:themeColor="text1"/>
          <w:szCs w:val="21"/>
          <w:highlight w:val="none"/>
          <w14:textFill>
            <w14:solidFill>
              <w14:schemeClr w14:val="tx1"/>
            </w14:solidFill>
          </w14:textFill>
        </w:rPr>
        <w:t>有权</w:t>
      </w:r>
      <w:r>
        <w:rPr>
          <w:rFonts w:hint="eastAsia" w:ascii="宋体" w:hAnsi="宋体" w:cs="宋体"/>
          <w:color w:val="000000" w:themeColor="text1"/>
          <w:szCs w:val="21"/>
          <w:highlight w:val="none"/>
          <w14:textFill>
            <w14:solidFill>
              <w14:schemeClr w14:val="tx1"/>
            </w14:solidFill>
          </w14:textFill>
        </w:rPr>
        <w:t>根据本文件中的要求，对评委会推荐的中标候选人进行资格后审。</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中标候选人须无条件配合资格后审，否则采购人有权取消其中标资格，且投标保证金可不予退还。</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如发现中标候选人以他人名义投标或者以其他方式弄虚作假，骗取中标的，采购人有权取消其中标资格，且投标保证金可不予退还；给采购人造成损失的，应依法承担赔偿责任。</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pPr>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79" w:name="_Toc27788"/>
      <w:r>
        <w:rPr>
          <w:rFonts w:hint="eastAsia" w:ascii="宋体" w:hAnsi="宋体" w:cs="宋体"/>
          <w:color w:val="000000" w:themeColor="text1"/>
          <w:sz w:val="21"/>
          <w:szCs w:val="21"/>
          <w:highlight w:val="none"/>
          <w14:textFill>
            <w14:solidFill>
              <w14:schemeClr w14:val="tx1"/>
            </w14:solidFill>
          </w14:textFill>
        </w:rPr>
        <w:t>合同的签订与履行</w:t>
      </w:r>
      <w:bookmarkEnd w:id="79"/>
    </w:p>
    <w:p>
      <w:pPr>
        <w:pStyle w:val="39"/>
        <w:widowControl w:val="0"/>
        <w:numPr>
          <w:ilvl w:val="0"/>
          <w:numId w:val="3"/>
        </w:numPr>
        <w:tabs>
          <w:tab w:val="left" w:pos="907"/>
        </w:tabs>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工期开始时间不得早于合同签订时间。</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采购人与中标人应当根据合同的约定依法履行合同义务。</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采购合同的履行、违约责任和解决争议的方法等适用《中华人民共和国民法典》。</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pPr>
        <w:widowControl w:val="0"/>
        <w:tabs>
          <w:tab w:val="left" w:pos="907"/>
        </w:tabs>
        <w:adjustRightInd/>
        <w:snapToGrid/>
        <w:jc w:val="both"/>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80" w:name="_Toc382049124"/>
      <w:bookmarkStart w:id="81" w:name="_Toc29009"/>
      <w:bookmarkStart w:id="82" w:name="_Toc303084277"/>
      <w:bookmarkStart w:id="83" w:name="_Toc25085"/>
      <w:r>
        <w:rPr>
          <w:rFonts w:hint="eastAsia" w:ascii="宋体" w:hAnsi="宋体" w:cs="宋体"/>
          <w:color w:val="000000" w:themeColor="text1"/>
          <w:sz w:val="21"/>
          <w:szCs w:val="21"/>
          <w:highlight w:val="none"/>
          <w14:textFill>
            <w14:solidFill>
              <w14:schemeClr w14:val="tx1"/>
            </w14:solidFill>
          </w14:textFill>
        </w:rPr>
        <w:t>履约</w:t>
      </w:r>
      <w:bookmarkEnd w:id="80"/>
      <w:bookmarkEnd w:id="81"/>
      <w:bookmarkEnd w:id="82"/>
      <w:r>
        <w:rPr>
          <w:rFonts w:hint="eastAsia" w:ascii="宋体" w:hAnsi="宋体" w:cs="宋体"/>
          <w:color w:val="000000" w:themeColor="text1"/>
          <w:sz w:val="21"/>
          <w:szCs w:val="21"/>
          <w:highlight w:val="none"/>
          <w14:textFill>
            <w14:solidFill>
              <w14:schemeClr w14:val="tx1"/>
            </w14:solidFill>
          </w14:textFill>
        </w:rPr>
        <w:t>担保</w:t>
      </w:r>
      <w:bookmarkEnd w:id="83"/>
    </w:p>
    <w:p>
      <w:pPr>
        <w:pStyle w:val="39"/>
        <w:widowControl w:val="0"/>
        <w:numPr>
          <w:ilvl w:val="0"/>
          <w:numId w:val="3"/>
        </w:numPr>
        <w:tabs>
          <w:tab w:val="left" w:pos="907"/>
        </w:tabs>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人在采购（合同签署）时提交履约担保，履约担保金额不超过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履约担保期限从合同签订之日起至项目服务期结束验收合格并结算完毕后，经双方签字7天内保持有效。</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履约担保可以采用下列任何一种形式：</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（1）履约保函。如果中标人的履约担保是以银行保函形式提供的，则该银行保函应：</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①保函应由银行支行或以上银行机构开具，非东莞市行政区内的银行开具的保函要由银行所在地公证部门出具的公证书。</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②保函的格式参考投标文件附件中提供的无条件不可撤销履约保函格式，保函担保期内若项目未能按期竣工，保函必须延期，办理延期手续时在银行方面所产生费用由中标人负责。</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③履约保函必须打印，手写、涂改无效。</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履约保证金。可采用电汇、银行汇票等银行转账方式提交，但不可以采用现金方式提交。履约保证金金额为中标价的10%。中标人人必须保证履约保证金以中标人的名称在（合同约定的日期）前提交至采购人指定账户。</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若中标人不能按本采购文件（33.1至33.3）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为取得履约担保所需的费用，由中标人承担；若工期延误，履约担保时间延长，延长费用由中标人承担。</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下列任何情况发生时，采购人有权行使享有的担保权利：</w:t>
      </w:r>
    </w:p>
    <w:p>
      <w:pPr>
        <w:keepNext w:val="0"/>
        <w:keepLines w:val="0"/>
        <w:pageBreakBefore w:val="0"/>
        <w:widowControl w:val="0"/>
        <w:tabs>
          <w:tab w:val="left" w:pos="907"/>
        </w:tabs>
        <w:kinsoku/>
        <w:wordWrap/>
        <w:overflowPunct/>
        <w:topLinePunct w:val="0"/>
        <w:autoSpaceDE/>
        <w:autoSpaceDN/>
        <w:bidi w:val="0"/>
        <w:adjustRightInd/>
        <w:snapToGrid/>
        <w:spacing w:line="240" w:lineRule="auto"/>
        <w:ind w:left="567"/>
        <w:jc w:val="both"/>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（1）中标人将本项目转让给他人，或者在投标文件中未说明，且未经采购人同意，将中标项目分包给他人的；</w:t>
      </w:r>
    </w:p>
    <w:p>
      <w:pPr>
        <w:keepNext w:val="0"/>
        <w:keepLines w:val="0"/>
        <w:pageBreakBefore w:val="0"/>
        <w:widowControl w:val="0"/>
        <w:tabs>
          <w:tab w:val="left" w:pos="907"/>
        </w:tabs>
        <w:kinsoku/>
        <w:wordWrap/>
        <w:overflowPunct/>
        <w:topLinePunct w:val="0"/>
        <w:autoSpaceDE/>
        <w:autoSpaceDN/>
        <w:bidi w:val="0"/>
        <w:adjustRightInd/>
        <w:snapToGrid/>
        <w:spacing w:line="240" w:lineRule="auto"/>
        <w:ind w:left="567"/>
        <w:jc w:val="both"/>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（2）中标人在履行采购合同期间，违反有关法律法规的规定及合同约定的条款，损害了采购人的利益。</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在整个项目验收合格后，中标人向采购人提交退回履约担保的申请，采购人办理履约担保退还手续。</w:t>
      </w:r>
    </w:p>
    <w:p>
      <w:pPr>
        <w:widowControl w:val="0"/>
        <w:tabs>
          <w:tab w:val="left" w:pos="907"/>
        </w:tabs>
        <w:adjustRightInd/>
        <w:snapToGrid/>
        <w:jc w:val="both"/>
        <w:rPr>
          <w:rFonts w:ascii="宋体" w:hAnsi="宋体" w:cs="宋体"/>
          <w:color w:val="000000" w:themeColor="text1"/>
          <w:highlight w:val="none"/>
          <w14:textFill>
            <w14:solidFill>
              <w14:schemeClr w14:val="tx1"/>
            </w14:solidFill>
          </w14:textFill>
        </w:rPr>
      </w:pPr>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84" w:name="_Toc22569"/>
      <w:r>
        <w:rPr>
          <w:rFonts w:hint="eastAsia" w:ascii="宋体" w:hAnsi="宋体" w:cs="宋体"/>
          <w:color w:val="000000" w:themeColor="text1"/>
          <w:sz w:val="21"/>
          <w:szCs w:val="21"/>
          <w:highlight w:val="none"/>
          <w14:textFill>
            <w14:solidFill>
              <w14:schemeClr w14:val="tx1"/>
            </w14:solidFill>
          </w14:textFill>
        </w:rPr>
        <w:t>预付款保函（适用于预付款支付）</w:t>
      </w:r>
      <w:bookmarkEnd w:id="84"/>
    </w:p>
    <w:p>
      <w:pPr>
        <w:pStyle w:val="39"/>
        <w:widowControl w:val="0"/>
        <w:numPr>
          <w:ilvl w:val="0"/>
          <w:numId w:val="3"/>
        </w:numPr>
        <w:tabs>
          <w:tab w:val="left" w:pos="567"/>
          <w:tab w:val="left" w:pos="907"/>
        </w:tabs>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预付款保函应：</w:t>
      </w:r>
    </w:p>
    <w:p>
      <w:pPr>
        <w:keepNext w:val="0"/>
        <w:keepLines w:val="0"/>
        <w:pageBreakBefore w:val="0"/>
        <w:widowControl w:val="0"/>
        <w:tabs>
          <w:tab w:val="left" w:pos="907"/>
        </w:tabs>
        <w:kinsoku/>
        <w:wordWrap/>
        <w:overflowPunct/>
        <w:topLinePunct w:val="0"/>
        <w:autoSpaceDE/>
        <w:autoSpaceDN/>
        <w:bidi w:val="0"/>
        <w:adjustRightInd/>
        <w:snapToGrid/>
        <w:spacing w:line="264" w:lineRule="auto"/>
        <w:ind w:left="567"/>
        <w:jc w:val="both"/>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（1）由东莞市行政区域内的银行支行及以上银行机构开具。非东莞市行政区内的银行开具的保函要由银行所在地公证部门出具的公证书。</w:t>
      </w:r>
    </w:p>
    <w:p>
      <w:pPr>
        <w:keepNext w:val="0"/>
        <w:keepLines w:val="0"/>
        <w:pageBreakBefore w:val="0"/>
        <w:widowControl w:val="0"/>
        <w:tabs>
          <w:tab w:val="left" w:pos="907"/>
        </w:tabs>
        <w:kinsoku/>
        <w:wordWrap/>
        <w:overflowPunct/>
        <w:topLinePunct w:val="0"/>
        <w:autoSpaceDE/>
        <w:autoSpaceDN/>
        <w:bidi w:val="0"/>
        <w:adjustRightInd/>
        <w:snapToGrid/>
        <w:spacing w:line="264" w:lineRule="auto"/>
        <w:ind w:left="567"/>
        <w:jc w:val="both"/>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（2）必须打印，手写、涂改无效</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若中标人不能按本须知（34.1至34.2）的规定执行，采购人将不予支付预付款。</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pPr>
        <w:rPr>
          <w:rFonts w:ascii="宋体" w:hAnsi="宋体" w:cs="宋体"/>
          <w:color w:val="000000" w:themeColor="text1"/>
          <w:highlight w:val="none"/>
          <w14:textFill>
            <w14:solidFill>
              <w14:schemeClr w14:val="tx1"/>
            </w14:solidFill>
          </w14:textFill>
        </w:rPr>
      </w:pPr>
    </w:p>
    <w:p>
      <w:pPr>
        <w:pStyle w:val="4"/>
        <w:numPr>
          <w:ilvl w:val="0"/>
          <w:numId w:val="1"/>
        </w:numPr>
        <w:spacing w:before="0" w:after="0" w:line="360" w:lineRule="auto"/>
        <w:jc w:val="center"/>
        <w:rPr>
          <w:rFonts w:ascii="宋体" w:hAnsi="宋体" w:cs="宋体"/>
          <w:color w:val="000000" w:themeColor="text1"/>
          <w:highlight w:val="none"/>
          <w14:textFill>
            <w14:solidFill>
              <w14:schemeClr w14:val="tx1"/>
            </w14:solidFill>
          </w14:textFill>
        </w:rPr>
      </w:pPr>
      <w:bookmarkStart w:id="85" w:name="_Toc1114"/>
      <w:r>
        <w:rPr>
          <w:rFonts w:hint="eastAsia" w:ascii="宋体" w:hAnsi="宋体" w:cs="宋体"/>
          <w:color w:val="000000" w:themeColor="text1"/>
          <w:highlight w:val="none"/>
          <w14:textFill>
            <w14:solidFill>
              <w14:schemeClr w14:val="tx1"/>
            </w14:solidFill>
          </w14:textFill>
        </w:rPr>
        <w:t>异议</w:t>
      </w:r>
      <w:bookmarkEnd w:id="85"/>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86" w:name="_Toc23836"/>
      <w:r>
        <w:rPr>
          <w:rFonts w:hint="eastAsia" w:ascii="宋体" w:hAnsi="宋体" w:cs="宋体"/>
          <w:color w:val="000000" w:themeColor="text1"/>
          <w:sz w:val="21"/>
          <w:szCs w:val="21"/>
          <w:highlight w:val="none"/>
          <w14:textFill>
            <w14:solidFill>
              <w14:schemeClr w14:val="tx1"/>
            </w14:solidFill>
          </w14:textFill>
        </w:rPr>
        <w:t>异议</w:t>
      </w:r>
      <w:bookmarkEnd w:id="86"/>
    </w:p>
    <w:p>
      <w:pPr>
        <w:pStyle w:val="39"/>
        <w:widowControl w:val="0"/>
        <w:numPr>
          <w:ilvl w:val="0"/>
          <w:numId w:val="3"/>
        </w:numPr>
        <w:tabs>
          <w:tab w:val="left" w:pos="907"/>
        </w:tabs>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采购文件的异议</w:t>
      </w:r>
      <w:r>
        <w:rPr>
          <w:rFonts w:hint="eastAsia" w:ascii="宋体" w:hAnsi="宋体" w:cs="宋体"/>
          <w:color w:val="000000" w:themeColor="text1"/>
          <w:szCs w:val="21"/>
          <w:highlight w:val="none"/>
          <w14:textFill>
            <w14:solidFill>
              <w14:schemeClr w14:val="tx1"/>
            </w14:solidFill>
          </w14:textFill>
        </w:rPr>
        <w:t xml:space="preserve">  </w:t>
      </w:r>
    </w:p>
    <w:p>
      <w:pPr>
        <w:keepNext w:val="0"/>
        <w:keepLines w:val="0"/>
        <w:pageBreakBefore w:val="0"/>
        <w:widowControl w:val="0"/>
        <w:tabs>
          <w:tab w:val="left" w:pos="907"/>
        </w:tabs>
        <w:kinsoku/>
        <w:wordWrap/>
        <w:overflowPunct/>
        <w:topLinePunct w:val="0"/>
        <w:autoSpaceDE/>
        <w:autoSpaceDN/>
        <w:bidi w:val="0"/>
        <w:adjustRightInd/>
        <w:snapToGrid/>
        <w:spacing w:line="240" w:lineRule="auto"/>
        <w:ind w:left="420" w:leftChars="200" w:firstLine="0" w:firstLineChars="0"/>
        <w:jc w:val="both"/>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bCs/>
          <w:color w:val="000000" w:themeColor="text1"/>
          <w:kern w:val="2"/>
          <w:szCs w:val="21"/>
          <w:highlight w:val="none"/>
          <w:lang w:val="zh-CN"/>
          <w14:textFill>
            <w14:solidFill>
              <w14:schemeClr w14:val="tx1"/>
            </w14:solidFill>
          </w14:textFill>
        </w:rPr>
        <w:t>投标人或者其他利害关系人对采购文件有异议的，应当在投标截止时间10日前</w:t>
      </w:r>
      <w:r>
        <w:rPr>
          <w:rFonts w:hint="eastAsia" w:ascii="宋体" w:hAnsi="宋体" w:cs="宋体"/>
          <w:color w:val="000000" w:themeColor="text1"/>
          <w:kern w:val="2"/>
          <w:szCs w:val="21"/>
          <w:highlight w:val="none"/>
          <w:lang w:val="zh-CN"/>
          <w14:textFill>
            <w14:solidFill>
              <w14:schemeClr w14:val="tx1"/>
            </w14:solidFill>
          </w14:textFill>
        </w:rPr>
        <w:t>以书面形式向采购代理机构提出，并将材料原件送达采购代理机构，逾期则视为对采购文件所有内容无异议。</w:t>
      </w:r>
      <w:r>
        <w:rPr>
          <w:rFonts w:hint="eastAsia" w:ascii="宋体" w:hAnsi="宋体" w:cs="宋体"/>
          <w:bCs/>
          <w:color w:val="000000" w:themeColor="text1"/>
          <w:kern w:val="2"/>
          <w:szCs w:val="21"/>
          <w:highlight w:val="none"/>
          <w:lang w:val="zh-CN"/>
          <w14:textFill>
            <w14:solidFill>
              <w14:schemeClr w14:val="tx1"/>
            </w14:solidFill>
          </w14:textFill>
        </w:rPr>
        <w:t>异议</w:t>
      </w:r>
      <w:r>
        <w:rPr>
          <w:rFonts w:hint="eastAsia" w:ascii="宋体" w:hAnsi="宋体" w:cs="宋体"/>
          <w:color w:val="000000" w:themeColor="text1"/>
          <w:kern w:val="2"/>
          <w:szCs w:val="21"/>
          <w:highlight w:val="none"/>
          <w:lang w:val="zh-CN"/>
          <w14:textFill>
            <w14:solidFill>
              <w14:schemeClr w14:val="tx1"/>
            </w14:solidFill>
          </w14:textFill>
        </w:rPr>
        <w:t>书面材料必须加盖投标人法人公章，并注明联系人、联系电话、联系地址。</w:t>
      </w:r>
      <w:r>
        <w:rPr>
          <w:rFonts w:hint="eastAsia" w:ascii="宋体" w:hAnsi="宋体" w:cs="宋体"/>
          <w:bCs/>
          <w:color w:val="000000" w:themeColor="text1"/>
          <w:kern w:val="2"/>
          <w:szCs w:val="21"/>
          <w:highlight w:val="none"/>
          <w:lang w:val="zh-CN"/>
          <w14:textFill>
            <w14:solidFill>
              <w14:schemeClr w14:val="tx1"/>
            </w14:solidFill>
          </w14:textFill>
        </w:rPr>
        <w:t>超出</w:t>
      </w:r>
      <w:r>
        <w:rPr>
          <w:rFonts w:hint="eastAsia" w:ascii="宋体" w:hAnsi="宋体" w:cs="宋体"/>
          <w:color w:val="000000" w:themeColor="text1"/>
          <w:kern w:val="2"/>
          <w:szCs w:val="21"/>
          <w:highlight w:val="none"/>
          <w:lang w:val="zh-CN"/>
          <w14:textFill>
            <w14:solidFill>
              <w14:schemeClr w14:val="tx1"/>
            </w14:solidFill>
          </w14:textFill>
        </w:rPr>
        <w:t>提交接收异议截止时间而</w:t>
      </w:r>
      <w:r>
        <w:rPr>
          <w:rFonts w:hint="eastAsia" w:ascii="宋体" w:hAnsi="宋体" w:cs="宋体"/>
          <w:bCs/>
          <w:color w:val="000000" w:themeColor="text1"/>
          <w:kern w:val="2"/>
          <w:szCs w:val="21"/>
          <w:highlight w:val="none"/>
          <w:lang w:val="zh-CN"/>
          <w14:textFill>
            <w14:solidFill>
              <w14:schemeClr w14:val="tx1"/>
            </w14:solidFill>
          </w14:textFill>
        </w:rPr>
        <w:t>提出的任何疑问，</w:t>
      </w:r>
      <w:r>
        <w:rPr>
          <w:rFonts w:hint="eastAsia" w:ascii="宋体" w:hAnsi="宋体" w:cs="宋体"/>
          <w:bCs/>
          <w:color w:val="000000" w:themeColor="text1"/>
          <w:kern w:val="2"/>
          <w:szCs w:val="21"/>
          <w:highlight w:val="none"/>
          <w14:textFill>
            <w14:solidFill>
              <w14:schemeClr w14:val="tx1"/>
            </w14:solidFill>
          </w14:textFill>
        </w:rPr>
        <w:t>采购人或</w:t>
      </w:r>
      <w:r>
        <w:rPr>
          <w:rFonts w:hint="eastAsia" w:ascii="宋体" w:hAnsi="宋体" w:cs="宋体"/>
          <w:bCs/>
          <w:color w:val="000000" w:themeColor="text1"/>
          <w:kern w:val="2"/>
          <w:szCs w:val="21"/>
          <w:highlight w:val="none"/>
          <w:lang w:val="zh-CN"/>
          <w14:textFill>
            <w14:solidFill>
              <w14:schemeClr w14:val="tx1"/>
            </w14:solidFill>
          </w14:textFill>
        </w:rPr>
        <w:t>采购代理机构可不予答复。</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评标结果异议</w:t>
      </w:r>
      <w:r>
        <w:rPr>
          <w:rFonts w:hint="eastAsia" w:ascii="宋体" w:hAnsi="宋体" w:cs="宋体"/>
          <w:color w:val="000000" w:themeColor="text1"/>
          <w:szCs w:val="21"/>
          <w:highlight w:val="none"/>
          <w14:textFill>
            <w14:solidFill>
              <w14:schemeClr w14:val="tx1"/>
            </w14:solidFill>
          </w14:textFill>
        </w:rPr>
        <w:t xml:space="preserve">   </w:t>
      </w:r>
    </w:p>
    <w:p>
      <w:pPr>
        <w:keepNext w:val="0"/>
        <w:keepLines w:val="0"/>
        <w:pageBreakBefore w:val="0"/>
        <w:widowControl w:val="0"/>
        <w:tabs>
          <w:tab w:val="left" w:pos="907"/>
        </w:tabs>
        <w:kinsoku/>
        <w:wordWrap/>
        <w:overflowPunct/>
        <w:topLinePunct w:val="0"/>
        <w:autoSpaceDE/>
        <w:autoSpaceDN/>
        <w:bidi w:val="0"/>
        <w:adjustRightInd/>
        <w:snapToGrid/>
        <w:spacing w:line="240" w:lineRule="auto"/>
        <w:ind w:left="420" w:leftChars="200" w:firstLine="0" w:firstLineChars="0"/>
        <w:jc w:val="both"/>
        <w:textAlignment w:val="auto"/>
        <w:rPr>
          <w:rFonts w:hint="eastAsia" w:ascii="宋体" w:hAnsi="宋体" w:eastAsia="宋体" w:cs="宋体"/>
          <w:bCs/>
          <w:color w:val="000000" w:themeColor="text1"/>
          <w:kern w:val="2"/>
          <w:szCs w:val="21"/>
          <w:highlight w:val="none"/>
          <w:lang w:val="zh-CN"/>
          <w14:textFill>
            <w14:solidFill>
              <w14:schemeClr w14:val="tx1"/>
            </w14:solidFill>
          </w14:textFill>
        </w:rPr>
      </w:pPr>
      <w:r>
        <w:rPr>
          <w:rFonts w:hint="eastAsia" w:ascii="宋体" w:hAnsi="宋体" w:eastAsia="宋体" w:cs="宋体"/>
          <w:bCs/>
          <w:color w:val="000000" w:themeColor="text1"/>
          <w:kern w:val="2"/>
          <w:szCs w:val="21"/>
          <w:highlight w:val="none"/>
          <w:lang w:val="zh-CN"/>
          <w14:textFill>
            <w14:solidFill>
              <w14:schemeClr w14:val="tx1"/>
            </w14:solidFill>
          </w14:textFill>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pPr>
        <w:keepNext w:val="0"/>
        <w:keepLines w:val="0"/>
        <w:pageBreakBefore w:val="0"/>
        <w:widowControl w:val="0"/>
        <w:tabs>
          <w:tab w:val="left" w:pos="907"/>
        </w:tabs>
        <w:kinsoku/>
        <w:wordWrap/>
        <w:overflowPunct/>
        <w:topLinePunct w:val="0"/>
        <w:autoSpaceDE/>
        <w:autoSpaceDN/>
        <w:bidi w:val="0"/>
        <w:adjustRightInd/>
        <w:snapToGrid/>
        <w:spacing w:line="240" w:lineRule="auto"/>
        <w:ind w:left="420" w:leftChars="200" w:firstLine="0" w:firstLineChars="0"/>
        <w:jc w:val="both"/>
        <w:textAlignment w:val="auto"/>
        <w:rPr>
          <w:rFonts w:hint="eastAsia" w:ascii="宋体" w:hAnsi="宋体" w:eastAsia="宋体" w:cs="宋体"/>
          <w:bCs/>
          <w:color w:val="000000" w:themeColor="text1"/>
          <w:kern w:val="2"/>
          <w:szCs w:val="21"/>
          <w:highlight w:val="none"/>
          <w:lang w:val="zh-CN"/>
          <w14:textFill>
            <w14:solidFill>
              <w14:schemeClr w14:val="tx1"/>
            </w14:solidFill>
          </w14:textFill>
        </w:rPr>
      </w:pPr>
      <w:r>
        <w:rPr>
          <w:rFonts w:hint="eastAsia" w:ascii="宋体" w:hAnsi="宋体" w:eastAsia="宋体" w:cs="宋体"/>
          <w:bCs/>
          <w:color w:val="000000" w:themeColor="text1"/>
          <w:kern w:val="2"/>
          <w:szCs w:val="21"/>
          <w:highlight w:val="none"/>
          <w:lang w:val="zh-CN"/>
          <w14:textFill>
            <w14:solidFill>
              <w14:schemeClr w14:val="tx1"/>
            </w14:solidFill>
          </w14:textFill>
        </w:rPr>
        <w:t>采购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以联合体形式参加采购活动的，其异议应当由组成联合体的所有投标人共同提出。</w:t>
      </w:r>
    </w:p>
    <w:p>
      <w:pPr>
        <w:rPr>
          <w:rFonts w:ascii="宋体" w:hAnsi="宋体" w:cs="宋体"/>
          <w:color w:val="000000" w:themeColor="text1"/>
          <w:highlight w:val="none"/>
          <w14:textFill>
            <w14:solidFill>
              <w14:schemeClr w14:val="tx1"/>
            </w14:solidFill>
          </w14:textFill>
        </w:rPr>
      </w:pPr>
    </w:p>
    <w:p>
      <w:pPr>
        <w:pStyle w:val="4"/>
        <w:numPr>
          <w:ilvl w:val="0"/>
          <w:numId w:val="1"/>
        </w:numPr>
        <w:spacing w:before="0" w:after="0" w:line="360" w:lineRule="auto"/>
        <w:jc w:val="center"/>
        <w:rPr>
          <w:rFonts w:ascii="宋体" w:hAnsi="宋体" w:cs="宋体"/>
          <w:color w:val="000000" w:themeColor="text1"/>
          <w:highlight w:val="none"/>
          <w14:textFill>
            <w14:solidFill>
              <w14:schemeClr w14:val="tx1"/>
            </w14:solidFill>
          </w14:textFill>
        </w:rPr>
      </w:pPr>
      <w:bookmarkStart w:id="87" w:name="_Toc24199"/>
      <w:r>
        <w:rPr>
          <w:rFonts w:hint="eastAsia" w:ascii="宋体" w:hAnsi="宋体" w:cs="宋体"/>
          <w:color w:val="000000" w:themeColor="text1"/>
          <w:highlight w:val="none"/>
          <w14:textFill>
            <w14:solidFill>
              <w14:schemeClr w14:val="tx1"/>
            </w14:solidFill>
          </w14:textFill>
        </w:rPr>
        <w:t>其他</w:t>
      </w:r>
      <w:bookmarkEnd w:id="87"/>
    </w:p>
    <w:p>
      <w:pPr>
        <w:pStyle w:val="5"/>
        <w:widowControl w:val="0"/>
        <w:numPr>
          <w:ilvl w:val="0"/>
          <w:numId w:val="2"/>
        </w:numPr>
        <w:overflowPunct w:val="0"/>
        <w:rPr>
          <w:rFonts w:ascii="宋体" w:hAnsi="宋体" w:cs="宋体"/>
          <w:color w:val="000000" w:themeColor="text1"/>
          <w:sz w:val="21"/>
          <w:szCs w:val="21"/>
          <w:highlight w:val="none"/>
          <w14:textFill>
            <w14:solidFill>
              <w14:schemeClr w14:val="tx1"/>
            </w14:solidFill>
          </w14:textFill>
        </w:rPr>
      </w:pPr>
      <w:bookmarkStart w:id="88" w:name="_Toc3108"/>
      <w:r>
        <w:rPr>
          <w:rFonts w:hint="eastAsia" w:ascii="宋体" w:hAnsi="宋体" w:cs="宋体"/>
          <w:color w:val="000000" w:themeColor="text1"/>
          <w:sz w:val="21"/>
          <w:szCs w:val="21"/>
          <w:highlight w:val="none"/>
          <w14:textFill>
            <w14:solidFill>
              <w14:schemeClr w14:val="tx1"/>
            </w14:solidFill>
          </w14:textFill>
        </w:rPr>
        <w:t>采购文件的解释权</w:t>
      </w:r>
      <w:bookmarkEnd w:id="88"/>
    </w:p>
    <w:p>
      <w:pPr>
        <w:pStyle w:val="39"/>
        <w:widowControl w:val="0"/>
        <w:numPr>
          <w:ilvl w:val="0"/>
          <w:numId w:val="3"/>
        </w:numPr>
        <w:tabs>
          <w:tab w:val="left" w:pos="907"/>
        </w:tabs>
        <w:adjustRightInd/>
        <w:snapToGrid/>
        <w:ind w:firstLineChars="0"/>
        <w:jc w:val="both"/>
        <w:rPr>
          <w:rFonts w:ascii="宋体" w:hAnsi="宋体" w:cs="宋体"/>
          <w:vanish/>
          <w:color w:val="000000" w:themeColor="text1"/>
          <w:szCs w:val="21"/>
          <w:highlight w:val="none"/>
          <w14:textFill>
            <w14:solidFill>
              <w14:schemeClr w14:val="tx1"/>
            </w14:solidFill>
          </w14:textFill>
        </w:rPr>
      </w:pPr>
    </w:p>
    <w:p>
      <w:pPr>
        <w:widowControl w:val="0"/>
        <w:numPr>
          <w:ilvl w:val="1"/>
          <w:numId w:val="2"/>
        </w:numPr>
        <w:overflowPunct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本采购文件是根据国家有关法律、法规以及采购管理有关规定和参照国际惯例编制，解释权属本采购代理机构。</w:t>
      </w:r>
    </w:p>
    <w:p>
      <w:pPr>
        <w:widowControl w:val="0"/>
        <w:numPr>
          <w:ilvl w:val="1"/>
          <w:numId w:val="3"/>
        </w:numPr>
        <w:tabs>
          <w:tab w:val="left" w:pos="907"/>
        </w:tabs>
        <w:adjustRightInd/>
        <w:snapToGrid/>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3"/>
        <w:spacing w:before="0" w:after="0" w:line="240" w:lineRule="auto"/>
        <w:rPr>
          <w:color w:val="000000" w:themeColor="text1"/>
          <w:sz w:val="28"/>
          <w:szCs w:val="28"/>
          <w:highlight w:val="none"/>
          <w14:textFill>
            <w14:solidFill>
              <w14:schemeClr w14:val="tx1"/>
            </w14:solidFill>
          </w14:textFill>
        </w:rPr>
      </w:pPr>
      <w:bookmarkStart w:id="89" w:name="_Toc12000"/>
      <w:r>
        <w:rPr>
          <w:rFonts w:hint="eastAsia"/>
          <w:color w:val="000000" w:themeColor="text1"/>
          <w:sz w:val="28"/>
          <w:szCs w:val="28"/>
          <w:highlight w:val="none"/>
          <w14:textFill>
            <w14:solidFill>
              <w14:schemeClr w14:val="tx1"/>
            </w14:solidFill>
          </w14:textFill>
        </w:rPr>
        <w:t>第五部分  合同条款格式</w:t>
      </w:r>
      <w:bookmarkEnd w:id="89"/>
      <w:bookmarkStart w:id="90" w:name="_Toc15636"/>
    </w:p>
    <w:bookmarkEnd w:id="90"/>
    <w:p>
      <w:pPr>
        <w:rPr>
          <w:color w:val="000000" w:themeColor="text1"/>
          <w:highlight w:val="none"/>
          <w:lang w:bidi="zh-CN"/>
          <w14:textFill>
            <w14:solidFill>
              <w14:schemeClr w14:val="tx1"/>
            </w14:solidFill>
          </w14:textFill>
        </w:rPr>
      </w:pPr>
      <w:bookmarkStart w:id="91" w:name="_Hlt109815959"/>
      <w:bookmarkEnd w:id="91"/>
    </w:p>
    <w:p>
      <w:pPr>
        <w:pStyle w:val="4"/>
        <w:pageBreakBefore w:val="0"/>
        <w:kinsoku/>
        <w:topLinePunct w:val="0"/>
        <w:autoSpaceDE/>
        <w:autoSpaceDN/>
        <w:bidi w:val="0"/>
        <w:spacing w:before="0" w:after="0" w:line="360" w:lineRule="auto"/>
        <w:jc w:val="center"/>
        <w:rPr>
          <w:rFonts w:ascii="宋体" w:hAnsi="宋体" w:eastAsia="宋体" w:cs="宋体"/>
          <w:color w:val="000000" w:themeColor="text1"/>
          <w:highlight w:val="none"/>
          <w14:textFill>
            <w14:solidFill>
              <w14:schemeClr w14:val="tx1"/>
            </w14:solidFill>
          </w14:textFill>
        </w:rPr>
      </w:pPr>
      <w:bookmarkStart w:id="92" w:name="_Toc18720"/>
      <w:r>
        <w:rPr>
          <w:rFonts w:hint="eastAsia" w:ascii="宋体" w:hAnsi="宋体" w:eastAsia="宋体" w:cs="宋体"/>
          <w:color w:val="000000" w:themeColor="text1"/>
          <w:highlight w:val="none"/>
          <w14:textFill>
            <w14:solidFill>
              <w14:schemeClr w14:val="tx1"/>
            </w14:solidFill>
          </w14:textFill>
        </w:rPr>
        <w:t>合同格式</w:t>
      </w:r>
      <w:bookmarkEnd w:id="92"/>
    </w:p>
    <w:p>
      <w:pPr>
        <w:keepNext w:val="0"/>
        <w:keepLines w:val="0"/>
        <w:pageBreakBefore w:val="0"/>
        <w:kinsoku/>
        <w:wordWrap/>
        <w:overflowPunct/>
        <w:topLinePunct w:val="0"/>
        <w:autoSpaceDE/>
        <w:autoSpaceDN/>
        <w:bidi w:val="0"/>
        <w:spacing w:line="400" w:lineRule="exact"/>
        <w:ind w:right="56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合同编号：</w:t>
      </w:r>
    </w:p>
    <w:p>
      <w:pPr>
        <w:keepNext w:val="0"/>
        <w:keepLines w:val="0"/>
        <w:pageBreakBefore w:val="0"/>
        <w:kinsoku/>
        <w:wordWrap/>
        <w:overflowPunct/>
        <w:topLinePunct w:val="0"/>
        <w:autoSpaceDE/>
        <w:autoSpaceDN/>
        <w:bidi w:val="0"/>
        <w:spacing w:line="400" w:lineRule="exact"/>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甲方：</w:t>
      </w:r>
    </w:p>
    <w:p>
      <w:pPr>
        <w:keepNext w:val="0"/>
        <w:keepLines w:val="0"/>
        <w:pageBreakBefore w:val="0"/>
        <w:kinsoku/>
        <w:wordWrap/>
        <w:overflowPunct/>
        <w:topLinePunct w:val="0"/>
        <w:autoSpaceDE/>
        <w:autoSpaceDN/>
        <w:bidi w:val="0"/>
        <w:spacing w:line="400" w:lineRule="exact"/>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乙方：“ </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”为中标单位</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受甲方委托，</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u w:val="single"/>
          <w:lang w:eastAsia="zh-CN"/>
          <w14:textFill>
            <w14:solidFill>
              <w14:schemeClr w14:val="tx1"/>
            </w14:solidFill>
          </w14:textFill>
        </w:rPr>
        <w:t>招标代理机构</w:t>
      </w:r>
      <w:r>
        <w:rPr>
          <w:rFonts w:hint="eastAsia" w:ascii="宋体" w:hAnsi="宋体" w:eastAsia="宋体"/>
          <w:color w:val="000000" w:themeColor="text1"/>
          <w:sz w:val="21"/>
          <w:szCs w:val="21"/>
          <w:highlight w:val="none"/>
          <w:u w:val="single"/>
          <w14:textFill>
            <w14:solidFill>
              <w14:schemeClr w14:val="tx1"/>
            </w14:solidFill>
          </w14:textFill>
        </w:rPr>
        <w:t>)</w:t>
      </w:r>
      <w:r>
        <w:rPr>
          <w:rFonts w:hint="eastAsia" w:ascii="宋体" w:hAnsi="宋体" w:eastAsia="宋体"/>
          <w:color w:val="000000" w:themeColor="text1"/>
          <w:sz w:val="21"/>
          <w:szCs w:val="21"/>
          <w:highlight w:val="none"/>
          <w14:textFill>
            <w14:solidFill>
              <w14:schemeClr w14:val="tx1"/>
            </w14:solidFill>
          </w14:textFill>
        </w:rPr>
        <w:t>组织对</w:t>
      </w:r>
      <w:r>
        <w:rPr>
          <w:rFonts w:hint="eastAsia" w:ascii="宋体" w:hAnsi="宋体" w:eastAsia="宋体"/>
          <w:color w:val="000000" w:themeColor="text1"/>
          <w:sz w:val="21"/>
          <w:szCs w:val="21"/>
          <w:highlight w:val="none"/>
          <w:u w:val="single"/>
          <w14:textFill>
            <w14:solidFill>
              <w14:schemeClr w14:val="tx1"/>
            </w14:solidFill>
          </w14:textFill>
        </w:rPr>
        <w:t xml:space="preserve">         （项目名称）</w:t>
      </w:r>
      <w:r>
        <w:rPr>
          <w:rFonts w:hint="eastAsia" w:ascii="宋体" w:hAnsi="宋体" w:eastAsia="宋体"/>
          <w:color w:val="000000" w:themeColor="text1"/>
          <w:sz w:val="21"/>
          <w:szCs w:val="21"/>
          <w:highlight w:val="none"/>
          <w14:textFill>
            <w14:solidFill>
              <w14:schemeClr w14:val="tx1"/>
            </w14:solidFill>
          </w14:textFill>
        </w:rPr>
        <w:t>项目（</w:t>
      </w:r>
      <w:r>
        <w:rPr>
          <w:rFonts w:hint="eastAsia" w:ascii="宋体" w:hAnsi="宋体" w:eastAsia="宋体"/>
          <w:color w:val="000000" w:themeColor="text1"/>
          <w:sz w:val="21"/>
          <w:szCs w:val="21"/>
          <w:highlight w:val="none"/>
          <w:lang w:eastAsia="zh-CN"/>
          <w14:textFill>
            <w14:solidFill>
              <w14:schemeClr w14:val="tx1"/>
            </w14:solidFill>
          </w14:textFill>
        </w:rPr>
        <w:t>招标项目编号</w:t>
      </w:r>
      <w:r>
        <w:rPr>
          <w:rFonts w:hint="eastAsia" w:ascii="宋体" w:hAnsi="宋体" w:eastAsia="宋体"/>
          <w:color w:val="000000" w:themeColor="text1"/>
          <w:sz w:val="21"/>
          <w:szCs w:val="21"/>
          <w:highlight w:val="none"/>
          <w14:textFill>
            <w14:solidFill>
              <w14:schemeClr w14:val="tx1"/>
            </w14:solidFill>
          </w14:textFill>
        </w:rPr>
        <w:t>为</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）进行</w:t>
      </w:r>
      <w:r>
        <w:rPr>
          <w:rFonts w:hint="eastAsia" w:ascii="宋体" w:hAnsi="宋体" w:eastAsia="宋体"/>
          <w:color w:val="000000" w:themeColor="text1"/>
          <w:sz w:val="21"/>
          <w:szCs w:val="21"/>
          <w:highlight w:val="none"/>
          <w:lang w:eastAsia="zh-CN"/>
          <w14:textFill>
            <w14:solidFill>
              <w14:schemeClr w14:val="tx1"/>
            </w14:solidFill>
          </w14:textFill>
        </w:rPr>
        <w:t>招标</w:t>
      </w:r>
      <w:r>
        <w:rPr>
          <w:rFonts w:hint="eastAsia" w:ascii="宋体" w:hAnsi="宋体" w:eastAsia="宋体"/>
          <w:color w:val="000000" w:themeColor="text1"/>
          <w:sz w:val="21"/>
          <w:szCs w:val="21"/>
          <w:highlight w:val="none"/>
          <w14:textFill>
            <w14:solidFill>
              <w14:schemeClr w14:val="tx1"/>
            </w14:solidFill>
          </w14:textFill>
        </w:rPr>
        <w:t>，于</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年</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月</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日通过公开招标，经评标委员会评定乙方</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为中标单位。为了保护甲、乙双方合法权益，根据《中华人民共和国</w:t>
      </w:r>
      <w:r>
        <w:rPr>
          <w:rFonts w:hint="eastAsia" w:eastAsia="宋体"/>
          <w:color w:val="000000" w:themeColor="text1"/>
          <w:highlight w:val="none"/>
          <w:lang w:eastAsia="zh-CN"/>
          <w14:textFill>
            <w14:solidFill>
              <w14:schemeClr w14:val="tx1"/>
            </w14:solidFill>
          </w14:textFill>
        </w:rPr>
        <w:t>民法典</w:t>
      </w:r>
      <w:r>
        <w:rPr>
          <w:rFonts w:hint="eastAsia"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lang w:eastAsia="zh-CN"/>
          <w14:textFill>
            <w14:solidFill>
              <w14:schemeClr w14:val="tx1"/>
            </w14:solidFill>
          </w14:textFill>
        </w:rPr>
        <w:t>等相关法律</w:t>
      </w:r>
      <w:r>
        <w:rPr>
          <w:rFonts w:hint="eastAsia" w:ascii="宋体" w:hAnsi="宋体" w:eastAsia="宋体"/>
          <w:color w:val="000000" w:themeColor="text1"/>
          <w:sz w:val="21"/>
          <w:szCs w:val="21"/>
          <w:highlight w:val="none"/>
          <w14:textFill>
            <w14:solidFill>
              <w14:schemeClr w14:val="tx1"/>
            </w14:solidFill>
          </w14:textFill>
        </w:rPr>
        <w:t>，在平等自愿的基础上，按照下面的条款和条件，签署本合同。</w:t>
      </w:r>
    </w:p>
    <w:p>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第一条 合同项目</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1、项目名称：                        ；</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w:t>
      </w:r>
      <w:r>
        <w:rPr>
          <w:rFonts w:hint="eastAsia" w:ascii="宋体" w:hAnsi="宋体" w:eastAsia="宋体"/>
          <w:color w:val="000000" w:themeColor="text1"/>
          <w:sz w:val="21"/>
          <w:szCs w:val="21"/>
          <w:highlight w:val="none"/>
          <w:lang w:eastAsia="zh-CN"/>
          <w14:textFill>
            <w14:solidFill>
              <w14:schemeClr w14:val="tx1"/>
            </w14:solidFill>
          </w14:textFill>
        </w:rPr>
        <w:t>招标项目编号</w:t>
      </w:r>
      <w:r>
        <w:rPr>
          <w:rFonts w:hint="eastAsia" w:ascii="宋体" w:hAnsi="宋体" w:eastAsia="宋体"/>
          <w:color w:val="000000" w:themeColor="text1"/>
          <w:sz w:val="21"/>
          <w:szCs w:val="21"/>
          <w:highlight w:val="none"/>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第二条 合同组成</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1、合同文件组成内容包括：本合同书 、中标通知书、投标文件（含澄清内容）、招标文件（含招标文件澄清通知）等。</w:t>
      </w:r>
    </w:p>
    <w:p>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000000" w:themeColor="text1"/>
          <w:sz w:val="21"/>
          <w:szCs w:val="21"/>
          <w:highlight w:val="none"/>
          <w14:textFill>
            <w14:solidFill>
              <w14:schemeClr w14:val="tx1"/>
            </w14:solidFill>
          </w14:textFill>
        </w:rPr>
      </w:pPr>
      <w:bookmarkStart w:id="93" w:name="_Toc86481558"/>
      <w:r>
        <w:rPr>
          <w:rFonts w:hint="eastAsia" w:ascii="宋体" w:hAnsi="宋体" w:eastAsia="宋体"/>
          <w:b/>
          <w:color w:val="000000" w:themeColor="text1"/>
          <w:sz w:val="21"/>
          <w:szCs w:val="21"/>
          <w:highlight w:val="none"/>
          <w14:textFill>
            <w14:solidFill>
              <w14:schemeClr w14:val="tx1"/>
            </w14:solidFill>
          </w14:textFill>
        </w:rPr>
        <w:t>第三条 服务内容、标准及要求</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仿宋"/>
          <w:color w:val="000000" w:themeColor="text1"/>
          <w:sz w:val="21"/>
          <w:szCs w:val="21"/>
          <w:highlight w:val="none"/>
          <w:u w:val="single"/>
          <w:shd w:val="clear" w:color="auto" w:fill="FFFFFF"/>
          <w14:textFill>
            <w14:solidFill>
              <w14:schemeClr w14:val="tx1"/>
            </w14:solidFill>
          </w14:textFill>
        </w:rPr>
      </w:pPr>
      <w:r>
        <w:rPr>
          <w:rFonts w:hint="eastAsia" w:ascii="宋体" w:hAnsi="宋体" w:eastAsia="宋体" w:cs="仿宋"/>
          <w:color w:val="000000" w:themeColor="text1"/>
          <w:sz w:val="21"/>
          <w:szCs w:val="21"/>
          <w:highlight w:val="none"/>
          <w:shd w:val="clear" w:color="auto" w:fill="FFFFFF"/>
          <w14:textFill>
            <w14:solidFill>
              <w14:schemeClr w14:val="tx1"/>
            </w14:solidFill>
          </w14:textFill>
        </w:rPr>
        <w:t>1、</w:t>
      </w:r>
      <w:r>
        <w:rPr>
          <w:rFonts w:hint="eastAsia" w:ascii="宋体" w:hAnsi="宋体" w:eastAsia="宋体" w:cs="仿宋"/>
          <w:color w:val="000000" w:themeColor="text1"/>
          <w:sz w:val="21"/>
          <w:szCs w:val="21"/>
          <w:highlight w:val="none"/>
          <w:shd w:val="clear" w:color="auto" w:fill="FFFFFF"/>
          <w:lang w:eastAsia="zh-CN"/>
          <w14:textFill>
            <w14:solidFill>
              <w14:schemeClr w14:val="tx1"/>
            </w14:solidFill>
          </w14:textFill>
        </w:rPr>
        <w:t>招标</w:t>
      </w:r>
      <w:r>
        <w:rPr>
          <w:rFonts w:hint="eastAsia" w:ascii="宋体" w:hAnsi="宋体" w:eastAsia="宋体" w:cs="仿宋"/>
          <w:color w:val="000000" w:themeColor="text1"/>
          <w:sz w:val="21"/>
          <w:szCs w:val="21"/>
          <w:highlight w:val="none"/>
          <w:shd w:val="clear" w:color="auto" w:fill="FFFFFF"/>
          <w14:textFill>
            <w14:solidFill>
              <w14:schemeClr w14:val="tx1"/>
            </w14:solidFill>
          </w14:textFill>
        </w:rPr>
        <w:t>内容：</w:t>
      </w:r>
      <w:r>
        <w:rPr>
          <w:rFonts w:hint="eastAsia" w:ascii="宋体" w:hAnsi="宋体" w:eastAsia="宋体" w:cs="仿宋"/>
          <w:color w:val="000000" w:themeColor="text1"/>
          <w:sz w:val="21"/>
          <w:szCs w:val="21"/>
          <w:highlight w:val="none"/>
          <w:u w:val="single"/>
          <w:shd w:val="clear" w:color="auto" w:fill="FFFFFF"/>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仿宋"/>
          <w:color w:val="000000" w:themeColor="text1"/>
          <w:sz w:val="21"/>
          <w:szCs w:val="21"/>
          <w:highlight w:val="none"/>
          <w:shd w:val="clear" w:color="auto" w:fill="FFFFFF"/>
          <w14:textFill>
            <w14:solidFill>
              <w14:schemeClr w14:val="tx1"/>
            </w14:solidFill>
          </w14:textFill>
        </w:rPr>
      </w:pPr>
      <w:r>
        <w:rPr>
          <w:rFonts w:hint="eastAsia" w:ascii="宋体" w:hAnsi="宋体" w:eastAsia="宋体" w:cs="仿宋"/>
          <w:color w:val="000000" w:themeColor="text1"/>
          <w:sz w:val="21"/>
          <w:szCs w:val="21"/>
          <w:highlight w:val="none"/>
          <w:shd w:val="clear" w:color="auto" w:fill="FFFFFF"/>
          <w14:textFill>
            <w14:solidFill>
              <w14:schemeClr w14:val="tx1"/>
            </w14:solidFill>
          </w14:textFill>
        </w:rPr>
        <w:t>2、</w:t>
      </w:r>
      <w:r>
        <w:rPr>
          <w:rFonts w:hint="eastAsia" w:ascii="宋体" w:hAnsi="宋体" w:eastAsia="宋体" w:cs="仿宋"/>
          <w:color w:val="000000" w:themeColor="text1"/>
          <w:sz w:val="21"/>
          <w:szCs w:val="21"/>
          <w:highlight w:val="none"/>
          <w:shd w:val="clear" w:color="auto" w:fill="FFFFFF"/>
          <w:lang w:eastAsia="zh-CN"/>
          <w14:textFill>
            <w14:solidFill>
              <w14:schemeClr w14:val="tx1"/>
            </w14:solidFill>
          </w14:textFill>
        </w:rPr>
        <w:t>招标</w:t>
      </w:r>
      <w:r>
        <w:rPr>
          <w:rFonts w:hint="eastAsia" w:ascii="宋体" w:hAnsi="宋体" w:eastAsia="宋体" w:cs="仿宋"/>
          <w:color w:val="000000" w:themeColor="text1"/>
          <w:sz w:val="21"/>
          <w:szCs w:val="21"/>
          <w:highlight w:val="none"/>
          <w:shd w:val="clear" w:color="auto" w:fill="FFFFFF"/>
          <w14:textFill>
            <w14:solidFill>
              <w14:schemeClr w14:val="tx1"/>
            </w14:solidFill>
          </w14:textFill>
        </w:rPr>
        <w:t>标准：</w:t>
      </w:r>
      <w:r>
        <w:rPr>
          <w:rFonts w:hint="eastAsia" w:ascii="宋体" w:hAnsi="宋体" w:eastAsia="宋体" w:cs="仿宋"/>
          <w:color w:val="000000" w:themeColor="text1"/>
          <w:sz w:val="21"/>
          <w:szCs w:val="21"/>
          <w:highlight w:val="none"/>
          <w:u w:val="single"/>
          <w:shd w:val="clear" w:color="auto" w:fill="FFFFFF"/>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仿宋"/>
          <w:color w:val="000000" w:themeColor="text1"/>
          <w:sz w:val="21"/>
          <w:szCs w:val="21"/>
          <w:highlight w:val="none"/>
          <w:shd w:val="clear" w:color="auto" w:fill="FFFFFF"/>
          <w14:textFill>
            <w14:solidFill>
              <w14:schemeClr w14:val="tx1"/>
            </w14:solidFill>
          </w14:textFill>
        </w:rPr>
      </w:pPr>
      <w:r>
        <w:rPr>
          <w:rFonts w:hint="eastAsia" w:ascii="宋体" w:hAnsi="宋体" w:eastAsia="宋体" w:cs="仿宋"/>
          <w:color w:val="000000" w:themeColor="text1"/>
          <w:sz w:val="21"/>
          <w:szCs w:val="21"/>
          <w:highlight w:val="none"/>
          <w:shd w:val="clear" w:color="auto" w:fill="FFFFFF"/>
          <w14:textFill>
            <w14:solidFill>
              <w14:schemeClr w14:val="tx1"/>
            </w14:solidFill>
          </w14:textFill>
        </w:rPr>
        <w:t>3、</w:t>
      </w:r>
      <w:r>
        <w:rPr>
          <w:rFonts w:hint="eastAsia" w:ascii="宋体" w:hAnsi="宋体" w:eastAsia="宋体" w:cs="仿宋"/>
          <w:color w:val="000000" w:themeColor="text1"/>
          <w:sz w:val="21"/>
          <w:szCs w:val="21"/>
          <w:highlight w:val="none"/>
          <w:shd w:val="clear" w:color="auto" w:fill="FFFFFF"/>
          <w:lang w:eastAsia="zh-CN"/>
          <w14:textFill>
            <w14:solidFill>
              <w14:schemeClr w14:val="tx1"/>
            </w14:solidFill>
          </w14:textFill>
        </w:rPr>
        <w:t>招标</w:t>
      </w:r>
      <w:r>
        <w:rPr>
          <w:rFonts w:hint="eastAsia" w:ascii="宋体" w:hAnsi="宋体" w:eastAsia="宋体" w:cs="仿宋"/>
          <w:color w:val="000000" w:themeColor="text1"/>
          <w:sz w:val="21"/>
          <w:szCs w:val="21"/>
          <w:highlight w:val="none"/>
          <w:shd w:val="clear" w:color="auto" w:fill="FFFFFF"/>
          <w14:textFill>
            <w14:solidFill>
              <w14:schemeClr w14:val="tx1"/>
            </w14:solidFill>
          </w14:textFill>
        </w:rPr>
        <w:t>要求：</w:t>
      </w:r>
      <w:r>
        <w:rPr>
          <w:rFonts w:hint="eastAsia" w:ascii="宋体" w:hAnsi="宋体" w:eastAsia="宋体" w:cs="仿宋"/>
          <w:color w:val="000000" w:themeColor="text1"/>
          <w:sz w:val="21"/>
          <w:szCs w:val="21"/>
          <w:highlight w:val="none"/>
          <w:u w:val="single"/>
          <w:shd w:val="clear" w:color="auto" w:fill="FFFFFF"/>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仿宋"/>
          <w:color w:val="000000" w:themeColor="text1"/>
          <w:sz w:val="21"/>
          <w:szCs w:val="21"/>
          <w:highlight w:val="none"/>
          <w:shd w:val="clear" w:color="auto" w:fill="FFFFFF"/>
          <w14:textFill>
            <w14:solidFill>
              <w14:schemeClr w14:val="tx1"/>
            </w14:solidFill>
          </w14:textFill>
        </w:rPr>
      </w:pPr>
      <w:r>
        <w:rPr>
          <w:rFonts w:hint="eastAsia" w:ascii="宋体" w:hAnsi="宋体" w:eastAsia="宋体" w:cs="仿宋"/>
          <w:color w:val="000000" w:themeColor="text1"/>
          <w:sz w:val="21"/>
          <w:szCs w:val="21"/>
          <w:highlight w:val="none"/>
          <w:shd w:val="clear" w:color="auto" w:fill="FFFFFF"/>
          <w14:textFill>
            <w14:solidFill>
              <w14:schemeClr w14:val="tx1"/>
            </w14:solidFill>
          </w14:textFill>
        </w:rPr>
        <w:t>4、具体</w:t>
      </w:r>
      <w:r>
        <w:rPr>
          <w:rFonts w:hint="eastAsia" w:ascii="宋体" w:hAnsi="宋体" w:eastAsia="宋体" w:cs="仿宋"/>
          <w:color w:val="000000" w:themeColor="text1"/>
          <w:sz w:val="21"/>
          <w:szCs w:val="21"/>
          <w:highlight w:val="none"/>
          <w:shd w:val="clear" w:color="auto" w:fill="FFFFFF"/>
          <w:lang w:eastAsia="zh-CN"/>
          <w14:textFill>
            <w14:solidFill>
              <w14:schemeClr w14:val="tx1"/>
            </w14:solidFill>
          </w14:textFill>
        </w:rPr>
        <w:t>招标</w:t>
      </w:r>
      <w:r>
        <w:rPr>
          <w:rFonts w:hint="eastAsia" w:ascii="宋体" w:hAnsi="宋体" w:eastAsia="宋体" w:cs="仿宋"/>
          <w:color w:val="000000" w:themeColor="text1"/>
          <w:sz w:val="21"/>
          <w:szCs w:val="21"/>
          <w:highlight w:val="none"/>
          <w:shd w:val="clear" w:color="auto" w:fill="FFFFFF"/>
          <w14:textFill>
            <w14:solidFill>
              <w14:schemeClr w14:val="tx1"/>
            </w14:solidFill>
          </w14:textFill>
        </w:rPr>
        <w:t>内容</w:t>
      </w:r>
      <w:r>
        <w:rPr>
          <w:rFonts w:hint="eastAsia" w:ascii="宋体" w:hAnsi="宋体" w:eastAsia="宋体" w:cs="仿宋"/>
          <w:color w:val="000000" w:themeColor="text1"/>
          <w:sz w:val="21"/>
          <w:szCs w:val="21"/>
          <w:highlight w:val="none"/>
          <w:shd w:val="clear" w:color="auto" w:fill="FFFFFF"/>
          <w:lang w:eastAsia="zh-CN"/>
          <w14:textFill>
            <w14:solidFill>
              <w14:schemeClr w14:val="tx1"/>
            </w14:solidFill>
          </w14:textFill>
        </w:rPr>
        <w:t>招标</w:t>
      </w:r>
      <w:r>
        <w:rPr>
          <w:rFonts w:hint="eastAsia" w:ascii="宋体" w:hAnsi="宋体" w:eastAsia="宋体" w:cs="仿宋"/>
          <w:color w:val="000000" w:themeColor="text1"/>
          <w:sz w:val="21"/>
          <w:szCs w:val="21"/>
          <w:highlight w:val="none"/>
          <w:shd w:val="clear" w:color="auto" w:fill="FFFFFF"/>
          <w14:textFill>
            <w14:solidFill>
              <w14:schemeClr w14:val="tx1"/>
            </w14:solidFill>
          </w14:textFill>
        </w:rPr>
        <w:t>标准及要求以招标文件用户需求书及乙方投标文件承诺条款及方案为准。</w:t>
      </w:r>
    </w:p>
    <w:p>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第四条 价格</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仿宋"/>
          <w:color w:val="000000" w:themeColor="text1"/>
          <w:sz w:val="21"/>
          <w:szCs w:val="21"/>
          <w:highlight w:val="none"/>
          <w:shd w:val="clear" w:color="auto" w:fill="FFFFFF"/>
          <w14:textFill>
            <w14:solidFill>
              <w14:schemeClr w14:val="tx1"/>
            </w14:solidFill>
          </w14:textFill>
        </w:rPr>
      </w:pPr>
      <w:r>
        <w:rPr>
          <w:rFonts w:hint="eastAsia" w:ascii="宋体" w:hAnsi="宋体" w:eastAsia="宋体" w:cs="仿宋"/>
          <w:color w:val="000000" w:themeColor="text1"/>
          <w:sz w:val="21"/>
          <w:szCs w:val="21"/>
          <w:highlight w:val="none"/>
          <w:shd w:val="clear" w:color="auto" w:fill="FFFFFF"/>
          <w14:textFill>
            <w14:solidFill>
              <w14:schemeClr w14:val="tx1"/>
            </w14:solidFill>
          </w14:textFill>
        </w:rPr>
        <w:t>1、合同总价包含：人工费、材料费、设备使用费、保险费及合同实施过程中的不可预见费用等全部费用，按本次招标范围及中标价一次包干，结算时不作调整。</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2、合同总价：（人民币）大写 </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3、本合同价为固定不变价。</w:t>
      </w:r>
    </w:p>
    <w:p>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第五条 服务期限及地点</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1、服务期：  年，合同生效之日自       年  月  日至     年  月  日止。</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2、服务地点：              或甲方指定地点。</w:t>
      </w:r>
    </w:p>
    <w:p>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第六条 付款方式</w:t>
      </w:r>
    </w:p>
    <w:p>
      <w:pPr>
        <w:pStyle w:val="25"/>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1、本合同的付款方式为：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w:t>
      </w:r>
    </w:p>
    <w:p>
      <w:pPr>
        <w:pStyle w:val="25"/>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2、付款前乙方应向甲方提出请款申请及所需的材料和等额合格发票。</w:t>
      </w:r>
    </w:p>
    <w:p>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第七条 验收方式</w:t>
      </w:r>
    </w:p>
    <w:p>
      <w:pPr>
        <w:pStyle w:val="25"/>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1、验收应在甲乙双方共同参加下进行，依据招标文件及本合同的有关规定制定的方案进行验收，并按国家有关规定、规范进行。</w:t>
      </w:r>
    </w:p>
    <w:p>
      <w:pPr>
        <w:pStyle w:val="25"/>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2、甲方组织项目验收小组按国家有关规定、规范进行验收，必要时邀请相关专业人员或机构参与验收。</w:t>
      </w:r>
    </w:p>
    <w:p>
      <w:pPr>
        <w:pStyle w:val="25"/>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3、对验收不合格的部分，乙方应在甲方规定时间内及时整改完善直至合格。</w:t>
      </w:r>
    </w:p>
    <w:p>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第八条 税和关税</w:t>
      </w:r>
    </w:p>
    <w:p>
      <w:pPr>
        <w:pStyle w:val="25"/>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1、中国政府根据现行税法对甲方征收的与本合同有关的一切税费均应由甲方承担。</w:t>
      </w:r>
    </w:p>
    <w:p>
      <w:pPr>
        <w:pStyle w:val="25"/>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2、中国政府根据现行税法规定对乙方或其雇员征收的与本合同有关的一切税费应由乙方承担。</w:t>
      </w:r>
    </w:p>
    <w:p>
      <w:pPr>
        <w:pStyle w:val="25"/>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3、在中国境外发生的与本合同执行有关的一切税费均应由乙方承担。</w:t>
      </w:r>
    </w:p>
    <w:p>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第九条 其它约定</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ascii="宋体" w:hAnsi="宋体" w:eastAsia="宋体"/>
          <w:color w:val="000000" w:themeColor="text1"/>
          <w:sz w:val="21"/>
          <w:szCs w:val="21"/>
          <w:highlight w:val="none"/>
          <w14:textFill>
            <w14:solidFill>
              <w14:schemeClr w14:val="tx1"/>
            </w14:solidFill>
          </w14:textFill>
        </w:rPr>
        <w:t>1</w:t>
      </w:r>
      <w:r>
        <w:rPr>
          <w:rFonts w:hint="eastAsia" w:ascii="宋体" w:hAnsi="宋体" w:eastAsia="宋体"/>
          <w:color w:val="000000" w:themeColor="text1"/>
          <w:sz w:val="21"/>
          <w:szCs w:val="21"/>
          <w:highlight w:val="none"/>
          <w14:textFill>
            <w14:solidFill>
              <w14:schemeClr w14:val="tx1"/>
            </w14:solidFill>
          </w14:textFill>
        </w:rPr>
        <w:t>、严禁转包，未经甲方书面同意不得分包。</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2、乙方全部工作人员，须符合东莞市政府用工标准要求。</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3、乙方服务人员进行服务期间的过失或故意行为，造成甲方经济损失的，由乙方负责赔偿。</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4、服务人员的劳动关系隶属乙方，乙方负责服务人员的工资、节假日和超时加班补助费、社会保险、住宿、伙食等。</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5、乙方负责本项目服务人员购买因意外身故或伤残和因意外事故住院治疗保险，并负责办理一切保险赔偿手续。</w:t>
      </w:r>
    </w:p>
    <w:p>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第十条 违约责任</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1、合同双方任何一方不履行合同条款或不按合同约定履行条款的其它情况，均属违约，由违约方承担违约责任，赔偿因其违约造成的损失，并支付合同价款总额</w:t>
      </w:r>
      <w:r>
        <w:rPr>
          <w:rFonts w:hint="eastAsia" w:ascii="宋体" w:hAnsi="宋体" w:eastAsia="宋体"/>
          <w:color w:val="000000" w:themeColor="text1"/>
          <w:sz w:val="21"/>
          <w:szCs w:val="21"/>
          <w:highlight w:val="none"/>
          <w:u w:val="single"/>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%的违约金。</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2、由于乙方的原因，导致双方签订的合同终止，乙方因此而遭受的损失，将由乙方独立承担，甲方对此不负任何责任，也不作任何赔偿。</w:t>
      </w:r>
    </w:p>
    <w:bookmarkEnd w:id="93"/>
    <w:p>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000000" w:themeColor="text1"/>
          <w:sz w:val="21"/>
          <w:szCs w:val="21"/>
          <w:highlight w:val="none"/>
          <w14:textFill>
            <w14:solidFill>
              <w14:schemeClr w14:val="tx1"/>
            </w14:solidFill>
          </w14:textFill>
        </w:rPr>
      </w:pPr>
      <w:bookmarkStart w:id="94" w:name="_Toc86481570"/>
      <w:r>
        <w:rPr>
          <w:rFonts w:hint="eastAsia" w:ascii="宋体" w:hAnsi="宋体" w:eastAsia="宋体"/>
          <w:b/>
          <w:color w:val="000000" w:themeColor="text1"/>
          <w:sz w:val="21"/>
          <w:szCs w:val="21"/>
          <w:highlight w:val="none"/>
          <w14:textFill>
            <w14:solidFill>
              <w14:schemeClr w14:val="tx1"/>
            </w14:solidFill>
          </w14:textFill>
        </w:rPr>
        <w:t>第十一条 争议的解决</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1、凡与本合同有关而引起的一切争议，甲乙双方应首先通过友好协商解决，如经协商后仍不能达成协议时，任何一方可以向法院提出诉讼。</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2、本合同发生的诉讼管辖地为东莞市有管辖权的法院。</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3、在进行法院审理期间，除提交法院审理的事项外，合同其他部分仍继续履行。</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s="仿宋"/>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4、本合同按照中华人民共和国的法律进行解释</w:t>
      </w:r>
      <w:r>
        <w:rPr>
          <w:rFonts w:hint="eastAsia" w:ascii="宋体" w:hAnsi="宋体" w:eastAsia="宋体" w:cs="仿宋"/>
          <w:color w:val="000000" w:themeColor="text1"/>
          <w:sz w:val="21"/>
          <w:szCs w:val="21"/>
          <w:highlight w:val="none"/>
          <w:shd w:val="clear" w:color="auto" w:fill="FFFFFF"/>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000000" w:themeColor="text1"/>
          <w:sz w:val="21"/>
          <w:szCs w:val="21"/>
          <w:highlight w:val="none"/>
          <w14:textFill>
            <w14:solidFill>
              <w14:schemeClr w14:val="tx1"/>
            </w14:solidFill>
          </w14:textFill>
        </w:rPr>
      </w:pPr>
      <w:bookmarkStart w:id="95" w:name="_Toc86481569"/>
      <w:r>
        <w:rPr>
          <w:rFonts w:hint="eastAsia" w:ascii="宋体" w:hAnsi="宋体" w:eastAsia="宋体"/>
          <w:b/>
          <w:color w:val="000000" w:themeColor="text1"/>
          <w:sz w:val="21"/>
          <w:szCs w:val="21"/>
          <w:highlight w:val="none"/>
          <w14:textFill>
            <w14:solidFill>
              <w14:schemeClr w14:val="tx1"/>
            </w14:solidFill>
          </w14:textFill>
        </w:rPr>
        <w:t>第十二条 合同生效</w:t>
      </w:r>
      <w:bookmarkEnd w:id="95"/>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1、本合同由双方法定代表人或委托代理人签字盖章后立即生效，具有同等法律效力，合同有效期随服务期结束而自然终止。</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2、本合同一式    份，其中甲方    份、乙方    份，</w:t>
      </w:r>
      <w:r>
        <w:rPr>
          <w:rFonts w:hint="eastAsia" w:ascii="宋体" w:hAnsi="宋体" w:eastAsia="宋体"/>
          <w:color w:val="000000" w:themeColor="text1"/>
          <w:sz w:val="21"/>
          <w:szCs w:val="21"/>
          <w:highlight w:val="none"/>
          <w:lang w:eastAsia="zh-CN"/>
          <w14:textFill>
            <w14:solidFill>
              <w14:schemeClr w14:val="tx1"/>
            </w14:solidFill>
          </w14:textFill>
        </w:rPr>
        <w:t>招标代理机构</w:t>
      </w:r>
      <w:r>
        <w:rPr>
          <w:rFonts w:hint="eastAsia" w:ascii="宋体" w:hAnsi="宋体" w:eastAsia="宋体"/>
          <w:color w:val="000000" w:themeColor="text1"/>
          <w:sz w:val="21"/>
          <w:szCs w:val="21"/>
          <w:highlight w:val="none"/>
          <w14:textFill>
            <w14:solidFill>
              <w14:schemeClr w14:val="tx1"/>
            </w14:solidFill>
          </w14:textFill>
        </w:rPr>
        <w:t xml:space="preserve"> 壹 份（须在合同签订之日起7个工作日内递交）。</w:t>
      </w:r>
    </w:p>
    <w:p>
      <w:pPr>
        <w:keepNext w:val="0"/>
        <w:keepLines w:val="0"/>
        <w:pageBreakBefore w:val="0"/>
        <w:kinsoku/>
        <w:wordWrap/>
        <w:overflowPunct/>
        <w:topLinePunct w:val="0"/>
        <w:autoSpaceDE/>
        <w:autoSpaceDN/>
        <w:bidi w:val="0"/>
        <w:adjustRightInd/>
        <w:snapToGrid/>
        <w:spacing w:after="0" w:line="400" w:lineRule="exact"/>
        <w:textAlignment w:val="auto"/>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第十三条 其它</w:t>
      </w:r>
      <w:bookmarkEnd w:id="94"/>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1、本合同未尽事宜，双方可签订补充合同，补充合同与所有附件均为合同的有效组成部分，与本合同具有同等法律效力。</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2、在执行本合同的过程中，所有经甲乙双方签署确认的文件（包括会议纪要、补充协议、往来信函、合同附件等）即成为本合同的有效组成部分，其生效日期为双方签字盖章或确认之日期。</w:t>
      </w:r>
    </w:p>
    <w:p>
      <w:pPr>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本合同合计   页A4纸张，缺页之合同为无效合同。</w:t>
      </w: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000000" w:themeColor="text1"/>
          <w:sz w:val="21"/>
          <w:szCs w:val="2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000000" w:themeColor="text1"/>
          <w:sz w:val="21"/>
          <w:szCs w:val="21"/>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olor w:val="000000" w:themeColor="text1"/>
          <w:sz w:val="21"/>
          <w:szCs w:val="21"/>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甲方（盖章）：                     乙方（盖章）：</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法定代表(签字)：                   法定代表(签字)：</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xml:space="preserve">地址：                             地址： </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电话：                             电话：</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传真：</w:t>
      </w:r>
      <w:r>
        <w:rPr>
          <w:rFonts w:hint="eastAsia" w:ascii="宋体" w:hAnsi="宋体" w:eastAsia="宋体"/>
          <w:color w:val="000000" w:themeColor="text1"/>
          <w:sz w:val="21"/>
          <w:szCs w:val="21"/>
          <w:highlight w:val="none"/>
          <w14:textFill>
            <w14:solidFill>
              <w14:schemeClr w14:val="tx1"/>
            </w14:solidFill>
          </w14:textFill>
        </w:rPr>
        <w:tab/>
      </w:r>
      <w:r>
        <w:rPr>
          <w:rFonts w:hint="eastAsia" w:ascii="宋体" w:hAnsi="宋体" w:eastAsia="宋体"/>
          <w:color w:val="000000" w:themeColor="text1"/>
          <w:sz w:val="21"/>
          <w:szCs w:val="21"/>
          <w:highlight w:val="none"/>
          <w14:textFill>
            <w14:solidFill>
              <w14:schemeClr w14:val="tx1"/>
            </w14:solidFill>
          </w14:textFill>
        </w:rPr>
        <w:tab/>
      </w:r>
      <w:r>
        <w:rPr>
          <w:rFonts w:hint="eastAsia" w:ascii="宋体" w:hAnsi="宋体" w:eastAsia="宋体"/>
          <w:color w:val="000000" w:themeColor="text1"/>
          <w:sz w:val="21"/>
          <w:szCs w:val="21"/>
          <w:highlight w:val="none"/>
          <w14:textFill>
            <w14:solidFill>
              <w14:schemeClr w14:val="tx1"/>
            </w14:solidFill>
          </w14:textFill>
        </w:rPr>
        <w:tab/>
      </w:r>
      <w:r>
        <w:rPr>
          <w:rFonts w:hint="eastAsia" w:ascii="宋体" w:hAnsi="宋体" w:eastAsia="宋体"/>
          <w:color w:val="000000" w:themeColor="text1"/>
          <w:sz w:val="21"/>
          <w:szCs w:val="21"/>
          <w:highlight w:val="none"/>
          <w14:textFill>
            <w14:solidFill>
              <w14:schemeClr w14:val="tx1"/>
            </w14:solidFill>
          </w14:textFill>
        </w:rPr>
        <w:tab/>
      </w:r>
      <w:r>
        <w:rPr>
          <w:rFonts w:hint="eastAsia" w:ascii="宋体" w:hAnsi="宋体" w:eastAsia="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olor w:val="000000" w:themeColor="text1"/>
          <w:sz w:val="21"/>
          <w:szCs w:val="21"/>
          <w:highlight w:val="none"/>
          <w14:textFill>
            <w14:solidFill>
              <w14:schemeClr w14:val="tx1"/>
            </w14:solidFill>
          </w14:textFill>
        </w:rPr>
        <w:t>传真：</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开户银行：</w:t>
      </w:r>
      <w:r>
        <w:rPr>
          <w:rFonts w:hint="eastAsia" w:ascii="宋体" w:hAnsi="宋体" w:eastAsia="宋体"/>
          <w:color w:val="000000" w:themeColor="text1"/>
          <w:sz w:val="21"/>
          <w:szCs w:val="21"/>
          <w:highlight w:val="none"/>
          <w14:textFill>
            <w14:solidFill>
              <w14:schemeClr w14:val="tx1"/>
            </w14:solidFill>
          </w14:textFill>
        </w:rPr>
        <w:tab/>
      </w:r>
      <w:r>
        <w:rPr>
          <w:rFonts w:hint="eastAsia" w:ascii="宋体" w:hAnsi="宋体" w:eastAsia="宋体"/>
          <w:color w:val="000000" w:themeColor="text1"/>
          <w:sz w:val="21"/>
          <w:szCs w:val="21"/>
          <w:highlight w:val="none"/>
          <w14:textFill>
            <w14:solidFill>
              <w14:schemeClr w14:val="tx1"/>
            </w14:solidFill>
          </w14:textFill>
        </w:rPr>
        <w:t xml:space="preserve">                  开户银行：</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账号：                             账号：</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签约时间：</w:t>
      </w:r>
    </w:p>
    <w:p>
      <w:pPr>
        <w:keepNext w:val="0"/>
        <w:keepLines w:val="0"/>
        <w:pageBreakBefore w:val="0"/>
        <w:widowControl/>
        <w:kinsoku/>
        <w:wordWrap/>
        <w:overflowPunct/>
        <w:topLinePunct w:val="0"/>
        <w:autoSpaceDE/>
        <w:autoSpaceDN/>
        <w:bidi w:val="0"/>
        <w:adjustRightInd/>
        <w:snapToGrid/>
        <w:spacing w:after="0" w:line="400" w:lineRule="exact"/>
        <w:ind w:firstLine="420" w:firstLineChars="200"/>
        <w:textAlignment w:val="auto"/>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签约地点：</w:t>
      </w:r>
    </w:p>
    <w:p>
      <w:pPr>
        <w:pageBreakBefore w:val="0"/>
        <w:kinsoku/>
        <w:topLinePunct w:val="0"/>
        <w:autoSpaceDE/>
        <w:autoSpaceDN/>
        <w:bidi w:val="0"/>
        <w:spacing w:line="360" w:lineRule="auto"/>
        <w:rPr>
          <w:rFonts w:hint="eastAsia" w:ascii="宋体" w:hAnsi="宋体" w:eastAsia="宋体"/>
          <w:b/>
          <w:color w:val="000000" w:themeColor="text1"/>
          <w:sz w:val="21"/>
          <w:szCs w:val="21"/>
          <w:highlight w:val="none"/>
          <w14:textFill>
            <w14:solidFill>
              <w14:schemeClr w14:val="tx1"/>
            </w14:solidFill>
          </w14:textFill>
        </w:rPr>
      </w:pPr>
    </w:p>
    <w:p>
      <w:pPr>
        <w:pageBreakBefore w:val="0"/>
        <w:kinsoku/>
        <w:topLinePunct w:val="0"/>
        <w:autoSpaceDE/>
        <w:autoSpaceDN/>
        <w:bidi w:val="0"/>
        <w:spacing w:line="360" w:lineRule="auto"/>
        <w:rPr>
          <w:rFonts w:hint="eastAsia" w:ascii="宋体" w:hAnsi="宋体" w:eastAsia="宋体"/>
          <w:b/>
          <w:color w:val="000000" w:themeColor="text1"/>
          <w:sz w:val="21"/>
          <w:szCs w:val="21"/>
          <w:highlight w:val="none"/>
          <w14:textFill>
            <w14:solidFill>
              <w14:schemeClr w14:val="tx1"/>
            </w14:solidFill>
          </w14:textFill>
        </w:rPr>
      </w:pPr>
    </w:p>
    <w:p>
      <w:pPr>
        <w:pageBreakBefore w:val="0"/>
        <w:kinsoku/>
        <w:topLinePunct w:val="0"/>
        <w:autoSpaceDE/>
        <w:autoSpaceDN/>
        <w:bidi w:val="0"/>
        <w:spacing w:line="360" w:lineRule="auto"/>
        <w:jc w:val="both"/>
        <w:rPr>
          <w:rFonts w:ascii="宋体" w:hAnsi="宋体" w:eastAsia="宋体"/>
          <w:b/>
          <w:color w:val="000000" w:themeColor="text1"/>
          <w:sz w:val="21"/>
          <w:szCs w:val="21"/>
          <w:highlight w:val="none"/>
          <w14:textFill>
            <w14:solidFill>
              <w14:schemeClr w14:val="tx1"/>
            </w14:solidFill>
          </w14:textFill>
        </w:rPr>
      </w:pPr>
      <w:r>
        <w:rPr>
          <w:rFonts w:hint="eastAsia" w:ascii="宋体" w:hAnsi="宋体" w:eastAsia="宋体"/>
          <w:b/>
          <w:color w:val="000000" w:themeColor="text1"/>
          <w:sz w:val="21"/>
          <w:szCs w:val="21"/>
          <w:highlight w:val="none"/>
          <w14:textFill>
            <w14:solidFill>
              <w14:schemeClr w14:val="tx1"/>
            </w14:solidFill>
          </w14:textFill>
        </w:rPr>
        <w:t>此仅为合同书样本，中标人需根据实际情况和甲方签订相应的合同！</w:t>
      </w:r>
    </w:p>
    <w:p>
      <w:pPr>
        <w:rPr>
          <w:color w:val="000000" w:themeColor="text1"/>
          <w:highlight w:val="none"/>
          <w14:textFill>
            <w14:solidFill>
              <w14:schemeClr w14:val="tx1"/>
            </w14:solidFill>
          </w14:textFill>
        </w:rPr>
      </w:pPr>
      <w:r>
        <w:rPr>
          <w:color w:val="000000" w:themeColor="text1"/>
          <w:highlight w:val="none"/>
          <w:lang w:bidi="zh-CN"/>
          <w14:textFill>
            <w14:solidFill>
              <w14:schemeClr w14:val="tx1"/>
            </w14:solidFill>
          </w14:textFill>
        </w:rPr>
        <w:br w:type="page"/>
      </w:r>
    </w:p>
    <w:p>
      <w:pPr>
        <w:pStyle w:val="3"/>
        <w:spacing w:before="0" w:after="0" w:line="240" w:lineRule="auto"/>
        <w:rPr>
          <w:color w:val="000000" w:themeColor="text1"/>
          <w:sz w:val="28"/>
          <w:szCs w:val="28"/>
          <w:highlight w:val="none"/>
          <w14:textFill>
            <w14:solidFill>
              <w14:schemeClr w14:val="tx1"/>
            </w14:solidFill>
          </w14:textFill>
        </w:rPr>
      </w:pPr>
      <w:bookmarkStart w:id="96" w:name="_Toc16481"/>
      <w:r>
        <w:rPr>
          <w:rFonts w:hint="eastAsia"/>
          <w:color w:val="000000" w:themeColor="text1"/>
          <w:sz w:val="28"/>
          <w:szCs w:val="28"/>
          <w:highlight w:val="none"/>
          <w14:textFill>
            <w14:solidFill>
              <w14:schemeClr w14:val="tx1"/>
            </w14:solidFill>
          </w14:textFill>
        </w:rPr>
        <w:t>第六部分附件－投标文件格式</w:t>
      </w:r>
      <w:bookmarkEnd w:id="96"/>
    </w:p>
    <w:p>
      <w:pPr>
        <w:rPr>
          <w:color w:val="000000" w:themeColor="text1"/>
          <w:highlight w:val="none"/>
          <w14:textFill>
            <w14:solidFill>
              <w14:schemeClr w14:val="tx1"/>
            </w14:solidFill>
          </w14:textFill>
        </w:rPr>
      </w:pPr>
    </w:p>
    <w:p>
      <w:pPr>
        <w:pStyle w:val="5"/>
        <w:widowControl w:val="0"/>
        <w:overflowPunct w:val="0"/>
        <w:spacing w:line="240" w:lineRule="auto"/>
        <w:rPr>
          <w:rFonts w:ascii="宋体" w:hAnsi="宋体"/>
          <w:color w:val="000000" w:themeColor="text1"/>
          <w:sz w:val="21"/>
          <w:szCs w:val="21"/>
          <w:highlight w:val="none"/>
          <w14:textFill>
            <w14:solidFill>
              <w14:schemeClr w14:val="tx1"/>
            </w14:solidFill>
          </w14:textFill>
        </w:rPr>
      </w:pPr>
      <w:bookmarkStart w:id="97" w:name="_Toc26996"/>
      <w:r>
        <w:rPr>
          <w:rFonts w:hint="eastAsia" w:ascii="宋体" w:hAnsi="宋体"/>
          <w:color w:val="000000" w:themeColor="text1"/>
          <w:sz w:val="21"/>
          <w:szCs w:val="21"/>
          <w:highlight w:val="none"/>
          <w14:textFill>
            <w14:solidFill>
              <w14:schemeClr w14:val="tx1"/>
            </w14:solidFill>
          </w14:textFill>
        </w:rPr>
        <w:t>投标文件目录</w:t>
      </w:r>
      <w:bookmarkEnd w:id="97"/>
    </w:p>
    <w:p>
      <w:pPr>
        <w:jc w:val="center"/>
        <w:rPr>
          <w:rFonts w:ascii="黑体" w:eastAsia="黑体"/>
          <w:color w:val="000000" w:themeColor="text1"/>
          <w:sz w:val="32"/>
          <w:szCs w:val="32"/>
          <w:highlight w:val="none"/>
          <w14:textFill>
            <w14:solidFill>
              <w14:schemeClr w14:val="tx1"/>
            </w14:solidFill>
          </w14:textFill>
        </w:rPr>
      </w:pPr>
    </w:p>
    <w:p>
      <w:pPr>
        <w:jc w:val="center"/>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目录</w:t>
      </w:r>
    </w:p>
    <w:p>
      <w:pPr>
        <w:adjustRightInd/>
        <w:snapToGrid/>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格式自理。</w:t>
      </w:r>
    </w:p>
    <w:p>
      <w:pPr>
        <w:adjustRightInd/>
        <w:snapToGrid/>
        <w:spacing w:line="276" w:lineRule="auto"/>
        <w:rPr>
          <w:rFonts w:ascii="宋体" w:hAnsi="宋体"/>
          <w:color w:val="000000" w:themeColor="text1"/>
          <w:szCs w:val="21"/>
          <w:highlight w:val="none"/>
          <w14:textFill>
            <w14:solidFill>
              <w14:schemeClr w14:val="tx1"/>
            </w14:solidFill>
          </w14:textFill>
        </w:rPr>
      </w:pPr>
    </w:p>
    <w:p>
      <w:pPr>
        <w:adjustRightInd/>
        <w:snapToGrid/>
        <w:spacing w:line="276" w:lineRule="auto"/>
        <w:rPr>
          <w:rFonts w:ascii="宋体" w:hAnsi="宋体"/>
          <w:color w:val="000000" w:themeColor="text1"/>
          <w:szCs w:val="21"/>
          <w:highlight w:val="none"/>
          <w14:textFill>
            <w14:solidFill>
              <w14:schemeClr w14:val="tx1"/>
            </w14:solidFill>
          </w14:textFill>
        </w:rPr>
      </w:pPr>
    </w:p>
    <w:p>
      <w:pPr>
        <w:adjustRightInd/>
        <w:snapToGrid/>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pPr>
        <w:adjustRightInd/>
        <w:snapToGrid/>
        <w:spacing w:line="276"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1、投标人制作的投标文件应当具备目录。</w:t>
      </w:r>
      <w:r>
        <w:rPr>
          <w:rFonts w:ascii="宋体" w:hAnsi="宋体"/>
          <w:color w:val="000000" w:themeColor="text1"/>
          <w:szCs w:val="21"/>
          <w:highlight w:val="none"/>
          <w14:textFill>
            <w14:solidFill>
              <w14:schemeClr w14:val="tx1"/>
            </w14:solidFill>
          </w14:textFill>
        </w:rPr>
        <w:br w:type="page"/>
      </w:r>
    </w:p>
    <w:p>
      <w:pPr>
        <w:pStyle w:val="5"/>
        <w:widowControl w:val="0"/>
        <w:overflowPunct w:val="0"/>
        <w:spacing w:line="240" w:lineRule="auto"/>
        <w:rPr>
          <w:rFonts w:ascii="宋体" w:hAnsi="宋体"/>
          <w:color w:val="000000" w:themeColor="text1"/>
          <w:sz w:val="21"/>
          <w:szCs w:val="21"/>
          <w:highlight w:val="none"/>
          <w14:textFill>
            <w14:solidFill>
              <w14:schemeClr w14:val="tx1"/>
            </w14:solidFill>
          </w14:textFill>
        </w:rPr>
      </w:pPr>
      <w:bookmarkStart w:id="98" w:name="_Toc13671"/>
      <w:r>
        <w:rPr>
          <w:rFonts w:hint="eastAsia" w:ascii="宋体" w:hAnsi="宋体"/>
          <w:color w:val="000000" w:themeColor="text1"/>
          <w:sz w:val="21"/>
          <w:szCs w:val="21"/>
          <w:highlight w:val="none"/>
          <w14:textFill>
            <w14:solidFill>
              <w14:schemeClr w14:val="tx1"/>
            </w14:solidFill>
          </w14:textFill>
        </w:rPr>
        <w:t>附件1.评分标准索引表</w:t>
      </w:r>
      <w:bookmarkEnd w:id="98"/>
    </w:p>
    <w:p>
      <w:pPr>
        <w:adjustRightInd/>
        <w:snapToGrid/>
        <w:spacing w:line="276" w:lineRule="auto"/>
        <w:rPr>
          <w:rFonts w:ascii="宋体" w:hAnsi="宋体"/>
          <w:color w:val="000000" w:themeColor="text1"/>
          <w:szCs w:val="21"/>
          <w:highlight w:val="none"/>
          <w14:textFill>
            <w14:solidFill>
              <w14:schemeClr w14:val="tx1"/>
            </w14:solidFill>
          </w14:textFill>
        </w:rPr>
      </w:pPr>
    </w:p>
    <w:p>
      <w:pPr>
        <w:jc w:val="center"/>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评分标准索引表</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序号</w:t>
            </w:r>
          </w:p>
        </w:tc>
        <w:tc>
          <w:tcPr>
            <w:tcW w:w="1704"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评审项目</w:t>
            </w:r>
          </w:p>
        </w:tc>
        <w:tc>
          <w:tcPr>
            <w:tcW w:w="1704"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评审细则</w:t>
            </w:r>
          </w:p>
        </w:tc>
        <w:tc>
          <w:tcPr>
            <w:tcW w:w="1705"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分值</w:t>
            </w:r>
          </w:p>
        </w:tc>
        <w:tc>
          <w:tcPr>
            <w:tcW w:w="1705" w:type="dxa"/>
            <w:vAlign w:val="center"/>
          </w:tcPr>
          <w:p>
            <w:pPr>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5" w:type="dxa"/>
            <w:vAlign w:val="center"/>
          </w:tcPr>
          <w:p>
            <w:pPr>
              <w:jc w:val="center"/>
              <w:rPr>
                <w:rFonts w:ascii="宋体" w:hAnsi="宋体" w:cs="宋体"/>
                <w:color w:val="000000" w:themeColor="text1"/>
                <w:highlight w:val="none"/>
                <w14:textFill>
                  <w14:solidFill>
                    <w14:schemeClr w14:val="tx1"/>
                  </w14:solidFill>
                </w14:textFill>
              </w:rPr>
            </w:pPr>
          </w:p>
        </w:tc>
        <w:tc>
          <w:tcPr>
            <w:tcW w:w="1705" w:type="dxa"/>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5" w:type="dxa"/>
            <w:vAlign w:val="center"/>
          </w:tcPr>
          <w:p>
            <w:pPr>
              <w:jc w:val="center"/>
              <w:rPr>
                <w:rFonts w:ascii="宋体" w:hAnsi="宋体" w:cs="宋体"/>
                <w:color w:val="000000" w:themeColor="text1"/>
                <w:highlight w:val="none"/>
                <w14:textFill>
                  <w14:solidFill>
                    <w14:schemeClr w14:val="tx1"/>
                  </w14:solidFill>
                </w14:textFill>
              </w:rPr>
            </w:pPr>
          </w:p>
        </w:tc>
        <w:tc>
          <w:tcPr>
            <w:tcW w:w="1705" w:type="dxa"/>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5" w:type="dxa"/>
            <w:vAlign w:val="center"/>
          </w:tcPr>
          <w:p>
            <w:pPr>
              <w:jc w:val="center"/>
              <w:rPr>
                <w:rFonts w:ascii="宋体" w:hAnsi="宋体" w:cs="宋体"/>
                <w:color w:val="000000" w:themeColor="text1"/>
                <w:highlight w:val="none"/>
                <w14:textFill>
                  <w14:solidFill>
                    <w14:schemeClr w14:val="tx1"/>
                  </w14:solidFill>
                </w14:textFill>
              </w:rPr>
            </w:pPr>
          </w:p>
        </w:tc>
        <w:tc>
          <w:tcPr>
            <w:tcW w:w="1705" w:type="dxa"/>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5" w:type="dxa"/>
            <w:vAlign w:val="center"/>
          </w:tcPr>
          <w:p>
            <w:pPr>
              <w:jc w:val="center"/>
              <w:rPr>
                <w:rFonts w:ascii="宋体" w:hAnsi="宋体" w:cs="宋体"/>
                <w:color w:val="000000" w:themeColor="text1"/>
                <w:highlight w:val="none"/>
                <w14:textFill>
                  <w14:solidFill>
                    <w14:schemeClr w14:val="tx1"/>
                  </w14:solidFill>
                </w14:textFill>
              </w:rPr>
            </w:pPr>
          </w:p>
        </w:tc>
        <w:tc>
          <w:tcPr>
            <w:tcW w:w="1705" w:type="dxa"/>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5" w:type="dxa"/>
            <w:vAlign w:val="center"/>
          </w:tcPr>
          <w:p>
            <w:pPr>
              <w:jc w:val="center"/>
              <w:rPr>
                <w:rFonts w:ascii="宋体" w:hAnsi="宋体" w:cs="宋体"/>
                <w:color w:val="000000" w:themeColor="text1"/>
                <w:highlight w:val="none"/>
                <w14:textFill>
                  <w14:solidFill>
                    <w14:schemeClr w14:val="tx1"/>
                  </w14:solidFill>
                </w14:textFill>
              </w:rPr>
            </w:pPr>
          </w:p>
        </w:tc>
        <w:tc>
          <w:tcPr>
            <w:tcW w:w="1705" w:type="dxa"/>
            <w:vAlign w:val="center"/>
          </w:tcPr>
          <w:p>
            <w:pPr>
              <w:jc w:val="center"/>
              <w:rPr>
                <w:rFonts w:ascii="宋体" w:hAnsi="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4" w:type="dxa"/>
            <w:vAlign w:val="center"/>
          </w:tcPr>
          <w:p>
            <w:pPr>
              <w:jc w:val="center"/>
              <w:rPr>
                <w:rFonts w:ascii="宋体" w:hAnsi="宋体" w:cs="宋体"/>
                <w:color w:val="000000" w:themeColor="text1"/>
                <w:highlight w:val="none"/>
                <w14:textFill>
                  <w14:solidFill>
                    <w14:schemeClr w14:val="tx1"/>
                  </w14:solidFill>
                </w14:textFill>
              </w:rPr>
            </w:pPr>
          </w:p>
        </w:tc>
        <w:tc>
          <w:tcPr>
            <w:tcW w:w="1705" w:type="dxa"/>
            <w:vAlign w:val="center"/>
          </w:tcPr>
          <w:p>
            <w:pPr>
              <w:jc w:val="center"/>
              <w:rPr>
                <w:rFonts w:ascii="宋体" w:hAnsi="宋体" w:cs="宋体"/>
                <w:color w:val="000000" w:themeColor="text1"/>
                <w:highlight w:val="none"/>
                <w14:textFill>
                  <w14:solidFill>
                    <w14:schemeClr w14:val="tx1"/>
                  </w14:solidFill>
                </w14:textFill>
              </w:rPr>
            </w:pPr>
          </w:p>
        </w:tc>
        <w:tc>
          <w:tcPr>
            <w:tcW w:w="1705" w:type="dxa"/>
            <w:vAlign w:val="center"/>
          </w:tcPr>
          <w:p>
            <w:pPr>
              <w:jc w:val="center"/>
              <w:rPr>
                <w:rFonts w:ascii="宋体" w:hAnsi="宋体" w:cs="宋体"/>
                <w:color w:val="000000" w:themeColor="text1"/>
                <w:highlight w:val="none"/>
                <w14:textFill>
                  <w14:solidFill>
                    <w14:schemeClr w14:val="tx1"/>
                  </w14:solidFill>
                </w14:textFill>
              </w:rPr>
            </w:pPr>
          </w:p>
        </w:tc>
      </w:tr>
    </w:tbl>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pPr>
        <w:numPr>
          <w:ilvl w:val="0"/>
          <w:numId w:val="8"/>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该表格为参考格式，投标人可按实际情况自行制订评分标准索引表。</w:t>
      </w:r>
    </w:p>
    <w:p>
      <w:pPr>
        <w:pStyle w:val="9"/>
        <w:spacing w:before="0"/>
        <w:ind w:left="0"/>
        <w:rPr>
          <w:color w:val="000000" w:themeColor="text1"/>
          <w:highlight w:val="none"/>
          <w14:textFill>
            <w14:solidFill>
              <w14:schemeClr w14:val="tx1"/>
            </w14:solidFill>
          </w14:textFill>
        </w:rPr>
      </w:pPr>
    </w:p>
    <w:p>
      <w:pPr>
        <w:adjustRightInd/>
        <w:snapToGrid/>
        <w:spacing w:line="276" w:lineRule="auto"/>
        <w:rPr>
          <w:rFonts w:ascii="宋体" w:hAnsi="宋体"/>
          <w:color w:val="000000" w:themeColor="text1"/>
          <w:szCs w:val="21"/>
          <w:highlight w:val="none"/>
          <w14:textFill>
            <w14:solidFill>
              <w14:schemeClr w14:val="tx1"/>
            </w14:solidFill>
          </w14:textFill>
        </w:rPr>
      </w:pPr>
    </w:p>
    <w:p>
      <w:pPr>
        <w:adjustRightInd/>
        <w:snapToGrid/>
        <w:spacing w:line="276" w:lineRule="auto"/>
        <w:rPr>
          <w:rFonts w:ascii="宋体" w:hAnsi="宋体"/>
          <w:color w:val="000000" w:themeColor="text1"/>
          <w:szCs w:val="21"/>
          <w:highlight w:val="none"/>
          <w14:textFill>
            <w14:solidFill>
              <w14:schemeClr w14:val="tx1"/>
            </w14:solidFill>
          </w14:textFill>
        </w:rPr>
      </w:pPr>
    </w:p>
    <w:p>
      <w:pPr>
        <w:adjustRightInd/>
        <w:snapToGrid/>
        <w:spacing w:line="276" w:lineRule="auto"/>
        <w:rPr>
          <w:rFonts w:ascii="宋体" w:hAnsi="宋体"/>
          <w:color w:val="000000" w:themeColor="text1"/>
          <w:szCs w:val="21"/>
          <w:highlight w:val="none"/>
          <w14:textFill>
            <w14:solidFill>
              <w14:schemeClr w14:val="tx1"/>
            </w14:solidFill>
          </w14:textFill>
        </w:rPr>
      </w:pPr>
    </w:p>
    <w:p>
      <w:pPr>
        <w:adjustRightInd/>
        <w:snapToGrid/>
        <w:spacing w:line="276" w:lineRule="auto"/>
        <w:rPr>
          <w:rFonts w:ascii="宋体" w:hAnsi="宋体"/>
          <w:color w:val="000000" w:themeColor="text1"/>
          <w:szCs w:val="21"/>
          <w:highlight w:val="none"/>
          <w14:textFill>
            <w14:solidFill>
              <w14:schemeClr w14:val="tx1"/>
            </w14:solidFill>
          </w14:textFill>
        </w:rPr>
      </w:pPr>
    </w:p>
    <w:p>
      <w:pPr>
        <w:adjustRightInd/>
        <w:snapToGrid/>
        <w:spacing w:line="276" w:lineRule="auto"/>
        <w:rPr>
          <w:rFonts w:ascii="宋体" w:hAnsi="宋体"/>
          <w:color w:val="000000" w:themeColor="text1"/>
          <w:szCs w:val="21"/>
          <w:highlight w:val="none"/>
          <w14:textFill>
            <w14:solidFill>
              <w14:schemeClr w14:val="tx1"/>
            </w14:solidFill>
          </w14:textFill>
        </w:rPr>
      </w:pPr>
    </w:p>
    <w:p>
      <w:pPr>
        <w:adjustRightInd/>
        <w:snapToGrid/>
        <w:spacing w:line="276"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p>
    <w:p>
      <w:pPr>
        <w:jc w:val="center"/>
        <w:rPr>
          <w:rFonts w:ascii="黑体" w:eastAsia="黑体"/>
          <w:color w:val="000000" w:themeColor="text1"/>
          <w:sz w:val="52"/>
          <w:szCs w:val="52"/>
          <w:highlight w:val="none"/>
          <w14:textFill>
            <w14:solidFill>
              <w14:schemeClr w14:val="tx1"/>
            </w14:solidFill>
          </w14:textFill>
        </w:rPr>
      </w:pPr>
      <w:bookmarkStart w:id="99" w:name="_Toc18450"/>
      <w:bookmarkStart w:id="100" w:name="_Toc30918"/>
      <w:bookmarkStart w:id="101" w:name="_Toc20335"/>
      <w:bookmarkStart w:id="102" w:name="_Toc21746"/>
      <w:bookmarkStart w:id="103" w:name="_Toc28154"/>
    </w:p>
    <w:p>
      <w:pPr>
        <w:pStyle w:val="3"/>
        <w:spacing w:before="0" w:after="0" w:line="360" w:lineRule="auto"/>
        <w:jc w:val="center"/>
        <w:rPr>
          <w:color w:val="000000" w:themeColor="text1"/>
          <w:sz w:val="72"/>
          <w:szCs w:val="72"/>
          <w:highlight w:val="none"/>
          <w14:textFill>
            <w14:solidFill>
              <w14:schemeClr w14:val="tx1"/>
            </w14:solidFill>
          </w14:textFill>
        </w:rPr>
      </w:pPr>
      <w:bookmarkStart w:id="104" w:name="_Toc7230"/>
      <w:r>
        <w:rPr>
          <w:rFonts w:hint="eastAsia"/>
          <w:color w:val="000000" w:themeColor="text1"/>
          <w:sz w:val="72"/>
          <w:szCs w:val="72"/>
          <w:highlight w:val="none"/>
          <w14:textFill>
            <w14:solidFill>
              <w14:schemeClr w14:val="tx1"/>
            </w14:solidFill>
          </w14:textFill>
        </w:rPr>
        <w:t>价格文件</w:t>
      </w:r>
      <w:bookmarkEnd w:id="99"/>
      <w:bookmarkEnd w:id="100"/>
      <w:bookmarkEnd w:id="104"/>
      <w:bookmarkStart w:id="105" w:name="_Hlt10456397"/>
      <w:bookmarkEnd w:id="105"/>
      <w:bookmarkStart w:id="106" w:name="_Hlt10519799"/>
      <w:bookmarkEnd w:id="106"/>
    </w:p>
    <w:p>
      <w:pPr>
        <w:jc w:val="center"/>
        <w:rPr>
          <w:rFonts w:ascii="黑体" w:eastAsia="黑体"/>
          <w:color w:val="000000" w:themeColor="text1"/>
          <w:sz w:val="72"/>
          <w:szCs w:val="72"/>
          <w:highlight w:val="none"/>
          <w14:textFill>
            <w14:solidFill>
              <w14:schemeClr w14:val="tx1"/>
            </w14:solidFill>
          </w14:textFill>
        </w:rPr>
      </w:pPr>
      <w:r>
        <w:rPr>
          <w:rFonts w:hint="eastAsia" w:ascii="黑体" w:eastAsia="黑体"/>
          <w:color w:val="000000" w:themeColor="text1"/>
          <w:sz w:val="72"/>
          <w:szCs w:val="72"/>
          <w:highlight w:val="none"/>
          <w14:textFill>
            <w14:solidFill>
              <w14:schemeClr w14:val="tx1"/>
            </w14:solidFill>
          </w14:textFill>
        </w:rPr>
        <w:t>（单独装订成册）</w:t>
      </w:r>
      <w:bookmarkEnd w:id="101"/>
      <w:bookmarkEnd w:id="102"/>
      <w:bookmarkEnd w:id="103"/>
    </w:p>
    <w:p>
      <w:pPr>
        <w:rPr>
          <w:color w:val="000000" w:themeColor="text1"/>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pStyle w:val="10"/>
        <w:ind w:firstLine="240"/>
        <w:rPr>
          <w:color w:val="000000" w:themeColor="text1"/>
          <w:highlight w:val="none"/>
          <w14:textFill>
            <w14:solidFill>
              <w14:schemeClr w14:val="tx1"/>
            </w14:solidFill>
          </w14:textFill>
        </w:rPr>
      </w:pPr>
    </w:p>
    <w:p>
      <w:pPr>
        <w:rPr>
          <w:rFonts w:ascii="宋体" w:hAnsi="宋体" w:cs="宋体"/>
          <w:b/>
          <w:bCs/>
          <w:color w:val="000000" w:themeColor="text1"/>
          <w:spacing w:val="-6"/>
          <w:sz w:val="32"/>
          <w:szCs w:val="32"/>
          <w:highlight w:val="none"/>
          <w14:textFill>
            <w14:solidFill>
              <w14:schemeClr w14:val="tx1"/>
            </w14:solidFill>
          </w14:textFill>
        </w:rPr>
      </w:pPr>
      <w:r>
        <w:rPr>
          <w:rFonts w:hint="eastAsia" w:ascii="宋体" w:hAnsi="宋体" w:cs="宋体"/>
          <w:b/>
          <w:bCs/>
          <w:color w:val="000000" w:themeColor="text1"/>
          <w:spacing w:val="106"/>
          <w:kern w:val="0"/>
          <w:sz w:val="32"/>
          <w:szCs w:val="32"/>
          <w:highlight w:val="none"/>
          <w:fitText w:val="1600" w:id="1947737316"/>
          <w14:textFill>
            <w14:solidFill>
              <w14:schemeClr w14:val="tx1"/>
            </w14:solidFill>
          </w14:textFill>
        </w:rPr>
        <w:t>项目名</w:t>
      </w:r>
      <w:r>
        <w:rPr>
          <w:rFonts w:hint="eastAsia" w:ascii="宋体" w:hAnsi="宋体" w:cs="宋体"/>
          <w:b/>
          <w:bCs/>
          <w:color w:val="000000" w:themeColor="text1"/>
          <w:spacing w:val="2"/>
          <w:kern w:val="0"/>
          <w:sz w:val="32"/>
          <w:szCs w:val="32"/>
          <w:highlight w:val="none"/>
          <w:fitText w:val="1600" w:id="1947737316"/>
          <w14:textFill>
            <w14:solidFill>
              <w14:schemeClr w14:val="tx1"/>
            </w14:solidFill>
          </w14:textFill>
        </w:rPr>
        <w:t>称</w:t>
      </w:r>
      <w:r>
        <w:rPr>
          <w:rFonts w:hint="eastAsia" w:ascii="宋体" w:hAnsi="宋体" w:cs="宋体"/>
          <w:b/>
          <w:bCs/>
          <w:color w:val="000000" w:themeColor="text1"/>
          <w:spacing w:val="-6"/>
          <w:sz w:val="32"/>
          <w:szCs w:val="32"/>
          <w:highlight w:val="none"/>
          <w14:textFill>
            <w14:solidFill>
              <w14:schemeClr w14:val="tx1"/>
            </w14:solidFill>
          </w14:textFill>
        </w:rPr>
        <w:t>：</w:t>
      </w:r>
    </w:p>
    <w:p>
      <w:pP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pacing w:val="106"/>
          <w:kern w:val="0"/>
          <w:sz w:val="32"/>
          <w:szCs w:val="32"/>
          <w:highlight w:val="none"/>
          <w:fitText w:val="1600" w:id="70211570"/>
          <w14:textFill>
            <w14:solidFill>
              <w14:schemeClr w14:val="tx1"/>
            </w14:solidFill>
          </w14:textFill>
        </w:rPr>
        <w:t>项目编</w:t>
      </w:r>
      <w:r>
        <w:rPr>
          <w:rFonts w:hint="eastAsia" w:ascii="宋体" w:hAnsi="宋体" w:cs="宋体"/>
          <w:b/>
          <w:bCs/>
          <w:color w:val="000000" w:themeColor="text1"/>
          <w:spacing w:val="2"/>
          <w:kern w:val="0"/>
          <w:sz w:val="32"/>
          <w:szCs w:val="32"/>
          <w:highlight w:val="none"/>
          <w:fitText w:val="1600" w:id="70211570"/>
          <w14:textFill>
            <w14:solidFill>
              <w14:schemeClr w14:val="tx1"/>
            </w14:solidFill>
          </w14:textFill>
        </w:rPr>
        <w:t>号</w:t>
      </w:r>
      <w:r>
        <w:rPr>
          <w:rFonts w:hint="eastAsia" w:ascii="宋体" w:hAnsi="宋体" w:cs="宋体"/>
          <w:b/>
          <w:bCs/>
          <w:color w:val="000000" w:themeColor="text1"/>
          <w:sz w:val="32"/>
          <w:szCs w:val="32"/>
          <w:highlight w:val="none"/>
          <w14:textFill>
            <w14:solidFill>
              <w14:schemeClr w14:val="tx1"/>
            </w14:solidFill>
          </w14:textFill>
        </w:rPr>
        <w:t>：</w:t>
      </w:r>
    </w:p>
    <w:p>
      <w:pPr>
        <w:pStyle w:val="25"/>
        <w:widowControl/>
        <w:adjustRightInd w:val="0"/>
        <w:snapToGrid w:val="0"/>
        <w:spacing w:before="161" w:afterAutospacing="1"/>
        <w:jc w:val="left"/>
        <w:rPr>
          <w:rFonts w:ascii="宋体" w:hAnsi="宋体" w:cs="宋体"/>
          <w:b/>
          <w:color w:val="000000" w:themeColor="text1"/>
          <w:w w:val="83"/>
          <w:kern w:val="0"/>
          <w:sz w:val="32"/>
          <w:szCs w:val="32"/>
          <w:highlight w:val="none"/>
          <w14:textFill>
            <w14:solidFill>
              <w14:schemeClr w14:val="tx1"/>
            </w14:solidFill>
          </w14:textFill>
        </w:rPr>
      </w:pPr>
      <w:r>
        <w:rPr>
          <w:rFonts w:hint="eastAsia" w:ascii="宋体" w:hAnsi="宋体" w:cs="宋体"/>
          <w:b/>
          <w:color w:val="000000" w:themeColor="text1"/>
          <w:spacing w:val="106"/>
          <w:kern w:val="0"/>
          <w:sz w:val="32"/>
          <w:szCs w:val="32"/>
          <w:highlight w:val="none"/>
          <w:lang w:bidi="ar"/>
          <w14:textFill>
            <w14:solidFill>
              <w14:schemeClr w14:val="tx1"/>
            </w14:solidFill>
          </w14:textFill>
        </w:rPr>
        <w:t>包组号（如有）：</w:t>
      </w:r>
    </w:p>
    <w:p>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0"/>
          <w:kern w:val="0"/>
          <w:sz w:val="32"/>
          <w:szCs w:val="32"/>
          <w:highlight w:val="none"/>
          <w:fitText w:val="1600" w:id="1458731915"/>
          <w14:textFill>
            <w14:solidFill>
              <w14:schemeClr w14:val="tx1"/>
            </w14:solidFill>
          </w14:textFill>
        </w:rPr>
        <w:t>投标人名称</w:t>
      </w:r>
      <w:r>
        <w:rPr>
          <w:rFonts w:hint="eastAsia" w:ascii="宋体" w:hAnsi="宋体" w:cs="宋体"/>
          <w:b/>
          <w:color w:val="000000" w:themeColor="text1"/>
          <w:sz w:val="32"/>
          <w:szCs w:val="32"/>
          <w:highlight w:val="none"/>
          <w14:textFill>
            <w14:solidFill>
              <w14:schemeClr w14:val="tx1"/>
            </w14:solidFill>
          </w14:textFill>
        </w:rPr>
        <w:t>：</w:t>
      </w:r>
    </w:p>
    <w:p>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4"/>
          <w:kern w:val="0"/>
          <w:sz w:val="32"/>
          <w:szCs w:val="32"/>
          <w:highlight w:val="none"/>
          <w:fitText w:val="1600" w:id="437591866"/>
          <w14:textFill>
            <w14:solidFill>
              <w14:schemeClr w14:val="tx1"/>
            </w14:solidFill>
          </w14:textFill>
        </w:rPr>
        <w:t xml:space="preserve">日    </w:t>
      </w:r>
      <w:r>
        <w:rPr>
          <w:rFonts w:hint="eastAsia" w:ascii="宋体" w:hAnsi="宋体" w:cs="宋体"/>
          <w:b/>
          <w:color w:val="000000" w:themeColor="text1"/>
          <w:spacing w:val="0"/>
          <w:kern w:val="0"/>
          <w:sz w:val="32"/>
          <w:szCs w:val="32"/>
          <w:highlight w:val="none"/>
          <w:fitText w:val="1600" w:id="437591866"/>
          <w14:textFill>
            <w14:solidFill>
              <w14:schemeClr w14:val="tx1"/>
            </w14:solidFill>
          </w14:textFill>
        </w:rPr>
        <w:t>期</w:t>
      </w:r>
      <w:r>
        <w:rPr>
          <w:rFonts w:hint="eastAsia" w:ascii="宋体" w:hAnsi="宋体" w:cs="宋体"/>
          <w:b/>
          <w:color w:val="000000" w:themeColor="text1"/>
          <w:sz w:val="32"/>
          <w:szCs w:val="32"/>
          <w:highlight w:val="none"/>
          <w14:textFill>
            <w14:solidFill>
              <w14:schemeClr w14:val="tx1"/>
            </w14:solidFill>
          </w14:textFill>
        </w:rPr>
        <w:t>：</w:t>
      </w:r>
    </w:p>
    <w:p>
      <w:pPr>
        <w:rPr>
          <w:color w:val="000000" w:themeColor="text1"/>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pStyle w:val="10"/>
        <w:ind w:firstLine="240"/>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pStyle w:val="10"/>
        <w:ind w:firstLine="240"/>
        <w:rPr>
          <w:color w:val="000000" w:themeColor="text1"/>
          <w:highlight w:val="none"/>
          <w14:textFill>
            <w14:solidFill>
              <w14:schemeClr w14:val="tx1"/>
            </w14:solidFill>
          </w14:textFill>
        </w:rPr>
      </w:pPr>
    </w:p>
    <w:p>
      <w:pPr>
        <w:pStyle w:val="22"/>
        <w:rPr>
          <w:color w:val="000000" w:themeColor="text1"/>
          <w:highlight w:val="none"/>
          <w14:textFill>
            <w14:solidFill>
              <w14:schemeClr w14:val="tx1"/>
            </w14:solidFill>
          </w14:textFill>
        </w:rPr>
      </w:pPr>
    </w:p>
    <w:p>
      <w:pPr>
        <w:pStyle w:val="22"/>
        <w:ind w:left="0"/>
        <w:rPr>
          <w:color w:val="000000" w:themeColor="text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pPr>
        <w:pStyle w:val="5"/>
        <w:widowControl w:val="0"/>
        <w:overflowPunct w:val="0"/>
        <w:spacing w:line="240" w:lineRule="auto"/>
        <w:rPr>
          <w:rFonts w:ascii="宋体" w:hAnsi="宋体"/>
          <w:color w:val="000000" w:themeColor="text1"/>
          <w:sz w:val="21"/>
          <w:szCs w:val="21"/>
          <w:highlight w:val="none"/>
          <w14:textFill>
            <w14:solidFill>
              <w14:schemeClr w14:val="tx1"/>
            </w14:solidFill>
          </w14:textFill>
        </w:rPr>
      </w:pPr>
      <w:bookmarkStart w:id="107" w:name="_Toc26390"/>
      <w:r>
        <w:rPr>
          <w:rFonts w:hint="eastAsia" w:ascii="宋体" w:hAnsi="宋体"/>
          <w:color w:val="000000" w:themeColor="text1"/>
          <w:sz w:val="21"/>
          <w:szCs w:val="21"/>
          <w:highlight w:val="none"/>
          <w14:textFill>
            <w14:solidFill>
              <w14:schemeClr w14:val="tx1"/>
            </w14:solidFill>
          </w14:textFill>
        </w:rPr>
        <w:t>附件2.开标一览表格式</w:t>
      </w:r>
      <w:bookmarkEnd w:id="107"/>
    </w:p>
    <w:p>
      <w:pPr>
        <w:jc w:val="center"/>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开标一览表</w:t>
      </w:r>
    </w:p>
    <w:p>
      <w:pPr>
        <w:rPr>
          <w:color w:val="000000" w:themeColor="text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投标人名称：</w:t>
      </w:r>
    </w:p>
    <w:p>
      <w:pP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采购项目编号：</w:t>
      </w:r>
    </w:p>
    <w:tbl>
      <w:tblPr>
        <w:tblStyle w:val="27"/>
        <w:tblW w:w="45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8"/>
        <w:gridCol w:w="1943"/>
        <w:gridCol w:w="1403"/>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513" w:type="pct"/>
            <w:vAlign w:val="center"/>
          </w:tcPr>
          <w:p>
            <w:pPr>
              <w:spacing w:line="240" w:lineRule="auto"/>
              <w:jc w:val="center"/>
              <w:rPr>
                <w:rFonts w:ascii="宋体" w:hAnsi="宋体" w:cs="宋体"/>
                <w:color w:val="000000" w:themeColor="text1"/>
                <w:kern w:val="28"/>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tc>
        <w:tc>
          <w:tcPr>
            <w:tcW w:w="1246" w:type="pct"/>
            <w:vAlign w:val="center"/>
          </w:tcPr>
          <w:p>
            <w:pPr>
              <w:spacing w:line="240" w:lineRule="auto"/>
              <w:jc w:val="center"/>
              <w:rPr>
                <w:rFonts w:ascii="宋体" w:hAnsi="宋体" w:cs="宋体"/>
                <w:color w:val="000000" w:themeColor="text1"/>
                <w:kern w:val="28"/>
                <w:szCs w:val="21"/>
                <w:highlight w:val="none"/>
                <w14:textFill>
                  <w14:solidFill>
                    <w14:schemeClr w14:val="tx1"/>
                  </w14:solidFill>
                </w14:textFill>
              </w:rPr>
            </w:pPr>
            <w:r>
              <w:rPr>
                <w:rFonts w:hint="eastAsia" w:ascii="宋体" w:hAnsi="宋体" w:cs="宋体"/>
                <w:color w:val="000000" w:themeColor="text1"/>
                <w:kern w:val="28"/>
                <w:szCs w:val="21"/>
                <w:highlight w:val="none"/>
                <w14:textFill>
                  <w14:solidFill>
                    <w14:schemeClr w14:val="tx1"/>
                  </w14:solidFill>
                </w14:textFill>
              </w:rPr>
              <w:t>含税投标总价（元）</w:t>
            </w:r>
          </w:p>
        </w:tc>
        <w:tc>
          <w:tcPr>
            <w:tcW w:w="900" w:type="pct"/>
            <w:vAlign w:val="center"/>
          </w:tcPr>
          <w:p>
            <w:pPr>
              <w:spacing w:line="240" w:lineRule="auto"/>
              <w:jc w:val="center"/>
              <w:rPr>
                <w:rFonts w:ascii="宋体" w:hAnsi="宋体" w:cs="宋体"/>
                <w:color w:val="000000" w:themeColor="text1"/>
                <w:kern w:val="28"/>
                <w:szCs w:val="21"/>
                <w:highlight w:val="none"/>
                <w14:textFill>
                  <w14:solidFill>
                    <w14:schemeClr w14:val="tx1"/>
                  </w14:solidFill>
                </w14:textFill>
              </w:rPr>
            </w:pPr>
            <w:r>
              <w:rPr>
                <w:rFonts w:hint="eastAsia" w:ascii="宋体" w:hAnsi="宋体" w:cs="宋体"/>
                <w:color w:val="000000" w:themeColor="text1"/>
                <w:kern w:val="28"/>
                <w:szCs w:val="21"/>
                <w:highlight w:val="none"/>
                <w14:textFill>
                  <w14:solidFill>
                    <w14:schemeClr w14:val="tx1"/>
                  </w14:solidFill>
                </w14:textFill>
              </w:rPr>
              <w:t>供货期</w:t>
            </w:r>
          </w:p>
        </w:tc>
        <w:tc>
          <w:tcPr>
            <w:tcW w:w="1340" w:type="pct"/>
            <w:vAlign w:val="center"/>
          </w:tcPr>
          <w:p>
            <w:pPr>
              <w:spacing w:line="240" w:lineRule="auto"/>
              <w:jc w:val="center"/>
              <w:rPr>
                <w:rFonts w:ascii="宋体" w:hAnsi="宋体" w:cs="宋体"/>
                <w:color w:val="000000" w:themeColor="text1"/>
                <w:kern w:val="28"/>
                <w:szCs w:val="21"/>
                <w:highlight w:val="none"/>
                <w14:textFill>
                  <w14:solidFill>
                    <w14:schemeClr w14:val="tx1"/>
                  </w14:solidFill>
                </w14:textFill>
              </w:rPr>
            </w:pPr>
            <w:r>
              <w:rPr>
                <w:rFonts w:hint="eastAsia" w:ascii="宋体" w:hAnsi="宋体" w:cs="宋体"/>
                <w:color w:val="000000" w:themeColor="text1"/>
                <w:kern w:val="28"/>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513" w:type="pct"/>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p>
        </w:tc>
        <w:tc>
          <w:tcPr>
            <w:tcW w:w="1246" w:type="pct"/>
            <w:vAlign w:val="center"/>
          </w:tcPr>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小写：</w:t>
            </w:r>
          </w:p>
          <w:p>
            <w:pPr>
              <w:spacing w:line="24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大写：</w:t>
            </w:r>
          </w:p>
        </w:tc>
        <w:tc>
          <w:tcPr>
            <w:tcW w:w="900" w:type="pct"/>
            <w:vAlign w:val="center"/>
          </w:tcPr>
          <w:p>
            <w:pPr>
              <w:pStyle w:val="63"/>
              <w:jc w:val="center"/>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 xml:space="preserve"> </w:t>
            </w:r>
          </w:p>
        </w:tc>
        <w:tc>
          <w:tcPr>
            <w:tcW w:w="1340" w:type="pct"/>
            <w:vAlign w:val="center"/>
          </w:tcPr>
          <w:p>
            <w:pPr>
              <w:pStyle w:val="63"/>
              <w:jc w:val="center"/>
              <w:rPr>
                <w:rFonts w:hAnsi="宋体"/>
                <w:color w:val="000000" w:themeColor="text1"/>
                <w:sz w:val="21"/>
                <w:szCs w:val="21"/>
                <w:highlight w:val="none"/>
                <w14:textFill>
                  <w14:solidFill>
                    <w14:schemeClr w14:val="tx1"/>
                  </w14:solidFill>
                </w14:textFill>
              </w:rPr>
            </w:pPr>
          </w:p>
        </w:tc>
      </w:tr>
    </w:tbl>
    <w:p>
      <w:pPr>
        <w:rPr>
          <w:rFonts w:ascii="宋体" w:hAnsi="宋体"/>
          <w:color w:val="000000" w:themeColor="text1"/>
          <w:szCs w:val="21"/>
          <w:highlight w:val="none"/>
          <w14:textFill>
            <w14:solidFill>
              <w14:schemeClr w14:val="tx1"/>
            </w14:solidFill>
          </w14:textFill>
        </w:rPr>
      </w:pPr>
    </w:p>
    <w:p>
      <w:pPr>
        <w:ind w:firstLine="359" w:firstLineChars="171"/>
        <w:rPr>
          <w:rFonts w:ascii="宋体" w:hAnsi="宋体"/>
          <w:color w:val="000000" w:themeColor="text1"/>
          <w:szCs w:val="21"/>
          <w:highlight w:val="none"/>
          <w14:textFill>
            <w14:solidFill>
              <w14:schemeClr w14:val="tx1"/>
            </w14:solidFill>
          </w14:textFill>
        </w:rPr>
      </w:pPr>
    </w:p>
    <w:p>
      <w:pPr>
        <w:ind w:firstLine="359" w:firstLineChars="17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投标人代表签字：</w:t>
      </w:r>
    </w:p>
    <w:p>
      <w:pPr>
        <w:ind w:firstLine="359" w:firstLineChars="17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投标人盖章：</w:t>
      </w:r>
    </w:p>
    <w:p>
      <w:pPr>
        <w:ind w:firstLine="359" w:firstLineChars="171"/>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p>
    <w:p>
      <w:pPr>
        <w:ind w:firstLine="359" w:firstLineChars="171"/>
        <w:rPr>
          <w:rFonts w:ascii="宋体" w:hAnsi="宋体"/>
          <w:color w:val="000000" w:themeColor="text1"/>
          <w:szCs w:val="21"/>
          <w:highlight w:val="none"/>
          <w14:textFill>
            <w14:solidFill>
              <w14:schemeClr w14:val="tx1"/>
            </w14:solidFill>
          </w14:textFill>
        </w:rPr>
      </w:pPr>
    </w:p>
    <w:p>
      <w:pPr>
        <w:ind w:left="391" w:hanging="390" w:hangingChars="186"/>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注：</w:t>
      </w:r>
    </w:p>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1、投标总价栏须</w:t>
      </w:r>
      <w:r>
        <w:rPr>
          <w:rFonts w:ascii="宋体" w:hAnsi="宋体"/>
          <w:color w:val="000000" w:themeColor="text1"/>
          <w:szCs w:val="21"/>
          <w:highlight w:val="none"/>
          <w14:textFill>
            <w14:solidFill>
              <w14:schemeClr w14:val="tx1"/>
            </w14:solidFill>
          </w14:textFill>
        </w:rPr>
        <w:t>用</w:t>
      </w:r>
      <w:r>
        <w:rPr>
          <w:rFonts w:hint="eastAsia" w:ascii="宋体" w:hAnsi="宋体"/>
          <w:color w:val="000000" w:themeColor="text1"/>
          <w:szCs w:val="21"/>
          <w:highlight w:val="none"/>
          <w14:textFill>
            <w14:solidFill>
              <w14:schemeClr w14:val="tx1"/>
            </w14:solidFill>
          </w14:textFill>
        </w:rPr>
        <w:t>大写金额和小写金额两种方式</w:t>
      </w:r>
      <w:r>
        <w:rPr>
          <w:rFonts w:ascii="宋体" w:hAnsi="宋体"/>
          <w:color w:val="000000" w:themeColor="text1"/>
          <w:szCs w:val="21"/>
          <w:highlight w:val="none"/>
          <w14:textFill>
            <w14:solidFill>
              <w14:schemeClr w14:val="tx1"/>
            </w14:solidFill>
          </w14:textFill>
        </w:rPr>
        <w:t>表示的投标总价</w:t>
      </w:r>
      <w:r>
        <w:rPr>
          <w:rFonts w:hint="eastAsia" w:ascii="宋体" w:hAnsi="宋体"/>
          <w:color w:val="000000" w:themeColor="text1"/>
          <w:szCs w:val="21"/>
          <w:highlight w:val="none"/>
          <w14:textFill>
            <w14:solidFill>
              <w14:schemeClr w14:val="tx1"/>
            </w14:solidFill>
          </w14:textFill>
        </w:rPr>
        <w:t>，报价保留小数点后两位。投标总价大小写不一致，以大写为准。投标总价必须准确唯一且应包含采购文件要求的所有费用。</w:t>
      </w:r>
    </w:p>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2、温馨提示：未按采购文件要求报价、填写开标一览表是导致投标人废标的常见问题，请投标人仔细填写，认真核对。</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pPr>
        <w:pStyle w:val="5"/>
        <w:widowControl w:val="0"/>
        <w:overflowPunct w:val="0"/>
        <w:spacing w:line="240" w:lineRule="auto"/>
        <w:rPr>
          <w:rFonts w:ascii="宋体" w:hAnsi="宋体"/>
          <w:color w:val="000000" w:themeColor="text1"/>
          <w:sz w:val="21"/>
          <w:szCs w:val="21"/>
          <w:highlight w:val="none"/>
          <w14:textFill>
            <w14:solidFill>
              <w14:schemeClr w14:val="tx1"/>
            </w14:solidFill>
          </w14:textFill>
        </w:rPr>
      </w:pPr>
      <w:bookmarkStart w:id="108" w:name="_Toc10792"/>
      <w:r>
        <w:rPr>
          <w:rFonts w:hint="eastAsia" w:ascii="宋体" w:hAnsi="宋体"/>
          <w:color w:val="000000" w:themeColor="text1"/>
          <w:sz w:val="21"/>
          <w:szCs w:val="21"/>
          <w:highlight w:val="none"/>
          <w14:textFill>
            <w14:solidFill>
              <w14:schemeClr w14:val="tx1"/>
            </w14:solidFill>
          </w14:textFill>
        </w:rPr>
        <w:t>附件3.报价明细表格式</w:t>
      </w:r>
      <w:bookmarkEnd w:id="108"/>
    </w:p>
    <w:p>
      <w:pPr>
        <w:jc w:val="center"/>
        <w:rPr>
          <w:rFonts w:ascii="黑体" w:eastAsia="黑体"/>
          <w:color w:val="000000" w:themeColor="text1"/>
          <w:sz w:val="32"/>
          <w:szCs w:val="32"/>
          <w:highlight w:val="none"/>
          <w14:textFill>
            <w14:solidFill>
              <w14:schemeClr w14:val="tx1"/>
            </w14:solidFill>
          </w14:textFill>
        </w:rPr>
      </w:pPr>
      <w:bookmarkStart w:id="109" w:name="_Toc31062"/>
      <w:bookmarkStart w:id="110" w:name="_Toc31172"/>
      <w:r>
        <w:rPr>
          <w:rFonts w:hint="eastAsia" w:ascii="黑体" w:eastAsia="黑体"/>
          <w:color w:val="000000" w:themeColor="text1"/>
          <w:sz w:val="32"/>
          <w:szCs w:val="32"/>
          <w:highlight w:val="none"/>
          <w14:textFill>
            <w14:solidFill>
              <w14:schemeClr w14:val="tx1"/>
            </w14:solidFill>
          </w14:textFill>
        </w:rPr>
        <w:t>报价明细表</w:t>
      </w:r>
      <w:bookmarkEnd w:id="109"/>
      <w:bookmarkEnd w:id="110"/>
    </w:p>
    <w:p>
      <w:pPr>
        <w:pStyle w:val="73"/>
        <w:spacing w:before="0" w:after="0"/>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单位：元</w:t>
      </w:r>
    </w:p>
    <w:tbl>
      <w:tblPr>
        <w:tblStyle w:val="27"/>
        <w:tblW w:w="855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811"/>
        <w:gridCol w:w="1712"/>
        <w:gridCol w:w="636"/>
        <w:gridCol w:w="682"/>
        <w:gridCol w:w="1161"/>
        <w:gridCol w:w="1225"/>
        <w:gridCol w:w="636"/>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5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一、设备材料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项目特征描述</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计量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含税综合</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单价（元）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含税合价（元）</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品牌</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光伏组件</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1.规格：580Wp </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2.类型：单晶硅高效 单面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3.其他：含边框导流器、压块、接地垫片等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块</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并网逆变器</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1.规格：110kW</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2.类型：AC380V 组串式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3.其他：含监控模块等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并网逆变器</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1.规格：50kW</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2.类型：AC380V 组串式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3.其他：含监控模块等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并网逆变器</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1.规格：30kW</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2.类型：AC380V 组串式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3.其他：含监控模块等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交流汇流箱</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1.类型：户外、冷轧钢板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2.其他：防护等级IP65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6</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并网计量箱</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1.类型：户外、冷轧钢板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2.其他：防护等级IP65</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7</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并网计量柜</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1.类型：室内、冷轧钢板、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2.其他：防护等级IP30、含槽钢底座等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8</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彩钢瓦屋面固定支架</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1.类型：铝合金导轨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2.其他：含彩钢瓦夹具等所需配件等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3.区域：A栋、C栋</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9</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阵列式固定支架</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1.类型：镀锌U型钢导轨</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2.其他：含C25水泥墩基础等所需配件等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3.区域：B栋、D栋</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防水棚架</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1.类型：防腐防锈型钢立柱、横梁，镀锌C型钢檩条等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2.其他：含镀锌镁铝M型排水槽、副水槽、不锈钢接水槽、排水管等所需配件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3.区域：E栋、F栋</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光伏专用直流电缆</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1.规格：PV1-F-1×4mm²</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2.其他：配MC4接头、配管不外露等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交流电缆</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1.类型：阻燃型5芯绝缘护套铜芯电缆</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2.其他：配电缆头等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13</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电缆桥架</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1.类型：镀锌美铝电缆桥架</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2.其他：配固定支架、连接件、接地线等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电缆通道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1.类型：HDPE管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2.其他：含破复地面、埋管、电缆井、防火封堵等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避雷接地系统</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1.类型：不小于20m×20m或24 m×16m网格50×5热镀锌扁钢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2.其他：每栋建筑光伏系统不少于两处独立接地极等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16</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视频监控系统</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1.类型：360度4G卡视频监控</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2.其他：配固定支架、连接件、含电源接线、接地线等，包1年流量</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3.区域：逆变器、光伏阵列对角</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17</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水清洗系统</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1.类型：PPR热熔管</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2.区域：运维通道附近</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3.其他：含水龙头、增压泵、水表等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18</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彩钢瓦运维通道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1.规格：宽度不低于0.4m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2.类型：镀锌格栅板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3.其他：配固定件、夹具等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4.区域：彩钢瓦区域</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19</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棚架运维通道</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1.规格：宽度不低于0.4m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2.类型：镀锌花纹钢板</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3.其他：配安全生命线、固定件、夹具等</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4.区域：棚架区域</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防护围栏</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1.规格：高度不低于1.2m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2.类型：镀锌角钢、U型钢，带0.6m高铁丝网</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3.其他：配固定件、夹具等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扶手踏步斜梯</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1.规格：宽度不低于0.8m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2.类型：镀锌方通，带0.9m高扶手与0.8m×1.2m操作平台，与运维通道进行连接</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3.区域：棚架区域、彩钢瓦屋顶等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22</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护笼爬梯</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1.规格：护笼直径为0.8m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2.类型：镀锌圆管，带直径0.8m护笼</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3.区域：高度不高于3.5m等炮楼区域</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23</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消防器材</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1.要求：每台逆变器配置两个4kg手提式干粉灭火器，并装箱保护</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2.区域：逆变器区域等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24</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检修配电箱</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1.类型：户外、不锈钢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2.其他：防护等级IP65</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3.区域：逆变器区域等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逆变器遮雨棚</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1.规格：宽度不低于逆变器宽度+0.4m</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2.类型：304不锈钢</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3.区域：逆变器区域等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26</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安全警示牌</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1.内容：结合现场包括但不限于“高空作业，系好安全带”“临边区域，当心坠落”“以防坠落，请勿攀爬”“当心触电”等等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27</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其他所需辅材</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1.内容：结合现场包括但不限于结构胶、防腐漆、防锈期、焊条、防火泥、接线耳、绝缘套管、配管、安健环等等</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563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小计：</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5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二、试验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项目特征描述</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含税综合</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单价（元）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含税合价（元）</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试验费</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1.要求：满足供电局验收要求</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3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小计：</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55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三、安装安全防护措施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序号</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项目名称</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项目特征描述</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数量</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含税综合</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单价（元）</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含税合价（元）</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安装安全防护措施费</w:t>
            </w:r>
          </w:p>
        </w:tc>
        <w:tc>
          <w:tcPr>
            <w:tcW w:w="1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1.要求：满足建设方施工安全制度</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135000.00</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135000.00</w:t>
            </w: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highlight w:val="none"/>
                <w:u w:val="none"/>
                <w:lang w:val="en-US" w:eastAsia="zh-CN"/>
                <w14:textFill>
                  <w14:solidFill>
                    <w14:schemeClr w14:val="tx1"/>
                  </w14:solidFill>
                </w14:textFill>
              </w:rPr>
            </w:pPr>
            <w:r>
              <w:rPr>
                <w:rFonts w:hint="eastAsia" w:ascii="宋体" w:hAnsi="宋体" w:cs="宋体"/>
                <w:i w:val="0"/>
                <w:iCs w:val="0"/>
                <w:color w:val="000000" w:themeColor="text1"/>
                <w:sz w:val="21"/>
                <w:szCs w:val="21"/>
                <w:highlight w:val="none"/>
                <w:u w:val="none"/>
                <w:lang w:val="en-US" w:eastAsia="zh-CN"/>
                <w14:textFill>
                  <w14:solidFill>
                    <w14:schemeClr w14:val="tx1"/>
                  </w14:solidFill>
                </w14:textFill>
              </w:rPr>
              <w:t>不可修改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638" w:type="dxa"/>
            <w:gridSpan w:val="6"/>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小计：</w:t>
            </w:r>
          </w:p>
        </w:tc>
        <w:tc>
          <w:tcPr>
            <w:tcW w:w="122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 xml:space="preserve"> </w:t>
            </w:r>
          </w:p>
        </w:tc>
        <w:tc>
          <w:tcPr>
            <w:tcW w:w="6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right"/>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05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63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合计：</w:t>
            </w:r>
          </w:p>
        </w:tc>
        <w:tc>
          <w:tcPr>
            <w:tcW w:w="291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4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bidi="ar"/>
                <w14:textFill>
                  <w14:solidFill>
                    <w14:schemeClr w14:val="tx1"/>
                  </w14:solidFill>
                </w14:textFill>
              </w:rPr>
              <w:t>人民币（大写）：</w:t>
            </w:r>
          </w:p>
        </w:tc>
        <w:tc>
          <w:tcPr>
            <w:tcW w:w="710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20" w:firstLineChars="200"/>
        <w:jc w:val="both"/>
        <w:textAlignment w:val="auto"/>
        <w:outlineLvl w:val="9"/>
        <w:rPr>
          <w:rFonts w:hint="default" w:ascii="宋体" w:hAnsi="宋体" w:cs="Times New Roman"/>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cs="Times New Roman"/>
          <w:b w:val="0"/>
          <w:bCs w:val="0"/>
          <w:color w:val="000000" w:themeColor="text1"/>
          <w:kern w:val="2"/>
          <w:sz w:val="21"/>
          <w:szCs w:val="21"/>
          <w:highlight w:val="none"/>
          <w:lang w:val="en-US" w:eastAsia="zh-CN"/>
          <w14:textFill>
            <w14:solidFill>
              <w14:schemeClr w14:val="tx1"/>
            </w14:solidFill>
          </w14:textFill>
        </w:rPr>
        <w:t>注：</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20" w:firstLineChars="200"/>
        <w:jc w:val="both"/>
        <w:textAlignment w:val="auto"/>
        <w:outlineLvl w:val="9"/>
        <w:rPr>
          <w:rFonts w:hint="eastAsia" w:ascii="宋体" w:hAnsi="宋体" w:eastAsia="宋体" w:cs="Times New Roman"/>
          <w:b w:val="0"/>
          <w:bCs w:val="0"/>
          <w:color w:val="000000" w:themeColor="text1"/>
          <w:kern w:val="2"/>
          <w:sz w:val="21"/>
          <w:szCs w:val="21"/>
          <w:highlight w:val="none"/>
          <w:lang w:eastAsia="zh-CN"/>
          <w14:textFill>
            <w14:solidFill>
              <w14:schemeClr w14:val="tx1"/>
            </w14:solidFill>
          </w14:textFill>
        </w:rPr>
      </w:pPr>
      <w:r>
        <w:rPr>
          <w:rFonts w:hint="eastAsia" w:ascii="宋体" w:hAnsi="宋体" w:cs="Times New Roman"/>
          <w:b w:val="0"/>
          <w:bCs w:val="0"/>
          <w:color w:val="000000" w:themeColor="text1"/>
          <w:kern w:val="2"/>
          <w:sz w:val="21"/>
          <w:szCs w:val="21"/>
          <w:highlight w:val="none"/>
          <w:lang w:val="en-US" w:eastAsia="zh-CN"/>
          <w14:textFill>
            <w14:solidFill>
              <w14:schemeClr w14:val="tx1"/>
            </w14:solidFill>
          </w14:textFill>
        </w:rPr>
        <w:t>1</w:t>
      </w:r>
      <w:r>
        <w:rPr>
          <w:rFonts w:hint="eastAsia" w:ascii="宋体" w:hAnsi="宋体" w:eastAsia="宋体" w:cs="Times New Roman"/>
          <w:b w:val="0"/>
          <w:bCs w:val="0"/>
          <w:color w:val="000000" w:themeColor="text1"/>
          <w:kern w:val="2"/>
          <w:sz w:val="21"/>
          <w:szCs w:val="21"/>
          <w:highlight w:val="none"/>
          <w:lang w:eastAsia="zh-CN"/>
          <w14:textFill>
            <w14:solidFill>
              <w14:schemeClr w14:val="tx1"/>
            </w14:solidFill>
          </w14:textFill>
        </w:rPr>
        <w:t>、本次采购为包干价，包含项目并网报装所需的相关手续、必要的配套设施，投标方需要考虑此部分费用在报价中；</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20" w:firstLineChars="200"/>
        <w:jc w:val="both"/>
        <w:textAlignment w:val="auto"/>
        <w:outlineLvl w:val="9"/>
        <w:rPr>
          <w:rFonts w:hint="eastAsia" w:ascii="宋体" w:hAnsi="宋体" w:eastAsia="宋体" w:cs="Times New Roman"/>
          <w:b w:val="0"/>
          <w:bCs w:val="0"/>
          <w:color w:val="000000" w:themeColor="text1"/>
          <w:kern w:val="2"/>
          <w:sz w:val="21"/>
          <w:szCs w:val="21"/>
          <w:highlight w:val="none"/>
          <w:lang w:eastAsia="zh-CN"/>
          <w14:textFill>
            <w14:solidFill>
              <w14:schemeClr w14:val="tx1"/>
            </w14:solidFill>
          </w14:textFill>
        </w:rPr>
      </w:pPr>
      <w:r>
        <w:rPr>
          <w:rFonts w:hint="eastAsia" w:ascii="宋体" w:hAnsi="宋体" w:cs="Times New Roman"/>
          <w:b w:val="0"/>
          <w:bCs w:val="0"/>
          <w:color w:val="000000" w:themeColor="text1"/>
          <w:kern w:val="2"/>
          <w:sz w:val="21"/>
          <w:szCs w:val="21"/>
          <w:highlight w:val="none"/>
          <w:lang w:val="en-US" w:eastAsia="zh-CN"/>
          <w14:textFill>
            <w14:solidFill>
              <w14:schemeClr w14:val="tx1"/>
            </w14:solidFill>
          </w14:textFill>
        </w:rPr>
        <w:t>2</w:t>
      </w:r>
      <w:r>
        <w:rPr>
          <w:rFonts w:hint="eastAsia" w:ascii="宋体" w:hAnsi="宋体" w:eastAsia="宋体" w:cs="Times New Roman"/>
          <w:b w:val="0"/>
          <w:bCs w:val="0"/>
          <w:color w:val="000000" w:themeColor="text1"/>
          <w:kern w:val="2"/>
          <w:sz w:val="21"/>
          <w:szCs w:val="21"/>
          <w:highlight w:val="none"/>
          <w:lang w:eastAsia="zh-CN"/>
          <w14:textFill>
            <w14:solidFill>
              <w14:schemeClr w14:val="tx1"/>
            </w14:solidFill>
          </w14:textFill>
        </w:rPr>
        <w:t>、本次采购报价需参考招标技术要求；</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20" w:firstLineChars="200"/>
        <w:jc w:val="both"/>
        <w:textAlignment w:val="auto"/>
        <w:outlineLvl w:val="9"/>
        <w:rPr>
          <w:rFonts w:hint="eastAsia" w:ascii="宋体" w:hAnsi="宋体" w:eastAsia="宋体" w:cs="Times New Roman"/>
          <w:b w:val="0"/>
          <w:bCs w:val="0"/>
          <w:color w:val="000000" w:themeColor="text1"/>
          <w:kern w:val="2"/>
          <w:sz w:val="21"/>
          <w:szCs w:val="21"/>
          <w:highlight w:val="none"/>
          <w:lang w:eastAsia="zh-CN"/>
          <w14:textFill>
            <w14:solidFill>
              <w14:schemeClr w14:val="tx1"/>
            </w14:solidFill>
          </w14:textFill>
        </w:rPr>
      </w:pPr>
      <w:r>
        <w:rPr>
          <w:rFonts w:hint="eastAsia" w:ascii="宋体" w:hAnsi="宋体" w:cs="Times New Roman"/>
          <w:b w:val="0"/>
          <w:bCs w:val="0"/>
          <w:color w:val="000000" w:themeColor="text1"/>
          <w:kern w:val="2"/>
          <w:sz w:val="21"/>
          <w:szCs w:val="21"/>
          <w:highlight w:val="none"/>
          <w:lang w:val="en-US" w:eastAsia="zh-CN"/>
          <w14:textFill>
            <w14:solidFill>
              <w14:schemeClr w14:val="tx1"/>
            </w14:solidFill>
          </w14:textFill>
        </w:rPr>
        <w:t>3</w:t>
      </w:r>
      <w:r>
        <w:rPr>
          <w:rFonts w:hint="eastAsia" w:ascii="宋体" w:hAnsi="宋体" w:eastAsia="宋体" w:cs="Times New Roman"/>
          <w:b w:val="0"/>
          <w:bCs w:val="0"/>
          <w:color w:val="000000" w:themeColor="text1"/>
          <w:kern w:val="2"/>
          <w:sz w:val="21"/>
          <w:szCs w:val="21"/>
          <w:highlight w:val="none"/>
          <w:lang w:eastAsia="zh-CN"/>
          <w14:textFill>
            <w14:solidFill>
              <w14:schemeClr w14:val="tx1"/>
            </w14:solidFill>
          </w14:textFill>
        </w:rPr>
        <w:t>、本次采购报价含税；</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20" w:firstLineChars="200"/>
        <w:jc w:val="both"/>
        <w:textAlignment w:val="auto"/>
        <w:outlineLvl w:val="9"/>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pPr>
      <w:r>
        <w:rPr>
          <w:rFonts w:hint="eastAsia" w:ascii="宋体" w:hAnsi="宋体" w:cs="Times New Roman"/>
          <w:b w:val="0"/>
          <w:bCs w:val="0"/>
          <w:color w:val="000000" w:themeColor="text1"/>
          <w:kern w:val="2"/>
          <w:sz w:val="21"/>
          <w:szCs w:val="21"/>
          <w:highlight w:val="none"/>
          <w:lang w:val="en-US" w:eastAsia="zh-CN"/>
          <w14:textFill>
            <w14:solidFill>
              <w14:schemeClr w14:val="tx1"/>
            </w14:solidFill>
          </w14:textFill>
        </w:rPr>
        <w:t>4</w:t>
      </w:r>
      <w:r>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t>、本</w:t>
      </w:r>
      <w:r>
        <w:rPr>
          <w:rFonts w:hint="eastAsia" w:ascii="宋体" w:hAnsi="宋体" w:eastAsia="宋体" w:cs="Times New Roman"/>
          <w:b w:val="0"/>
          <w:bCs w:val="0"/>
          <w:color w:val="000000" w:themeColor="text1"/>
          <w:kern w:val="2"/>
          <w:sz w:val="21"/>
          <w:szCs w:val="21"/>
          <w:highlight w:val="none"/>
          <w:lang w:eastAsia="zh-CN"/>
          <w14:textFill>
            <w14:solidFill>
              <w14:schemeClr w14:val="tx1"/>
            </w14:solidFill>
          </w14:textFill>
        </w:rPr>
        <w:t>次采购</w:t>
      </w:r>
      <w:r>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t>报价须标明设备材料型号与品牌；</w:t>
      </w:r>
    </w:p>
    <w:p>
      <w:pPr>
        <w:keepNext w:val="0"/>
        <w:keepLines w:val="0"/>
        <w:pageBreakBefore w:val="0"/>
        <w:widowControl w:val="0"/>
        <w:kinsoku/>
        <w:wordWrap/>
        <w:overflowPunct/>
        <w:topLinePunct w:val="0"/>
        <w:autoSpaceDE/>
        <w:autoSpaceDN/>
        <w:bidi w:val="0"/>
        <w:adjustRightInd/>
        <w:snapToGrid/>
        <w:spacing w:after="0" w:line="240" w:lineRule="auto"/>
        <w:ind w:right="0" w:rightChars="0" w:firstLine="420" w:firstLineChars="200"/>
        <w:jc w:val="both"/>
        <w:textAlignment w:val="auto"/>
        <w:outlineLvl w:val="9"/>
        <w:rPr>
          <w:rFonts w:hint="eastAsia" w:ascii="Calibri Light" w:hAnsi="Calibri Light" w:eastAsia="宋体" w:cs="Times New Roman"/>
          <w:b w:val="0"/>
          <w:bCs w:val="0"/>
          <w:color w:val="000000" w:themeColor="text1"/>
          <w:kern w:val="2"/>
          <w:sz w:val="24"/>
          <w:szCs w:val="28"/>
          <w:highlight w:val="none"/>
          <w:lang w:val="en-US" w:eastAsia="zh-CN"/>
          <w14:textFill>
            <w14:solidFill>
              <w14:schemeClr w14:val="tx1"/>
            </w14:solidFill>
          </w14:textFill>
        </w:rPr>
      </w:pPr>
      <w:r>
        <w:rPr>
          <w:rFonts w:hint="eastAsia" w:ascii="宋体" w:hAnsi="宋体" w:cs="Times New Roman"/>
          <w:b w:val="0"/>
          <w:bCs w:val="0"/>
          <w:color w:val="000000" w:themeColor="text1"/>
          <w:kern w:val="2"/>
          <w:sz w:val="21"/>
          <w:szCs w:val="21"/>
          <w:highlight w:val="none"/>
          <w:lang w:val="en-US" w:eastAsia="zh-CN"/>
          <w14:textFill>
            <w14:solidFill>
              <w14:schemeClr w14:val="tx1"/>
            </w14:solidFill>
          </w14:textFill>
        </w:rPr>
        <w:t>5</w:t>
      </w:r>
      <w:r>
        <w:rPr>
          <w:rFonts w:hint="eastAsia" w:ascii="宋体" w:hAnsi="宋体" w:eastAsia="宋体" w:cs="Times New Roman"/>
          <w:b w:val="0"/>
          <w:bCs w:val="0"/>
          <w:color w:val="000000" w:themeColor="text1"/>
          <w:kern w:val="2"/>
          <w:sz w:val="21"/>
          <w:szCs w:val="21"/>
          <w:highlight w:val="none"/>
          <w:lang w:val="en-US" w:eastAsia="zh-CN"/>
          <w14:textFill>
            <w14:solidFill>
              <w14:schemeClr w14:val="tx1"/>
            </w14:solidFill>
          </w14:textFill>
        </w:rPr>
        <w:t>、具体安装技术要求，本采购清单中未标注数量的设备材料，投标单位应根据项目各项技术要求自行衡量数量并考虑在投标报价中。</w:t>
      </w:r>
    </w:p>
    <w:p>
      <w:pPr>
        <w:rPr>
          <w:rFonts w:ascii="宋体" w:hAnsi="宋体" w:cs="宋体"/>
          <w:b/>
          <w:color w:val="000000" w:themeColor="text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投标人代表签字：</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投标人盖章：</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bookmarkStart w:id="111" w:name="_Toc12412"/>
      <w:r>
        <w:rPr>
          <w:rFonts w:hint="eastAsia" w:ascii="宋体" w:hAnsi="宋体"/>
          <w:color w:val="000000" w:themeColor="text1"/>
          <w:szCs w:val="21"/>
          <w:highlight w:val="none"/>
          <w14:textFill>
            <w14:solidFill>
              <w14:schemeClr w14:val="tx1"/>
            </w14:solidFill>
          </w14:textFill>
        </w:rPr>
        <w:br w:type="page"/>
      </w:r>
    </w:p>
    <w:bookmarkEnd w:id="111"/>
    <w:p>
      <w:pPr>
        <w:rPr>
          <w:color w:val="000000" w:themeColor="text1"/>
          <w:sz w:val="52"/>
          <w:szCs w:val="52"/>
          <w:highlight w:val="none"/>
          <w14:textFill>
            <w14:solidFill>
              <w14:schemeClr w14:val="tx1"/>
            </w14:solidFill>
          </w14:textFill>
        </w:rPr>
      </w:pPr>
    </w:p>
    <w:p>
      <w:pPr>
        <w:pStyle w:val="3"/>
        <w:spacing w:before="0" w:after="0" w:line="360" w:lineRule="auto"/>
        <w:jc w:val="center"/>
        <w:rPr>
          <w:color w:val="000000" w:themeColor="text1"/>
          <w:sz w:val="72"/>
          <w:szCs w:val="72"/>
          <w:highlight w:val="none"/>
          <w14:textFill>
            <w14:solidFill>
              <w14:schemeClr w14:val="tx1"/>
            </w14:solidFill>
          </w14:textFill>
        </w:rPr>
      </w:pPr>
      <w:bookmarkStart w:id="112" w:name="_Toc20754"/>
      <w:r>
        <w:rPr>
          <w:rFonts w:hint="eastAsia"/>
          <w:color w:val="000000" w:themeColor="text1"/>
          <w:sz w:val="72"/>
          <w:szCs w:val="72"/>
          <w:highlight w:val="none"/>
          <w14:textFill>
            <w14:solidFill>
              <w14:schemeClr w14:val="tx1"/>
            </w14:solidFill>
          </w14:textFill>
        </w:rPr>
        <w:t>商务文件</w:t>
      </w:r>
      <w:bookmarkEnd w:id="112"/>
    </w:p>
    <w:p>
      <w:pPr>
        <w:jc w:val="center"/>
        <w:rPr>
          <w:rFonts w:ascii="黑体" w:eastAsia="黑体"/>
          <w:color w:val="000000" w:themeColor="text1"/>
          <w:sz w:val="72"/>
          <w:szCs w:val="72"/>
          <w:highlight w:val="none"/>
          <w14:textFill>
            <w14:solidFill>
              <w14:schemeClr w14:val="tx1"/>
            </w14:solidFill>
          </w14:textFill>
        </w:rPr>
      </w:pPr>
      <w:r>
        <w:rPr>
          <w:rFonts w:hint="eastAsia" w:ascii="黑体" w:eastAsia="黑体"/>
          <w:color w:val="000000" w:themeColor="text1"/>
          <w:sz w:val="72"/>
          <w:szCs w:val="72"/>
          <w:highlight w:val="none"/>
          <w14:textFill>
            <w14:solidFill>
              <w14:schemeClr w14:val="tx1"/>
            </w14:solidFill>
          </w14:textFill>
        </w:rPr>
        <w:t>（单独装订成册）</w:t>
      </w:r>
    </w:p>
    <w:p>
      <w:pPr>
        <w:rPr>
          <w:color w:val="000000" w:themeColor="text1"/>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pStyle w:val="10"/>
        <w:ind w:firstLine="240"/>
        <w:rPr>
          <w:color w:val="000000" w:themeColor="text1"/>
          <w:highlight w:val="none"/>
          <w14:textFill>
            <w14:solidFill>
              <w14:schemeClr w14:val="tx1"/>
            </w14:solidFill>
          </w14:textFill>
        </w:rPr>
      </w:pPr>
    </w:p>
    <w:p>
      <w:pPr>
        <w:rPr>
          <w:rFonts w:ascii="宋体" w:hAnsi="宋体" w:cs="宋体"/>
          <w:b/>
          <w:bCs/>
          <w:color w:val="000000" w:themeColor="text1"/>
          <w:spacing w:val="-6"/>
          <w:sz w:val="32"/>
          <w:szCs w:val="32"/>
          <w:highlight w:val="none"/>
          <w14:textFill>
            <w14:solidFill>
              <w14:schemeClr w14:val="tx1"/>
            </w14:solidFill>
          </w14:textFill>
        </w:rPr>
      </w:pPr>
      <w:r>
        <w:rPr>
          <w:rFonts w:hint="eastAsia" w:ascii="宋体" w:hAnsi="宋体" w:cs="宋体"/>
          <w:b/>
          <w:bCs/>
          <w:color w:val="000000" w:themeColor="text1"/>
          <w:spacing w:val="106"/>
          <w:kern w:val="0"/>
          <w:sz w:val="32"/>
          <w:szCs w:val="32"/>
          <w:highlight w:val="none"/>
          <w:fitText w:val="1600" w:id="292250509"/>
          <w14:textFill>
            <w14:solidFill>
              <w14:schemeClr w14:val="tx1"/>
            </w14:solidFill>
          </w14:textFill>
        </w:rPr>
        <w:t>项目名</w:t>
      </w:r>
      <w:r>
        <w:rPr>
          <w:rFonts w:hint="eastAsia" w:ascii="宋体" w:hAnsi="宋体" w:cs="宋体"/>
          <w:b/>
          <w:bCs/>
          <w:color w:val="000000" w:themeColor="text1"/>
          <w:spacing w:val="2"/>
          <w:kern w:val="0"/>
          <w:sz w:val="32"/>
          <w:szCs w:val="32"/>
          <w:highlight w:val="none"/>
          <w:fitText w:val="1600" w:id="292250509"/>
          <w14:textFill>
            <w14:solidFill>
              <w14:schemeClr w14:val="tx1"/>
            </w14:solidFill>
          </w14:textFill>
        </w:rPr>
        <w:t>称</w:t>
      </w:r>
      <w:r>
        <w:rPr>
          <w:rFonts w:hint="eastAsia" w:ascii="宋体" w:hAnsi="宋体" w:cs="宋体"/>
          <w:b/>
          <w:bCs/>
          <w:color w:val="000000" w:themeColor="text1"/>
          <w:spacing w:val="-6"/>
          <w:sz w:val="32"/>
          <w:szCs w:val="32"/>
          <w:highlight w:val="none"/>
          <w14:textFill>
            <w14:solidFill>
              <w14:schemeClr w14:val="tx1"/>
            </w14:solidFill>
          </w14:textFill>
        </w:rPr>
        <w:t>：</w:t>
      </w:r>
    </w:p>
    <w:p>
      <w:pP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pacing w:val="106"/>
          <w:kern w:val="0"/>
          <w:sz w:val="32"/>
          <w:szCs w:val="32"/>
          <w:highlight w:val="none"/>
          <w:fitText w:val="1600" w:id="1231831253"/>
          <w14:textFill>
            <w14:solidFill>
              <w14:schemeClr w14:val="tx1"/>
            </w14:solidFill>
          </w14:textFill>
        </w:rPr>
        <w:t>项目编</w:t>
      </w:r>
      <w:r>
        <w:rPr>
          <w:rFonts w:hint="eastAsia" w:ascii="宋体" w:hAnsi="宋体" w:cs="宋体"/>
          <w:b/>
          <w:bCs/>
          <w:color w:val="000000" w:themeColor="text1"/>
          <w:spacing w:val="2"/>
          <w:kern w:val="0"/>
          <w:sz w:val="32"/>
          <w:szCs w:val="32"/>
          <w:highlight w:val="none"/>
          <w:fitText w:val="1600" w:id="1231831253"/>
          <w14:textFill>
            <w14:solidFill>
              <w14:schemeClr w14:val="tx1"/>
            </w14:solidFill>
          </w14:textFill>
        </w:rPr>
        <w:t>号</w:t>
      </w:r>
      <w:r>
        <w:rPr>
          <w:rFonts w:hint="eastAsia" w:ascii="宋体" w:hAnsi="宋体" w:cs="宋体"/>
          <w:b/>
          <w:bCs/>
          <w:color w:val="000000" w:themeColor="text1"/>
          <w:sz w:val="32"/>
          <w:szCs w:val="32"/>
          <w:highlight w:val="none"/>
          <w14:textFill>
            <w14:solidFill>
              <w14:schemeClr w14:val="tx1"/>
            </w14:solidFill>
          </w14:textFill>
        </w:rPr>
        <w:t>：</w:t>
      </w:r>
    </w:p>
    <w:p>
      <w:pPr>
        <w:pStyle w:val="9"/>
        <w:ind w:left="0"/>
        <w:rPr>
          <w:b/>
          <w:color w:val="000000" w:themeColor="text1"/>
          <w:spacing w:val="1280"/>
          <w:sz w:val="32"/>
          <w:szCs w:val="32"/>
          <w:highlight w:val="none"/>
          <w14:textFill>
            <w14:solidFill>
              <w14:schemeClr w14:val="tx1"/>
            </w14:solidFill>
          </w14:textFill>
        </w:rPr>
      </w:pPr>
      <w:r>
        <w:rPr>
          <w:b/>
          <w:color w:val="000000" w:themeColor="text1"/>
          <w:spacing w:val="106"/>
          <w:sz w:val="32"/>
          <w:szCs w:val="32"/>
          <w:highlight w:val="none"/>
          <w:lang w:val="en-US" w:bidi="ar-SA"/>
          <w14:textFill>
            <w14:solidFill>
              <w14:schemeClr w14:val="tx1"/>
            </w14:solidFill>
          </w14:textFill>
        </w:rPr>
        <w:t>包组号（如有）：</w:t>
      </w:r>
    </w:p>
    <w:p>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0"/>
          <w:kern w:val="0"/>
          <w:sz w:val="32"/>
          <w:szCs w:val="32"/>
          <w:highlight w:val="none"/>
          <w:fitText w:val="1600" w:id="1764384445"/>
          <w14:textFill>
            <w14:solidFill>
              <w14:schemeClr w14:val="tx1"/>
            </w14:solidFill>
          </w14:textFill>
        </w:rPr>
        <w:t>投标人名称</w:t>
      </w:r>
      <w:r>
        <w:rPr>
          <w:rFonts w:hint="eastAsia" w:ascii="宋体" w:hAnsi="宋体" w:cs="宋体"/>
          <w:b/>
          <w:color w:val="000000" w:themeColor="text1"/>
          <w:sz w:val="32"/>
          <w:szCs w:val="32"/>
          <w:highlight w:val="none"/>
          <w14:textFill>
            <w14:solidFill>
              <w14:schemeClr w14:val="tx1"/>
            </w14:solidFill>
          </w14:textFill>
        </w:rPr>
        <w:t>：</w:t>
      </w:r>
    </w:p>
    <w:p>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4"/>
          <w:kern w:val="0"/>
          <w:sz w:val="32"/>
          <w:szCs w:val="32"/>
          <w:highlight w:val="none"/>
          <w:fitText w:val="1600" w:id="2061173831"/>
          <w14:textFill>
            <w14:solidFill>
              <w14:schemeClr w14:val="tx1"/>
            </w14:solidFill>
          </w14:textFill>
        </w:rPr>
        <w:t xml:space="preserve">日    </w:t>
      </w:r>
      <w:r>
        <w:rPr>
          <w:rFonts w:hint="eastAsia" w:ascii="宋体" w:hAnsi="宋体" w:cs="宋体"/>
          <w:b/>
          <w:color w:val="000000" w:themeColor="text1"/>
          <w:spacing w:val="0"/>
          <w:kern w:val="0"/>
          <w:sz w:val="32"/>
          <w:szCs w:val="32"/>
          <w:highlight w:val="none"/>
          <w:fitText w:val="1600" w:id="2061173831"/>
          <w14:textFill>
            <w14:solidFill>
              <w14:schemeClr w14:val="tx1"/>
            </w14:solidFill>
          </w14:textFill>
        </w:rPr>
        <w:t>期</w:t>
      </w:r>
      <w:r>
        <w:rPr>
          <w:rFonts w:hint="eastAsia" w:ascii="宋体" w:hAnsi="宋体" w:cs="宋体"/>
          <w:b/>
          <w:color w:val="000000" w:themeColor="text1"/>
          <w:sz w:val="32"/>
          <w:szCs w:val="32"/>
          <w:highlight w:val="none"/>
          <w14:textFill>
            <w14:solidFill>
              <w14:schemeClr w14:val="tx1"/>
            </w14:solidFill>
          </w14:textFill>
        </w:rPr>
        <w:t>：</w:t>
      </w:r>
    </w:p>
    <w:p>
      <w:pPr>
        <w:pStyle w:val="9"/>
        <w:rPr>
          <w:b/>
          <w:color w:val="000000" w:themeColor="text1"/>
          <w:sz w:val="32"/>
          <w:szCs w:val="32"/>
          <w:highlight w:val="none"/>
          <w14:textFill>
            <w14:solidFill>
              <w14:schemeClr w14:val="tx1"/>
            </w14:solidFill>
          </w14:textFill>
        </w:rPr>
      </w:pPr>
    </w:p>
    <w:p>
      <w:pPr>
        <w:pStyle w:val="10"/>
        <w:ind w:firstLine="321"/>
        <w:rPr>
          <w:b/>
          <w:color w:val="000000" w:themeColor="text1"/>
          <w:sz w:val="32"/>
          <w:szCs w:val="32"/>
          <w:highlight w:val="none"/>
          <w14:textFill>
            <w14:solidFill>
              <w14:schemeClr w14:val="tx1"/>
            </w14:solidFill>
          </w14:textFill>
        </w:rPr>
      </w:pPr>
    </w:p>
    <w:p>
      <w:pPr>
        <w:pStyle w:val="22"/>
        <w:rPr>
          <w:rFonts w:ascii="宋体" w:hAnsi="宋体" w:cs="宋体"/>
          <w:b/>
          <w:color w:val="000000" w:themeColor="text1"/>
          <w:sz w:val="32"/>
          <w:szCs w:val="32"/>
          <w:highlight w:val="none"/>
          <w14:textFill>
            <w14:solidFill>
              <w14:schemeClr w14:val="tx1"/>
            </w14:solidFill>
          </w14:textFill>
        </w:rPr>
      </w:pPr>
    </w:p>
    <w:p>
      <w:pPr>
        <w:rPr>
          <w:rFonts w:ascii="宋体" w:hAnsi="宋体" w:cs="宋体"/>
          <w:b/>
          <w:color w:val="000000" w:themeColor="text1"/>
          <w:sz w:val="32"/>
          <w:szCs w:val="32"/>
          <w:highlight w:val="none"/>
          <w14:textFill>
            <w14:solidFill>
              <w14:schemeClr w14:val="tx1"/>
            </w14:solidFill>
          </w14:textFill>
        </w:rPr>
      </w:pPr>
    </w:p>
    <w:p>
      <w:pPr>
        <w:pStyle w:val="9"/>
        <w:rPr>
          <w:b/>
          <w:color w:val="000000" w:themeColor="text1"/>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pPr>
        <w:pStyle w:val="5"/>
        <w:widowControl w:val="0"/>
        <w:overflowPunct w:val="0"/>
        <w:spacing w:line="240" w:lineRule="auto"/>
        <w:rPr>
          <w:color w:val="000000" w:themeColor="text1"/>
          <w:highlight w:val="none"/>
          <w14:textFill>
            <w14:solidFill>
              <w14:schemeClr w14:val="tx1"/>
            </w14:solidFill>
          </w14:textFill>
        </w:rPr>
      </w:pPr>
      <w:bookmarkStart w:id="113" w:name="_Toc15134"/>
      <w:r>
        <w:rPr>
          <w:rFonts w:hint="eastAsia" w:ascii="宋体" w:hAnsi="宋体"/>
          <w:color w:val="000000" w:themeColor="text1"/>
          <w:sz w:val="21"/>
          <w:szCs w:val="21"/>
          <w:highlight w:val="none"/>
          <w14:textFill>
            <w14:solidFill>
              <w14:schemeClr w14:val="tx1"/>
            </w14:solidFill>
          </w14:textFill>
        </w:rPr>
        <w:t>附件4.投标书格式</w:t>
      </w:r>
      <w:bookmarkEnd w:id="113"/>
    </w:p>
    <w:p>
      <w:pPr>
        <w:jc w:val="center"/>
        <w:rPr>
          <w:rFonts w:ascii="宋体" w:hAnsi="宋体"/>
          <w:color w:val="000000" w:themeColor="text1"/>
          <w:szCs w:val="21"/>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投标书</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lang w:eastAsia="zh-CN"/>
          <w14:textFill>
            <w14:solidFill>
              <w14:schemeClr w14:val="tx1"/>
            </w14:solidFill>
          </w14:textFill>
        </w:rPr>
        <w:t>广东政通招标有限公司</w:t>
      </w:r>
      <w:r>
        <w:rPr>
          <w:rFonts w:hint="eastAsia" w:ascii="宋体" w:hAnsi="宋体"/>
          <w:color w:val="000000" w:themeColor="text1"/>
          <w:szCs w:val="21"/>
          <w:highlight w:val="none"/>
          <w14:textFill>
            <w14:solidFill>
              <w14:schemeClr w14:val="tx1"/>
            </w14:solidFill>
          </w14:textFill>
        </w:rPr>
        <w:t>：</w:t>
      </w:r>
    </w:p>
    <w:p>
      <w:pPr>
        <w:rPr>
          <w:rFonts w:ascii="宋体" w:hAnsi="宋体"/>
          <w:color w:val="000000" w:themeColor="text1"/>
          <w:szCs w:val="21"/>
          <w:highlight w:val="none"/>
          <w14:textFill>
            <w14:solidFill>
              <w14:schemeClr w14:val="tx1"/>
            </w14:solidFill>
          </w14:textFill>
        </w:rPr>
      </w:pPr>
    </w:p>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根据贵方为</w:t>
      </w:r>
      <w:r>
        <w:rPr>
          <w:rFonts w:hint="eastAsia" w:ascii="宋体" w:hAnsi="宋体"/>
          <w:color w:val="000000" w:themeColor="text1"/>
          <w:szCs w:val="21"/>
          <w:highlight w:val="none"/>
          <w:u w:val="single"/>
          <w14:textFill>
            <w14:solidFill>
              <w14:schemeClr w14:val="tx1"/>
            </w14:solidFill>
          </w14:textFill>
        </w:rPr>
        <w:t>（项目名称）（采购项目编号）</w:t>
      </w:r>
      <w:r>
        <w:rPr>
          <w:rFonts w:hint="eastAsia" w:ascii="宋体" w:hAnsi="宋体"/>
          <w:color w:val="000000" w:themeColor="text1"/>
          <w:szCs w:val="21"/>
          <w:highlight w:val="none"/>
          <w14:textFill>
            <w14:solidFill>
              <w14:schemeClr w14:val="tx1"/>
            </w14:solidFill>
          </w14:textFill>
        </w:rPr>
        <w:t>项目采购公告/采购邀请，签字代表</w:t>
      </w:r>
      <w:r>
        <w:rPr>
          <w:rFonts w:hint="eastAsia" w:ascii="宋体" w:hAnsi="宋体"/>
          <w:color w:val="000000" w:themeColor="text1"/>
          <w:szCs w:val="21"/>
          <w:highlight w:val="none"/>
          <w:u w:val="single"/>
          <w14:textFill>
            <w14:solidFill>
              <w14:schemeClr w14:val="tx1"/>
            </w14:solidFill>
          </w14:textFill>
        </w:rPr>
        <w:t>（姓名、职务）</w:t>
      </w:r>
      <w:r>
        <w:rPr>
          <w:rFonts w:hint="eastAsia" w:ascii="宋体" w:hAnsi="宋体"/>
          <w:color w:val="000000" w:themeColor="text1"/>
          <w:szCs w:val="21"/>
          <w:highlight w:val="none"/>
          <w14:textFill>
            <w14:solidFill>
              <w14:schemeClr w14:val="tx1"/>
            </w14:solidFill>
          </w14:textFill>
        </w:rPr>
        <w:t>经正式授权并代表投标人</w:t>
      </w:r>
      <w:r>
        <w:rPr>
          <w:rFonts w:hint="eastAsia" w:ascii="宋体" w:hAnsi="宋体"/>
          <w:color w:val="000000" w:themeColor="text1"/>
          <w:szCs w:val="21"/>
          <w:highlight w:val="none"/>
          <w:u w:val="single"/>
          <w14:textFill>
            <w14:solidFill>
              <w14:schemeClr w14:val="tx1"/>
            </w14:solidFill>
          </w14:textFill>
        </w:rPr>
        <w:t>（投标人名称、地址）</w:t>
      </w:r>
      <w:r>
        <w:rPr>
          <w:rFonts w:hint="eastAsia" w:ascii="宋体" w:hAnsi="宋体"/>
          <w:color w:val="000000" w:themeColor="text1"/>
          <w:szCs w:val="21"/>
          <w:highlight w:val="none"/>
          <w14:textFill>
            <w14:solidFill>
              <w14:schemeClr w14:val="tx1"/>
            </w14:solidFill>
          </w14:textFill>
        </w:rPr>
        <w:t>提交投标文件及“唱标信封”：</w:t>
      </w:r>
    </w:p>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在此，签字代表宣布同意如下： </w:t>
      </w:r>
    </w:p>
    <w:p>
      <w:pPr>
        <w:widowControl w:val="0"/>
        <w:numPr>
          <w:ilvl w:val="0"/>
          <w:numId w:val="9"/>
        </w:numPr>
        <w:adjustRightInd/>
        <w:snapToGrid/>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我方将按采购文件的规定履行合同责任和义务。 </w:t>
      </w:r>
    </w:p>
    <w:p>
      <w:pPr>
        <w:widowControl w:val="0"/>
        <w:numPr>
          <w:ilvl w:val="0"/>
          <w:numId w:val="9"/>
        </w:numPr>
        <w:adjustRightInd/>
        <w:snapToGrid/>
        <w:jc w:val="both"/>
        <w:rPr>
          <w:rFonts w:ascii="宋体" w:hAnsi="宋体"/>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pPr>
        <w:widowControl w:val="0"/>
        <w:numPr>
          <w:ilvl w:val="0"/>
          <w:numId w:val="9"/>
        </w:numPr>
        <w:adjustRightInd/>
        <w:snapToGrid/>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本投标有效期为自开标日起</w:t>
      </w:r>
      <w:r>
        <w:rPr>
          <w:rFonts w:hint="eastAsia" w:ascii="宋体" w:hAnsi="宋体"/>
          <w:color w:val="000000" w:themeColor="text1"/>
          <w:szCs w:val="21"/>
          <w:highlight w:val="none"/>
          <w:u w:val="single"/>
          <w14:textFill>
            <w14:solidFill>
              <w14:schemeClr w14:val="tx1"/>
            </w14:solidFill>
          </w14:textFill>
        </w:rPr>
        <w:t>90</w:t>
      </w:r>
      <w:r>
        <w:rPr>
          <w:rFonts w:hint="eastAsia" w:ascii="宋体" w:hAnsi="宋体"/>
          <w:color w:val="000000" w:themeColor="text1"/>
          <w:szCs w:val="21"/>
          <w:highlight w:val="none"/>
          <w14:textFill>
            <w14:solidFill>
              <w14:schemeClr w14:val="tx1"/>
            </w14:solidFill>
          </w14:textFill>
        </w:rPr>
        <w:t xml:space="preserve">个日历日。 </w:t>
      </w:r>
    </w:p>
    <w:p>
      <w:pPr>
        <w:widowControl w:val="0"/>
        <w:numPr>
          <w:ilvl w:val="0"/>
          <w:numId w:val="9"/>
        </w:numPr>
        <w:adjustRightInd/>
        <w:snapToGrid/>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我方保证遵守投标人须知中关于没收投标保证金的规定。</w:t>
      </w:r>
    </w:p>
    <w:p>
      <w:pPr>
        <w:widowControl w:val="0"/>
        <w:numPr>
          <w:ilvl w:val="0"/>
          <w:numId w:val="9"/>
        </w:numPr>
        <w:adjustRightInd/>
        <w:snapToGrid/>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我方承诺，与买方聘请的为此项目提供咨询服务的公司及任何附属机构均无关联，我方不是买方的附属机构。 </w:t>
      </w:r>
    </w:p>
    <w:p>
      <w:pPr>
        <w:widowControl w:val="0"/>
        <w:numPr>
          <w:ilvl w:val="0"/>
          <w:numId w:val="9"/>
        </w:numPr>
        <w:adjustRightInd/>
        <w:snapToGrid/>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承诺，我方具备投标人邀请中所要求的资格条件，已清楚采购文件所有要求及有关规定；并承诺参加本次采购活动中，如有违法、违规、弄虚作假行为，所造成的损失、不良后果及法律责任，一律由我方承担；</w:t>
      </w:r>
    </w:p>
    <w:p>
      <w:pPr>
        <w:widowControl w:val="0"/>
        <w:numPr>
          <w:ilvl w:val="0"/>
          <w:numId w:val="9"/>
        </w:numPr>
        <w:adjustRightInd/>
        <w:snapToGrid/>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我方同意提供按照贵方可能要求的与其投标有关的一切数据或资料。</w:t>
      </w:r>
    </w:p>
    <w:p>
      <w:pPr>
        <w:widowControl w:val="0"/>
        <w:numPr>
          <w:ilvl w:val="0"/>
          <w:numId w:val="9"/>
        </w:numPr>
        <w:adjustRightInd/>
        <w:snapToGrid/>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与本投标有关的一切正式信函请寄：</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　　　　　　　　　　　　　　　电子邮箱：　　　　</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电话/移动电话：</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投标人法定代表人（或其授权代表）签字：                  </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投标人名称（全称）： </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投标人盖章： </w:t>
      </w:r>
    </w:p>
    <w:p>
      <w:pPr>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color w:val="000000" w:themeColor="text1"/>
          <w:highlight w:val="none"/>
          <w14:textFill>
            <w14:solidFill>
              <w14:schemeClr w14:val="tx1"/>
            </w14:solidFill>
          </w14:textFill>
        </w:rPr>
        <w:br w:type="page"/>
      </w:r>
    </w:p>
    <w:p>
      <w:pPr>
        <w:pStyle w:val="5"/>
        <w:widowControl w:val="0"/>
        <w:overflowPunct w:val="0"/>
        <w:spacing w:line="240" w:lineRule="auto"/>
        <w:rPr>
          <w:rFonts w:ascii="宋体" w:hAnsi="宋体"/>
          <w:color w:val="000000" w:themeColor="text1"/>
          <w:sz w:val="21"/>
          <w:szCs w:val="21"/>
          <w:highlight w:val="none"/>
          <w14:textFill>
            <w14:solidFill>
              <w14:schemeClr w14:val="tx1"/>
            </w14:solidFill>
          </w14:textFill>
        </w:rPr>
      </w:pPr>
      <w:bookmarkStart w:id="114" w:name="_Toc4877"/>
      <w:r>
        <w:rPr>
          <w:rFonts w:hint="eastAsia" w:ascii="宋体" w:hAnsi="宋体"/>
          <w:color w:val="000000" w:themeColor="text1"/>
          <w:sz w:val="21"/>
          <w:szCs w:val="21"/>
          <w:highlight w:val="none"/>
          <w14:textFill>
            <w14:solidFill>
              <w14:schemeClr w14:val="tx1"/>
            </w14:solidFill>
          </w14:textFill>
        </w:rPr>
        <w:t>附件5. 法定代表人证明书格式</w:t>
      </w:r>
      <w:bookmarkEnd w:id="114"/>
    </w:p>
    <w:p>
      <w:pPr>
        <w:rPr>
          <w:color w:val="000000" w:themeColor="text1"/>
          <w:highlight w:val="none"/>
          <w14:textFill>
            <w14:solidFill>
              <w14:schemeClr w14:val="tx1"/>
            </w14:solidFill>
          </w14:textFill>
        </w:rPr>
      </w:pPr>
    </w:p>
    <w:p>
      <w:pPr>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法定代表人证明书</w:t>
      </w:r>
    </w:p>
    <w:p>
      <w:pPr>
        <w:pStyle w:val="42"/>
        <w:spacing w:line="420" w:lineRule="atLeast"/>
        <w:ind w:firstLine="0" w:firstLineChars="0"/>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致：</w:t>
      </w:r>
      <w:r>
        <w:rPr>
          <w:rFonts w:hint="eastAsia" w:ascii="宋体" w:eastAsia="宋体"/>
          <w:color w:val="000000" w:themeColor="text1"/>
          <w:sz w:val="21"/>
          <w:szCs w:val="21"/>
          <w:highlight w:val="none"/>
          <w:lang w:eastAsia="zh-CN"/>
          <w14:textFill>
            <w14:solidFill>
              <w14:schemeClr w14:val="tx1"/>
            </w14:solidFill>
          </w14:textFill>
        </w:rPr>
        <w:t>广东政通招标有限公司</w:t>
      </w:r>
    </w:p>
    <w:p>
      <w:pPr>
        <w:pStyle w:val="42"/>
        <w:spacing w:line="420" w:lineRule="atLeast"/>
        <w:ind w:firstLine="433"/>
        <w:rPr>
          <w:rFonts w:ascii="宋体" w:eastAsia="宋体"/>
          <w:color w:val="000000" w:themeColor="text1"/>
          <w:sz w:val="21"/>
          <w:szCs w:val="21"/>
          <w:highlight w:val="none"/>
          <w14:textFill>
            <w14:solidFill>
              <w14:schemeClr w14:val="tx1"/>
            </w14:solidFill>
          </w14:textFill>
        </w:rPr>
      </w:pPr>
    </w:p>
    <w:p>
      <w:pPr>
        <w:pStyle w:val="42"/>
        <w:spacing w:line="420" w:lineRule="atLeast"/>
        <w:ind w:firstLine="433"/>
        <w:rPr>
          <w:rFonts w:ascii="宋体" w:eastAsia="宋体"/>
          <w:color w:val="000000" w:themeColor="text1"/>
          <w:sz w:val="21"/>
          <w:szCs w:val="21"/>
          <w:highlight w:val="none"/>
          <w:u w:val="singl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投标人名称:</w:t>
      </w:r>
    </w:p>
    <w:p>
      <w:pPr>
        <w:pStyle w:val="42"/>
        <w:spacing w:line="420" w:lineRule="atLeast"/>
        <w:ind w:firstLine="433"/>
        <w:rPr>
          <w:rFonts w:ascii="宋体" w:eastAsia="宋体"/>
          <w:color w:val="000000" w:themeColor="text1"/>
          <w:sz w:val="21"/>
          <w:szCs w:val="21"/>
          <w:highlight w:val="none"/>
          <w:u w:val="singl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单 位 性质：</w:t>
      </w:r>
    </w:p>
    <w:p>
      <w:pPr>
        <w:pStyle w:val="42"/>
        <w:spacing w:line="420" w:lineRule="atLeast"/>
        <w:ind w:firstLine="433"/>
        <w:rPr>
          <w:rFonts w:ascii="宋体" w:eastAsia="宋体"/>
          <w:color w:val="000000" w:themeColor="text1"/>
          <w:sz w:val="21"/>
          <w:szCs w:val="21"/>
          <w:highlight w:val="none"/>
          <w:u w:val="singl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地      址：</w:t>
      </w:r>
    </w:p>
    <w:p>
      <w:pPr>
        <w:pStyle w:val="42"/>
        <w:spacing w:line="420" w:lineRule="atLeast"/>
        <w:ind w:firstLine="433"/>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成 立 时间：年月日</w:t>
      </w:r>
    </w:p>
    <w:p>
      <w:pPr>
        <w:pStyle w:val="42"/>
        <w:spacing w:line="420" w:lineRule="atLeast"/>
        <w:ind w:firstLine="433"/>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经 营 期限：</w:t>
      </w:r>
    </w:p>
    <w:p>
      <w:pPr>
        <w:pStyle w:val="42"/>
        <w:spacing w:line="420" w:lineRule="atLeast"/>
        <w:ind w:firstLine="433"/>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姓名：性别：年龄：职务：</w:t>
      </w:r>
    </w:p>
    <w:p>
      <w:pPr>
        <w:pStyle w:val="42"/>
        <w:spacing w:line="420" w:lineRule="atLeast"/>
        <w:ind w:firstLine="433"/>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系（投标人名称）的法定代表人。</w:t>
      </w:r>
    </w:p>
    <w:p>
      <w:pPr>
        <w:spacing w:line="420" w:lineRule="atLeas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特此证明。</w:t>
      </w:r>
    </w:p>
    <w:p>
      <w:pPr>
        <w:pStyle w:val="42"/>
        <w:spacing w:line="500" w:lineRule="atLeast"/>
        <w:ind w:firstLine="3517" w:firstLineChars="1675"/>
        <w:rPr>
          <w:rFonts w:ascii="宋体" w:eastAsia="宋体"/>
          <w:color w:val="000000" w:themeColor="text1"/>
          <w:sz w:val="21"/>
          <w:szCs w:val="21"/>
          <w:highlight w:val="none"/>
          <w14:textFill>
            <w14:solidFill>
              <w14:schemeClr w14:val="tx1"/>
            </w14:solidFill>
          </w14:textFill>
        </w:rPr>
      </w:pPr>
    </w:p>
    <w:p>
      <w:pPr>
        <w:pStyle w:val="42"/>
        <w:spacing w:line="500" w:lineRule="atLeast"/>
        <w:ind w:firstLine="3517" w:firstLineChars="1675"/>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投标人名称（加盖公章）：</w:t>
      </w:r>
    </w:p>
    <w:p>
      <w:pPr>
        <w:pStyle w:val="42"/>
        <w:spacing w:line="500" w:lineRule="atLeast"/>
        <w:ind w:firstLine="3517" w:firstLineChars="1675"/>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法定代表人（签名或盖私章）：</w:t>
      </w:r>
    </w:p>
    <w:p>
      <w:pPr>
        <w:pStyle w:val="42"/>
        <w:spacing w:line="500" w:lineRule="atLeast"/>
        <w:ind w:firstLine="3517" w:firstLineChars="1675"/>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法定代表人联系方式：</w:t>
      </w:r>
    </w:p>
    <w:p>
      <w:pPr>
        <w:pStyle w:val="42"/>
        <w:spacing w:line="500" w:lineRule="atLeast"/>
        <w:ind w:firstLine="3517" w:firstLineChars="1675"/>
        <w:rPr>
          <w:rFonts w:ascii="宋体" w:eastAsia="宋体"/>
          <w:color w:val="000000" w:themeColor="text1"/>
          <w:sz w:val="21"/>
          <w:szCs w:val="21"/>
          <w:highlight w:val="none"/>
          <w:u w:val="singl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身份证号码：</w:t>
      </w:r>
    </w:p>
    <w:p>
      <w:pPr>
        <w:pStyle w:val="42"/>
        <w:spacing w:line="500" w:lineRule="atLeast"/>
        <w:ind w:firstLine="3507" w:firstLineChars="1670"/>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日     期：  年  月  日</w:t>
      </w:r>
    </w:p>
    <w:p>
      <w:pPr>
        <w:ind w:firstLine="420" w:firstLineChars="200"/>
        <w:rPr>
          <w:rFonts w:ascii="宋体" w:hAnsi="宋体"/>
          <w:color w:val="000000" w:themeColor="text1"/>
          <w:szCs w:val="21"/>
          <w:highlight w:val="none"/>
          <w14:textFill>
            <w14:solidFill>
              <w14:schemeClr w14:val="tx1"/>
            </w14:solidFill>
          </w14:textFill>
        </w:rPr>
      </w:pPr>
    </w:p>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注：法定代表人身份证明书需附法人代表身份证复印件。</w:t>
      </w:r>
    </w:p>
    <w:tbl>
      <w:tblPr>
        <w:tblStyle w:val="27"/>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42"/>
              <w:spacing w:line="460" w:lineRule="exact"/>
              <w:ind w:firstLine="0" w:firstLineChars="0"/>
              <w:jc w:val="center"/>
              <w:rPr>
                <w:rFonts w:ascii="宋体" w:eastAsia="宋体"/>
                <w:color w:val="000000" w:themeColor="text1"/>
                <w:sz w:val="22"/>
                <w:highlight w:val="none"/>
                <w14:textFill>
                  <w14:solidFill>
                    <w14:schemeClr w14:val="tx1"/>
                  </w14:solidFill>
                </w14:textFill>
              </w:rPr>
            </w:pPr>
            <w:r>
              <w:rPr>
                <w:rFonts w:hint="eastAsia" w:ascii="宋体" w:eastAsia="宋体"/>
                <w:color w:val="000000" w:themeColor="text1"/>
                <w:sz w:val="22"/>
                <w:highlight w:val="none"/>
                <w14:textFill>
                  <w14:solidFill>
                    <w14:schemeClr w14:val="tx1"/>
                  </w14:solidFill>
                </w14:textFill>
              </w:rPr>
              <w:t>正面</w:t>
            </w:r>
          </w:p>
        </w:tc>
        <w:tc>
          <w:tcPr>
            <w:tcW w:w="4182" w:type="dxa"/>
            <w:vAlign w:val="center"/>
          </w:tcPr>
          <w:p>
            <w:pPr>
              <w:pStyle w:val="42"/>
              <w:spacing w:line="460" w:lineRule="exact"/>
              <w:ind w:firstLine="0" w:firstLineChars="0"/>
              <w:jc w:val="center"/>
              <w:rPr>
                <w:rFonts w:ascii="宋体" w:eastAsia="宋体"/>
                <w:color w:val="000000" w:themeColor="text1"/>
                <w:sz w:val="22"/>
                <w:highlight w:val="none"/>
                <w14:textFill>
                  <w14:solidFill>
                    <w14:schemeClr w14:val="tx1"/>
                  </w14:solidFill>
                </w14:textFill>
              </w:rPr>
            </w:pPr>
            <w:r>
              <w:rPr>
                <w:rFonts w:hint="eastAsia" w:ascii="宋体" w:eastAsia="宋体"/>
                <w:color w:val="000000" w:themeColor="text1"/>
                <w:sz w:val="22"/>
                <w:highlight w:val="none"/>
                <w14:textFill>
                  <w14:solidFill>
                    <w14:schemeClr w14:val="tx1"/>
                  </w14:solidFill>
                </w14:textFill>
              </w:rPr>
              <w:t>背面</w:t>
            </w:r>
          </w:p>
        </w:tc>
      </w:tr>
    </w:tbl>
    <w:p>
      <w:pPr>
        <w:rPr>
          <w:color w:val="000000" w:themeColor="text1"/>
          <w:highlight w:val="none"/>
          <w14:textFill>
            <w14:solidFill>
              <w14:schemeClr w14:val="tx1"/>
            </w14:solidFill>
          </w14:textFill>
        </w:rPr>
      </w:pPr>
    </w:p>
    <w:p>
      <w:pPr>
        <w:adjustRightInd/>
        <w:snapToGrid/>
        <w:spacing w:line="276" w:lineRule="auto"/>
        <w:rPr>
          <w:rFonts w:ascii="楷体_GB2312" w:eastAsia="楷体_GB2312" w:hAnsiTheme="majorHAnsi" w:cstheme="majorBidi"/>
          <w:b/>
          <w:bCs/>
          <w:color w:val="000000" w:themeColor="text1"/>
          <w:sz w:val="24"/>
          <w:szCs w:val="28"/>
          <w:highlight w:val="none"/>
          <w14:textFill>
            <w14:solidFill>
              <w14:schemeClr w14:val="tx1"/>
            </w14:solidFill>
          </w14:textFill>
        </w:rPr>
      </w:pPr>
      <w:r>
        <w:rPr>
          <w:rFonts w:ascii="楷体_GB2312" w:eastAsia="楷体_GB2312"/>
          <w:color w:val="000000" w:themeColor="text1"/>
          <w:sz w:val="24"/>
          <w:highlight w:val="none"/>
          <w14:textFill>
            <w14:solidFill>
              <w14:schemeClr w14:val="tx1"/>
            </w14:solidFill>
          </w14:textFill>
        </w:rPr>
        <w:br w:type="page"/>
      </w:r>
    </w:p>
    <w:p>
      <w:pPr>
        <w:pStyle w:val="5"/>
        <w:widowControl w:val="0"/>
        <w:overflowPunct w:val="0"/>
        <w:spacing w:line="240" w:lineRule="auto"/>
        <w:rPr>
          <w:color w:val="000000" w:themeColor="text1"/>
          <w:highlight w:val="none"/>
          <w14:textFill>
            <w14:solidFill>
              <w14:schemeClr w14:val="tx1"/>
            </w14:solidFill>
          </w14:textFill>
        </w:rPr>
      </w:pPr>
      <w:bookmarkStart w:id="115" w:name="_Toc29112"/>
      <w:r>
        <w:rPr>
          <w:rFonts w:hint="eastAsia" w:ascii="宋体" w:hAnsi="宋体"/>
          <w:color w:val="000000" w:themeColor="text1"/>
          <w:sz w:val="21"/>
          <w:szCs w:val="21"/>
          <w:highlight w:val="none"/>
          <w14:textFill>
            <w14:solidFill>
              <w14:schemeClr w14:val="tx1"/>
            </w14:solidFill>
          </w14:textFill>
        </w:rPr>
        <w:t>附件6.法定代表人授权书格式</w:t>
      </w:r>
      <w:bookmarkEnd w:id="115"/>
    </w:p>
    <w:p>
      <w:pPr>
        <w:rPr>
          <w:color w:val="000000" w:themeColor="text1"/>
          <w:highlight w:val="none"/>
          <w14:textFill>
            <w14:solidFill>
              <w14:schemeClr w14:val="tx1"/>
            </w14:solidFill>
          </w14:textFill>
        </w:rPr>
      </w:pPr>
    </w:p>
    <w:p>
      <w:pPr>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法定代表人授权书</w:t>
      </w:r>
    </w:p>
    <w:p>
      <w:pPr>
        <w:pStyle w:val="42"/>
        <w:spacing w:line="420" w:lineRule="atLeast"/>
        <w:ind w:firstLine="0" w:firstLineChars="0"/>
        <w:rPr>
          <w:rFonts w:hint="eastAsia" w:ascii="宋体" w:eastAsia="宋体"/>
          <w:color w:val="000000" w:themeColor="text1"/>
          <w:sz w:val="21"/>
          <w:szCs w:val="21"/>
          <w:highlight w:val="none"/>
          <w:lang w:eastAsia="zh-CN"/>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致：</w:t>
      </w:r>
      <w:r>
        <w:rPr>
          <w:rFonts w:hint="eastAsia" w:ascii="宋体" w:eastAsia="宋体"/>
          <w:color w:val="000000" w:themeColor="text1"/>
          <w:sz w:val="21"/>
          <w:szCs w:val="21"/>
          <w:highlight w:val="none"/>
          <w:lang w:eastAsia="zh-CN"/>
          <w14:textFill>
            <w14:solidFill>
              <w14:schemeClr w14:val="tx1"/>
            </w14:solidFill>
          </w14:textFill>
        </w:rPr>
        <w:t>广东政通招标有限公司</w:t>
      </w:r>
    </w:p>
    <w:p>
      <w:pPr>
        <w:pStyle w:val="42"/>
        <w:spacing w:line="420" w:lineRule="atLeast"/>
        <w:ind w:firstLine="433"/>
        <w:rPr>
          <w:rFonts w:ascii="宋体" w:eastAsia="宋体"/>
          <w:color w:val="000000" w:themeColor="text1"/>
          <w:sz w:val="21"/>
          <w:szCs w:val="21"/>
          <w:highlight w:val="none"/>
          <w14:textFill>
            <w14:solidFill>
              <w14:schemeClr w14:val="tx1"/>
            </w14:solidFill>
          </w14:textFill>
        </w:rPr>
      </w:pPr>
    </w:p>
    <w:p>
      <w:pPr>
        <w:ind w:firstLine="420" w:firstLineChars="200"/>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本授权书声明：注册于</w:t>
      </w:r>
      <w:r>
        <w:rPr>
          <w:rFonts w:hint="eastAsia" w:ascii="宋体" w:hAnsi="宋体" w:cs="Times New Roman"/>
          <w:color w:val="000000" w:themeColor="text1"/>
          <w:szCs w:val="21"/>
          <w:highlight w:val="none"/>
          <w:u w:val="single"/>
          <w14:textFill>
            <w14:solidFill>
              <w14:schemeClr w14:val="tx1"/>
            </w14:solidFill>
          </w14:textFill>
        </w:rPr>
        <w:t>（国家或地区的名称）</w:t>
      </w:r>
      <w:r>
        <w:rPr>
          <w:rFonts w:hint="eastAsia" w:ascii="宋体" w:hAnsi="宋体" w:cs="Times New Roman"/>
          <w:color w:val="000000" w:themeColor="text1"/>
          <w:szCs w:val="21"/>
          <w:highlight w:val="none"/>
          <w14:textFill>
            <w14:solidFill>
              <w14:schemeClr w14:val="tx1"/>
            </w14:solidFill>
          </w14:textFill>
        </w:rPr>
        <w:t>的</w:t>
      </w:r>
      <w:r>
        <w:rPr>
          <w:rFonts w:hint="eastAsia" w:ascii="宋体" w:hAnsi="宋体" w:cs="Times New Roman"/>
          <w:color w:val="000000" w:themeColor="text1"/>
          <w:szCs w:val="21"/>
          <w:highlight w:val="none"/>
          <w:u w:val="single"/>
          <w14:textFill>
            <w14:solidFill>
              <w14:schemeClr w14:val="tx1"/>
            </w14:solidFill>
          </w14:textFill>
        </w:rPr>
        <w:t>（单位名称）</w:t>
      </w:r>
      <w:r>
        <w:rPr>
          <w:rFonts w:hint="eastAsia" w:ascii="宋体" w:hAnsi="宋体" w:cs="Times New Roman"/>
          <w:color w:val="000000" w:themeColor="text1"/>
          <w:szCs w:val="21"/>
          <w:highlight w:val="none"/>
          <w14:textFill>
            <w14:solidFill>
              <w14:schemeClr w14:val="tx1"/>
            </w14:solidFill>
          </w14:textFill>
        </w:rPr>
        <w:t>的在下面签字的</w:t>
      </w:r>
      <w:r>
        <w:rPr>
          <w:rFonts w:hint="eastAsia" w:ascii="宋体" w:hAnsi="宋体" w:cs="Times New Roman"/>
          <w:color w:val="000000" w:themeColor="text1"/>
          <w:szCs w:val="21"/>
          <w:highlight w:val="none"/>
          <w:u w:val="single"/>
          <w14:textFill>
            <w14:solidFill>
              <w14:schemeClr w14:val="tx1"/>
            </w14:solidFill>
          </w14:textFill>
        </w:rPr>
        <w:t>（法定代表人姓名、职务）</w:t>
      </w:r>
      <w:r>
        <w:rPr>
          <w:rFonts w:hint="eastAsia" w:ascii="宋体" w:hAnsi="宋体" w:cs="Times New Roman"/>
          <w:color w:val="000000" w:themeColor="text1"/>
          <w:szCs w:val="21"/>
          <w:highlight w:val="none"/>
          <w14:textFill>
            <w14:solidFill>
              <w14:schemeClr w14:val="tx1"/>
            </w14:solidFill>
          </w14:textFill>
        </w:rPr>
        <w:t>代表本单位授权</w:t>
      </w:r>
      <w:r>
        <w:rPr>
          <w:rFonts w:hint="eastAsia" w:ascii="宋体" w:hAnsi="宋体" w:cs="Times New Roman"/>
          <w:color w:val="000000" w:themeColor="text1"/>
          <w:szCs w:val="21"/>
          <w:highlight w:val="none"/>
          <w:u w:val="single"/>
          <w14:textFill>
            <w14:solidFill>
              <w14:schemeClr w14:val="tx1"/>
            </w14:solidFill>
          </w14:textFill>
        </w:rPr>
        <w:t>（单位名称）</w:t>
      </w:r>
      <w:r>
        <w:rPr>
          <w:rFonts w:hint="eastAsia" w:ascii="宋体" w:hAnsi="宋体" w:cs="Times New Roman"/>
          <w:color w:val="000000" w:themeColor="text1"/>
          <w:szCs w:val="21"/>
          <w:highlight w:val="none"/>
          <w14:textFill>
            <w14:solidFill>
              <w14:schemeClr w14:val="tx1"/>
            </w14:solidFill>
          </w14:textFill>
        </w:rPr>
        <w:t>的在下面签字的</w:t>
      </w:r>
      <w:r>
        <w:rPr>
          <w:rFonts w:hint="eastAsia" w:ascii="宋体" w:hAnsi="宋体" w:cs="Times New Roman"/>
          <w:color w:val="000000" w:themeColor="text1"/>
          <w:szCs w:val="21"/>
          <w:highlight w:val="none"/>
          <w:u w:val="single"/>
          <w14:textFill>
            <w14:solidFill>
              <w14:schemeClr w14:val="tx1"/>
            </w14:solidFill>
          </w14:textFill>
        </w:rPr>
        <w:t>（被授权人的姓名、职务）</w:t>
      </w:r>
      <w:r>
        <w:rPr>
          <w:rFonts w:hint="eastAsia" w:ascii="宋体" w:hAnsi="宋体" w:cs="Times New Roman"/>
          <w:color w:val="000000" w:themeColor="text1"/>
          <w:szCs w:val="21"/>
          <w:highlight w:val="none"/>
          <w14:textFill>
            <w14:solidFill>
              <w14:schemeClr w14:val="tx1"/>
            </w14:solidFill>
          </w14:textFill>
        </w:rPr>
        <w:t>为本单位的合法代理人，就</w:t>
      </w:r>
      <w:r>
        <w:rPr>
          <w:rFonts w:hint="eastAsia" w:ascii="宋体" w:hAnsi="宋体" w:cs="Times New Roman"/>
          <w:color w:val="000000" w:themeColor="text1"/>
          <w:szCs w:val="21"/>
          <w:highlight w:val="none"/>
          <w:u w:val="single"/>
          <w14:textFill>
            <w14:solidFill>
              <w14:schemeClr w14:val="tx1"/>
            </w14:solidFill>
          </w14:textFill>
        </w:rPr>
        <w:t>（项目名称）</w:t>
      </w:r>
      <w:r>
        <w:rPr>
          <w:rFonts w:hint="eastAsia" w:ascii="宋体" w:hAnsi="宋体" w:cs="Times New Roman"/>
          <w:color w:val="000000" w:themeColor="text1"/>
          <w:szCs w:val="21"/>
          <w:highlight w:val="none"/>
          <w14:textFill>
            <w14:solidFill>
              <w14:schemeClr w14:val="tx1"/>
            </w14:solidFill>
          </w14:textFill>
        </w:rPr>
        <w:t>投标及参加项目谈判，以本单位名义处理一切与之有关的事务。</w:t>
      </w:r>
    </w:p>
    <w:p>
      <w:pPr>
        <w:ind w:firstLine="315" w:firstLineChars="150"/>
        <w:rPr>
          <w:rFonts w:ascii="宋体" w:hAnsi="宋体" w:cs="Times New Roman"/>
          <w:color w:val="000000" w:themeColor="text1"/>
          <w:szCs w:val="21"/>
          <w:highlight w:val="none"/>
          <w14:textFill>
            <w14:solidFill>
              <w14:schemeClr w14:val="tx1"/>
            </w14:solidFill>
          </w14:textFill>
        </w:rPr>
      </w:pPr>
      <w:r>
        <w:rPr>
          <w:rFonts w:hint="eastAsia" w:ascii="宋体" w:hAnsi="宋体" w:cs="Times New Roman"/>
          <w:color w:val="000000" w:themeColor="text1"/>
          <w:szCs w:val="21"/>
          <w:highlight w:val="none"/>
          <w14:textFill>
            <w14:solidFill>
              <w14:schemeClr w14:val="tx1"/>
            </w14:solidFill>
          </w14:textFill>
        </w:rPr>
        <w:t>本授权书于</w:t>
      </w:r>
      <w:r>
        <w:rPr>
          <w:rFonts w:hint="eastAsia" w:ascii="宋体" w:hAnsi="宋体" w:cs="Times New Roman"/>
          <w:color w:val="000000" w:themeColor="text1"/>
          <w:szCs w:val="21"/>
          <w:highlight w:val="none"/>
          <w:u w:val="single"/>
          <w14:textFill>
            <w14:solidFill>
              <w14:schemeClr w14:val="tx1"/>
            </w14:solidFill>
          </w14:textFill>
        </w:rPr>
        <w:t>　　</w:t>
      </w:r>
      <w:r>
        <w:rPr>
          <w:rFonts w:hint="eastAsia" w:ascii="宋体" w:hAnsi="宋体" w:cs="Times New Roman"/>
          <w:color w:val="000000" w:themeColor="text1"/>
          <w:szCs w:val="21"/>
          <w:highlight w:val="none"/>
          <w14:textFill>
            <w14:solidFill>
              <w14:schemeClr w14:val="tx1"/>
            </w14:solidFill>
          </w14:textFill>
        </w:rPr>
        <w:t>年</w:t>
      </w:r>
      <w:r>
        <w:rPr>
          <w:rFonts w:hint="eastAsia" w:ascii="宋体" w:hAnsi="宋体" w:cs="Times New Roman"/>
          <w:color w:val="000000" w:themeColor="text1"/>
          <w:szCs w:val="21"/>
          <w:highlight w:val="none"/>
          <w:u w:val="single"/>
          <w14:textFill>
            <w14:solidFill>
              <w14:schemeClr w14:val="tx1"/>
            </w14:solidFill>
          </w14:textFill>
        </w:rPr>
        <w:t>　　</w:t>
      </w:r>
      <w:r>
        <w:rPr>
          <w:rFonts w:hint="eastAsia" w:ascii="宋体" w:hAnsi="宋体" w:cs="Times New Roman"/>
          <w:color w:val="000000" w:themeColor="text1"/>
          <w:szCs w:val="21"/>
          <w:highlight w:val="none"/>
          <w14:textFill>
            <w14:solidFill>
              <w14:schemeClr w14:val="tx1"/>
            </w14:solidFill>
          </w14:textFill>
        </w:rPr>
        <w:t>月</w:t>
      </w:r>
      <w:r>
        <w:rPr>
          <w:rFonts w:hint="eastAsia" w:ascii="宋体" w:hAnsi="宋体" w:cs="Times New Roman"/>
          <w:color w:val="000000" w:themeColor="text1"/>
          <w:szCs w:val="21"/>
          <w:highlight w:val="none"/>
          <w:u w:val="single"/>
          <w14:textFill>
            <w14:solidFill>
              <w14:schemeClr w14:val="tx1"/>
            </w14:solidFill>
          </w14:textFill>
        </w:rPr>
        <w:t>　　</w:t>
      </w:r>
      <w:r>
        <w:rPr>
          <w:rFonts w:hint="eastAsia" w:ascii="宋体" w:hAnsi="宋体" w:cs="Times New Roman"/>
          <w:color w:val="000000" w:themeColor="text1"/>
          <w:szCs w:val="21"/>
          <w:highlight w:val="none"/>
          <w14:textFill>
            <w14:solidFill>
              <w14:schemeClr w14:val="tx1"/>
            </w14:solidFill>
          </w14:textFill>
        </w:rPr>
        <w:t>日签字生效，特此声明。</w:t>
      </w:r>
    </w:p>
    <w:p>
      <w:pPr>
        <w:pStyle w:val="42"/>
        <w:spacing w:line="500" w:lineRule="atLeast"/>
        <w:ind w:firstLine="3517" w:firstLineChars="1675"/>
        <w:rPr>
          <w:rFonts w:ascii="宋体" w:eastAsia="宋体"/>
          <w:color w:val="000000" w:themeColor="text1"/>
          <w:sz w:val="21"/>
          <w:szCs w:val="21"/>
          <w:highlight w:val="none"/>
          <w14:textFill>
            <w14:solidFill>
              <w14:schemeClr w14:val="tx1"/>
            </w14:solidFill>
          </w14:textFill>
        </w:rPr>
      </w:pPr>
    </w:p>
    <w:p>
      <w:pPr>
        <w:pStyle w:val="42"/>
        <w:spacing w:line="500" w:lineRule="atLeast"/>
        <w:ind w:firstLine="3517" w:firstLineChars="1675"/>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投标人名称（加盖公章）：</w:t>
      </w:r>
    </w:p>
    <w:p>
      <w:pPr>
        <w:pStyle w:val="42"/>
        <w:spacing w:line="500" w:lineRule="atLeast"/>
        <w:ind w:firstLine="3517" w:firstLineChars="1675"/>
        <w:rPr>
          <w:rFonts w:ascii="宋体" w:eastAsia="宋体"/>
          <w:color w:val="000000" w:themeColor="text1"/>
          <w:sz w:val="21"/>
          <w:szCs w:val="21"/>
          <w:highlight w:val="none"/>
          <w:u w:val="singl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法定代表人签字（签名或盖私章）：</w:t>
      </w:r>
    </w:p>
    <w:p>
      <w:pPr>
        <w:pStyle w:val="42"/>
        <w:spacing w:line="500" w:lineRule="atLeast"/>
        <w:ind w:firstLine="3517" w:firstLineChars="1675"/>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被授权人签字：</w:t>
      </w:r>
    </w:p>
    <w:p>
      <w:pPr>
        <w:pStyle w:val="42"/>
        <w:spacing w:line="500" w:lineRule="atLeast"/>
        <w:ind w:firstLine="3517" w:firstLineChars="1675"/>
        <w:rPr>
          <w:rFonts w:ascii="宋体" w:eastAsia="宋体"/>
          <w:color w:val="000000" w:themeColor="text1"/>
          <w:sz w:val="21"/>
          <w:szCs w:val="21"/>
          <w:highlight w:val="none"/>
          <w:u w:val="singl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职务：</w:t>
      </w:r>
    </w:p>
    <w:p>
      <w:pPr>
        <w:pStyle w:val="42"/>
        <w:spacing w:line="500" w:lineRule="atLeast"/>
        <w:ind w:firstLine="3517" w:firstLineChars="1675"/>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 xml:space="preserve">移动电话： </w:t>
      </w:r>
    </w:p>
    <w:p>
      <w:pPr>
        <w:pStyle w:val="42"/>
        <w:spacing w:line="500" w:lineRule="atLeast"/>
        <w:ind w:firstLine="3517" w:firstLineChars="1675"/>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详细通讯地址：</w:t>
      </w:r>
    </w:p>
    <w:p>
      <w:pPr>
        <w:pStyle w:val="42"/>
        <w:spacing w:line="500" w:lineRule="atLeast"/>
        <w:ind w:firstLine="3517" w:firstLineChars="1675"/>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 xml:space="preserve">邮箱：                          </w:t>
      </w:r>
    </w:p>
    <w:p>
      <w:pPr>
        <w:pStyle w:val="42"/>
        <w:spacing w:line="500" w:lineRule="atLeast"/>
        <w:ind w:firstLine="3507" w:firstLineChars="1670"/>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日     期：  年  月  日</w:t>
      </w:r>
    </w:p>
    <w:p>
      <w:pPr>
        <w:pStyle w:val="42"/>
        <w:spacing w:line="460" w:lineRule="exact"/>
        <w:ind w:firstLine="433"/>
        <w:rPr>
          <w:rFonts w:ascii="宋体" w:eastAsia="宋体"/>
          <w:color w:val="000000" w:themeColor="text1"/>
          <w:sz w:val="21"/>
          <w:szCs w:val="21"/>
          <w:highlight w:val="none"/>
          <w14:textFill>
            <w14:solidFill>
              <w14:schemeClr w14:val="tx1"/>
            </w14:solidFill>
          </w14:textFill>
        </w:rPr>
      </w:pPr>
    </w:p>
    <w:p>
      <w:pPr>
        <w:ind w:firstLine="420" w:firstLineChars="200"/>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须附：被授权人身份证复印件。</w:t>
      </w:r>
    </w:p>
    <w:tbl>
      <w:tblPr>
        <w:tblStyle w:val="27"/>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42"/>
              <w:spacing w:line="460" w:lineRule="exact"/>
              <w:ind w:firstLine="0" w:firstLineChars="0"/>
              <w:jc w:val="center"/>
              <w:rPr>
                <w:rFonts w:ascii="宋体" w:eastAsia="宋体"/>
                <w:color w:val="000000" w:themeColor="text1"/>
                <w:sz w:val="22"/>
                <w:highlight w:val="none"/>
                <w14:textFill>
                  <w14:solidFill>
                    <w14:schemeClr w14:val="tx1"/>
                  </w14:solidFill>
                </w14:textFill>
              </w:rPr>
            </w:pPr>
            <w:r>
              <w:rPr>
                <w:rFonts w:hint="eastAsia" w:ascii="宋体" w:eastAsia="宋体"/>
                <w:color w:val="000000" w:themeColor="text1"/>
                <w:sz w:val="22"/>
                <w:highlight w:val="none"/>
                <w14:textFill>
                  <w14:solidFill>
                    <w14:schemeClr w14:val="tx1"/>
                  </w14:solidFill>
                </w14:textFill>
              </w:rPr>
              <w:t>正面</w:t>
            </w:r>
          </w:p>
        </w:tc>
        <w:tc>
          <w:tcPr>
            <w:tcW w:w="4232" w:type="dxa"/>
            <w:vAlign w:val="center"/>
          </w:tcPr>
          <w:p>
            <w:pPr>
              <w:pStyle w:val="42"/>
              <w:spacing w:line="460" w:lineRule="exact"/>
              <w:ind w:firstLine="0" w:firstLineChars="0"/>
              <w:jc w:val="center"/>
              <w:rPr>
                <w:rFonts w:ascii="宋体" w:eastAsia="宋体"/>
                <w:color w:val="000000" w:themeColor="text1"/>
                <w:sz w:val="22"/>
                <w:highlight w:val="none"/>
                <w14:textFill>
                  <w14:solidFill>
                    <w14:schemeClr w14:val="tx1"/>
                  </w14:solidFill>
                </w14:textFill>
              </w:rPr>
            </w:pPr>
            <w:r>
              <w:rPr>
                <w:rFonts w:hint="eastAsia" w:ascii="宋体" w:eastAsia="宋体"/>
                <w:color w:val="000000" w:themeColor="text1"/>
                <w:sz w:val="22"/>
                <w:highlight w:val="none"/>
                <w14:textFill>
                  <w14:solidFill>
                    <w14:schemeClr w14:val="tx1"/>
                  </w14:solidFill>
                </w14:textFill>
              </w:rPr>
              <w:t>背面</w:t>
            </w:r>
          </w:p>
        </w:tc>
      </w:tr>
    </w:tbl>
    <w:p>
      <w:pPr>
        <w:adjustRightInd/>
        <w:snapToGrid/>
        <w:spacing w:line="276" w:lineRule="auto"/>
        <w:rPr>
          <w:color w:val="000000" w:themeColor="text1"/>
          <w:highlight w:val="none"/>
          <w14:textFill>
            <w14:solidFill>
              <w14:schemeClr w14:val="tx1"/>
            </w14:solidFill>
          </w14:textFill>
        </w:rPr>
      </w:pPr>
      <w:bookmarkStart w:id="116" w:name="_Toc22486"/>
      <w:r>
        <w:rPr>
          <w:rFonts w:hint="eastAsia" w:ascii="宋体" w:hAnsi="宋体"/>
          <w:color w:val="000000" w:themeColor="text1"/>
          <w:szCs w:val="21"/>
          <w:highlight w:val="none"/>
          <w14:textFill>
            <w14:solidFill>
              <w14:schemeClr w14:val="tx1"/>
            </w14:solidFill>
          </w14:textFill>
        </w:rPr>
        <w:br w:type="page"/>
      </w:r>
    </w:p>
    <w:p>
      <w:pPr>
        <w:pStyle w:val="5"/>
        <w:widowControl w:val="0"/>
        <w:overflowPunct w:val="0"/>
        <w:spacing w:line="240" w:lineRule="auto"/>
        <w:rPr>
          <w:rFonts w:ascii="宋体" w:hAnsi="宋体"/>
          <w:color w:val="000000" w:themeColor="text1"/>
          <w:sz w:val="21"/>
          <w:szCs w:val="21"/>
          <w:highlight w:val="none"/>
          <w14:textFill>
            <w14:solidFill>
              <w14:schemeClr w14:val="tx1"/>
            </w14:solidFill>
          </w14:textFill>
        </w:rPr>
      </w:pPr>
      <w:bookmarkStart w:id="117" w:name="_Toc26686"/>
      <w:r>
        <w:rPr>
          <w:rFonts w:hint="eastAsia" w:ascii="宋体" w:hAnsi="宋体"/>
          <w:color w:val="000000" w:themeColor="text1"/>
          <w:sz w:val="21"/>
          <w:szCs w:val="21"/>
          <w:highlight w:val="none"/>
          <w14:textFill>
            <w14:solidFill>
              <w14:schemeClr w14:val="tx1"/>
            </w14:solidFill>
          </w14:textFill>
        </w:rPr>
        <w:t>附件7.资格申明</w:t>
      </w:r>
      <w:bookmarkEnd w:id="117"/>
    </w:p>
    <w:p>
      <w:pPr>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资格申明</w:t>
      </w:r>
    </w:p>
    <w:p>
      <w:pPr>
        <w:pStyle w:val="42"/>
        <w:spacing w:line="420" w:lineRule="atLeast"/>
        <w:ind w:firstLine="0" w:firstLineChars="0"/>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lang w:eastAsia="zh-CN"/>
          <w14:textFill>
            <w14:solidFill>
              <w14:schemeClr w14:val="tx1"/>
            </w14:solidFill>
          </w14:textFill>
        </w:rPr>
        <w:t>广东政通招标有限公司</w:t>
      </w:r>
      <w:r>
        <w:rPr>
          <w:rFonts w:hint="eastAsia" w:ascii="宋体" w:eastAsia="宋体"/>
          <w:color w:val="000000" w:themeColor="text1"/>
          <w:sz w:val="21"/>
          <w:szCs w:val="21"/>
          <w:highlight w:val="none"/>
          <w14:textFill>
            <w14:solidFill>
              <w14:schemeClr w14:val="tx1"/>
            </w14:solidFill>
          </w14:textFill>
        </w:rPr>
        <w:t>：</w:t>
      </w:r>
    </w:p>
    <w:p>
      <w:pPr>
        <w:ind w:firstLine="420" w:firstLineChars="200"/>
        <w:rPr>
          <w:rFonts w:ascii="宋体" w:hAnsi="宋体"/>
          <w:color w:val="000000" w:themeColor="text1"/>
          <w:szCs w:val="21"/>
          <w:highlight w:val="none"/>
          <w14:textFill>
            <w14:solidFill>
              <w14:schemeClr w14:val="tx1"/>
            </w14:solidFill>
          </w14:textFill>
        </w:rPr>
      </w:pPr>
    </w:p>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w:t>
      </w:r>
      <w:r>
        <w:rPr>
          <w:rFonts w:ascii="宋体" w:hAnsi="宋体"/>
          <w:color w:val="000000" w:themeColor="text1"/>
          <w:szCs w:val="21"/>
          <w:highlight w:val="none"/>
          <w14:textFill>
            <w14:solidFill>
              <w14:schemeClr w14:val="tx1"/>
            </w14:solidFill>
          </w14:textFill>
        </w:rPr>
        <w:t>愿响应</w:t>
      </w:r>
      <w:r>
        <w:rPr>
          <w:rFonts w:hint="eastAsia" w:ascii="宋体" w:hAnsi="宋体"/>
          <w:color w:val="000000" w:themeColor="text1"/>
          <w:szCs w:val="21"/>
          <w:highlight w:val="none"/>
          <w14:textFill>
            <w14:solidFill>
              <w14:schemeClr w14:val="tx1"/>
            </w14:solidFill>
          </w14:textFill>
        </w:rPr>
        <w:t>贵</w:t>
      </w:r>
      <w:r>
        <w:rPr>
          <w:rFonts w:ascii="宋体" w:hAnsi="宋体"/>
          <w:color w:val="000000" w:themeColor="text1"/>
          <w:szCs w:val="21"/>
          <w:highlight w:val="none"/>
          <w14:textFill>
            <w14:solidFill>
              <w14:schemeClr w14:val="tx1"/>
            </w14:solidFill>
          </w14:textFill>
        </w:rPr>
        <w:t>方</w:t>
      </w:r>
      <w:r>
        <w:rPr>
          <w:rFonts w:hint="eastAsia" w:ascii="宋体" w:hAnsi="宋体"/>
          <w:color w:val="000000" w:themeColor="text1"/>
          <w:szCs w:val="21"/>
          <w:highlight w:val="none"/>
          <w14:textFill>
            <w14:solidFill>
              <w14:schemeClr w14:val="tx1"/>
            </w14:solidFill>
          </w14:textFill>
        </w:rPr>
        <w:t>关于（项目名称：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采购项目编号：</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的</w:t>
      </w:r>
      <w:r>
        <w:rPr>
          <w:rFonts w:ascii="宋体" w:hAnsi="宋体"/>
          <w:color w:val="000000" w:themeColor="text1"/>
          <w:szCs w:val="21"/>
          <w:highlight w:val="none"/>
          <w14:textFill>
            <w14:solidFill>
              <w14:schemeClr w14:val="tx1"/>
            </w14:solidFill>
          </w14:textFill>
        </w:rPr>
        <w:t>投标邀请，参与投标，提供用户需求书中规定的</w:t>
      </w:r>
      <w:r>
        <w:rPr>
          <w:rFonts w:hint="eastAsia" w:ascii="宋体" w:hAnsi="宋体"/>
          <w:color w:val="000000" w:themeColor="text1"/>
          <w:szCs w:val="21"/>
          <w:highlight w:val="none"/>
          <w14:textFill>
            <w14:solidFill>
              <w14:schemeClr w14:val="tx1"/>
            </w14:solidFill>
          </w14:textFill>
        </w:rPr>
        <w:t>货物及相关服务</w:t>
      </w:r>
      <w:r>
        <w:rPr>
          <w:rFonts w:ascii="宋体" w:hAnsi="宋体"/>
          <w:color w:val="000000" w:themeColor="text1"/>
          <w:szCs w:val="21"/>
          <w:highlight w:val="none"/>
          <w14:textFill>
            <w14:solidFill>
              <w14:schemeClr w14:val="tx1"/>
            </w14:solidFill>
          </w14:textFill>
        </w:rPr>
        <w:t>，并按</w:t>
      </w:r>
      <w:r>
        <w:rPr>
          <w:rFonts w:hint="eastAsia" w:ascii="宋体" w:hAnsi="宋体"/>
          <w:color w:val="000000" w:themeColor="text1"/>
          <w:szCs w:val="21"/>
          <w:highlight w:val="none"/>
          <w14:textFill>
            <w14:solidFill>
              <w14:schemeClr w14:val="tx1"/>
            </w14:solidFill>
          </w14:textFill>
        </w:rPr>
        <w:t>采购</w:t>
      </w:r>
      <w:r>
        <w:rPr>
          <w:rFonts w:ascii="宋体" w:hAnsi="宋体"/>
          <w:color w:val="000000" w:themeColor="text1"/>
          <w:szCs w:val="21"/>
          <w:highlight w:val="none"/>
          <w14:textFill>
            <w14:solidFill>
              <w14:schemeClr w14:val="tx1"/>
            </w14:solidFill>
          </w14:textFill>
        </w:rPr>
        <w:t>文件要求提交所附资格文件且声明和保证如下：</w:t>
      </w:r>
    </w:p>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一、我方具备投标人邀请中所要求得资格条件，已清楚采购文件所有要求及有关规定；并承诺参加本次采购活动中，如有违法、违规、弄虚作假行为，所造成的损失、不良后果及法律责任，一律由我方承担；</w:t>
      </w:r>
    </w:p>
    <w:p>
      <w:pPr>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w:t>
      </w:r>
      <w:r>
        <w:rPr>
          <w:rFonts w:ascii="宋体" w:hAnsi="宋体"/>
          <w:color w:val="000000" w:themeColor="text1"/>
          <w:szCs w:val="21"/>
          <w:highlight w:val="none"/>
          <w14:textFill>
            <w14:solidFill>
              <w14:schemeClr w14:val="tx1"/>
            </w14:solidFill>
          </w14:textFill>
        </w:rPr>
        <w:t>我方依法注册，在法律上、财务上和运作上完全独立于</w:t>
      </w:r>
      <w:r>
        <w:rPr>
          <w:rFonts w:hint="eastAsia" w:ascii="宋体" w:hAnsi="宋体"/>
          <w:color w:val="000000" w:themeColor="text1"/>
          <w:szCs w:val="21"/>
          <w:highlight w:val="none"/>
          <w:u w:val="single"/>
          <w14:textFill>
            <w14:solidFill>
              <w14:schemeClr w14:val="tx1"/>
            </w14:solidFill>
          </w14:textFill>
        </w:rPr>
        <w:t xml:space="preserve">  xxxx   </w:t>
      </w:r>
      <w:r>
        <w:rPr>
          <w:rFonts w:hint="eastAsia" w:ascii="宋体" w:hAnsi="宋体"/>
          <w:color w:val="000000" w:themeColor="text1"/>
          <w:szCs w:val="21"/>
          <w:highlight w:val="none"/>
          <w14:textFill>
            <w14:solidFill>
              <w14:schemeClr w14:val="tx1"/>
            </w14:solidFill>
          </w14:textFill>
        </w:rPr>
        <w:t>公司</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采购人</w:t>
      </w:r>
      <w:r>
        <w:rPr>
          <w:rFonts w:ascii="宋体" w:hAnsi="宋体"/>
          <w:color w:val="000000" w:themeColor="text1"/>
          <w:szCs w:val="21"/>
          <w:highlight w:val="none"/>
          <w14:textFill>
            <w14:solidFill>
              <w14:schemeClr w14:val="tx1"/>
            </w14:solidFill>
          </w14:textFill>
        </w:rPr>
        <w:t>）及</w:t>
      </w:r>
      <w:r>
        <w:rPr>
          <w:rFonts w:hint="eastAsia" w:ascii="宋体" w:hAnsi="宋体"/>
          <w:color w:val="000000" w:themeColor="text1"/>
          <w:szCs w:val="21"/>
          <w:highlight w:val="none"/>
          <w:u w:val="single"/>
          <w14:textFill>
            <w14:solidFill>
              <w14:schemeClr w14:val="tx1"/>
            </w14:solidFill>
          </w14:textFill>
        </w:rPr>
        <w:t xml:space="preserve">    xxx   </w:t>
      </w:r>
      <w:r>
        <w:rPr>
          <w:rFonts w:hint="eastAsia" w:ascii="宋体" w:hAnsi="宋体"/>
          <w:color w:val="000000" w:themeColor="text1"/>
          <w:szCs w:val="21"/>
          <w:highlight w:val="none"/>
          <w14:textFill>
            <w14:solidFill>
              <w14:schemeClr w14:val="tx1"/>
            </w14:solidFill>
          </w14:textFill>
        </w:rPr>
        <w:t>公司</w:t>
      </w:r>
      <w:r>
        <w:rPr>
          <w:rFonts w:ascii="宋体" w:hAnsi="宋体"/>
          <w:color w:val="000000" w:themeColor="text1"/>
          <w:szCs w:val="21"/>
          <w:highlight w:val="none"/>
          <w14:textFill>
            <w14:solidFill>
              <w14:schemeClr w14:val="tx1"/>
            </w14:solidFill>
          </w14:textFill>
        </w:rPr>
        <w:t>（采购代理机构）</w:t>
      </w:r>
      <w:r>
        <w:rPr>
          <w:rFonts w:hint="eastAsia" w:ascii="宋体" w:hAnsi="宋体"/>
          <w:color w:val="000000" w:themeColor="text1"/>
          <w:szCs w:val="21"/>
          <w:highlight w:val="none"/>
          <w14:textFill>
            <w14:solidFill>
              <w14:schemeClr w14:val="tx1"/>
            </w14:solidFill>
          </w14:textFill>
        </w:rPr>
        <w:t>。</w:t>
      </w:r>
    </w:p>
    <w:p>
      <w:pPr>
        <w:pStyle w:val="42"/>
        <w:spacing w:line="500" w:lineRule="atLeast"/>
        <w:ind w:firstLine="3517" w:firstLineChars="1675"/>
        <w:rPr>
          <w:rFonts w:ascii="宋体" w:eastAsia="宋体"/>
          <w:color w:val="000000" w:themeColor="text1"/>
          <w:sz w:val="21"/>
          <w:szCs w:val="21"/>
          <w:highlight w:val="none"/>
          <w14:textFill>
            <w14:solidFill>
              <w14:schemeClr w14:val="tx1"/>
            </w14:solidFill>
          </w14:textFill>
        </w:rPr>
      </w:pPr>
    </w:p>
    <w:p>
      <w:pPr>
        <w:pStyle w:val="42"/>
        <w:spacing w:line="500" w:lineRule="atLeast"/>
        <w:ind w:firstLine="3517" w:firstLineChars="1675"/>
        <w:rPr>
          <w:rFonts w:ascii="宋体" w:eastAsia="宋体"/>
          <w:color w:val="000000" w:themeColor="text1"/>
          <w:sz w:val="21"/>
          <w:szCs w:val="21"/>
          <w:highlight w:val="none"/>
          <w14:textFill>
            <w14:solidFill>
              <w14:schemeClr w14:val="tx1"/>
            </w14:solidFill>
          </w14:textFill>
        </w:rPr>
      </w:pPr>
    </w:p>
    <w:p>
      <w:pPr>
        <w:pStyle w:val="42"/>
        <w:spacing w:line="500" w:lineRule="atLeast"/>
        <w:ind w:firstLine="433"/>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投标人名称（加盖公章）：</w:t>
      </w:r>
    </w:p>
    <w:p>
      <w:pPr>
        <w:pStyle w:val="42"/>
        <w:spacing w:line="500" w:lineRule="atLeast"/>
        <w:ind w:firstLine="433"/>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法定代表人签字（签名或盖私章）：</w:t>
      </w:r>
    </w:p>
    <w:p>
      <w:pPr>
        <w:pStyle w:val="42"/>
        <w:spacing w:line="500" w:lineRule="atLeast"/>
        <w:ind w:firstLine="433"/>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t>日     期：年月日</w:t>
      </w:r>
    </w:p>
    <w:p>
      <w:pPr>
        <w:pStyle w:val="42"/>
        <w:spacing w:line="500" w:lineRule="atLeast"/>
        <w:ind w:firstLine="433"/>
        <w:rPr>
          <w:rFonts w:ascii="宋体" w:eastAsia="宋体"/>
          <w:color w:val="000000" w:themeColor="text1"/>
          <w:sz w:val="21"/>
          <w:szCs w:val="21"/>
          <w:highlight w:val="none"/>
          <w14:textFill>
            <w14:solidFill>
              <w14:schemeClr w14:val="tx1"/>
            </w14:solidFill>
          </w14:textFill>
        </w:rPr>
      </w:pPr>
      <w:r>
        <w:rPr>
          <w:rFonts w:hint="eastAsia" w:ascii="宋体" w:eastAsia="宋体"/>
          <w:color w:val="000000" w:themeColor="text1"/>
          <w:sz w:val="21"/>
          <w:szCs w:val="21"/>
          <w:highlight w:val="none"/>
          <w14:textFill>
            <w14:solidFill>
              <w14:schemeClr w14:val="tx1"/>
            </w14:solidFill>
          </w14:textFill>
        </w:rPr>
        <w:br w:type="page"/>
      </w:r>
    </w:p>
    <w:p>
      <w:pPr>
        <w:pStyle w:val="5"/>
        <w:widowControl w:val="0"/>
        <w:overflowPunct w:val="0"/>
        <w:spacing w:line="240" w:lineRule="auto"/>
        <w:rPr>
          <w:rFonts w:ascii="宋体" w:hAnsi="宋体"/>
          <w:color w:val="000000" w:themeColor="text1"/>
          <w:sz w:val="21"/>
          <w:szCs w:val="21"/>
          <w:highlight w:val="none"/>
          <w14:textFill>
            <w14:solidFill>
              <w14:schemeClr w14:val="tx1"/>
            </w14:solidFill>
          </w14:textFill>
        </w:rPr>
      </w:pPr>
      <w:bookmarkStart w:id="118" w:name="_Toc15178"/>
      <w:r>
        <w:rPr>
          <w:rFonts w:hint="eastAsia" w:ascii="宋体" w:hAnsi="宋体"/>
          <w:color w:val="000000" w:themeColor="text1"/>
          <w:sz w:val="21"/>
          <w:szCs w:val="21"/>
          <w:highlight w:val="none"/>
          <w14:textFill>
            <w14:solidFill>
              <w14:schemeClr w14:val="tx1"/>
            </w14:solidFill>
          </w14:textFill>
        </w:rPr>
        <w:t>附件8.营业执照</w:t>
      </w:r>
      <w:bookmarkEnd w:id="118"/>
    </w:p>
    <w:p>
      <w:pPr>
        <w:jc w:val="center"/>
        <w:rPr>
          <w:rFonts w:ascii="黑体" w:eastAsia="黑体"/>
          <w:color w:val="000000" w:themeColor="text1"/>
          <w:sz w:val="28"/>
          <w:szCs w:val="28"/>
          <w:highlight w:val="none"/>
          <w14:textFill>
            <w14:solidFill>
              <w14:schemeClr w14:val="tx1"/>
            </w14:solidFill>
          </w14:textFill>
        </w:rPr>
      </w:pPr>
      <w:bookmarkStart w:id="119" w:name="_Toc4926"/>
      <w:bookmarkStart w:id="120" w:name="_Toc17470"/>
      <w:bookmarkStart w:id="121" w:name="_Toc5919"/>
      <w:bookmarkStart w:id="122" w:name="_Toc1511"/>
      <w:bookmarkStart w:id="123" w:name="_Toc24210"/>
      <w:r>
        <w:rPr>
          <w:rFonts w:hint="eastAsia" w:ascii="黑体" w:eastAsia="黑体"/>
          <w:color w:val="000000" w:themeColor="text1"/>
          <w:sz w:val="28"/>
          <w:szCs w:val="28"/>
          <w:highlight w:val="none"/>
          <w14:textFill>
            <w14:solidFill>
              <w14:schemeClr w14:val="tx1"/>
            </w14:solidFill>
          </w14:textFill>
        </w:rPr>
        <w:t>营业执照</w:t>
      </w:r>
      <w:bookmarkEnd w:id="119"/>
      <w:bookmarkEnd w:id="120"/>
      <w:bookmarkEnd w:id="121"/>
      <w:bookmarkEnd w:id="122"/>
      <w:bookmarkEnd w:id="123"/>
    </w:p>
    <w:p>
      <w:pPr>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br w:type="page"/>
      </w:r>
    </w:p>
    <w:p>
      <w:pPr>
        <w:pStyle w:val="5"/>
        <w:widowControl w:val="0"/>
        <w:overflowPunct w:val="0"/>
        <w:spacing w:line="240" w:lineRule="auto"/>
        <w:rPr>
          <w:rFonts w:ascii="宋体" w:hAnsi="宋体"/>
          <w:color w:val="000000" w:themeColor="text1"/>
          <w:sz w:val="21"/>
          <w:szCs w:val="21"/>
          <w:highlight w:val="none"/>
          <w14:textFill>
            <w14:solidFill>
              <w14:schemeClr w14:val="tx1"/>
            </w14:solidFill>
          </w14:textFill>
        </w:rPr>
      </w:pPr>
      <w:bookmarkStart w:id="124" w:name="_Toc5052"/>
      <w:r>
        <w:rPr>
          <w:rFonts w:hint="eastAsia" w:ascii="宋体" w:hAnsi="宋体"/>
          <w:color w:val="000000" w:themeColor="text1"/>
          <w:sz w:val="21"/>
          <w:szCs w:val="21"/>
          <w:highlight w:val="none"/>
          <w14:textFill>
            <w14:solidFill>
              <w14:schemeClr w14:val="tx1"/>
            </w14:solidFill>
          </w14:textFill>
        </w:rPr>
        <w:t>附件9.相关资质证明文件</w:t>
      </w:r>
      <w:bookmarkEnd w:id="124"/>
    </w:p>
    <w:p>
      <w:pPr>
        <w:rPr>
          <w:color w:val="000000" w:themeColor="text1"/>
          <w:highlight w:val="none"/>
          <w14:textFill>
            <w14:solidFill>
              <w14:schemeClr w14:val="tx1"/>
            </w14:solidFill>
          </w14:textFill>
        </w:rPr>
      </w:pPr>
    </w:p>
    <w:p>
      <w:pPr>
        <w:jc w:val="center"/>
        <w:rPr>
          <w:rFonts w:ascii="黑体" w:eastAsia="黑体"/>
          <w:color w:val="000000" w:themeColor="text1"/>
          <w:sz w:val="28"/>
          <w:szCs w:val="28"/>
          <w:highlight w:val="none"/>
          <w14:textFill>
            <w14:solidFill>
              <w14:schemeClr w14:val="tx1"/>
            </w14:solidFill>
          </w14:textFill>
        </w:rPr>
      </w:pPr>
      <w:bookmarkStart w:id="125" w:name="_Toc16233"/>
      <w:bookmarkStart w:id="126" w:name="_Toc13458"/>
      <w:bookmarkStart w:id="127" w:name="_Toc30307"/>
      <w:bookmarkStart w:id="128" w:name="_Toc16698"/>
      <w:bookmarkStart w:id="129" w:name="_Toc9592"/>
      <w:r>
        <w:rPr>
          <w:rFonts w:hint="eastAsia" w:ascii="黑体" w:eastAsia="黑体"/>
          <w:color w:val="000000" w:themeColor="text1"/>
          <w:sz w:val="28"/>
          <w:szCs w:val="28"/>
          <w:highlight w:val="none"/>
          <w14:textFill>
            <w14:solidFill>
              <w14:schemeClr w14:val="tx1"/>
            </w14:solidFill>
          </w14:textFill>
        </w:rPr>
        <w:t>相关资质证明文件</w:t>
      </w:r>
      <w:bookmarkEnd w:id="116"/>
      <w:bookmarkEnd w:id="125"/>
      <w:bookmarkEnd w:id="126"/>
      <w:bookmarkEnd w:id="127"/>
      <w:bookmarkEnd w:id="128"/>
      <w:bookmarkEnd w:id="129"/>
    </w:p>
    <w:p>
      <w:pPr>
        <w:numPr>
          <w:ilvl w:val="0"/>
          <w:numId w:val="10"/>
        </w:numPr>
        <w:tabs>
          <w:tab w:val="left" w:pos="1680"/>
        </w:tabs>
        <w:jc w:val="both"/>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符合投标邀请书“投标人资格要求”其他要求对应的证明文件；</w:t>
      </w:r>
    </w:p>
    <w:p>
      <w:pPr>
        <w:numPr>
          <w:ilvl w:val="0"/>
          <w:numId w:val="10"/>
        </w:numPr>
        <w:tabs>
          <w:tab w:val="left" w:pos="1680"/>
        </w:tabs>
        <w:jc w:val="both"/>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投标人认为必要的文件。</w:t>
      </w:r>
      <w:r>
        <w:rPr>
          <w:rFonts w:hint="eastAsia" w:ascii="宋体" w:hAnsi="宋体" w:cs="宋体"/>
          <w:b/>
          <w:bCs/>
          <w:color w:val="000000" w:themeColor="text1"/>
          <w:szCs w:val="21"/>
          <w:highlight w:val="none"/>
          <w14:textFill>
            <w14:solidFill>
              <w14:schemeClr w14:val="tx1"/>
            </w14:solidFill>
          </w14:textFill>
        </w:rPr>
        <w:br w:type="page"/>
      </w:r>
    </w:p>
    <w:p>
      <w:pPr>
        <w:pStyle w:val="5"/>
        <w:widowControl w:val="0"/>
        <w:overflowPunct w:val="0"/>
        <w:spacing w:line="240" w:lineRule="auto"/>
        <w:rPr>
          <w:rFonts w:ascii="楷体_GB2312" w:eastAsia="楷体_GB2312"/>
          <w:color w:val="000000" w:themeColor="text1"/>
          <w:highlight w:val="none"/>
          <w14:textFill>
            <w14:solidFill>
              <w14:schemeClr w14:val="tx1"/>
            </w14:solidFill>
          </w14:textFill>
        </w:rPr>
      </w:pPr>
      <w:bookmarkStart w:id="130" w:name="_Toc30039"/>
      <w:r>
        <w:rPr>
          <w:rFonts w:hint="eastAsia" w:ascii="宋体" w:hAnsi="宋体"/>
          <w:color w:val="000000" w:themeColor="text1"/>
          <w:sz w:val="21"/>
          <w:szCs w:val="21"/>
          <w:highlight w:val="none"/>
          <w14:textFill>
            <w14:solidFill>
              <w14:schemeClr w14:val="tx1"/>
            </w14:solidFill>
          </w14:textFill>
        </w:rPr>
        <w:t>附件10.在经营活动中没有重大违法记录的书面声明格式</w:t>
      </w:r>
      <w:bookmarkEnd w:id="130"/>
    </w:p>
    <w:p>
      <w:pPr>
        <w:rPr>
          <w:color w:val="000000" w:themeColor="text1"/>
          <w:highlight w:val="none"/>
          <w14:textFill>
            <w14:solidFill>
              <w14:schemeClr w14:val="tx1"/>
            </w14:solidFill>
          </w14:textFill>
        </w:rPr>
      </w:pPr>
    </w:p>
    <w:p>
      <w:pPr>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投标人在经营活动中前三年内未有重大违法记录、没有不良信用记录的声明函</w:t>
      </w:r>
    </w:p>
    <w:p>
      <w:pPr>
        <w:ind w:firstLine="420" w:firstLineChars="200"/>
        <w:rPr>
          <w:rFonts w:ascii="宋体" w:hAnsi="宋体" w:cs="宋体"/>
          <w:color w:val="000000" w:themeColor="text1"/>
          <w:szCs w:val="21"/>
          <w:highlight w:val="none"/>
          <w14:textFill>
            <w14:solidFill>
              <w14:schemeClr w14:val="tx1"/>
            </w14:solidFill>
          </w14:textFill>
        </w:rPr>
      </w:pPr>
    </w:p>
    <w:p>
      <w:pPr>
        <w:spacing w:line="48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东莞新锋光伏能源科技有限公司</w:t>
      </w:r>
      <w:r>
        <w:rPr>
          <w:rFonts w:hint="eastAsia" w:ascii="宋体" w:hAnsi="宋体" w:cs="宋体"/>
          <w:color w:val="000000" w:themeColor="text1"/>
          <w:szCs w:val="21"/>
          <w:highlight w:val="none"/>
          <w:lang w:eastAsia="zh-CN"/>
          <w14:textFill>
            <w14:solidFill>
              <w14:schemeClr w14:val="tx1"/>
            </w14:solidFill>
          </w14:textFill>
        </w:rPr>
        <w:t>、广东政通招标有限公司</w:t>
      </w:r>
      <w:r>
        <w:rPr>
          <w:rFonts w:hint="eastAsia" w:ascii="宋体" w:hAnsi="宋体" w:cs="宋体"/>
          <w:color w:val="000000" w:themeColor="text1"/>
          <w:szCs w:val="21"/>
          <w:highlight w:val="none"/>
          <w14:textFill>
            <w14:solidFill>
              <w14:schemeClr w14:val="tx1"/>
            </w14:solidFill>
          </w14:textFill>
        </w:rPr>
        <w:t>：</w:t>
      </w:r>
    </w:p>
    <w:p>
      <w:pPr>
        <w:spacing w:line="48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我公司郑重承诺：在参加“</w:t>
      </w:r>
      <w:r>
        <w:rPr>
          <w:rFonts w:hint="eastAsia" w:ascii="宋体" w:hAnsi="宋体" w:cs="宋体"/>
          <w:color w:val="000000" w:themeColor="text1"/>
          <w:szCs w:val="21"/>
          <w:highlight w:val="none"/>
          <w:u w:val="single"/>
          <w14:textFill>
            <w14:solidFill>
              <w14:schemeClr w14:val="tx1"/>
            </w14:solidFill>
          </w14:textFill>
        </w:rPr>
        <w:t xml:space="preserve">       （采购项目名称）</w:t>
      </w:r>
      <w:r>
        <w:rPr>
          <w:rFonts w:hint="eastAsia" w:ascii="宋体" w:hAnsi="宋体" w:cs="宋体"/>
          <w:color w:val="000000" w:themeColor="text1"/>
          <w:szCs w:val="21"/>
          <w:highlight w:val="none"/>
          <w14:textFill>
            <w14:solidFill>
              <w14:schemeClr w14:val="tx1"/>
            </w14:solidFill>
          </w14:textFill>
        </w:rPr>
        <w:t>” （项目编号:</w:t>
      </w:r>
      <w:r>
        <w:rPr>
          <w:rFonts w:hint="eastAsia" w:ascii="宋体" w:hAnsi="宋体" w:cs="宋体"/>
          <w:color w:val="000000" w:themeColor="text1"/>
          <w:szCs w:val="21"/>
          <w:highlight w:val="none"/>
          <w:lang w:val="en-US" w:eastAsia="zh-CN"/>
          <w14:textFill>
            <w14:solidFill>
              <w14:schemeClr w14:val="tx1"/>
            </w14:solidFill>
          </w14:textFill>
        </w:rPr>
        <w:t>XX</w:t>
      </w:r>
      <w:r>
        <w:rPr>
          <w:rFonts w:hint="eastAsia" w:ascii="宋体" w:hAnsi="宋体" w:cs="宋体"/>
          <w:color w:val="000000" w:themeColor="text1"/>
          <w:szCs w:val="21"/>
          <w:highlight w:val="none"/>
          <w14:textFill>
            <w14:solidFill>
              <w14:schemeClr w14:val="tx1"/>
            </w14:solidFill>
          </w14:textFill>
        </w:rPr>
        <w:t>）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pPr>
        <w:spacing w:line="48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我公司以上承诺均为真实有效，绝无任何虚假、伪造的成份，否则，愿承担相应的后果和法律责任。</w:t>
      </w:r>
    </w:p>
    <w:p>
      <w:pPr>
        <w:ind w:firstLine="420" w:firstLineChars="200"/>
        <w:rPr>
          <w:rFonts w:ascii="宋体" w:hAnsi="宋体" w:cs="宋体"/>
          <w:color w:val="000000" w:themeColor="text1"/>
          <w:szCs w:val="21"/>
          <w:highlight w:val="none"/>
          <w14:textFill>
            <w14:solidFill>
              <w14:schemeClr w14:val="tx1"/>
            </w14:solidFill>
          </w14:textFill>
        </w:rPr>
      </w:pPr>
    </w:p>
    <w:p>
      <w:pPr>
        <w:rPr>
          <w:rFonts w:ascii="宋体" w:hAnsi="宋体" w:cs="宋体"/>
          <w:color w:val="000000" w:themeColor="text1"/>
          <w:szCs w:val="21"/>
          <w:highlight w:val="none"/>
          <w14:textFill>
            <w14:solidFill>
              <w14:schemeClr w14:val="tx1"/>
            </w14:solidFill>
          </w14:textFill>
        </w:rPr>
      </w:pPr>
    </w:p>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投标人名称（盖章）：</w:t>
      </w:r>
    </w:p>
    <w:p>
      <w:pPr>
        <w:rPr>
          <w:rFonts w:ascii="宋体" w:hAnsi="宋体" w:cs="宋体"/>
          <w:color w:val="000000" w:themeColor="text1"/>
          <w:szCs w:val="21"/>
          <w:highlight w:val="none"/>
          <w14:textFill>
            <w14:solidFill>
              <w14:schemeClr w14:val="tx1"/>
            </w14:solidFill>
          </w14:textFill>
        </w:rPr>
      </w:pPr>
    </w:p>
    <w:p>
      <w:pPr>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w:t>
      </w:r>
    </w:p>
    <w:p>
      <w:pPr>
        <w:rPr>
          <w:color w:val="000000" w:themeColor="text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9"/>
        <w:rPr>
          <w:color w:val="000000" w:themeColor="text1"/>
          <w:sz w:val="2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9"/>
        <w:rPr>
          <w:color w:val="000000" w:themeColor="text1"/>
          <w:sz w:val="2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9"/>
        <w:rPr>
          <w:color w:val="000000" w:themeColor="text1"/>
          <w:sz w:val="2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9"/>
        <w:rPr>
          <w:color w:val="000000" w:themeColor="text1"/>
          <w:sz w:val="2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9"/>
        <w:rPr>
          <w:color w:val="000000" w:themeColor="text1"/>
          <w:sz w:val="2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5"/>
        <w:widowControl w:val="0"/>
        <w:overflowPunct w:val="0"/>
        <w:spacing w:line="240" w:lineRule="auto"/>
        <w:rPr>
          <w:rFonts w:ascii="楷体_GB2312" w:eastAsia="楷体_GB2312"/>
          <w:color w:val="000000" w:themeColor="text1"/>
          <w:highlight w:val="none"/>
          <w14:textFill>
            <w14:solidFill>
              <w14:schemeClr w14:val="tx1"/>
            </w14:solidFill>
          </w14:textFill>
        </w:rPr>
      </w:pPr>
      <w:bookmarkStart w:id="131" w:name="_Toc12444"/>
      <w:r>
        <w:rPr>
          <w:rFonts w:hint="eastAsia" w:ascii="宋体" w:hAnsi="宋体"/>
          <w:color w:val="000000" w:themeColor="text1"/>
          <w:sz w:val="21"/>
          <w:szCs w:val="21"/>
          <w:highlight w:val="none"/>
          <w14:textFill>
            <w14:solidFill>
              <w14:schemeClr w14:val="tx1"/>
            </w14:solidFill>
          </w14:textFill>
        </w:rPr>
        <w:t>附件11.承诺书格式</w:t>
      </w:r>
      <w:bookmarkEnd w:id="131"/>
    </w:p>
    <w:p>
      <w:pPr>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承诺书</w:t>
      </w:r>
    </w:p>
    <w:p>
      <w:pPr>
        <w:pStyle w:val="42"/>
        <w:spacing w:line="420" w:lineRule="atLeast"/>
        <w:ind w:firstLine="0" w:firstLineChars="0"/>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致</w:t>
      </w:r>
      <w:r>
        <w:rPr>
          <w:rFonts w:hint="eastAsia" w:ascii="宋体" w:eastAsia="宋体" w:cs="宋体"/>
          <w:color w:val="000000" w:themeColor="text1"/>
          <w:sz w:val="21"/>
          <w:szCs w:val="21"/>
          <w:highlight w:val="none"/>
          <w:lang w:eastAsia="zh-CN"/>
          <w14:textFill>
            <w14:solidFill>
              <w14:schemeClr w14:val="tx1"/>
            </w14:solidFill>
          </w14:textFill>
        </w:rPr>
        <w:t>广东政通招标有限公司</w:t>
      </w:r>
      <w:r>
        <w:rPr>
          <w:rFonts w:hint="eastAsia" w:ascii="宋体" w:eastAsia="宋体" w:cs="宋体"/>
          <w:color w:val="000000" w:themeColor="text1"/>
          <w:sz w:val="21"/>
          <w:szCs w:val="21"/>
          <w:highlight w:val="none"/>
          <w14:textFill>
            <w14:solidFill>
              <w14:schemeClr w14:val="tx1"/>
            </w14:solidFill>
          </w14:textFill>
        </w:rPr>
        <w:t>：</w:t>
      </w:r>
    </w:p>
    <w:p>
      <w:pPr>
        <w:jc w:val="center"/>
        <w:rPr>
          <w:rFonts w:ascii="宋体" w:hAnsi="宋体" w:cs="宋体"/>
          <w:color w:val="000000" w:themeColor="text1"/>
          <w:szCs w:val="21"/>
          <w:highlight w:val="none"/>
          <w14:textFill>
            <w14:solidFill>
              <w14:schemeClr w14:val="tx1"/>
            </w14:solidFill>
          </w14:textFill>
        </w:rPr>
      </w:pPr>
    </w:p>
    <w:p>
      <w:pPr>
        <w:pStyle w:val="42"/>
        <w:spacing w:line="420" w:lineRule="exact"/>
        <w:ind w:firstLine="433"/>
        <w:rPr>
          <w:rFonts w:ascii="宋体" w:eastAsia="宋体" w:cs="宋体"/>
          <w:color w:val="000000" w:themeColor="text1"/>
          <w:sz w:val="21"/>
          <w:szCs w:val="21"/>
          <w:highlight w:val="none"/>
          <w14:textFill>
            <w14:solidFill>
              <w14:schemeClr w14:val="tx1"/>
            </w14:solidFill>
          </w14:textFill>
        </w:rPr>
      </w:pPr>
      <w:r>
        <w:rPr>
          <w:rFonts w:hint="eastAsia" w:ascii="宋体" w:eastAsia="宋体" w:cs="宋体"/>
          <w:color w:val="000000" w:themeColor="text1"/>
          <w:sz w:val="21"/>
          <w:szCs w:val="21"/>
          <w:highlight w:val="none"/>
          <w14:textFill>
            <w14:solidFill>
              <w14:schemeClr w14:val="tx1"/>
            </w14:solidFill>
          </w14:textFill>
        </w:rPr>
        <w:t>我方已完整阅读了</w:t>
      </w:r>
      <w:r>
        <w:rPr>
          <w:rFonts w:hint="eastAsia" w:ascii="宋体" w:eastAsia="宋体" w:cs="宋体"/>
          <w:color w:val="000000" w:themeColor="text1"/>
          <w:sz w:val="21"/>
          <w:szCs w:val="21"/>
          <w:highlight w:val="none"/>
          <w:u w:val="single"/>
          <w14:textFill>
            <w14:solidFill>
              <w14:schemeClr w14:val="tx1"/>
            </w14:solidFill>
          </w14:textFill>
        </w:rPr>
        <w:t xml:space="preserve">  （项目名称）     </w:t>
      </w:r>
      <w:r>
        <w:rPr>
          <w:rFonts w:hint="eastAsia" w:ascii="宋体" w:eastAsia="宋体" w:cs="宋体"/>
          <w:color w:val="000000" w:themeColor="text1"/>
          <w:sz w:val="21"/>
          <w:szCs w:val="21"/>
          <w:highlight w:val="none"/>
          <w14:textFill>
            <w14:solidFill>
              <w14:schemeClr w14:val="tx1"/>
            </w14:solidFill>
          </w14:textFill>
        </w:rPr>
        <w:t>项目（项目编号：</w:t>
      </w:r>
      <w:r>
        <w:rPr>
          <w:rFonts w:hint="eastAsia" w:ascii="宋体" w:eastAsia="宋体" w:cs="宋体"/>
          <w:color w:val="000000" w:themeColor="text1"/>
          <w:sz w:val="21"/>
          <w:szCs w:val="21"/>
          <w:highlight w:val="none"/>
          <w:u w:val="single"/>
          <w14:textFill>
            <w14:solidFill>
              <w14:schemeClr w14:val="tx1"/>
            </w14:solidFill>
          </w14:textFill>
        </w:rPr>
        <w:t xml:space="preserve">            </w:t>
      </w:r>
      <w:r>
        <w:rPr>
          <w:rFonts w:hint="eastAsia" w:ascii="宋体" w:eastAsia="宋体" w:cs="宋体"/>
          <w:color w:val="000000" w:themeColor="text1"/>
          <w:sz w:val="21"/>
          <w:szCs w:val="21"/>
          <w:highlight w:val="none"/>
          <w14:textFill>
            <w14:solidFill>
              <w14:schemeClr w14:val="tx1"/>
            </w14:solidFill>
          </w14:textFill>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eastAsia="宋体" w:cs="宋体"/>
          <w:color w:val="000000" w:themeColor="text1"/>
          <w:sz w:val="21"/>
          <w:szCs w:val="21"/>
          <w:highlight w:val="none"/>
          <w14:textFill>
            <w14:solidFill>
              <w14:schemeClr w14:val="tx1"/>
            </w14:solidFill>
          </w14:textFill>
        </w:rPr>
        <w:cr/>
      </w:r>
    </w:p>
    <w:p>
      <w:pPr>
        <w:pStyle w:val="42"/>
        <w:spacing w:line="420" w:lineRule="exact"/>
        <w:ind w:firstLine="433"/>
        <w:rPr>
          <w:rFonts w:ascii="宋体" w:eastAsia="宋体" w:cs="宋体"/>
          <w:color w:val="000000" w:themeColor="text1"/>
          <w:sz w:val="21"/>
          <w:szCs w:val="21"/>
          <w:highlight w:val="none"/>
          <w14:textFill>
            <w14:solidFill>
              <w14:schemeClr w14:val="tx1"/>
            </w14:solidFill>
          </w14:textFill>
        </w:rPr>
      </w:pPr>
    </w:p>
    <w:p>
      <w:pPr>
        <w:ind w:right="561"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投标人名称（加盖公章）：</w:t>
      </w:r>
    </w:p>
    <w:p>
      <w:pPr>
        <w:ind w:right="561"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法定代表人或被授权人（签名或盖私章）：</w:t>
      </w:r>
    </w:p>
    <w:p>
      <w:pPr>
        <w:ind w:right="561"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      期：</w:t>
      </w:r>
    </w:p>
    <w:p>
      <w:pPr>
        <w:rPr>
          <w:color w:val="000000" w:themeColor="text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9"/>
        <w:rPr>
          <w:color w:val="000000" w:themeColor="text1"/>
          <w:sz w:val="2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9"/>
        <w:rPr>
          <w:color w:val="000000" w:themeColor="text1"/>
          <w:sz w:val="2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9"/>
        <w:rPr>
          <w:color w:val="000000" w:themeColor="text1"/>
          <w:sz w:val="2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9"/>
        <w:rPr>
          <w:color w:val="000000" w:themeColor="text1"/>
          <w:sz w:val="2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9"/>
        <w:rPr>
          <w:color w:val="000000" w:themeColor="text1"/>
          <w:sz w:val="2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9"/>
        <w:rPr>
          <w:color w:val="000000" w:themeColor="text1"/>
          <w:sz w:val="2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9"/>
        <w:rPr>
          <w:color w:val="000000" w:themeColor="text1"/>
          <w:sz w:val="2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9"/>
        <w:rPr>
          <w:color w:val="000000" w:themeColor="text1"/>
          <w:sz w:val="21"/>
          <w:szCs w:val="2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5"/>
        <w:widowControl w:val="0"/>
        <w:overflowPunct w:val="0"/>
        <w:spacing w:line="240" w:lineRule="auto"/>
        <w:rPr>
          <w:rFonts w:ascii="宋体" w:hAnsi="宋体"/>
          <w:color w:val="000000" w:themeColor="text1"/>
          <w:sz w:val="21"/>
          <w:szCs w:val="21"/>
          <w:highlight w:val="none"/>
          <w14:textFill>
            <w14:solidFill>
              <w14:schemeClr w14:val="tx1"/>
            </w14:solidFill>
          </w14:textFill>
        </w:rPr>
      </w:pPr>
      <w:bookmarkStart w:id="132" w:name="_Toc15294"/>
      <w:bookmarkStart w:id="133" w:name="_Toc8279"/>
      <w:r>
        <w:rPr>
          <w:rFonts w:hint="eastAsia" w:ascii="宋体" w:hAnsi="宋体"/>
          <w:color w:val="000000" w:themeColor="text1"/>
          <w:sz w:val="21"/>
          <w:szCs w:val="21"/>
          <w:highlight w:val="none"/>
          <w14:textFill>
            <w14:solidFill>
              <w14:schemeClr w14:val="tx1"/>
            </w14:solidFill>
          </w14:textFill>
        </w:rPr>
        <w:t>附件12.商务需求条款偏离表格式</w:t>
      </w:r>
      <w:bookmarkEnd w:id="132"/>
      <w:bookmarkEnd w:id="133"/>
    </w:p>
    <w:p>
      <w:pPr>
        <w:jc w:val="center"/>
        <w:rPr>
          <w:rFonts w:ascii="黑体" w:eastAsia="黑体"/>
          <w:color w:val="000000" w:themeColor="text1"/>
          <w:sz w:val="28"/>
          <w:szCs w:val="28"/>
          <w:highlight w:val="none"/>
          <w14:textFill>
            <w14:solidFill>
              <w14:schemeClr w14:val="tx1"/>
            </w14:solidFill>
          </w14:textFill>
        </w:rPr>
      </w:pPr>
    </w:p>
    <w:p>
      <w:pPr>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商务需求条款偏离表</w:t>
      </w:r>
    </w:p>
    <w:tbl>
      <w:tblPr>
        <w:tblStyle w:val="27"/>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620"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服务项目名称</w:t>
            </w:r>
          </w:p>
        </w:tc>
        <w:tc>
          <w:tcPr>
            <w:tcW w:w="1360"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采购要求</w:t>
            </w:r>
          </w:p>
        </w:tc>
        <w:tc>
          <w:tcPr>
            <w:tcW w:w="1587"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投标实际响应</w:t>
            </w:r>
          </w:p>
        </w:tc>
        <w:tc>
          <w:tcPr>
            <w:tcW w:w="1133"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是否偏离</w:t>
            </w:r>
          </w:p>
        </w:tc>
        <w:tc>
          <w:tcPr>
            <w:tcW w:w="1730"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000000" w:themeColor="text1"/>
                <w:szCs w:val="21"/>
                <w:highlight w:val="none"/>
                <w14:textFill>
                  <w14:solidFill>
                    <w14:schemeClr w14:val="tx1"/>
                  </w14:solidFill>
                </w14:textFill>
              </w:rPr>
            </w:pPr>
          </w:p>
        </w:tc>
        <w:tc>
          <w:tcPr>
            <w:tcW w:w="1620" w:type="dxa"/>
            <w:vAlign w:val="center"/>
          </w:tcPr>
          <w:p>
            <w:pPr>
              <w:jc w:val="center"/>
              <w:rPr>
                <w:rFonts w:ascii="宋体" w:hAnsi="宋体"/>
                <w:color w:val="000000" w:themeColor="text1"/>
                <w:szCs w:val="21"/>
                <w:highlight w:val="none"/>
                <w14:textFill>
                  <w14:solidFill>
                    <w14:schemeClr w14:val="tx1"/>
                  </w14:solidFill>
                </w14:textFill>
              </w:rPr>
            </w:pPr>
          </w:p>
        </w:tc>
        <w:tc>
          <w:tcPr>
            <w:tcW w:w="1360" w:type="dxa"/>
            <w:vAlign w:val="center"/>
          </w:tcPr>
          <w:p>
            <w:pPr>
              <w:jc w:val="center"/>
              <w:rPr>
                <w:rFonts w:ascii="宋体" w:hAnsi="宋体"/>
                <w:color w:val="000000" w:themeColor="text1"/>
                <w:szCs w:val="21"/>
                <w:highlight w:val="none"/>
                <w14:textFill>
                  <w14:solidFill>
                    <w14:schemeClr w14:val="tx1"/>
                  </w14:solidFill>
                </w14:textFill>
              </w:rPr>
            </w:pPr>
          </w:p>
        </w:tc>
        <w:tc>
          <w:tcPr>
            <w:tcW w:w="1587" w:type="dxa"/>
            <w:vAlign w:val="center"/>
          </w:tcPr>
          <w:p>
            <w:pPr>
              <w:jc w:val="center"/>
              <w:rPr>
                <w:rFonts w:ascii="宋体" w:hAnsi="宋体"/>
                <w:color w:val="000000" w:themeColor="text1"/>
                <w:szCs w:val="21"/>
                <w:highlight w:val="none"/>
                <w14:textFill>
                  <w14:solidFill>
                    <w14:schemeClr w14:val="tx1"/>
                  </w14:solidFill>
                </w14:textFill>
              </w:rPr>
            </w:pPr>
          </w:p>
        </w:tc>
        <w:tc>
          <w:tcPr>
            <w:tcW w:w="1133" w:type="dxa"/>
            <w:vAlign w:val="center"/>
          </w:tcPr>
          <w:p>
            <w:pPr>
              <w:jc w:val="center"/>
              <w:rPr>
                <w:rFonts w:ascii="宋体" w:hAnsi="宋体"/>
                <w:color w:val="000000" w:themeColor="text1"/>
                <w:szCs w:val="21"/>
                <w:highlight w:val="none"/>
                <w14:textFill>
                  <w14:solidFill>
                    <w14:schemeClr w14:val="tx1"/>
                  </w14:solidFill>
                </w14:textFill>
              </w:rPr>
            </w:pPr>
          </w:p>
        </w:tc>
        <w:tc>
          <w:tcPr>
            <w:tcW w:w="1730"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000000" w:themeColor="text1"/>
                <w:szCs w:val="21"/>
                <w:highlight w:val="none"/>
                <w14:textFill>
                  <w14:solidFill>
                    <w14:schemeClr w14:val="tx1"/>
                  </w14:solidFill>
                </w14:textFill>
              </w:rPr>
            </w:pPr>
          </w:p>
        </w:tc>
        <w:tc>
          <w:tcPr>
            <w:tcW w:w="1620" w:type="dxa"/>
            <w:vAlign w:val="center"/>
          </w:tcPr>
          <w:p>
            <w:pPr>
              <w:jc w:val="center"/>
              <w:rPr>
                <w:rFonts w:ascii="宋体" w:hAnsi="宋体"/>
                <w:color w:val="000000" w:themeColor="text1"/>
                <w:szCs w:val="21"/>
                <w:highlight w:val="none"/>
                <w14:textFill>
                  <w14:solidFill>
                    <w14:schemeClr w14:val="tx1"/>
                  </w14:solidFill>
                </w14:textFill>
              </w:rPr>
            </w:pPr>
          </w:p>
        </w:tc>
        <w:tc>
          <w:tcPr>
            <w:tcW w:w="1360" w:type="dxa"/>
            <w:vAlign w:val="center"/>
          </w:tcPr>
          <w:p>
            <w:pPr>
              <w:jc w:val="center"/>
              <w:rPr>
                <w:rFonts w:ascii="宋体" w:hAnsi="宋体"/>
                <w:color w:val="000000" w:themeColor="text1"/>
                <w:szCs w:val="21"/>
                <w:highlight w:val="none"/>
                <w14:textFill>
                  <w14:solidFill>
                    <w14:schemeClr w14:val="tx1"/>
                  </w14:solidFill>
                </w14:textFill>
              </w:rPr>
            </w:pPr>
          </w:p>
        </w:tc>
        <w:tc>
          <w:tcPr>
            <w:tcW w:w="1587" w:type="dxa"/>
            <w:vAlign w:val="center"/>
          </w:tcPr>
          <w:p>
            <w:pPr>
              <w:jc w:val="center"/>
              <w:rPr>
                <w:rFonts w:ascii="宋体" w:hAnsi="宋体"/>
                <w:color w:val="000000" w:themeColor="text1"/>
                <w:szCs w:val="21"/>
                <w:highlight w:val="none"/>
                <w14:textFill>
                  <w14:solidFill>
                    <w14:schemeClr w14:val="tx1"/>
                  </w14:solidFill>
                </w14:textFill>
              </w:rPr>
            </w:pPr>
          </w:p>
        </w:tc>
        <w:tc>
          <w:tcPr>
            <w:tcW w:w="1133" w:type="dxa"/>
            <w:vAlign w:val="center"/>
          </w:tcPr>
          <w:p>
            <w:pPr>
              <w:jc w:val="center"/>
              <w:rPr>
                <w:rFonts w:ascii="宋体" w:hAnsi="宋体"/>
                <w:color w:val="000000" w:themeColor="text1"/>
                <w:szCs w:val="21"/>
                <w:highlight w:val="none"/>
                <w14:textFill>
                  <w14:solidFill>
                    <w14:schemeClr w14:val="tx1"/>
                  </w14:solidFill>
                </w14:textFill>
              </w:rPr>
            </w:pPr>
          </w:p>
        </w:tc>
        <w:tc>
          <w:tcPr>
            <w:tcW w:w="1730"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000000" w:themeColor="text1"/>
                <w:szCs w:val="21"/>
                <w:highlight w:val="none"/>
                <w14:textFill>
                  <w14:solidFill>
                    <w14:schemeClr w14:val="tx1"/>
                  </w14:solidFill>
                </w14:textFill>
              </w:rPr>
            </w:pPr>
          </w:p>
        </w:tc>
        <w:tc>
          <w:tcPr>
            <w:tcW w:w="1620" w:type="dxa"/>
            <w:vAlign w:val="center"/>
          </w:tcPr>
          <w:p>
            <w:pPr>
              <w:jc w:val="center"/>
              <w:rPr>
                <w:rFonts w:ascii="宋体" w:hAnsi="宋体"/>
                <w:color w:val="000000" w:themeColor="text1"/>
                <w:szCs w:val="21"/>
                <w:highlight w:val="none"/>
                <w14:textFill>
                  <w14:solidFill>
                    <w14:schemeClr w14:val="tx1"/>
                  </w14:solidFill>
                </w14:textFill>
              </w:rPr>
            </w:pPr>
          </w:p>
        </w:tc>
        <w:tc>
          <w:tcPr>
            <w:tcW w:w="1360" w:type="dxa"/>
            <w:vAlign w:val="center"/>
          </w:tcPr>
          <w:p>
            <w:pPr>
              <w:jc w:val="center"/>
              <w:rPr>
                <w:rFonts w:ascii="宋体" w:hAnsi="宋体"/>
                <w:color w:val="000000" w:themeColor="text1"/>
                <w:szCs w:val="21"/>
                <w:highlight w:val="none"/>
                <w14:textFill>
                  <w14:solidFill>
                    <w14:schemeClr w14:val="tx1"/>
                  </w14:solidFill>
                </w14:textFill>
              </w:rPr>
            </w:pPr>
          </w:p>
        </w:tc>
        <w:tc>
          <w:tcPr>
            <w:tcW w:w="1587" w:type="dxa"/>
            <w:vAlign w:val="center"/>
          </w:tcPr>
          <w:p>
            <w:pPr>
              <w:jc w:val="center"/>
              <w:rPr>
                <w:rFonts w:ascii="宋体" w:hAnsi="宋体"/>
                <w:color w:val="000000" w:themeColor="text1"/>
                <w:szCs w:val="21"/>
                <w:highlight w:val="none"/>
                <w14:textFill>
                  <w14:solidFill>
                    <w14:schemeClr w14:val="tx1"/>
                  </w14:solidFill>
                </w14:textFill>
              </w:rPr>
            </w:pPr>
          </w:p>
        </w:tc>
        <w:tc>
          <w:tcPr>
            <w:tcW w:w="1133" w:type="dxa"/>
            <w:vAlign w:val="center"/>
          </w:tcPr>
          <w:p>
            <w:pPr>
              <w:jc w:val="center"/>
              <w:rPr>
                <w:rFonts w:ascii="宋体" w:hAnsi="宋体"/>
                <w:color w:val="000000" w:themeColor="text1"/>
                <w:szCs w:val="21"/>
                <w:highlight w:val="none"/>
                <w14:textFill>
                  <w14:solidFill>
                    <w14:schemeClr w14:val="tx1"/>
                  </w14:solidFill>
                </w14:textFill>
              </w:rPr>
            </w:pPr>
          </w:p>
        </w:tc>
        <w:tc>
          <w:tcPr>
            <w:tcW w:w="1730"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000000" w:themeColor="text1"/>
                <w:szCs w:val="21"/>
                <w:highlight w:val="none"/>
                <w14:textFill>
                  <w14:solidFill>
                    <w14:schemeClr w14:val="tx1"/>
                  </w14:solidFill>
                </w14:textFill>
              </w:rPr>
            </w:pPr>
          </w:p>
        </w:tc>
        <w:tc>
          <w:tcPr>
            <w:tcW w:w="1620" w:type="dxa"/>
            <w:vAlign w:val="center"/>
          </w:tcPr>
          <w:p>
            <w:pPr>
              <w:jc w:val="center"/>
              <w:rPr>
                <w:rFonts w:ascii="宋体" w:hAnsi="宋体"/>
                <w:color w:val="000000" w:themeColor="text1"/>
                <w:szCs w:val="21"/>
                <w:highlight w:val="none"/>
                <w14:textFill>
                  <w14:solidFill>
                    <w14:schemeClr w14:val="tx1"/>
                  </w14:solidFill>
                </w14:textFill>
              </w:rPr>
            </w:pPr>
          </w:p>
        </w:tc>
        <w:tc>
          <w:tcPr>
            <w:tcW w:w="1360" w:type="dxa"/>
            <w:vAlign w:val="center"/>
          </w:tcPr>
          <w:p>
            <w:pPr>
              <w:jc w:val="center"/>
              <w:rPr>
                <w:rFonts w:ascii="宋体" w:hAnsi="宋体"/>
                <w:color w:val="000000" w:themeColor="text1"/>
                <w:szCs w:val="21"/>
                <w:highlight w:val="none"/>
                <w14:textFill>
                  <w14:solidFill>
                    <w14:schemeClr w14:val="tx1"/>
                  </w14:solidFill>
                </w14:textFill>
              </w:rPr>
            </w:pPr>
          </w:p>
        </w:tc>
        <w:tc>
          <w:tcPr>
            <w:tcW w:w="1587" w:type="dxa"/>
            <w:vAlign w:val="center"/>
          </w:tcPr>
          <w:p>
            <w:pPr>
              <w:jc w:val="center"/>
              <w:rPr>
                <w:rFonts w:ascii="宋体" w:hAnsi="宋体"/>
                <w:color w:val="000000" w:themeColor="text1"/>
                <w:szCs w:val="21"/>
                <w:highlight w:val="none"/>
                <w14:textFill>
                  <w14:solidFill>
                    <w14:schemeClr w14:val="tx1"/>
                  </w14:solidFill>
                </w14:textFill>
              </w:rPr>
            </w:pPr>
          </w:p>
        </w:tc>
        <w:tc>
          <w:tcPr>
            <w:tcW w:w="1133" w:type="dxa"/>
            <w:vAlign w:val="center"/>
          </w:tcPr>
          <w:p>
            <w:pPr>
              <w:jc w:val="center"/>
              <w:rPr>
                <w:rFonts w:ascii="宋体" w:hAnsi="宋体"/>
                <w:color w:val="000000" w:themeColor="text1"/>
                <w:szCs w:val="21"/>
                <w:highlight w:val="none"/>
                <w14:textFill>
                  <w14:solidFill>
                    <w14:schemeClr w14:val="tx1"/>
                  </w14:solidFill>
                </w14:textFill>
              </w:rPr>
            </w:pPr>
          </w:p>
        </w:tc>
        <w:tc>
          <w:tcPr>
            <w:tcW w:w="1730"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000000" w:themeColor="text1"/>
                <w:szCs w:val="21"/>
                <w:highlight w:val="none"/>
                <w14:textFill>
                  <w14:solidFill>
                    <w14:schemeClr w14:val="tx1"/>
                  </w14:solidFill>
                </w14:textFill>
              </w:rPr>
            </w:pPr>
          </w:p>
        </w:tc>
        <w:tc>
          <w:tcPr>
            <w:tcW w:w="1620" w:type="dxa"/>
            <w:vAlign w:val="center"/>
          </w:tcPr>
          <w:p>
            <w:pPr>
              <w:jc w:val="center"/>
              <w:rPr>
                <w:rFonts w:ascii="宋体" w:hAnsi="宋体"/>
                <w:color w:val="000000" w:themeColor="text1"/>
                <w:szCs w:val="21"/>
                <w:highlight w:val="none"/>
                <w14:textFill>
                  <w14:solidFill>
                    <w14:schemeClr w14:val="tx1"/>
                  </w14:solidFill>
                </w14:textFill>
              </w:rPr>
            </w:pPr>
          </w:p>
        </w:tc>
        <w:tc>
          <w:tcPr>
            <w:tcW w:w="1360" w:type="dxa"/>
            <w:vAlign w:val="center"/>
          </w:tcPr>
          <w:p>
            <w:pPr>
              <w:jc w:val="center"/>
              <w:rPr>
                <w:rFonts w:ascii="宋体" w:hAnsi="宋体"/>
                <w:color w:val="000000" w:themeColor="text1"/>
                <w:szCs w:val="21"/>
                <w:highlight w:val="none"/>
                <w14:textFill>
                  <w14:solidFill>
                    <w14:schemeClr w14:val="tx1"/>
                  </w14:solidFill>
                </w14:textFill>
              </w:rPr>
            </w:pPr>
          </w:p>
        </w:tc>
        <w:tc>
          <w:tcPr>
            <w:tcW w:w="1587" w:type="dxa"/>
            <w:vAlign w:val="center"/>
          </w:tcPr>
          <w:p>
            <w:pPr>
              <w:jc w:val="center"/>
              <w:rPr>
                <w:rFonts w:ascii="宋体" w:hAnsi="宋体"/>
                <w:color w:val="000000" w:themeColor="text1"/>
                <w:szCs w:val="21"/>
                <w:highlight w:val="none"/>
                <w14:textFill>
                  <w14:solidFill>
                    <w14:schemeClr w14:val="tx1"/>
                  </w14:solidFill>
                </w14:textFill>
              </w:rPr>
            </w:pPr>
          </w:p>
        </w:tc>
        <w:tc>
          <w:tcPr>
            <w:tcW w:w="1133" w:type="dxa"/>
            <w:vAlign w:val="center"/>
          </w:tcPr>
          <w:p>
            <w:pPr>
              <w:jc w:val="center"/>
              <w:rPr>
                <w:rFonts w:ascii="宋体" w:hAnsi="宋体"/>
                <w:color w:val="000000" w:themeColor="text1"/>
                <w:szCs w:val="21"/>
                <w:highlight w:val="none"/>
                <w14:textFill>
                  <w14:solidFill>
                    <w14:schemeClr w14:val="tx1"/>
                  </w14:solidFill>
                </w14:textFill>
              </w:rPr>
            </w:pPr>
          </w:p>
        </w:tc>
        <w:tc>
          <w:tcPr>
            <w:tcW w:w="1730"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000000" w:themeColor="text1"/>
                <w:szCs w:val="21"/>
                <w:highlight w:val="none"/>
                <w14:textFill>
                  <w14:solidFill>
                    <w14:schemeClr w14:val="tx1"/>
                  </w14:solidFill>
                </w14:textFill>
              </w:rPr>
            </w:pPr>
          </w:p>
        </w:tc>
        <w:tc>
          <w:tcPr>
            <w:tcW w:w="1620" w:type="dxa"/>
            <w:vAlign w:val="center"/>
          </w:tcPr>
          <w:p>
            <w:pPr>
              <w:jc w:val="center"/>
              <w:rPr>
                <w:rFonts w:ascii="宋体" w:hAnsi="宋体"/>
                <w:color w:val="000000" w:themeColor="text1"/>
                <w:szCs w:val="21"/>
                <w:highlight w:val="none"/>
                <w14:textFill>
                  <w14:solidFill>
                    <w14:schemeClr w14:val="tx1"/>
                  </w14:solidFill>
                </w14:textFill>
              </w:rPr>
            </w:pPr>
          </w:p>
        </w:tc>
        <w:tc>
          <w:tcPr>
            <w:tcW w:w="1360" w:type="dxa"/>
            <w:vAlign w:val="center"/>
          </w:tcPr>
          <w:p>
            <w:pPr>
              <w:jc w:val="center"/>
              <w:rPr>
                <w:rFonts w:ascii="宋体" w:hAnsi="宋体"/>
                <w:color w:val="000000" w:themeColor="text1"/>
                <w:szCs w:val="21"/>
                <w:highlight w:val="none"/>
                <w14:textFill>
                  <w14:solidFill>
                    <w14:schemeClr w14:val="tx1"/>
                  </w14:solidFill>
                </w14:textFill>
              </w:rPr>
            </w:pPr>
          </w:p>
        </w:tc>
        <w:tc>
          <w:tcPr>
            <w:tcW w:w="1587" w:type="dxa"/>
            <w:vAlign w:val="center"/>
          </w:tcPr>
          <w:p>
            <w:pPr>
              <w:jc w:val="center"/>
              <w:rPr>
                <w:rFonts w:ascii="宋体" w:hAnsi="宋体"/>
                <w:color w:val="000000" w:themeColor="text1"/>
                <w:szCs w:val="21"/>
                <w:highlight w:val="none"/>
                <w14:textFill>
                  <w14:solidFill>
                    <w14:schemeClr w14:val="tx1"/>
                  </w14:solidFill>
                </w14:textFill>
              </w:rPr>
            </w:pPr>
          </w:p>
        </w:tc>
        <w:tc>
          <w:tcPr>
            <w:tcW w:w="1133" w:type="dxa"/>
            <w:vAlign w:val="center"/>
          </w:tcPr>
          <w:p>
            <w:pPr>
              <w:jc w:val="center"/>
              <w:rPr>
                <w:rFonts w:ascii="宋体" w:hAnsi="宋体"/>
                <w:color w:val="000000" w:themeColor="text1"/>
                <w:szCs w:val="21"/>
                <w:highlight w:val="none"/>
                <w14:textFill>
                  <w14:solidFill>
                    <w14:schemeClr w14:val="tx1"/>
                  </w14:solidFill>
                </w14:textFill>
              </w:rPr>
            </w:pPr>
          </w:p>
        </w:tc>
        <w:tc>
          <w:tcPr>
            <w:tcW w:w="1730"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000000" w:themeColor="text1"/>
                <w:szCs w:val="21"/>
                <w:highlight w:val="none"/>
                <w14:textFill>
                  <w14:solidFill>
                    <w14:schemeClr w14:val="tx1"/>
                  </w14:solidFill>
                </w14:textFill>
              </w:rPr>
            </w:pPr>
          </w:p>
        </w:tc>
        <w:tc>
          <w:tcPr>
            <w:tcW w:w="1620" w:type="dxa"/>
            <w:vAlign w:val="center"/>
          </w:tcPr>
          <w:p>
            <w:pPr>
              <w:jc w:val="center"/>
              <w:rPr>
                <w:rFonts w:ascii="宋体" w:hAnsi="宋体"/>
                <w:color w:val="000000" w:themeColor="text1"/>
                <w:szCs w:val="21"/>
                <w:highlight w:val="none"/>
                <w14:textFill>
                  <w14:solidFill>
                    <w14:schemeClr w14:val="tx1"/>
                  </w14:solidFill>
                </w14:textFill>
              </w:rPr>
            </w:pPr>
          </w:p>
        </w:tc>
        <w:tc>
          <w:tcPr>
            <w:tcW w:w="1360" w:type="dxa"/>
            <w:vAlign w:val="center"/>
          </w:tcPr>
          <w:p>
            <w:pPr>
              <w:jc w:val="center"/>
              <w:rPr>
                <w:rFonts w:ascii="宋体" w:hAnsi="宋体"/>
                <w:color w:val="000000" w:themeColor="text1"/>
                <w:szCs w:val="21"/>
                <w:highlight w:val="none"/>
                <w14:textFill>
                  <w14:solidFill>
                    <w14:schemeClr w14:val="tx1"/>
                  </w14:solidFill>
                </w14:textFill>
              </w:rPr>
            </w:pPr>
          </w:p>
        </w:tc>
        <w:tc>
          <w:tcPr>
            <w:tcW w:w="1587" w:type="dxa"/>
            <w:vAlign w:val="center"/>
          </w:tcPr>
          <w:p>
            <w:pPr>
              <w:jc w:val="center"/>
              <w:rPr>
                <w:rFonts w:ascii="宋体" w:hAnsi="宋体"/>
                <w:color w:val="000000" w:themeColor="text1"/>
                <w:szCs w:val="21"/>
                <w:highlight w:val="none"/>
                <w14:textFill>
                  <w14:solidFill>
                    <w14:schemeClr w14:val="tx1"/>
                  </w14:solidFill>
                </w14:textFill>
              </w:rPr>
            </w:pPr>
          </w:p>
        </w:tc>
        <w:tc>
          <w:tcPr>
            <w:tcW w:w="1133" w:type="dxa"/>
            <w:vAlign w:val="center"/>
          </w:tcPr>
          <w:p>
            <w:pPr>
              <w:jc w:val="center"/>
              <w:rPr>
                <w:rFonts w:ascii="宋体" w:hAnsi="宋体"/>
                <w:color w:val="000000" w:themeColor="text1"/>
                <w:szCs w:val="21"/>
                <w:highlight w:val="none"/>
                <w14:textFill>
                  <w14:solidFill>
                    <w14:schemeClr w14:val="tx1"/>
                  </w14:solidFill>
                </w14:textFill>
              </w:rPr>
            </w:pPr>
          </w:p>
        </w:tc>
        <w:tc>
          <w:tcPr>
            <w:tcW w:w="1730"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000000" w:themeColor="text1"/>
                <w:szCs w:val="21"/>
                <w:highlight w:val="none"/>
                <w14:textFill>
                  <w14:solidFill>
                    <w14:schemeClr w14:val="tx1"/>
                  </w14:solidFill>
                </w14:textFill>
              </w:rPr>
            </w:pPr>
          </w:p>
        </w:tc>
        <w:tc>
          <w:tcPr>
            <w:tcW w:w="1620" w:type="dxa"/>
            <w:vAlign w:val="center"/>
          </w:tcPr>
          <w:p>
            <w:pPr>
              <w:jc w:val="center"/>
              <w:rPr>
                <w:rFonts w:ascii="宋体" w:hAnsi="宋体"/>
                <w:color w:val="000000" w:themeColor="text1"/>
                <w:szCs w:val="21"/>
                <w:highlight w:val="none"/>
                <w14:textFill>
                  <w14:solidFill>
                    <w14:schemeClr w14:val="tx1"/>
                  </w14:solidFill>
                </w14:textFill>
              </w:rPr>
            </w:pPr>
          </w:p>
        </w:tc>
        <w:tc>
          <w:tcPr>
            <w:tcW w:w="1360" w:type="dxa"/>
            <w:vAlign w:val="center"/>
          </w:tcPr>
          <w:p>
            <w:pPr>
              <w:jc w:val="center"/>
              <w:rPr>
                <w:rFonts w:ascii="宋体" w:hAnsi="宋体"/>
                <w:color w:val="000000" w:themeColor="text1"/>
                <w:szCs w:val="21"/>
                <w:highlight w:val="none"/>
                <w14:textFill>
                  <w14:solidFill>
                    <w14:schemeClr w14:val="tx1"/>
                  </w14:solidFill>
                </w14:textFill>
              </w:rPr>
            </w:pPr>
          </w:p>
        </w:tc>
        <w:tc>
          <w:tcPr>
            <w:tcW w:w="1587" w:type="dxa"/>
            <w:vAlign w:val="center"/>
          </w:tcPr>
          <w:p>
            <w:pPr>
              <w:jc w:val="center"/>
              <w:rPr>
                <w:rFonts w:ascii="宋体" w:hAnsi="宋体"/>
                <w:color w:val="000000" w:themeColor="text1"/>
                <w:szCs w:val="21"/>
                <w:highlight w:val="none"/>
                <w14:textFill>
                  <w14:solidFill>
                    <w14:schemeClr w14:val="tx1"/>
                  </w14:solidFill>
                </w14:textFill>
              </w:rPr>
            </w:pPr>
          </w:p>
        </w:tc>
        <w:tc>
          <w:tcPr>
            <w:tcW w:w="1133" w:type="dxa"/>
            <w:vAlign w:val="center"/>
          </w:tcPr>
          <w:p>
            <w:pPr>
              <w:jc w:val="center"/>
              <w:rPr>
                <w:rFonts w:ascii="宋体" w:hAnsi="宋体"/>
                <w:color w:val="000000" w:themeColor="text1"/>
                <w:szCs w:val="21"/>
                <w:highlight w:val="none"/>
                <w14:textFill>
                  <w14:solidFill>
                    <w14:schemeClr w14:val="tx1"/>
                  </w14:solidFill>
                </w14:textFill>
              </w:rPr>
            </w:pPr>
          </w:p>
        </w:tc>
        <w:tc>
          <w:tcPr>
            <w:tcW w:w="1730"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000000" w:themeColor="text1"/>
                <w:szCs w:val="21"/>
                <w:highlight w:val="none"/>
                <w14:textFill>
                  <w14:solidFill>
                    <w14:schemeClr w14:val="tx1"/>
                  </w14:solidFill>
                </w14:textFill>
              </w:rPr>
            </w:pPr>
          </w:p>
        </w:tc>
        <w:tc>
          <w:tcPr>
            <w:tcW w:w="1620" w:type="dxa"/>
            <w:vAlign w:val="center"/>
          </w:tcPr>
          <w:p>
            <w:pPr>
              <w:jc w:val="center"/>
              <w:rPr>
                <w:rFonts w:ascii="宋体" w:hAnsi="宋体"/>
                <w:color w:val="000000" w:themeColor="text1"/>
                <w:szCs w:val="21"/>
                <w:highlight w:val="none"/>
                <w14:textFill>
                  <w14:solidFill>
                    <w14:schemeClr w14:val="tx1"/>
                  </w14:solidFill>
                </w14:textFill>
              </w:rPr>
            </w:pPr>
          </w:p>
        </w:tc>
        <w:tc>
          <w:tcPr>
            <w:tcW w:w="1360" w:type="dxa"/>
            <w:vAlign w:val="center"/>
          </w:tcPr>
          <w:p>
            <w:pPr>
              <w:jc w:val="center"/>
              <w:rPr>
                <w:rFonts w:ascii="宋体" w:hAnsi="宋体"/>
                <w:color w:val="000000" w:themeColor="text1"/>
                <w:szCs w:val="21"/>
                <w:highlight w:val="none"/>
                <w14:textFill>
                  <w14:solidFill>
                    <w14:schemeClr w14:val="tx1"/>
                  </w14:solidFill>
                </w14:textFill>
              </w:rPr>
            </w:pPr>
          </w:p>
        </w:tc>
        <w:tc>
          <w:tcPr>
            <w:tcW w:w="1587" w:type="dxa"/>
            <w:vAlign w:val="center"/>
          </w:tcPr>
          <w:p>
            <w:pPr>
              <w:jc w:val="center"/>
              <w:rPr>
                <w:rFonts w:ascii="宋体" w:hAnsi="宋体"/>
                <w:color w:val="000000" w:themeColor="text1"/>
                <w:szCs w:val="21"/>
                <w:highlight w:val="none"/>
                <w14:textFill>
                  <w14:solidFill>
                    <w14:schemeClr w14:val="tx1"/>
                  </w14:solidFill>
                </w14:textFill>
              </w:rPr>
            </w:pPr>
          </w:p>
        </w:tc>
        <w:tc>
          <w:tcPr>
            <w:tcW w:w="1133" w:type="dxa"/>
            <w:vAlign w:val="center"/>
          </w:tcPr>
          <w:p>
            <w:pPr>
              <w:jc w:val="center"/>
              <w:rPr>
                <w:rFonts w:ascii="宋体" w:hAnsi="宋体"/>
                <w:color w:val="000000" w:themeColor="text1"/>
                <w:szCs w:val="21"/>
                <w:highlight w:val="none"/>
                <w14:textFill>
                  <w14:solidFill>
                    <w14:schemeClr w14:val="tx1"/>
                  </w14:solidFill>
                </w14:textFill>
              </w:rPr>
            </w:pPr>
          </w:p>
        </w:tc>
        <w:tc>
          <w:tcPr>
            <w:tcW w:w="1730"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000000" w:themeColor="text1"/>
                <w:szCs w:val="21"/>
                <w:highlight w:val="none"/>
                <w14:textFill>
                  <w14:solidFill>
                    <w14:schemeClr w14:val="tx1"/>
                  </w14:solidFill>
                </w14:textFill>
              </w:rPr>
            </w:pPr>
          </w:p>
        </w:tc>
        <w:tc>
          <w:tcPr>
            <w:tcW w:w="1620" w:type="dxa"/>
            <w:vAlign w:val="center"/>
          </w:tcPr>
          <w:p>
            <w:pPr>
              <w:jc w:val="center"/>
              <w:rPr>
                <w:rFonts w:ascii="宋体" w:hAnsi="宋体"/>
                <w:color w:val="000000" w:themeColor="text1"/>
                <w:szCs w:val="21"/>
                <w:highlight w:val="none"/>
                <w14:textFill>
                  <w14:solidFill>
                    <w14:schemeClr w14:val="tx1"/>
                  </w14:solidFill>
                </w14:textFill>
              </w:rPr>
            </w:pPr>
          </w:p>
        </w:tc>
        <w:tc>
          <w:tcPr>
            <w:tcW w:w="1360" w:type="dxa"/>
            <w:vAlign w:val="center"/>
          </w:tcPr>
          <w:p>
            <w:pPr>
              <w:jc w:val="center"/>
              <w:rPr>
                <w:rFonts w:ascii="宋体" w:hAnsi="宋体"/>
                <w:color w:val="000000" w:themeColor="text1"/>
                <w:szCs w:val="21"/>
                <w:highlight w:val="none"/>
                <w14:textFill>
                  <w14:solidFill>
                    <w14:schemeClr w14:val="tx1"/>
                  </w14:solidFill>
                </w14:textFill>
              </w:rPr>
            </w:pPr>
          </w:p>
        </w:tc>
        <w:tc>
          <w:tcPr>
            <w:tcW w:w="1587" w:type="dxa"/>
            <w:vAlign w:val="center"/>
          </w:tcPr>
          <w:p>
            <w:pPr>
              <w:jc w:val="center"/>
              <w:rPr>
                <w:rFonts w:ascii="宋体" w:hAnsi="宋体"/>
                <w:color w:val="000000" w:themeColor="text1"/>
                <w:szCs w:val="21"/>
                <w:highlight w:val="none"/>
                <w14:textFill>
                  <w14:solidFill>
                    <w14:schemeClr w14:val="tx1"/>
                  </w14:solidFill>
                </w14:textFill>
              </w:rPr>
            </w:pPr>
          </w:p>
        </w:tc>
        <w:tc>
          <w:tcPr>
            <w:tcW w:w="1133" w:type="dxa"/>
            <w:vAlign w:val="center"/>
          </w:tcPr>
          <w:p>
            <w:pPr>
              <w:jc w:val="center"/>
              <w:rPr>
                <w:rFonts w:ascii="宋体" w:hAnsi="宋体"/>
                <w:color w:val="000000" w:themeColor="text1"/>
                <w:szCs w:val="21"/>
                <w:highlight w:val="none"/>
                <w14:textFill>
                  <w14:solidFill>
                    <w14:schemeClr w14:val="tx1"/>
                  </w14:solidFill>
                </w14:textFill>
              </w:rPr>
            </w:pPr>
          </w:p>
        </w:tc>
        <w:tc>
          <w:tcPr>
            <w:tcW w:w="1730" w:type="dxa"/>
            <w:vAlign w:val="center"/>
          </w:tcPr>
          <w:p>
            <w:pPr>
              <w:jc w:val="center"/>
              <w:rPr>
                <w:rFonts w:ascii="宋体" w:hAnsi="宋体"/>
                <w:color w:val="000000" w:themeColor="text1"/>
                <w:szCs w:val="21"/>
                <w:highlight w:val="none"/>
                <w14:textFill>
                  <w14:solidFill>
                    <w14:schemeClr w14:val="tx1"/>
                  </w14:solidFill>
                </w14:textFill>
              </w:rPr>
            </w:pPr>
          </w:p>
        </w:tc>
      </w:tr>
    </w:tbl>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投标人代表签字：</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投标人盖章：</w:t>
      </w:r>
    </w:p>
    <w:p>
      <w:pPr>
        <w:rPr>
          <w:rFonts w:ascii="宋体" w:hAnsi="宋体"/>
          <w:color w:val="000000" w:themeColor="text1"/>
          <w:szCs w:val="21"/>
          <w:highlight w:val="none"/>
          <w14:textFill>
            <w14:solidFill>
              <w14:schemeClr w14:val="tx1"/>
            </w14:solidFill>
          </w14:textFill>
        </w:rPr>
      </w:pPr>
    </w:p>
    <w:p>
      <w:pPr>
        <w:ind w:left="718" w:hanging="718" w:hangingChars="34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1、投标人应对照采购文件商务需求书中商务要求，说明已对采购文件的商务内容做出了实质性的响应。</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不论出于何种原因此表未填写</w:t>
      </w:r>
      <w:r>
        <w:rPr>
          <w:rFonts w:hint="eastAsia" w:ascii="宋体" w:hAnsi="宋体"/>
          <w:color w:val="000000" w:themeColor="text1"/>
          <w:szCs w:val="21"/>
          <w:highlight w:val="none"/>
          <w14:textFill>
            <w14:solidFill>
              <w14:schemeClr w14:val="tx1"/>
            </w14:solidFill>
          </w14:textFill>
        </w:rPr>
        <w:t>完整</w:t>
      </w:r>
      <w:r>
        <w:rPr>
          <w:rFonts w:hint="eastAsia" w:hAnsi="宋体" w:cs="宋体"/>
          <w:color w:val="000000" w:themeColor="text1"/>
          <w:szCs w:val="21"/>
          <w:highlight w:val="none"/>
          <w14:textFill>
            <w14:solidFill>
              <w14:schemeClr w14:val="tx1"/>
            </w14:solidFill>
          </w14:textFill>
        </w:rPr>
        <w:t>，投标人都被认为已清楚了解采购文件“</w:t>
      </w:r>
      <w:r>
        <w:rPr>
          <w:rFonts w:hint="eastAsia" w:ascii="宋体" w:hAnsi="宋体"/>
          <w:color w:val="000000" w:themeColor="text1"/>
          <w:szCs w:val="21"/>
          <w:highlight w:val="none"/>
          <w14:textFill>
            <w14:solidFill>
              <w14:schemeClr w14:val="tx1"/>
            </w14:solidFill>
          </w14:textFill>
        </w:rPr>
        <w:t>商务</w:t>
      </w:r>
      <w:r>
        <w:rPr>
          <w:rFonts w:hint="eastAsia" w:hAnsi="宋体" w:cs="宋体"/>
          <w:color w:val="000000" w:themeColor="text1"/>
          <w:szCs w:val="21"/>
          <w:highlight w:val="none"/>
          <w14:textFill>
            <w14:solidFill>
              <w14:schemeClr w14:val="tx1"/>
            </w14:solidFill>
          </w14:textFill>
        </w:rPr>
        <w:t>需求书”的内容并对采购人所需的服务要求作全面响应，投标人必须承担完成“</w:t>
      </w:r>
      <w:r>
        <w:rPr>
          <w:rFonts w:hint="eastAsia" w:ascii="宋体" w:hAnsi="宋体"/>
          <w:color w:val="000000" w:themeColor="text1"/>
          <w:szCs w:val="21"/>
          <w:highlight w:val="none"/>
          <w14:textFill>
            <w14:solidFill>
              <w14:schemeClr w14:val="tx1"/>
            </w14:solidFill>
          </w14:textFill>
        </w:rPr>
        <w:t>商务</w:t>
      </w:r>
      <w:r>
        <w:rPr>
          <w:rFonts w:hint="eastAsia" w:hAnsi="宋体" w:cs="宋体"/>
          <w:color w:val="000000" w:themeColor="text1"/>
          <w:szCs w:val="21"/>
          <w:highlight w:val="none"/>
          <w14:textFill>
            <w14:solidFill>
              <w14:schemeClr w14:val="tx1"/>
            </w14:solidFill>
          </w14:textFill>
        </w:rPr>
        <w:t>需求书”所描述内容的义务</w:t>
      </w:r>
      <w:r>
        <w:rPr>
          <w:rFonts w:hint="eastAsia" w:ascii="宋体" w:hAnsi="宋体"/>
          <w:color w:val="000000" w:themeColor="text1"/>
          <w:szCs w:val="21"/>
          <w:highlight w:val="none"/>
          <w14:textFill>
            <w14:solidFill>
              <w14:schemeClr w14:val="tx1"/>
            </w14:solidFill>
          </w14:textFill>
        </w:rPr>
        <w:t>，因此对投标人投标产生负面影响的，投标人自行承担后果。</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hAnsi="宋体" w:cs="宋体"/>
          <w:color w:val="000000" w:themeColor="text1"/>
          <w:szCs w:val="21"/>
          <w:highlight w:val="none"/>
          <w14:textFill>
            <w14:solidFill>
              <w14:schemeClr w14:val="tx1"/>
            </w14:solidFill>
          </w14:textFill>
        </w:rPr>
        <w:t>如有偏离，应在“偏离情况”栏内注明“正”、“负”或“无”，并在“说明”栏内予以说明。</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hAnsi="宋体" w:cs="宋体"/>
          <w:color w:val="000000" w:themeColor="text1"/>
          <w:szCs w:val="21"/>
          <w:highlight w:val="none"/>
          <w14:textFill>
            <w14:solidFill>
              <w14:schemeClr w14:val="tx1"/>
            </w14:solidFill>
          </w14:textFill>
        </w:rPr>
        <w:t>如投标人差异内容较多可另附页说明。</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hAnsi="宋体" w:cs="宋体"/>
          <w:color w:val="000000" w:themeColor="text1"/>
          <w:szCs w:val="21"/>
          <w:highlight w:val="none"/>
          <w14:textFill>
            <w14:solidFill>
              <w14:schemeClr w14:val="tx1"/>
            </w14:solidFill>
          </w14:textFill>
        </w:rPr>
        <w:t>如投标人对用户需求书商务要求的条款全部响应的，也可以在表格下面用文字总括性的说明。</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pPr>
        <w:pStyle w:val="5"/>
        <w:widowControl w:val="0"/>
        <w:overflowPunct w:val="0"/>
        <w:spacing w:line="240" w:lineRule="auto"/>
        <w:rPr>
          <w:rFonts w:ascii="宋体" w:hAnsi="宋体"/>
          <w:color w:val="000000" w:themeColor="text1"/>
          <w:sz w:val="30"/>
          <w:szCs w:val="30"/>
          <w:highlight w:val="none"/>
          <w14:textFill>
            <w14:solidFill>
              <w14:schemeClr w14:val="tx1"/>
            </w14:solidFill>
          </w14:textFill>
        </w:rPr>
      </w:pPr>
      <w:bookmarkStart w:id="134" w:name="_Toc3065"/>
      <w:r>
        <w:rPr>
          <w:rFonts w:hint="eastAsia" w:ascii="宋体" w:hAnsi="宋体"/>
          <w:color w:val="000000" w:themeColor="text1"/>
          <w:sz w:val="21"/>
          <w:szCs w:val="21"/>
          <w:highlight w:val="none"/>
          <w14:textFill>
            <w14:solidFill>
              <w14:schemeClr w14:val="tx1"/>
            </w14:solidFill>
          </w14:textFill>
        </w:rPr>
        <w:t>附件13.业绩表</w:t>
      </w:r>
      <w:bookmarkEnd w:id="134"/>
    </w:p>
    <w:p>
      <w:pPr>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业绩表</w:t>
      </w:r>
    </w:p>
    <w:tbl>
      <w:tblPr>
        <w:tblStyle w:val="2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705" w:type="dxa"/>
            <w:vAlign w:val="center"/>
          </w:tcPr>
          <w:p>
            <w:pPr>
              <w:adjustRightInd/>
              <w:snapToGrid/>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tc>
        <w:tc>
          <w:tcPr>
            <w:tcW w:w="1706" w:type="dxa"/>
            <w:vAlign w:val="center"/>
          </w:tcPr>
          <w:p>
            <w:pPr>
              <w:adjustRightInd/>
              <w:snapToGrid/>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项目金额</w:t>
            </w:r>
          </w:p>
        </w:tc>
        <w:tc>
          <w:tcPr>
            <w:tcW w:w="1705" w:type="dxa"/>
            <w:vAlign w:val="center"/>
          </w:tcPr>
          <w:p>
            <w:pPr>
              <w:adjustRightInd/>
              <w:snapToGrid/>
              <w:jc w:val="center"/>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项目合同</w:t>
            </w:r>
          </w:p>
          <w:p>
            <w:pPr>
              <w:adjustRightInd/>
              <w:snapToGrid/>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签订时间</w:t>
            </w:r>
          </w:p>
        </w:tc>
        <w:tc>
          <w:tcPr>
            <w:tcW w:w="1697" w:type="dxa"/>
            <w:vAlign w:val="center"/>
          </w:tcPr>
          <w:p>
            <w:pPr>
              <w:adjustRightInd/>
              <w:snapToGrid/>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ascii="宋体" w:hAnsi="宋体"/>
                <w:color w:val="000000" w:themeColor="text1"/>
                <w:szCs w:val="21"/>
                <w:highlight w:val="none"/>
                <w14:textFill>
                  <w14:solidFill>
                    <w14:schemeClr w14:val="tx1"/>
                  </w14:solidFill>
                </w14:textFill>
              </w:rPr>
            </w:pPr>
          </w:p>
        </w:tc>
        <w:tc>
          <w:tcPr>
            <w:tcW w:w="1705" w:type="dxa"/>
            <w:vAlign w:val="center"/>
          </w:tcPr>
          <w:p>
            <w:pPr>
              <w:adjustRightInd/>
              <w:snapToGrid/>
              <w:jc w:val="center"/>
              <w:rPr>
                <w:rFonts w:ascii="宋体" w:hAnsi="宋体"/>
                <w:color w:val="000000" w:themeColor="text1"/>
                <w:szCs w:val="21"/>
                <w:highlight w:val="none"/>
                <w14:textFill>
                  <w14:solidFill>
                    <w14:schemeClr w14:val="tx1"/>
                  </w14:solidFill>
                </w14:textFill>
              </w:rPr>
            </w:pPr>
          </w:p>
        </w:tc>
        <w:tc>
          <w:tcPr>
            <w:tcW w:w="1706" w:type="dxa"/>
            <w:vAlign w:val="center"/>
          </w:tcPr>
          <w:p>
            <w:pPr>
              <w:adjustRightInd/>
              <w:snapToGrid/>
              <w:jc w:val="center"/>
              <w:rPr>
                <w:rFonts w:ascii="宋体" w:hAnsi="宋体"/>
                <w:color w:val="000000" w:themeColor="text1"/>
                <w:szCs w:val="21"/>
                <w:highlight w:val="none"/>
                <w14:textFill>
                  <w14:solidFill>
                    <w14:schemeClr w14:val="tx1"/>
                  </w14:solidFill>
                </w14:textFill>
              </w:rPr>
            </w:pPr>
          </w:p>
        </w:tc>
        <w:tc>
          <w:tcPr>
            <w:tcW w:w="1705" w:type="dxa"/>
            <w:vAlign w:val="center"/>
          </w:tcPr>
          <w:p>
            <w:pPr>
              <w:adjustRightInd/>
              <w:snapToGrid/>
              <w:jc w:val="center"/>
              <w:rPr>
                <w:rFonts w:ascii="宋体" w:hAnsi="宋体"/>
                <w:color w:val="000000" w:themeColor="text1"/>
                <w:szCs w:val="21"/>
                <w:highlight w:val="none"/>
                <w14:textFill>
                  <w14:solidFill>
                    <w14:schemeClr w14:val="tx1"/>
                  </w14:solidFill>
                </w14:textFill>
              </w:rPr>
            </w:pPr>
          </w:p>
        </w:tc>
        <w:tc>
          <w:tcPr>
            <w:tcW w:w="1697" w:type="dxa"/>
            <w:vAlign w:val="center"/>
          </w:tcPr>
          <w:p>
            <w:pPr>
              <w:adjustRightInd/>
              <w:snapToGrid/>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olor w:val="000000" w:themeColor="text1"/>
                <w:szCs w:val="21"/>
                <w:highlight w:val="none"/>
                <w14:textFill>
                  <w14:solidFill>
                    <w14:schemeClr w14:val="tx1"/>
                  </w14:solidFill>
                </w14:textFill>
              </w:rPr>
            </w:pPr>
          </w:p>
        </w:tc>
        <w:tc>
          <w:tcPr>
            <w:tcW w:w="1705" w:type="dxa"/>
          </w:tcPr>
          <w:p>
            <w:pPr>
              <w:adjustRightInd/>
              <w:snapToGrid/>
              <w:rPr>
                <w:rFonts w:ascii="宋体" w:hAnsi="宋体"/>
                <w:color w:val="000000" w:themeColor="text1"/>
                <w:szCs w:val="21"/>
                <w:highlight w:val="none"/>
                <w14:textFill>
                  <w14:solidFill>
                    <w14:schemeClr w14:val="tx1"/>
                  </w14:solidFill>
                </w14:textFill>
              </w:rPr>
            </w:pPr>
          </w:p>
        </w:tc>
        <w:tc>
          <w:tcPr>
            <w:tcW w:w="1706" w:type="dxa"/>
          </w:tcPr>
          <w:p>
            <w:pPr>
              <w:adjustRightInd/>
              <w:snapToGrid/>
              <w:rPr>
                <w:rFonts w:ascii="宋体" w:hAnsi="宋体"/>
                <w:color w:val="000000" w:themeColor="text1"/>
                <w:szCs w:val="21"/>
                <w:highlight w:val="none"/>
                <w14:textFill>
                  <w14:solidFill>
                    <w14:schemeClr w14:val="tx1"/>
                  </w14:solidFill>
                </w14:textFill>
              </w:rPr>
            </w:pPr>
          </w:p>
        </w:tc>
        <w:tc>
          <w:tcPr>
            <w:tcW w:w="1705" w:type="dxa"/>
          </w:tcPr>
          <w:p>
            <w:pPr>
              <w:adjustRightInd/>
              <w:snapToGrid/>
              <w:rPr>
                <w:rFonts w:ascii="宋体" w:hAnsi="宋体"/>
                <w:color w:val="000000" w:themeColor="text1"/>
                <w:szCs w:val="21"/>
                <w:highlight w:val="none"/>
                <w14:textFill>
                  <w14:solidFill>
                    <w14:schemeClr w14:val="tx1"/>
                  </w14:solidFill>
                </w14:textFill>
              </w:rPr>
            </w:pPr>
          </w:p>
        </w:tc>
        <w:tc>
          <w:tcPr>
            <w:tcW w:w="1697" w:type="dxa"/>
          </w:tcPr>
          <w:p>
            <w:pPr>
              <w:adjustRightInd/>
              <w:snapToGrid/>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olor w:val="000000" w:themeColor="text1"/>
                <w:szCs w:val="21"/>
                <w:highlight w:val="none"/>
                <w14:textFill>
                  <w14:solidFill>
                    <w14:schemeClr w14:val="tx1"/>
                  </w14:solidFill>
                </w14:textFill>
              </w:rPr>
            </w:pPr>
          </w:p>
        </w:tc>
        <w:tc>
          <w:tcPr>
            <w:tcW w:w="1705" w:type="dxa"/>
          </w:tcPr>
          <w:p>
            <w:pPr>
              <w:adjustRightInd/>
              <w:snapToGrid/>
              <w:rPr>
                <w:rFonts w:ascii="宋体" w:hAnsi="宋体"/>
                <w:color w:val="000000" w:themeColor="text1"/>
                <w:szCs w:val="21"/>
                <w:highlight w:val="none"/>
                <w14:textFill>
                  <w14:solidFill>
                    <w14:schemeClr w14:val="tx1"/>
                  </w14:solidFill>
                </w14:textFill>
              </w:rPr>
            </w:pPr>
          </w:p>
        </w:tc>
        <w:tc>
          <w:tcPr>
            <w:tcW w:w="1706" w:type="dxa"/>
          </w:tcPr>
          <w:p>
            <w:pPr>
              <w:adjustRightInd/>
              <w:snapToGrid/>
              <w:rPr>
                <w:rFonts w:ascii="宋体" w:hAnsi="宋体"/>
                <w:color w:val="000000" w:themeColor="text1"/>
                <w:szCs w:val="21"/>
                <w:highlight w:val="none"/>
                <w14:textFill>
                  <w14:solidFill>
                    <w14:schemeClr w14:val="tx1"/>
                  </w14:solidFill>
                </w14:textFill>
              </w:rPr>
            </w:pPr>
          </w:p>
        </w:tc>
        <w:tc>
          <w:tcPr>
            <w:tcW w:w="1705" w:type="dxa"/>
          </w:tcPr>
          <w:p>
            <w:pPr>
              <w:adjustRightInd/>
              <w:snapToGrid/>
              <w:rPr>
                <w:rFonts w:ascii="宋体" w:hAnsi="宋体"/>
                <w:color w:val="000000" w:themeColor="text1"/>
                <w:szCs w:val="21"/>
                <w:highlight w:val="none"/>
                <w14:textFill>
                  <w14:solidFill>
                    <w14:schemeClr w14:val="tx1"/>
                  </w14:solidFill>
                </w14:textFill>
              </w:rPr>
            </w:pPr>
          </w:p>
        </w:tc>
        <w:tc>
          <w:tcPr>
            <w:tcW w:w="1697" w:type="dxa"/>
          </w:tcPr>
          <w:p>
            <w:pPr>
              <w:adjustRightInd/>
              <w:snapToGrid/>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olor w:val="000000" w:themeColor="text1"/>
                <w:szCs w:val="21"/>
                <w:highlight w:val="none"/>
                <w14:textFill>
                  <w14:solidFill>
                    <w14:schemeClr w14:val="tx1"/>
                  </w14:solidFill>
                </w14:textFill>
              </w:rPr>
            </w:pPr>
          </w:p>
        </w:tc>
        <w:tc>
          <w:tcPr>
            <w:tcW w:w="1705" w:type="dxa"/>
          </w:tcPr>
          <w:p>
            <w:pPr>
              <w:adjustRightInd/>
              <w:snapToGrid/>
              <w:rPr>
                <w:rFonts w:ascii="宋体" w:hAnsi="宋体"/>
                <w:color w:val="000000" w:themeColor="text1"/>
                <w:szCs w:val="21"/>
                <w:highlight w:val="none"/>
                <w14:textFill>
                  <w14:solidFill>
                    <w14:schemeClr w14:val="tx1"/>
                  </w14:solidFill>
                </w14:textFill>
              </w:rPr>
            </w:pPr>
          </w:p>
        </w:tc>
        <w:tc>
          <w:tcPr>
            <w:tcW w:w="1706" w:type="dxa"/>
          </w:tcPr>
          <w:p>
            <w:pPr>
              <w:adjustRightInd/>
              <w:snapToGrid/>
              <w:rPr>
                <w:rFonts w:ascii="宋体" w:hAnsi="宋体"/>
                <w:color w:val="000000" w:themeColor="text1"/>
                <w:szCs w:val="21"/>
                <w:highlight w:val="none"/>
                <w14:textFill>
                  <w14:solidFill>
                    <w14:schemeClr w14:val="tx1"/>
                  </w14:solidFill>
                </w14:textFill>
              </w:rPr>
            </w:pPr>
          </w:p>
        </w:tc>
        <w:tc>
          <w:tcPr>
            <w:tcW w:w="1705" w:type="dxa"/>
          </w:tcPr>
          <w:p>
            <w:pPr>
              <w:adjustRightInd/>
              <w:snapToGrid/>
              <w:rPr>
                <w:rFonts w:ascii="宋体" w:hAnsi="宋体"/>
                <w:color w:val="000000" w:themeColor="text1"/>
                <w:szCs w:val="21"/>
                <w:highlight w:val="none"/>
                <w14:textFill>
                  <w14:solidFill>
                    <w14:schemeClr w14:val="tx1"/>
                  </w14:solidFill>
                </w14:textFill>
              </w:rPr>
            </w:pPr>
          </w:p>
        </w:tc>
        <w:tc>
          <w:tcPr>
            <w:tcW w:w="1697" w:type="dxa"/>
          </w:tcPr>
          <w:p>
            <w:pPr>
              <w:adjustRightInd/>
              <w:snapToGrid/>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olor w:val="000000" w:themeColor="text1"/>
                <w:szCs w:val="21"/>
                <w:highlight w:val="none"/>
                <w14:textFill>
                  <w14:solidFill>
                    <w14:schemeClr w14:val="tx1"/>
                  </w14:solidFill>
                </w14:textFill>
              </w:rPr>
            </w:pPr>
          </w:p>
        </w:tc>
        <w:tc>
          <w:tcPr>
            <w:tcW w:w="1705" w:type="dxa"/>
          </w:tcPr>
          <w:p>
            <w:pPr>
              <w:adjustRightInd/>
              <w:snapToGrid/>
              <w:rPr>
                <w:rFonts w:ascii="宋体" w:hAnsi="宋体"/>
                <w:color w:val="000000" w:themeColor="text1"/>
                <w:szCs w:val="21"/>
                <w:highlight w:val="none"/>
                <w14:textFill>
                  <w14:solidFill>
                    <w14:schemeClr w14:val="tx1"/>
                  </w14:solidFill>
                </w14:textFill>
              </w:rPr>
            </w:pPr>
          </w:p>
        </w:tc>
        <w:tc>
          <w:tcPr>
            <w:tcW w:w="1706" w:type="dxa"/>
          </w:tcPr>
          <w:p>
            <w:pPr>
              <w:adjustRightInd/>
              <w:snapToGrid/>
              <w:rPr>
                <w:rFonts w:ascii="宋体" w:hAnsi="宋体"/>
                <w:color w:val="000000" w:themeColor="text1"/>
                <w:szCs w:val="21"/>
                <w:highlight w:val="none"/>
                <w14:textFill>
                  <w14:solidFill>
                    <w14:schemeClr w14:val="tx1"/>
                  </w14:solidFill>
                </w14:textFill>
              </w:rPr>
            </w:pPr>
          </w:p>
        </w:tc>
        <w:tc>
          <w:tcPr>
            <w:tcW w:w="1705" w:type="dxa"/>
          </w:tcPr>
          <w:p>
            <w:pPr>
              <w:adjustRightInd/>
              <w:snapToGrid/>
              <w:rPr>
                <w:rFonts w:ascii="宋体" w:hAnsi="宋体"/>
                <w:color w:val="000000" w:themeColor="text1"/>
                <w:szCs w:val="21"/>
                <w:highlight w:val="none"/>
                <w14:textFill>
                  <w14:solidFill>
                    <w14:schemeClr w14:val="tx1"/>
                  </w14:solidFill>
                </w14:textFill>
              </w:rPr>
            </w:pPr>
          </w:p>
        </w:tc>
        <w:tc>
          <w:tcPr>
            <w:tcW w:w="1697" w:type="dxa"/>
          </w:tcPr>
          <w:p>
            <w:pPr>
              <w:adjustRightInd/>
              <w:snapToGrid/>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olor w:val="000000" w:themeColor="text1"/>
                <w:szCs w:val="21"/>
                <w:highlight w:val="none"/>
                <w14:textFill>
                  <w14:solidFill>
                    <w14:schemeClr w14:val="tx1"/>
                  </w14:solidFill>
                </w14:textFill>
              </w:rPr>
            </w:pPr>
          </w:p>
        </w:tc>
        <w:tc>
          <w:tcPr>
            <w:tcW w:w="1705" w:type="dxa"/>
          </w:tcPr>
          <w:p>
            <w:pPr>
              <w:adjustRightInd/>
              <w:snapToGrid/>
              <w:rPr>
                <w:rFonts w:ascii="宋体" w:hAnsi="宋体"/>
                <w:color w:val="000000" w:themeColor="text1"/>
                <w:szCs w:val="21"/>
                <w:highlight w:val="none"/>
                <w14:textFill>
                  <w14:solidFill>
                    <w14:schemeClr w14:val="tx1"/>
                  </w14:solidFill>
                </w14:textFill>
              </w:rPr>
            </w:pPr>
          </w:p>
        </w:tc>
        <w:tc>
          <w:tcPr>
            <w:tcW w:w="1706" w:type="dxa"/>
          </w:tcPr>
          <w:p>
            <w:pPr>
              <w:adjustRightInd/>
              <w:snapToGrid/>
              <w:rPr>
                <w:rFonts w:ascii="宋体" w:hAnsi="宋体"/>
                <w:color w:val="000000" w:themeColor="text1"/>
                <w:szCs w:val="21"/>
                <w:highlight w:val="none"/>
                <w14:textFill>
                  <w14:solidFill>
                    <w14:schemeClr w14:val="tx1"/>
                  </w14:solidFill>
                </w14:textFill>
              </w:rPr>
            </w:pPr>
          </w:p>
        </w:tc>
        <w:tc>
          <w:tcPr>
            <w:tcW w:w="1705" w:type="dxa"/>
          </w:tcPr>
          <w:p>
            <w:pPr>
              <w:adjustRightInd/>
              <w:snapToGrid/>
              <w:rPr>
                <w:rFonts w:ascii="宋体" w:hAnsi="宋体"/>
                <w:color w:val="000000" w:themeColor="text1"/>
                <w:szCs w:val="21"/>
                <w:highlight w:val="none"/>
                <w14:textFill>
                  <w14:solidFill>
                    <w14:schemeClr w14:val="tx1"/>
                  </w14:solidFill>
                </w14:textFill>
              </w:rPr>
            </w:pPr>
          </w:p>
        </w:tc>
        <w:tc>
          <w:tcPr>
            <w:tcW w:w="1697" w:type="dxa"/>
          </w:tcPr>
          <w:p>
            <w:pPr>
              <w:adjustRightInd/>
              <w:snapToGrid/>
              <w:rPr>
                <w:rFonts w:ascii="宋体" w:hAnsi="宋体"/>
                <w:color w:val="000000" w:themeColor="text1"/>
                <w:szCs w:val="21"/>
                <w:highlight w:val="none"/>
                <w14:textFill>
                  <w14:solidFill>
                    <w14:schemeClr w14:val="tx1"/>
                  </w14:solidFill>
                </w14:textFill>
              </w:rPr>
            </w:pPr>
          </w:p>
        </w:tc>
      </w:tr>
    </w:tbl>
    <w:p>
      <w:pPr>
        <w:pStyle w:val="39"/>
        <w:rPr>
          <w:rFonts w:ascii="宋体" w:hAnsi="宋体"/>
          <w:color w:val="000000" w:themeColor="text1"/>
          <w:szCs w:val="21"/>
          <w:highlight w:val="none"/>
          <w14:textFill>
            <w14:solidFill>
              <w14:schemeClr w14:val="tx1"/>
            </w14:solidFill>
          </w14:textFill>
        </w:rPr>
      </w:pPr>
    </w:p>
    <w:p>
      <w:pPr>
        <w:pStyle w:val="39"/>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pPr>
        <w:pStyle w:val="39"/>
        <w:numPr>
          <w:ilvl w:val="0"/>
          <w:numId w:val="11"/>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该表格为参考格式，投标人可按实际情况自行制订。</w:t>
      </w:r>
    </w:p>
    <w:p>
      <w:pPr>
        <w:pStyle w:val="39"/>
        <w:numPr>
          <w:ilvl w:val="0"/>
          <w:numId w:val="11"/>
        </w:num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业绩表所列出的材料应为真实准确的，并应提供相关证明材料复印件加盖公章。请勿提供虚假、过期材料，否则将依据相关规定严肃处理。</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pPr>
        <w:pStyle w:val="9"/>
        <w:rPr>
          <w:color w:val="000000" w:themeColor="text1"/>
          <w:szCs w:val="21"/>
          <w:highlight w:val="none"/>
          <w14:textFill>
            <w14:solidFill>
              <w14:schemeClr w14:val="tx1"/>
            </w14:solidFill>
          </w14:textFill>
        </w:rPr>
        <w:sectPr>
          <w:headerReference r:id="rId13" w:type="first"/>
          <w:footerReference r:id="rId15" w:type="first"/>
          <w:headerReference r:id="rId11" w:type="default"/>
          <w:footerReference r:id="rId14" w:type="default"/>
          <w:headerReference r:id="rId12" w:type="even"/>
          <w:pgSz w:w="11906" w:h="16838"/>
          <w:pgMar w:top="1440" w:right="1800" w:bottom="1440" w:left="1800" w:header="708" w:footer="708" w:gutter="0"/>
          <w:cols w:space="708" w:num="1"/>
          <w:titlePg/>
          <w:docGrid w:type="lines" w:linePitch="360" w:charSpace="0"/>
        </w:sectPr>
      </w:pPr>
    </w:p>
    <w:p>
      <w:pPr>
        <w:pStyle w:val="5"/>
        <w:widowControl w:val="0"/>
        <w:overflowPunct w:val="0"/>
        <w:spacing w:line="240" w:lineRule="auto"/>
        <w:rPr>
          <w:color w:val="000000" w:themeColor="text1"/>
          <w:highlight w:val="none"/>
          <w14:textFill>
            <w14:solidFill>
              <w14:schemeClr w14:val="tx1"/>
            </w14:solidFill>
          </w14:textFill>
        </w:rPr>
      </w:pPr>
      <w:bookmarkStart w:id="135" w:name="_Toc3346"/>
      <w:bookmarkStart w:id="136" w:name="_Toc1959"/>
      <w:r>
        <w:rPr>
          <w:rFonts w:hint="eastAsia" w:ascii="宋体" w:hAnsi="宋体"/>
          <w:color w:val="000000" w:themeColor="text1"/>
          <w:sz w:val="21"/>
          <w:szCs w:val="21"/>
          <w:highlight w:val="none"/>
          <w14:textFill>
            <w14:solidFill>
              <w14:schemeClr w14:val="tx1"/>
            </w14:solidFill>
          </w14:textFill>
        </w:rPr>
        <w:t>附件14.联合体协议书</w:t>
      </w:r>
      <w:r>
        <w:rPr>
          <w:rFonts w:hint="eastAsia"/>
          <w:color w:val="000000" w:themeColor="text1"/>
          <w:highlight w:val="none"/>
          <w14:textFill>
            <w14:solidFill>
              <w14:schemeClr w14:val="tx1"/>
            </w14:solidFill>
          </w14:textFill>
        </w:rPr>
        <w:t>（如有）</w:t>
      </w:r>
      <w:bookmarkEnd w:id="135"/>
      <w:bookmarkEnd w:id="136"/>
    </w:p>
    <w:p>
      <w:pPr>
        <w:rPr>
          <w:color w:val="000000" w:themeColor="text1"/>
          <w:highlight w:val="none"/>
          <w14:textFill>
            <w14:solidFill>
              <w14:schemeClr w14:val="tx1"/>
            </w14:solidFill>
          </w14:textFill>
        </w:rPr>
      </w:pPr>
    </w:p>
    <w:p>
      <w:pPr>
        <w:jc w:val="center"/>
        <w:rPr>
          <w:rFonts w:hAnsi="宋体" w:cs="宋体"/>
          <w:color w:val="000000" w:themeColor="text1"/>
          <w:highlight w:val="none"/>
          <w14:textFill>
            <w14:solidFill>
              <w14:schemeClr w14:val="tx1"/>
            </w14:solidFill>
          </w14:textFill>
        </w:rPr>
      </w:pPr>
      <w:r>
        <w:rPr>
          <w:rFonts w:hint="eastAsia" w:hAnsi="宋体" w:cs="宋体"/>
          <w:b/>
          <w:bCs/>
          <w:color w:val="000000" w:themeColor="text1"/>
          <w:highlight w:val="none"/>
          <w14:textFill>
            <w14:solidFill>
              <w14:schemeClr w14:val="tx1"/>
            </w14:solidFill>
          </w14:textFill>
        </w:rPr>
        <w:t>联合体共同投标协议书</w:t>
      </w:r>
    </w:p>
    <w:p>
      <w:pPr>
        <w:jc w:val="center"/>
        <w:rPr>
          <w:rFonts w:hAnsi="宋体" w:cs="宋体"/>
          <w:color w:val="000000" w:themeColor="text1"/>
          <w:highlight w:val="none"/>
          <w14:textFill>
            <w14:solidFill>
              <w14:schemeClr w14:val="tx1"/>
            </w14:solidFill>
          </w14:textFill>
        </w:rPr>
      </w:pPr>
    </w:p>
    <w:p>
      <w:pP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立约方：（甲公司全称）</w:t>
      </w:r>
    </w:p>
    <w:p>
      <w:pP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（乙公司全称）</w:t>
      </w:r>
    </w:p>
    <w:p>
      <w:pP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（……公司全称）</w:t>
      </w:r>
    </w:p>
    <w:p>
      <w:pP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u w:val="single"/>
          <w14:textFill>
            <w14:solidFill>
              <w14:schemeClr w14:val="tx1"/>
            </w14:solidFill>
          </w14:textFill>
        </w:rPr>
        <w:t>（甲公司全称）、（乙公司全称）、（……公司全称）</w:t>
      </w:r>
      <w:r>
        <w:rPr>
          <w:rFonts w:hint="eastAsia" w:hAnsi="宋体" w:cs="宋体"/>
          <w:color w:val="000000" w:themeColor="text1"/>
          <w:szCs w:val="21"/>
          <w:highlight w:val="none"/>
          <w14:textFill>
            <w14:solidFill>
              <w14:schemeClr w14:val="tx1"/>
            </w14:solidFill>
          </w14:textFill>
        </w:rPr>
        <w:t>自愿组成联合体，以一个投标人的身份共同参加</w:t>
      </w:r>
      <w:r>
        <w:rPr>
          <w:rFonts w:hint="eastAsia" w:hAnsi="宋体" w:cs="宋体"/>
          <w:color w:val="000000" w:themeColor="text1"/>
          <w:szCs w:val="21"/>
          <w:highlight w:val="none"/>
          <w:u w:val="single"/>
          <w14:textFill>
            <w14:solidFill>
              <w14:schemeClr w14:val="tx1"/>
            </w14:solidFill>
          </w14:textFill>
        </w:rPr>
        <w:t>（xxxx项目） （项目编号：xxxx）</w:t>
      </w:r>
      <w:r>
        <w:rPr>
          <w:rFonts w:hint="eastAsia" w:hAnsi="宋体" w:cs="宋体"/>
          <w:color w:val="000000" w:themeColor="text1"/>
          <w:szCs w:val="21"/>
          <w:highlight w:val="none"/>
          <w14:textFill>
            <w14:solidFill>
              <w14:schemeClr w14:val="tx1"/>
            </w14:solidFill>
          </w14:textFill>
        </w:rPr>
        <w:t>的招标活动。经各方充分协商一致，就项目的投标和合同实施阶段的有关事务协商一致订立协议如下：</w:t>
      </w:r>
    </w:p>
    <w:p>
      <w:pP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一、联合体各方关系</w:t>
      </w:r>
    </w:p>
    <w:p>
      <w:pP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u w:val="single"/>
          <w14:textFill>
            <w14:solidFill>
              <w14:schemeClr w14:val="tx1"/>
            </w14:solidFill>
          </w14:textFill>
        </w:rPr>
        <w:t>1.（甲公司全称）、（乙公司全称）、（……公司全称）</w:t>
      </w:r>
      <w:r>
        <w:rPr>
          <w:rFonts w:hint="eastAsia" w:hAnsi="宋体" w:cs="宋体"/>
          <w:color w:val="000000" w:themeColor="text1"/>
          <w:szCs w:val="21"/>
          <w:highlight w:val="none"/>
          <w14:textFill>
            <w14:solidFill>
              <w14:schemeClr w14:val="tx1"/>
            </w14:solidFill>
          </w14:textFill>
        </w:rPr>
        <w:t>共同组成一个联合体，以一个投标人的身份共同参加本项目的投标。</w:t>
      </w:r>
      <w:r>
        <w:rPr>
          <w:rFonts w:hint="eastAsia" w:hAnsi="宋体" w:cs="宋体"/>
          <w:color w:val="000000" w:themeColor="text1"/>
          <w:szCs w:val="21"/>
          <w:highlight w:val="none"/>
          <w:u w:val="single"/>
          <w14:textFill>
            <w14:solidFill>
              <w14:schemeClr w14:val="tx1"/>
            </w14:solidFill>
          </w14:textFill>
        </w:rPr>
        <w:t>（甲公司全称）、（乙公司全称）、（……公司全称）</w:t>
      </w:r>
      <w:r>
        <w:rPr>
          <w:rFonts w:hint="eastAsia" w:hAnsi="宋体" w:cs="宋体"/>
          <w:color w:val="000000" w:themeColor="text1"/>
          <w:szCs w:val="21"/>
          <w:highlight w:val="none"/>
          <w14:textFill>
            <w14:solidFill>
              <w14:schemeClr w14:val="tx1"/>
            </w14:solidFill>
          </w14:textFill>
        </w:rPr>
        <w:t>作为联合体成员，若中标，联合体各方共同与</w:t>
      </w:r>
      <w:r>
        <w:rPr>
          <w:rFonts w:hint="eastAsia" w:hAnsi="宋体" w:cs="宋体"/>
          <w:color w:val="000000" w:themeColor="text1"/>
          <w:szCs w:val="21"/>
          <w:highlight w:val="none"/>
          <w:u w:val="single"/>
          <w14:textFill>
            <w14:solidFill>
              <w14:schemeClr w14:val="tx1"/>
            </w14:solidFill>
          </w14:textFill>
        </w:rPr>
        <w:t>（采购人）</w:t>
      </w:r>
      <w:r>
        <w:rPr>
          <w:rFonts w:hint="eastAsia" w:hAnsi="宋体" w:cs="宋体"/>
          <w:color w:val="000000" w:themeColor="text1"/>
          <w:szCs w:val="21"/>
          <w:highlight w:val="none"/>
          <w14:textFill>
            <w14:solidFill>
              <w14:schemeClr w14:val="tx1"/>
            </w14:solidFill>
          </w14:textFill>
        </w:rPr>
        <w:t>签订合同。</w:t>
      </w:r>
    </w:p>
    <w:p>
      <w:pP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2.本次投标中，以</w:t>
      </w:r>
      <w:r>
        <w:rPr>
          <w:rFonts w:hint="eastAsia" w:hAnsi="宋体" w:cs="宋体"/>
          <w:color w:val="000000" w:themeColor="text1"/>
          <w:szCs w:val="21"/>
          <w:highlight w:val="none"/>
          <w:u w:val="single"/>
          <w14:textFill>
            <w14:solidFill>
              <w14:schemeClr w14:val="tx1"/>
            </w14:solidFill>
          </w14:textFill>
        </w:rPr>
        <w:t>（公司全称）</w:t>
      </w:r>
      <w:r>
        <w:rPr>
          <w:rFonts w:hint="eastAsia" w:hAnsi="宋体" w:cs="宋体"/>
          <w:color w:val="000000" w:themeColor="text1"/>
          <w:szCs w:val="21"/>
          <w:highlight w:val="none"/>
          <w14:textFill>
            <w14:solidFill>
              <w14:schemeClr w14:val="tx1"/>
            </w14:solidFill>
          </w14:textFill>
        </w:rPr>
        <w:t>为联合体牵头人。</w:t>
      </w:r>
    </w:p>
    <w:p>
      <w:pP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二、联合体内部有关事项约定如下：</w:t>
      </w:r>
    </w:p>
    <w:p>
      <w:pPr>
        <w:rPr>
          <w:rFonts w:hAnsi="宋体" w:cs="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1.联合体牵头人合法代表联合体各成员，负责本项目投标文件编制和投标工作，并代表联合体成员递交和接受相关的资料、信息及指示，并处理与之有关的一切事务，负责合同实施阶段的主办、组织和协调工作。</w:t>
      </w:r>
    </w:p>
    <w:p>
      <w:pP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2.联合体将严格按照文件的各项要求，递交投标文件，切实执行一切合同文件，共同承担合同规定的一切义务和责任，同时按照内部职责的划分，承担自身所负的责任和风险，在法律上承担连带责任。</w:t>
      </w:r>
    </w:p>
    <w:p>
      <w:pP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3.如中标，联合体各方共同与（采购人）签订合同书，并就中标项目向采购人负有连带的和各自的法律责任；</w:t>
      </w:r>
    </w:p>
    <w:p>
      <w:pP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4.联合体各成员单位内部的职责分工如下：</w:t>
      </w:r>
    </w:p>
    <w:p>
      <w:pP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（1）</w:t>
      </w:r>
    </w:p>
    <w:p>
      <w:pPr>
        <w:rPr>
          <w:color w:val="000000" w:themeColor="text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（2）</w:t>
      </w:r>
    </w:p>
    <w:p>
      <w:pP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pP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四、联合体如因违约过失责任而导致采购人经济损失或被索赔时，本联合体任何一方均同意无条件优先清偿采购人的一切债务和经济赔偿。</w:t>
      </w:r>
    </w:p>
    <w:p>
      <w:pPr>
        <w:rPr>
          <w:rFonts w:hAnsi="宋体" w:cs="宋体"/>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五、联合体中标后，本联合体协议是合同的附件，对联合体各成员单位有合同约束力。</w:t>
      </w:r>
    </w:p>
    <w:p>
      <w:pP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六、本协议在自签署之日起生效，投标有效期内有效，如获中标资格，本协议有效期延续至合同履行完毕之日。</w:t>
      </w:r>
    </w:p>
    <w:p>
      <w:pPr>
        <w:rPr>
          <w:rFonts w:hAnsi="宋体" w:cs="宋体"/>
          <w:color w:val="000000" w:themeColor="text1"/>
          <w:szCs w:val="21"/>
          <w:highlight w:val="none"/>
          <w14:textFill>
            <w14:solidFill>
              <w14:schemeClr w14:val="tx1"/>
            </w14:solidFill>
          </w14:textFill>
        </w:rPr>
      </w:pPr>
      <w:r>
        <w:rPr>
          <w:rFonts w:hint="eastAsia" w:hAnsi="宋体" w:cs="宋体"/>
          <w:color w:val="000000" w:themeColor="text1"/>
          <w:szCs w:val="21"/>
          <w:highlight w:val="none"/>
          <w14:textFill>
            <w14:solidFill>
              <w14:schemeClr w14:val="tx1"/>
            </w14:solidFill>
          </w14:textFill>
        </w:rPr>
        <w:t xml:space="preserve">七、本协议书一式____份，联合体成员和采购人各执一份。 </w:t>
      </w:r>
    </w:p>
    <w:p>
      <w:pPr>
        <w:rPr>
          <w:rFonts w:hAnsi="宋体" w:cs="宋体"/>
          <w:color w:val="000000" w:themeColor="text1"/>
          <w:szCs w:val="21"/>
          <w:highlight w:val="none"/>
          <w14:textFill>
            <w14:solidFill>
              <w14:schemeClr w14:val="tx1"/>
            </w14:solidFill>
          </w14:textFill>
        </w:rPr>
      </w:pPr>
    </w:p>
    <w:p>
      <w:pPr>
        <w:pStyle w:val="9"/>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注：本协议书由委托人签字的，应附法定代表人签字的授权委托书。</w:t>
      </w:r>
    </w:p>
    <w:p>
      <w:pPr>
        <w:pStyle w:val="9"/>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牵头人名称：_______________________（盖单位公章）</w:t>
      </w:r>
    </w:p>
    <w:p>
      <w:pPr>
        <w:pStyle w:val="9"/>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法定代表人或其委托代理人：_____________（签字）</w:t>
      </w:r>
    </w:p>
    <w:p>
      <w:pPr>
        <w:pStyle w:val="9"/>
        <w:rPr>
          <w:color w:val="000000" w:themeColor="text1"/>
          <w:sz w:val="21"/>
          <w:szCs w:val="21"/>
          <w:highlight w:val="none"/>
          <w14:textFill>
            <w14:solidFill>
              <w14:schemeClr w14:val="tx1"/>
            </w14:solidFill>
          </w14:textFill>
        </w:rPr>
      </w:pPr>
    </w:p>
    <w:p>
      <w:pPr>
        <w:pStyle w:val="9"/>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成员一名称：_______________________（盖单位公章）</w:t>
      </w:r>
    </w:p>
    <w:p>
      <w:pPr>
        <w:pStyle w:val="9"/>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法定代表人或其委托代理人：_____________（签字）</w:t>
      </w:r>
    </w:p>
    <w:p>
      <w:pPr>
        <w:pStyle w:val="9"/>
        <w:rPr>
          <w:color w:val="000000" w:themeColor="text1"/>
          <w:sz w:val="21"/>
          <w:szCs w:val="21"/>
          <w:highlight w:val="none"/>
          <w14:textFill>
            <w14:solidFill>
              <w14:schemeClr w14:val="tx1"/>
            </w14:solidFill>
          </w14:textFill>
        </w:rPr>
      </w:pPr>
    </w:p>
    <w:p>
      <w:pPr>
        <w:pStyle w:val="9"/>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成员二名称：_______________________（盖单位公章）</w:t>
      </w:r>
    </w:p>
    <w:p>
      <w:pPr>
        <w:pStyle w:val="9"/>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法定代表人或其委托代理人：_____________（签字）</w:t>
      </w:r>
    </w:p>
    <w:p>
      <w:pPr>
        <w:pStyle w:val="9"/>
        <w:ind w:firstLine="210" w:firstLineChars="100"/>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w:t>
      </w:r>
    </w:p>
    <w:p>
      <w:pPr>
        <w:pStyle w:val="9"/>
        <w:rPr>
          <w:color w:val="000000" w:themeColor="text1"/>
          <w:highlight w:val="none"/>
          <w:lang w:val="en-US"/>
          <w14:textFill>
            <w14:solidFill>
              <w14:schemeClr w14:val="tx1"/>
            </w14:solidFill>
          </w14:textFill>
        </w:rPr>
        <w:sectPr>
          <w:pgSz w:w="11906" w:h="16838"/>
          <w:pgMar w:top="1440" w:right="1800" w:bottom="1440" w:left="1800" w:header="708" w:footer="708" w:gutter="0"/>
          <w:cols w:space="708" w:num="1"/>
          <w:titlePg/>
          <w:docGrid w:type="lines" w:linePitch="360" w:charSpace="0"/>
        </w:sectPr>
      </w:pPr>
      <w:r>
        <w:rPr>
          <w:rFonts w:hint="eastAsia"/>
          <w:color w:val="000000" w:themeColor="text1"/>
          <w:sz w:val="21"/>
          <w:szCs w:val="21"/>
          <w:highlight w:val="none"/>
          <w14:textFill>
            <w14:solidFill>
              <w14:schemeClr w14:val="tx1"/>
            </w14:solidFill>
          </w14:textFill>
        </w:rPr>
        <w:t xml:space="preserve">        年     月     日</w:t>
      </w:r>
    </w:p>
    <w:p>
      <w:pPr>
        <w:pStyle w:val="9"/>
        <w:rPr>
          <w:color w:val="000000" w:themeColor="text1"/>
          <w:highlight w:val="none"/>
          <w14:textFill>
            <w14:solidFill>
              <w14:schemeClr w14:val="tx1"/>
            </w14:solidFill>
          </w14:textFill>
        </w:rPr>
      </w:pPr>
    </w:p>
    <w:p>
      <w:pPr>
        <w:pStyle w:val="3"/>
        <w:spacing w:before="0" w:after="0" w:line="360" w:lineRule="auto"/>
        <w:jc w:val="center"/>
        <w:rPr>
          <w:color w:val="000000" w:themeColor="text1"/>
          <w:sz w:val="72"/>
          <w:szCs w:val="72"/>
          <w:highlight w:val="none"/>
          <w14:textFill>
            <w14:solidFill>
              <w14:schemeClr w14:val="tx1"/>
            </w14:solidFill>
          </w14:textFill>
        </w:rPr>
      </w:pPr>
      <w:bookmarkStart w:id="137" w:name="_Toc8280"/>
      <w:r>
        <w:rPr>
          <w:rFonts w:hint="eastAsia"/>
          <w:color w:val="000000" w:themeColor="text1"/>
          <w:sz w:val="72"/>
          <w:szCs w:val="72"/>
          <w:highlight w:val="none"/>
          <w14:textFill>
            <w14:solidFill>
              <w14:schemeClr w14:val="tx1"/>
            </w14:solidFill>
          </w14:textFill>
        </w:rPr>
        <w:t>技术文件</w:t>
      </w:r>
      <w:bookmarkEnd w:id="137"/>
    </w:p>
    <w:p>
      <w:pPr>
        <w:jc w:val="center"/>
        <w:rPr>
          <w:rFonts w:ascii="黑体" w:eastAsia="黑体"/>
          <w:color w:val="000000" w:themeColor="text1"/>
          <w:sz w:val="72"/>
          <w:szCs w:val="72"/>
          <w:highlight w:val="none"/>
          <w14:textFill>
            <w14:solidFill>
              <w14:schemeClr w14:val="tx1"/>
            </w14:solidFill>
          </w14:textFill>
        </w:rPr>
      </w:pPr>
      <w:r>
        <w:rPr>
          <w:rFonts w:hint="eastAsia" w:ascii="黑体" w:eastAsia="黑体"/>
          <w:color w:val="000000" w:themeColor="text1"/>
          <w:sz w:val="72"/>
          <w:szCs w:val="72"/>
          <w:highlight w:val="none"/>
          <w14:textFill>
            <w14:solidFill>
              <w14:schemeClr w14:val="tx1"/>
            </w14:solidFill>
          </w14:textFill>
        </w:rPr>
        <w:t>（单独装订成册）</w:t>
      </w:r>
    </w:p>
    <w:p>
      <w:pPr>
        <w:rPr>
          <w:color w:val="000000" w:themeColor="text1"/>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pStyle w:val="10"/>
        <w:ind w:firstLine="240"/>
        <w:rPr>
          <w:color w:val="000000" w:themeColor="text1"/>
          <w:highlight w:val="none"/>
          <w14:textFill>
            <w14:solidFill>
              <w14:schemeClr w14:val="tx1"/>
            </w14:solidFill>
          </w14:textFill>
        </w:rPr>
      </w:pPr>
    </w:p>
    <w:p>
      <w:pPr>
        <w:rPr>
          <w:rFonts w:ascii="宋体" w:hAnsi="宋体" w:cs="宋体"/>
          <w:b/>
          <w:bCs/>
          <w:color w:val="000000" w:themeColor="text1"/>
          <w:spacing w:val="-6"/>
          <w:sz w:val="32"/>
          <w:szCs w:val="32"/>
          <w:highlight w:val="none"/>
          <w14:textFill>
            <w14:solidFill>
              <w14:schemeClr w14:val="tx1"/>
            </w14:solidFill>
          </w14:textFill>
        </w:rPr>
      </w:pPr>
      <w:r>
        <w:rPr>
          <w:rFonts w:hint="eastAsia" w:ascii="宋体" w:hAnsi="宋体" w:cs="宋体"/>
          <w:b/>
          <w:bCs/>
          <w:color w:val="000000" w:themeColor="text1"/>
          <w:spacing w:val="106"/>
          <w:kern w:val="0"/>
          <w:sz w:val="32"/>
          <w:szCs w:val="32"/>
          <w:highlight w:val="none"/>
          <w:fitText w:val="1600" w:id="292250509"/>
          <w14:textFill>
            <w14:solidFill>
              <w14:schemeClr w14:val="tx1"/>
            </w14:solidFill>
          </w14:textFill>
        </w:rPr>
        <w:t>项目名</w:t>
      </w:r>
      <w:r>
        <w:rPr>
          <w:rFonts w:hint="eastAsia" w:ascii="宋体" w:hAnsi="宋体" w:cs="宋体"/>
          <w:b/>
          <w:bCs/>
          <w:color w:val="000000" w:themeColor="text1"/>
          <w:spacing w:val="2"/>
          <w:kern w:val="0"/>
          <w:sz w:val="32"/>
          <w:szCs w:val="32"/>
          <w:highlight w:val="none"/>
          <w:fitText w:val="1600" w:id="292250509"/>
          <w14:textFill>
            <w14:solidFill>
              <w14:schemeClr w14:val="tx1"/>
            </w14:solidFill>
          </w14:textFill>
        </w:rPr>
        <w:t>称</w:t>
      </w:r>
      <w:r>
        <w:rPr>
          <w:rFonts w:hint="eastAsia" w:ascii="宋体" w:hAnsi="宋体" w:cs="宋体"/>
          <w:b/>
          <w:bCs/>
          <w:color w:val="000000" w:themeColor="text1"/>
          <w:spacing w:val="-6"/>
          <w:sz w:val="32"/>
          <w:szCs w:val="32"/>
          <w:highlight w:val="none"/>
          <w14:textFill>
            <w14:solidFill>
              <w14:schemeClr w14:val="tx1"/>
            </w14:solidFill>
          </w14:textFill>
        </w:rPr>
        <w:t>：</w:t>
      </w:r>
    </w:p>
    <w:p>
      <w:pP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pacing w:val="106"/>
          <w:kern w:val="0"/>
          <w:sz w:val="32"/>
          <w:szCs w:val="32"/>
          <w:highlight w:val="none"/>
          <w:fitText w:val="1600" w:id="1231831253"/>
          <w14:textFill>
            <w14:solidFill>
              <w14:schemeClr w14:val="tx1"/>
            </w14:solidFill>
          </w14:textFill>
        </w:rPr>
        <w:t>项目编</w:t>
      </w:r>
      <w:r>
        <w:rPr>
          <w:rFonts w:hint="eastAsia" w:ascii="宋体" w:hAnsi="宋体" w:cs="宋体"/>
          <w:b/>
          <w:bCs/>
          <w:color w:val="000000" w:themeColor="text1"/>
          <w:spacing w:val="2"/>
          <w:kern w:val="0"/>
          <w:sz w:val="32"/>
          <w:szCs w:val="32"/>
          <w:highlight w:val="none"/>
          <w:fitText w:val="1600" w:id="1231831253"/>
          <w14:textFill>
            <w14:solidFill>
              <w14:schemeClr w14:val="tx1"/>
            </w14:solidFill>
          </w14:textFill>
        </w:rPr>
        <w:t>号</w:t>
      </w:r>
      <w:r>
        <w:rPr>
          <w:rFonts w:hint="eastAsia" w:ascii="宋体" w:hAnsi="宋体" w:cs="宋体"/>
          <w:b/>
          <w:bCs/>
          <w:color w:val="000000" w:themeColor="text1"/>
          <w:sz w:val="32"/>
          <w:szCs w:val="32"/>
          <w:highlight w:val="none"/>
          <w14:textFill>
            <w14:solidFill>
              <w14:schemeClr w14:val="tx1"/>
            </w14:solidFill>
          </w14:textFill>
        </w:rPr>
        <w:t>：</w:t>
      </w:r>
    </w:p>
    <w:p>
      <w:pPr>
        <w:pStyle w:val="9"/>
        <w:ind w:left="0"/>
        <w:rPr>
          <w:b/>
          <w:color w:val="000000" w:themeColor="text1"/>
          <w:spacing w:val="1280"/>
          <w:sz w:val="32"/>
          <w:szCs w:val="32"/>
          <w:highlight w:val="none"/>
          <w14:textFill>
            <w14:solidFill>
              <w14:schemeClr w14:val="tx1"/>
            </w14:solidFill>
          </w14:textFill>
        </w:rPr>
      </w:pPr>
      <w:r>
        <w:rPr>
          <w:b/>
          <w:color w:val="000000" w:themeColor="text1"/>
          <w:spacing w:val="106"/>
          <w:sz w:val="32"/>
          <w:szCs w:val="32"/>
          <w:highlight w:val="none"/>
          <w:lang w:val="en-US" w:bidi="ar-SA"/>
          <w14:textFill>
            <w14:solidFill>
              <w14:schemeClr w14:val="tx1"/>
            </w14:solidFill>
          </w14:textFill>
        </w:rPr>
        <w:t>包组号（如有）：</w:t>
      </w:r>
    </w:p>
    <w:p>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0"/>
          <w:kern w:val="0"/>
          <w:sz w:val="32"/>
          <w:szCs w:val="32"/>
          <w:highlight w:val="none"/>
          <w:fitText w:val="1600" w:id="1764384445"/>
          <w14:textFill>
            <w14:solidFill>
              <w14:schemeClr w14:val="tx1"/>
            </w14:solidFill>
          </w14:textFill>
        </w:rPr>
        <w:t>投标人名称</w:t>
      </w:r>
      <w:r>
        <w:rPr>
          <w:rFonts w:hint="eastAsia" w:ascii="宋体" w:hAnsi="宋体" w:cs="宋体"/>
          <w:b/>
          <w:color w:val="000000" w:themeColor="text1"/>
          <w:sz w:val="32"/>
          <w:szCs w:val="32"/>
          <w:highlight w:val="none"/>
          <w14:textFill>
            <w14:solidFill>
              <w14:schemeClr w14:val="tx1"/>
            </w14:solidFill>
          </w14:textFill>
        </w:rPr>
        <w:t>：</w:t>
      </w:r>
    </w:p>
    <w:p>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4"/>
          <w:kern w:val="0"/>
          <w:sz w:val="32"/>
          <w:szCs w:val="32"/>
          <w:highlight w:val="none"/>
          <w:fitText w:val="1600" w:id="2061173831"/>
          <w14:textFill>
            <w14:solidFill>
              <w14:schemeClr w14:val="tx1"/>
            </w14:solidFill>
          </w14:textFill>
        </w:rPr>
        <w:t xml:space="preserve">日    </w:t>
      </w:r>
      <w:r>
        <w:rPr>
          <w:rFonts w:hint="eastAsia" w:ascii="宋体" w:hAnsi="宋体" w:cs="宋体"/>
          <w:b/>
          <w:color w:val="000000" w:themeColor="text1"/>
          <w:spacing w:val="0"/>
          <w:kern w:val="0"/>
          <w:sz w:val="32"/>
          <w:szCs w:val="32"/>
          <w:highlight w:val="none"/>
          <w:fitText w:val="1600" w:id="2061173831"/>
          <w14:textFill>
            <w14:solidFill>
              <w14:schemeClr w14:val="tx1"/>
            </w14:solidFill>
          </w14:textFill>
        </w:rPr>
        <w:t>期</w:t>
      </w:r>
      <w:r>
        <w:rPr>
          <w:rFonts w:hint="eastAsia" w:ascii="宋体" w:hAnsi="宋体" w:cs="宋体"/>
          <w:b/>
          <w:color w:val="000000" w:themeColor="text1"/>
          <w:sz w:val="32"/>
          <w:szCs w:val="32"/>
          <w:highlight w:val="none"/>
          <w14:textFill>
            <w14:solidFill>
              <w14:schemeClr w14:val="tx1"/>
            </w14:solidFill>
          </w14:textFill>
        </w:rPr>
        <w:t>：</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pPr>
        <w:pStyle w:val="5"/>
        <w:widowControl w:val="0"/>
        <w:overflowPunct w:val="0"/>
        <w:spacing w:line="240" w:lineRule="auto"/>
        <w:rPr>
          <w:rFonts w:ascii="宋体" w:hAnsi="宋体"/>
          <w:color w:val="000000" w:themeColor="text1"/>
          <w:sz w:val="21"/>
          <w:szCs w:val="21"/>
          <w:highlight w:val="none"/>
          <w14:textFill>
            <w14:solidFill>
              <w14:schemeClr w14:val="tx1"/>
            </w14:solidFill>
          </w14:textFill>
        </w:rPr>
      </w:pPr>
      <w:bookmarkStart w:id="138" w:name="_Toc7938"/>
      <w:r>
        <w:rPr>
          <w:rFonts w:hint="eastAsia" w:ascii="宋体" w:hAnsi="宋体"/>
          <w:color w:val="000000" w:themeColor="text1"/>
          <w:sz w:val="21"/>
          <w:szCs w:val="21"/>
          <w:highlight w:val="none"/>
          <w14:textFill>
            <w14:solidFill>
              <w14:schemeClr w14:val="tx1"/>
            </w14:solidFill>
          </w14:textFill>
        </w:rPr>
        <w:t>附件15. 技术规格偏离表格式</w:t>
      </w:r>
      <w:bookmarkEnd w:id="138"/>
    </w:p>
    <w:p>
      <w:pPr>
        <w:jc w:val="center"/>
        <w:rPr>
          <w:rFonts w:ascii="黑体" w:eastAsia="黑体"/>
          <w:color w:val="000000" w:themeColor="text1"/>
          <w:sz w:val="28"/>
          <w:szCs w:val="28"/>
          <w:highlight w:val="none"/>
          <w14:textFill>
            <w14:solidFill>
              <w14:schemeClr w14:val="tx1"/>
            </w14:solidFill>
          </w14:textFill>
        </w:rPr>
      </w:pPr>
    </w:p>
    <w:p>
      <w:pPr>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技术规格偏离表</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CellMar>
            <w:top w:w="0" w:type="dxa"/>
            <w:left w:w="108" w:type="dxa"/>
            <w:bottom w:w="0" w:type="dxa"/>
            <w:right w:w="108" w:type="dxa"/>
          </w:tblCellMar>
        </w:tblPrEx>
        <w:trPr>
          <w:trHeight w:val="746" w:hRule="atLeast"/>
        </w:trPr>
        <w:tc>
          <w:tcPr>
            <w:tcW w:w="838"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902"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服务项目名称</w:t>
            </w:r>
          </w:p>
        </w:tc>
        <w:tc>
          <w:tcPr>
            <w:tcW w:w="1370"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采购要求</w:t>
            </w:r>
          </w:p>
        </w:tc>
        <w:tc>
          <w:tcPr>
            <w:tcW w:w="1629"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投标实际响应</w:t>
            </w:r>
          </w:p>
        </w:tc>
        <w:tc>
          <w:tcPr>
            <w:tcW w:w="1239"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是否偏离</w:t>
            </w:r>
          </w:p>
        </w:tc>
        <w:tc>
          <w:tcPr>
            <w:tcW w:w="1544" w:type="dxa"/>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000000" w:themeColor="text1"/>
                <w:szCs w:val="21"/>
                <w:highlight w:val="none"/>
                <w14:textFill>
                  <w14:solidFill>
                    <w14:schemeClr w14:val="tx1"/>
                  </w14:solidFill>
                </w14:textFill>
              </w:rPr>
            </w:pPr>
          </w:p>
        </w:tc>
        <w:tc>
          <w:tcPr>
            <w:tcW w:w="1902" w:type="dxa"/>
            <w:vAlign w:val="center"/>
          </w:tcPr>
          <w:p>
            <w:pPr>
              <w:jc w:val="center"/>
              <w:rPr>
                <w:rFonts w:ascii="宋体" w:hAnsi="宋体"/>
                <w:color w:val="000000" w:themeColor="text1"/>
                <w:szCs w:val="21"/>
                <w:highlight w:val="none"/>
                <w14:textFill>
                  <w14:solidFill>
                    <w14:schemeClr w14:val="tx1"/>
                  </w14:solidFill>
                </w14:textFill>
              </w:rPr>
            </w:pPr>
          </w:p>
        </w:tc>
        <w:tc>
          <w:tcPr>
            <w:tcW w:w="1370" w:type="dxa"/>
            <w:vAlign w:val="center"/>
          </w:tcPr>
          <w:p>
            <w:pPr>
              <w:jc w:val="center"/>
              <w:rPr>
                <w:rFonts w:ascii="宋体" w:hAnsi="宋体"/>
                <w:color w:val="000000" w:themeColor="text1"/>
                <w:szCs w:val="21"/>
                <w:highlight w:val="none"/>
                <w14:textFill>
                  <w14:solidFill>
                    <w14:schemeClr w14:val="tx1"/>
                  </w14:solidFill>
                </w14:textFill>
              </w:rPr>
            </w:pPr>
          </w:p>
        </w:tc>
        <w:tc>
          <w:tcPr>
            <w:tcW w:w="1629" w:type="dxa"/>
            <w:vAlign w:val="center"/>
          </w:tcPr>
          <w:p>
            <w:pPr>
              <w:jc w:val="center"/>
              <w:rPr>
                <w:rFonts w:ascii="宋体" w:hAnsi="宋体"/>
                <w:color w:val="000000" w:themeColor="text1"/>
                <w:szCs w:val="21"/>
                <w:highlight w:val="none"/>
                <w14:textFill>
                  <w14:solidFill>
                    <w14:schemeClr w14:val="tx1"/>
                  </w14:solidFill>
                </w14:textFill>
              </w:rPr>
            </w:pPr>
          </w:p>
        </w:tc>
        <w:tc>
          <w:tcPr>
            <w:tcW w:w="1239" w:type="dxa"/>
            <w:vAlign w:val="center"/>
          </w:tcPr>
          <w:p>
            <w:pPr>
              <w:jc w:val="center"/>
              <w:rPr>
                <w:rFonts w:ascii="宋体" w:hAnsi="宋体"/>
                <w:color w:val="000000" w:themeColor="text1"/>
                <w:szCs w:val="21"/>
                <w:highlight w:val="none"/>
                <w14:textFill>
                  <w14:solidFill>
                    <w14:schemeClr w14:val="tx1"/>
                  </w14:solidFill>
                </w14:textFill>
              </w:rPr>
            </w:pPr>
          </w:p>
        </w:tc>
        <w:tc>
          <w:tcPr>
            <w:tcW w:w="1544"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000000" w:themeColor="text1"/>
                <w:szCs w:val="21"/>
                <w:highlight w:val="none"/>
                <w14:textFill>
                  <w14:solidFill>
                    <w14:schemeClr w14:val="tx1"/>
                  </w14:solidFill>
                </w14:textFill>
              </w:rPr>
            </w:pPr>
          </w:p>
        </w:tc>
        <w:tc>
          <w:tcPr>
            <w:tcW w:w="1902" w:type="dxa"/>
            <w:vAlign w:val="center"/>
          </w:tcPr>
          <w:p>
            <w:pPr>
              <w:jc w:val="center"/>
              <w:rPr>
                <w:rFonts w:ascii="宋体" w:hAnsi="宋体"/>
                <w:color w:val="000000" w:themeColor="text1"/>
                <w:szCs w:val="21"/>
                <w:highlight w:val="none"/>
                <w14:textFill>
                  <w14:solidFill>
                    <w14:schemeClr w14:val="tx1"/>
                  </w14:solidFill>
                </w14:textFill>
              </w:rPr>
            </w:pPr>
          </w:p>
        </w:tc>
        <w:tc>
          <w:tcPr>
            <w:tcW w:w="1370" w:type="dxa"/>
            <w:vAlign w:val="center"/>
          </w:tcPr>
          <w:p>
            <w:pPr>
              <w:jc w:val="center"/>
              <w:rPr>
                <w:rFonts w:ascii="宋体" w:hAnsi="宋体"/>
                <w:color w:val="000000" w:themeColor="text1"/>
                <w:szCs w:val="21"/>
                <w:highlight w:val="none"/>
                <w14:textFill>
                  <w14:solidFill>
                    <w14:schemeClr w14:val="tx1"/>
                  </w14:solidFill>
                </w14:textFill>
              </w:rPr>
            </w:pPr>
          </w:p>
        </w:tc>
        <w:tc>
          <w:tcPr>
            <w:tcW w:w="1629" w:type="dxa"/>
            <w:vAlign w:val="center"/>
          </w:tcPr>
          <w:p>
            <w:pPr>
              <w:jc w:val="center"/>
              <w:rPr>
                <w:rFonts w:ascii="宋体" w:hAnsi="宋体"/>
                <w:color w:val="000000" w:themeColor="text1"/>
                <w:szCs w:val="21"/>
                <w:highlight w:val="none"/>
                <w14:textFill>
                  <w14:solidFill>
                    <w14:schemeClr w14:val="tx1"/>
                  </w14:solidFill>
                </w14:textFill>
              </w:rPr>
            </w:pPr>
          </w:p>
        </w:tc>
        <w:tc>
          <w:tcPr>
            <w:tcW w:w="1239" w:type="dxa"/>
            <w:vAlign w:val="center"/>
          </w:tcPr>
          <w:p>
            <w:pPr>
              <w:jc w:val="center"/>
              <w:rPr>
                <w:rFonts w:ascii="宋体" w:hAnsi="宋体"/>
                <w:color w:val="000000" w:themeColor="text1"/>
                <w:szCs w:val="21"/>
                <w:highlight w:val="none"/>
                <w14:textFill>
                  <w14:solidFill>
                    <w14:schemeClr w14:val="tx1"/>
                  </w14:solidFill>
                </w14:textFill>
              </w:rPr>
            </w:pPr>
          </w:p>
        </w:tc>
        <w:tc>
          <w:tcPr>
            <w:tcW w:w="1544"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000000" w:themeColor="text1"/>
                <w:szCs w:val="21"/>
                <w:highlight w:val="none"/>
                <w14:textFill>
                  <w14:solidFill>
                    <w14:schemeClr w14:val="tx1"/>
                  </w14:solidFill>
                </w14:textFill>
              </w:rPr>
            </w:pPr>
          </w:p>
        </w:tc>
        <w:tc>
          <w:tcPr>
            <w:tcW w:w="1902" w:type="dxa"/>
            <w:vAlign w:val="center"/>
          </w:tcPr>
          <w:p>
            <w:pPr>
              <w:jc w:val="center"/>
              <w:rPr>
                <w:rFonts w:ascii="宋体" w:hAnsi="宋体"/>
                <w:color w:val="000000" w:themeColor="text1"/>
                <w:szCs w:val="21"/>
                <w:highlight w:val="none"/>
                <w14:textFill>
                  <w14:solidFill>
                    <w14:schemeClr w14:val="tx1"/>
                  </w14:solidFill>
                </w14:textFill>
              </w:rPr>
            </w:pPr>
          </w:p>
        </w:tc>
        <w:tc>
          <w:tcPr>
            <w:tcW w:w="1370" w:type="dxa"/>
            <w:vAlign w:val="center"/>
          </w:tcPr>
          <w:p>
            <w:pPr>
              <w:jc w:val="center"/>
              <w:rPr>
                <w:rFonts w:ascii="宋体" w:hAnsi="宋体"/>
                <w:color w:val="000000" w:themeColor="text1"/>
                <w:szCs w:val="21"/>
                <w:highlight w:val="none"/>
                <w14:textFill>
                  <w14:solidFill>
                    <w14:schemeClr w14:val="tx1"/>
                  </w14:solidFill>
                </w14:textFill>
              </w:rPr>
            </w:pPr>
          </w:p>
        </w:tc>
        <w:tc>
          <w:tcPr>
            <w:tcW w:w="1629" w:type="dxa"/>
            <w:vAlign w:val="center"/>
          </w:tcPr>
          <w:p>
            <w:pPr>
              <w:jc w:val="center"/>
              <w:rPr>
                <w:rFonts w:ascii="宋体" w:hAnsi="宋体"/>
                <w:color w:val="000000" w:themeColor="text1"/>
                <w:szCs w:val="21"/>
                <w:highlight w:val="none"/>
                <w14:textFill>
                  <w14:solidFill>
                    <w14:schemeClr w14:val="tx1"/>
                  </w14:solidFill>
                </w14:textFill>
              </w:rPr>
            </w:pPr>
          </w:p>
        </w:tc>
        <w:tc>
          <w:tcPr>
            <w:tcW w:w="1239" w:type="dxa"/>
            <w:vAlign w:val="center"/>
          </w:tcPr>
          <w:p>
            <w:pPr>
              <w:jc w:val="center"/>
              <w:rPr>
                <w:rFonts w:ascii="宋体" w:hAnsi="宋体"/>
                <w:color w:val="000000" w:themeColor="text1"/>
                <w:szCs w:val="21"/>
                <w:highlight w:val="none"/>
                <w14:textFill>
                  <w14:solidFill>
                    <w14:schemeClr w14:val="tx1"/>
                  </w14:solidFill>
                </w14:textFill>
              </w:rPr>
            </w:pPr>
          </w:p>
        </w:tc>
        <w:tc>
          <w:tcPr>
            <w:tcW w:w="1544"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000000" w:themeColor="text1"/>
                <w:szCs w:val="21"/>
                <w:highlight w:val="none"/>
                <w14:textFill>
                  <w14:solidFill>
                    <w14:schemeClr w14:val="tx1"/>
                  </w14:solidFill>
                </w14:textFill>
              </w:rPr>
            </w:pPr>
          </w:p>
        </w:tc>
        <w:tc>
          <w:tcPr>
            <w:tcW w:w="1902" w:type="dxa"/>
            <w:vAlign w:val="center"/>
          </w:tcPr>
          <w:p>
            <w:pPr>
              <w:jc w:val="center"/>
              <w:rPr>
                <w:rFonts w:ascii="宋体" w:hAnsi="宋体"/>
                <w:color w:val="000000" w:themeColor="text1"/>
                <w:szCs w:val="21"/>
                <w:highlight w:val="none"/>
                <w14:textFill>
                  <w14:solidFill>
                    <w14:schemeClr w14:val="tx1"/>
                  </w14:solidFill>
                </w14:textFill>
              </w:rPr>
            </w:pPr>
          </w:p>
        </w:tc>
        <w:tc>
          <w:tcPr>
            <w:tcW w:w="1370" w:type="dxa"/>
            <w:vAlign w:val="center"/>
          </w:tcPr>
          <w:p>
            <w:pPr>
              <w:jc w:val="center"/>
              <w:rPr>
                <w:rFonts w:ascii="宋体" w:hAnsi="宋体"/>
                <w:color w:val="000000" w:themeColor="text1"/>
                <w:szCs w:val="21"/>
                <w:highlight w:val="none"/>
                <w14:textFill>
                  <w14:solidFill>
                    <w14:schemeClr w14:val="tx1"/>
                  </w14:solidFill>
                </w14:textFill>
              </w:rPr>
            </w:pPr>
          </w:p>
        </w:tc>
        <w:tc>
          <w:tcPr>
            <w:tcW w:w="1629" w:type="dxa"/>
            <w:vAlign w:val="center"/>
          </w:tcPr>
          <w:p>
            <w:pPr>
              <w:jc w:val="center"/>
              <w:rPr>
                <w:rFonts w:ascii="宋体" w:hAnsi="宋体"/>
                <w:color w:val="000000" w:themeColor="text1"/>
                <w:szCs w:val="21"/>
                <w:highlight w:val="none"/>
                <w14:textFill>
                  <w14:solidFill>
                    <w14:schemeClr w14:val="tx1"/>
                  </w14:solidFill>
                </w14:textFill>
              </w:rPr>
            </w:pPr>
          </w:p>
        </w:tc>
        <w:tc>
          <w:tcPr>
            <w:tcW w:w="1239" w:type="dxa"/>
            <w:vAlign w:val="center"/>
          </w:tcPr>
          <w:p>
            <w:pPr>
              <w:jc w:val="center"/>
              <w:rPr>
                <w:rFonts w:ascii="宋体" w:hAnsi="宋体"/>
                <w:color w:val="000000" w:themeColor="text1"/>
                <w:szCs w:val="21"/>
                <w:highlight w:val="none"/>
                <w14:textFill>
                  <w14:solidFill>
                    <w14:schemeClr w14:val="tx1"/>
                  </w14:solidFill>
                </w14:textFill>
              </w:rPr>
            </w:pPr>
          </w:p>
        </w:tc>
        <w:tc>
          <w:tcPr>
            <w:tcW w:w="1544"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000000" w:themeColor="text1"/>
                <w:szCs w:val="21"/>
                <w:highlight w:val="none"/>
                <w14:textFill>
                  <w14:solidFill>
                    <w14:schemeClr w14:val="tx1"/>
                  </w14:solidFill>
                </w14:textFill>
              </w:rPr>
            </w:pPr>
          </w:p>
        </w:tc>
        <w:tc>
          <w:tcPr>
            <w:tcW w:w="1902" w:type="dxa"/>
            <w:vAlign w:val="center"/>
          </w:tcPr>
          <w:p>
            <w:pPr>
              <w:jc w:val="center"/>
              <w:rPr>
                <w:rFonts w:ascii="宋体" w:hAnsi="宋体"/>
                <w:color w:val="000000" w:themeColor="text1"/>
                <w:szCs w:val="21"/>
                <w:highlight w:val="none"/>
                <w14:textFill>
                  <w14:solidFill>
                    <w14:schemeClr w14:val="tx1"/>
                  </w14:solidFill>
                </w14:textFill>
              </w:rPr>
            </w:pPr>
          </w:p>
        </w:tc>
        <w:tc>
          <w:tcPr>
            <w:tcW w:w="1370" w:type="dxa"/>
            <w:vAlign w:val="center"/>
          </w:tcPr>
          <w:p>
            <w:pPr>
              <w:jc w:val="center"/>
              <w:rPr>
                <w:rFonts w:ascii="宋体" w:hAnsi="宋体"/>
                <w:color w:val="000000" w:themeColor="text1"/>
                <w:szCs w:val="21"/>
                <w:highlight w:val="none"/>
                <w14:textFill>
                  <w14:solidFill>
                    <w14:schemeClr w14:val="tx1"/>
                  </w14:solidFill>
                </w14:textFill>
              </w:rPr>
            </w:pPr>
          </w:p>
        </w:tc>
        <w:tc>
          <w:tcPr>
            <w:tcW w:w="1629" w:type="dxa"/>
            <w:vAlign w:val="center"/>
          </w:tcPr>
          <w:p>
            <w:pPr>
              <w:jc w:val="center"/>
              <w:rPr>
                <w:rFonts w:ascii="宋体" w:hAnsi="宋体"/>
                <w:color w:val="000000" w:themeColor="text1"/>
                <w:szCs w:val="21"/>
                <w:highlight w:val="none"/>
                <w14:textFill>
                  <w14:solidFill>
                    <w14:schemeClr w14:val="tx1"/>
                  </w14:solidFill>
                </w14:textFill>
              </w:rPr>
            </w:pPr>
          </w:p>
        </w:tc>
        <w:tc>
          <w:tcPr>
            <w:tcW w:w="1239" w:type="dxa"/>
            <w:vAlign w:val="center"/>
          </w:tcPr>
          <w:p>
            <w:pPr>
              <w:jc w:val="center"/>
              <w:rPr>
                <w:rFonts w:ascii="宋体" w:hAnsi="宋体"/>
                <w:color w:val="000000" w:themeColor="text1"/>
                <w:szCs w:val="21"/>
                <w:highlight w:val="none"/>
                <w14:textFill>
                  <w14:solidFill>
                    <w14:schemeClr w14:val="tx1"/>
                  </w14:solidFill>
                </w14:textFill>
              </w:rPr>
            </w:pPr>
          </w:p>
        </w:tc>
        <w:tc>
          <w:tcPr>
            <w:tcW w:w="1544"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000000" w:themeColor="text1"/>
                <w:szCs w:val="21"/>
                <w:highlight w:val="none"/>
                <w14:textFill>
                  <w14:solidFill>
                    <w14:schemeClr w14:val="tx1"/>
                  </w14:solidFill>
                </w14:textFill>
              </w:rPr>
            </w:pPr>
          </w:p>
        </w:tc>
        <w:tc>
          <w:tcPr>
            <w:tcW w:w="1902" w:type="dxa"/>
            <w:vAlign w:val="center"/>
          </w:tcPr>
          <w:p>
            <w:pPr>
              <w:jc w:val="center"/>
              <w:rPr>
                <w:rFonts w:ascii="宋体" w:hAnsi="宋体"/>
                <w:color w:val="000000" w:themeColor="text1"/>
                <w:szCs w:val="21"/>
                <w:highlight w:val="none"/>
                <w14:textFill>
                  <w14:solidFill>
                    <w14:schemeClr w14:val="tx1"/>
                  </w14:solidFill>
                </w14:textFill>
              </w:rPr>
            </w:pPr>
          </w:p>
        </w:tc>
        <w:tc>
          <w:tcPr>
            <w:tcW w:w="1370" w:type="dxa"/>
            <w:vAlign w:val="center"/>
          </w:tcPr>
          <w:p>
            <w:pPr>
              <w:jc w:val="center"/>
              <w:rPr>
                <w:rFonts w:ascii="宋体" w:hAnsi="宋体"/>
                <w:color w:val="000000" w:themeColor="text1"/>
                <w:szCs w:val="21"/>
                <w:highlight w:val="none"/>
                <w14:textFill>
                  <w14:solidFill>
                    <w14:schemeClr w14:val="tx1"/>
                  </w14:solidFill>
                </w14:textFill>
              </w:rPr>
            </w:pPr>
          </w:p>
        </w:tc>
        <w:tc>
          <w:tcPr>
            <w:tcW w:w="1629" w:type="dxa"/>
            <w:vAlign w:val="center"/>
          </w:tcPr>
          <w:p>
            <w:pPr>
              <w:jc w:val="center"/>
              <w:rPr>
                <w:rFonts w:ascii="宋体" w:hAnsi="宋体"/>
                <w:color w:val="000000" w:themeColor="text1"/>
                <w:szCs w:val="21"/>
                <w:highlight w:val="none"/>
                <w14:textFill>
                  <w14:solidFill>
                    <w14:schemeClr w14:val="tx1"/>
                  </w14:solidFill>
                </w14:textFill>
              </w:rPr>
            </w:pPr>
          </w:p>
        </w:tc>
        <w:tc>
          <w:tcPr>
            <w:tcW w:w="1239" w:type="dxa"/>
            <w:vAlign w:val="center"/>
          </w:tcPr>
          <w:p>
            <w:pPr>
              <w:jc w:val="center"/>
              <w:rPr>
                <w:rFonts w:ascii="宋体" w:hAnsi="宋体"/>
                <w:color w:val="000000" w:themeColor="text1"/>
                <w:szCs w:val="21"/>
                <w:highlight w:val="none"/>
                <w14:textFill>
                  <w14:solidFill>
                    <w14:schemeClr w14:val="tx1"/>
                  </w14:solidFill>
                </w14:textFill>
              </w:rPr>
            </w:pPr>
          </w:p>
        </w:tc>
        <w:tc>
          <w:tcPr>
            <w:tcW w:w="1544"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000000" w:themeColor="text1"/>
                <w:szCs w:val="21"/>
                <w:highlight w:val="none"/>
                <w14:textFill>
                  <w14:solidFill>
                    <w14:schemeClr w14:val="tx1"/>
                  </w14:solidFill>
                </w14:textFill>
              </w:rPr>
            </w:pPr>
          </w:p>
        </w:tc>
        <w:tc>
          <w:tcPr>
            <w:tcW w:w="1902" w:type="dxa"/>
            <w:vAlign w:val="center"/>
          </w:tcPr>
          <w:p>
            <w:pPr>
              <w:jc w:val="center"/>
              <w:rPr>
                <w:rFonts w:ascii="宋体" w:hAnsi="宋体"/>
                <w:color w:val="000000" w:themeColor="text1"/>
                <w:szCs w:val="21"/>
                <w:highlight w:val="none"/>
                <w14:textFill>
                  <w14:solidFill>
                    <w14:schemeClr w14:val="tx1"/>
                  </w14:solidFill>
                </w14:textFill>
              </w:rPr>
            </w:pPr>
          </w:p>
        </w:tc>
        <w:tc>
          <w:tcPr>
            <w:tcW w:w="1370" w:type="dxa"/>
            <w:vAlign w:val="center"/>
          </w:tcPr>
          <w:p>
            <w:pPr>
              <w:jc w:val="center"/>
              <w:rPr>
                <w:rFonts w:ascii="宋体" w:hAnsi="宋体"/>
                <w:color w:val="000000" w:themeColor="text1"/>
                <w:szCs w:val="21"/>
                <w:highlight w:val="none"/>
                <w14:textFill>
                  <w14:solidFill>
                    <w14:schemeClr w14:val="tx1"/>
                  </w14:solidFill>
                </w14:textFill>
              </w:rPr>
            </w:pPr>
          </w:p>
        </w:tc>
        <w:tc>
          <w:tcPr>
            <w:tcW w:w="1629" w:type="dxa"/>
            <w:vAlign w:val="center"/>
          </w:tcPr>
          <w:p>
            <w:pPr>
              <w:jc w:val="center"/>
              <w:rPr>
                <w:rFonts w:ascii="宋体" w:hAnsi="宋体"/>
                <w:color w:val="000000" w:themeColor="text1"/>
                <w:szCs w:val="21"/>
                <w:highlight w:val="none"/>
                <w14:textFill>
                  <w14:solidFill>
                    <w14:schemeClr w14:val="tx1"/>
                  </w14:solidFill>
                </w14:textFill>
              </w:rPr>
            </w:pPr>
          </w:p>
        </w:tc>
        <w:tc>
          <w:tcPr>
            <w:tcW w:w="1239" w:type="dxa"/>
            <w:vAlign w:val="center"/>
          </w:tcPr>
          <w:p>
            <w:pPr>
              <w:jc w:val="center"/>
              <w:rPr>
                <w:rFonts w:ascii="宋体" w:hAnsi="宋体"/>
                <w:color w:val="000000" w:themeColor="text1"/>
                <w:szCs w:val="21"/>
                <w:highlight w:val="none"/>
                <w14:textFill>
                  <w14:solidFill>
                    <w14:schemeClr w14:val="tx1"/>
                  </w14:solidFill>
                </w14:textFill>
              </w:rPr>
            </w:pPr>
          </w:p>
        </w:tc>
        <w:tc>
          <w:tcPr>
            <w:tcW w:w="1544"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000000" w:themeColor="text1"/>
                <w:szCs w:val="21"/>
                <w:highlight w:val="none"/>
                <w14:textFill>
                  <w14:solidFill>
                    <w14:schemeClr w14:val="tx1"/>
                  </w14:solidFill>
                </w14:textFill>
              </w:rPr>
            </w:pPr>
          </w:p>
        </w:tc>
        <w:tc>
          <w:tcPr>
            <w:tcW w:w="1902" w:type="dxa"/>
            <w:vAlign w:val="center"/>
          </w:tcPr>
          <w:p>
            <w:pPr>
              <w:jc w:val="center"/>
              <w:rPr>
                <w:rFonts w:ascii="宋体" w:hAnsi="宋体"/>
                <w:color w:val="000000" w:themeColor="text1"/>
                <w:szCs w:val="21"/>
                <w:highlight w:val="none"/>
                <w14:textFill>
                  <w14:solidFill>
                    <w14:schemeClr w14:val="tx1"/>
                  </w14:solidFill>
                </w14:textFill>
              </w:rPr>
            </w:pPr>
          </w:p>
        </w:tc>
        <w:tc>
          <w:tcPr>
            <w:tcW w:w="1370" w:type="dxa"/>
            <w:vAlign w:val="center"/>
          </w:tcPr>
          <w:p>
            <w:pPr>
              <w:jc w:val="center"/>
              <w:rPr>
                <w:rFonts w:ascii="宋体" w:hAnsi="宋体"/>
                <w:color w:val="000000" w:themeColor="text1"/>
                <w:szCs w:val="21"/>
                <w:highlight w:val="none"/>
                <w14:textFill>
                  <w14:solidFill>
                    <w14:schemeClr w14:val="tx1"/>
                  </w14:solidFill>
                </w14:textFill>
              </w:rPr>
            </w:pPr>
          </w:p>
        </w:tc>
        <w:tc>
          <w:tcPr>
            <w:tcW w:w="1629" w:type="dxa"/>
            <w:vAlign w:val="center"/>
          </w:tcPr>
          <w:p>
            <w:pPr>
              <w:jc w:val="center"/>
              <w:rPr>
                <w:rFonts w:ascii="宋体" w:hAnsi="宋体"/>
                <w:color w:val="000000" w:themeColor="text1"/>
                <w:szCs w:val="21"/>
                <w:highlight w:val="none"/>
                <w14:textFill>
                  <w14:solidFill>
                    <w14:schemeClr w14:val="tx1"/>
                  </w14:solidFill>
                </w14:textFill>
              </w:rPr>
            </w:pPr>
          </w:p>
        </w:tc>
        <w:tc>
          <w:tcPr>
            <w:tcW w:w="1239" w:type="dxa"/>
            <w:vAlign w:val="center"/>
          </w:tcPr>
          <w:p>
            <w:pPr>
              <w:jc w:val="center"/>
              <w:rPr>
                <w:rFonts w:ascii="宋体" w:hAnsi="宋体"/>
                <w:color w:val="000000" w:themeColor="text1"/>
                <w:szCs w:val="21"/>
                <w:highlight w:val="none"/>
                <w14:textFill>
                  <w14:solidFill>
                    <w14:schemeClr w14:val="tx1"/>
                  </w14:solidFill>
                </w14:textFill>
              </w:rPr>
            </w:pPr>
          </w:p>
        </w:tc>
        <w:tc>
          <w:tcPr>
            <w:tcW w:w="1544"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000000" w:themeColor="text1"/>
                <w:szCs w:val="21"/>
                <w:highlight w:val="none"/>
                <w14:textFill>
                  <w14:solidFill>
                    <w14:schemeClr w14:val="tx1"/>
                  </w14:solidFill>
                </w14:textFill>
              </w:rPr>
            </w:pPr>
          </w:p>
        </w:tc>
        <w:tc>
          <w:tcPr>
            <w:tcW w:w="1902" w:type="dxa"/>
            <w:vAlign w:val="center"/>
          </w:tcPr>
          <w:p>
            <w:pPr>
              <w:jc w:val="center"/>
              <w:rPr>
                <w:rFonts w:ascii="宋体" w:hAnsi="宋体"/>
                <w:color w:val="000000" w:themeColor="text1"/>
                <w:szCs w:val="21"/>
                <w:highlight w:val="none"/>
                <w14:textFill>
                  <w14:solidFill>
                    <w14:schemeClr w14:val="tx1"/>
                  </w14:solidFill>
                </w14:textFill>
              </w:rPr>
            </w:pPr>
          </w:p>
        </w:tc>
        <w:tc>
          <w:tcPr>
            <w:tcW w:w="1370" w:type="dxa"/>
            <w:vAlign w:val="center"/>
          </w:tcPr>
          <w:p>
            <w:pPr>
              <w:jc w:val="center"/>
              <w:rPr>
                <w:rFonts w:ascii="宋体" w:hAnsi="宋体"/>
                <w:color w:val="000000" w:themeColor="text1"/>
                <w:szCs w:val="21"/>
                <w:highlight w:val="none"/>
                <w14:textFill>
                  <w14:solidFill>
                    <w14:schemeClr w14:val="tx1"/>
                  </w14:solidFill>
                </w14:textFill>
              </w:rPr>
            </w:pPr>
          </w:p>
        </w:tc>
        <w:tc>
          <w:tcPr>
            <w:tcW w:w="1629" w:type="dxa"/>
            <w:vAlign w:val="center"/>
          </w:tcPr>
          <w:p>
            <w:pPr>
              <w:jc w:val="center"/>
              <w:rPr>
                <w:rFonts w:ascii="宋体" w:hAnsi="宋体"/>
                <w:color w:val="000000" w:themeColor="text1"/>
                <w:szCs w:val="21"/>
                <w:highlight w:val="none"/>
                <w14:textFill>
                  <w14:solidFill>
                    <w14:schemeClr w14:val="tx1"/>
                  </w14:solidFill>
                </w14:textFill>
              </w:rPr>
            </w:pPr>
          </w:p>
        </w:tc>
        <w:tc>
          <w:tcPr>
            <w:tcW w:w="1239" w:type="dxa"/>
            <w:vAlign w:val="center"/>
          </w:tcPr>
          <w:p>
            <w:pPr>
              <w:jc w:val="center"/>
              <w:rPr>
                <w:rFonts w:ascii="宋体" w:hAnsi="宋体"/>
                <w:color w:val="000000" w:themeColor="text1"/>
                <w:szCs w:val="21"/>
                <w:highlight w:val="none"/>
                <w14:textFill>
                  <w14:solidFill>
                    <w14:schemeClr w14:val="tx1"/>
                  </w14:solidFill>
                </w14:textFill>
              </w:rPr>
            </w:pPr>
          </w:p>
        </w:tc>
        <w:tc>
          <w:tcPr>
            <w:tcW w:w="1544" w:type="dxa"/>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000000" w:themeColor="text1"/>
                <w:szCs w:val="21"/>
                <w:highlight w:val="none"/>
                <w14:textFill>
                  <w14:solidFill>
                    <w14:schemeClr w14:val="tx1"/>
                  </w14:solidFill>
                </w14:textFill>
              </w:rPr>
            </w:pPr>
          </w:p>
        </w:tc>
        <w:tc>
          <w:tcPr>
            <w:tcW w:w="1902" w:type="dxa"/>
            <w:vAlign w:val="center"/>
          </w:tcPr>
          <w:p>
            <w:pPr>
              <w:jc w:val="center"/>
              <w:rPr>
                <w:rFonts w:ascii="宋体" w:hAnsi="宋体"/>
                <w:color w:val="000000" w:themeColor="text1"/>
                <w:szCs w:val="21"/>
                <w:highlight w:val="none"/>
                <w14:textFill>
                  <w14:solidFill>
                    <w14:schemeClr w14:val="tx1"/>
                  </w14:solidFill>
                </w14:textFill>
              </w:rPr>
            </w:pPr>
          </w:p>
        </w:tc>
        <w:tc>
          <w:tcPr>
            <w:tcW w:w="1370" w:type="dxa"/>
            <w:vAlign w:val="center"/>
          </w:tcPr>
          <w:p>
            <w:pPr>
              <w:jc w:val="center"/>
              <w:rPr>
                <w:rFonts w:ascii="宋体" w:hAnsi="宋体"/>
                <w:color w:val="000000" w:themeColor="text1"/>
                <w:szCs w:val="21"/>
                <w:highlight w:val="none"/>
                <w14:textFill>
                  <w14:solidFill>
                    <w14:schemeClr w14:val="tx1"/>
                  </w14:solidFill>
                </w14:textFill>
              </w:rPr>
            </w:pPr>
          </w:p>
        </w:tc>
        <w:tc>
          <w:tcPr>
            <w:tcW w:w="1629" w:type="dxa"/>
            <w:vAlign w:val="center"/>
          </w:tcPr>
          <w:p>
            <w:pPr>
              <w:jc w:val="center"/>
              <w:rPr>
                <w:rFonts w:ascii="宋体" w:hAnsi="宋体"/>
                <w:color w:val="000000" w:themeColor="text1"/>
                <w:szCs w:val="21"/>
                <w:highlight w:val="none"/>
                <w14:textFill>
                  <w14:solidFill>
                    <w14:schemeClr w14:val="tx1"/>
                  </w14:solidFill>
                </w14:textFill>
              </w:rPr>
            </w:pPr>
          </w:p>
        </w:tc>
        <w:tc>
          <w:tcPr>
            <w:tcW w:w="1239" w:type="dxa"/>
            <w:vAlign w:val="center"/>
          </w:tcPr>
          <w:p>
            <w:pPr>
              <w:jc w:val="center"/>
              <w:rPr>
                <w:rFonts w:ascii="宋体" w:hAnsi="宋体"/>
                <w:color w:val="000000" w:themeColor="text1"/>
                <w:szCs w:val="21"/>
                <w:highlight w:val="none"/>
                <w14:textFill>
                  <w14:solidFill>
                    <w14:schemeClr w14:val="tx1"/>
                  </w14:solidFill>
                </w14:textFill>
              </w:rPr>
            </w:pPr>
          </w:p>
        </w:tc>
        <w:tc>
          <w:tcPr>
            <w:tcW w:w="1544" w:type="dxa"/>
            <w:vAlign w:val="center"/>
          </w:tcPr>
          <w:p>
            <w:pPr>
              <w:jc w:val="center"/>
              <w:rPr>
                <w:rFonts w:ascii="宋体" w:hAnsi="宋体"/>
                <w:color w:val="000000" w:themeColor="text1"/>
                <w:szCs w:val="21"/>
                <w:highlight w:val="none"/>
                <w14:textFill>
                  <w14:solidFill>
                    <w14:schemeClr w14:val="tx1"/>
                  </w14:solidFill>
                </w14:textFill>
              </w:rPr>
            </w:pPr>
          </w:p>
        </w:tc>
      </w:tr>
    </w:tbl>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投标人代表签字：</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投标人盖章：</w:t>
      </w:r>
    </w:p>
    <w:p>
      <w:pPr>
        <w:ind w:firstLine="178" w:firstLineChars="85"/>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w:t>
      </w:r>
      <w:r>
        <w:rPr>
          <w:rFonts w:hint="eastAsia" w:hAnsi="宋体" w:cs="宋体"/>
          <w:color w:val="000000" w:themeColor="text1"/>
          <w:szCs w:val="21"/>
          <w:highlight w:val="none"/>
          <w14:textFill>
            <w14:solidFill>
              <w14:schemeClr w14:val="tx1"/>
            </w14:solidFill>
          </w14:textFill>
        </w:rPr>
        <w:t>不论出于何种原因此表未填写</w:t>
      </w:r>
      <w:r>
        <w:rPr>
          <w:rFonts w:hint="eastAsia" w:ascii="宋体" w:hAnsi="宋体"/>
          <w:color w:val="000000" w:themeColor="text1"/>
          <w:szCs w:val="21"/>
          <w:highlight w:val="none"/>
          <w14:textFill>
            <w14:solidFill>
              <w14:schemeClr w14:val="tx1"/>
            </w14:solidFill>
          </w14:textFill>
        </w:rPr>
        <w:t>完整</w:t>
      </w:r>
      <w:r>
        <w:rPr>
          <w:rFonts w:hint="eastAsia" w:hAnsi="宋体" w:cs="宋体"/>
          <w:color w:val="000000" w:themeColor="text1"/>
          <w:szCs w:val="21"/>
          <w:highlight w:val="none"/>
          <w14:textFill>
            <w14:solidFill>
              <w14:schemeClr w14:val="tx1"/>
            </w14:solidFill>
          </w14:textFill>
        </w:rPr>
        <w:t>，投标人都被认为已清楚了解采购文件“技术需求书”的内容并对采购人所需的服务要求作全面响应，投标人必须承担完成“技术需求书”所描述内容的义务</w:t>
      </w:r>
      <w:r>
        <w:rPr>
          <w:rFonts w:hint="eastAsia" w:ascii="宋体" w:hAnsi="宋体"/>
          <w:color w:val="000000" w:themeColor="text1"/>
          <w:szCs w:val="21"/>
          <w:highlight w:val="none"/>
          <w14:textFill>
            <w14:solidFill>
              <w14:schemeClr w14:val="tx1"/>
            </w14:solidFill>
          </w14:textFill>
        </w:rPr>
        <w:t>，因此对投标人投标产生负面影响的，投标人自行承担后果。</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hAnsi="宋体" w:cs="宋体"/>
          <w:color w:val="000000" w:themeColor="text1"/>
          <w:szCs w:val="21"/>
          <w:highlight w:val="none"/>
          <w14:textFill>
            <w14:solidFill>
              <w14:schemeClr w14:val="tx1"/>
            </w14:solidFill>
          </w14:textFill>
        </w:rPr>
        <w:t>如有偏离，应在“偏离情况”栏内注明“正”、“负”或“无”，并在“说明”栏内予以说明。</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w:t>
      </w:r>
      <w:r>
        <w:rPr>
          <w:rFonts w:hint="eastAsia" w:hAnsi="宋体" w:cs="宋体"/>
          <w:color w:val="000000" w:themeColor="text1"/>
          <w:szCs w:val="21"/>
          <w:highlight w:val="none"/>
          <w14:textFill>
            <w14:solidFill>
              <w14:schemeClr w14:val="tx1"/>
            </w14:solidFill>
          </w14:textFill>
        </w:rPr>
        <w:t>如投标人差异内容较多可另附页说明。</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r>
        <w:rPr>
          <w:rFonts w:hint="eastAsia" w:hAnsi="宋体" w:cs="宋体"/>
          <w:color w:val="000000" w:themeColor="text1"/>
          <w:szCs w:val="21"/>
          <w:highlight w:val="none"/>
          <w14:textFill>
            <w14:solidFill>
              <w14:schemeClr w14:val="tx1"/>
            </w14:solidFill>
          </w14:textFill>
        </w:rPr>
        <w:t>如投标人对用户需求书商务要求的条款全部响应的，也可以在表格下面用文字总括性的说明。</w:t>
      </w:r>
    </w:p>
    <w:p>
      <w:pPr>
        <w:rPr>
          <w:rFonts w:ascii="宋体" w:hAnsi="宋体"/>
          <w:color w:val="000000" w:themeColor="text1"/>
          <w:szCs w:val="21"/>
          <w:highlight w:val="none"/>
          <w14:textFill>
            <w14:solidFill>
              <w14:schemeClr w14:val="tx1"/>
            </w14:solidFill>
          </w14:textFill>
        </w:rPr>
      </w:pPr>
    </w:p>
    <w:p>
      <w:pPr>
        <w:adjustRightInd/>
        <w:snapToGrid/>
        <w:spacing w:line="276" w:lineRule="auto"/>
        <w:rPr>
          <w:color w:val="000000" w:themeColor="text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bookmarkStart w:id="139" w:name="_Toc17691"/>
      <w:r>
        <w:rPr>
          <w:rFonts w:hint="eastAsia" w:ascii="宋体" w:hAnsi="宋体"/>
          <w:color w:val="000000" w:themeColor="text1"/>
          <w:szCs w:val="21"/>
          <w:highlight w:val="none"/>
          <w14:textFill>
            <w14:solidFill>
              <w14:schemeClr w14:val="tx1"/>
            </w14:solidFill>
          </w14:textFill>
        </w:rPr>
        <w:br w:type="page"/>
      </w:r>
    </w:p>
    <w:bookmarkEnd w:id="139"/>
    <w:p>
      <w:pPr>
        <w:pStyle w:val="5"/>
        <w:widowControl w:val="0"/>
        <w:overflowPunct w:val="0"/>
        <w:spacing w:line="240" w:lineRule="auto"/>
        <w:rPr>
          <w:rFonts w:ascii="宋体" w:hAnsi="宋体"/>
          <w:color w:val="000000" w:themeColor="text1"/>
          <w:sz w:val="21"/>
          <w:szCs w:val="21"/>
          <w:highlight w:val="none"/>
          <w14:textFill>
            <w14:solidFill>
              <w14:schemeClr w14:val="tx1"/>
            </w14:solidFill>
          </w14:textFill>
        </w:rPr>
      </w:pPr>
      <w:bookmarkStart w:id="140" w:name="_Toc17666"/>
      <w:r>
        <w:rPr>
          <w:rFonts w:hint="eastAsia" w:ascii="宋体" w:hAnsi="宋体"/>
          <w:color w:val="000000" w:themeColor="text1"/>
          <w:sz w:val="21"/>
          <w:szCs w:val="21"/>
          <w:highlight w:val="none"/>
          <w14:textFill>
            <w14:solidFill>
              <w14:schemeClr w14:val="tx1"/>
            </w14:solidFill>
          </w14:textFill>
        </w:rPr>
        <w:t>附件16.项目实施方案格式</w:t>
      </w:r>
      <w:bookmarkEnd w:id="140"/>
    </w:p>
    <w:p>
      <w:pPr>
        <w:jc w:val="center"/>
        <w:rPr>
          <w:rFonts w:ascii="黑体" w:eastAsia="黑体"/>
          <w:color w:val="000000" w:themeColor="text1"/>
          <w:sz w:val="32"/>
          <w:szCs w:val="32"/>
          <w:highlight w:val="none"/>
          <w14:textFill>
            <w14:solidFill>
              <w14:schemeClr w14:val="tx1"/>
            </w14:solidFill>
          </w14:textFill>
        </w:rPr>
      </w:pPr>
    </w:p>
    <w:p>
      <w:pPr>
        <w:jc w:val="center"/>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项目实施方案</w:t>
      </w:r>
    </w:p>
    <w:p>
      <w:pPr>
        <w:jc w:val="center"/>
        <w:rPr>
          <w:rFonts w:ascii="黑体" w:eastAsia="黑体"/>
          <w:color w:val="000000" w:themeColor="text1"/>
          <w:sz w:val="32"/>
          <w:szCs w:val="32"/>
          <w:highlight w:val="none"/>
          <w14:textFill>
            <w14:solidFill>
              <w14:schemeClr w14:val="tx1"/>
            </w14:solidFill>
          </w14:textFill>
        </w:rPr>
      </w:pPr>
    </w:p>
    <w:p>
      <w:pPr>
        <w:ind w:left="718" w:leftChars="200" w:hanging="298" w:hangingChars="14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1、为完成本项目投标人临时投入的设备</w:t>
      </w:r>
    </w:p>
    <w:p>
      <w:pPr>
        <w:ind w:left="718" w:leftChars="200" w:hanging="298" w:hangingChars="14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2、为完成本项目投标人投入的人员以及具体工作安排</w:t>
      </w:r>
    </w:p>
    <w:p>
      <w:pPr>
        <w:ind w:left="718" w:leftChars="200" w:hanging="298" w:hangingChars="14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3、投标人为本项目制定的具体项目实施方案与项目实施流程</w:t>
      </w:r>
    </w:p>
    <w:p>
      <w:pPr>
        <w:ind w:left="718" w:leftChars="200" w:hanging="298" w:hangingChars="14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4、服务方案</w:t>
      </w:r>
    </w:p>
    <w:p>
      <w:pPr>
        <w:ind w:left="718" w:leftChars="200" w:hanging="298" w:hangingChars="14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w:t>
      </w:r>
    </w:p>
    <w:p>
      <w:pPr>
        <w:ind w:left="718" w:leftChars="200" w:hanging="298" w:hangingChars="142"/>
        <w:rPr>
          <w:rFonts w:ascii="宋体" w:hAnsi="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自行编写。</w:t>
      </w:r>
    </w:p>
    <w:p>
      <w:pPr>
        <w:ind w:left="718" w:leftChars="200" w:hanging="298" w:hangingChars="142"/>
        <w:rPr>
          <w:rFonts w:ascii="宋体" w:hAnsi="宋体"/>
          <w:color w:val="000000" w:themeColor="text1"/>
          <w:szCs w:val="21"/>
          <w:highlight w:val="none"/>
          <w14:textFill>
            <w14:solidFill>
              <w14:schemeClr w14:val="tx1"/>
            </w14:solidFill>
          </w14:textFill>
        </w:rPr>
      </w:pPr>
    </w:p>
    <w:p>
      <w:pPr>
        <w:ind w:left="718" w:leftChars="200" w:hanging="298" w:hangingChars="142"/>
        <w:rPr>
          <w:rFonts w:ascii="宋体" w:hAnsi="宋体"/>
          <w:color w:val="000000" w:themeColor="text1"/>
          <w:szCs w:val="21"/>
          <w:highlight w:val="none"/>
          <w14:textFill>
            <w14:solidFill>
              <w14:schemeClr w14:val="tx1"/>
            </w14:solidFill>
          </w14:textFill>
        </w:rPr>
      </w:pPr>
    </w:p>
    <w:p>
      <w:pPr>
        <w:ind w:left="718" w:leftChars="200" w:hanging="298" w:hangingChars="142"/>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pPr>
        <w:pStyle w:val="5"/>
        <w:widowControl w:val="0"/>
        <w:overflowPunct w:val="0"/>
        <w:spacing w:line="240" w:lineRule="auto"/>
        <w:rPr>
          <w:rFonts w:ascii="宋体" w:hAnsi="宋体"/>
          <w:color w:val="000000" w:themeColor="text1"/>
          <w:sz w:val="21"/>
          <w:szCs w:val="21"/>
          <w:highlight w:val="none"/>
          <w14:textFill>
            <w14:solidFill>
              <w14:schemeClr w14:val="tx1"/>
            </w14:solidFill>
          </w14:textFill>
        </w:rPr>
      </w:pPr>
      <w:bookmarkStart w:id="141" w:name="_Toc19134"/>
      <w:r>
        <w:rPr>
          <w:rFonts w:hint="eastAsia" w:ascii="宋体" w:hAnsi="宋体"/>
          <w:color w:val="000000" w:themeColor="text1"/>
          <w:sz w:val="21"/>
          <w:szCs w:val="21"/>
          <w:highlight w:val="none"/>
          <w14:textFill>
            <w14:solidFill>
              <w14:schemeClr w14:val="tx1"/>
            </w14:solidFill>
          </w14:textFill>
        </w:rPr>
        <w:t>附件17.实施本项目的有关人员资料表格式</w:t>
      </w:r>
      <w:bookmarkEnd w:id="141"/>
    </w:p>
    <w:p>
      <w:pPr>
        <w:jc w:val="center"/>
        <w:rPr>
          <w:rFonts w:ascii="宋体" w:hAnsi="宋体"/>
          <w:color w:val="000000" w:themeColor="text1"/>
          <w:szCs w:val="21"/>
          <w:highlight w:val="none"/>
          <w14:textFill>
            <w14:solidFill>
              <w14:schemeClr w14:val="tx1"/>
            </w14:solidFill>
          </w14:textFill>
        </w:rPr>
      </w:pPr>
    </w:p>
    <w:p>
      <w:pPr>
        <w:jc w:val="center"/>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实施本项目的有关人员资料表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02"/>
        <w:gridCol w:w="1861"/>
        <w:gridCol w:w="702"/>
        <w:gridCol w:w="702"/>
        <w:gridCol w:w="1164"/>
        <w:gridCol w:w="818"/>
        <w:gridCol w:w="1165"/>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412" w:type="pct"/>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1092" w:type="pct"/>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本项目拟任岗位</w:t>
            </w:r>
          </w:p>
        </w:tc>
        <w:tc>
          <w:tcPr>
            <w:tcW w:w="412" w:type="pct"/>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性别</w:t>
            </w:r>
          </w:p>
        </w:tc>
        <w:tc>
          <w:tcPr>
            <w:tcW w:w="412" w:type="pct"/>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年龄</w:t>
            </w:r>
          </w:p>
        </w:tc>
        <w:tc>
          <w:tcPr>
            <w:tcW w:w="683" w:type="pct"/>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技术职称</w:t>
            </w:r>
          </w:p>
        </w:tc>
        <w:tc>
          <w:tcPr>
            <w:tcW w:w="480" w:type="pct"/>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专 业</w:t>
            </w:r>
          </w:p>
        </w:tc>
        <w:tc>
          <w:tcPr>
            <w:tcW w:w="683" w:type="pct"/>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资质证书</w:t>
            </w:r>
          </w:p>
        </w:tc>
        <w:tc>
          <w:tcPr>
            <w:tcW w:w="412" w:type="pct"/>
            <w:tcBorders>
              <w:right w:val="single" w:color="auto" w:sz="6" w:space="0"/>
            </w:tcBorders>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109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80"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tcBorders>
              <w:right w:val="single" w:color="auto" w:sz="6" w:space="0"/>
            </w:tcBorders>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109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80"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tcBorders>
              <w:right w:val="single" w:color="auto" w:sz="6" w:space="0"/>
            </w:tcBorders>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109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80"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tcBorders>
              <w:right w:val="single" w:color="auto" w:sz="6" w:space="0"/>
            </w:tcBorders>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109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80"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tcBorders>
              <w:right w:val="single" w:color="auto" w:sz="6" w:space="0"/>
            </w:tcBorders>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109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80"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tcBorders>
              <w:right w:val="single" w:color="auto" w:sz="6" w:space="0"/>
            </w:tcBorders>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109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80"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tcBorders>
              <w:right w:val="single" w:color="auto" w:sz="6" w:space="0"/>
            </w:tcBorders>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109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80"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tcBorders>
              <w:right w:val="single" w:color="auto" w:sz="6" w:space="0"/>
            </w:tcBorders>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109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80"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tcBorders>
              <w:right w:val="single" w:color="auto" w:sz="6" w:space="0"/>
            </w:tcBorders>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109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80"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tcBorders>
              <w:right w:val="single" w:color="auto" w:sz="6" w:space="0"/>
            </w:tcBorders>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109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80"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683" w:type="pct"/>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c>
          <w:tcPr>
            <w:tcW w:w="412" w:type="pct"/>
            <w:tcBorders>
              <w:right w:val="single" w:color="auto" w:sz="6" w:space="0"/>
            </w:tcBorders>
            <w:vAlign w:val="center"/>
          </w:tcPr>
          <w:p>
            <w:pPr>
              <w:spacing w:line="288" w:lineRule="auto"/>
              <w:jc w:val="center"/>
              <w:rPr>
                <w:rFonts w:ascii="宋体" w:hAnsi="宋体"/>
                <w:color w:val="000000" w:themeColor="text1"/>
                <w:szCs w:val="21"/>
                <w:highlight w:val="none"/>
                <w14:textFill>
                  <w14:solidFill>
                    <w14:schemeClr w14:val="tx1"/>
                  </w14:solidFill>
                </w14:textFill>
              </w:rPr>
            </w:pPr>
          </w:p>
        </w:tc>
      </w:tr>
    </w:tbl>
    <w:p>
      <w:pPr>
        <w:ind w:firstLine="178" w:firstLineChars="85"/>
        <w:rPr>
          <w:rFonts w:ascii="宋体" w:hAnsi="宋体"/>
          <w:color w:val="000000" w:themeColor="text1"/>
          <w:szCs w:val="21"/>
          <w:highlight w:val="none"/>
          <w14:textFill>
            <w14:solidFill>
              <w14:schemeClr w14:val="tx1"/>
            </w14:solidFill>
          </w14:textFill>
        </w:rPr>
      </w:pPr>
    </w:p>
    <w:p>
      <w:pPr>
        <w:ind w:firstLine="178" w:firstLineChars="8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附有关证明文件（复印件加盖公章）</w:t>
      </w:r>
    </w:p>
    <w:p>
      <w:pPr>
        <w:ind w:firstLine="178" w:firstLineChars="8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投标人代表签字：</w:t>
      </w:r>
    </w:p>
    <w:p>
      <w:pPr>
        <w:ind w:firstLine="178" w:firstLineChars="85"/>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投标人盖章：</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p>
    <w:p>
      <w:pPr>
        <w:pStyle w:val="39"/>
        <w:numPr>
          <w:ilvl w:val="0"/>
          <w:numId w:val="12"/>
        </w:numPr>
        <w:ind w:firstLineChars="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投标人可按项目的实际需要提供本表格。</w:t>
      </w:r>
    </w:p>
    <w:p>
      <w:pPr>
        <w:pStyle w:val="39"/>
        <w:numPr>
          <w:ilvl w:val="0"/>
          <w:numId w:val="12"/>
        </w:numPr>
        <w:ind w:firstLineChars="0"/>
        <w:rPr>
          <w:rFonts w:ascii="宋体" w:hAnsi="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该表格为参考格式，投标人可按实际情况自行制订。</w:t>
      </w:r>
    </w:p>
    <w:p>
      <w:pPr>
        <w:rPr>
          <w:rFonts w:ascii="宋体" w:hAnsi="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3、投标人若未提供或未填写完整则视为完全响应采购文件的人员要求，因此对投标人投标产生负面影响的，投标人自行承担后果。</w:t>
      </w:r>
    </w:p>
    <w:p>
      <w:pPr>
        <w:pStyle w:val="39"/>
        <w:numPr>
          <w:ilvl w:val="0"/>
          <w:numId w:val="12"/>
        </w:numPr>
        <w:ind w:firstLineChars="0"/>
        <w:rPr>
          <w:rFonts w:ascii="宋体" w:hAnsi="宋体" w:cs="Times New Roman"/>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pPr>
        <w:pStyle w:val="5"/>
        <w:widowControl w:val="0"/>
        <w:overflowPunct w:val="0"/>
        <w:spacing w:line="240" w:lineRule="auto"/>
        <w:rPr>
          <w:color w:val="000000" w:themeColor="text1"/>
          <w:highlight w:val="none"/>
          <w14:textFill>
            <w14:solidFill>
              <w14:schemeClr w14:val="tx1"/>
            </w14:solidFill>
          </w14:textFill>
        </w:rPr>
      </w:pPr>
      <w:bookmarkStart w:id="142" w:name="_Toc31044"/>
      <w:r>
        <w:rPr>
          <w:rFonts w:hint="eastAsia" w:ascii="宋体" w:hAnsi="宋体"/>
          <w:color w:val="000000" w:themeColor="text1"/>
          <w:sz w:val="21"/>
          <w:szCs w:val="21"/>
          <w:highlight w:val="none"/>
          <w14:textFill>
            <w14:solidFill>
              <w14:schemeClr w14:val="tx1"/>
            </w14:solidFill>
          </w14:textFill>
        </w:rPr>
        <w:t>附件18.投标保证金汇入情况说明格式</w:t>
      </w:r>
      <w:bookmarkEnd w:id="142"/>
    </w:p>
    <w:p>
      <w:pPr>
        <w:rPr>
          <w:color w:val="000000" w:themeColor="text1"/>
          <w:highlight w:val="none"/>
          <w14:textFill>
            <w14:solidFill>
              <w14:schemeClr w14:val="tx1"/>
            </w14:solidFill>
          </w14:textFill>
        </w:rPr>
      </w:pPr>
    </w:p>
    <w:p>
      <w:pPr>
        <w:jc w:val="center"/>
        <w:rPr>
          <w:rFonts w:ascii="黑体" w:eastAsia="黑体"/>
          <w:color w:val="000000" w:themeColor="text1"/>
          <w:sz w:val="28"/>
          <w:szCs w:val="28"/>
          <w:highlight w:val="none"/>
          <w14:textFill>
            <w14:solidFill>
              <w14:schemeClr w14:val="tx1"/>
            </w14:solidFill>
          </w14:textFill>
        </w:rPr>
      </w:pPr>
      <w:r>
        <w:rPr>
          <w:rFonts w:hint="eastAsia" w:ascii="黑体" w:eastAsia="黑体"/>
          <w:color w:val="000000" w:themeColor="text1"/>
          <w:sz w:val="28"/>
          <w:szCs w:val="28"/>
          <w:highlight w:val="none"/>
          <w14:textFill>
            <w14:solidFill>
              <w14:schemeClr w14:val="tx1"/>
            </w14:solidFill>
          </w14:textFill>
        </w:rPr>
        <w:t>投标保证金汇入情况说明</w:t>
      </w:r>
    </w:p>
    <w:p>
      <w:pPr>
        <w:spacing w:line="48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lang w:eastAsia="zh-CN"/>
          <w14:textFill>
            <w14:solidFill>
              <w14:schemeClr w14:val="tx1"/>
            </w14:solidFill>
          </w14:textFill>
        </w:rPr>
        <w:t>广东政通招标有限公司</w:t>
      </w:r>
      <w:r>
        <w:rPr>
          <w:rFonts w:hint="eastAsia" w:ascii="宋体" w:hAnsi="宋体"/>
          <w:color w:val="000000" w:themeColor="text1"/>
          <w:szCs w:val="21"/>
          <w:highlight w:val="none"/>
          <w14:textFill>
            <w14:solidFill>
              <w14:schemeClr w14:val="tx1"/>
            </w14:solidFill>
          </w14:textFill>
        </w:rPr>
        <w:t>：</w:t>
      </w:r>
    </w:p>
    <w:p>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本单位已按</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项目（采购项目编号：）的采购文件要求，于年月日前以</w:t>
      </w:r>
      <w:r>
        <w:rPr>
          <w:rFonts w:hint="eastAsia" w:ascii="宋体" w:hAnsi="宋体"/>
          <w:color w:val="000000" w:themeColor="text1"/>
          <w:szCs w:val="21"/>
          <w:highlight w:val="none"/>
          <w:u w:val="single"/>
          <w14:textFill>
            <w14:solidFill>
              <w14:schemeClr w14:val="tx1"/>
            </w14:solidFill>
          </w14:textFill>
        </w:rPr>
        <w:t xml:space="preserve">           （付款形式）</w:t>
      </w:r>
      <w:r>
        <w:rPr>
          <w:rFonts w:hint="eastAsia" w:ascii="宋体" w:hAnsi="宋体"/>
          <w:color w:val="000000" w:themeColor="text1"/>
          <w:szCs w:val="21"/>
          <w:highlight w:val="none"/>
          <w14:textFill>
            <w14:solidFill>
              <w14:schemeClr w14:val="tx1"/>
            </w14:solidFill>
          </w14:textFill>
        </w:rPr>
        <w:t>方式汇入指定帐户（帐户名称：</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，帐号：</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,开户银行：</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本单位投标保证金的汇款情况：（详见附件－投标保证金进帐单）</w:t>
      </w:r>
    </w:p>
    <w:p>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汇出时间：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汇款金额：（大写）人民币</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元（小写：￥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p>
    <w:p>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汇款帐户名称：</w:t>
      </w:r>
      <w:r>
        <w:rPr>
          <w:rFonts w:hint="eastAsia" w:ascii="宋体" w:hAnsi="宋体"/>
          <w:color w:val="000000" w:themeColor="text1"/>
          <w:szCs w:val="21"/>
          <w:highlight w:val="none"/>
          <w:u w:val="single"/>
          <w14:textFill>
            <w14:solidFill>
              <w14:schemeClr w14:val="tx1"/>
            </w14:solidFill>
          </w14:textFill>
        </w:rPr>
        <w:t xml:space="preserve">  （必须是投标时使用的帐户名）   </w:t>
      </w:r>
    </w:p>
    <w:p>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帐        号：</w:t>
      </w:r>
      <w:r>
        <w:rPr>
          <w:rFonts w:hint="eastAsia" w:ascii="宋体" w:hAnsi="宋体"/>
          <w:color w:val="000000" w:themeColor="text1"/>
          <w:szCs w:val="21"/>
          <w:highlight w:val="none"/>
          <w:u w:val="single"/>
          <w14:textFill>
            <w14:solidFill>
              <w14:schemeClr w14:val="tx1"/>
            </w14:solidFill>
          </w14:textFill>
        </w:rPr>
        <w:t xml:space="preserve">  （必须是投标时使用的帐号）        </w:t>
      </w:r>
    </w:p>
    <w:p>
      <w:pPr>
        <w:spacing w:line="480" w:lineRule="auto"/>
        <w:ind w:firstLine="420" w:firstLineChars="20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 户  银 行：</w:t>
      </w:r>
      <w:r>
        <w:rPr>
          <w:rFonts w:hint="eastAsia" w:ascii="宋体" w:hAnsi="宋体"/>
          <w:color w:val="000000" w:themeColor="text1"/>
          <w:szCs w:val="21"/>
          <w:highlight w:val="none"/>
          <w:u w:val="single"/>
          <w14:textFill>
            <w14:solidFill>
              <w14:schemeClr w14:val="tx1"/>
            </w14:solidFill>
          </w14:textFill>
        </w:rPr>
        <w:t xml:space="preserve">  （  XX 银行 XX 分行 XX 支行   ）</w:t>
      </w:r>
    </w:p>
    <w:p>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本单位谨承诺上述资料是正确、真实的，如因上述证明与事实不符导致的一切损失，本单位保证承担赔偿等一切法律责任。</w:t>
      </w:r>
    </w:p>
    <w:p>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投标保证金退回时，请按上述资料退回。</w:t>
      </w:r>
    </w:p>
    <w:p>
      <w:pPr>
        <w:spacing w:line="480" w:lineRule="auto"/>
        <w:ind w:right="844" w:rightChars="402"/>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（单位公章）</w:t>
      </w:r>
    </w:p>
    <w:p>
      <w:pPr>
        <w:spacing w:line="480" w:lineRule="auto"/>
        <w:ind w:right="628" w:rightChars="299"/>
        <w:jc w:val="righ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年 月 日</w:t>
      </w:r>
    </w:p>
    <w:p>
      <w:pPr>
        <w:spacing w:line="48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单位名称：</w:t>
      </w:r>
    </w:p>
    <w:p>
      <w:pPr>
        <w:spacing w:line="48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单位地址：</w:t>
      </w:r>
    </w:p>
    <w:p>
      <w:pPr>
        <w:spacing w:line="48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p>
    <w:p>
      <w:pPr>
        <w:spacing w:line="48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单位电话： 联系人手机：</w:t>
      </w:r>
    </w:p>
    <w:p>
      <w:pPr>
        <w:rPr>
          <w:rFonts w:ascii="宋体" w:hAnsi="宋体"/>
          <w:color w:val="000000" w:themeColor="text1"/>
          <w:szCs w:val="21"/>
          <w:highlight w:val="none"/>
          <w14:textFill>
            <w14:solidFill>
              <w14:schemeClr w14:val="tx1"/>
            </w14:solidFill>
          </w14:textFill>
        </w:rPr>
      </w:pPr>
    </w:p>
    <w:p>
      <w:pPr>
        <w:spacing w:line="3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pPr>
        <w:spacing w:line="38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附：我方投标保证金汇款凭证</w:t>
      </w:r>
    </w:p>
    <w:tbl>
      <w:tblPr>
        <w:tblStyle w:val="27"/>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（粘贴汇款单或转账</w:t>
            </w:r>
            <w:r>
              <w:rPr>
                <w:rFonts w:ascii="宋体" w:hAnsi="宋体"/>
                <w:color w:val="000000" w:themeColor="text1"/>
                <w:szCs w:val="21"/>
                <w:highlight w:val="none"/>
                <w14:textFill>
                  <w14:solidFill>
                    <w14:schemeClr w14:val="tx1"/>
                  </w14:solidFill>
                </w14:textFill>
              </w:rPr>
              <w:t>凭证</w:t>
            </w:r>
            <w:r>
              <w:rPr>
                <w:rFonts w:hint="eastAsia" w:ascii="宋体" w:hAnsi="宋体"/>
                <w:color w:val="000000" w:themeColor="text1"/>
                <w:szCs w:val="21"/>
                <w:highlight w:val="none"/>
                <w14:textFill>
                  <w14:solidFill>
                    <w14:schemeClr w14:val="tx1"/>
                  </w14:solidFill>
                </w14:textFill>
              </w:rPr>
              <w:t>复印件，并在骑缝上加盖投标人公章，或是直接把转账</w:t>
            </w:r>
            <w:r>
              <w:rPr>
                <w:rFonts w:ascii="宋体" w:hAnsi="宋体"/>
                <w:color w:val="000000" w:themeColor="text1"/>
                <w:szCs w:val="21"/>
                <w:highlight w:val="none"/>
                <w14:textFill>
                  <w14:solidFill>
                    <w14:schemeClr w14:val="tx1"/>
                  </w14:solidFill>
                </w14:textFill>
              </w:rPr>
              <w:t>凭证</w:t>
            </w:r>
            <w:r>
              <w:rPr>
                <w:rFonts w:hint="eastAsia" w:ascii="宋体" w:hAnsi="宋体"/>
                <w:color w:val="000000" w:themeColor="text1"/>
                <w:szCs w:val="21"/>
                <w:highlight w:val="none"/>
                <w14:textFill>
                  <w14:solidFill>
                    <w14:schemeClr w14:val="tx1"/>
                  </w14:solidFill>
                </w14:textFill>
              </w:rPr>
              <w:t>复印到此张纸上）</w:t>
            </w:r>
          </w:p>
        </w:tc>
      </w:tr>
    </w:tbl>
    <w:p>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注：此表既要装订在投标文件中，又要按投标人须知的规定与开标一览表、投标保证金汇款底单复印件及授权委托书一同密封装入唱标信封，唱标信封单独提交。</w:t>
      </w: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p>
    <w:p>
      <w:pPr>
        <w:pStyle w:val="5"/>
        <w:numPr>
          <w:ilvl w:val="255"/>
          <w:numId w:val="0"/>
        </w:numPr>
        <w:tabs>
          <w:tab w:val="left" w:pos="720"/>
          <w:tab w:val="left" w:pos="3840"/>
        </w:tabs>
        <w:ind w:left="283"/>
        <w:jc w:val="both"/>
        <w:rPr>
          <w:rFonts w:ascii="宋体" w:hAnsi="宋体"/>
          <w:color w:val="000000" w:themeColor="text1"/>
          <w:sz w:val="21"/>
          <w:szCs w:val="21"/>
          <w:highlight w:val="none"/>
          <w14:textFill>
            <w14:solidFill>
              <w14:schemeClr w14:val="tx1"/>
            </w14:solidFill>
          </w14:textFill>
        </w:rPr>
      </w:pPr>
      <w:bookmarkStart w:id="143" w:name="_Toc1562"/>
      <w:bookmarkStart w:id="144" w:name="_Toc28623"/>
      <w:bookmarkStart w:id="145" w:name="_Toc14605"/>
      <w:bookmarkStart w:id="146" w:name="_Toc17028"/>
      <w:bookmarkStart w:id="147" w:name="_Toc19947"/>
      <w:bookmarkStart w:id="148" w:name="_Toc18296"/>
      <w:bookmarkStart w:id="149" w:name="_Toc29855"/>
      <w:bookmarkStart w:id="150" w:name="_Toc31158"/>
      <w:bookmarkStart w:id="151" w:name="_Toc2144"/>
      <w:bookmarkStart w:id="152" w:name="_Toc25861"/>
      <w:bookmarkStart w:id="153" w:name="_Toc4866"/>
      <w:r>
        <w:rPr>
          <w:rFonts w:hint="eastAsia" w:ascii="宋体" w:hAnsi="宋体"/>
          <w:color w:val="000000" w:themeColor="text1"/>
          <w:sz w:val="21"/>
          <w:szCs w:val="21"/>
          <w:highlight w:val="none"/>
          <w14:textFill>
            <w14:solidFill>
              <w14:schemeClr w14:val="tx1"/>
            </w14:solidFill>
          </w14:textFill>
        </w:rPr>
        <w:t>附件19.不可撤销履约保函</w:t>
      </w:r>
      <w:bookmarkEnd w:id="143"/>
      <w:bookmarkEnd w:id="144"/>
      <w:bookmarkEnd w:id="145"/>
      <w:bookmarkEnd w:id="146"/>
      <w:bookmarkEnd w:id="147"/>
      <w:bookmarkEnd w:id="148"/>
      <w:bookmarkEnd w:id="149"/>
      <w:bookmarkEnd w:id="150"/>
      <w:bookmarkEnd w:id="151"/>
      <w:bookmarkEnd w:id="152"/>
      <w:bookmarkEnd w:id="153"/>
    </w:p>
    <w:p>
      <w:pPr>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银行编号：</w:t>
      </w:r>
    </w:p>
    <w:p>
      <w:pP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致：</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甲方</w:t>
      </w:r>
      <w:r>
        <w:rPr>
          <w:rFonts w:hint="eastAsia" w:ascii="宋体" w:hAnsi="宋体"/>
          <w:color w:val="000000" w:themeColor="text1"/>
          <w:highlight w:val="none"/>
          <w14:textFill>
            <w14:solidFill>
              <w14:schemeClr w14:val="tx1"/>
            </w14:solidFill>
          </w14:textFill>
        </w:rPr>
        <w:t>）</w:t>
      </w:r>
    </w:p>
    <w:p>
      <w:pPr>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鉴于</w:t>
      </w:r>
      <w:r>
        <w:rPr>
          <w:rFonts w:hint="eastAsia" w:ascii="宋体" w:hAnsi="宋体"/>
          <w:color w:val="000000" w:themeColor="text1"/>
          <w:highlight w:val="none"/>
          <w:u w:val="single"/>
          <w14:textFill>
            <w14:solidFill>
              <w14:schemeClr w14:val="tx1"/>
            </w14:solidFill>
          </w14:textFill>
        </w:rPr>
        <w:t xml:space="preserve">         （地址：          ，下称 “乙方” ）</w:t>
      </w:r>
      <w:r>
        <w:rPr>
          <w:rFonts w:hint="eastAsia" w:ascii="宋体" w:hAnsi="宋体"/>
          <w:color w:val="000000" w:themeColor="text1"/>
          <w:highlight w:val="none"/>
          <w14:textFill>
            <w14:solidFill>
              <w14:schemeClr w14:val="tx1"/>
            </w14:solidFill>
          </w14:textFill>
        </w:rPr>
        <w:t>已保证按</w:t>
      </w:r>
      <w:r>
        <w:rPr>
          <w:rFonts w:hint="eastAsia" w:ascii="宋体" w:hAnsi="宋体"/>
          <w:color w:val="000000" w:themeColor="text1"/>
          <w:highlight w:val="none"/>
          <w:u w:val="single"/>
          <w14:textFill>
            <w14:solidFill>
              <w14:schemeClr w14:val="tx1"/>
            </w14:solidFill>
          </w14:textFill>
        </w:rPr>
        <w:t xml:space="preserve">        承包合同书（合同编号：    ）</w:t>
      </w:r>
      <w:r>
        <w:rPr>
          <w:rFonts w:hint="eastAsia" w:ascii="宋体" w:hAnsi="宋体"/>
          <w:color w:val="000000" w:themeColor="text1"/>
          <w:highlight w:val="none"/>
          <w14:textFill>
            <w14:solidFill>
              <w14:schemeClr w14:val="tx1"/>
            </w14:solidFill>
          </w14:textFill>
        </w:rPr>
        <w:t>中规定的义务履行合同。</w:t>
      </w:r>
    </w:p>
    <w:p>
      <w:pPr>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根据上述合同约定，乙方应向</w:t>
      </w:r>
      <w:r>
        <w:rPr>
          <w:rFonts w:hint="eastAsia"/>
          <w:color w:val="000000" w:themeColor="text1"/>
          <w:highlight w:val="none"/>
          <w14:textFill>
            <w14:solidFill>
              <w14:schemeClr w14:val="tx1"/>
            </w14:solidFill>
          </w14:textFill>
        </w:rPr>
        <w:t>甲方</w:t>
      </w:r>
      <w:r>
        <w:rPr>
          <w:rFonts w:hint="eastAsia" w:ascii="宋体" w:hAnsi="宋体"/>
          <w:color w:val="000000" w:themeColor="text1"/>
          <w:highlight w:val="none"/>
          <w14:textFill>
            <w14:solidFill>
              <w14:schemeClr w14:val="tx1"/>
            </w14:solidFill>
          </w14:textFill>
        </w:rPr>
        <w:t>提供一份金额为合同总价的10%即</w:t>
      </w:r>
      <w:r>
        <w:rPr>
          <w:rFonts w:hint="eastAsia" w:ascii="宋体" w:hAnsi="宋体"/>
          <w:color w:val="000000" w:themeColor="text1"/>
          <w:highlight w:val="none"/>
          <w:u w:val="single"/>
          <w14:textFill>
            <w14:solidFill>
              <w14:schemeClr w14:val="tx1"/>
            </w14:solidFill>
          </w14:textFill>
        </w:rPr>
        <w:t>人民币      （RMB    元）</w:t>
      </w:r>
      <w:r>
        <w:rPr>
          <w:rFonts w:hint="eastAsia" w:ascii="宋体" w:hAnsi="宋体"/>
          <w:color w:val="000000" w:themeColor="text1"/>
          <w:highlight w:val="none"/>
          <w14:textFill>
            <w14:solidFill>
              <w14:schemeClr w14:val="tx1"/>
            </w14:solidFill>
          </w14:textFill>
        </w:rPr>
        <w:t>的</w:t>
      </w:r>
      <w:r>
        <w:rPr>
          <w:rFonts w:hint="eastAsia" w:ascii="宋体" w:hAnsi="宋体"/>
          <w:bCs/>
          <w:color w:val="000000" w:themeColor="text1"/>
          <w:highlight w:val="none"/>
          <w14:textFill>
            <w14:solidFill>
              <w14:schemeClr w14:val="tx1"/>
            </w14:solidFill>
          </w14:textFill>
        </w:rPr>
        <w:t>不可撤销</w:t>
      </w:r>
      <w:r>
        <w:rPr>
          <w:rFonts w:hint="eastAsia" w:ascii="宋体" w:hAnsi="宋体"/>
          <w:color w:val="000000" w:themeColor="text1"/>
          <w:highlight w:val="none"/>
          <w14:textFill>
            <w14:solidFill>
              <w14:schemeClr w14:val="tx1"/>
            </w14:solidFill>
          </w14:textFill>
        </w:rPr>
        <w:t>银行履约保函，作为乙方履行上述合同的担保。</w:t>
      </w:r>
    </w:p>
    <w:p>
      <w:pPr>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我方</w:t>
      </w:r>
      <w:r>
        <w:rPr>
          <w:rFonts w:hint="eastAsia" w:ascii="宋体" w:hAnsi="宋体"/>
          <w:color w:val="000000" w:themeColor="text1"/>
          <w:highlight w:val="none"/>
          <w:u w:val="single"/>
          <w14:textFill>
            <w14:solidFill>
              <w14:schemeClr w14:val="tx1"/>
            </w14:solidFill>
          </w14:textFill>
        </w:rPr>
        <w:t xml:space="preserve">            （银行名称）</w:t>
      </w:r>
      <w:r>
        <w:rPr>
          <w:rFonts w:hint="eastAsia" w:ascii="宋体" w:hAnsi="宋体"/>
          <w:color w:val="000000" w:themeColor="text1"/>
          <w:highlight w:val="none"/>
          <w14:textFill>
            <w14:solidFill>
              <w14:schemeClr w14:val="tx1"/>
            </w14:solidFill>
          </w14:textFill>
        </w:rPr>
        <w:t>，受乙方的委托，不仅作为连带责任保证人而且作为主要的责任人，无条件和不可撤销地同意在</w:t>
      </w:r>
      <w:r>
        <w:rPr>
          <w:rFonts w:hint="eastAsia"/>
          <w:color w:val="000000" w:themeColor="text1"/>
          <w:highlight w:val="none"/>
          <w14:textFill>
            <w14:solidFill>
              <w14:schemeClr w14:val="tx1"/>
            </w14:solidFill>
          </w14:textFill>
        </w:rPr>
        <w:t>甲方</w:t>
      </w:r>
      <w:r>
        <w:rPr>
          <w:rFonts w:hint="eastAsia" w:ascii="宋体" w:hAnsi="宋体"/>
          <w:color w:val="000000" w:themeColor="text1"/>
          <w:highlight w:val="none"/>
          <w14:textFill>
            <w14:solidFill>
              <w14:schemeClr w14:val="tx1"/>
            </w14:solidFill>
          </w14:textFill>
        </w:rPr>
        <w:t>提出因乙方没有履行上述合同规定，而要求扣划保证金的书面要求后，7个工作日内为</w:t>
      </w:r>
      <w:r>
        <w:rPr>
          <w:rFonts w:hint="eastAsia"/>
          <w:color w:val="000000" w:themeColor="text1"/>
          <w:highlight w:val="none"/>
          <w14:textFill>
            <w14:solidFill>
              <w14:schemeClr w14:val="tx1"/>
            </w14:solidFill>
          </w14:textFill>
        </w:rPr>
        <w:t>甲方</w:t>
      </w:r>
      <w:r>
        <w:rPr>
          <w:rFonts w:hint="eastAsia" w:ascii="宋体" w:hAnsi="宋体"/>
          <w:color w:val="000000" w:themeColor="text1"/>
          <w:highlight w:val="none"/>
          <w14:textFill>
            <w14:solidFill>
              <w14:schemeClr w14:val="tx1"/>
            </w14:solidFill>
          </w14:textFill>
        </w:rPr>
        <w:t>扣划金额不超过</w:t>
      </w:r>
      <w:r>
        <w:rPr>
          <w:rFonts w:hint="eastAsia" w:ascii="宋体" w:hAnsi="宋体"/>
          <w:color w:val="000000" w:themeColor="text1"/>
          <w:highlight w:val="none"/>
          <w:u w:val="single"/>
          <w14:textFill>
            <w14:solidFill>
              <w14:schemeClr w14:val="tx1"/>
            </w14:solidFill>
          </w14:textFill>
        </w:rPr>
        <w:t>人民币          （RMB       元）</w:t>
      </w:r>
      <w:r>
        <w:rPr>
          <w:rFonts w:hint="eastAsia" w:ascii="宋体" w:hAnsi="宋体"/>
          <w:color w:val="000000" w:themeColor="text1"/>
          <w:highlight w:val="none"/>
          <w14:textFill>
            <w14:solidFill>
              <w14:schemeClr w14:val="tx1"/>
            </w14:solidFill>
          </w14:textFill>
        </w:rPr>
        <w:t>的保证金。</w:t>
      </w:r>
    </w:p>
    <w:p>
      <w:pPr>
        <w:ind w:firstLine="420" w:firstLineChars="200"/>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我</w:t>
      </w:r>
      <w:r>
        <w:rPr>
          <w:rFonts w:hint="eastAsia"/>
          <w:color w:val="000000" w:themeColor="text1"/>
          <w:highlight w:val="none"/>
          <w14:textFill>
            <w14:solidFill>
              <w14:schemeClr w14:val="tx1"/>
            </w14:solidFill>
          </w14:textFill>
        </w:rPr>
        <w:t>方还同意，任何甲方与乙方之间可能对合同条款的修改、规范或其他合同文件的变动补充，都不能免除我方按本保函所承担的责任。因此，有关上述变动、补充和修改无须通知我方。</w:t>
      </w:r>
    </w:p>
    <w:p>
      <w:p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本保函从上述合同签订之日起至项目服务期结束验收合格并完成结算后，双方签字之日起7天内保持有效。</w:t>
      </w:r>
    </w:p>
    <w:p>
      <w:pPr>
        <w:ind w:firstLine="2824" w:firstLineChars="1345"/>
        <w:rPr>
          <w:rFonts w:ascii="宋体" w:hAnsi="宋体"/>
          <w:color w:val="000000" w:themeColor="text1"/>
          <w:highlight w:val="none"/>
          <w14:textFill>
            <w14:solidFill>
              <w14:schemeClr w14:val="tx1"/>
            </w14:solidFill>
          </w14:textFill>
        </w:rPr>
      </w:pPr>
    </w:p>
    <w:p>
      <w:pPr>
        <w:ind w:firstLine="5040" w:firstLineChars="24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保证人：（盖章）</w:t>
      </w:r>
      <w:r>
        <w:rPr>
          <w:rFonts w:hint="eastAsia" w:ascii="宋体" w:hAnsi="宋体"/>
          <w:color w:val="000000" w:themeColor="text1"/>
          <w:highlight w:val="none"/>
          <w:u w:val="single"/>
          <w14:textFill>
            <w14:solidFill>
              <w14:schemeClr w14:val="tx1"/>
            </w14:solidFill>
          </w14:textFill>
        </w:rPr>
        <w:t xml:space="preserve">                        </w:t>
      </w:r>
    </w:p>
    <w:p>
      <w:pPr>
        <w:ind w:firstLine="5040" w:firstLineChars="24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负责人：（签字）</w:t>
      </w:r>
      <w:r>
        <w:rPr>
          <w:rFonts w:hint="eastAsia" w:ascii="宋体" w:hAnsi="宋体"/>
          <w:color w:val="000000" w:themeColor="text1"/>
          <w:highlight w:val="none"/>
          <w:u w:val="single"/>
          <w14:textFill>
            <w14:solidFill>
              <w14:schemeClr w14:val="tx1"/>
            </w14:solidFill>
          </w14:textFill>
        </w:rPr>
        <w:t xml:space="preserve">                        </w:t>
      </w:r>
    </w:p>
    <w:p>
      <w:pPr>
        <w:ind w:firstLine="5040" w:firstLineChars="24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联系人：</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 xml:space="preserve">   </w:t>
      </w:r>
    </w:p>
    <w:p>
      <w:pPr>
        <w:ind w:firstLine="5040" w:firstLineChars="24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联系电话：</w:t>
      </w:r>
      <w:r>
        <w:rPr>
          <w:rFonts w:hint="eastAsia" w:ascii="宋体" w:hAnsi="宋体"/>
          <w:color w:val="000000" w:themeColor="text1"/>
          <w:highlight w:val="none"/>
          <w:u w:val="single"/>
          <w14:textFill>
            <w14:solidFill>
              <w14:schemeClr w14:val="tx1"/>
            </w14:solidFill>
          </w14:textFill>
        </w:rPr>
        <w:t xml:space="preserve">                             </w:t>
      </w:r>
    </w:p>
    <w:p>
      <w:pPr>
        <w:ind w:firstLine="5040" w:firstLineChars="24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日期：</w:t>
      </w:r>
      <w:r>
        <w:rPr>
          <w:rFonts w:hint="eastAsia" w:ascii="宋体" w:hAnsi="宋体"/>
          <w:color w:val="000000" w:themeColor="text1"/>
          <w:highlight w:val="none"/>
          <w:u w:val="single"/>
          <w14:textFill>
            <w14:solidFill>
              <w14:schemeClr w14:val="tx1"/>
            </w14:solidFill>
          </w14:textFill>
        </w:rPr>
        <w:t xml:space="preserve">                               </w:t>
      </w:r>
    </w:p>
    <w:p>
      <w:pPr>
        <w:pStyle w:val="11"/>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说明：投标人在投标时不需提交正式保函，在投标文件中盖投标人公章确认保函格式即可，乙方</w:t>
      </w:r>
      <w:r>
        <w:rPr>
          <w:rFonts w:hint="eastAsia"/>
          <w:color w:val="000000" w:themeColor="text1"/>
          <w:highlight w:val="none"/>
          <w14:textFill>
            <w14:solidFill>
              <w14:schemeClr w14:val="tx1"/>
            </w14:solidFill>
          </w14:textFill>
        </w:rPr>
        <w:t>在签订合同时</w:t>
      </w:r>
      <w:r>
        <w:rPr>
          <w:rFonts w:hint="eastAsia"/>
          <w:color w:val="000000" w:themeColor="text1"/>
          <w:szCs w:val="24"/>
          <w:highlight w:val="none"/>
          <w14:textFill>
            <w14:solidFill>
              <w14:schemeClr w14:val="tx1"/>
            </w14:solidFill>
          </w14:textFill>
        </w:rPr>
        <w:t>提交正式保函。</w:t>
      </w:r>
    </w:p>
    <w:p>
      <w:pPr>
        <w:rPr>
          <w:rFonts w:ascii="宋体" w:hAnsi="宋体"/>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sectPr>
          <w:pgSz w:w="11906" w:h="16838"/>
          <w:pgMar w:top="1440" w:right="1800" w:bottom="1440" w:left="1800" w:header="708" w:footer="708" w:gutter="0"/>
          <w:cols w:space="708" w:num="1"/>
          <w:titlePg/>
          <w:docGrid w:type="lines" w:linePitch="360" w:charSpace="0"/>
        </w:sectPr>
      </w:pPr>
    </w:p>
    <w:p>
      <w:pPr>
        <w:pStyle w:val="5"/>
        <w:numPr>
          <w:ilvl w:val="255"/>
          <w:numId w:val="0"/>
        </w:numPr>
        <w:tabs>
          <w:tab w:val="left" w:pos="720"/>
          <w:tab w:val="left" w:pos="3840"/>
        </w:tabs>
        <w:ind w:left="283"/>
        <w:jc w:val="both"/>
        <w:rPr>
          <w:rFonts w:ascii="宋体" w:hAnsi="宋体"/>
          <w:color w:val="000000" w:themeColor="text1"/>
          <w:sz w:val="21"/>
          <w:szCs w:val="21"/>
          <w:highlight w:val="none"/>
          <w14:textFill>
            <w14:solidFill>
              <w14:schemeClr w14:val="tx1"/>
            </w14:solidFill>
          </w14:textFill>
        </w:rPr>
      </w:pPr>
      <w:bookmarkStart w:id="154" w:name="_Toc1313"/>
      <w:bookmarkStart w:id="155" w:name="_Toc12992"/>
      <w:r>
        <w:rPr>
          <w:rFonts w:hint="eastAsia" w:ascii="宋体" w:hAnsi="宋体"/>
          <w:color w:val="000000" w:themeColor="text1"/>
          <w:sz w:val="21"/>
          <w:szCs w:val="21"/>
          <w:highlight w:val="none"/>
          <w14:textFill>
            <w14:solidFill>
              <w14:schemeClr w14:val="tx1"/>
            </w14:solidFill>
          </w14:textFill>
        </w:rPr>
        <w:t>附件20.预付款保函</w:t>
      </w:r>
      <w:bookmarkEnd w:id="154"/>
      <w:r>
        <w:rPr>
          <w:rFonts w:hint="eastAsia" w:ascii="宋体" w:hAnsi="宋体"/>
          <w:color w:val="000000" w:themeColor="text1"/>
          <w:sz w:val="21"/>
          <w:szCs w:val="21"/>
          <w:highlight w:val="none"/>
          <w14:textFill>
            <w14:solidFill>
              <w14:schemeClr w14:val="tx1"/>
            </w14:solidFill>
          </w14:textFill>
        </w:rPr>
        <w:t>（适用于预付款支付）</w:t>
      </w:r>
      <w:bookmarkEnd w:id="155"/>
    </w:p>
    <w:p>
      <w:pPr>
        <w:pStyle w:val="11"/>
        <w:rPr>
          <w:color w:val="000000" w:themeColor="text1"/>
          <w:szCs w:val="24"/>
          <w:highlight w:val="none"/>
          <w14:textFill>
            <w14:solidFill>
              <w14:schemeClr w14:val="tx1"/>
            </w14:solidFill>
          </w14:textFill>
        </w:rPr>
      </w:pPr>
    </w:p>
    <w:p>
      <w:pPr>
        <w:jc w:val="center"/>
        <w:rPr>
          <w:rFonts w:ascii="黑体" w:eastAsia="黑体"/>
          <w:color w:val="000000" w:themeColor="text1"/>
          <w:sz w:val="28"/>
          <w:szCs w:val="28"/>
          <w:highlight w:val="none"/>
          <w14:textFill>
            <w14:solidFill>
              <w14:schemeClr w14:val="tx1"/>
            </w14:solidFill>
          </w14:textFill>
        </w:rPr>
      </w:pPr>
      <w:bookmarkStart w:id="156" w:name="_Toc7374"/>
      <w:bookmarkStart w:id="157" w:name="_Toc25494"/>
      <w:bookmarkStart w:id="158" w:name="_Toc29054"/>
      <w:bookmarkStart w:id="159" w:name="_Toc31418"/>
      <w:bookmarkStart w:id="160" w:name="_Toc20669"/>
      <w:bookmarkStart w:id="161" w:name="_Toc10719"/>
      <w:bookmarkStart w:id="162" w:name="_Toc10315"/>
      <w:bookmarkStart w:id="163" w:name="_Toc3295"/>
      <w:bookmarkStart w:id="164" w:name="_Toc27545"/>
      <w:bookmarkStart w:id="165" w:name="_Toc6877"/>
      <w:bookmarkStart w:id="166" w:name="_Toc29728"/>
      <w:bookmarkStart w:id="167" w:name="_Toc1039"/>
      <w:r>
        <w:rPr>
          <w:rFonts w:hint="eastAsia" w:ascii="黑体" w:eastAsia="黑体"/>
          <w:color w:val="000000" w:themeColor="text1"/>
          <w:sz w:val="28"/>
          <w:szCs w:val="28"/>
          <w:highlight w:val="none"/>
          <w14:textFill>
            <w14:solidFill>
              <w14:schemeClr w14:val="tx1"/>
            </w14:solidFill>
          </w14:textFill>
        </w:rPr>
        <w:t>不可撤销预付款保函</w:t>
      </w:r>
      <w:bookmarkEnd w:id="156"/>
      <w:bookmarkEnd w:id="157"/>
      <w:bookmarkEnd w:id="158"/>
      <w:bookmarkEnd w:id="159"/>
      <w:bookmarkEnd w:id="160"/>
      <w:bookmarkEnd w:id="161"/>
      <w:bookmarkEnd w:id="162"/>
      <w:bookmarkEnd w:id="163"/>
      <w:bookmarkEnd w:id="164"/>
      <w:bookmarkEnd w:id="165"/>
      <w:bookmarkEnd w:id="166"/>
      <w:bookmarkEnd w:id="167"/>
    </w:p>
    <w:p>
      <w:pPr>
        <w:ind w:firstLine="6300"/>
        <w:rPr>
          <w:color w:val="000000" w:themeColor="text1"/>
          <w:szCs w:val="21"/>
          <w:highlight w:val="none"/>
          <w:u w:val="single"/>
          <w14:textFill>
            <w14:solidFill>
              <w14:schemeClr w14:val="tx1"/>
            </w14:solidFill>
          </w14:textFill>
        </w:rPr>
      </w:pPr>
      <w:r>
        <w:rPr>
          <w:rFonts w:hint="eastAsia"/>
          <w:color w:val="000000" w:themeColor="text1"/>
          <w:szCs w:val="21"/>
          <w:highlight w:val="none"/>
          <w14:textFill>
            <w14:solidFill>
              <w14:schemeClr w14:val="tx1"/>
            </w14:solidFill>
          </w14:textFill>
        </w:rPr>
        <w:t>银行编号：</w:t>
      </w:r>
      <w:r>
        <w:rPr>
          <w:rFonts w:hint="eastAsia"/>
          <w:color w:val="000000" w:themeColor="text1"/>
          <w:szCs w:val="21"/>
          <w:highlight w:val="none"/>
          <w:u w:val="single"/>
          <w14:textFill>
            <w14:solidFill>
              <w14:schemeClr w14:val="tx1"/>
            </w14:solidFill>
          </w14:textFill>
        </w:rPr>
        <w:t xml:space="preserve">             </w:t>
      </w:r>
    </w:p>
    <w:p>
      <w:pPr>
        <w:ind w:firstLine="6300"/>
        <w:rPr>
          <w:color w:val="000000" w:themeColor="text1"/>
          <w:szCs w:val="21"/>
          <w:highlight w:val="none"/>
          <w14:textFill>
            <w14:solidFill>
              <w14:schemeClr w14:val="tx1"/>
            </w14:solidFill>
          </w14:textFill>
        </w:rPr>
      </w:pP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（下称“采购人”）</w:t>
      </w:r>
    </w:p>
    <w:p>
      <w:pPr>
        <w:ind w:firstLine="43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鉴于</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4"/>
          <w:highlight w:val="none"/>
          <w:u w:val="single"/>
          <w14:textFill>
            <w14:solidFill>
              <w14:schemeClr w14:val="tx1"/>
            </w14:solidFill>
          </w14:textFill>
        </w:rPr>
        <w:t>（地址：          ，下称 “中标人” ）</w:t>
      </w:r>
      <w:r>
        <w:rPr>
          <w:rFonts w:hint="eastAsia" w:ascii="宋体" w:hAnsi="宋体"/>
          <w:color w:val="000000" w:themeColor="text1"/>
          <w:szCs w:val="21"/>
          <w:highlight w:val="none"/>
          <w14:textFill>
            <w14:solidFill>
              <w14:schemeClr w14:val="tx1"/>
            </w14:solidFill>
          </w14:textFill>
        </w:rPr>
        <w:t>，已保证按</w:t>
      </w:r>
      <w:r>
        <w:rPr>
          <w:rFonts w:hint="eastAsia" w:ascii="宋体" w:hAnsi="宋体"/>
          <w:color w:val="000000" w:themeColor="text1"/>
          <w:szCs w:val="21"/>
          <w:highlight w:val="none"/>
          <w:u w:val="single"/>
          <w14:textFill>
            <w14:solidFill>
              <w14:schemeClr w14:val="tx1"/>
            </w14:solidFill>
          </w14:textFill>
        </w:rPr>
        <w:t xml:space="preserve">          承包合同书（合同编号：    ）</w:t>
      </w:r>
      <w:r>
        <w:rPr>
          <w:rFonts w:hint="eastAsia" w:ascii="宋体" w:hAnsi="宋体"/>
          <w:color w:val="000000" w:themeColor="text1"/>
          <w:szCs w:val="21"/>
          <w:highlight w:val="none"/>
          <w14:textFill>
            <w14:solidFill>
              <w14:schemeClr w14:val="tx1"/>
            </w14:solidFill>
          </w14:textFill>
        </w:rPr>
        <w:t>中规定的义务履行合同。</w:t>
      </w:r>
    </w:p>
    <w:p>
      <w:pPr>
        <w:ind w:firstLine="43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根据上述合同（招标文件）规定，中标人应向采购人提供一份金额为合同总价的</w:t>
      </w:r>
      <w:r>
        <w:rPr>
          <w:rFonts w:hint="eastAsia" w:ascii="宋体" w:hAnsi="宋体"/>
          <w:color w:val="000000" w:themeColor="text1"/>
          <w:szCs w:val="24"/>
          <w:highlight w:val="none"/>
          <w:u w:val="single"/>
          <w14:textFill>
            <w14:solidFill>
              <w14:schemeClr w14:val="tx1"/>
            </w14:solidFill>
          </w14:textFill>
        </w:rPr>
        <w:t xml:space="preserve">   </w:t>
      </w:r>
      <w:r>
        <w:rPr>
          <w:rFonts w:hint="eastAsia" w:ascii="宋体" w:hAnsi="宋体"/>
          <w:color w:val="000000" w:themeColor="text1"/>
          <w:szCs w:val="24"/>
          <w:highlight w:val="none"/>
          <w14:textFill>
            <w14:solidFill>
              <w14:schemeClr w14:val="tx1"/>
            </w14:solidFill>
          </w14:textFill>
        </w:rPr>
        <w:t>% 即人民币</w:t>
      </w:r>
      <w:r>
        <w:rPr>
          <w:rFonts w:hint="eastAsia" w:ascii="宋体" w:hAnsi="宋体"/>
          <w:color w:val="000000" w:themeColor="text1"/>
          <w:szCs w:val="21"/>
          <w:highlight w:val="none"/>
          <w:u w:val="single"/>
          <w14:textFill>
            <w14:solidFill>
              <w14:schemeClr w14:val="tx1"/>
            </w14:solidFill>
          </w14:textFill>
        </w:rPr>
        <w:t xml:space="preserve">      （RMB      元）</w:t>
      </w:r>
      <w:r>
        <w:rPr>
          <w:rFonts w:hint="eastAsia" w:ascii="宋体" w:hAnsi="宋体"/>
          <w:color w:val="000000" w:themeColor="text1"/>
          <w:szCs w:val="21"/>
          <w:highlight w:val="none"/>
          <w14:textFill>
            <w14:solidFill>
              <w14:schemeClr w14:val="tx1"/>
            </w14:solidFill>
          </w14:textFill>
        </w:rPr>
        <w:t>的不可撤销银行预付款保函，以保证中标人履行合同的相关条款。</w:t>
      </w:r>
    </w:p>
    <w:p>
      <w:pPr>
        <w:ind w:firstLine="43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w:t>
      </w:r>
      <w:r>
        <w:rPr>
          <w:rFonts w:hint="eastAsia" w:ascii="宋体" w:hAnsi="宋体"/>
          <w:color w:val="000000" w:themeColor="text1"/>
          <w:szCs w:val="21"/>
          <w:highlight w:val="none"/>
          <w:u w:val="single"/>
          <w14:textFill>
            <w14:solidFill>
              <w14:schemeClr w14:val="tx1"/>
            </w14:solidFill>
          </w14:textFill>
        </w:rPr>
        <w:t xml:space="preserve">  （银行名称）  </w:t>
      </w:r>
      <w:r>
        <w:rPr>
          <w:rFonts w:hint="eastAsia" w:ascii="宋体" w:hAnsi="宋体"/>
          <w:color w:val="000000" w:themeColor="text1"/>
          <w:szCs w:val="21"/>
          <w:highlight w:val="none"/>
          <w14:textFill>
            <w14:solidFill>
              <w14:schemeClr w14:val="tx1"/>
            </w14:solidFill>
          </w14:textFill>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pPr>
        <w:ind w:firstLine="43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我方还同意，任何采购人与中标人之间可能对合同条款的修改、规范或其他合同文件的变动补充，都不能免除我方按本保函所承担的责任。因此，有关上述变动、补充和修改无须通知我方。</w:t>
      </w:r>
    </w:p>
    <w:p>
      <w:pPr>
        <w:ind w:firstLine="43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本保函有效期从保函开立之日起至采购人向中标人抵扣完所有预付款之日止。</w:t>
      </w:r>
    </w:p>
    <w:p>
      <w:pPr>
        <w:rPr>
          <w:rFonts w:ascii="宋体" w:hAnsi="宋体"/>
          <w:color w:val="000000" w:themeColor="text1"/>
          <w:szCs w:val="21"/>
          <w:highlight w:val="none"/>
          <w14:textFill>
            <w14:solidFill>
              <w14:schemeClr w14:val="tx1"/>
            </w14:solidFill>
          </w14:textFill>
        </w:rPr>
      </w:pPr>
    </w:p>
    <w:p>
      <w:pPr>
        <w:ind w:firstLine="437"/>
        <w:rPr>
          <w:rFonts w:ascii="宋体" w:hAnsi="宋体"/>
          <w:color w:val="000000" w:themeColor="text1"/>
          <w:szCs w:val="21"/>
          <w:highlight w:val="none"/>
          <w14:textFill>
            <w14:solidFill>
              <w14:schemeClr w14:val="tx1"/>
            </w14:solidFill>
          </w14:textFill>
        </w:rPr>
      </w:pPr>
    </w:p>
    <w:p>
      <w:pPr>
        <w:ind w:firstLine="48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保证人：（公章）</w:t>
      </w:r>
      <w:r>
        <w:rPr>
          <w:rFonts w:hint="eastAsia" w:ascii="宋体" w:hAnsi="宋体"/>
          <w:color w:val="000000" w:themeColor="text1"/>
          <w:szCs w:val="21"/>
          <w:highlight w:val="none"/>
          <w:u w:val="single"/>
          <w14:textFill>
            <w14:solidFill>
              <w14:schemeClr w14:val="tx1"/>
            </w14:solidFill>
          </w14:textFill>
        </w:rPr>
        <w:t xml:space="preserve">                     </w:t>
      </w:r>
    </w:p>
    <w:p>
      <w:pPr>
        <w:ind w:firstLine="486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负责人：（签字）</w:t>
      </w:r>
      <w:r>
        <w:rPr>
          <w:rFonts w:hint="eastAsia" w:ascii="宋体" w:hAnsi="宋体"/>
          <w:color w:val="000000" w:themeColor="text1"/>
          <w:szCs w:val="21"/>
          <w:highlight w:val="none"/>
          <w:u w:val="single"/>
          <w14:textFill>
            <w14:solidFill>
              <w14:schemeClr w14:val="tx1"/>
            </w14:solidFill>
          </w14:textFill>
        </w:rPr>
        <w:t xml:space="preserve">                     </w:t>
      </w:r>
    </w:p>
    <w:p>
      <w:pPr>
        <w:ind w:firstLine="486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联系电话：</w:t>
      </w:r>
      <w:r>
        <w:rPr>
          <w:rFonts w:hint="eastAsia" w:ascii="宋体" w:hAnsi="宋体"/>
          <w:color w:val="000000" w:themeColor="text1"/>
          <w:szCs w:val="21"/>
          <w:highlight w:val="none"/>
          <w:u w:val="single"/>
          <w14:textFill>
            <w14:solidFill>
              <w14:schemeClr w14:val="tx1"/>
            </w14:solidFill>
          </w14:textFill>
        </w:rPr>
        <w:t xml:space="preserve">                          </w:t>
      </w:r>
    </w:p>
    <w:p>
      <w:pPr>
        <w:ind w:firstLine="486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w:t>
      </w:r>
      <w:r>
        <w:rPr>
          <w:rFonts w:hint="eastAsia" w:ascii="宋体" w:hAnsi="宋体"/>
          <w:color w:val="000000" w:themeColor="text1"/>
          <w:szCs w:val="21"/>
          <w:highlight w:val="none"/>
          <w:u w:val="single"/>
          <w14:textFill>
            <w14:solidFill>
              <w14:schemeClr w14:val="tx1"/>
            </w14:solidFill>
          </w14:textFill>
        </w:rPr>
        <w:t xml:space="preserve">                              </w:t>
      </w:r>
    </w:p>
    <w:p>
      <w:pPr>
        <w:ind w:firstLine="4860"/>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hint="eastAsia" w:ascii="宋体" w:hAnsi="宋体"/>
          <w:color w:val="000000" w:themeColor="text1"/>
          <w:szCs w:val="21"/>
          <w:highlight w:val="none"/>
          <w:u w:val="single"/>
          <w14:textFill>
            <w14:solidFill>
              <w14:schemeClr w14:val="tx1"/>
            </w14:solidFill>
          </w14:textFill>
        </w:rPr>
        <w:t xml:space="preserve">                              </w:t>
      </w:r>
    </w:p>
    <w:p>
      <w:pPr>
        <w:pStyle w:val="11"/>
        <w:rPr>
          <w:color w:val="000000" w:themeColor="text1"/>
          <w:szCs w:val="21"/>
          <w:highlight w:val="none"/>
          <w14:textFill>
            <w14:solidFill>
              <w14:schemeClr w14:val="tx1"/>
            </w14:solidFill>
          </w14:textFill>
        </w:rPr>
      </w:pPr>
    </w:p>
    <w:p>
      <w:pPr>
        <w:pStyle w:val="11"/>
        <w:rPr>
          <w:color w:val="000000" w:themeColor="text1"/>
          <w:szCs w:val="21"/>
          <w:highlight w:val="none"/>
          <w14:textFill>
            <w14:solidFill>
              <w14:schemeClr w14:val="tx1"/>
            </w14:solidFill>
          </w14:textFill>
        </w:rPr>
      </w:pPr>
    </w:p>
    <w:p>
      <w:pPr>
        <w:ind w:firstLine="413" w:firstLineChars="196"/>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说明：投标人在投标文件中盖投标人公章确认保函内容即可，如中标再由银行出具保函。</w:t>
      </w:r>
    </w:p>
    <w:p>
      <w:pPr>
        <w:rPr>
          <w:rFonts w:ascii="宋体" w:hAnsi="宋体"/>
          <w:color w:val="000000" w:themeColor="text1"/>
          <w:szCs w:val="21"/>
          <w:highlight w:val="none"/>
          <w14:textFill>
            <w14:solidFill>
              <w14:schemeClr w14:val="tx1"/>
            </w14:solidFill>
          </w14:textFill>
        </w:rPr>
        <w:sectPr>
          <w:pgSz w:w="11906" w:h="16838"/>
          <w:pgMar w:top="1440" w:right="1800" w:bottom="1440" w:left="1800" w:header="708" w:footer="708" w:gutter="0"/>
          <w:cols w:space="708" w:num="1"/>
          <w:titlePg/>
          <w:docGrid w:type="lines" w:linePitch="360" w:charSpace="0"/>
        </w:sectPr>
      </w:pPr>
    </w:p>
    <w:p>
      <w:pPr>
        <w:jc w:val="center"/>
        <w:outlineLvl w:val="1"/>
        <w:rPr>
          <w:rFonts w:eastAsia="黑体"/>
          <w:color w:val="000000" w:themeColor="text1"/>
          <w:sz w:val="72"/>
          <w:szCs w:val="72"/>
          <w:highlight w:val="none"/>
          <w14:textFill>
            <w14:solidFill>
              <w14:schemeClr w14:val="tx1"/>
            </w14:solidFill>
          </w14:textFill>
        </w:rPr>
      </w:pPr>
      <w:bookmarkStart w:id="168" w:name="_Toc32046"/>
      <w:r>
        <w:rPr>
          <w:rFonts w:hint="eastAsia" w:eastAsia="黑体"/>
          <w:color w:val="000000" w:themeColor="text1"/>
          <w:sz w:val="72"/>
          <w:szCs w:val="72"/>
          <w:highlight w:val="none"/>
          <w14:textFill>
            <w14:solidFill>
              <w14:schemeClr w14:val="tx1"/>
            </w14:solidFill>
          </w14:textFill>
        </w:rPr>
        <w:t>唱标信封</w:t>
      </w:r>
      <w:bookmarkEnd w:id="168"/>
    </w:p>
    <w:p>
      <w:pPr>
        <w:jc w:val="center"/>
        <w:rPr>
          <w:rFonts w:ascii="黑体" w:eastAsia="黑体"/>
          <w:color w:val="000000" w:themeColor="text1"/>
          <w:sz w:val="52"/>
          <w:szCs w:val="52"/>
          <w:highlight w:val="none"/>
          <w14:textFill>
            <w14:solidFill>
              <w14:schemeClr w14:val="tx1"/>
            </w14:solidFill>
          </w14:textFill>
        </w:rPr>
      </w:pPr>
      <w:r>
        <w:rPr>
          <w:rFonts w:hint="eastAsia" w:ascii="黑体" w:eastAsia="黑体"/>
          <w:color w:val="000000" w:themeColor="text1"/>
          <w:sz w:val="52"/>
          <w:szCs w:val="52"/>
          <w:highlight w:val="none"/>
          <w14:textFill>
            <w14:solidFill>
              <w14:schemeClr w14:val="tx1"/>
            </w14:solidFill>
          </w14:textFill>
        </w:rPr>
        <w:t>（单独装订成册，单独封装）</w:t>
      </w:r>
    </w:p>
    <w:p>
      <w:pPr>
        <w:rPr>
          <w:color w:val="000000" w:themeColor="text1"/>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pStyle w:val="10"/>
        <w:ind w:firstLine="240"/>
        <w:rPr>
          <w:color w:val="000000" w:themeColor="text1"/>
          <w:highlight w:val="none"/>
          <w14:textFill>
            <w14:solidFill>
              <w14:schemeClr w14:val="tx1"/>
            </w14:solidFill>
          </w14:textFill>
        </w:rPr>
      </w:pPr>
    </w:p>
    <w:p>
      <w:pPr>
        <w:pStyle w:val="10"/>
        <w:ind w:firstLine="240"/>
        <w:rPr>
          <w:color w:val="000000" w:themeColor="text1"/>
          <w:highlight w:val="none"/>
          <w14:textFill>
            <w14:solidFill>
              <w14:schemeClr w14:val="tx1"/>
            </w14:solidFill>
          </w14:textFill>
        </w:rPr>
      </w:pPr>
    </w:p>
    <w:p>
      <w:pPr>
        <w:rPr>
          <w:rFonts w:ascii="宋体" w:hAnsi="宋体" w:cs="宋体"/>
          <w:b/>
          <w:color w:val="000000" w:themeColor="text1"/>
          <w:spacing w:val="-6"/>
          <w:sz w:val="32"/>
          <w:szCs w:val="32"/>
          <w:highlight w:val="none"/>
          <w14:textFill>
            <w14:solidFill>
              <w14:schemeClr w14:val="tx1"/>
            </w14:solidFill>
          </w14:textFill>
        </w:rPr>
      </w:pPr>
      <w:r>
        <w:rPr>
          <w:rFonts w:hint="eastAsia" w:ascii="宋体" w:hAnsi="宋体" w:cs="宋体"/>
          <w:b/>
          <w:color w:val="000000" w:themeColor="text1"/>
          <w:spacing w:val="106"/>
          <w:sz w:val="32"/>
          <w:szCs w:val="32"/>
          <w:highlight w:val="none"/>
          <w14:textFill>
            <w14:solidFill>
              <w14:schemeClr w14:val="tx1"/>
            </w14:solidFill>
          </w14:textFill>
        </w:rPr>
        <w:t>项目名</w:t>
      </w:r>
      <w:r>
        <w:rPr>
          <w:rFonts w:hint="eastAsia" w:ascii="宋体" w:hAnsi="宋体" w:cs="宋体"/>
          <w:b/>
          <w:color w:val="000000" w:themeColor="text1"/>
          <w:spacing w:val="2"/>
          <w:sz w:val="32"/>
          <w:szCs w:val="32"/>
          <w:highlight w:val="none"/>
          <w14:textFill>
            <w14:solidFill>
              <w14:schemeClr w14:val="tx1"/>
            </w14:solidFill>
          </w14:textFill>
        </w:rPr>
        <w:t>称</w:t>
      </w:r>
      <w:r>
        <w:rPr>
          <w:rFonts w:hint="eastAsia" w:ascii="宋体" w:hAnsi="宋体" w:cs="宋体"/>
          <w:b/>
          <w:color w:val="000000" w:themeColor="text1"/>
          <w:spacing w:val="-6"/>
          <w:sz w:val="32"/>
          <w:szCs w:val="32"/>
          <w:highlight w:val="none"/>
          <w14:textFill>
            <w14:solidFill>
              <w14:schemeClr w14:val="tx1"/>
            </w14:solidFill>
          </w14:textFill>
        </w:rPr>
        <w:t>：</w:t>
      </w:r>
    </w:p>
    <w:p>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106"/>
          <w:sz w:val="32"/>
          <w:szCs w:val="32"/>
          <w:highlight w:val="none"/>
          <w14:textFill>
            <w14:solidFill>
              <w14:schemeClr w14:val="tx1"/>
            </w14:solidFill>
          </w14:textFill>
        </w:rPr>
        <w:t>项目编</w:t>
      </w:r>
      <w:r>
        <w:rPr>
          <w:rFonts w:hint="eastAsia" w:ascii="宋体" w:hAnsi="宋体" w:cs="宋体"/>
          <w:b/>
          <w:color w:val="000000" w:themeColor="text1"/>
          <w:spacing w:val="2"/>
          <w:sz w:val="32"/>
          <w:szCs w:val="32"/>
          <w:highlight w:val="none"/>
          <w14:textFill>
            <w14:solidFill>
              <w14:schemeClr w14:val="tx1"/>
            </w14:solidFill>
          </w14:textFill>
        </w:rPr>
        <w:t>号</w:t>
      </w:r>
      <w:r>
        <w:rPr>
          <w:rFonts w:hint="eastAsia" w:ascii="宋体" w:hAnsi="宋体" w:cs="宋体"/>
          <w:b/>
          <w:color w:val="000000" w:themeColor="text1"/>
          <w:sz w:val="32"/>
          <w:szCs w:val="32"/>
          <w:highlight w:val="none"/>
          <w14:textFill>
            <w14:solidFill>
              <w14:schemeClr w14:val="tx1"/>
            </w14:solidFill>
          </w14:textFill>
        </w:rPr>
        <w:t>：</w:t>
      </w:r>
    </w:p>
    <w:p>
      <w:pPr>
        <w:pStyle w:val="9"/>
        <w:ind w:left="0"/>
        <w:rPr>
          <w:b/>
          <w:color w:val="000000" w:themeColor="text1"/>
          <w:spacing w:val="106"/>
          <w:sz w:val="32"/>
          <w:szCs w:val="32"/>
          <w:highlight w:val="none"/>
          <w:lang w:val="en-US" w:bidi="ar-SA"/>
          <w14:textFill>
            <w14:solidFill>
              <w14:schemeClr w14:val="tx1"/>
            </w14:solidFill>
          </w14:textFill>
        </w:rPr>
      </w:pPr>
      <w:r>
        <w:rPr>
          <w:rFonts w:hint="eastAsia"/>
          <w:b/>
          <w:color w:val="000000" w:themeColor="text1"/>
          <w:spacing w:val="106"/>
          <w:sz w:val="32"/>
          <w:szCs w:val="32"/>
          <w:highlight w:val="none"/>
          <w:lang w:val="en-US" w:bidi="ar-SA"/>
          <w14:textFill>
            <w14:solidFill>
              <w14:schemeClr w14:val="tx1"/>
            </w14:solidFill>
          </w14:textFill>
        </w:rPr>
        <w:t>包组号（如有）：</w:t>
      </w:r>
    </w:p>
    <w:p>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投标人名称：</w:t>
      </w:r>
    </w:p>
    <w:p>
      <w:pP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pacing w:val="64"/>
          <w:sz w:val="32"/>
          <w:szCs w:val="32"/>
          <w:highlight w:val="none"/>
          <w14:textFill>
            <w14:solidFill>
              <w14:schemeClr w14:val="tx1"/>
            </w14:solidFill>
          </w14:textFill>
        </w:rPr>
        <w:t xml:space="preserve">日    </w:t>
      </w:r>
      <w:r>
        <w:rPr>
          <w:rFonts w:hint="eastAsia" w:ascii="宋体" w:hAnsi="宋体" w:cs="宋体"/>
          <w:b/>
          <w:color w:val="000000" w:themeColor="text1"/>
          <w:sz w:val="32"/>
          <w:szCs w:val="32"/>
          <w:highlight w:val="none"/>
          <w14:textFill>
            <w14:solidFill>
              <w14:schemeClr w14:val="tx1"/>
            </w14:solidFill>
          </w14:textFill>
        </w:rPr>
        <w:t>期：</w:t>
      </w:r>
    </w:p>
    <w:p>
      <w:pP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p>
    <w:p>
      <w:pPr>
        <w:outlineLvl w:val="1"/>
        <w:rPr>
          <w:color w:val="000000" w:themeColor="text1"/>
          <w:sz w:val="72"/>
          <w:szCs w:val="72"/>
          <w:highlight w:val="none"/>
          <w14:textFill>
            <w14:solidFill>
              <w14:schemeClr w14:val="tx1"/>
            </w14:solidFill>
          </w14:textFill>
        </w:rPr>
        <w:sectPr>
          <w:pgSz w:w="11906" w:h="16838"/>
          <w:pgMar w:top="1440" w:right="1800" w:bottom="1440" w:left="1800" w:header="708" w:footer="708" w:gutter="0"/>
          <w:cols w:space="708" w:num="1"/>
          <w:titlePg/>
          <w:docGrid w:type="lines" w:linePitch="360" w:charSpace="0"/>
        </w:sectPr>
      </w:pPr>
    </w:p>
    <w:p>
      <w:pPr>
        <w:pStyle w:val="5"/>
        <w:numPr>
          <w:ilvl w:val="255"/>
          <w:numId w:val="0"/>
        </w:numPr>
        <w:tabs>
          <w:tab w:val="left" w:pos="720"/>
          <w:tab w:val="left" w:pos="3840"/>
        </w:tabs>
        <w:ind w:left="283"/>
        <w:jc w:val="both"/>
        <w:rPr>
          <w:rFonts w:ascii="宋体" w:hAnsi="宋体"/>
          <w:color w:val="000000" w:themeColor="text1"/>
          <w:sz w:val="21"/>
          <w:szCs w:val="21"/>
          <w:highlight w:val="none"/>
          <w14:textFill>
            <w14:solidFill>
              <w14:schemeClr w14:val="tx1"/>
            </w14:solidFill>
          </w14:textFill>
        </w:rPr>
      </w:pPr>
      <w:bookmarkStart w:id="169" w:name="_Toc3890"/>
      <w:r>
        <w:rPr>
          <w:rFonts w:hint="eastAsia" w:ascii="宋体" w:hAnsi="宋体"/>
          <w:color w:val="000000" w:themeColor="text1"/>
          <w:sz w:val="21"/>
          <w:szCs w:val="21"/>
          <w:highlight w:val="none"/>
          <w14:textFill>
            <w14:solidFill>
              <w14:schemeClr w14:val="tx1"/>
            </w14:solidFill>
          </w14:textFill>
        </w:rPr>
        <w:t>附件21.唱标信封内装（内容务必与投标文件正本一致）</w:t>
      </w:r>
      <w:bookmarkEnd w:id="169"/>
    </w:p>
    <w:p>
      <w:pPr>
        <w:numPr>
          <w:ilvl w:val="0"/>
          <w:numId w:val="13"/>
        </w:numPr>
        <w:ind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开标一览表加盖公章；</w:t>
      </w:r>
    </w:p>
    <w:p>
      <w:pPr>
        <w:numPr>
          <w:ilvl w:val="0"/>
          <w:numId w:val="13"/>
        </w:numPr>
        <w:ind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法定代表人证明书加盖公章；</w:t>
      </w:r>
    </w:p>
    <w:p>
      <w:pPr>
        <w:numPr>
          <w:ilvl w:val="0"/>
          <w:numId w:val="13"/>
        </w:numPr>
        <w:ind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法定代表人授权委托书加盖公章（法定代表人投标的除外）；</w:t>
      </w:r>
    </w:p>
    <w:p>
      <w:pPr>
        <w:numPr>
          <w:ilvl w:val="0"/>
          <w:numId w:val="13"/>
        </w:numPr>
        <w:ind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投标保证金汇入情况说明（含银行汇款凭证）或投标保函加盖公章；</w:t>
      </w:r>
    </w:p>
    <w:p>
      <w:pPr>
        <w:numPr>
          <w:ilvl w:val="0"/>
          <w:numId w:val="13"/>
        </w:numPr>
        <w:ind w:firstLineChars="200"/>
        <w:rPr>
          <w:rFonts w:hAnsi="宋体"/>
          <w:color w:val="000000" w:themeColor="text1"/>
          <w:szCs w:val="21"/>
          <w:highlight w:val="none"/>
          <w14:textFill>
            <w14:solidFill>
              <w14:schemeClr w14:val="tx1"/>
            </w14:solidFill>
          </w14:textFill>
        </w:rPr>
      </w:pPr>
      <w:r>
        <w:rPr>
          <w:rFonts w:hint="eastAsia" w:hAnsi="宋体"/>
          <w:color w:val="000000" w:themeColor="text1"/>
          <w:szCs w:val="21"/>
          <w:highlight w:val="none"/>
          <w14:textFill>
            <w14:solidFill>
              <w14:schemeClr w14:val="tx1"/>
            </w14:solidFill>
          </w14:textFill>
        </w:rPr>
        <w:t>投标文件电子文件（U盘，须含盖章版PDF投标文件和WORD版投标文件各一版，文字采用WORD文档，计算表格采用 EXCEL文档。）</w:t>
      </w:r>
    </w:p>
    <w:p>
      <w:pPr>
        <w:rPr>
          <w:rFonts w:ascii="宋体" w:hAnsi="宋体" w:cs="宋体"/>
          <w:color w:val="000000" w:themeColor="text1"/>
          <w:szCs w:val="21"/>
          <w:highlight w:val="none"/>
          <w14:textFill>
            <w14:solidFill>
              <w14:schemeClr w14:val="tx1"/>
            </w14:solidFill>
          </w14:textFill>
        </w:rPr>
      </w:pPr>
    </w:p>
    <w:sectPr>
      <w:pgSz w:w="11906" w:h="16838"/>
      <w:pgMar w:top="1440" w:right="1800" w:bottom="1440" w:left="1800" w:header="708" w:footer="708" w:gutter="0"/>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方正兰亭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839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wps:spPr>
                    <wps:txbx>
                      <w:txbxContent>
                        <w:p>
                          <w:pPr>
                            <w:pStyle w:val="17"/>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6" o:spid="_x0000_s1026" o:spt="202" type="#_x0000_t202" style="position:absolute;left:0pt;margin-top:0pt;height:144pt;width:85.7pt;mso-position-horizontal:center;mso-position-horizontal-relative:margin;z-index:251659264;mso-width-relative:page;mso-height-relative:page;" filled="f" stroked="f" coordsize="21600,21600" o:gfxdata="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sfqk0wAAAAUBAAAPAAAAAAAAAAEAIAAAACIAAABkcnMvZG93bnJl&#10;di54bWxQSwECFAAUAAAACACHTuJARcufEMkBAACQAwAADgAAAAAAAAABACAAAAAiAQAAZHJzL2Uy&#10;b0RvYy54bWxQSwUGAAAAAAYABgBZAQAAXQUAAAAA&#10;">
              <v:fill on="f" focussize="0,0"/>
              <v:stroke on="f"/>
              <v:imagedata o:title=""/>
              <o:lock v:ext="edit" aspectratio="f"/>
              <v:textbox inset="0mm,0mm,0mm,0mm" style="mso-fit-shape-to-text:t;">
                <w:txbxContent>
                  <w:p>
                    <w:pPr>
                      <w:pStyle w:val="17"/>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pPr>
                            <w:pStyle w:val="17"/>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0288;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pPr>
                      <w:pStyle w:val="17"/>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55E15"/>
    <w:multiLevelType w:val="singleLevel"/>
    <w:tmpl w:val="C9555E15"/>
    <w:lvl w:ilvl="0" w:tentative="0">
      <w:start w:val="1"/>
      <w:numFmt w:val="decimal"/>
      <w:lvlText w:val="(%1)"/>
      <w:lvlJc w:val="left"/>
      <w:pPr>
        <w:ind w:left="425" w:hanging="425"/>
      </w:pPr>
      <w:rPr>
        <w:rFonts w:hint="default"/>
      </w:rPr>
    </w:lvl>
  </w:abstractNum>
  <w:abstractNum w:abstractNumId="1">
    <w:nsid w:val="CC23954B"/>
    <w:multiLevelType w:val="multilevel"/>
    <w:tmpl w:val="CC23954B"/>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6">
    <w:nsid w:val="20D2348B"/>
    <w:multiLevelType w:val="singleLevel"/>
    <w:tmpl w:val="20D2348B"/>
    <w:lvl w:ilvl="0" w:tentative="0">
      <w:start w:val="1"/>
      <w:numFmt w:val="chineseCounting"/>
      <w:suff w:val="nothing"/>
      <w:lvlText w:val="（%1）"/>
      <w:lvlJc w:val="left"/>
      <w:rPr>
        <w:rFonts w:hint="eastAsia"/>
      </w:rPr>
    </w:lvl>
  </w:abstractNum>
  <w:abstractNum w:abstractNumId="7">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3F88662E"/>
    <w:multiLevelType w:val="singleLevel"/>
    <w:tmpl w:val="3F88662E"/>
    <w:lvl w:ilvl="0" w:tentative="0">
      <w:start w:val="1"/>
      <w:numFmt w:val="decimal"/>
      <w:suff w:val="space"/>
      <w:lvlText w:val="%1)"/>
      <w:lvlJc w:val="left"/>
    </w:lvl>
  </w:abstractNum>
  <w:abstractNum w:abstractNumId="9">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11">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9"/>
  </w:num>
  <w:num w:numId="2">
    <w:abstractNumId w:val="7"/>
  </w:num>
  <w:num w:numId="3">
    <w:abstractNumId w:val="1"/>
  </w:num>
  <w:num w:numId="4">
    <w:abstractNumId w:val="12"/>
  </w:num>
  <w:num w:numId="5">
    <w:abstractNumId w:val="8"/>
  </w:num>
  <w:num w:numId="6">
    <w:abstractNumId w:val="5"/>
  </w:num>
  <w:num w:numId="7">
    <w:abstractNumId w:val="0"/>
  </w:num>
  <w:num w:numId="8">
    <w:abstractNumId w:val="2"/>
  </w:num>
  <w:num w:numId="9">
    <w:abstractNumId w:val="4"/>
  </w:num>
  <w:num w:numId="10">
    <w:abstractNumId w:val="6"/>
  </w:num>
  <w:num w:numId="11">
    <w:abstractNumId w:val="3"/>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2YWM2YjFjM2NjMjgwNTJhZTk4ZmQ4MjE1NDdmZTEifQ=="/>
    <w:docVar w:name="KSO_WPS_MARK_KEY" w:val="f08cfe2c-1d7b-400f-befa-a21d3cc00b1e"/>
  </w:docVars>
  <w:rsids>
    <w:rsidRoot w:val="00172A27"/>
    <w:rsid w:val="00005A66"/>
    <w:rsid w:val="00006462"/>
    <w:rsid w:val="000300E4"/>
    <w:rsid w:val="0003307E"/>
    <w:rsid w:val="000336BA"/>
    <w:rsid w:val="000359A1"/>
    <w:rsid w:val="0005185D"/>
    <w:rsid w:val="00067748"/>
    <w:rsid w:val="0007500F"/>
    <w:rsid w:val="0008282E"/>
    <w:rsid w:val="00084F6D"/>
    <w:rsid w:val="00093A13"/>
    <w:rsid w:val="000A363F"/>
    <w:rsid w:val="000A42A8"/>
    <w:rsid w:val="000A5063"/>
    <w:rsid w:val="000A5DBD"/>
    <w:rsid w:val="000C4524"/>
    <w:rsid w:val="000D44A6"/>
    <w:rsid w:val="000E2CB7"/>
    <w:rsid w:val="000F0E98"/>
    <w:rsid w:val="001049A5"/>
    <w:rsid w:val="001120E0"/>
    <w:rsid w:val="00121ADA"/>
    <w:rsid w:val="001242F3"/>
    <w:rsid w:val="001332BB"/>
    <w:rsid w:val="00134CAD"/>
    <w:rsid w:val="001368B7"/>
    <w:rsid w:val="0013730B"/>
    <w:rsid w:val="00137853"/>
    <w:rsid w:val="00137E1C"/>
    <w:rsid w:val="00147012"/>
    <w:rsid w:val="00172A27"/>
    <w:rsid w:val="00173126"/>
    <w:rsid w:val="00173905"/>
    <w:rsid w:val="00173E04"/>
    <w:rsid w:val="00175D29"/>
    <w:rsid w:val="001833A1"/>
    <w:rsid w:val="001844F4"/>
    <w:rsid w:val="00185039"/>
    <w:rsid w:val="001852D7"/>
    <w:rsid w:val="001934B1"/>
    <w:rsid w:val="00193CF2"/>
    <w:rsid w:val="001A06D8"/>
    <w:rsid w:val="001A2D42"/>
    <w:rsid w:val="001A2EF7"/>
    <w:rsid w:val="001B1F14"/>
    <w:rsid w:val="001B41CF"/>
    <w:rsid w:val="001B5860"/>
    <w:rsid w:val="001C1135"/>
    <w:rsid w:val="001C15AE"/>
    <w:rsid w:val="001C4661"/>
    <w:rsid w:val="001C5689"/>
    <w:rsid w:val="001C6E4B"/>
    <w:rsid w:val="001F0070"/>
    <w:rsid w:val="001F4B02"/>
    <w:rsid w:val="001F6BC7"/>
    <w:rsid w:val="002065A7"/>
    <w:rsid w:val="0021149E"/>
    <w:rsid w:val="00213021"/>
    <w:rsid w:val="00216BE9"/>
    <w:rsid w:val="0022503E"/>
    <w:rsid w:val="00225BB4"/>
    <w:rsid w:val="00226313"/>
    <w:rsid w:val="002358D2"/>
    <w:rsid w:val="00240F5F"/>
    <w:rsid w:val="00247224"/>
    <w:rsid w:val="00247AE0"/>
    <w:rsid w:val="00260AC1"/>
    <w:rsid w:val="0026312D"/>
    <w:rsid w:val="0027078E"/>
    <w:rsid w:val="0028395F"/>
    <w:rsid w:val="00284156"/>
    <w:rsid w:val="00285643"/>
    <w:rsid w:val="002867A1"/>
    <w:rsid w:val="002901F8"/>
    <w:rsid w:val="002920A4"/>
    <w:rsid w:val="002B4087"/>
    <w:rsid w:val="002B5F6C"/>
    <w:rsid w:val="002C6C78"/>
    <w:rsid w:val="002D1594"/>
    <w:rsid w:val="002D3F9C"/>
    <w:rsid w:val="002D503C"/>
    <w:rsid w:val="002D7E27"/>
    <w:rsid w:val="002E17E5"/>
    <w:rsid w:val="002E6B7E"/>
    <w:rsid w:val="002F0FC9"/>
    <w:rsid w:val="0030669E"/>
    <w:rsid w:val="003101A3"/>
    <w:rsid w:val="00320CEA"/>
    <w:rsid w:val="00323B43"/>
    <w:rsid w:val="00326831"/>
    <w:rsid w:val="003274CE"/>
    <w:rsid w:val="003361E9"/>
    <w:rsid w:val="003430F6"/>
    <w:rsid w:val="00353842"/>
    <w:rsid w:val="00353DFB"/>
    <w:rsid w:val="0035595E"/>
    <w:rsid w:val="00360C24"/>
    <w:rsid w:val="003717F5"/>
    <w:rsid w:val="0038564C"/>
    <w:rsid w:val="00387CE4"/>
    <w:rsid w:val="00393B1D"/>
    <w:rsid w:val="003A1D97"/>
    <w:rsid w:val="003C18EB"/>
    <w:rsid w:val="003C1E4E"/>
    <w:rsid w:val="003C32D3"/>
    <w:rsid w:val="003C3B19"/>
    <w:rsid w:val="003C412B"/>
    <w:rsid w:val="003C415C"/>
    <w:rsid w:val="003D36FB"/>
    <w:rsid w:val="003D37D8"/>
    <w:rsid w:val="003E0802"/>
    <w:rsid w:val="003E18E7"/>
    <w:rsid w:val="003E2B8C"/>
    <w:rsid w:val="003F46B4"/>
    <w:rsid w:val="003F4822"/>
    <w:rsid w:val="00401C64"/>
    <w:rsid w:val="00401CC0"/>
    <w:rsid w:val="00410AB5"/>
    <w:rsid w:val="00410F11"/>
    <w:rsid w:val="00411067"/>
    <w:rsid w:val="004203B9"/>
    <w:rsid w:val="004322A2"/>
    <w:rsid w:val="004358AB"/>
    <w:rsid w:val="00451EB4"/>
    <w:rsid w:val="00460B31"/>
    <w:rsid w:val="00462105"/>
    <w:rsid w:val="00463ACB"/>
    <w:rsid w:val="00475A80"/>
    <w:rsid w:val="00490B9E"/>
    <w:rsid w:val="00497577"/>
    <w:rsid w:val="004A05D7"/>
    <w:rsid w:val="004A154E"/>
    <w:rsid w:val="004A2B28"/>
    <w:rsid w:val="004A69F1"/>
    <w:rsid w:val="004B3550"/>
    <w:rsid w:val="004B3F06"/>
    <w:rsid w:val="004C7FD6"/>
    <w:rsid w:val="004D08C0"/>
    <w:rsid w:val="004D1669"/>
    <w:rsid w:val="004D22B3"/>
    <w:rsid w:val="004D51A2"/>
    <w:rsid w:val="004D5AFB"/>
    <w:rsid w:val="004E04FD"/>
    <w:rsid w:val="004E3E1F"/>
    <w:rsid w:val="004F1BB7"/>
    <w:rsid w:val="0050759C"/>
    <w:rsid w:val="00510827"/>
    <w:rsid w:val="00511DEA"/>
    <w:rsid w:val="005267F1"/>
    <w:rsid w:val="005269A9"/>
    <w:rsid w:val="00532034"/>
    <w:rsid w:val="00545D9A"/>
    <w:rsid w:val="00546A42"/>
    <w:rsid w:val="0055408D"/>
    <w:rsid w:val="0057492D"/>
    <w:rsid w:val="0058523E"/>
    <w:rsid w:val="00590819"/>
    <w:rsid w:val="00593D68"/>
    <w:rsid w:val="005A208B"/>
    <w:rsid w:val="005A555E"/>
    <w:rsid w:val="005A7612"/>
    <w:rsid w:val="005B58A6"/>
    <w:rsid w:val="005C57E1"/>
    <w:rsid w:val="005C702E"/>
    <w:rsid w:val="005D01B8"/>
    <w:rsid w:val="005D066B"/>
    <w:rsid w:val="005D1D00"/>
    <w:rsid w:val="005D2D85"/>
    <w:rsid w:val="005F20A4"/>
    <w:rsid w:val="005F4EAE"/>
    <w:rsid w:val="005F573A"/>
    <w:rsid w:val="005F660B"/>
    <w:rsid w:val="005F7EB1"/>
    <w:rsid w:val="00604B81"/>
    <w:rsid w:val="0061246F"/>
    <w:rsid w:val="00613151"/>
    <w:rsid w:val="00613417"/>
    <w:rsid w:val="00613B25"/>
    <w:rsid w:val="0061545F"/>
    <w:rsid w:val="006175DE"/>
    <w:rsid w:val="006215AC"/>
    <w:rsid w:val="00621821"/>
    <w:rsid w:val="00622362"/>
    <w:rsid w:val="00622497"/>
    <w:rsid w:val="006276AD"/>
    <w:rsid w:val="006378D4"/>
    <w:rsid w:val="00641E8C"/>
    <w:rsid w:val="0064416A"/>
    <w:rsid w:val="006476E3"/>
    <w:rsid w:val="00650DDC"/>
    <w:rsid w:val="00652983"/>
    <w:rsid w:val="0065365D"/>
    <w:rsid w:val="006546D0"/>
    <w:rsid w:val="006576FD"/>
    <w:rsid w:val="00664F6B"/>
    <w:rsid w:val="006731D2"/>
    <w:rsid w:val="00680EB0"/>
    <w:rsid w:val="00682986"/>
    <w:rsid w:val="0068501E"/>
    <w:rsid w:val="00691701"/>
    <w:rsid w:val="00691AE0"/>
    <w:rsid w:val="0069491E"/>
    <w:rsid w:val="006A5604"/>
    <w:rsid w:val="006A75B0"/>
    <w:rsid w:val="006B004E"/>
    <w:rsid w:val="006B3E6C"/>
    <w:rsid w:val="006B4832"/>
    <w:rsid w:val="006B7878"/>
    <w:rsid w:val="006C14BD"/>
    <w:rsid w:val="006C28E5"/>
    <w:rsid w:val="006C67A9"/>
    <w:rsid w:val="006D393E"/>
    <w:rsid w:val="006D43C5"/>
    <w:rsid w:val="006D4AD8"/>
    <w:rsid w:val="006E0B58"/>
    <w:rsid w:val="006E0C4B"/>
    <w:rsid w:val="00704F7B"/>
    <w:rsid w:val="007110BA"/>
    <w:rsid w:val="00711465"/>
    <w:rsid w:val="00716E96"/>
    <w:rsid w:val="00723B11"/>
    <w:rsid w:val="007343A7"/>
    <w:rsid w:val="00734BB2"/>
    <w:rsid w:val="0075028E"/>
    <w:rsid w:val="007528A6"/>
    <w:rsid w:val="007608B9"/>
    <w:rsid w:val="007724B4"/>
    <w:rsid w:val="0077462B"/>
    <w:rsid w:val="007902ED"/>
    <w:rsid w:val="007916E7"/>
    <w:rsid w:val="00797C5D"/>
    <w:rsid w:val="00797D2F"/>
    <w:rsid w:val="007A34B9"/>
    <w:rsid w:val="007A3EF1"/>
    <w:rsid w:val="007A4DB3"/>
    <w:rsid w:val="007A6F47"/>
    <w:rsid w:val="007A7779"/>
    <w:rsid w:val="007C4F46"/>
    <w:rsid w:val="007C7297"/>
    <w:rsid w:val="007D1B4F"/>
    <w:rsid w:val="007D2F9E"/>
    <w:rsid w:val="007D3175"/>
    <w:rsid w:val="007D48BF"/>
    <w:rsid w:val="007D5C45"/>
    <w:rsid w:val="007E2543"/>
    <w:rsid w:val="007E4A26"/>
    <w:rsid w:val="007E7A17"/>
    <w:rsid w:val="007F01B0"/>
    <w:rsid w:val="007F2CD8"/>
    <w:rsid w:val="007F4DC5"/>
    <w:rsid w:val="00806380"/>
    <w:rsid w:val="0081104F"/>
    <w:rsid w:val="0081319A"/>
    <w:rsid w:val="00822299"/>
    <w:rsid w:val="0083486A"/>
    <w:rsid w:val="00837E35"/>
    <w:rsid w:val="00841378"/>
    <w:rsid w:val="00842B87"/>
    <w:rsid w:val="00845BEB"/>
    <w:rsid w:val="008472E6"/>
    <w:rsid w:val="008518B4"/>
    <w:rsid w:val="00853463"/>
    <w:rsid w:val="008548BD"/>
    <w:rsid w:val="00857709"/>
    <w:rsid w:val="0086026F"/>
    <w:rsid w:val="008640F5"/>
    <w:rsid w:val="0087704E"/>
    <w:rsid w:val="008907DA"/>
    <w:rsid w:val="008A0587"/>
    <w:rsid w:val="008A7273"/>
    <w:rsid w:val="008B55B9"/>
    <w:rsid w:val="008B7726"/>
    <w:rsid w:val="008C05BA"/>
    <w:rsid w:val="008D429E"/>
    <w:rsid w:val="008D5A10"/>
    <w:rsid w:val="008E319F"/>
    <w:rsid w:val="008E619C"/>
    <w:rsid w:val="008F6E0E"/>
    <w:rsid w:val="00906F49"/>
    <w:rsid w:val="00907417"/>
    <w:rsid w:val="00914604"/>
    <w:rsid w:val="00916A34"/>
    <w:rsid w:val="0092092D"/>
    <w:rsid w:val="00923533"/>
    <w:rsid w:val="00930A38"/>
    <w:rsid w:val="00934170"/>
    <w:rsid w:val="00942948"/>
    <w:rsid w:val="009474B5"/>
    <w:rsid w:val="00953E98"/>
    <w:rsid w:val="00960F22"/>
    <w:rsid w:val="00972D86"/>
    <w:rsid w:val="009736BF"/>
    <w:rsid w:val="0097392B"/>
    <w:rsid w:val="00976066"/>
    <w:rsid w:val="00980A66"/>
    <w:rsid w:val="009904F7"/>
    <w:rsid w:val="009910F6"/>
    <w:rsid w:val="009A07B1"/>
    <w:rsid w:val="009A6B4A"/>
    <w:rsid w:val="009A7058"/>
    <w:rsid w:val="009C19DE"/>
    <w:rsid w:val="009C23A6"/>
    <w:rsid w:val="009C5206"/>
    <w:rsid w:val="009C6AD9"/>
    <w:rsid w:val="009E398C"/>
    <w:rsid w:val="009E6F05"/>
    <w:rsid w:val="009F644E"/>
    <w:rsid w:val="009F6A05"/>
    <w:rsid w:val="00A01BE2"/>
    <w:rsid w:val="00A10906"/>
    <w:rsid w:val="00A12E66"/>
    <w:rsid w:val="00A13E78"/>
    <w:rsid w:val="00A14EEF"/>
    <w:rsid w:val="00A23304"/>
    <w:rsid w:val="00A25809"/>
    <w:rsid w:val="00A275C2"/>
    <w:rsid w:val="00A3295D"/>
    <w:rsid w:val="00A353F9"/>
    <w:rsid w:val="00A4012F"/>
    <w:rsid w:val="00A4190E"/>
    <w:rsid w:val="00A42E91"/>
    <w:rsid w:val="00A50383"/>
    <w:rsid w:val="00A61230"/>
    <w:rsid w:val="00A668C8"/>
    <w:rsid w:val="00A74ED3"/>
    <w:rsid w:val="00A75C51"/>
    <w:rsid w:val="00A813C5"/>
    <w:rsid w:val="00A824E6"/>
    <w:rsid w:val="00A858DC"/>
    <w:rsid w:val="00A94D14"/>
    <w:rsid w:val="00A96ED2"/>
    <w:rsid w:val="00AA0EAD"/>
    <w:rsid w:val="00AB19CE"/>
    <w:rsid w:val="00AB3969"/>
    <w:rsid w:val="00AC0E7A"/>
    <w:rsid w:val="00AC187B"/>
    <w:rsid w:val="00AE310E"/>
    <w:rsid w:val="00AE4FC5"/>
    <w:rsid w:val="00AF1B1B"/>
    <w:rsid w:val="00AF5F1F"/>
    <w:rsid w:val="00B027A4"/>
    <w:rsid w:val="00B04202"/>
    <w:rsid w:val="00B236B3"/>
    <w:rsid w:val="00B26806"/>
    <w:rsid w:val="00B31B24"/>
    <w:rsid w:val="00B4287F"/>
    <w:rsid w:val="00B4315F"/>
    <w:rsid w:val="00B43306"/>
    <w:rsid w:val="00B60DAB"/>
    <w:rsid w:val="00B61CB1"/>
    <w:rsid w:val="00B63189"/>
    <w:rsid w:val="00B67B5C"/>
    <w:rsid w:val="00B7194E"/>
    <w:rsid w:val="00B73575"/>
    <w:rsid w:val="00B7380A"/>
    <w:rsid w:val="00B763B0"/>
    <w:rsid w:val="00B91005"/>
    <w:rsid w:val="00B92951"/>
    <w:rsid w:val="00B93045"/>
    <w:rsid w:val="00B93169"/>
    <w:rsid w:val="00B950B6"/>
    <w:rsid w:val="00BA4130"/>
    <w:rsid w:val="00BB2CAF"/>
    <w:rsid w:val="00BB79B5"/>
    <w:rsid w:val="00BC0E6D"/>
    <w:rsid w:val="00BC3E74"/>
    <w:rsid w:val="00BD630F"/>
    <w:rsid w:val="00BD7C1B"/>
    <w:rsid w:val="00BE0825"/>
    <w:rsid w:val="00BE2EE6"/>
    <w:rsid w:val="00BF17FD"/>
    <w:rsid w:val="00BF2820"/>
    <w:rsid w:val="00BF41D4"/>
    <w:rsid w:val="00BF5AFB"/>
    <w:rsid w:val="00C16734"/>
    <w:rsid w:val="00C17B47"/>
    <w:rsid w:val="00C2046D"/>
    <w:rsid w:val="00C25C77"/>
    <w:rsid w:val="00C303E7"/>
    <w:rsid w:val="00C319C2"/>
    <w:rsid w:val="00C53CE5"/>
    <w:rsid w:val="00C612F8"/>
    <w:rsid w:val="00C62E44"/>
    <w:rsid w:val="00C63BD8"/>
    <w:rsid w:val="00C65954"/>
    <w:rsid w:val="00C7126B"/>
    <w:rsid w:val="00C72C24"/>
    <w:rsid w:val="00C73468"/>
    <w:rsid w:val="00C74986"/>
    <w:rsid w:val="00C80EC4"/>
    <w:rsid w:val="00C8568E"/>
    <w:rsid w:val="00CA2D67"/>
    <w:rsid w:val="00CA32B5"/>
    <w:rsid w:val="00CB57AD"/>
    <w:rsid w:val="00CC009D"/>
    <w:rsid w:val="00CC584A"/>
    <w:rsid w:val="00CC5E4E"/>
    <w:rsid w:val="00CD0EAB"/>
    <w:rsid w:val="00CD7E8F"/>
    <w:rsid w:val="00CE2AF3"/>
    <w:rsid w:val="00CE621D"/>
    <w:rsid w:val="00CE66E8"/>
    <w:rsid w:val="00D05388"/>
    <w:rsid w:val="00D114CD"/>
    <w:rsid w:val="00D14476"/>
    <w:rsid w:val="00D232FF"/>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4601"/>
    <w:rsid w:val="00D83E46"/>
    <w:rsid w:val="00D847B6"/>
    <w:rsid w:val="00D93958"/>
    <w:rsid w:val="00D951D3"/>
    <w:rsid w:val="00DA1DB9"/>
    <w:rsid w:val="00DA6169"/>
    <w:rsid w:val="00DA7B28"/>
    <w:rsid w:val="00DB5480"/>
    <w:rsid w:val="00DB6317"/>
    <w:rsid w:val="00DC2FC5"/>
    <w:rsid w:val="00DC5AD9"/>
    <w:rsid w:val="00DC691F"/>
    <w:rsid w:val="00DD02DE"/>
    <w:rsid w:val="00DD07B7"/>
    <w:rsid w:val="00DD113C"/>
    <w:rsid w:val="00DD324C"/>
    <w:rsid w:val="00DE0BEB"/>
    <w:rsid w:val="00DE4856"/>
    <w:rsid w:val="00DE4E21"/>
    <w:rsid w:val="00DF485B"/>
    <w:rsid w:val="00DF6877"/>
    <w:rsid w:val="00E0295D"/>
    <w:rsid w:val="00E042BC"/>
    <w:rsid w:val="00E132FE"/>
    <w:rsid w:val="00E21B77"/>
    <w:rsid w:val="00E23352"/>
    <w:rsid w:val="00E40CAD"/>
    <w:rsid w:val="00E40DC7"/>
    <w:rsid w:val="00E4215F"/>
    <w:rsid w:val="00E61D2E"/>
    <w:rsid w:val="00E62B7F"/>
    <w:rsid w:val="00E7066D"/>
    <w:rsid w:val="00E726BC"/>
    <w:rsid w:val="00E72821"/>
    <w:rsid w:val="00E75C82"/>
    <w:rsid w:val="00E81DDC"/>
    <w:rsid w:val="00E81F67"/>
    <w:rsid w:val="00E83400"/>
    <w:rsid w:val="00E83650"/>
    <w:rsid w:val="00E83A31"/>
    <w:rsid w:val="00E93BF5"/>
    <w:rsid w:val="00E97CC0"/>
    <w:rsid w:val="00EA22B8"/>
    <w:rsid w:val="00EA2524"/>
    <w:rsid w:val="00EA33E7"/>
    <w:rsid w:val="00EC092D"/>
    <w:rsid w:val="00EC0DF8"/>
    <w:rsid w:val="00ED378B"/>
    <w:rsid w:val="00ED6D58"/>
    <w:rsid w:val="00EE08F9"/>
    <w:rsid w:val="00EE70B3"/>
    <w:rsid w:val="00EF24AA"/>
    <w:rsid w:val="00EF728A"/>
    <w:rsid w:val="00EF7D0D"/>
    <w:rsid w:val="00F00FF7"/>
    <w:rsid w:val="00F02093"/>
    <w:rsid w:val="00F068E3"/>
    <w:rsid w:val="00F10B5F"/>
    <w:rsid w:val="00F218C1"/>
    <w:rsid w:val="00F321EB"/>
    <w:rsid w:val="00F32B00"/>
    <w:rsid w:val="00F346CF"/>
    <w:rsid w:val="00F3610C"/>
    <w:rsid w:val="00F36839"/>
    <w:rsid w:val="00F52A5F"/>
    <w:rsid w:val="00F55954"/>
    <w:rsid w:val="00F57308"/>
    <w:rsid w:val="00F61962"/>
    <w:rsid w:val="00F62865"/>
    <w:rsid w:val="00F64022"/>
    <w:rsid w:val="00F64660"/>
    <w:rsid w:val="00F74FF3"/>
    <w:rsid w:val="00F97062"/>
    <w:rsid w:val="00F9745D"/>
    <w:rsid w:val="00FA07A9"/>
    <w:rsid w:val="00FA54B2"/>
    <w:rsid w:val="00FC1C43"/>
    <w:rsid w:val="00FC529F"/>
    <w:rsid w:val="00FC7B53"/>
    <w:rsid w:val="00FD48CC"/>
    <w:rsid w:val="00FE0C02"/>
    <w:rsid w:val="00FE62D1"/>
    <w:rsid w:val="00FE7B94"/>
    <w:rsid w:val="00FF0736"/>
    <w:rsid w:val="00FF2515"/>
    <w:rsid w:val="00FF26BF"/>
    <w:rsid w:val="010908A7"/>
    <w:rsid w:val="013B6BB4"/>
    <w:rsid w:val="013C51B0"/>
    <w:rsid w:val="01525581"/>
    <w:rsid w:val="016412A2"/>
    <w:rsid w:val="01651C23"/>
    <w:rsid w:val="018023CE"/>
    <w:rsid w:val="01881AD6"/>
    <w:rsid w:val="019127B6"/>
    <w:rsid w:val="01B71A01"/>
    <w:rsid w:val="01DC03CE"/>
    <w:rsid w:val="01E36F4E"/>
    <w:rsid w:val="020C3478"/>
    <w:rsid w:val="023C5F15"/>
    <w:rsid w:val="023F3FA2"/>
    <w:rsid w:val="028B6D36"/>
    <w:rsid w:val="02985CD5"/>
    <w:rsid w:val="02A741FD"/>
    <w:rsid w:val="02C16E5D"/>
    <w:rsid w:val="02D964CF"/>
    <w:rsid w:val="02DE5ECF"/>
    <w:rsid w:val="02E74073"/>
    <w:rsid w:val="02F713C2"/>
    <w:rsid w:val="0367744E"/>
    <w:rsid w:val="03707410"/>
    <w:rsid w:val="039240A3"/>
    <w:rsid w:val="03993FB4"/>
    <w:rsid w:val="03A0770F"/>
    <w:rsid w:val="03A448B8"/>
    <w:rsid w:val="03C01631"/>
    <w:rsid w:val="03C656A9"/>
    <w:rsid w:val="03F33148"/>
    <w:rsid w:val="0410181F"/>
    <w:rsid w:val="042F3419"/>
    <w:rsid w:val="044566F3"/>
    <w:rsid w:val="044841D6"/>
    <w:rsid w:val="047B4012"/>
    <w:rsid w:val="047F2DDF"/>
    <w:rsid w:val="04815FBF"/>
    <w:rsid w:val="04822497"/>
    <w:rsid w:val="04974587"/>
    <w:rsid w:val="04DF1036"/>
    <w:rsid w:val="050D3BB8"/>
    <w:rsid w:val="0599183C"/>
    <w:rsid w:val="05A97DEC"/>
    <w:rsid w:val="05B23978"/>
    <w:rsid w:val="05C81981"/>
    <w:rsid w:val="060C3203"/>
    <w:rsid w:val="065A6D82"/>
    <w:rsid w:val="069B4E4A"/>
    <w:rsid w:val="06BC41F2"/>
    <w:rsid w:val="06F415CC"/>
    <w:rsid w:val="070E26CD"/>
    <w:rsid w:val="07197D08"/>
    <w:rsid w:val="071E5C55"/>
    <w:rsid w:val="075C1FE5"/>
    <w:rsid w:val="076B4CB0"/>
    <w:rsid w:val="077005AB"/>
    <w:rsid w:val="078F4581"/>
    <w:rsid w:val="07BF027F"/>
    <w:rsid w:val="08031A31"/>
    <w:rsid w:val="08420CAE"/>
    <w:rsid w:val="084C38DA"/>
    <w:rsid w:val="08574B3D"/>
    <w:rsid w:val="08D62ADD"/>
    <w:rsid w:val="08E0126D"/>
    <w:rsid w:val="08E352B9"/>
    <w:rsid w:val="09061A75"/>
    <w:rsid w:val="09182241"/>
    <w:rsid w:val="095F1030"/>
    <w:rsid w:val="09855177"/>
    <w:rsid w:val="09EE5125"/>
    <w:rsid w:val="0A2522FD"/>
    <w:rsid w:val="0A327478"/>
    <w:rsid w:val="0A462748"/>
    <w:rsid w:val="0A4D0C81"/>
    <w:rsid w:val="0A723E95"/>
    <w:rsid w:val="0A733243"/>
    <w:rsid w:val="0A846743"/>
    <w:rsid w:val="0A873F23"/>
    <w:rsid w:val="0AA534D5"/>
    <w:rsid w:val="0AA650EB"/>
    <w:rsid w:val="0AA7129C"/>
    <w:rsid w:val="0AE26205"/>
    <w:rsid w:val="0AF47339"/>
    <w:rsid w:val="0B22594B"/>
    <w:rsid w:val="0B27506F"/>
    <w:rsid w:val="0B9610F4"/>
    <w:rsid w:val="0BBF77A4"/>
    <w:rsid w:val="0BD16C8D"/>
    <w:rsid w:val="0BDF26F7"/>
    <w:rsid w:val="0C027DB2"/>
    <w:rsid w:val="0C2B4952"/>
    <w:rsid w:val="0C322F8A"/>
    <w:rsid w:val="0C4607E5"/>
    <w:rsid w:val="0C516C55"/>
    <w:rsid w:val="0C7B2220"/>
    <w:rsid w:val="0CB67D83"/>
    <w:rsid w:val="0CD20599"/>
    <w:rsid w:val="0CE53018"/>
    <w:rsid w:val="0D0B5B12"/>
    <w:rsid w:val="0D133046"/>
    <w:rsid w:val="0D153F28"/>
    <w:rsid w:val="0D3A0F98"/>
    <w:rsid w:val="0D6A4502"/>
    <w:rsid w:val="0D7415CA"/>
    <w:rsid w:val="0D890E47"/>
    <w:rsid w:val="0DC64A00"/>
    <w:rsid w:val="0DEB5FFA"/>
    <w:rsid w:val="0DF75C46"/>
    <w:rsid w:val="0DFC60BA"/>
    <w:rsid w:val="0E1C06B2"/>
    <w:rsid w:val="0E4379C7"/>
    <w:rsid w:val="0E69691B"/>
    <w:rsid w:val="0E9330B7"/>
    <w:rsid w:val="0EBB5484"/>
    <w:rsid w:val="0EBD5AA3"/>
    <w:rsid w:val="0F407E8F"/>
    <w:rsid w:val="0F5723EF"/>
    <w:rsid w:val="0F5F5360"/>
    <w:rsid w:val="0F662A87"/>
    <w:rsid w:val="0F7C5FF6"/>
    <w:rsid w:val="0F7D04FC"/>
    <w:rsid w:val="0FC63FBD"/>
    <w:rsid w:val="0FDD003F"/>
    <w:rsid w:val="0FF87EA4"/>
    <w:rsid w:val="0FFF7484"/>
    <w:rsid w:val="10066939"/>
    <w:rsid w:val="100B77ED"/>
    <w:rsid w:val="101D47AD"/>
    <w:rsid w:val="10305890"/>
    <w:rsid w:val="103D5A1A"/>
    <w:rsid w:val="105847E5"/>
    <w:rsid w:val="106C564D"/>
    <w:rsid w:val="106E0AED"/>
    <w:rsid w:val="107B7B8F"/>
    <w:rsid w:val="107C67CE"/>
    <w:rsid w:val="10912D03"/>
    <w:rsid w:val="109D68CB"/>
    <w:rsid w:val="10A949B8"/>
    <w:rsid w:val="10AB5D61"/>
    <w:rsid w:val="11144AFE"/>
    <w:rsid w:val="11200D07"/>
    <w:rsid w:val="115E03E3"/>
    <w:rsid w:val="11786AB5"/>
    <w:rsid w:val="118049D4"/>
    <w:rsid w:val="118561F8"/>
    <w:rsid w:val="11942D84"/>
    <w:rsid w:val="11B21219"/>
    <w:rsid w:val="11DA73AF"/>
    <w:rsid w:val="11FC1ECD"/>
    <w:rsid w:val="124D097B"/>
    <w:rsid w:val="12511265"/>
    <w:rsid w:val="126D4818"/>
    <w:rsid w:val="1283614B"/>
    <w:rsid w:val="12856FF3"/>
    <w:rsid w:val="129671FB"/>
    <w:rsid w:val="12A576FF"/>
    <w:rsid w:val="12C60D80"/>
    <w:rsid w:val="130523B3"/>
    <w:rsid w:val="131F7A3A"/>
    <w:rsid w:val="132645D0"/>
    <w:rsid w:val="133D4061"/>
    <w:rsid w:val="13455ABC"/>
    <w:rsid w:val="1370322B"/>
    <w:rsid w:val="13BA0460"/>
    <w:rsid w:val="13BB41AE"/>
    <w:rsid w:val="13C24F9B"/>
    <w:rsid w:val="13C45A18"/>
    <w:rsid w:val="13C9247B"/>
    <w:rsid w:val="13D6515C"/>
    <w:rsid w:val="143B2E0B"/>
    <w:rsid w:val="147C1943"/>
    <w:rsid w:val="148054E9"/>
    <w:rsid w:val="14892735"/>
    <w:rsid w:val="14CC769D"/>
    <w:rsid w:val="14D764D5"/>
    <w:rsid w:val="14EF61BF"/>
    <w:rsid w:val="14F43330"/>
    <w:rsid w:val="150F7FEC"/>
    <w:rsid w:val="15436F05"/>
    <w:rsid w:val="15691FE3"/>
    <w:rsid w:val="158B5DDD"/>
    <w:rsid w:val="15B11221"/>
    <w:rsid w:val="15C16EB3"/>
    <w:rsid w:val="15CB76C9"/>
    <w:rsid w:val="15D359D7"/>
    <w:rsid w:val="160E7A2C"/>
    <w:rsid w:val="16317A1A"/>
    <w:rsid w:val="163C77BE"/>
    <w:rsid w:val="164A3F23"/>
    <w:rsid w:val="16573587"/>
    <w:rsid w:val="165C5C7C"/>
    <w:rsid w:val="1679588C"/>
    <w:rsid w:val="168C2855"/>
    <w:rsid w:val="16994962"/>
    <w:rsid w:val="16A233CF"/>
    <w:rsid w:val="16A71041"/>
    <w:rsid w:val="16AA0969"/>
    <w:rsid w:val="16AA24BF"/>
    <w:rsid w:val="16F871DC"/>
    <w:rsid w:val="171D3FE1"/>
    <w:rsid w:val="17680CAB"/>
    <w:rsid w:val="176E4128"/>
    <w:rsid w:val="17725CE9"/>
    <w:rsid w:val="1783371F"/>
    <w:rsid w:val="178E48DA"/>
    <w:rsid w:val="17C93012"/>
    <w:rsid w:val="17E62B67"/>
    <w:rsid w:val="180F4499"/>
    <w:rsid w:val="182201B4"/>
    <w:rsid w:val="18221ECE"/>
    <w:rsid w:val="183C3D90"/>
    <w:rsid w:val="1859036F"/>
    <w:rsid w:val="18681814"/>
    <w:rsid w:val="18B0649B"/>
    <w:rsid w:val="18D418FC"/>
    <w:rsid w:val="18E5143F"/>
    <w:rsid w:val="18E83469"/>
    <w:rsid w:val="18EE09EE"/>
    <w:rsid w:val="18FC7745"/>
    <w:rsid w:val="19117D89"/>
    <w:rsid w:val="192F3B7C"/>
    <w:rsid w:val="19353F17"/>
    <w:rsid w:val="19864975"/>
    <w:rsid w:val="19864EEB"/>
    <w:rsid w:val="19D1065C"/>
    <w:rsid w:val="19DD405E"/>
    <w:rsid w:val="1A460CF5"/>
    <w:rsid w:val="1A7F297D"/>
    <w:rsid w:val="1A9D6244"/>
    <w:rsid w:val="1AB16AC1"/>
    <w:rsid w:val="1ABF1CEA"/>
    <w:rsid w:val="1B014DDE"/>
    <w:rsid w:val="1B0320FB"/>
    <w:rsid w:val="1B034A52"/>
    <w:rsid w:val="1B2640F6"/>
    <w:rsid w:val="1B45344E"/>
    <w:rsid w:val="1B5D76FB"/>
    <w:rsid w:val="1B683578"/>
    <w:rsid w:val="1B8C0040"/>
    <w:rsid w:val="1BDE2F66"/>
    <w:rsid w:val="1C750ECE"/>
    <w:rsid w:val="1CA56AF4"/>
    <w:rsid w:val="1CD667CB"/>
    <w:rsid w:val="1D0E1D36"/>
    <w:rsid w:val="1D196139"/>
    <w:rsid w:val="1D372585"/>
    <w:rsid w:val="1D5E02D1"/>
    <w:rsid w:val="1D7F0ED0"/>
    <w:rsid w:val="1D921938"/>
    <w:rsid w:val="1DBB6100"/>
    <w:rsid w:val="1DBE6816"/>
    <w:rsid w:val="1DCB4FF1"/>
    <w:rsid w:val="1DF20D7E"/>
    <w:rsid w:val="1E010AF7"/>
    <w:rsid w:val="1E1C405A"/>
    <w:rsid w:val="1E2E29E0"/>
    <w:rsid w:val="1E301173"/>
    <w:rsid w:val="1E326750"/>
    <w:rsid w:val="1E884D18"/>
    <w:rsid w:val="1ED8781E"/>
    <w:rsid w:val="1EDD3235"/>
    <w:rsid w:val="1F1102B0"/>
    <w:rsid w:val="1F2F1047"/>
    <w:rsid w:val="1F2F2B69"/>
    <w:rsid w:val="1F43381C"/>
    <w:rsid w:val="1F781224"/>
    <w:rsid w:val="1F8A40F2"/>
    <w:rsid w:val="1F8A60AC"/>
    <w:rsid w:val="1FA4148D"/>
    <w:rsid w:val="1FBB4C72"/>
    <w:rsid w:val="1FC10FAB"/>
    <w:rsid w:val="1FC65577"/>
    <w:rsid w:val="1FD82385"/>
    <w:rsid w:val="1FF274ED"/>
    <w:rsid w:val="20121621"/>
    <w:rsid w:val="20147D79"/>
    <w:rsid w:val="201636E2"/>
    <w:rsid w:val="202E3F6D"/>
    <w:rsid w:val="20325F7E"/>
    <w:rsid w:val="204E554F"/>
    <w:rsid w:val="20590035"/>
    <w:rsid w:val="205D0B10"/>
    <w:rsid w:val="209033C5"/>
    <w:rsid w:val="20E5011E"/>
    <w:rsid w:val="20FC799E"/>
    <w:rsid w:val="21101BAA"/>
    <w:rsid w:val="21286DA7"/>
    <w:rsid w:val="2134683B"/>
    <w:rsid w:val="219068BB"/>
    <w:rsid w:val="21C82E72"/>
    <w:rsid w:val="21DE0801"/>
    <w:rsid w:val="21DE339D"/>
    <w:rsid w:val="22154DDD"/>
    <w:rsid w:val="22336873"/>
    <w:rsid w:val="22396826"/>
    <w:rsid w:val="22412CD8"/>
    <w:rsid w:val="225471A3"/>
    <w:rsid w:val="225E34DC"/>
    <w:rsid w:val="227D1295"/>
    <w:rsid w:val="22AB3B7D"/>
    <w:rsid w:val="22AF3A08"/>
    <w:rsid w:val="22F92F75"/>
    <w:rsid w:val="23016445"/>
    <w:rsid w:val="23BB4E7D"/>
    <w:rsid w:val="23C172D6"/>
    <w:rsid w:val="23D77537"/>
    <w:rsid w:val="23E6195D"/>
    <w:rsid w:val="23F04F64"/>
    <w:rsid w:val="240A282A"/>
    <w:rsid w:val="24814CBE"/>
    <w:rsid w:val="24AC168B"/>
    <w:rsid w:val="24BB6664"/>
    <w:rsid w:val="24BD406A"/>
    <w:rsid w:val="24D23A61"/>
    <w:rsid w:val="250C5ED9"/>
    <w:rsid w:val="250E1318"/>
    <w:rsid w:val="25467247"/>
    <w:rsid w:val="254D0389"/>
    <w:rsid w:val="25884C5D"/>
    <w:rsid w:val="258C3BEC"/>
    <w:rsid w:val="25A03144"/>
    <w:rsid w:val="25B2479F"/>
    <w:rsid w:val="25C15C5D"/>
    <w:rsid w:val="25D329B9"/>
    <w:rsid w:val="25E5427A"/>
    <w:rsid w:val="26276A31"/>
    <w:rsid w:val="26366F9D"/>
    <w:rsid w:val="263B1230"/>
    <w:rsid w:val="2642752B"/>
    <w:rsid w:val="26485508"/>
    <w:rsid w:val="26554808"/>
    <w:rsid w:val="26607D95"/>
    <w:rsid w:val="26700955"/>
    <w:rsid w:val="268166B9"/>
    <w:rsid w:val="26A16AE9"/>
    <w:rsid w:val="26A605D9"/>
    <w:rsid w:val="26AD0500"/>
    <w:rsid w:val="26B121A3"/>
    <w:rsid w:val="27007A4A"/>
    <w:rsid w:val="272E3097"/>
    <w:rsid w:val="272E6F74"/>
    <w:rsid w:val="277E6655"/>
    <w:rsid w:val="27933DEA"/>
    <w:rsid w:val="27AF30E6"/>
    <w:rsid w:val="27B36A67"/>
    <w:rsid w:val="27BE6794"/>
    <w:rsid w:val="281971E2"/>
    <w:rsid w:val="281E404F"/>
    <w:rsid w:val="28302479"/>
    <w:rsid w:val="2846581F"/>
    <w:rsid w:val="284A5CA4"/>
    <w:rsid w:val="28565B0B"/>
    <w:rsid w:val="286602C8"/>
    <w:rsid w:val="28665C95"/>
    <w:rsid w:val="28716D1C"/>
    <w:rsid w:val="28736F5F"/>
    <w:rsid w:val="28833BE9"/>
    <w:rsid w:val="28851EB4"/>
    <w:rsid w:val="28B01D1E"/>
    <w:rsid w:val="28C2628C"/>
    <w:rsid w:val="28CC3373"/>
    <w:rsid w:val="28F579BA"/>
    <w:rsid w:val="290B3EB9"/>
    <w:rsid w:val="292728C1"/>
    <w:rsid w:val="292C7FA1"/>
    <w:rsid w:val="2940493E"/>
    <w:rsid w:val="2950768C"/>
    <w:rsid w:val="297A5FC4"/>
    <w:rsid w:val="29B41DA5"/>
    <w:rsid w:val="29E14657"/>
    <w:rsid w:val="29E474B8"/>
    <w:rsid w:val="29E64457"/>
    <w:rsid w:val="29ED574B"/>
    <w:rsid w:val="29FA2D3E"/>
    <w:rsid w:val="29FE5CE6"/>
    <w:rsid w:val="2A600C13"/>
    <w:rsid w:val="2A633B90"/>
    <w:rsid w:val="2A68500A"/>
    <w:rsid w:val="2A743AE8"/>
    <w:rsid w:val="2A8D4F8F"/>
    <w:rsid w:val="2A901BEE"/>
    <w:rsid w:val="2A917B34"/>
    <w:rsid w:val="2A9308A8"/>
    <w:rsid w:val="2A9475FF"/>
    <w:rsid w:val="2A9F5AB8"/>
    <w:rsid w:val="2AAA0AA2"/>
    <w:rsid w:val="2AD74E8C"/>
    <w:rsid w:val="2AE3766F"/>
    <w:rsid w:val="2AEC612E"/>
    <w:rsid w:val="2B0E56AB"/>
    <w:rsid w:val="2B276305"/>
    <w:rsid w:val="2B54704F"/>
    <w:rsid w:val="2B590601"/>
    <w:rsid w:val="2B7E4054"/>
    <w:rsid w:val="2BA45A85"/>
    <w:rsid w:val="2BB12905"/>
    <w:rsid w:val="2BBA6A76"/>
    <w:rsid w:val="2BCC03D1"/>
    <w:rsid w:val="2C0C6D59"/>
    <w:rsid w:val="2C787BAC"/>
    <w:rsid w:val="2C8903AA"/>
    <w:rsid w:val="2C8E776E"/>
    <w:rsid w:val="2C8E7BB8"/>
    <w:rsid w:val="2C987C56"/>
    <w:rsid w:val="2CA156F3"/>
    <w:rsid w:val="2CC11460"/>
    <w:rsid w:val="2CC15BAA"/>
    <w:rsid w:val="2CDC3153"/>
    <w:rsid w:val="2CDF621C"/>
    <w:rsid w:val="2CE136D7"/>
    <w:rsid w:val="2CFE7A11"/>
    <w:rsid w:val="2CFF149A"/>
    <w:rsid w:val="2D201865"/>
    <w:rsid w:val="2D2F67DA"/>
    <w:rsid w:val="2D4B5CEA"/>
    <w:rsid w:val="2D4C5B4C"/>
    <w:rsid w:val="2D4C6B07"/>
    <w:rsid w:val="2D514661"/>
    <w:rsid w:val="2D652658"/>
    <w:rsid w:val="2D964A56"/>
    <w:rsid w:val="2DC16E0A"/>
    <w:rsid w:val="2DC80C49"/>
    <w:rsid w:val="2DCA6355"/>
    <w:rsid w:val="2DD85F0E"/>
    <w:rsid w:val="2E166748"/>
    <w:rsid w:val="2E2054A0"/>
    <w:rsid w:val="2E482374"/>
    <w:rsid w:val="2E556F01"/>
    <w:rsid w:val="2E8345A7"/>
    <w:rsid w:val="2E8E20B4"/>
    <w:rsid w:val="2EAA7BAE"/>
    <w:rsid w:val="2EC0235F"/>
    <w:rsid w:val="2EC1207D"/>
    <w:rsid w:val="2ED06066"/>
    <w:rsid w:val="2ED1223D"/>
    <w:rsid w:val="2F000139"/>
    <w:rsid w:val="2F1B303D"/>
    <w:rsid w:val="2F3925CB"/>
    <w:rsid w:val="2F6443CD"/>
    <w:rsid w:val="2F65799D"/>
    <w:rsid w:val="2F9F42DC"/>
    <w:rsid w:val="2FAC3772"/>
    <w:rsid w:val="2FBC2844"/>
    <w:rsid w:val="2FC32F68"/>
    <w:rsid w:val="2FF37AB3"/>
    <w:rsid w:val="30210B8A"/>
    <w:rsid w:val="30224DC7"/>
    <w:rsid w:val="303265F2"/>
    <w:rsid w:val="303B4C3F"/>
    <w:rsid w:val="303C659C"/>
    <w:rsid w:val="30476D7A"/>
    <w:rsid w:val="3073310C"/>
    <w:rsid w:val="309D6BE6"/>
    <w:rsid w:val="30AA1790"/>
    <w:rsid w:val="30EE385E"/>
    <w:rsid w:val="30F85AFE"/>
    <w:rsid w:val="31170995"/>
    <w:rsid w:val="31264A30"/>
    <w:rsid w:val="312651F8"/>
    <w:rsid w:val="31884E67"/>
    <w:rsid w:val="31A0275E"/>
    <w:rsid w:val="31A67308"/>
    <w:rsid w:val="31B91526"/>
    <w:rsid w:val="31EF0041"/>
    <w:rsid w:val="320107F5"/>
    <w:rsid w:val="326A0524"/>
    <w:rsid w:val="32986C45"/>
    <w:rsid w:val="32AB70C5"/>
    <w:rsid w:val="32F50547"/>
    <w:rsid w:val="33247607"/>
    <w:rsid w:val="33487C23"/>
    <w:rsid w:val="335D0AF5"/>
    <w:rsid w:val="3370088C"/>
    <w:rsid w:val="33735C77"/>
    <w:rsid w:val="339A687B"/>
    <w:rsid w:val="33C14594"/>
    <w:rsid w:val="33DC2F78"/>
    <w:rsid w:val="3428227C"/>
    <w:rsid w:val="343230D5"/>
    <w:rsid w:val="3439428E"/>
    <w:rsid w:val="347918A5"/>
    <w:rsid w:val="349D37D5"/>
    <w:rsid w:val="34A61BDE"/>
    <w:rsid w:val="3522586C"/>
    <w:rsid w:val="35572473"/>
    <w:rsid w:val="35602226"/>
    <w:rsid w:val="356B72E7"/>
    <w:rsid w:val="356D2AC8"/>
    <w:rsid w:val="3572424F"/>
    <w:rsid w:val="35866014"/>
    <w:rsid w:val="359E5CE0"/>
    <w:rsid w:val="362B215D"/>
    <w:rsid w:val="363E0D05"/>
    <w:rsid w:val="367801A9"/>
    <w:rsid w:val="36AD519D"/>
    <w:rsid w:val="36B57705"/>
    <w:rsid w:val="36CB08C5"/>
    <w:rsid w:val="36DC1DD3"/>
    <w:rsid w:val="37090CD6"/>
    <w:rsid w:val="37122320"/>
    <w:rsid w:val="372F6E95"/>
    <w:rsid w:val="373E6129"/>
    <w:rsid w:val="3754697A"/>
    <w:rsid w:val="37636A21"/>
    <w:rsid w:val="37883E50"/>
    <w:rsid w:val="37A103ED"/>
    <w:rsid w:val="37A367C3"/>
    <w:rsid w:val="37BD33EE"/>
    <w:rsid w:val="37C24FF3"/>
    <w:rsid w:val="37E02B23"/>
    <w:rsid w:val="37E345A6"/>
    <w:rsid w:val="37EA5E6E"/>
    <w:rsid w:val="37FF016F"/>
    <w:rsid w:val="382A6E2D"/>
    <w:rsid w:val="38534B1D"/>
    <w:rsid w:val="386E4145"/>
    <w:rsid w:val="387C5ABE"/>
    <w:rsid w:val="38B66D0C"/>
    <w:rsid w:val="38EB6119"/>
    <w:rsid w:val="38ED3021"/>
    <w:rsid w:val="392D500E"/>
    <w:rsid w:val="396678D9"/>
    <w:rsid w:val="39736669"/>
    <w:rsid w:val="397A0ADB"/>
    <w:rsid w:val="39954B2B"/>
    <w:rsid w:val="39D56238"/>
    <w:rsid w:val="39DA2245"/>
    <w:rsid w:val="39E66E3B"/>
    <w:rsid w:val="39FD4CC2"/>
    <w:rsid w:val="3A51228C"/>
    <w:rsid w:val="3A545E48"/>
    <w:rsid w:val="3A552E60"/>
    <w:rsid w:val="3A5D642F"/>
    <w:rsid w:val="3A744447"/>
    <w:rsid w:val="3A78219D"/>
    <w:rsid w:val="3A995C5C"/>
    <w:rsid w:val="3AB210FC"/>
    <w:rsid w:val="3B043A1D"/>
    <w:rsid w:val="3B212C76"/>
    <w:rsid w:val="3B793A48"/>
    <w:rsid w:val="3B85393E"/>
    <w:rsid w:val="3B8D1846"/>
    <w:rsid w:val="3BCA4B8A"/>
    <w:rsid w:val="3BCD72F7"/>
    <w:rsid w:val="3BF4153E"/>
    <w:rsid w:val="3C37146A"/>
    <w:rsid w:val="3C3D3625"/>
    <w:rsid w:val="3C414142"/>
    <w:rsid w:val="3C5B725E"/>
    <w:rsid w:val="3C88055A"/>
    <w:rsid w:val="3C9D5744"/>
    <w:rsid w:val="3CAF79B9"/>
    <w:rsid w:val="3CB35097"/>
    <w:rsid w:val="3CF737A2"/>
    <w:rsid w:val="3D10295A"/>
    <w:rsid w:val="3D184041"/>
    <w:rsid w:val="3D370C2A"/>
    <w:rsid w:val="3D414FC0"/>
    <w:rsid w:val="3D7D049C"/>
    <w:rsid w:val="3DC4250E"/>
    <w:rsid w:val="3DE20EAE"/>
    <w:rsid w:val="3DEF3701"/>
    <w:rsid w:val="3E0572FD"/>
    <w:rsid w:val="3E0720FE"/>
    <w:rsid w:val="3E2819F6"/>
    <w:rsid w:val="3E287A22"/>
    <w:rsid w:val="3E4719D2"/>
    <w:rsid w:val="3E5A7FE7"/>
    <w:rsid w:val="3E955A6A"/>
    <w:rsid w:val="3E964D81"/>
    <w:rsid w:val="3EBA1F32"/>
    <w:rsid w:val="3EEF6FFF"/>
    <w:rsid w:val="3EF66B2E"/>
    <w:rsid w:val="3F217914"/>
    <w:rsid w:val="3F5D44A8"/>
    <w:rsid w:val="3FD70BB0"/>
    <w:rsid w:val="3FF1740C"/>
    <w:rsid w:val="3FF542A0"/>
    <w:rsid w:val="3FFB55AC"/>
    <w:rsid w:val="40017152"/>
    <w:rsid w:val="400A057C"/>
    <w:rsid w:val="401C5F9D"/>
    <w:rsid w:val="401C690C"/>
    <w:rsid w:val="401D7195"/>
    <w:rsid w:val="402D6138"/>
    <w:rsid w:val="40480D12"/>
    <w:rsid w:val="405C1C05"/>
    <w:rsid w:val="407A652F"/>
    <w:rsid w:val="40825D97"/>
    <w:rsid w:val="409928E7"/>
    <w:rsid w:val="40997CFE"/>
    <w:rsid w:val="409C35A8"/>
    <w:rsid w:val="40A06CB8"/>
    <w:rsid w:val="40C45B55"/>
    <w:rsid w:val="40CE3DC0"/>
    <w:rsid w:val="40D7455A"/>
    <w:rsid w:val="40E743E5"/>
    <w:rsid w:val="40EB4012"/>
    <w:rsid w:val="410A1661"/>
    <w:rsid w:val="41246142"/>
    <w:rsid w:val="412D5EA0"/>
    <w:rsid w:val="416D78C7"/>
    <w:rsid w:val="41734CBA"/>
    <w:rsid w:val="417F4E1A"/>
    <w:rsid w:val="41A82190"/>
    <w:rsid w:val="41DE5999"/>
    <w:rsid w:val="41E1181A"/>
    <w:rsid w:val="41E32A20"/>
    <w:rsid w:val="41FA3241"/>
    <w:rsid w:val="420F7A65"/>
    <w:rsid w:val="4216611A"/>
    <w:rsid w:val="423E300F"/>
    <w:rsid w:val="425656C8"/>
    <w:rsid w:val="4257273C"/>
    <w:rsid w:val="42687ACE"/>
    <w:rsid w:val="4285733F"/>
    <w:rsid w:val="429E6041"/>
    <w:rsid w:val="42BF4B02"/>
    <w:rsid w:val="42C84B75"/>
    <w:rsid w:val="42FD694D"/>
    <w:rsid w:val="43525542"/>
    <w:rsid w:val="43756751"/>
    <w:rsid w:val="437D6687"/>
    <w:rsid w:val="438351F5"/>
    <w:rsid w:val="438D35EA"/>
    <w:rsid w:val="43BC1E57"/>
    <w:rsid w:val="43D23F8D"/>
    <w:rsid w:val="43D43F1D"/>
    <w:rsid w:val="43E575E4"/>
    <w:rsid w:val="43FA5777"/>
    <w:rsid w:val="44023422"/>
    <w:rsid w:val="44184A2D"/>
    <w:rsid w:val="441C1611"/>
    <w:rsid w:val="443C440B"/>
    <w:rsid w:val="44506DE3"/>
    <w:rsid w:val="44514F52"/>
    <w:rsid w:val="44761C8F"/>
    <w:rsid w:val="449722E3"/>
    <w:rsid w:val="449D7B09"/>
    <w:rsid w:val="44AE3FD4"/>
    <w:rsid w:val="44D0586F"/>
    <w:rsid w:val="44FA2D53"/>
    <w:rsid w:val="4504751B"/>
    <w:rsid w:val="453C4912"/>
    <w:rsid w:val="455751FA"/>
    <w:rsid w:val="45627191"/>
    <w:rsid w:val="45687813"/>
    <w:rsid w:val="456E7B7D"/>
    <w:rsid w:val="4571374F"/>
    <w:rsid w:val="458B1BB0"/>
    <w:rsid w:val="45AD31D6"/>
    <w:rsid w:val="45B93426"/>
    <w:rsid w:val="464C6420"/>
    <w:rsid w:val="46552F9B"/>
    <w:rsid w:val="467A0297"/>
    <w:rsid w:val="468B7125"/>
    <w:rsid w:val="46B506EF"/>
    <w:rsid w:val="46BC1F6E"/>
    <w:rsid w:val="46BE737D"/>
    <w:rsid w:val="46C4691F"/>
    <w:rsid w:val="46CB53EF"/>
    <w:rsid w:val="46CE645F"/>
    <w:rsid w:val="470F5A71"/>
    <w:rsid w:val="47334CFC"/>
    <w:rsid w:val="47685427"/>
    <w:rsid w:val="4779499C"/>
    <w:rsid w:val="479C6284"/>
    <w:rsid w:val="479D1D34"/>
    <w:rsid w:val="47B609C0"/>
    <w:rsid w:val="47EC3B04"/>
    <w:rsid w:val="47EC6277"/>
    <w:rsid w:val="481A219B"/>
    <w:rsid w:val="482D31EA"/>
    <w:rsid w:val="48594C7C"/>
    <w:rsid w:val="485970A0"/>
    <w:rsid w:val="485D6BD9"/>
    <w:rsid w:val="48667F79"/>
    <w:rsid w:val="486A6E89"/>
    <w:rsid w:val="48702E73"/>
    <w:rsid w:val="48733A6E"/>
    <w:rsid w:val="48823516"/>
    <w:rsid w:val="48877686"/>
    <w:rsid w:val="48B176C2"/>
    <w:rsid w:val="48B65C71"/>
    <w:rsid w:val="48FB1909"/>
    <w:rsid w:val="491574F4"/>
    <w:rsid w:val="491F266E"/>
    <w:rsid w:val="492E6A57"/>
    <w:rsid w:val="495839AA"/>
    <w:rsid w:val="49771AFE"/>
    <w:rsid w:val="49802948"/>
    <w:rsid w:val="4986089F"/>
    <w:rsid w:val="498B5309"/>
    <w:rsid w:val="499E6DEB"/>
    <w:rsid w:val="499F0AAB"/>
    <w:rsid w:val="49C33FF5"/>
    <w:rsid w:val="49C63D13"/>
    <w:rsid w:val="49DB11EC"/>
    <w:rsid w:val="49E22068"/>
    <w:rsid w:val="49E31DD1"/>
    <w:rsid w:val="49E64E2B"/>
    <w:rsid w:val="49E82ED4"/>
    <w:rsid w:val="4A0030EE"/>
    <w:rsid w:val="4A0568D6"/>
    <w:rsid w:val="4A0C4F3C"/>
    <w:rsid w:val="4A484D41"/>
    <w:rsid w:val="4A6D15F8"/>
    <w:rsid w:val="4A8C4FB8"/>
    <w:rsid w:val="4A9A25BD"/>
    <w:rsid w:val="4A9E0551"/>
    <w:rsid w:val="4AA03D78"/>
    <w:rsid w:val="4AAB17DF"/>
    <w:rsid w:val="4AB542AE"/>
    <w:rsid w:val="4ABA7AB3"/>
    <w:rsid w:val="4AF72FEA"/>
    <w:rsid w:val="4B243D9D"/>
    <w:rsid w:val="4B5B54F0"/>
    <w:rsid w:val="4B645524"/>
    <w:rsid w:val="4B8C2DEB"/>
    <w:rsid w:val="4BBC7B41"/>
    <w:rsid w:val="4BC423D3"/>
    <w:rsid w:val="4BFA3C9F"/>
    <w:rsid w:val="4C042674"/>
    <w:rsid w:val="4C107F48"/>
    <w:rsid w:val="4C3277BC"/>
    <w:rsid w:val="4C5C442D"/>
    <w:rsid w:val="4C6D42A9"/>
    <w:rsid w:val="4C716A38"/>
    <w:rsid w:val="4C7811FA"/>
    <w:rsid w:val="4CC0351C"/>
    <w:rsid w:val="4CC353EB"/>
    <w:rsid w:val="4CE64E14"/>
    <w:rsid w:val="4CF36F3C"/>
    <w:rsid w:val="4D00189F"/>
    <w:rsid w:val="4D007BC8"/>
    <w:rsid w:val="4D1470BD"/>
    <w:rsid w:val="4D154882"/>
    <w:rsid w:val="4D1C3C50"/>
    <w:rsid w:val="4D603399"/>
    <w:rsid w:val="4D664F64"/>
    <w:rsid w:val="4D6A7284"/>
    <w:rsid w:val="4D867EE1"/>
    <w:rsid w:val="4DB07591"/>
    <w:rsid w:val="4DBC4C65"/>
    <w:rsid w:val="4DE2009B"/>
    <w:rsid w:val="4E0F235E"/>
    <w:rsid w:val="4E157689"/>
    <w:rsid w:val="4E533FA5"/>
    <w:rsid w:val="4E550010"/>
    <w:rsid w:val="4E5964E9"/>
    <w:rsid w:val="4E5F14CB"/>
    <w:rsid w:val="4E6808B0"/>
    <w:rsid w:val="4EC00DDD"/>
    <w:rsid w:val="4EE334F2"/>
    <w:rsid w:val="4EF265BE"/>
    <w:rsid w:val="4EFB1C45"/>
    <w:rsid w:val="4F0C2A48"/>
    <w:rsid w:val="4F26273B"/>
    <w:rsid w:val="4F2D3A8A"/>
    <w:rsid w:val="4F32478A"/>
    <w:rsid w:val="4F3705F8"/>
    <w:rsid w:val="4F785B69"/>
    <w:rsid w:val="4F9714A0"/>
    <w:rsid w:val="4FAC3540"/>
    <w:rsid w:val="4FC56ABD"/>
    <w:rsid w:val="4FC97CE0"/>
    <w:rsid w:val="4FCF1583"/>
    <w:rsid w:val="4FD23E66"/>
    <w:rsid w:val="4FD44D1B"/>
    <w:rsid w:val="4FDC066D"/>
    <w:rsid w:val="4FFA51E8"/>
    <w:rsid w:val="4FFA7625"/>
    <w:rsid w:val="500A39E0"/>
    <w:rsid w:val="50453E7E"/>
    <w:rsid w:val="50485BA4"/>
    <w:rsid w:val="506E2624"/>
    <w:rsid w:val="507D2599"/>
    <w:rsid w:val="508F08E7"/>
    <w:rsid w:val="5096229D"/>
    <w:rsid w:val="509E157D"/>
    <w:rsid w:val="50D33FC7"/>
    <w:rsid w:val="50DA3350"/>
    <w:rsid w:val="50DC4184"/>
    <w:rsid w:val="50E71CBA"/>
    <w:rsid w:val="50FB6146"/>
    <w:rsid w:val="512F4CA0"/>
    <w:rsid w:val="51323DB9"/>
    <w:rsid w:val="51361FFF"/>
    <w:rsid w:val="513723D1"/>
    <w:rsid w:val="514C3EA7"/>
    <w:rsid w:val="51551AFE"/>
    <w:rsid w:val="51FF3C99"/>
    <w:rsid w:val="52363D4D"/>
    <w:rsid w:val="52521A20"/>
    <w:rsid w:val="52AC4ABC"/>
    <w:rsid w:val="52C201B9"/>
    <w:rsid w:val="52E57A12"/>
    <w:rsid w:val="52F20B62"/>
    <w:rsid w:val="533D5945"/>
    <w:rsid w:val="538152F3"/>
    <w:rsid w:val="53827E49"/>
    <w:rsid w:val="538A6BB9"/>
    <w:rsid w:val="539964FD"/>
    <w:rsid w:val="539C1B81"/>
    <w:rsid w:val="53A447B1"/>
    <w:rsid w:val="53AE750F"/>
    <w:rsid w:val="53D00C67"/>
    <w:rsid w:val="53D224B3"/>
    <w:rsid w:val="53DF06D8"/>
    <w:rsid w:val="53F81D96"/>
    <w:rsid w:val="544B5214"/>
    <w:rsid w:val="546B0405"/>
    <w:rsid w:val="549A6BFA"/>
    <w:rsid w:val="54B36A7C"/>
    <w:rsid w:val="54D933CD"/>
    <w:rsid w:val="55244D7F"/>
    <w:rsid w:val="55362287"/>
    <w:rsid w:val="55432F3C"/>
    <w:rsid w:val="555016D2"/>
    <w:rsid w:val="556D2820"/>
    <w:rsid w:val="55C3227E"/>
    <w:rsid w:val="55FA2961"/>
    <w:rsid w:val="5602250F"/>
    <w:rsid w:val="564220BA"/>
    <w:rsid w:val="565E7F4F"/>
    <w:rsid w:val="565F3DA6"/>
    <w:rsid w:val="56914056"/>
    <w:rsid w:val="56C36589"/>
    <w:rsid w:val="570D55B0"/>
    <w:rsid w:val="57293C95"/>
    <w:rsid w:val="572A6381"/>
    <w:rsid w:val="572B41B4"/>
    <w:rsid w:val="572E079D"/>
    <w:rsid w:val="57365868"/>
    <w:rsid w:val="573C1959"/>
    <w:rsid w:val="574D746C"/>
    <w:rsid w:val="57F12ED6"/>
    <w:rsid w:val="57F65317"/>
    <w:rsid w:val="57FC2169"/>
    <w:rsid w:val="58024015"/>
    <w:rsid w:val="58096275"/>
    <w:rsid w:val="5819544F"/>
    <w:rsid w:val="582E6EF7"/>
    <w:rsid w:val="584E30E6"/>
    <w:rsid w:val="58546EFD"/>
    <w:rsid w:val="58E26731"/>
    <w:rsid w:val="590E4A97"/>
    <w:rsid w:val="591250FF"/>
    <w:rsid w:val="5920012C"/>
    <w:rsid w:val="592B1244"/>
    <w:rsid w:val="593100CE"/>
    <w:rsid w:val="594714AD"/>
    <w:rsid w:val="595578DE"/>
    <w:rsid w:val="597B384D"/>
    <w:rsid w:val="59996DA8"/>
    <w:rsid w:val="599C05DE"/>
    <w:rsid w:val="59C30F1B"/>
    <w:rsid w:val="5A8C20D0"/>
    <w:rsid w:val="5AC7121C"/>
    <w:rsid w:val="5AD90B8D"/>
    <w:rsid w:val="5AE12927"/>
    <w:rsid w:val="5AE35472"/>
    <w:rsid w:val="5AF41CF3"/>
    <w:rsid w:val="5AF87CC9"/>
    <w:rsid w:val="5B19477F"/>
    <w:rsid w:val="5B4E1A44"/>
    <w:rsid w:val="5B774ED6"/>
    <w:rsid w:val="5B873201"/>
    <w:rsid w:val="5B967767"/>
    <w:rsid w:val="5B9D1624"/>
    <w:rsid w:val="5C0C2FF6"/>
    <w:rsid w:val="5C1241CC"/>
    <w:rsid w:val="5C286807"/>
    <w:rsid w:val="5C370E72"/>
    <w:rsid w:val="5C446BC8"/>
    <w:rsid w:val="5C4529E1"/>
    <w:rsid w:val="5C4B56E1"/>
    <w:rsid w:val="5C7146B1"/>
    <w:rsid w:val="5C7C2768"/>
    <w:rsid w:val="5CB23AE6"/>
    <w:rsid w:val="5CDC0A42"/>
    <w:rsid w:val="5CED5863"/>
    <w:rsid w:val="5D0D6DF5"/>
    <w:rsid w:val="5D580A8A"/>
    <w:rsid w:val="5D893B14"/>
    <w:rsid w:val="5DB42C29"/>
    <w:rsid w:val="5E291636"/>
    <w:rsid w:val="5E6F64A1"/>
    <w:rsid w:val="5E7E7421"/>
    <w:rsid w:val="5E8B0770"/>
    <w:rsid w:val="5E8E03DB"/>
    <w:rsid w:val="5EA06921"/>
    <w:rsid w:val="5EA902B4"/>
    <w:rsid w:val="5EBA259F"/>
    <w:rsid w:val="5EE97BB4"/>
    <w:rsid w:val="5F085DDA"/>
    <w:rsid w:val="5F2E2D52"/>
    <w:rsid w:val="5F54198B"/>
    <w:rsid w:val="5F546D2C"/>
    <w:rsid w:val="5F9D1350"/>
    <w:rsid w:val="5FBE370A"/>
    <w:rsid w:val="5FC83407"/>
    <w:rsid w:val="5FD56E87"/>
    <w:rsid w:val="5FF0558C"/>
    <w:rsid w:val="601A27F4"/>
    <w:rsid w:val="60292845"/>
    <w:rsid w:val="605238CF"/>
    <w:rsid w:val="6053694F"/>
    <w:rsid w:val="607921FE"/>
    <w:rsid w:val="608F62AE"/>
    <w:rsid w:val="60B9251B"/>
    <w:rsid w:val="60E236C1"/>
    <w:rsid w:val="611911B1"/>
    <w:rsid w:val="61260B6B"/>
    <w:rsid w:val="612B3ABB"/>
    <w:rsid w:val="612E1A5D"/>
    <w:rsid w:val="614E5D7E"/>
    <w:rsid w:val="61560892"/>
    <w:rsid w:val="61770BF8"/>
    <w:rsid w:val="61816046"/>
    <w:rsid w:val="61C81AB1"/>
    <w:rsid w:val="61D417B9"/>
    <w:rsid w:val="61F90DBC"/>
    <w:rsid w:val="620B0059"/>
    <w:rsid w:val="62391564"/>
    <w:rsid w:val="623F0B7F"/>
    <w:rsid w:val="624A22BE"/>
    <w:rsid w:val="626E235A"/>
    <w:rsid w:val="626F60D5"/>
    <w:rsid w:val="62816669"/>
    <w:rsid w:val="6282086D"/>
    <w:rsid w:val="62B36CD7"/>
    <w:rsid w:val="62BA0953"/>
    <w:rsid w:val="62D03A7C"/>
    <w:rsid w:val="62F42FAE"/>
    <w:rsid w:val="62F648FE"/>
    <w:rsid w:val="63167A4F"/>
    <w:rsid w:val="631D2BD6"/>
    <w:rsid w:val="635356F3"/>
    <w:rsid w:val="635D6064"/>
    <w:rsid w:val="637D5B70"/>
    <w:rsid w:val="63825E77"/>
    <w:rsid w:val="63A10995"/>
    <w:rsid w:val="63C23EFA"/>
    <w:rsid w:val="63D255DA"/>
    <w:rsid w:val="64076B79"/>
    <w:rsid w:val="640B7654"/>
    <w:rsid w:val="643A070A"/>
    <w:rsid w:val="64402337"/>
    <w:rsid w:val="64410A96"/>
    <w:rsid w:val="644B5DBE"/>
    <w:rsid w:val="644C573D"/>
    <w:rsid w:val="64507EFB"/>
    <w:rsid w:val="64B97A50"/>
    <w:rsid w:val="65032F85"/>
    <w:rsid w:val="651304A7"/>
    <w:rsid w:val="65136B50"/>
    <w:rsid w:val="65442F5C"/>
    <w:rsid w:val="657E2A35"/>
    <w:rsid w:val="65A94E9D"/>
    <w:rsid w:val="65B96B3F"/>
    <w:rsid w:val="65BE1071"/>
    <w:rsid w:val="65C60A92"/>
    <w:rsid w:val="65D35142"/>
    <w:rsid w:val="660451CE"/>
    <w:rsid w:val="660B02F6"/>
    <w:rsid w:val="665346B7"/>
    <w:rsid w:val="66705A4E"/>
    <w:rsid w:val="667B3E80"/>
    <w:rsid w:val="667C7CCE"/>
    <w:rsid w:val="669C56BF"/>
    <w:rsid w:val="66A12460"/>
    <w:rsid w:val="66A20C1E"/>
    <w:rsid w:val="66BE2423"/>
    <w:rsid w:val="66DD6702"/>
    <w:rsid w:val="671B1623"/>
    <w:rsid w:val="671E6EBA"/>
    <w:rsid w:val="672C0ACD"/>
    <w:rsid w:val="675352AA"/>
    <w:rsid w:val="6759400B"/>
    <w:rsid w:val="675E528D"/>
    <w:rsid w:val="676C598C"/>
    <w:rsid w:val="67966EFB"/>
    <w:rsid w:val="679E7FA1"/>
    <w:rsid w:val="67A32389"/>
    <w:rsid w:val="67B768D0"/>
    <w:rsid w:val="67C779FD"/>
    <w:rsid w:val="682A2352"/>
    <w:rsid w:val="682E7AFD"/>
    <w:rsid w:val="68707071"/>
    <w:rsid w:val="687A4379"/>
    <w:rsid w:val="687B015C"/>
    <w:rsid w:val="687E3889"/>
    <w:rsid w:val="6884222C"/>
    <w:rsid w:val="68AD17BB"/>
    <w:rsid w:val="68D94D22"/>
    <w:rsid w:val="692B2E4A"/>
    <w:rsid w:val="696A0B34"/>
    <w:rsid w:val="69821807"/>
    <w:rsid w:val="698D6A17"/>
    <w:rsid w:val="69D37590"/>
    <w:rsid w:val="69F954C1"/>
    <w:rsid w:val="69FA2750"/>
    <w:rsid w:val="6A1E1E73"/>
    <w:rsid w:val="6A2031B6"/>
    <w:rsid w:val="6A26299B"/>
    <w:rsid w:val="6A276275"/>
    <w:rsid w:val="6A2F57D7"/>
    <w:rsid w:val="6A3C1D40"/>
    <w:rsid w:val="6A6432E1"/>
    <w:rsid w:val="6A6A5005"/>
    <w:rsid w:val="6A8D5833"/>
    <w:rsid w:val="6AA23DFF"/>
    <w:rsid w:val="6AC61F6F"/>
    <w:rsid w:val="6AD34E53"/>
    <w:rsid w:val="6AD83EA1"/>
    <w:rsid w:val="6ADE74F0"/>
    <w:rsid w:val="6B1D62E8"/>
    <w:rsid w:val="6B723594"/>
    <w:rsid w:val="6B805156"/>
    <w:rsid w:val="6B945E48"/>
    <w:rsid w:val="6BD50977"/>
    <w:rsid w:val="6BE450D3"/>
    <w:rsid w:val="6BE60C84"/>
    <w:rsid w:val="6C587C0E"/>
    <w:rsid w:val="6C6C32E1"/>
    <w:rsid w:val="6C6E3E15"/>
    <w:rsid w:val="6C8B1F5D"/>
    <w:rsid w:val="6CAA3931"/>
    <w:rsid w:val="6CAD2DEA"/>
    <w:rsid w:val="6CCF3BFB"/>
    <w:rsid w:val="6D325918"/>
    <w:rsid w:val="6D370B82"/>
    <w:rsid w:val="6D3933CA"/>
    <w:rsid w:val="6D6261FE"/>
    <w:rsid w:val="6D7B61EC"/>
    <w:rsid w:val="6D8E03AA"/>
    <w:rsid w:val="6DBB089F"/>
    <w:rsid w:val="6DC63038"/>
    <w:rsid w:val="6DE30DE0"/>
    <w:rsid w:val="6DE6130A"/>
    <w:rsid w:val="6DE839B9"/>
    <w:rsid w:val="6E09491E"/>
    <w:rsid w:val="6E0D3655"/>
    <w:rsid w:val="6E1A437E"/>
    <w:rsid w:val="6E3A144E"/>
    <w:rsid w:val="6E5F4465"/>
    <w:rsid w:val="6E8B1663"/>
    <w:rsid w:val="6E8C54DA"/>
    <w:rsid w:val="6EF11E03"/>
    <w:rsid w:val="6EF1241D"/>
    <w:rsid w:val="6EF82916"/>
    <w:rsid w:val="6F0B2DE7"/>
    <w:rsid w:val="6F111C62"/>
    <w:rsid w:val="6F2176E5"/>
    <w:rsid w:val="6F2D79CC"/>
    <w:rsid w:val="6F3A2A5F"/>
    <w:rsid w:val="6F4F7F03"/>
    <w:rsid w:val="6F592303"/>
    <w:rsid w:val="6F5F5B74"/>
    <w:rsid w:val="6F98032D"/>
    <w:rsid w:val="6F9B1C65"/>
    <w:rsid w:val="6FA44937"/>
    <w:rsid w:val="6FE82C9C"/>
    <w:rsid w:val="6FFB146E"/>
    <w:rsid w:val="6FFC3AA6"/>
    <w:rsid w:val="70160742"/>
    <w:rsid w:val="7030610F"/>
    <w:rsid w:val="70612DB4"/>
    <w:rsid w:val="706516C3"/>
    <w:rsid w:val="70896E68"/>
    <w:rsid w:val="708A4844"/>
    <w:rsid w:val="70E05E9D"/>
    <w:rsid w:val="71073061"/>
    <w:rsid w:val="711A201F"/>
    <w:rsid w:val="71396ACC"/>
    <w:rsid w:val="715B60E9"/>
    <w:rsid w:val="716F0EE9"/>
    <w:rsid w:val="7196674D"/>
    <w:rsid w:val="71CD6D08"/>
    <w:rsid w:val="71EA1FED"/>
    <w:rsid w:val="72165C6B"/>
    <w:rsid w:val="722021E3"/>
    <w:rsid w:val="722C6DDA"/>
    <w:rsid w:val="72345748"/>
    <w:rsid w:val="72E661B1"/>
    <w:rsid w:val="72F90C18"/>
    <w:rsid w:val="730313F6"/>
    <w:rsid w:val="730E4732"/>
    <w:rsid w:val="732A6AD8"/>
    <w:rsid w:val="73370D24"/>
    <w:rsid w:val="73472C84"/>
    <w:rsid w:val="7359268C"/>
    <w:rsid w:val="7366631C"/>
    <w:rsid w:val="736C263C"/>
    <w:rsid w:val="73723640"/>
    <w:rsid w:val="737311F5"/>
    <w:rsid w:val="73761585"/>
    <w:rsid w:val="739503EB"/>
    <w:rsid w:val="73A05B28"/>
    <w:rsid w:val="73C07D69"/>
    <w:rsid w:val="73DC335B"/>
    <w:rsid w:val="740B60EC"/>
    <w:rsid w:val="74717AE5"/>
    <w:rsid w:val="749E16A8"/>
    <w:rsid w:val="74B42AE4"/>
    <w:rsid w:val="74C046CC"/>
    <w:rsid w:val="74C54993"/>
    <w:rsid w:val="750A429D"/>
    <w:rsid w:val="75474B47"/>
    <w:rsid w:val="75614792"/>
    <w:rsid w:val="75761866"/>
    <w:rsid w:val="75784473"/>
    <w:rsid w:val="7582466D"/>
    <w:rsid w:val="75B161B3"/>
    <w:rsid w:val="75C055BD"/>
    <w:rsid w:val="75C46B63"/>
    <w:rsid w:val="75DC6C44"/>
    <w:rsid w:val="762770AC"/>
    <w:rsid w:val="762F6A19"/>
    <w:rsid w:val="76341B33"/>
    <w:rsid w:val="76736B32"/>
    <w:rsid w:val="768811B6"/>
    <w:rsid w:val="76AF35EE"/>
    <w:rsid w:val="76C27A74"/>
    <w:rsid w:val="76E3765E"/>
    <w:rsid w:val="76FC2AFA"/>
    <w:rsid w:val="77527424"/>
    <w:rsid w:val="77653671"/>
    <w:rsid w:val="778546CC"/>
    <w:rsid w:val="778B6B46"/>
    <w:rsid w:val="77A96931"/>
    <w:rsid w:val="77B105D5"/>
    <w:rsid w:val="77B551B3"/>
    <w:rsid w:val="77B56730"/>
    <w:rsid w:val="77B92EBE"/>
    <w:rsid w:val="77BF1E80"/>
    <w:rsid w:val="77C04A8B"/>
    <w:rsid w:val="77D85DB3"/>
    <w:rsid w:val="77E01421"/>
    <w:rsid w:val="77EB1B74"/>
    <w:rsid w:val="782A3EA3"/>
    <w:rsid w:val="78713FA9"/>
    <w:rsid w:val="78A50513"/>
    <w:rsid w:val="78D37FAF"/>
    <w:rsid w:val="78EF7AB5"/>
    <w:rsid w:val="790A4A06"/>
    <w:rsid w:val="790D6849"/>
    <w:rsid w:val="79252148"/>
    <w:rsid w:val="795767E3"/>
    <w:rsid w:val="79586707"/>
    <w:rsid w:val="796518DD"/>
    <w:rsid w:val="79724BEF"/>
    <w:rsid w:val="797264AC"/>
    <w:rsid w:val="799008E5"/>
    <w:rsid w:val="79AA0532"/>
    <w:rsid w:val="79AB2CDA"/>
    <w:rsid w:val="79C370A4"/>
    <w:rsid w:val="79FE1DDD"/>
    <w:rsid w:val="7A075767"/>
    <w:rsid w:val="7A0C15B3"/>
    <w:rsid w:val="7A212062"/>
    <w:rsid w:val="7A2522C9"/>
    <w:rsid w:val="7A282A11"/>
    <w:rsid w:val="7A3A59B8"/>
    <w:rsid w:val="7A5D0F75"/>
    <w:rsid w:val="7A715CD2"/>
    <w:rsid w:val="7A921E9A"/>
    <w:rsid w:val="7ABF2475"/>
    <w:rsid w:val="7AC21562"/>
    <w:rsid w:val="7AD474A4"/>
    <w:rsid w:val="7AF55544"/>
    <w:rsid w:val="7AFC38DE"/>
    <w:rsid w:val="7B165244"/>
    <w:rsid w:val="7B217A1E"/>
    <w:rsid w:val="7B2965AD"/>
    <w:rsid w:val="7B303E8C"/>
    <w:rsid w:val="7B39121D"/>
    <w:rsid w:val="7B865D50"/>
    <w:rsid w:val="7B87547C"/>
    <w:rsid w:val="7B8D34C3"/>
    <w:rsid w:val="7B971D84"/>
    <w:rsid w:val="7BAB0CB7"/>
    <w:rsid w:val="7BB4028F"/>
    <w:rsid w:val="7BE85BAB"/>
    <w:rsid w:val="7BF32F03"/>
    <w:rsid w:val="7BF50D2C"/>
    <w:rsid w:val="7C066F4E"/>
    <w:rsid w:val="7C1724A5"/>
    <w:rsid w:val="7C273CFF"/>
    <w:rsid w:val="7CA54112"/>
    <w:rsid w:val="7CA553D9"/>
    <w:rsid w:val="7CAB27F5"/>
    <w:rsid w:val="7CAF438A"/>
    <w:rsid w:val="7CCE726D"/>
    <w:rsid w:val="7CD71EA3"/>
    <w:rsid w:val="7CE50CE4"/>
    <w:rsid w:val="7CF877E9"/>
    <w:rsid w:val="7D134762"/>
    <w:rsid w:val="7D2E5ABF"/>
    <w:rsid w:val="7D4A45B8"/>
    <w:rsid w:val="7E007625"/>
    <w:rsid w:val="7E0737C8"/>
    <w:rsid w:val="7E131C51"/>
    <w:rsid w:val="7E176B90"/>
    <w:rsid w:val="7E2142A2"/>
    <w:rsid w:val="7E240411"/>
    <w:rsid w:val="7E6A046F"/>
    <w:rsid w:val="7E797DE5"/>
    <w:rsid w:val="7E7B0BF2"/>
    <w:rsid w:val="7E8D75B6"/>
    <w:rsid w:val="7E8E672B"/>
    <w:rsid w:val="7EF760EE"/>
    <w:rsid w:val="7F193E37"/>
    <w:rsid w:val="7F2536B5"/>
    <w:rsid w:val="7F485E64"/>
    <w:rsid w:val="7F5A01CA"/>
    <w:rsid w:val="7FA017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link w:val="71"/>
    <w:qFormat/>
    <w:uiPriority w:val="9"/>
    <w:pPr>
      <w:keepNext/>
      <w:keepLines/>
      <w:spacing w:before="340" w:after="330" w:line="576" w:lineRule="auto"/>
      <w:outlineLvl w:val="0"/>
    </w:pPr>
    <w:rPr>
      <w:b/>
      <w:kern w:val="44"/>
      <w:sz w:val="44"/>
    </w:rPr>
  </w:style>
  <w:style w:type="paragraph" w:styleId="3">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40"/>
    <w:unhideWhenUsed/>
    <w:qFormat/>
    <w:uiPriority w:val="9"/>
    <w:pPr>
      <w:keepNext/>
      <w:keepLines/>
      <w:outlineLvl w:val="3"/>
    </w:pPr>
    <w:rPr>
      <w:rFonts w:asciiTheme="majorHAnsi" w:hAnsiTheme="majorHAnsi" w:cstheme="majorBidi"/>
      <w:b/>
      <w:bCs/>
      <w:sz w:val="24"/>
      <w:szCs w:val="28"/>
    </w:rPr>
  </w:style>
  <w:style w:type="paragraph" w:styleId="6">
    <w:name w:val="heading 5"/>
    <w:basedOn w:val="1"/>
    <w:next w:val="1"/>
    <w:link w:val="70"/>
    <w:semiHidden/>
    <w:unhideWhenUsed/>
    <w:qFormat/>
    <w:uiPriority w:val="9"/>
    <w:pPr>
      <w:keepNext/>
      <w:keepLines/>
      <w:spacing w:before="280" w:after="290" w:line="372" w:lineRule="auto"/>
      <w:outlineLvl w:val="4"/>
    </w:pPr>
    <w:rPr>
      <w:b/>
      <w:sz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8">
    <w:name w:val="annotation text"/>
    <w:basedOn w:val="1"/>
    <w:link w:val="59"/>
    <w:unhideWhenUsed/>
    <w:qFormat/>
    <w:uiPriority w:val="99"/>
  </w:style>
  <w:style w:type="paragraph" w:styleId="9">
    <w:name w:val="Body Text"/>
    <w:basedOn w:val="1"/>
    <w:next w:val="10"/>
    <w:link w:val="62"/>
    <w:qFormat/>
    <w:uiPriority w:val="1"/>
    <w:pPr>
      <w:spacing w:before="161"/>
      <w:ind w:left="120"/>
    </w:pPr>
    <w:rPr>
      <w:rFonts w:ascii="宋体" w:hAnsi="宋体" w:cs="宋体"/>
      <w:sz w:val="24"/>
      <w:lang w:val="zh-CN" w:bidi="zh-CN"/>
    </w:rPr>
  </w:style>
  <w:style w:type="paragraph" w:styleId="10">
    <w:name w:val="Body Text First Indent"/>
    <w:basedOn w:val="9"/>
    <w:qFormat/>
    <w:uiPriority w:val="0"/>
    <w:pPr>
      <w:spacing w:after="120"/>
      <w:ind w:firstLine="420" w:firstLineChars="100"/>
    </w:pPr>
    <w:rPr>
      <w:bCs/>
      <w:szCs w:val="21"/>
    </w:rPr>
  </w:style>
  <w:style w:type="paragraph" w:styleId="11">
    <w:name w:val="Body Text Indent"/>
    <w:basedOn w:val="1"/>
    <w:qFormat/>
    <w:uiPriority w:val="0"/>
    <w:pPr>
      <w:ind w:left="359" w:leftChars="171" w:firstLine="179" w:firstLineChars="85"/>
    </w:pPr>
    <w:rPr>
      <w:rFonts w:ascii="宋体" w:hAnsi="宋体"/>
      <w:b/>
      <w:bCs/>
      <w:szCs w:val="26"/>
    </w:rPr>
  </w:style>
  <w:style w:type="paragraph" w:styleId="12">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3">
    <w:name w:val="toc 3"/>
    <w:basedOn w:val="1"/>
    <w:next w:val="1"/>
    <w:unhideWhenUsed/>
    <w:qFormat/>
    <w:uiPriority w:val="39"/>
    <w:pPr>
      <w:tabs>
        <w:tab w:val="right" w:leader="dot" w:pos="8296"/>
      </w:tabs>
      <w:ind w:left="838" w:leftChars="381"/>
    </w:pPr>
    <w:rPr>
      <w:szCs w:val="21"/>
    </w:rPr>
  </w:style>
  <w:style w:type="paragraph" w:styleId="14">
    <w:name w:val="Plain Text"/>
    <w:basedOn w:val="1"/>
    <w:link w:val="51"/>
    <w:qFormat/>
    <w:uiPriority w:val="0"/>
    <w:pPr>
      <w:widowControl w:val="0"/>
      <w:adjustRightInd/>
      <w:snapToGrid/>
      <w:jc w:val="both"/>
    </w:pPr>
    <w:rPr>
      <w:rFonts w:ascii="宋体" w:hAnsi="Courier New" w:cs="Times New Roman"/>
      <w:b/>
      <w:kern w:val="2"/>
      <w:szCs w:val="20"/>
    </w:rPr>
  </w:style>
  <w:style w:type="paragraph" w:styleId="15">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16">
    <w:name w:val="Balloon Text"/>
    <w:basedOn w:val="1"/>
    <w:link w:val="54"/>
    <w:semiHidden/>
    <w:unhideWhenUsed/>
    <w:qFormat/>
    <w:uiPriority w:val="99"/>
    <w:rPr>
      <w:sz w:val="18"/>
      <w:szCs w:val="18"/>
    </w:rPr>
  </w:style>
  <w:style w:type="paragraph" w:styleId="17">
    <w:name w:val="footer"/>
    <w:basedOn w:val="1"/>
    <w:link w:val="53"/>
    <w:unhideWhenUsed/>
    <w:qFormat/>
    <w:uiPriority w:val="99"/>
    <w:pPr>
      <w:tabs>
        <w:tab w:val="center" w:pos="4153"/>
        <w:tab w:val="right" w:pos="8306"/>
      </w:tabs>
    </w:pPr>
    <w:rPr>
      <w:sz w:val="18"/>
      <w:szCs w:val="18"/>
    </w:rPr>
  </w:style>
  <w:style w:type="paragraph" w:styleId="18">
    <w:name w:val="header"/>
    <w:basedOn w:val="1"/>
    <w:link w:val="52"/>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unhideWhenUsed/>
    <w:qFormat/>
    <w:uiPriority w:val="39"/>
  </w:style>
  <w:style w:type="paragraph" w:styleId="20">
    <w:name w:val="toc 4"/>
    <w:basedOn w:val="1"/>
    <w:next w:val="1"/>
    <w:unhideWhenUsed/>
    <w:qFormat/>
    <w:uiPriority w:val="39"/>
    <w:pPr>
      <w:tabs>
        <w:tab w:val="right" w:leader="dot" w:pos="8296"/>
      </w:tabs>
      <w:spacing w:after="120"/>
      <w:ind w:left="1320" w:leftChars="600"/>
    </w:pPr>
  </w:style>
  <w:style w:type="paragraph" w:styleId="21">
    <w:name w:val="footnote text"/>
    <w:basedOn w:val="1"/>
    <w:semiHidden/>
    <w:unhideWhenUsed/>
    <w:qFormat/>
    <w:uiPriority w:val="99"/>
    <w:rPr>
      <w:sz w:val="18"/>
    </w:rPr>
  </w:style>
  <w:style w:type="paragraph" w:styleId="22">
    <w:name w:val="toc 6"/>
    <w:basedOn w:val="1"/>
    <w:next w:val="1"/>
    <w:qFormat/>
    <w:uiPriority w:val="39"/>
    <w:pPr>
      <w:ind w:left="1200"/>
    </w:pPr>
    <w:rPr>
      <w:rFonts w:ascii="Calibri" w:cs="Calibri"/>
      <w:sz w:val="18"/>
      <w:szCs w:val="18"/>
    </w:rPr>
  </w:style>
  <w:style w:type="paragraph" w:styleId="23">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4">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25">
    <w:name w:val="Normal (Web)"/>
    <w:basedOn w:val="1"/>
    <w:link w:val="56"/>
    <w:qFormat/>
    <w:uiPriority w:val="0"/>
    <w:pPr>
      <w:widowControl w:val="0"/>
      <w:adjustRightInd/>
      <w:snapToGrid/>
      <w:jc w:val="both"/>
    </w:pPr>
    <w:rPr>
      <w:rFonts w:asciiTheme="minorHAnsi" w:hAnsiTheme="minorHAnsi"/>
      <w:kern w:val="2"/>
      <w:sz w:val="24"/>
      <w:szCs w:val="24"/>
    </w:rPr>
  </w:style>
  <w:style w:type="paragraph" w:styleId="26">
    <w:name w:val="annotation subject"/>
    <w:basedOn w:val="8"/>
    <w:next w:val="8"/>
    <w:link w:val="60"/>
    <w:semiHidden/>
    <w:unhideWhenUsed/>
    <w:qFormat/>
    <w:uiPriority w:val="99"/>
    <w:rPr>
      <w:b/>
      <w:bCs/>
    </w:rPr>
  </w:style>
  <w:style w:type="table" w:styleId="28">
    <w:name w:val="Table Grid"/>
    <w:basedOn w:val="2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Emphasis"/>
    <w:basedOn w:val="29"/>
    <w:qFormat/>
    <w:uiPriority w:val="20"/>
    <w:rPr>
      <w:i/>
      <w:iCs/>
    </w:rPr>
  </w:style>
  <w:style w:type="character" w:styleId="32">
    <w:name w:val="Hyperlink"/>
    <w:qFormat/>
    <w:uiPriority w:val="99"/>
    <w:rPr>
      <w:rFonts w:hint="eastAsia" w:ascii="宋体" w:hAnsi="宋体" w:eastAsia="宋体" w:cs="宋体"/>
      <w:b/>
      <w:color w:val="0031C1"/>
      <w:kern w:val="0"/>
      <w:sz w:val="18"/>
      <w:szCs w:val="18"/>
      <w:u w:val="none"/>
      <w:lang w:eastAsia="en-US"/>
    </w:rPr>
  </w:style>
  <w:style w:type="character" w:styleId="33">
    <w:name w:val="annotation reference"/>
    <w:basedOn w:val="29"/>
    <w:semiHidden/>
    <w:unhideWhenUsed/>
    <w:qFormat/>
    <w:uiPriority w:val="99"/>
    <w:rPr>
      <w:sz w:val="21"/>
      <w:szCs w:val="21"/>
    </w:rPr>
  </w:style>
  <w:style w:type="character" w:styleId="34">
    <w:name w:val="footnote reference"/>
    <w:basedOn w:val="29"/>
    <w:semiHidden/>
    <w:unhideWhenUsed/>
    <w:qFormat/>
    <w:uiPriority w:val="99"/>
    <w:rPr>
      <w:vertAlign w:val="superscript"/>
    </w:rPr>
  </w:style>
  <w:style w:type="paragraph" w:customStyle="1" w:styleId="35">
    <w:name w:val="样式 正文首行缩进 + 首行缩进:  1 字符"/>
    <w:basedOn w:val="1"/>
    <w:next w:val="1"/>
    <w:qFormat/>
    <w:uiPriority w:val="0"/>
    <w:pPr>
      <w:ind w:firstLine="200" w:firstLineChars="200"/>
    </w:pPr>
    <w:rPr>
      <w:rFonts w:cs="宋体"/>
      <w:szCs w:val="20"/>
    </w:rPr>
  </w:style>
  <w:style w:type="paragraph" w:customStyle="1" w:styleId="36">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37">
    <w:name w:val="标题 2 字符"/>
    <w:basedOn w:val="29"/>
    <w:link w:val="3"/>
    <w:qFormat/>
    <w:uiPriority w:val="9"/>
    <w:rPr>
      <w:rFonts w:asciiTheme="majorHAnsi" w:hAnsiTheme="majorHAnsi" w:eastAsiaTheme="majorEastAsia" w:cstheme="majorBidi"/>
      <w:b/>
      <w:bCs/>
      <w:sz w:val="32"/>
      <w:szCs w:val="32"/>
    </w:rPr>
  </w:style>
  <w:style w:type="character" w:customStyle="1" w:styleId="38">
    <w:name w:val="标题 3 字符"/>
    <w:basedOn w:val="29"/>
    <w:link w:val="4"/>
    <w:qFormat/>
    <w:uiPriority w:val="9"/>
    <w:rPr>
      <w:rFonts w:ascii="Tahoma" w:hAnsi="Tahoma"/>
      <w:b/>
      <w:bCs/>
      <w:sz w:val="32"/>
      <w:szCs w:val="32"/>
    </w:rPr>
  </w:style>
  <w:style w:type="paragraph" w:styleId="39">
    <w:name w:val="List Paragraph"/>
    <w:basedOn w:val="1"/>
    <w:link w:val="61"/>
    <w:qFormat/>
    <w:uiPriority w:val="0"/>
    <w:pPr>
      <w:ind w:firstLine="420" w:firstLineChars="200"/>
    </w:pPr>
  </w:style>
  <w:style w:type="character" w:customStyle="1" w:styleId="40">
    <w:name w:val="标题 4 字符"/>
    <w:basedOn w:val="29"/>
    <w:link w:val="5"/>
    <w:qFormat/>
    <w:uiPriority w:val="9"/>
    <w:rPr>
      <w:rFonts w:eastAsia="宋体" w:asciiTheme="majorHAnsi" w:hAnsiTheme="majorHAnsi" w:cstheme="majorBidi"/>
      <w:b/>
      <w:bCs/>
      <w:sz w:val="24"/>
      <w:szCs w:val="28"/>
    </w:rPr>
  </w:style>
  <w:style w:type="character" w:customStyle="1" w:styleId="41">
    <w:name w:val="正文缩进2格 Char"/>
    <w:link w:val="42"/>
    <w:qFormat/>
    <w:uiPriority w:val="0"/>
    <w:rPr>
      <w:rFonts w:ascii="仿宋_GB2312" w:hAnsi="宋体" w:eastAsia="仿宋_GB2312"/>
      <w:kern w:val="2"/>
      <w:sz w:val="31"/>
    </w:rPr>
  </w:style>
  <w:style w:type="paragraph" w:customStyle="1" w:styleId="42">
    <w:name w:val="正文缩进2格"/>
    <w:basedOn w:val="1"/>
    <w:next w:val="1"/>
    <w:link w:val="41"/>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3">
    <w:name w:val="正文缩进4格"/>
    <w:basedOn w:val="42"/>
    <w:qFormat/>
    <w:uiPriority w:val="0"/>
    <w:pPr>
      <w:ind w:left="2" w:firstLine="538" w:firstLineChars="192"/>
    </w:pPr>
    <w:rPr>
      <w:color w:val="0000FF"/>
      <w:sz w:val="28"/>
    </w:rPr>
  </w:style>
  <w:style w:type="character" w:customStyle="1" w:styleId="44">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45">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46">
    <w:name w:val="标题1"/>
    <w:qFormat/>
    <w:uiPriority w:val="0"/>
    <w:rPr>
      <w:rFonts w:ascii="Times New Roman" w:hAnsi="Times New Roman" w:eastAsia="宋体" w:cs="Times New Roman"/>
      <w:b/>
      <w:kern w:val="0"/>
      <w:sz w:val="24"/>
      <w:szCs w:val="20"/>
      <w:lang w:eastAsia="en-US"/>
    </w:rPr>
  </w:style>
  <w:style w:type="character" w:customStyle="1" w:styleId="47">
    <w:name w:val="标题 3.1 Char"/>
    <w:link w:val="48"/>
    <w:qFormat/>
    <w:uiPriority w:val="0"/>
    <w:rPr>
      <w:rFonts w:ascii="宋体" w:hAnsi="宋体" w:eastAsia="宋体"/>
      <w:b/>
      <w:color w:val="FF0000"/>
      <w:kern w:val="2"/>
      <w:sz w:val="32"/>
    </w:rPr>
  </w:style>
  <w:style w:type="paragraph" w:customStyle="1" w:styleId="48">
    <w:name w:val="标题 3.1"/>
    <w:basedOn w:val="4"/>
    <w:link w:val="47"/>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49">
    <w:name w:val="样式 楷体_GB2312 小四"/>
    <w:qFormat/>
    <w:uiPriority w:val="0"/>
    <w:rPr>
      <w:rFonts w:ascii="楷体_GB2312" w:hAnsi="楷体_GB2312" w:eastAsia="仿宋_GB2312"/>
      <w:sz w:val="24"/>
    </w:rPr>
  </w:style>
  <w:style w:type="character" w:customStyle="1" w:styleId="50">
    <w:name w:val="纯文本 Char"/>
    <w:qFormat/>
    <w:uiPriority w:val="0"/>
    <w:rPr>
      <w:rFonts w:ascii="宋体" w:hAnsi="Courier New" w:eastAsia="宋体" w:cs="Times New Roman"/>
      <w:b/>
      <w:kern w:val="2"/>
      <w:sz w:val="21"/>
      <w:szCs w:val="20"/>
    </w:rPr>
  </w:style>
  <w:style w:type="character" w:customStyle="1" w:styleId="51">
    <w:name w:val="纯文本 字符"/>
    <w:basedOn w:val="29"/>
    <w:link w:val="14"/>
    <w:semiHidden/>
    <w:qFormat/>
    <w:uiPriority w:val="99"/>
    <w:rPr>
      <w:rFonts w:ascii="宋体" w:hAnsi="Courier New" w:eastAsia="宋体" w:cs="Courier New"/>
      <w:sz w:val="21"/>
      <w:szCs w:val="21"/>
    </w:rPr>
  </w:style>
  <w:style w:type="character" w:customStyle="1" w:styleId="52">
    <w:name w:val="页眉 字符"/>
    <w:basedOn w:val="29"/>
    <w:link w:val="18"/>
    <w:qFormat/>
    <w:uiPriority w:val="99"/>
    <w:rPr>
      <w:rFonts w:ascii="Tahoma" w:hAnsi="Tahoma"/>
      <w:sz w:val="18"/>
      <w:szCs w:val="18"/>
    </w:rPr>
  </w:style>
  <w:style w:type="character" w:customStyle="1" w:styleId="53">
    <w:name w:val="页脚 字符"/>
    <w:basedOn w:val="29"/>
    <w:link w:val="17"/>
    <w:qFormat/>
    <w:uiPriority w:val="99"/>
    <w:rPr>
      <w:rFonts w:ascii="Tahoma" w:hAnsi="Tahoma"/>
      <w:sz w:val="18"/>
      <w:szCs w:val="18"/>
    </w:rPr>
  </w:style>
  <w:style w:type="character" w:customStyle="1" w:styleId="54">
    <w:name w:val="批注框文本 字符"/>
    <w:basedOn w:val="29"/>
    <w:link w:val="16"/>
    <w:semiHidden/>
    <w:qFormat/>
    <w:uiPriority w:val="99"/>
    <w:rPr>
      <w:rFonts w:ascii="Tahoma" w:hAnsi="Tahoma"/>
      <w:sz w:val="18"/>
      <w:szCs w:val="18"/>
    </w:rPr>
  </w:style>
  <w:style w:type="paragraph" w:customStyle="1" w:styleId="55">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56">
    <w:name w:val="普通(网站) 字符"/>
    <w:link w:val="25"/>
    <w:qFormat/>
    <w:uiPriority w:val="0"/>
    <w:rPr>
      <w:rFonts w:eastAsia="宋体"/>
      <w:kern w:val="2"/>
      <w:sz w:val="24"/>
      <w:szCs w:val="24"/>
    </w:rPr>
  </w:style>
  <w:style w:type="paragraph" w:customStyle="1" w:styleId="57">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58">
    <w:name w:val="p141"/>
    <w:qFormat/>
    <w:uiPriority w:val="0"/>
    <w:rPr>
      <w:sz w:val="21"/>
      <w:szCs w:val="21"/>
    </w:rPr>
  </w:style>
  <w:style w:type="character" w:customStyle="1" w:styleId="59">
    <w:name w:val="批注文字 字符"/>
    <w:basedOn w:val="29"/>
    <w:link w:val="8"/>
    <w:qFormat/>
    <w:uiPriority w:val="99"/>
    <w:rPr>
      <w:rFonts w:ascii="Tahoma" w:hAnsi="Tahoma" w:eastAsia="微软雅黑" w:cstheme="minorBidi"/>
      <w:sz w:val="22"/>
      <w:szCs w:val="22"/>
    </w:rPr>
  </w:style>
  <w:style w:type="character" w:customStyle="1" w:styleId="60">
    <w:name w:val="批注主题 字符"/>
    <w:basedOn w:val="59"/>
    <w:link w:val="26"/>
    <w:semiHidden/>
    <w:qFormat/>
    <w:uiPriority w:val="99"/>
    <w:rPr>
      <w:rFonts w:ascii="Tahoma" w:hAnsi="Tahoma" w:eastAsia="微软雅黑" w:cstheme="minorBidi"/>
      <w:b/>
      <w:bCs/>
      <w:sz w:val="22"/>
      <w:szCs w:val="22"/>
    </w:rPr>
  </w:style>
  <w:style w:type="character" w:customStyle="1" w:styleId="61">
    <w:name w:val="列表段落 字符"/>
    <w:link w:val="39"/>
    <w:qFormat/>
    <w:uiPriority w:val="0"/>
    <w:rPr>
      <w:rFonts w:ascii="Tahoma" w:hAnsi="Tahoma" w:eastAsia="微软雅黑" w:cstheme="minorBidi"/>
      <w:sz w:val="22"/>
      <w:szCs w:val="22"/>
    </w:rPr>
  </w:style>
  <w:style w:type="character" w:customStyle="1" w:styleId="62">
    <w:name w:val="正文文本 字符"/>
    <w:basedOn w:val="29"/>
    <w:link w:val="9"/>
    <w:qFormat/>
    <w:uiPriority w:val="1"/>
    <w:rPr>
      <w:rFonts w:ascii="宋体" w:hAnsi="宋体" w:cs="宋体"/>
      <w:sz w:val="24"/>
      <w:szCs w:val="22"/>
      <w:lang w:val="zh-CN" w:bidi="zh-CN"/>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_Style 1"/>
    <w:basedOn w:val="1"/>
    <w:qFormat/>
    <w:uiPriority w:val="0"/>
    <w:pPr>
      <w:ind w:firstLine="420" w:firstLineChars="200"/>
    </w:pPr>
  </w:style>
  <w:style w:type="paragraph" w:customStyle="1" w:styleId="65">
    <w:name w:val="列出段落2"/>
    <w:basedOn w:val="1"/>
    <w:qFormat/>
    <w:uiPriority w:val="0"/>
    <w:pPr>
      <w:ind w:firstLine="420" w:firstLineChars="200"/>
    </w:pPr>
  </w:style>
  <w:style w:type="paragraph" w:customStyle="1" w:styleId="66">
    <w:name w:val="p0"/>
    <w:basedOn w:val="1"/>
    <w:qFormat/>
    <w:uiPriority w:val="0"/>
    <w:rPr>
      <w:szCs w:val="21"/>
    </w:rPr>
  </w:style>
  <w:style w:type="paragraph" w:customStyle="1" w:styleId="67">
    <w:name w:val="正文文本缩进 21"/>
    <w:basedOn w:val="1"/>
    <w:qFormat/>
    <w:uiPriority w:val="0"/>
    <w:pPr>
      <w:spacing w:line="480" w:lineRule="auto"/>
      <w:ind w:firstLine="540"/>
    </w:pPr>
    <w:rPr>
      <w:rFonts w:ascii="Calibri" w:hAnsi="Calibri"/>
      <w:sz w:val="20"/>
      <w:szCs w:val="20"/>
    </w:rPr>
  </w:style>
  <w:style w:type="paragraph" w:customStyle="1" w:styleId="68">
    <w:name w:val="_Style 2"/>
    <w:basedOn w:val="1"/>
    <w:autoRedefine/>
    <w:qFormat/>
    <w:uiPriority w:val="0"/>
    <w:pPr>
      <w:ind w:firstLine="420" w:firstLineChars="200"/>
    </w:pPr>
  </w:style>
  <w:style w:type="paragraph" w:customStyle="1" w:styleId="69">
    <w:name w:val="msolistparagraph"/>
    <w:basedOn w:val="1"/>
    <w:qFormat/>
    <w:uiPriority w:val="0"/>
    <w:pPr>
      <w:ind w:firstLine="420" w:firstLineChars="200"/>
    </w:pPr>
    <w:rPr>
      <w:rFonts w:hint="eastAsia" w:hAnsi="宋体"/>
    </w:rPr>
  </w:style>
  <w:style w:type="character" w:customStyle="1" w:styleId="70">
    <w:name w:val="标题 5 字符"/>
    <w:link w:val="6"/>
    <w:qFormat/>
    <w:uiPriority w:val="0"/>
    <w:rPr>
      <w:b/>
      <w:sz w:val="28"/>
    </w:rPr>
  </w:style>
  <w:style w:type="character" w:customStyle="1" w:styleId="71">
    <w:name w:val="标题 1 字符"/>
    <w:link w:val="2"/>
    <w:autoRedefine/>
    <w:qFormat/>
    <w:uiPriority w:val="9"/>
    <w:rPr>
      <w:b/>
      <w:kern w:val="44"/>
      <w:sz w:val="44"/>
    </w:rPr>
  </w:style>
  <w:style w:type="paragraph" w:customStyle="1" w:styleId="72">
    <w:name w:val="修订1"/>
    <w:hidden/>
    <w:semiHidden/>
    <w:qFormat/>
    <w:uiPriority w:val="99"/>
    <w:rPr>
      <w:rFonts w:ascii="Tahoma" w:hAnsi="Tahoma" w:eastAsia="宋体" w:cstheme="minorBidi"/>
      <w:sz w:val="21"/>
      <w:szCs w:val="22"/>
      <w:lang w:val="en-US" w:eastAsia="zh-CN" w:bidi="ar-SA"/>
    </w:rPr>
  </w:style>
  <w:style w:type="paragraph" w:customStyle="1" w:styleId="73">
    <w:name w:val="表格文字"/>
    <w:basedOn w:val="1"/>
    <w:qFormat/>
    <w:uiPriority w:val="0"/>
    <w:pPr>
      <w:adjustRightInd/>
      <w:spacing w:before="25" w:after="25"/>
    </w:pPr>
    <w:rPr>
      <w:rFonts w:ascii="Times New Roman"/>
      <w:bCs/>
      <w:spacing w:val="10"/>
      <w:szCs w:val="20"/>
    </w:rPr>
  </w:style>
  <w:style w:type="paragraph" w:customStyle="1" w:styleId="74">
    <w:name w:val="纯文本1"/>
    <w:basedOn w:val="75"/>
    <w:qFormat/>
    <w:uiPriority w:val="0"/>
    <w:rPr>
      <w:rFonts w:ascii="宋体" w:hAnsi="Courier New"/>
      <w:szCs w:val="20"/>
    </w:rPr>
  </w:style>
  <w:style w:type="paragraph" w:customStyle="1" w:styleId="75">
    <w:name w:val="正文 New"/>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76">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77">
    <w:name w:val="Table Normal"/>
    <w:semiHidden/>
    <w:unhideWhenUsed/>
    <w:qFormat/>
    <w:uiPriority w:val="2"/>
    <w:tblPr>
      <w:tblCellMar>
        <w:top w:w="0" w:type="dxa"/>
        <w:left w:w="0" w:type="dxa"/>
        <w:bottom w:w="0" w:type="dxa"/>
        <w:right w:w="0" w:type="dxa"/>
      </w:tblCellMar>
    </w:tblPr>
  </w:style>
  <w:style w:type="paragraph" w:customStyle="1" w:styleId="78">
    <w:name w:val="Table Paragraph"/>
    <w:basedOn w:val="1"/>
    <w:qFormat/>
    <w:uiPriority w:val="1"/>
  </w:style>
  <w:style w:type="paragraph" w:customStyle="1" w:styleId="79">
    <w:name w:val="正文文本缩进1"/>
    <w:basedOn w:val="75"/>
    <w:qFormat/>
    <w:uiPriority w:val="0"/>
    <w:pPr>
      <w:spacing w:after="120"/>
      <w:ind w:left="420" w:leftChars="200"/>
    </w:pPr>
  </w:style>
  <w:style w:type="paragraph" w:customStyle="1" w:styleId="80">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1">
    <w:name w:val="纯文本2"/>
    <w:basedOn w:val="75"/>
    <w:qFormat/>
    <w:uiPriority w:val="0"/>
    <w:rPr>
      <w:rFonts w:ascii="宋体" w:hAnsi="Courier New"/>
      <w:szCs w:val="20"/>
    </w:rPr>
  </w:style>
  <w:style w:type="character" w:customStyle="1" w:styleId="82">
    <w:name w:val="font141"/>
    <w:qFormat/>
    <w:uiPriority w:val="0"/>
    <w:rPr>
      <w:rFonts w:hint="default" w:ascii="Times New Roman" w:hAnsi="Times New Roman" w:cs="Times New Roman"/>
      <w:color w:val="000000"/>
      <w:sz w:val="18"/>
      <w:szCs w:val="18"/>
      <w:u w:val="none"/>
    </w:rPr>
  </w:style>
  <w:style w:type="character" w:customStyle="1" w:styleId="83">
    <w:name w:val="font7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FDE4B-77BC-4B7C-94B1-DC883D126658}">
  <ds:schemaRefs/>
</ds:datastoreItem>
</file>

<file path=docProps/app.xml><?xml version="1.0" encoding="utf-8"?>
<Properties xmlns="http://schemas.openxmlformats.org/officeDocument/2006/extended-properties" xmlns:vt="http://schemas.openxmlformats.org/officeDocument/2006/docPropsVTypes">
  <Template>Normal</Template>
  <Pages>94</Pages>
  <Words>42521</Words>
  <Characters>44738</Characters>
  <Lines>67</Lines>
  <Paragraphs>66</Paragraphs>
  <TotalTime>6</TotalTime>
  <ScaleCrop>false</ScaleCrop>
  <LinksUpToDate>false</LinksUpToDate>
  <CharactersWithSpaces>47219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2022-10-28T09:19:00Z</dcterms:created>
  <dc:creator>MyPC</dc:creator>
  <cp:lastModifiedBy>Windowns</cp:lastModifiedBy>
  <cp:lastPrinted>2022-12-01T06:09:00Z</cp:lastPrinted>
  <dcterms:modified xsi:type="dcterms:W3CDTF">2024-05-11T07:29:52Z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7D75D0FF172C438C8DC9156351539766_13</vt:lpwstr>
  </property>
</Properties>
</file>