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3"/>
        <w:rPr>
          <w:rFonts w:hint="eastAsia" w:ascii="黑体" w:eastAsia="黑体"/>
          <w:color w:val="auto"/>
          <w:szCs w:val="21"/>
          <w:highlight w:val="none"/>
          <w:lang w:eastAsia="zh-CN"/>
        </w:rPr>
      </w:pPr>
    </w:p>
    <w:p>
      <w:pPr>
        <w:pStyle w:val="23"/>
        <w:ind w:left="0" w:leftChars="0" w:firstLine="0" w:firstLineChars="0"/>
        <w:rPr>
          <w:rFonts w:hint="eastAsia" w:ascii="黑体" w:eastAsia="黑体"/>
          <w:color w:val="auto"/>
          <w:szCs w:val="21"/>
          <w:highlight w:val="none"/>
          <w:lang w:eastAsia="zh-CN"/>
        </w:rPr>
      </w:pPr>
    </w:p>
    <w:p>
      <w:pPr>
        <w:pStyle w:val="23"/>
        <w:ind w:left="0" w:leftChars="0" w:firstLine="0" w:firstLineChars="0"/>
        <w:rPr>
          <w:rFonts w:hint="eastAsia" w:ascii="黑体" w:eastAsia="黑体"/>
          <w:color w:val="auto"/>
          <w:szCs w:val="21"/>
          <w:highlight w:val="none"/>
          <w:lang w:eastAsia="zh-CN"/>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GDZT2024128C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新塘村部分区域绿化养护及清洁和保洁项目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东莞市大岭山镇新塘股份经济联合社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1"/>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磋商文件而决定不参加本项目的供应商，在响应文件递交截止时间的2日前，按《磋商邀请函》中的联系方式，以书面形式告知采购代理机构。对您的支持与配合，谨此致谢。</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7123"/>
      <w:bookmarkStart w:id="4" w:name="_Toc885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cs="宋体"/>
          <w:b/>
          <w:bCs/>
          <w:color w:val="auto"/>
          <w:sz w:val="21"/>
          <w:szCs w:val="21"/>
          <w:highlight w:val="none"/>
          <w:u w:val="single"/>
          <w:lang w:val="en-US" w:eastAsia="zh-CN"/>
        </w:rPr>
        <w:t>东莞市大岭山镇新塘股份经济联合社</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cs="宋体"/>
          <w:b/>
          <w:bCs/>
          <w:color w:val="auto"/>
          <w:sz w:val="21"/>
          <w:szCs w:val="21"/>
          <w:highlight w:val="none"/>
          <w:u w:val="single"/>
          <w:lang w:val="en-US" w:eastAsia="zh-CN"/>
        </w:rPr>
        <w:t>新塘村部分区域绿化养护及清洁和保洁项目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GDZT2024128C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新塘村部分区域绿化养护及清洁和保洁项目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4"/>
        <w:tblW w:w="45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0"/>
        <w:gridCol w:w="3543"/>
        <w:gridCol w:w="147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6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32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内容</w:t>
            </w:r>
          </w:p>
        </w:tc>
        <w:tc>
          <w:tcPr>
            <w:tcW w:w="96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数量</w:t>
            </w:r>
          </w:p>
        </w:tc>
        <w:tc>
          <w:tcPr>
            <w:tcW w:w="114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6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32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u w:val="single"/>
                <w:lang w:val="en-US" w:eastAsia="zh-CN"/>
              </w:rPr>
              <w:t>新塘村部分区域绿化养护及清洁和保洁项目</w:t>
            </w:r>
          </w:p>
        </w:tc>
        <w:tc>
          <w:tcPr>
            <w:tcW w:w="96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b/>
                <w:color w:val="auto"/>
                <w:sz w:val="21"/>
                <w:szCs w:val="21"/>
                <w:highlight w:val="none"/>
                <w:u w:val="none"/>
                <w:lang w:val="en-US" w:eastAsia="zh-CN"/>
              </w:rPr>
              <w:t>1家</w:t>
            </w:r>
          </w:p>
        </w:tc>
        <w:tc>
          <w:tcPr>
            <w:tcW w:w="1142" w:type="pct"/>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bidi="ar-SA"/>
              </w:rPr>
            </w:pPr>
            <w:r>
              <w:rPr>
                <w:rFonts w:hint="eastAsia" w:ascii="宋体" w:hAnsi="宋体" w:cs="宋体"/>
                <w:b/>
                <w:bCs/>
                <w:color w:val="auto"/>
                <w:sz w:val="21"/>
                <w:szCs w:val="21"/>
                <w:highlight w:val="none"/>
                <w:u w:val="none"/>
                <w:lang w:val="en-US" w:eastAsia="zh-CN"/>
              </w:rPr>
              <w:t>688,352.00元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r>
        <w:rPr>
          <w:rFonts w:hint="eastAsia" w:ascii="宋体" w:hAnsi="宋体"/>
          <w:color w:val="auto"/>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621" w:firstLineChars="296"/>
        <w:rPr>
          <w:rFonts w:hint="default" w:eastAsia="宋体"/>
          <w:color w:val="auto"/>
          <w:highlight w:val="none"/>
          <w:lang w:val="en-US" w:eastAsia="zh-CN"/>
        </w:rPr>
      </w:pPr>
      <w:r>
        <w:rPr>
          <w:rFonts w:hint="eastAsia"/>
          <w:color w:val="auto"/>
          <w:highlight w:val="none"/>
          <w:lang w:val="en-US" w:eastAsia="zh-CN"/>
        </w:rPr>
        <w:t>投标人</w:t>
      </w:r>
      <w:r>
        <w:rPr>
          <w:rFonts w:hint="eastAsia" w:ascii="宋体" w:hAnsi="宋体" w:eastAsia="宋体" w:cs="宋体"/>
          <w:color w:val="auto"/>
          <w:kern w:val="0"/>
          <w:sz w:val="21"/>
          <w:szCs w:val="21"/>
          <w:highlight w:val="none"/>
          <w:lang w:val="en-US" w:eastAsia="zh-CN"/>
        </w:rPr>
        <w:t>须具有市场监督管理局批准核发的《营业执照》且经营范围包含城市绿化管理。</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16</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16</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300元</w:t>
      </w:r>
      <w:r>
        <w:rPr>
          <w:rFonts w:hint="eastAsia" w:ascii="宋体" w:hAnsi="宋体" w:eastAsia="宋体"/>
          <w:color w:val="auto"/>
          <w:sz w:val="21"/>
          <w:szCs w:val="21"/>
          <w:highlight w:val="none"/>
        </w:rPr>
        <w:t>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梁先生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bCs/>
          <w:color w:val="auto"/>
          <w:sz w:val="21"/>
          <w:szCs w:val="21"/>
          <w:highlight w:val="none"/>
          <w:lang w:val="en-US" w:eastAsia="zh-CN"/>
        </w:rPr>
        <w:t>5</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31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bCs/>
          <w:color w:val="auto"/>
          <w:sz w:val="21"/>
          <w:szCs w:val="21"/>
          <w:highlight w:val="none"/>
          <w:lang w:val="en-US" w:eastAsia="zh-CN"/>
        </w:rPr>
        <w:t>5</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31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东莞市大岭山镇新塘村委会一楼会议室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李工</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地址：东莞市大岭山镇</w:t>
      </w:r>
      <w:bookmarkStart w:id="321" w:name="_GoBack"/>
      <w:bookmarkEnd w:id="321"/>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联系电话：0769-81602896</w:t>
      </w:r>
      <w:r>
        <w:rPr>
          <w:rFonts w:hint="eastAsia" w:ascii="宋体" w:hAnsi="宋体"/>
          <w:bCs/>
          <w:color w:val="auto"/>
          <w:sz w:val="21"/>
          <w:szCs w:val="21"/>
          <w:highlight w:val="none"/>
          <w:lang w:val="en-US" w:eastAsia="zh-CN"/>
        </w:rPr>
        <w:t xml:space="preserve"> </w:t>
      </w:r>
    </w:p>
    <w:p>
      <w:pPr>
        <w:spacing w:after="0" w:line="360" w:lineRule="auto"/>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color w:val="auto"/>
          <w:highlight w:val="none"/>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2024年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rPr>
          <w:rFonts w:hint="eastAsia"/>
          <w:highlight w:val="none"/>
        </w:rPr>
      </w:pPr>
    </w:p>
    <w:p>
      <w:pPr>
        <w:pStyle w:val="3"/>
        <w:spacing w:before="0" w:after="0" w:line="240" w:lineRule="auto"/>
        <w:rPr>
          <w:rFonts w:hint="eastAsia"/>
          <w:color w:val="auto"/>
          <w:sz w:val="28"/>
          <w:szCs w:val="28"/>
          <w:highlight w:val="none"/>
          <w:lang w:val="en-US" w:eastAsia="zh-CN"/>
        </w:rPr>
      </w:pPr>
      <w:bookmarkStart w:id="5" w:name="_Toc24505"/>
      <w:bookmarkStart w:id="6" w:name="_Toc28550"/>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393"/>
        <w:gridCol w:w="765"/>
        <w:gridCol w:w="3766"/>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lang w:eastAsia="zh-CN"/>
              </w:rPr>
              <w:t>货物</w:t>
            </w:r>
            <w:r>
              <w:rPr>
                <w:rFonts w:hint="eastAsia" w:ascii="宋体" w:hAnsi="宋体" w:eastAsia="宋体" w:cs="宋体"/>
                <w:bCs/>
                <w:color w:val="auto"/>
                <w:sz w:val="21"/>
                <w:szCs w:val="21"/>
                <w:highlight w:val="none"/>
              </w:rPr>
              <w:sym w:font="Wingdings" w:char="00A8"/>
            </w:r>
            <w:r>
              <w:rPr>
                <w:rFonts w:hint="eastAsia" w:ascii="宋体" w:hAnsi="宋体" w:eastAsia="宋体" w:cs="宋体"/>
                <w:bCs/>
                <w:color w:val="auto"/>
                <w:sz w:val="21"/>
                <w:szCs w:val="21"/>
                <w:highlight w:val="none"/>
                <w:lang w:val="en-US" w:eastAsia="zh-CN"/>
              </w:rPr>
              <w:t xml:space="preserve">   服务</w:t>
            </w:r>
            <w:r>
              <w:rPr>
                <w:rFonts w:hint="eastAsia" w:ascii="宋体" w:hAnsi="宋体" w:eastAsia="宋体" w:cs="宋体"/>
                <w:bCs/>
                <w:color w:val="auto"/>
                <w:sz w:val="21"/>
                <w:szCs w:val="21"/>
                <w:highlight w:val="none"/>
                <w:lang w:val="en-US" w:eastAsia="zh-CN"/>
              </w:rPr>
              <w:sym w:font="Wingdings" w:char="00FE"/>
            </w:r>
            <w:r>
              <w:rPr>
                <w:rFonts w:hint="eastAsia" w:ascii="宋体" w:hAnsi="宋体" w:eastAsia="宋体" w:cs="宋体"/>
                <w:bCs/>
                <w:color w:val="auto"/>
                <w:sz w:val="21"/>
                <w:szCs w:val="21"/>
                <w:highlight w:val="none"/>
                <w:lang w:val="en-US" w:eastAsia="zh-CN"/>
              </w:rPr>
              <w:t xml:space="preserve">  工程</w:t>
            </w:r>
            <w:r>
              <w:rPr>
                <w:rFonts w:hint="eastAsia" w:ascii="宋体" w:hAnsi="宋体" w:eastAsia="宋体" w:cs="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自筹</w:t>
            </w:r>
            <w:r>
              <w:rPr>
                <w:rFonts w:hint="eastAsia" w:ascii="宋体" w:hAnsi="宋体" w:eastAsia="宋体" w:cs="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766" w:type="dxa"/>
            <w:gridSpan w:val="3"/>
            <w:vAlign w:val="center"/>
          </w:tcPr>
          <w:p>
            <w:pPr>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政通招标网</w:t>
            </w:r>
          </w:p>
        </w:tc>
        <w:tc>
          <w:tcPr>
            <w:tcW w:w="3766" w:type="dxa"/>
            <w:vAlign w:val="center"/>
          </w:tcPr>
          <w:p>
            <w:pPr>
              <w:spacing w:after="0"/>
              <w:jc w:val="center"/>
              <w:rPr>
                <w:rFonts w:hint="eastAsia" w:ascii="宋体" w:hAnsi="宋体" w:eastAsia="宋体" w:cs="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766" w:type="dxa"/>
            <w:gridSpan w:val="3"/>
            <w:vAlign w:val="center"/>
          </w:tcPr>
          <w:p>
            <w:pPr>
              <w:shd w:val="clear"/>
              <w:jc w:val="center"/>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http://www.zttendering.com/</w:t>
            </w:r>
          </w:p>
        </w:tc>
        <w:tc>
          <w:tcPr>
            <w:tcW w:w="3766" w:type="dxa"/>
            <w:vAlign w:val="center"/>
          </w:tcPr>
          <w:p>
            <w:pPr>
              <w:spacing w:after="0"/>
              <w:jc w:val="center"/>
              <w:rPr>
                <w:rFonts w:hint="eastAsia" w:ascii="宋体" w:hAnsi="宋体" w:eastAsia="宋体" w:cs="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“●”为核心产品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本项目无核心产品</w:t>
            </w:r>
            <w:r>
              <w:rPr>
                <w:rFonts w:hint="eastAsia" w:ascii="宋体" w:hAnsi="宋体" w:eastAsia="宋体" w:cs="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投标保证金</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本项目</w:t>
            </w:r>
            <w:r>
              <w:rPr>
                <w:rFonts w:hint="eastAsia" w:ascii="宋体" w:hAnsi="宋体" w:cs="宋体"/>
                <w:b/>
                <w:color w:val="auto"/>
                <w:sz w:val="21"/>
                <w:szCs w:val="21"/>
                <w:highlight w:val="none"/>
                <w:lang w:val="en-US" w:eastAsia="zh-CN"/>
              </w:rPr>
              <w:t>无</w:t>
            </w:r>
            <w:r>
              <w:rPr>
                <w:rFonts w:hint="eastAsia" w:ascii="宋体" w:hAnsi="宋体" w:eastAsia="宋体" w:cs="宋体"/>
                <w:b/>
                <w:color w:val="auto"/>
                <w:sz w:val="21"/>
                <w:szCs w:val="21"/>
                <w:highlight w:val="none"/>
                <w:lang w:val="en-US" w:eastAsia="zh-CN"/>
              </w:rPr>
              <w:t>需提</w:t>
            </w:r>
            <w:r>
              <w:rPr>
                <w:rFonts w:hint="eastAsia" w:ascii="宋体" w:hAnsi="宋体" w:cs="宋体"/>
                <w:b/>
                <w:color w:val="auto"/>
                <w:sz w:val="21"/>
                <w:szCs w:val="21"/>
                <w:highlight w:val="none"/>
                <w:lang w:val="en-US" w:eastAsia="zh-CN"/>
              </w:rPr>
              <w:t>交</w:t>
            </w:r>
            <w:r>
              <w:rPr>
                <w:rFonts w:hint="eastAsia" w:ascii="宋体" w:hAnsi="宋体" w:eastAsia="宋体" w:cs="宋体"/>
                <w:b/>
                <w:color w:val="auto"/>
                <w:sz w:val="21"/>
                <w:szCs w:val="21"/>
                <w:highlight w:val="none"/>
                <w:lang w:val="en-US" w:eastAsia="zh-CN"/>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信用中国</w:t>
            </w:r>
          </w:p>
        </w:tc>
        <w:tc>
          <w:tcPr>
            <w:tcW w:w="453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https://www.creditchina.gov.cn/</w:t>
            </w:r>
          </w:p>
        </w:tc>
        <w:tc>
          <w:tcPr>
            <w:tcW w:w="453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投标文件类型</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唱标文件</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投标文件正本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投标文件副本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电子文档</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477"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7532" w:type="dxa"/>
            <w:gridSpan w:val="4"/>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履约保证金的数额为采购合同金额的</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收 款 人：</w:t>
            </w:r>
            <w:r>
              <w:rPr>
                <w:rFonts w:hint="eastAsia" w:ascii="宋体" w:hAnsi="宋体" w:eastAsia="宋体" w:cs="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45" w:hRule="atLeast"/>
        </w:trPr>
        <w:tc>
          <w:tcPr>
            <w:tcW w:w="8410"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rPr>
          <w:rFonts w:hint="eastAsia"/>
          <w:color w:val="auto"/>
          <w:sz w:val="28"/>
          <w:szCs w:val="28"/>
          <w:highlight w:val="none"/>
          <w:lang w:val="en-US" w:eastAsia="zh-CN"/>
        </w:rPr>
      </w:pPr>
      <w:bookmarkStart w:id="8" w:name="_Toc13473"/>
      <w:bookmarkStart w:id="9" w:name="_Hlk55300595"/>
      <w:bookmarkStart w:id="10" w:name="_Toc5749"/>
      <w:bookmarkStart w:id="11" w:name="_Toc9572"/>
    </w:p>
    <w:p>
      <w:pPr>
        <w:bidi w:val="0"/>
        <w:rPr>
          <w:rFonts w:hint="eastAsia"/>
          <w:color w:val="auto"/>
          <w:highlight w:val="none"/>
          <w:lang w:val="en-US" w:eastAsia="zh-CN"/>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bookmarkStart w:id="17" w:name="_Toc2479"/>
            <w:bookmarkStart w:id="18" w:name="_Toc29685"/>
            <w:bookmarkStart w:id="19" w:name="_Toc30638"/>
            <w:bookmarkStart w:id="20" w:name="_Toc14146"/>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40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体系认证</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12</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8"/>
              <w:spacing w:line="24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rPr>
              <w:t>具有由国家认监委批准设立的认证机构颁发并在有效期内的质量管理体系认证、环境管理体系认证、职业健康安全管理体系认证，每个得</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r>
              <w:rPr>
                <w:rFonts w:hint="eastAsia" w:ascii="宋体" w:eastAsia="宋体" w:cs="宋体"/>
                <w:color w:val="auto"/>
                <w:sz w:val="21"/>
                <w:szCs w:val="21"/>
                <w:highlight w:val="none"/>
                <w:lang w:val="en-US" w:eastAsia="zh-CN"/>
              </w:rPr>
              <w:t>本项</w:t>
            </w:r>
            <w:r>
              <w:rPr>
                <w:rFonts w:hint="eastAsia" w:ascii="宋体" w:hAnsi="宋体" w:eastAsia="宋体" w:cs="宋体"/>
                <w:color w:val="auto"/>
                <w:sz w:val="21"/>
                <w:szCs w:val="21"/>
                <w:highlight w:val="none"/>
                <w:lang w:val="zh-CN"/>
              </w:rPr>
              <w:t>最高得</w:t>
            </w:r>
            <w:r>
              <w:rPr>
                <w:rFonts w:hint="eastAsia" w:asci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注：须提供有效证书复印件并加盖投标人公章，不符合以上要求的不得分。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具有</w:t>
            </w:r>
            <w:r>
              <w:rPr>
                <w:color w:val="auto"/>
                <w:highlight w:val="none"/>
              </w:rPr>
              <w:t>绿化</w:t>
            </w:r>
            <w:r>
              <w:rPr>
                <w:rFonts w:hint="eastAsia"/>
                <w:color w:val="auto"/>
                <w:highlight w:val="none"/>
                <w:lang w:val="en-US" w:eastAsia="zh-CN"/>
              </w:rPr>
              <w:t>养护</w:t>
            </w:r>
            <w:r>
              <w:rPr>
                <w:rFonts w:hint="eastAsia"/>
                <w:color w:val="auto"/>
                <w:highlight w:val="none"/>
                <w:lang w:eastAsia="zh-CN"/>
              </w:rPr>
              <w:t>（</w:t>
            </w:r>
            <w:r>
              <w:rPr>
                <w:rFonts w:hint="eastAsia"/>
                <w:color w:val="auto"/>
                <w:highlight w:val="none"/>
                <w:lang w:val="en-US" w:eastAsia="zh-CN"/>
              </w:rPr>
              <w:t>或环卫保洁</w:t>
            </w:r>
            <w:r>
              <w:rPr>
                <w:rFonts w:hint="eastAsia"/>
                <w:color w:val="auto"/>
                <w:highlight w:val="none"/>
                <w:lang w:eastAsia="zh-CN"/>
              </w:rPr>
              <w:t>）</w:t>
            </w:r>
            <w:r>
              <w:rPr>
                <w:rFonts w:hint="eastAsia" w:ascii="宋体" w:hAnsi="宋体" w:eastAsia="宋体" w:cs="宋体"/>
                <w:bCs/>
                <w:color w:val="auto"/>
                <w:sz w:val="21"/>
                <w:szCs w:val="21"/>
                <w:highlight w:val="none"/>
              </w:rPr>
              <w:t>类项目业绩，每</w:t>
            </w:r>
            <w:r>
              <w:rPr>
                <w:rFonts w:hint="eastAsia" w:ascii="宋体" w:hAnsi="宋体" w:eastAsia="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rPr>
              <w:t>个业绩得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val="en-US" w:eastAsia="zh-CN"/>
              </w:rPr>
              <w:t>最高得15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bCs/>
                <w:color w:val="auto"/>
                <w:sz w:val="21"/>
                <w:szCs w:val="21"/>
                <w:highlight w:val="none"/>
              </w:rPr>
              <w:t>注：须提供合同复印件加盖</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团队力量</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根据</w:t>
            </w:r>
            <w:r>
              <w:rPr>
                <w:rFonts w:hint="eastAsia" w:ascii="宋体" w:eastAsia="宋体" w:cs="宋体"/>
                <w:color w:val="auto"/>
                <w:sz w:val="21"/>
                <w:szCs w:val="21"/>
                <w:highlight w:val="none"/>
                <w:lang w:val="en-US" w:eastAsia="zh-CN"/>
              </w:rPr>
              <w:t>投标人团队力量</w:t>
            </w:r>
            <w:r>
              <w:rPr>
                <w:rFonts w:hint="eastAsia" w:ascii="宋体" w:hAnsi="宋体" w:eastAsia="宋体" w:cs="宋体"/>
                <w:color w:val="auto"/>
                <w:sz w:val="21"/>
                <w:szCs w:val="21"/>
                <w:highlight w:val="none"/>
                <w:lang w:val="zh-CN" w:eastAsia="zh-CN"/>
              </w:rPr>
              <w:t>情况进行</w:t>
            </w:r>
            <w:r>
              <w:rPr>
                <w:rFonts w:hint="eastAsia" w:ascii="宋体" w:eastAsia="宋体" w:cs="宋体"/>
                <w:color w:val="auto"/>
                <w:sz w:val="21"/>
                <w:szCs w:val="21"/>
                <w:highlight w:val="none"/>
                <w:lang w:val="en-US" w:eastAsia="zh-CN"/>
              </w:rPr>
              <w:t>审</w:t>
            </w:r>
            <w:r>
              <w:rPr>
                <w:rFonts w:hint="eastAsia" w:ascii="宋体" w:hAnsi="宋体" w:eastAsia="宋体" w:cs="宋体"/>
                <w:color w:val="auto"/>
                <w:sz w:val="21"/>
                <w:szCs w:val="21"/>
                <w:highlight w:val="none"/>
                <w:lang w:val="zh-CN" w:eastAsia="zh-CN"/>
              </w:rPr>
              <w:t>：</w:t>
            </w:r>
          </w:p>
          <w:p>
            <w:pPr>
              <w:pStyle w:val="38"/>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zh-CN" w:eastAsia="zh-CN"/>
              </w:rPr>
              <w:t>具有</w:t>
            </w:r>
            <w:r>
              <w:rPr>
                <w:rFonts w:hint="eastAsia" w:ascii="宋体" w:hAnsi="宋体" w:eastAsia="宋体" w:cs="宋体"/>
                <w:color w:val="auto"/>
                <w:sz w:val="21"/>
                <w:szCs w:val="21"/>
                <w:highlight w:val="none"/>
                <w:lang w:val="en-US" w:eastAsia="zh-CN"/>
              </w:rPr>
              <w:t>园林类助理工程师（或以上）职称</w:t>
            </w:r>
            <w:r>
              <w:rPr>
                <w:rFonts w:hint="eastAsia" w:ascii="宋体" w:hAnsi="宋体" w:eastAsia="宋体" w:cs="宋体"/>
                <w:color w:val="auto"/>
                <w:sz w:val="21"/>
                <w:szCs w:val="21"/>
                <w:highlight w:val="none"/>
                <w:lang w:val="zh-CN" w:eastAsia="zh-CN"/>
              </w:rPr>
              <w:t>的，</w:t>
            </w:r>
            <w:r>
              <w:rPr>
                <w:rFonts w:hint="eastAsia" w:ascii="宋体" w:hAnsi="宋体" w:eastAsia="宋体" w:cs="宋体"/>
                <w:color w:val="auto"/>
                <w:sz w:val="21"/>
                <w:szCs w:val="21"/>
                <w:highlight w:val="none"/>
                <w:lang w:val="en-US" w:eastAsia="zh-CN"/>
              </w:rPr>
              <w:t>每提供一人</w:t>
            </w:r>
            <w:r>
              <w:rPr>
                <w:rFonts w:hint="eastAsia" w:ascii="宋体" w:hAnsi="宋体" w:eastAsia="宋体" w:cs="宋体"/>
                <w:color w:val="auto"/>
                <w:sz w:val="21"/>
                <w:szCs w:val="21"/>
                <w:highlight w:val="none"/>
                <w:lang w:val="zh-CN" w:eastAsia="zh-CN"/>
              </w:rPr>
              <w:t>得</w:t>
            </w:r>
            <w:r>
              <w:rPr>
                <w:rFonts w:hint="eastAsia" w:asci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分，</w:t>
            </w:r>
            <w:r>
              <w:rPr>
                <w:rFonts w:hint="eastAsia" w:ascii="宋体" w:eastAsia="宋体" w:cs="宋体"/>
                <w:color w:val="auto"/>
                <w:sz w:val="21"/>
                <w:szCs w:val="21"/>
                <w:highlight w:val="none"/>
                <w:lang w:val="en-US" w:eastAsia="zh-CN"/>
              </w:rPr>
              <w:t>本项</w:t>
            </w:r>
            <w:r>
              <w:rPr>
                <w:rFonts w:hint="eastAsia" w:ascii="宋体" w:hAnsi="宋体" w:eastAsia="宋体" w:cs="宋体"/>
                <w:color w:val="auto"/>
                <w:sz w:val="21"/>
                <w:szCs w:val="21"/>
                <w:highlight w:val="none"/>
                <w:lang w:val="zh-CN" w:eastAsia="zh-CN"/>
              </w:rPr>
              <w:t>最高</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分</w:t>
            </w:r>
            <w:r>
              <w:rPr>
                <w:rFonts w:hint="eastAsia" w:ascii="宋体" w:eastAsia="宋体" w:cs="宋体"/>
                <w:color w:val="auto"/>
                <w:sz w:val="21"/>
                <w:szCs w:val="21"/>
                <w:highlight w:val="none"/>
                <w:lang w:val="zh-CN" w:eastAsia="zh-CN"/>
              </w:rPr>
              <w:t>；</w:t>
            </w:r>
          </w:p>
          <w:p>
            <w:pPr>
              <w:pStyle w:val="38"/>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lang w:val="zh-CN" w:eastAsia="zh-CN"/>
              </w:rPr>
            </w:pPr>
            <w:r>
              <w:rPr>
                <w:rFonts w:hint="eastAsia" w:ascii="宋体" w:eastAsia="宋体" w:cs="宋体"/>
                <w:color w:val="auto"/>
                <w:sz w:val="21"/>
                <w:szCs w:val="21"/>
                <w:highlight w:val="none"/>
                <w:lang w:val="zh-CN" w:eastAsia="zh-CN"/>
              </w:rPr>
              <w:t>（</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zh-CN" w:eastAsia="zh-CN"/>
              </w:rPr>
              <w:t>具有</w:t>
            </w:r>
            <w:r>
              <w:rPr>
                <w:rFonts w:hint="eastAsia" w:ascii="宋体" w:hAnsi="宋体" w:eastAsia="宋体" w:cs="宋体"/>
                <w:color w:val="auto"/>
                <w:sz w:val="21"/>
                <w:szCs w:val="21"/>
                <w:highlight w:val="none"/>
                <w:lang w:val="en-US" w:eastAsia="zh-CN"/>
              </w:rPr>
              <w:t>中级（或以上）绿化工证书</w:t>
            </w:r>
            <w:r>
              <w:rPr>
                <w:rFonts w:hint="eastAsia" w:asci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每提供一人</w:t>
            </w:r>
            <w:r>
              <w:rPr>
                <w:rFonts w:hint="eastAsia" w:ascii="宋体" w:hAnsi="宋体" w:eastAsia="宋体" w:cs="宋体"/>
                <w:color w:val="auto"/>
                <w:sz w:val="21"/>
                <w:szCs w:val="21"/>
                <w:highlight w:val="none"/>
                <w:lang w:val="zh-CN" w:eastAsia="zh-CN"/>
              </w:rPr>
              <w:t>得</w:t>
            </w:r>
            <w:r>
              <w:rPr>
                <w:rFonts w:hint="eastAsia" w:asci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分，</w:t>
            </w:r>
            <w:r>
              <w:rPr>
                <w:rFonts w:hint="eastAsia" w:ascii="宋体" w:eastAsia="宋体" w:cs="宋体"/>
                <w:color w:val="auto"/>
                <w:sz w:val="21"/>
                <w:szCs w:val="21"/>
                <w:highlight w:val="none"/>
                <w:lang w:val="en-US" w:eastAsia="zh-CN"/>
              </w:rPr>
              <w:t>本项</w:t>
            </w:r>
            <w:r>
              <w:rPr>
                <w:rFonts w:hint="eastAsia" w:ascii="宋体" w:hAnsi="宋体" w:eastAsia="宋体" w:cs="宋体"/>
                <w:color w:val="auto"/>
                <w:sz w:val="21"/>
                <w:szCs w:val="21"/>
                <w:highlight w:val="none"/>
                <w:lang w:val="zh-CN" w:eastAsia="zh-CN"/>
              </w:rPr>
              <w:t>最高</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eastAsia="zh-CN"/>
              </w:rPr>
              <w:t>分</w:t>
            </w:r>
            <w:r>
              <w:rPr>
                <w:rFonts w:hint="eastAsia" w:ascii="宋体" w:eastAsia="宋体" w:cs="宋体"/>
                <w:color w:val="auto"/>
                <w:sz w:val="21"/>
                <w:szCs w:val="21"/>
                <w:highlight w:val="none"/>
                <w:lang w:val="zh-CN" w:eastAsia="zh-CN"/>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注:须提供人员证书</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为其缴纳的</w:t>
            </w:r>
            <w:r>
              <w:rPr>
                <w:rFonts w:hint="eastAsia" w:ascii="宋体" w:hAnsi="宋体" w:eastAsia="宋体" w:cs="宋体"/>
                <w:color w:val="auto"/>
                <w:sz w:val="21"/>
                <w:szCs w:val="21"/>
                <w:highlight w:val="none"/>
                <w:lang w:val="en-US" w:eastAsia="zh-CN"/>
              </w:rPr>
              <w:t>距</w:t>
            </w:r>
            <w:r>
              <w:rPr>
                <w:rFonts w:hint="eastAsia" w:ascii="宋体" w:hAnsi="宋体" w:eastAsia="宋体" w:cs="宋体"/>
                <w:color w:val="auto"/>
                <w:sz w:val="21"/>
                <w:szCs w:val="21"/>
                <w:highlight w:val="none"/>
              </w:rPr>
              <w:t>开标前</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个月内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不含开标当月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个月的社保证明复印件并加盖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服务便利性</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提供的服务承诺响应时间进行评审：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承诺在接到采购人通知后1小时（含）内到现场，得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承诺在接到采购人通知后2小时（含）内到现场，得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承诺在接到采购人通知后4小时（含）内到现场，得1分；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其它不得分。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注：须提供服务承诺书，并加盖</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50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w:t>
            </w:r>
            <w:r>
              <w:rPr>
                <w:rFonts w:hint="eastAsia" w:ascii="宋体" w:hAnsi="宋体" w:eastAsia="宋体" w:cs="宋体"/>
                <w:bCs/>
                <w:color w:val="auto"/>
                <w:sz w:val="21"/>
                <w:szCs w:val="21"/>
                <w:highlight w:val="none"/>
                <w:lang w:eastAsia="zh-CN"/>
              </w:rPr>
              <w:t>投标人</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r>
              <w:rPr>
                <w:rFonts w:hint="eastAsia" w:ascii="宋体" w:hAnsi="宋体" w:cs="宋体"/>
                <w:color w:val="auto"/>
                <w:kern w:val="2"/>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提供的</w:t>
            </w:r>
            <w:r>
              <w:rPr>
                <w:rFonts w:hint="eastAsia" w:ascii="宋体" w:hAnsi="宋体" w:eastAsia="宋体" w:cs="宋体"/>
                <w:color w:val="auto"/>
                <w:spacing w:val="0"/>
                <w:w w:val="100"/>
                <w:position w:val="0"/>
                <w:sz w:val="21"/>
                <w:szCs w:val="21"/>
                <w:highlight w:val="none"/>
                <w:lang w:val="en-US" w:eastAsia="zh-CN" w:bidi="zh-TW"/>
              </w:rPr>
              <w:t>服务</w:t>
            </w:r>
            <w:r>
              <w:rPr>
                <w:rFonts w:hint="eastAsia" w:ascii="宋体" w:hAnsi="宋体" w:eastAsia="宋体" w:cs="宋体"/>
                <w:color w:val="auto"/>
                <w:kern w:val="2"/>
                <w:sz w:val="21"/>
                <w:szCs w:val="21"/>
                <w:highlight w:val="none"/>
              </w:rPr>
              <w:t>方案</w:t>
            </w:r>
            <w:r>
              <w:rPr>
                <w:rFonts w:hint="eastAsia" w:ascii="宋体" w:hAnsi="宋体" w:eastAsia="宋体" w:cs="宋体"/>
                <w:bCs/>
                <w:color w:val="auto"/>
                <w:sz w:val="21"/>
                <w:szCs w:val="21"/>
                <w:highlight w:val="none"/>
              </w:rPr>
              <w:t>（包括但不限于作业区域的作业内容、作业时间、作业方法、日常巡查及自检保障措施等）进行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方案筹划周全、非常有时效性，有完整规划的操作流程，非常有利于项目实施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方案筹划较周全、较有时效性，有较完整规划的操作流程，有利于项目实施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方案筹划一般，有基本的时效性，操作流程一般，基本能满足项目要求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方案筹划及时效性有所欠缺，操作流程不能完全满足项目要求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安全作业措施方案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对本项目编制的安全作业措施方案进行综合评审：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方案详尽</w:t>
            </w:r>
            <w:r>
              <w:rPr>
                <w:rFonts w:hint="eastAsia" w:ascii="宋体" w:hAnsi="宋体" w:eastAsia="宋体" w:cs="宋体"/>
                <w:bCs/>
                <w:color w:val="auto"/>
                <w:kern w:val="2"/>
                <w:sz w:val="21"/>
                <w:szCs w:val="21"/>
                <w:highlight w:val="none"/>
                <w:lang w:val="en-US" w:eastAsia="zh-CN"/>
              </w:rPr>
              <w:t>科学</w:t>
            </w:r>
            <w:r>
              <w:rPr>
                <w:rFonts w:hint="eastAsia" w:ascii="宋体" w:hAnsi="宋体" w:eastAsia="宋体" w:cs="宋体"/>
                <w:bCs/>
                <w:color w:val="auto"/>
                <w:kern w:val="2"/>
                <w:sz w:val="21"/>
                <w:szCs w:val="21"/>
                <w:highlight w:val="none"/>
                <w:lang w:val="zh-CN"/>
              </w:rPr>
              <w:t>、针对性强，相应措施合理可行，有利于项目实施，得</w:t>
            </w:r>
            <w:r>
              <w:rPr>
                <w:rFonts w:hint="eastAsia" w:ascii="宋体" w:hAnsi="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方案较详尽，针对性基本符合要求，相应的措施基本合理可行，得</w:t>
            </w:r>
            <w:r>
              <w:rPr>
                <w:rFonts w:hint="eastAsia" w:ascii="宋体" w:hAnsi="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方案全面性一般，针对性一般，相应的措施可行性一般，得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w:t>
            </w:r>
            <w:r>
              <w:rPr>
                <w:rFonts w:hint="eastAsia" w:ascii="宋体" w:hAnsi="宋体" w:eastAsia="宋体" w:cs="宋体"/>
                <w:bCs/>
                <w:color w:val="auto"/>
                <w:kern w:val="2"/>
                <w:sz w:val="21"/>
                <w:szCs w:val="21"/>
                <w:highlight w:val="none"/>
                <w:lang w:val="en-US" w:eastAsia="zh-CN"/>
              </w:rPr>
              <w:t>不全面</w:t>
            </w:r>
            <w:r>
              <w:rPr>
                <w:rFonts w:hint="eastAsia" w:ascii="宋体" w:hAnsi="宋体" w:eastAsia="宋体" w:cs="宋体"/>
                <w:bCs/>
                <w:color w:val="auto"/>
                <w:kern w:val="2"/>
                <w:sz w:val="21"/>
                <w:szCs w:val="21"/>
                <w:highlight w:val="none"/>
                <w:lang w:val="zh-CN"/>
              </w:rPr>
              <w:t>，针对性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，相应的措施可行性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质量保证措施方案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是否能根据本项目要求提供详细的服务质量方案保证目标及分期目标，并提供具体可行、详细的保证措施等进行综合评审：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措施科学完整，质量保证目标明确及具有合理具体的分期目标，针对性强，可行性强，可操作性强，得</w:t>
            </w:r>
            <w:r>
              <w:rPr>
                <w:rFonts w:hint="eastAsia" w:ascii="宋体" w:hAnsi="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措施基本完整，质量保证目标明确及具有分期目标，针对性一般，可行性一般，可操性一般，得</w:t>
            </w:r>
            <w:r>
              <w:rPr>
                <w:rFonts w:hint="eastAsia" w:ascii="宋体" w:hAnsi="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措施基本完整，质量保证目标不明确，分期目标不具体，针对性差，可行性一般，可操作性一般，得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措施不完整，质量保证目标不明确，分期目标不具体，针对性差，可行性差，可操作性差，得1分；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应急</w:t>
            </w:r>
            <w:r>
              <w:rPr>
                <w:rFonts w:hint="eastAsia" w:ascii="宋体" w:hAnsi="宋体" w:eastAsia="宋体" w:cs="宋体"/>
                <w:color w:val="auto"/>
                <w:kern w:val="2"/>
                <w:sz w:val="21"/>
                <w:szCs w:val="21"/>
                <w:highlight w:val="none"/>
                <w:lang w:val="en-US" w:eastAsia="zh-CN"/>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w:t>
            </w:r>
            <w:r>
              <w:rPr>
                <w:rFonts w:hint="eastAsia" w:ascii="宋体" w:hAnsi="宋体" w:eastAsia="宋体" w:cs="宋体"/>
                <w:bCs/>
                <w:color w:val="auto"/>
                <w:kern w:val="2"/>
                <w:sz w:val="21"/>
                <w:szCs w:val="21"/>
                <w:highlight w:val="none"/>
                <w:lang w:val="en-US" w:eastAsia="zh-CN"/>
              </w:rPr>
              <w:t>投标人</w:t>
            </w:r>
            <w:r>
              <w:rPr>
                <w:rFonts w:hint="eastAsia" w:ascii="宋体" w:hAnsi="宋体" w:eastAsia="宋体" w:cs="宋体"/>
                <w:bCs/>
                <w:color w:val="auto"/>
                <w:kern w:val="2"/>
                <w:sz w:val="21"/>
                <w:szCs w:val="21"/>
                <w:highlight w:val="none"/>
                <w:lang w:val="zh-CN"/>
              </w:rPr>
              <w:t>针对台风、暴雨等天气影响，重大接待任务，重大节假日或活动等特殊情况制定的应急方案（包括传达机制、人员和设备调配、责任分工等）进行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kern w:val="2"/>
                <w:sz w:val="21"/>
                <w:szCs w:val="21"/>
                <w:highlight w:val="none"/>
                <w:lang w:val="zh-CN"/>
              </w:rPr>
              <w:t>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应急方案详尽完整、针对性强，相应的应急措施切实有效可行，得</w:t>
            </w:r>
            <w:r>
              <w:rPr>
                <w:rFonts w:hint="eastAsia" w:ascii="宋体" w:hAnsi="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应急方案较详尽完整、针对性较强，相应的应急措施</w:t>
            </w:r>
            <w:r>
              <w:rPr>
                <w:rFonts w:hint="eastAsia" w:ascii="宋体" w:hAnsi="宋体" w:eastAsia="宋体" w:cs="宋体"/>
                <w:bCs/>
                <w:color w:val="auto"/>
                <w:kern w:val="2"/>
                <w:sz w:val="21"/>
                <w:szCs w:val="21"/>
                <w:highlight w:val="none"/>
                <w:lang w:val="en-US" w:eastAsia="zh-CN"/>
              </w:rPr>
              <w:t>较</w:t>
            </w:r>
            <w:r>
              <w:rPr>
                <w:rFonts w:hint="eastAsia" w:ascii="宋体" w:hAnsi="宋体" w:eastAsia="宋体" w:cs="宋体"/>
                <w:bCs/>
                <w:color w:val="auto"/>
                <w:kern w:val="2"/>
                <w:sz w:val="21"/>
                <w:szCs w:val="21"/>
                <w:highlight w:val="none"/>
                <w:lang w:val="zh-CN"/>
              </w:rPr>
              <w:t>合理可行，得</w:t>
            </w:r>
            <w:r>
              <w:rPr>
                <w:rFonts w:hint="eastAsia" w:ascii="宋体" w:hAnsi="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应急方案基本满足要求、针对性一般，相应的应急措施基本合理，得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应急方案不能满足要求、针对</w:t>
            </w:r>
            <w:r>
              <w:rPr>
                <w:rFonts w:hint="eastAsia" w:ascii="宋体" w:hAnsi="宋体" w:eastAsia="宋体" w:cs="宋体"/>
                <w:bCs/>
                <w:color w:val="auto"/>
                <w:kern w:val="2"/>
                <w:sz w:val="21"/>
                <w:szCs w:val="21"/>
                <w:highlight w:val="none"/>
                <w:lang w:val="en-US" w:eastAsia="zh-CN"/>
              </w:rPr>
              <w:t>性</w:t>
            </w:r>
            <w:r>
              <w:rPr>
                <w:rFonts w:hint="eastAsia" w:ascii="宋体" w:hAnsi="宋体" w:eastAsia="宋体" w:cs="宋体"/>
                <w:bCs/>
                <w:color w:val="auto"/>
                <w:kern w:val="2"/>
                <w:sz w:val="21"/>
                <w:szCs w:val="21"/>
                <w:highlight w:val="none"/>
                <w:lang w:val="zh-CN"/>
              </w:rPr>
              <w:t>差、应急措施不合理，得1分；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eastAsia="宋体" w:cs="宋体"/>
                <w:color w:val="auto"/>
                <w:sz w:val="21"/>
                <w:szCs w:val="21"/>
                <w:highlight w:val="none"/>
                <w:lang w:eastAsia="zh-CN"/>
              </w:rPr>
              <w:t>招标文件</w:t>
            </w:r>
            <w:r>
              <w:rPr>
                <w:rFonts w:hint="eastAsia" w:ascii="宋体" w:hAnsi="宋体" w:eastAsia="宋体" w:cs="宋体"/>
                <w:color w:val="auto"/>
                <w:sz w:val="21"/>
                <w:szCs w:val="21"/>
                <w:highlight w:val="none"/>
              </w:rPr>
              <w:t>要求且</w:t>
            </w: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价格最低的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报价为评标基准价，其价格分为满分。其他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的价格分统一按照下列公式计算：</w:t>
            </w:r>
          </w:p>
          <w:p>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报价得分=(评标基准价／</w:t>
            </w: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报价)×价格权值</w:t>
            </w:r>
          </w:p>
        </w:tc>
      </w:tr>
    </w:tbl>
    <w:p>
      <w:pPr>
        <w:bidi w:val="0"/>
        <w:rPr>
          <w:rFonts w:hint="eastAsia" w:eastAsia="宋体"/>
          <w:highlight w:val="none"/>
          <w:lang w:eastAsia="zh-CN"/>
        </w:rPr>
      </w:pPr>
    </w:p>
    <w:p>
      <w:pPr>
        <w:pStyle w:val="7"/>
        <w:rPr>
          <w:rFonts w:hint="eastAsia" w:eastAsia="宋体"/>
          <w:highlight w:val="none"/>
          <w:lang w:eastAsia="zh-CN"/>
        </w:rPr>
      </w:pPr>
    </w:p>
    <w:p>
      <w:pPr>
        <w:rPr>
          <w:rFonts w:hint="eastAsia" w:eastAsia="宋体"/>
          <w:highlight w:val="none"/>
          <w:lang w:eastAsia="zh-CN"/>
        </w:rPr>
      </w:pPr>
    </w:p>
    <w:p>
      <w:pPr>
        <w:pStyle w:val="7"/>
        <w:rPr>
          <w:rFonts w:hint="eastAsia" w:eastAsia="宋体"/>
          <w:highlight w:val="none"/>
          <w:lang w:eastAsia="zh-CN"/>
        </w:rPr>
      </w:pPr>
    </w:p>
    <w:p>
      <w:pPr>
        <w:rPr>
          <w:rFonts w:hint="eastAsia" w:eastAsia="宋体"/>
          <w:highlight w:val="none"/>
          <w:lang w:eastAsia="zh-CN"/>
        </w:rPr>
      </w:pPr>
    </w:p>
    <w:p>
      <w:pPr>
        <w:pStyle w:val="7"/>
        <w:rPr>
          <w:rFonts w:hint="eastAsia" w:eastAsia="宋体"/>
          <w:highlight w:val="none"/>
          <w:lang w:eastAsia="zh-CN"/>
        </w:rPr>
      </w:pPr>
    </w:p>
    <w:p>
      <w:pPr>
        <w:rPr>
          <w:rFonts w:hint="eastAsia" w:eastAsia="宋体"/>
          <w:highlight w:val="none"/>
          <w:lang w:eastAsia="zh-CN"/>
        </w:rPr>
      </w:pPr>
    </w:p>
    <w:p>
      <w:pPr>
        <w:pStyle w:val="7"/>
        <w:rPr>
          <w:rFonts w:hint="eastAsia" w:eastAsia="宋体"/>
          <w:highlight w:val="none"/>
          <w:lang w:eastAsia="zh-CN"/>
        </w:rPr>
      </w:pPr>
    </w:p>
    <w:p>
      <w:pPr>
        <w:rPr>
          <w:rFonts w:hint="eastAsia" w:eastAsia="宋体"/>
          <w:highlight w:val="none"/>
          <w:lang w:eastAsia="zh-CN"/>
        </w:rPr>
      </w:pPr>
    </w:p>
    <w:p>
      <w:pPr>
        <w:pStyle w:val="7"/>
        <w:rPr>
          <w:rFonts w:hint="eastAsia" w:eastAsia="宋体"/>
          <w:highlight w:val="none"/>
          <w:lang w:eastAsia="zh-CN"/>
        </w:rPr>
      </w:pPr>
    </w:p>
    <w:p>
      <w:pPr>
        <w:rPr>
          <w:rFonts w:hint="eastAsia" w:eastAsia="宋体"/>
          <w:highlight w:val="none"/>
          <w:lang w:eastAsia="zh-CN"/>
        </w:rPr>
      </w:pPr>
    </w:p>
    <w:p>
      <w:pPr>
        <w:pStyle w:val="7"/>
        <w:rPr>
          <w:rFonts w:hint="eastAsia" w:eastAsia="宋体"/>
          <w:highlight w:val="none"/>
          <w:lang w:eastAsia="zh-CN"/>
        </w:rPr>
      </w:pPr>
    </w:p>
    <w:p>
      <w:pPr>
        <w:rPr>
          <w:rFonts w:hint="eastAsia" w:eastAsia="宋体"/>
          <w:highlight w:val="none"/>
          <w:lang w:eastAsia="zh-CN"/>
        </w:rPr>
      </w:pPr>
    </w:p>
    <w:p>
      <w:pPr>
        <w:pStyle w:val="7"/>
        <w:rPr>
          <w:rFonts w:hint="eastAsia" w:eastAsia="宋体"/>
          <w:highlight w:val="none"/>
          <w:lang w:eastAsia="zh-CN"/>
        </w:rPr>
      </w:pPr>
    </w:p>
    <w:p>
      <w:pPr>
        <w:rPr>
          <w:rFonts w:hint="eastAsia" w:eastAsia="宋体"/>
          <w:highlight w:val="none"/>
          <w:lang w:eastAsia="zh-CN"/>
        </w:rPr>
      </w:pPr>
    </w:p>
    <w:p>
      <w:pPr>
        <w:pStyle w:val="7"/>
        <w:rPr>
          <w:rFonts w:hint="eastAsia" w:eastAsia="宋体"/>
          <w:highlight w:val="none"/>
          <w:lang w:eastAsia="zh-CN"/>
        </w:rPr>
      </w:pPr>
    </w:p>
    <w:p>
      <w:pPr>
        <w:rPr>
          <w:rFonts w:hint="eastAsia" w:eastAsia="宋体"/>
          <w:highlight w:val="none"/>
          <w:lang w:eastAsia="zh-CN"/>
        </w:rPr>
      </w:pPr>
    </w:p>
    <w:p>
      <w:pPr>
        <w:pStyle w:val="7"/>
        <w:rPr>
          <w:rFonts w:hint="eastAsia" w:eastAsia="宋体"/>
          <w:highlight w:val="none"/>
          <w:lang w:eastAsia="zh-CN"/>
        </w:rPr>
      </w:pPr>
    </w:p>
    <w:p>
      <w:pPr>
        <w:rPr>
          <w:rFonts w:hint="eastAsia" w:eastAsia="宋体"/>
          <w:highlight w:val="none"/>
          <w:lang w:eastAsia="zh-CN"/>
        </w:rPr>
      </w:pPr>
    </w:p>
    <w:p>
      <w:pPr>
        <w:pStyle w:val="7"/>
        <w:rPr>
          <w:rFonts w:hint="eastAsia" w:eastAsia="宋体"/>
          <w:highlight w:val="none"/>
          <w:lang w:eastAsia="zh-CN"/>
        </w:rPr>
      </w:pPr>
    </w:p>
    <w:p>
      <w:pPr>
        <w:rPr>
          <w:rFonts w:hint="eastAsia"/>
          <w:highlight w:val="none"/>
          <w:lang w:eastAsia="zh-CN"/>
        </w:rPr>
      </w:pPr>
    </w:p>
    <w:p>
      <w:pPr>
        <w:pStyle w:val="3"/>
        <w:spacing w:before="0" w:after="0" w:line="240" w:lineRule="auto"/>
        <w:rPr>
          <w:color w:val="auto"/>
          <w:sz w:val="24"/>
          <w:szCs w:val="24"/>
          <w:highlight w:val="none"/>
        </w:rPr>
      </w:pPr>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highlight w:val="none"/>
        </w:rPr>
      </w:pPr>
      <w:bookmarkStart w:id="21" w:name="_Toc11105"/>
      <w:bookmarkStart w:id="22" w:name="_Toc3095"/>
      <w:bookmarkStart w:id="23" w:name="_Toc19746"/>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highlight w:val="none"/>
        </w:rPr>
      </w:pPr>
      <w:bookmarkStart w:id="24" w:name="_Toc18488"/>
      <w:bookmarkStart w:id="25" w:name="_Toc22803"/>
      <w:bookmarkStart w:id="26" w:name="_Toc22847"/>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16848"/>
      <w:bookmarkStart w:id="28" w:name="_Toc21002"/>
      <w:bookmarkStart w:id="29" w:name="_Toc13400"/>
      <w:r>
        <w:rPr>
          <w:rFonts w:hint="eastAsia" w:ascii="宋体" w:hAnsi="宋体" w:eastAsia="宋体"/>
          <w:color w:val="auto"/>
          <w:sz w:val="21"/>
          <w:szCs w:val="21"/>
          <w:highlight w:val="none"/>
        </w:rPr>
        <w:t>2.</w:t>
      </w:r>
      <w:bookmarkStart w:id="30" w:name="_Toc382049092"/>
      <w:bookmarkStart w:id="31" w:name="_Toc1530"/>
      <w:bookmarkStart w:id="32" w:name="_Toc303084246"/>
      <w:bookmarkStart w:id="33" w:name="_Toc298847174"/>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eastAsia="zh-CN"/>
        </w:rPr>
        <w:t>东莞市大岭山镇新塘股份经济联合社</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w:t>
      </w:r>
      <w:r>
        <w:rPr>
          <w:rFonts w:hint="eastAsia" w:ascii="宋体" w:hAnsi="宋体"/>
          <w:color w:val="auto"/>
          <w:szCs w:val="21"/>
          <w:highlight w:val="none"/>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4" w:name="_Toc2996"/>
      <w:bookmarkStart w:id="35" w:name="_Toc3780"/>
      <w:bookmarkStart w:id="36" w:name="_Toc9710"/>
      <w:r>
        <w:rPr>
          <w:rFonts w:hint="eastAsia" w:ascii="宋体" w:hAnsi="宋体" w:eastAsia="宋体"/>
          <w:color w:val="auto"/>
          <w:sz w:val="21"/>
          <w:szCs w:val="21"/>
          <w:highlight w:val="none"/>
        </w:rPr>
        <w:t>3.货物和服务</w:t>
      </w:r>
      <w:bookmarkEnd w:id="34"/>
      <w:bookmarkEnd w:id="35"/>
      <w:bookmarkEnd w:id="36"/>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5945"/>
      <w:bookmarkStart w:id="38" w:name="_Toc12536"/>
      <w:bookmarkStart w:id="39" w:name="_Toc13909"/>
      <w:r>
        <w:rPr>
          <w:rFonts w:hint="eastAsia" w:ascii="宋体" w:hAnsi="宋体" w:eastAsia="宋体"/>
          <w:color w:val="auto"/>
          <w:sz w:val="21"/>
          <w:szCs w:val="21"/>
          <w:highlight w:val="none"/>
        </w:rPr>
        <w:t>4.投标费用</w:t>
      </w:r>
      <w:bookmarkEnd w:id="37"/>
      <w:bookmarkEnd w:id="38"/>
      <w:bookmarkEnd w:id="39"/>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25040"/>
      <w:bookmarkStart w:id="42" w:name="_Toc19532"/>
      <w:r>
        <w:rPr>
          <w:rFonts w:hint="eastAsia" w:ascii="宋体" w:hAnsi="宋体" w:eastAsia="宋体"/>
          <w:color w:val="auto"/>
          <w:sz w:val="21"/>
          <w:szCs w:val="21"/>
          <w:highlight w:val="none"/>
        </w:rPr>
        <w:t>5.知识产权</w:t>
      </w:r>
      <w:bookmarkEnd w:id="40"/>
      <w:bookmarkEnd w:id="41"/>
      <w:bookmarkEnd w:id="42"/>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3" w:name="_Toc21930"/>
      <w:bookmarkStart w:id="44" w:name="_Toc8432"/>
      <w:bookmarkStart w:id="45" w:name="_Toc31885"/>
      <w:r>
        <w:rPr>
          <w:rFonts w:hint="eastAsia" w:ascii="宋体" w:hAnsi="宋体" w:eastAsia="宋体"/>
          <w:color w:val="auto"/>
          <w:sz w:val="21"/>
          <w:szCs w:val="21"/>
          <w:highlight w:val="none"/>
        </w:rPr>
        <w:t>6.关于联合体投标</w:t>
      </w:r>
      <w:bookmarkEnd w:id="43"/>
      <w:bookmarkEnd w:id="44"/>
      <w:bookmarkEnd w:id="45"/>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w:t>
      </w:r>
      <w:r>
        <w:rPr>
          <w:rFonts w:hint="eastAsia" w:ascii="宋体" w:hAnsi="宋体"/>
          <w:color w:val="auto"/>
          <w:szCs w:val="21"/>
          <w:highlight w:val="none"/>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6" w:name="_Toc16571"/>
      <w:bookmarkStart w:id="47" w:name="_Toc13811"/>
      <w:bookmarkStart w:id="48" w:name="_Toc3233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4217"/>
      <w:bookmarkStart w:id="57" w:name="_Toc17274"/>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9" w:name="_Toc16712"/>
      <w:bookmarkStart w:id="60" w:name="_Toc23726"/>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28092"/>
      <w:bookmarkStart w:id="64" w:name="_Toc7434"/>
      <w:r>
        <w:rPr>
          <w:rFonts w:hint="eastAsia" w:ascii="宋体" w:hAnsi="宋体" w:eastAsia="宋体"/>
          <w:color w:val="auto"/>
          <w:sz w:val="21"/>
          <w:szCs w:val="21"/>
          <w:highlight w:val="none"/>
        </w:rPr>
        <w:t>10.投标文件的语言及度量衡单位</w:t>
      </w:r>
      <w:bookmarkEnd w:id="62"/>
      <w:bookmarkEnd w:id="63"/>
      <w:bookmarkEnd w:id="6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82049103"/>
      <w:bookmarkStart w:id="66" w:name="_Toc28866"/>
      <w:bookmarkStart w:id="67" w:name="_Toc307934854"/>
      <w:bookmarkStart w:id="68" w:name="_Toc18999"/>
      <w:bookmarkStart w:id="69" w:name="_Toc303084256"/>
      <w:bookmarkStart w:id="70" w:name="_Toc12145"/>
      <w:bookmarkStart w:id="71" w:name="_Toc7728"/>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21747"/>
      <w:bookmarkStart w:id="73" w:name="_Toc3882"/>
      <w:bookmarkStart w:id="74" w:name="_Toc30189"/>
      <w:r>
        <w:rPr>
          <w:rFonts w:hint="eastAsia" w:ascii="宋体" w:hAnsi="宋体" w:eastAsia="宋体"/>
          <w:color w:val="auto"/>
          <w:sz w:val="21"/>
          <w:szCs w:val="21"/>
          <w:highlight w:val="none"/>
        </w:rPr>
        <w:t>12.投标文件编制</w:t>
      </w:r>
      <w:bookmarkEnd w:id="72"/>
      <w:bookmarkEnd w:id="73"/>
      <w:bookmarkEnd w:id="7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5"/>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5"/>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7847"/>
      <w:bookmarkStart w:id="77" w:name="_Toc259"/>
      <w:bookmarkStart w:id="78" w:name="_Toc17188"/>
      <w:r>
        <w:rPr>
          <w:rFonts w:hint="eastAsia" w:ascii="宋体" w:hAnsi="宋体" w:eastAsia="宋体"/>
          <w:color w:val="auto"/>
          <w:sz w:val="21"/>
          <w:szCs w:val="21"/>
          <w:highlight w:val="none"/>
        </w:rPr>
        <w:t>13.投标报价说明</w:t>
      </w:r>
      <w:bookmarkEnd w:id="76"/>
      <w:bookmarkEnd w:id="77"/>
      <w:bookmarkEnd w:id="78"/>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27724"/>
      <w:bookmarkStart w:id="80" w:name="_Toc18911"/>
      <w:bookmarkStart w:id="81" w:name="_Toc16535"/>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5"/>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22169"/>
      <w:bookmarkStart w:id="85" w:name="_Toc19520"/>
      <w:bookmarkStart w:id="86" w:name="_Toc30815"/>
      <w:r>
        <w:rPr>
          <w:rFonts w:hint="eastAsia" w:ascii="宋体" w:hAnsi="宋体" w:eastAsia="宋体"/>
          <w:color w:val="auto"/>
          <w:sz w:val="21"/>
          <w:szCs w:val="21"/>
          <w:highlight w:val="none"/>
        </w:rPr>
        <w:t>15.★投标有效期</w:t>
      </w:r>
      <w:bookmarkEnd w:id="84"/>
      <w:bookmarkEnd w:id="85"/>
      <w:bookmarkEnd w:id="86"/>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25817"/>
      <w:bookmarkStart w:id="88" w:name="_Toc30257"/>
      <w:bookmarkStart w:id="89" w:name="_Toc12456"/>
      <w:r>
        <w:rPr>
          <w:rFonts w:hint="eastAsia" w:ascii="宋体" w:hAnsi="宋体" w:eastAsia="宋体"/>
          <w:color w:val="auto"/>
          <w:sz w:val="21"/>
          <w:szCs w:val="21"/>
          <w:highlight w:val="none"/>
        </w:rPr>
        <w:t>16.投标保证金</w:t>
      </w:r>
      <w:bookmarkEnd w:id="87"/>
      <w:bookmarkEnd w:id="88"/>
      <w:bookmarkEnd w:id="89"/>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1" w:name="_Toc31124"/>
      <w:bookmarkStart w:id="92" w:name="_Toc24109"/>
      <w:bookmarkStart w:id="93" w:name="_Toc3200"/>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03084264"/>
      <w:bookmarkStart w:id="95" w:name="_Toc382049111"/>
      <w:bookmarkStart w:id="96" w:name="_Toc23678"/>
      <w:bookmarkStart w:id="97" w:name="_Toc24997"/>
      <w:bookmarkStart w:id="98" w:name="_Toc473"/>
      <w:bookmarkStart w:id="99" w:name="_Toc29590"/>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7473"/>
      <w:bookmarkStart w:id="101" w:name="_Toc17417"/>
      <w:bookmarkStart w:id="102" w:name="_Toc8628"/>
      <w:r>
        <w:rPr>
          <w:rFonts w:hint="eastAsia" w:ascii="宋体" w:hAnsi="宋体" w:eastAsia="宋体"/>
          <w:color w:val="auto"/>
          <w:sz w:val="21"/>
          <w:szCs w:val="21"/>
          <w:highlight w:val="none"/>
        </w:rPr>
        <w:t>18.迟交的投标文件</w:t>
      </w:r>
      <w:bookmarkEnd w:id="100"/>
      <w:bookmarkEnd w:id="101"/>
      <w:bookmarkEnd w:id="102"/>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9649"/>
      <w:bookmarkStart w:id="104" w:name="_Toc13212"/>
      <w:bookmarkStart w:id="105" w:name="_Toc8526"/>
      <w:r>
        <w:rPr>
          <w:rFonts w:hint="eastAsia" w:ascii="宋体" w:hAnsi="宋体" w:eastAsia="宋体"/>
          <w:color w:val="auto"/>
          <w:sz w:val="21"/>
          <w:szCs w:val="21"/>
          <w:highlight w:val="none"/>
        </w:rPr>
        <w:t>19.投标样品（如需提交）</w:t>
      </w:r>
      <w:bookmarkEnd w:id="103"/>
      <w:bookmarkEnd w:id="104"/>
      <w:bookmarkEnd w:id="105"/>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303084265"/>
      <w:bookmarkStart w:id="107" w:name="_Toc382049112"/>
      <w:bookmarkStart w:id="108" w:name="_Toc23477"/>
      <w:bookmarkStart w:id="109" w:name="_Toc7689"/>
      <w:bookmarkStart w:id="110" w:name="_Toc9777"/>
      <w:bookmarkStart w:id="111" w:name="_Toc5900"/>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6003"/>
      <w:bookmarkStart w:id="113" w:name="_Toc15569"/>
      <w:bookmarkStart w:id="114" w:name="_Toc11133"/>
      <w:r>
        <w:rPr>
          <w:rFonts w:hint="eastAsia" w:ascii="宋体" w:hAnsi="宋体" w:eastAsia="宋体"/>
          <w:color w:val="auto"/>
          <w:sz w:val="21"/>
          <w:szCs w:val="21"/>
          <w:highlight w:val="none"/>
        </w:rPr>
        <w:t>21.投标文件的补充、修改与撤回</w:t>
      </w:r>
      <w:bookmarkEnd w:id="112"/>
      <w:bookmarkEnd w:id="113"/>
      <w:bookmarkEnd w:id="11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5" w:name="_Toc23466"/>
      <w:bookmarkStart w:id="116" w:name="_Toc5049"/>
      <w:bookmarkStart w:id="117" w:name="_Toc29574"/>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7700"/>
      <w:bookmarkStart w:id="119" w:name="_Toc28458"/>
      <w:bookmarkStart w:id="120" w:name="_Toc24251"/>
      <w:r>
        <w:rPr>
          <w:rFonts w:hint="eastAsia" w:ascii="宋体" w:hAnsi="宋体" w:eastAsia="宋体"/>
          <w:color w:val="auto"/>
          <w:sz w:val="21"/>
          <w:szCs w:val="21"/>
          <w:highlight w:val="none"/>
        </w:rPr>
        <w:t>22.开标</w:t>
      </w:r>
      <w:bookmarkEnd w:id="118"/>
      <w:bookmarkEnd w:id="119"/>
      <w:bookmarkEnd w:id="120"/>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4921"/>
      <w:bookmarkStart w:id="122" w:name="_Toc5974"/>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w:t>
      </w:r>
      <w:r>
        <w:rPr>
          <w:rFonts w:hint="eastAsia" w:hAnsi="宋体"/>
          <w:color w:val="auto"/>
          <w:szCs w:val="21"/>
          <w:highlight w:val="none"/>
        </w:rPr>
        <w:t>最后综合得分排名</w:t>
      </w:r>
      <w:r>
        <w:rPr>
          <w:rFonts w:hint="eastAsia" w:hAnsi="宋体"/>
          <w:color w:val="auto"/>
          <w:szCs w:val="21"/>
          <w:highlight w:val="none"/>
          <w:lang w:val="en-US" w:eastAsia="zh-CN"/>
        </w:rPr>
        <w:t>第一</w:t>
      </w:r>
      <w:r>
        <w:rPr>
          <w:rFonts w:hint="eastAsia" w:hAnsi="宋体"/>
          <w:color w:val="auto"/>
          <w:szCs w:val="21"/>
          <w:highlight w:val="none"/>
        </w:rPr>
        <w:t>的投标人为中标人</w:t>
      </w:r>
      <w:r>
        <w:rPr>
          <w:rFonts w:hint="eastAsia" w:hAnsi="宋体"/>
          <w:color w:val="auto"/>
          <w:szCs w:val="21"/>
          <w:highlight w:val="none"/>
          <w:lang w:eastAsia="zh-CN"/>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32730"/>
      <w:bookmarkStart w:id="125" w:name="_Toc15231"/>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color w:val="auto"/>
          <w:szCs w:val="21"/>
          <w:highlight w:val="none"/>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6745"/>
      <w:bookmarkStart w:id="128" w:name="_Toc3762"/>
      <w:bookmarkStart w:id="129" w:name="_Toc18436"/>
      <w:r>
        <w:rPr>
          <w:rFonts w:hint="eastAsia" w:ascii="宋体" w:hAnsi="宋体" w:eastAsia="宋体"/>
          <w:color w:val="auto"/>
          <w:sz w:val="21"/>
          <w:szCs w:val="21"/>
          <w:highlight w:val="none"/>
        </w:rPr>
        <w:t>25.投标文件的初审</w:t>
      </w:r>
      <w:bookmarkEnd w:id="127"/>
      <w:bookmarkEnd w:id="128"/>
      <w:bookmarkEnd w:id="129"/>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9184"/>
      <w:bookmarkStart w:id="131" w:name="_Toc27673"/>
      <w:bookmarkStart w:id="132" w:name="_Toc21742"/>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w:t>
      </w:r>
      <w:r>
        <w:rPr>
          <w:rFonts w:hint="eastAsia" w:ascii="宋体" w:hAnsi="宋体"/>
          <w:color w:val="auto"/>
          <w:sz w:val="21"/>
          <w:szCs w:val="21"/>
          <w:highlight w:val="none"/>
          <w:lang w:eastAsia="zh-CN"/>
        </w:rPr>
        <w:t>，</w:t>
      </w:r>
      <w:r>
        <w:rPr>
          <w:rFonts w:hint="eastAsia" w:hAnsi="宋体"/>
          <w:color w:val="auto"/>
          <w:szCs w:val="21"/>
          <w:highlight w:val="none"/>
        </w:rPr>
        <w:t>最后综合得分排名</w:t>
      </w:r>
      <w:r>
        <w:rPr>
          <w:rFonts w:hint="eastAsia" w:hAnsi="宋体"/>
          <w:color w:val="auto"/>
          <w:szCs w:val="21"/>
          <w:highlight w:val="none"/>
          <w:lang w:val="en-US" w:eastAsia="zh-CN"/>
        </w:rPr>
        <w:t>第一</w:t>
      </w:r>
      <w:r>
        <w:rPr>
          <w:rFonts w:hint="eastAsia" w:hAnsi="宋体"/>
          <w:color w:val="auto"/>
          <w:szCs w:val="21"/>
          <w:highlight w:val="none"/>
        </w:rPr>
        <w:t>的投标人为中标人</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316375620"/>
      <w:bookmarkStart w:id="134" w:name="_Toc20328"/>
      <w:bookmarkStart w:id="135" w:name="_Toc22591"/>
      <w:bookmarkStart w:id="136" w:name="_Toc31141"/>
      <w:bookmarkStart w:id="137" w:name="_Toc382049120"/>
      <w:bookmarkStart w:id="138" w:name="_Toc12115"/>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.纪律和</w:t>
      </w:r>
      <w:r>
        <w:rPr>
          <w:rFonts w:ascii="宋体" w:hAnsi="宋体" w:eastAsia="宋体"/>
          <w:color w:val="auto"/>
          <w:sz w:val="21"/>
          <w:szCs w:val="21"/>
          <w:highlight w:val="none"/>
        </w:rPr>
        <w:t>保密</w:t>
      </w:r>
      <w:bookmarkEnd w:id="133"/>
      <w:r>
        <w:rPr>
          <w:rFonts w:hint="eastAsia" w:ascii="宋体" w:hAnsi="宋体" w:eastAsia="宋体"/>
          <w:color w:val="auto"/>
          <w:sz w:val="21"/>
          <w:szCs w:val="21"/>
          <w:highlight w:val="none"/>
        </w:rPr>
        <w:t>事项</w:t>
      </w:r>
      <w:bookmarkEnd w:id="134"/>
      <w:bookmarkEnd w:id="135"/>
      <w:bookmarkEnd w:id="136"/>
      <w:bookmarkEnd w:id="137"/>
      <w:bookmarkEnd w:id="138"/>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39" w:name="_Toc29310"/>
      <w:bookmarkStart w:id="140" w:name="_Toc12251"/>
      <w:bookmarkStart w:id="141" w:name="_Toc5528"/>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39"/>
      <w:bookmarkEnd w:id="140"/>
      <w:bookmarkEnd w:id="14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2" w:name="_Toc27817"/>
      <w:bookmarkStart w:id="143" w:name="_Toc508284011"/>
      <w:bookmarkStart w:id="144" w:name="_Toc17778"/>
      <w:bookmarkStart w:id="145" w:name="_Toc6696"/>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w:t>
      </w:r>
      <w:r>
        <w:rPr>
          <w:rFonts w:ascii="宋体" w:hAnsi="宋体" w:eastAsia="宋体"/>
          <w:color w:val="auto"/>
          <w:sz w:val="21"/>
          <w:szCs w:val="21"/>
          <w:highlight w:val="none"/>
        </w:rPr>
        <w:t>合同授予标准</w:t>
      </w:r>
      <w:bookmarkEnd w:id="142"/>
      <w:bookmarkEnd w:id="143"/>
      <w:bookmarkEnd w:id="144"/>
      <w:bookmarkEnd w:id="145"/>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12440"/>
      <w:bookmarkStart w:id="147" w:name="_Toc23136"/>
      <w:bookmarkStart w:id="148" w:name="_Toc29283"/>
      <w:bookmarkStart w:id="149" w:name="_Toc508284013"/>
      <w:r>
        <w:rPr>
          <w:rFonts w:hint="eastAsia" w:ascii="宋体" w:hAnsi="宋体" w:eastAsia="宋体"/>
          <w:color w:val="auto"/>
          <w:sz w:val="21"/>
          <w:szCs w:val="21"/>
          <w:highlight w:val="none"/>
          <w:lang w:val="en-US" w:eastAsia="zh-CN"/>
        </w:rPr>
        <w:t>29</w:t>
      </w:r>
      <w:r>
        <w:rPr>
          <w:rFonts w:hint="eastAsia" w:ascii="宋体" w:hAnsi="宋体" w:eastAsia="宋体"/>
          <w:color w:val="auto"/>
          <w:sz w:val="21"/>
          <w:szCs w:val="21"/>
          <w:highlight w:val="none"/>
        </w:rPr>
        <w:t>.发布采购结果</w:t>
      </w:r>
      <w:bookmarkEnd w:id="146"/>
      <w:bookmarkEnd w:id="147"/>
      <w:bookmarkEnd w:id="148"/>
      <w:bookmarkEnd w:id="149"/>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7279"/>
      <w:bookmarkStart w:id="151" w:name="_Toc22451"/>
      <w:bookmarkStart w:id="152" w:name="_Toc22262"/>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.合同的签订与履行</w:t>
      </w:r>
      <w:bookmarkEnd w:id="150"/>
      <w:bookmarkEnd w:id="151"/>
      <w:bookmarkEnd w:id="152"/>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303084277"/>
      <w:bookmarkStart w:id="154" w:name="_Toc29009"/>
      <w:bookmarkStart w:id="155" w:name="_Toc25756"/>
      <w:bookmarkStart w:id="156" w:name="_Toc382049124"/>
      <w:bookmarkStart w:id="157" w:name="_Toc2744"/>
      <w:bookmarkStart w:id="158" w:name="_Toc7405"/>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3"/>
      <w:bookmarkEnd w:id="154"/>
      <w:bookmarkEnd w:id="155"/>
      <w:bookmarkEnd w:id="156"/>
      <w:bookmarkEnd w:id="157"/>
      <w:bookmarkEnd w:id="158"/>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59" w:name="_Toc20699"/>
      <w:bookmarkStart w:id="160" w:name="_Toc7360"/>
      <w:bookmarkStart w:id="161" w:name="_Toc13694"/>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59"/>
      <w:bookmarkEnd w:id="160"/>
      <w:bookmarkEnd w:id="1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2" w:name="_Toc22900"/>
      <w:bookmarkStart w:id="163" w:name="_Toc17974"/>
      <w:bookmarkStart w:id="164" w:name="_Toc25498"/>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.询问</w:t>
      </w:r>
      <w:bookmarkEnd w:id="162"/>
      <w:bookmarkEnd w:id="163"/>
      <w:bookmarkEnd w:id="164"/>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8234"/>
      <w:bookmarkStart w:id="166" w:name="_Toc2767"/>
      <w:bookmarkStart w:id="167" w:name="_Toc1126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.质疑</w:t>
      </w:r>
      <w:bookmarkEnd w:id="165"/>
      <w:bookmarkEnd w:id="166"/>
      <w:bookmarkEnd w:id="167"/>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8" w:name="_Toc24383"/>
      <w:bookmarkStart w:id="169" w:name="_Toc5690"/>
      <w:bookmarkStart w:id="170" w:name="_Toc8919"/>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68"/>
      <w:bookmarkEnd w:id="169"/>
      <w:bookmarkEnd w:id="170"/>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1" w:name="_Toc21187"/>
      <w:bookmarkStart w:id="172" w:name="_Toc10082"/>
      <w:bookmarkStart w:id="173" w:name="_Toc6548"/>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.招标文件的解释权</w:t>
      </w:r>
      <w:bookmarkEnd w:id="171"/>
      <w:bookmarkEnd w:id="172"/>
      <w:bookmarkEnd w:id="173"/>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w:t>
      </w:r>
      <w:r>
        <w:rPr>
          <w:rFonts w:hint="eastAsia" w:ascii="宋体" w:hAnsi="宋体"/>
          <w:color w:val="auto"/>
          <w:sz w:val="21"/>
          <w:szCs w:val="21"/>
          <w:highlight w:val="none"/>
          <w:lang w:val="en-US" w:eastAsia="zh-CN"/>
        </w:rPr>
        <w:t>220406</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rFonts w:hint="eastAsia"/>
          <w:color w:val="auto"/>
          <w:sz w:val="28"/>
          <w:szCs w:val="28"/>
          <w:highlight w:val="none"/>
        </w:rPr>
      </w:pPr>
      <w:bookmarkStart w:id="174" w:name="_Toc31854"/>
      <w:bookmarkStart w:id="175" w:name="_Toc7011"/>
      <w:bookmarkStart w:id="176" w:name="_Toc38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4"/>
      <w:bookmarkEnd w:id="175"/>
      <w:bookmarkEnd w:id="176"/>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77" w:name="_Toc1593"/>
      <w:bookmarkStart w:id="178" w:name="_Toc19316"/>
      <w:r>
        <w:rPr>
          <w:rFonts w:hint="eastAsia" w:ascii="宋体" w:hAnsi="宋体"/>
          <w:color w:val="auto"/>
          <w:highlight w:val="none"/>
          <w:lang w:val="en-US" w:eastAsia="zh-CN"/>
        </w:rPr>
        <w:t>第一章 商务需求书</w:t>
      </w:r>
      <w:bookmarkEnd w:id="177"/>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5"/>
              <w:keepNext w:val="0"/>
              <w:keepLines w:val="0"/>
              <w:pageBreakBefore w:val="0"/>
              <w:widowControl/>
              <w:kinsoku/>
              <w:wordWrap/>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bCs/>
                <w:color w:val="auto"/>
                <w:kern w:val="44"/>
                <w:sz w:val="21"/>
                <w:szCs w:val="21"/>
                <w:highlight w:val="none"/>
                <w:lang w:eastAsia="zh-CN"/>
              </w:rPr>
              <w:t>自合同签订之日起3年。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服务费每半年结算一次</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按合同总金额÷6平均计算</w:t>
            </w:r>
            <w:r>
              <w:rPr>
                <w:rFonts w:hint="eastAsia" w:ascii="宋体" w:hAnsi="宋体" w:cs="宋体"/>
                <w:color w:val="auto"/>
                <w:sz w:val="21"/>
                <w:szCs w:val="21"/>
                <w:highlight w:val="none"/>
                <w:lang w:val="en-US" w:eastAsia="zh-CN"/>
              </w:rPr>
              <w:t>，采购人于每半年的最后一个月支付服务费给中标人。</w:t>
            </w:r>
            <w:r>
              <w:rPr>
                <w:rFonts w:hint="eastAsia" w:ascii="宋体" w:hAnsi="宋体" w:eastAsia="宋体" w:cs="宋体"/>
                <w:color w:val="auto"/>
                <w:sz w:val="21"/>
                <w:szCs w:val="21"/>
                <w:highlight w:val="none"/>
                <w:lang w:eastAsia="zh-CN"/>
              </w:rPr>
              <w:t>（中标人向采购人申请付款时须提供相应额度的发票给采购人。）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本项目采用</w:t>
            </w:r>
            <w:r>
              <w:rPr>
                <w:rFonts w:hint="eastAsia" w:ascii="宋体" w:hAnsi="宋体" w:cs="宋体"/>
                <w:color w:val="auto"/>
                <w:sz w:val="21"/>
                <w:szCs w:val="21"/>
                <w:highlight w:val="none"/>
                <w:lang w:val="en-US" w:eastAsia="zh-CN"/>
              </w:rPr>
              <w:t>总价</w:t>
            </w: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zh-CN"/>
              </w:rPr>
              <w:t>投标报价</w:t>
            </w:r>
            <w:r>
              <w:rPr>
                <w:rFonts w:hint="eastAsia" w:ascii="宋体" w:hAnsi="宋体" w:eastAsia="宋体" w:cs="宋体"/>
                <w:color w:val="auto"/>
                <w:sz w:val="21"/>
                <w:szCs w:val="21"/>
                <w:highlight w:val="none"/>
                <w:lang w:val="en-US" w:eastAsia="zh-CN" w:bidi="zh-CN"/>
              </w:rPr>
              <w:t>包括材料、工具、人工、管理费、利润、税金、风险等一切因素所有应该和可能发生的费用因素。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验收要求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zh-CN" w:bidi="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bidi w:val="0"/>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78"/>
    </w:p>
    <w:p>
      <w:pPr>
        <w:pStyle w:val="5"/>
        <w:bidi w:val="0"/>
        <w:rPr>
          <w:rFonts w:hint="eastAsia"/>
          <w:highlight w:val="none"/>
          <w:lang w:val="en-US" w:eastAsia="zh-CN"/>
        </w:rPr>
      </w:pPr>
      <w:bookmarkStart w:id="179" w:name="_Toc13112"/>
      <w:bookmarkStart w:id="180" w:name="_Toc24679"/>
      <w:bookmarkStart w:id="181" w:name="_Toc14462"/>
      <w:bookmarkStart w:id="182" w:name="_Toc31278"/>
      <w:r>
        <w:rPr>
          <w:rFonts w:hint="eastAsia"/>
          <w:highlight w:val="none"/>
          <w:lang w:val="en-US" w:eastAsia="zh-CN"/>
        </w:rPr>
        <w:t>一、项目概况</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为进一步完善新塘村的绿化管理，为群众营造一个舒适的生活环境，</w:t>
      </w:r>
      <w:r>
        <w:rPr>
          <w:color w:val="auto"/>
          <w:sz w:val="21"/>
          <w:highlight w:val="none"/>
        </w:rPr>
        <w:t>现</w:t>
      </w:r>
      <w:r>
        <w:rPr>
          <w:rFonts w:hint="eastAsia"/>
          <w:color w:val="auto"/>
          <w:sz w:val="21"/>
          <w:highlight w:val="none"/>
          <w:lang w:val="en-US" w:eastAsia="zh-CN"/>
        </w:rPr>
        <w:t>通过公开招标</w:t>
      </w:r>
      <w:r>
        <w:rPr>
          <w:color w:val="auto"/>
          <w:sz w:val="21"/>
          <w:highlight w:val="none"/>
        </w:rPr>
        <w:t>的方式选取一家服务单位，提供</w:t>
      </w:r>
      <w:r>
        <w:rPr>
          <w:rFonts w:hint="eastAsia"/>
          <w:color w:val="auto"/>
          <w:sz w:val="21"/>
          <w:highlight w:val="none"/>
          <w:lang w:val="en-US" w:eastAsia="zh-CN"/>
        </w:rPr>
        <w:t>新塘村部分区域绿化养护及清洁和保洁服务</w:t>
      </w:r>
      <w:r>
        <w:rPr>
          <w:color w:val="auto"/>
          <w:sz w:val="21"/>
          <w:highlight w:val="none"/>
        </w:rPr>
        <w:t>。</w:t>
      </w:r>
    </w:p>
    <w:p>
      <w:pPr>
        <w:pStyle w:val="5"/>
        <w:bidi w:val="0"/>
        <w:rPr>
          <w:rFonts w:hint="eastAsia" w:eastAsia="宋体"/>
          <w:highlight w:val="none"/>
          <w:lang w:val="en-US" w:eastAsia="zh-CN"/>
        </w:rPr>
      </w:pPr>
      <w:r>
        <w:rPr>
          <w:rFonts w:hint="eastAsia" w:eastAsia="宋体"/>
          <w:highlight w:val="none"/>
          <w:lang w:val="en-US" w:eastAsia="zh-CN"/>
        </w:rPr>
        <w:t>二、管理范围</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（1）绿化养护包括:新塘公园、村委会大院、新塘村休闲广场(村委会对面口袋公园)、四小园(三队小区1个、围面前路约5个、围仔街约8 个、五队小区1个、桂花街1个、腾速网吧后面1个、一手烧鹅门前、新塘新路71号之二对面)、水口街、红绿灯路口等；</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（2）清洁及保洁包括:新塘公园及周边。</w:t>
      </w:r>
    </w:p>
    <w:p>
      <w:pPr>
        <w:pStyle w:val="5"/>
        <w:bidi w:val="0"/>
        <w:rPr>
          <w:rFonts w:hint="eastAsia" w:eastAsia="宋体"/>
          <w:highlight w:val="none"/>
          <w:lang w:val="en-US" w:eastAsia="zh-CN"/>
        </w:rPr>
      </w:pPr>
      <w:r>
        <w:rPr>
          <w:rFonts w:hint="eastAsia" w:eastAsia="宋体"/>
          <w:highlight w:val="none"/>
          <w:lang w:val="en-US" w:eastAsia="zh-CN"/>
        </w:rPr>
        <w:t>三、管理内容及要求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绿化养护要求：1、花木整形修剪；2、花木防治害虫；3、草坪除杂草；4、浇灌花木；5、花木施肥，施肥的时间约为每月壹次，视植物的生长情况和季节，确定施肥的次数；6、割草坪；7、直径10公分以内所有树木修剪并按采购人要求进行。8、合同范围内的园路、广场保洁。中标人对管理范围内的绿化植物须按《园林管理规范》精心管理，要保证成活，保证美观和生长茂盛。管理期间发生的管理支出由中标人承担。除按协议支付管理费外，采购人不承担其他相关的经济责任与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highlight w:val="none"/>
          <w:lang w:val="en-US" w:eastAsia="zh-CN"/>
        </w:rPr>
        <w:t>清洁及保洁</w:t>
      </w:r>
      <w:r>
        <w:rPr>
          <w:rFonts w:hint="eastAsia" w:ascii="宋体" w:hAnsi="宋体" w:eastAsia="宋体" w:cs="宋体"/>
          <w:color w:val="auto"/>
          <w:sz w:val="21"/>
          <w:szCs w:val="21"/>
          <w:highlight w:val="none"/>
          <w:lang w:val="en-US" w:eastAsia="zh-CN"/>
        </w:rPr>
        <w:t>要求：1、保洁人员足额，严格执行保洁时间；2、在规定服务时间内，保洁人员着装统一，按计划流程实施保洁；3、保洁工作做到保洁设备、工具、药剂齐全；4、目视地面干净无垃圾杂物、污渍、积水、泥沙、烟蒂、痰迹；5、休闲座椅无灰尘、污渍、积水；6、绿化带内无瓜果皮壳、枯叶、饮料盒、纸屑、碎石、塑料袋等杂物；7、垃圾桶及周边地面干净、干燥无异味；8、下水道、排水沟定期清理不堵塞；9、配合采购人做好相关部门的迎检督查工作。</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水源由采购人协助提供，费用由中标人支付（新塘公园除外），并协助中标人做好公民爱护绿化植物的宣传工作，培养社区环境的公共意识。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采购人每月对中标人进行一次综合测评，测评等级分为：满意、基本满意、不合格三个等级，若一年内出现4次测评不合格，采购人可以单方面与中标人终止该协议并不作任何补偿。</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投标人应根据本项目的作业要求，在投标文件中提供切实可行服务方案、安全作业措施方案、质量保证措施方案、应急方案等。</w:t>
      </w:r>
    </w:p>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bidi w:val="0"/>
        <w:rPr>
          <w:rFonts w:hint="default"/>
          <w:highlight w:val="none"/>
          <w:lang w:val="en-US" w:eastAsia="zh-CN"/>
        </w:rPr>
      </w:pPr>
    </w:p>
    <w:p>
      <w:pPr>
        <w:bidi w:val="0"/>
        <w:rPr>
          <w:rFonts w:hint="default"/>
          <w:highlight w:val="none"/>
          <w:lang w:val="en-US" w:eastAsia="zh-CN"/>
        </w:rPr>
      </w:pPr>
    </w:p>
    <w:bookmarkEnd w:id="179"/>
    <w:bookmarkEnd w:id="180"/>
    <w:bookmarkEnd w:id="181"/>
    <w:bookmarkEnd w:id="182"/>
    <w:p>
      <w:pPr>
        <w:pStyle w:val="3"/>
        <w:spacing w:before="0" w:after="0" w:line="240" w:lineRule="auto"/>
        <w:rPr>
          <w:color w:val="auto"/>
          <w:sz w:val="28"/>
          <w:szCs w:val="28"/>
          <w:highlight w:val="none"/>
        </w:rPr>
      </w:pPr>
      <w:bookmarkStart w:id="183" w:name="_Toc21448"/>
      <w:bookmarkStart w:id="184" w:name="_Toc12485"/>
      <w:bookmarkStart w:id="185"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3"/>
      <w:bookmarkEnd w:id="184"/>
      <w:bookmarkEnd w:id="185"/>
      <w:bookmarkStart w:id="186" w:name="_Toc21155"/>
      <w:bookmarkStart w:id="187" w:name="_Toc1534"/>
      <w:bookmarkStart w:id="188" w:name="_Toc13430"/>
    </w:p>
    <w:p>
      <w:pPr>
        <w:pStyle w:val="4"/>
        <w:spacing w:before="0" w:after="0" w:line="240" w:lineRule="auto"/>
        <w:jc w:val="center"/>
        <w:rPr>
          <w:rFonts w:ascii="宋体" w:hAnsi="宋体" w:eastAsia="宋体" w:cs="宋体"/>
          <w:color w:val="auto"/>
          <w:highlight w:val="none"/>
        </w:rPr>
      </w:pPr>
      <w:bookmarkStart w:id="189" w:name="_Toc19575"/>
      <w:bookmarkStart w:id="190" w:name="_Toc16730"/>
      <w:bookmarkStart w:id="191" w:name="_Toc8880"/>
      <w:r>
        <w:rPr>
          <w:rFonts w:hint="eastAsia" w:ascii="宋体" w:hAnsi="宋体" w:eastAsia="宋体" w:cs="宋体"/>
          <w:color w:val="auto"/>
          <w:highlight w:val="none"/>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2"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1、根据现行税法对甲方征收的与本合同有关的一切税费均应由甲方承担。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2、根据现行税法规定对乙方或其雇员征收的与本合同有关的一切税费应由乙方承担。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highlight w:val="none"/>
        </w:rPr>
      </w:pPr>
      <w:bookmarkStart w:id="193"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4" w:name="_Toc86481569"/>
      <w:r>
        <w:rPr>
          <w:rFonts w:hint="eastAsia" w:ascii="宋体" w:hAnsi="宋体" w:eastAsia="宋体"/>
          <w:b/>
          <w:color w:val="auto"/>
          <w:sz w:val="21"/>
          <w:szCs w:val="21"/>
          <w:highlight w:val="none"/>
        </w:rPr>
        <w:t>第十二条 合同生效</w:t>
      </w:r>
      <w:bookmarkEnd w:id="19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3"/>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195" w:name="_Toc31587"/>
      <w:bookmarkStart w:id="196" w:name="_Toc1478"/>
      <w:bookmarkStart w:id="197"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5"/>
      <w:bookmarkEnd w:id="196"/>
      <w:bookmarkEnd w:id="197"/>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198" w:name="_Toc6790"/>
      <w:bookmarkStart w:id="199" w:name="_Toc26830"/>
      <w:bookmarkStart w:id="200" w:name="_Toc5794"/>
      <w:r>
        <w:rPr>
          <w:rFonts w:hint="eastAsia"/>
          <w:color w:val="auto"/>
          <w:highlight w:val="none"/>
        </w:rPr>
        <w:t>投标文件目录</w:t>
      </w:r>
      <w:bookmarkEnd w:id="198"/>
      <w:bookmarkEnd w:id="199"/>
      <w:bookmarkEnd w:id="200"/>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25502"/>
      <w:bookmarkStart w:id="202" w:name="_Toc18893"/>
      <w:bookmarkStart w:id="203" w:name="_Toc5670"/>
      <w:r>
        <w:rPr>
          <w:rFonts w:hint="eastAsia"/>
          <w:color w:val="auto"/>
          <w:highlight w:val="none"/>
        </w:rPr>
        <w:t>评分标准索引表</w:t>
      </w:r>
      <w:bookmarkEnd w:id="201"/>
      <w:bookmarkEnd w:id="202"/>
      <w:bookmarkEnd w:id="203"/>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4" w:name="_Toc22080"/>
      <w:bookmarkStart w:id="205" w:name="_Toc8194"/>
      <w:bookmarkStart w:id="206" w:name="_Toc30640"/>
      <w:r>
        <w:rPr>
          <w:rFonts w:hint="eastAsia"/>
          <w:color w:val="auto"/>
          <w:highlight w:val="none"/>
          <w:lang w:val="en-US" w:eastAsia="zh-CN"/>
        </w:rPr>
        <w:t>第一章价格文件</w:t>
      </w:r>
      <w:bookmarkEnd w:id="204"/>
      <w:bookmarkEnd w:id="20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7" w:name="_Toc4168"/>
      <w:bookmarkStart w:id="208" w:name="_Toc19750"/>
      <w:r>
        <w:rPr>
          <w:rFonts w:hint="eastAsia"/>
          <w:color w:val="auto"/>
          <w:highlight w:val="none"/>
          <w:lang w:val="en-US" w:eastAsia="zh-CN"/>
        </w:rPr>
        <w:t>一、唱标一览表</w:t>
      </w:r>
      <w:bookmarkEnd w:id="207"/>
      <w:bookmarkEnd w:id="208"/>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spacing w:after="0" w:line="360" w:lineRule="auto"/>
        <w:ind w:left="357" w:leftChars="170" w:firstLine="359" w:firstLineChars="171"/>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pStyle w:val="23"/>
        <w:rPr>
          <w:rFonts w:ascii="宋体" w:hAnsi="宋体" w:eastAsia="宋体"/>
          <w:color w:val="auto"/>
          <w:sz w:val="21"/>
          <w:szCs w:val="21"/>
          <w:highlight w:val="none"/>
        </w:rPr>
      </w:pPr>
    </w:p>
    <w:p>
      <w:pPr>
        <w:pStyle w:val="20"/>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spacing w:after="0" w:line="360" w:lineRule="auto"/>
        <w:ind w:left="357" w:leftChars="170" w:firstLine="359" w:firstLineChars="171"/>
        <w:rPr>
          <w:rFonts w:ascii="宋体" w:hAnsi="宋体" w:eastAsia="宋体"/>
          <w:color w:val="auto"/>
          <w:sz w:val="21"/>
          <w:szCs w:val="21"/>
          <w:highlight w:val="none"/>
        </w:rPr>
      </w:pPr>
    </w:p>
    <w:p>
      <w:pPr>
        <w:bidi w:val="0"/>
        <w:rPr>
          <w:color w:val="auto"/>
          <w:highlight w:val="none"/>
        </w:rPr>
      </w:pPr>
    </w:p>
    <w:p>
      <w:pPr>
        <w:rPr>
          <w:rFonts w:ascii="宋体" w:hAnsi="宋体" w:eastAsia="宋体"/>
          <w:color w:val="auto"/>
          <w:sz w:val="21"/>
          <w:szCs w:val="21"/>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9" w:name="_Toc31062"/>
      <w:bookmarkStart w:id="210" w:name="_Toc31172"/>
      <w:r>
        <w:rPr>
          <w:rFonts w:hint="eastAsia"/>
          <w:color w:val="auto"/>
          <w:highlight w:val="none"/>
          <w:lang w:val="en-US" w:eastAsia="zh-CN"/>
        </w:rPr>
        <w:t>二、报价明细表</w:t>
      </w:r>
      <w:bookmarkEnd w:id="209"/>
      <w:bookmarkEnd w:id="210"/>
    </w:p>
    <w:p>
      <w:pPr>
        <w:pStyle w:val="32"/>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2"/>
        <w:rPr>
          <w:rFonts w:ascii="黑体" w:eastAsia="黑体"/>
          <w:color w:val="auto"/>
          <w:sz w:val="32"/>
          <w:szCs w:val="32"/>
          <w:highlight w:val="none"/>
        </w:rPr>
      </w:pPr>
    </w:p>
    <w:p>
      <w:pPr>
        <w:pStyle w:val="32"/>
        <w:rPr>
          <w:rFonts w:ascii="黑体" w:eastAsia="黑体"/>
          <w:color w:val="auto"/>
          <w:sz w:val="32"/>
          <w:szCs w:val="32"/>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11" w:name="_Toc23948"/>
      <w:bookmarkStart w:id="212" w:name="_Toc6471"/>
      <w:r>
        <w:rPr>
          <w:rFonts w:hint="eastAsia"/>
          <w:color w:val="auto"/>
          <w:highlight w:val="none"/>
          <w:lang w:val="en-US" w:eastAsia="zh-CN"/>
        </w:rPr>
        <w:t>第二章商务文件</w:t>
      </w:r>
      <w:bookmarkEnd w:id="211"/>
      <w:bookmarkEnd w:id="212"/>
    </w:p>
    <w:bookmarkEnd w:id="20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3" w:name="_Toc23787"/>
      <w:bookmarkStart w:id="214" w:name="_Toc1952"/>
      <w:r>
        <w:rPr>
          <w:rFonts w:hint="eastAsia"/>
          <w:color w:val="auto"/>
          <w:highlight w:val="none"/>
          <w:lang w:val="en-US" w:eastAsia="zh-CN"/>
        </w:rPr>
        <w:t>一、投标函</w:t>
      </w:r>
      <w:bookmarkEnd w:id="213"/>
      <w:bookmarkEnd w:id="214"/>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5" w:name="_Toc28616"/>
      <w:bookmarkStart w:id="216" w:name="_Toc15719"/>
      <w:r>
        <w:rPr>
          <w:rFonts w:hint="eastAsia"/>
          <w:color w:val="auto"/>
          <w:highlight w:val="none"/>
          <w:lang w:val="en-US" w:eastAsia="zh-CN"/>
        </w:rPr>
        <w:t>二、资格申明函</w:t>
      </w:r>
      <w:bookmarkEnd w:id="215"/>
      <w:bookmarkEnd w:id="216"/>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lang w:val="en-US" w:eastAsia="zh-CN"/>
        </w:rPr>
        <w:t>采购人</w:t>
      </w:r>
      <w:r>
        <w:rPr>
          <w:rFonts w:ascii="宋体" w:hAnsi="宋体"/>
          <w:color w:val="auto"/>
          <w:szCs w:val="21"/>
          <w:highlight w:val="none"/>
        </w:rPr>
        <w:t>名称）（</w:t>
      </w:r>
      <w:r>
        <w:rPr>
          <w:rFonts w:hint="eastAsia" w:ascii="宋体" w:hAnsi="宋体"/>
          <w:color w:val="auto"/>
          <w:szCs w:val="21"/>
          <w:highlight w:val="none"/>
          <w:lang w:val="en-US" w:eastAsia="zh-CN"/>
        </w:rPr>
        <w:t>采购人</w:t>
      </w:r>
      <w:r>
        <w:rPr>
          <w:rFonts w:ascii="宋体" w:hAnsi="宋体"/>
          <w:color w:val="auto"/>
          <w:szCs w:val="21"/>
          <w:highlight w:val="none"/>
        </w:rPr>
        <w:t>）及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pStyle w:val="23"/>
        <w:rPr>
          <w:color w:val="auto"/>
          <w:highlight w:val="none"/>
        </w:rPr>
      </w:pPr>
    </w:p>
    <w:p>
      <w:pPr>
        <w:pStyle w:val="20"/>
        <w:rPr>
          <w:color w:val="auto"/>
          <w:highlight w:val="none"/>
        </w:rPr>
      </w:pPr>
    </w:p>
    <w:p>
      <w:pPr>
        <w:rPr>
          <w:color w:val="auto"/>
          <w:highlight w:val="none"/>
        </w:rPr>
      </w:pPr>
    </w:p>
    <w:p>
      <w:pPr>
        <w:pStyle w:val="7"/>
        <w:rPr>
          <w:color w:val="auto"/>
          <w:highlight w:val="none"/>
        </w:rPr>
      </w:pPr>
    </w:p>
    <w:p>
      <w:pPr>
        <w:rPr>
          <w:color w:val="auto"/>
          <w:highlight w:val="none"/>
        </w:rPr>
      </w:pPr>
      <w:bookmarkStart w:id="217"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21273"/>
      <w:bookmarkStart w:id="219" w:name="_Toc32742"/>
      <w:r>
        <w:rPr>
          <w:rFonts w:hint="eastAsia"/>
          <w:color w:val="auto"/>
          <w:highlight w:val="none"/>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13243"/>
      <w:bookmarkStart w:id="221" w:name="_Toc3894"/>
      <w:r>
        <w:rPr>
          <w:rFonts w:hint="eastAsia"/>
          <w:color w:val="auto"/>
          <w:highlight w:val="none"/>
          <w:lang w:val="en-US" w:eastAsia="zh-CN"/>
        </w:rPr>
        <w:t>四、法定代表人证明书</w:t>
      </w:r>
      <w:bookmarkEnd w:id="220"/>
      <w:bookmarkEnd w:id="221"/>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5918"/>
      <w:bookmarkStart w:id="223" w:name="_Toc5626"/>
      <w:r>
        <w:rPr>
          <w:rFonts w:hint="eastAsia"/>
          <w:color w:val="auto"/>
          <w:highlight w:val="none"/>
          <w:lang w:val="en-US" w:eastAsia="zh-CN"/>
        </w:rPr>
        <w:t>五、法定代表人授权书</w:t>
      </w:r>
      <w:bookmarkEnd w:id="222"/>
      <w:bookmarkEnd w:id="223"/>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2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5" w:name="_Toc24013"/>
      <w:bookmarkStart w:id="226" w:name="_Toc18562"/>
      <w:r>
        <w:rPr>
          <w:rFonts w:hint="eastAsia"/>
          <w:color w:val="auto"/>
          <w:highlight w:val="none"/>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27" w:name="_Toc1511"/>
      <w:bookmarkStart w:id="228" w:name="_Toc28067"/>
      <w:bookmarkStart w:id="229" w:name="_Toc29995"/>
      <w:bookmarkStart w:id="230" w:name="_Toc4926"/>
      <w:bookmarkStart w:id="231" w:name="_Toc17470"/>
      <w:bookmarkStart w:id="232" w:name="_Toc24210"/>
      <w:bookmarkStart w:id="233" w:name="_Toc5919"/>
      <w:r>
        <w:rPr>
          <w:rFonts w:hint="eastAsia"/>
          <w:color w:val="auto"/>
          <w:highlight w:val="none"/>
          <w:lang w:val="en-US" w:eastAsia="zh-CN"/>
        </w:rPr>
        <w:t>七、</w:t>
      </w:r>
      <w:r>
        <w:rPr>
          <w:rFonts w:hint="eastAsia"/>
          <w:color w:val="auto"/>
          <w:highlight w:val="none"/>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24"/>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4" w:name="_Toc29439"/>
      <w:bookmarkStart w:id="235" w:name="_Toc21638"/>
      <w:r>
        <w:rPr>
          <w:rFonts w:hint="eastAsia"/>
          <w:color w:val="auto"/>
          <w:highlight w:val="none"/>
          <w:lang w:val="en-US" w:eastAsia="zh-CN"/>
        </w:rPr>
        <w:t>八、</w:t>
      </w:r>
      <w:r>
        <w:rPr>
          <w:rFonts w:hint="eastAsia"/>
          <w:color w:val="auto"/>
          <w:highlight w:val="none"/>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6" w:name="_Toc23341"/>
      <w:bookmarkStart w:id="237" w:name="_Toc14263"/>
      <w:r>
        <w:rPr>
          <w:rFonts w:hint="eastAsia"/>
          <w:color w:val="auto"/>
          <w:highlight w:val="none"/>
          <w:lang w:val="en-US" w:eastAsia="zh-CN"/>
        </w:rPr>
        <w:t>九、</w:t>
      </w:r>
      <w:r>
        <w:rPr>
          <w:rFonts w:hint="eastAsia"/>
          <w:color w:val="auto"/>
          <w:highlight w:val="none"/>
        </w:rPr>
        <w:t>承诺书</w:t>
      </w:r>
      <w:bookmarkEnd w:id="236"/>
      <w:bookmarkEnd w:id="237"/>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8"/>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8"/>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9" w:name="_Toc13653"/>
      <w:bookmarkStart w:id="240" w:name="_Toc13955"/>
      <w:r>
        <w:rPr>
          <w:rFonts w:hint="eastAsia"/>
          <w:color w:val="auto"/>
          <w:highlight w:val="none"/>
          <w:lang w:val="en-US" w:eastAsia="zh-CN"/>
        </w:rPr>
        <w:t>十、招标代理服务费承诺书</w:t>
      </w:r>
      <w:bookmarkEnd w:id="239"/>
      <w:bookmarkEnd w:id="240"/>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1" w:name="_Toc1975"/>
      <w:bookmarkStart w:id="242" w:name="_Toc12598"/>
      <w:r>
        <w:rPr>
          <w:rFonts w:hint="eastAsia"/>
          <w:color w:val="auto"/>
          <w:highlight w:val="none"/>
          <w:lang w:val="en-US" w:eastAsia="zh-CN"/>
        </w:rPr>
        <w:t>十一、</w:t>
      </w:r>
      <w:r>
        <w:rPr>
          <w:rFonts w:hint="eastAsia"/>
          <w:color w:val="auto"/>
          <w:highlight w:val="none"/>
        </w:rPr>
        <w:t>商务条款偏离表</w:t>
      </w:r>
      <w:bookmarkEnd w:id="241"/>
      <w:bookmarkEnd w:id="242"/>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43"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4" w:name="_Toc19276"/>
      <w:bookmarkStart w:id="245" w:name="_Toc25391"/>
      <w:r>
        <w:rPr>
          <w:rFonts w:hint="eastAsia"/>
          <w:color w:val="auto"/>
          <w:highlight w:val="none"/>
          <w:lang w:val="en-US" w:eastAsia="zh-CN"/>
        </w:rPr>
        <w:t>十二、</w:t>
      </w:r>
      <w:r>
        <w:rPr>
          <w:rFonts w:hint="eastAsia"/>
          <w:color w:val="auto"/>
          <w:highlight w:val="none"/>
        </w:rPr>
        <w:t>业绩表</w:t>
      </w:r>
      <w:bookmarkEnd w:id="244"/>
      <w:bookmarkEnd w:id="245"/>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5"/>
        <w:spacing w:after="0"/>
        <w:rPr>
          <w:rFonts w:ascii="宋体" w:hAnsi="宋体" w:eastAsia="宋体"/>
          <w:color w:val="auto"/>
          <w:sz w:val="21"/>
          <w:szCs w:val="21"/>
          <w:highlight w:val="none"/>
        </w:rPr>
      </w:pPr>
    </w:p>
    <w:p>
      <w:pPr>
        <w:pStyle w:val="35"/>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46" w:name="_Toc20520"/>
      <w:bookmarkStart w:id="247" w:name="_Toc14688"/>
      <w:r>
        <w:rPr>
          <w:rFonts w:hint="eastAsia"/>
          <w:color w:val="auto"/>
          <w:highlight w:val="none"/>
          <w:lang w:val="en-US" w:eastAsia="zh-CN"/>
        </w:rPr>
        <w:t>第三章技术文件</w:t>
      </w:r>
      <w:bookmarkEnd w:id="243"/>
      <w:bookmarkEnd w:id="246"/>
      <w:bookmarkEnd w:id="24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13097"/>
      <w:bookmarkStart w:id="249" w:name="_Toc7092"/>
      <w:r>
        <w:rPr>
          <w:rFonts w:hint="eastAsia"/>
          <w:color w:val="auto"/>
          <w:highlight w:val="none"/>
          <w:lang w:val="en-US" w:eastAsia="zh-CN"/>
        </w:rPr>
        <w:t>一、</w:t>
      </w:r>
      <w:r>
        <w:rPr>
          <w:rFonts w:hint="eastAsia"/>
          <w:color w:val="auto"/>
          <w:highlight w:val="none"/>
        </w:rPr>
        <w:t>技术规格偏离表</w:t>
      </w:r>
      <w:bookmarkEnd w:id="248"/>
      <w:bookmarkEnd w:id="249"/>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50" w:name="_Toc17691"/>
      <w:r>
        <w:rPr>
          <w:rFonts w:hint="eastAsia" w:ascii="宋体" w:hAnsi="宋体" w:eastAsia="宋体"/>
          <w:color w:val="auto"/>
          <w:sz w:val="21"/>
          <w:szCs w:val="21"/>
          <w:highlight w:val="none"/>
        </w:rPr>
        <w:br w:type="page"/>
      </w:r>
      <w:bookmarkEnd w:id="250"/>
      <w:bookmarkStart w:id="251" w:name="_Toc1274"/>
      <w:bookmarkStart w:id="252" w:name="_Toc4827"/>
      <w:bookmarkStart w:id="253" w:name="_Toc18668"/>
      <w:bookmarkStart w:id="254" w:name="_Toc6080"/>
      <w:bookmarkStart w:id="255" w:name="_Toc4464"/>
      <w:bookmarkStart w:id="256" w:name="_Toc2607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7" w:name="_Toc13461"/>
      <w:bookmarkStart w:id="258" w:name="_Toc10734"/>
      <w:r>
        <w:rPr>
          <w:rFonts w:hint="eastAsia"/>
          <w:color w:val="auto"/>
          <w:highlight w:val="none"/>
          <w:lang w:val="en-US" w:eastAsia="zh-CN"/>
        </w:rPr>
        <w:t>二、</w:t>
      </w:r>
      <w:r>
        <w:rPr>
          <w:rFonts w:hint="eastAsia"/>
          <w:color w:val="auto"/>
          <w:highlight w:val="none"/>
        </w:rPr>
        <w:t>重要技术参数（▲）响应表</w:t>
      </w:r>
      <w:bookmarkEnd w:id="251"/>
      <w:bookmarkEnd w:id="252"/>
      <w:bookmarkEnd w:id="253"/>
      <w:bookmarkEnd w:id="254"/>
      <w:bookmarkEnd w:id="255"/>
      <w:bookmarkEnd w:id="256"/>
      <w:bookmarkEnd w:id="257"/>
      <w:bookmarkEnd w:id="258"/>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59" w:name="_Toc29560"/>
            <w:bookmarkStart w:id="260" w:name="_Toc29642"/>
            <w:bookmarkStart w:id="261" w:name="_Toc27079"/>
            <w:r>
              <w:rPr>
                <w:rFonts w:hint="eastAsia" w:ascii="宋体" w:hAnsi="宋体" w:eastAsia="宋体" w:cs="宋体"/>
                <w:b w:val="0"/>
                <w:bCs w:val="0"/>
                <w:color w:val="auto"/>
                <w:sz w:val="21"/>
                <w:szCs w:val="21"/>
                <w:highlight w:val="none"/>
                <w:lang w:val="en-US" w:eastAsia="zh-CN"/>
              </w:rPr>
              <w:t>序号</w:t>
            </w:r>
            <w:bookmarkEnd w:id="259"/>
            <w:bookmarkEnd w:id="260"/>
            <w:bookmarkEnd w:id="26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62" w:name="_Toc26124"/>
            <w:bookmarkStart w:id="263" w:name="_Toc16872"/>
            <w:bookmarkStart w:id="264" w:name="_Toc12049"/>
            <w:bookmarkStart w:id="265" w:name="_Toc15903"/>
            <w:bookmarkStart w:id="266" w:name="_Toc10045"/>
            <w:bookmarkStart w:id="267" w:name="_Toc4304"/>
            <w:bookmarkStart w:id="268" w:name="_Toc21739"/>
            <w:bookmarkStart w:id="269" w:name="_Toc27090"/>
            <w:bookmarkStart w:id="270" w:name="_Toc22448"/>
            <w:bookmarkStart w:id="271" w:name="_Toc14815"/>
            <w:bookmarkStart w:id="272" w:name="_Toc1016"/>
            <w:bookmarkStart w:id="273" w:name="_Toc15368"/>
            <w:bookmarkStart w:id="274" w:name="_Toc2700"/>
            <w:bookmarkStart w:id="275" w:name="_Toc8490"/>
            <w:bookmarkStart w:id="276" w:name="_Toc7333"/>
            <w:bookmarkStart w:id="277" w:name="_Toc22917"/>
            <w:bookmarkStart w:id="278" w:name="_Toc27442"/>
            <w:bookmarkStart w:id="279" w:name="_Toc21809"/>
            <w:bookmarkStart w:id="280" w:name="_Toc19251"/>
            <w:bookmarkStart w:id="281" w:name="_Toc24662"/>
            <w:bookmarkStart w:id="282" w:name="_Toc32531"/>
            <w:bookmarkStart w:id="283" w:name="_Toc8312"/>
            <w:bookmarkStart w:id="284" w:name="_Toc2287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85" w:name="_Toc2408"/>
            <w:bookmarkStart w:id="286" w:name="_Toc22153"/>
            <w:bookmarkStart w:id="287" w:name="_Toc10122"/>
            <w:r>
              <w:rPr>
                <w:rFonts w:hint="eastAsia" w:ascii="宋体" w:hAnsi="宋体" w:eastAsia="宋体" w:cs="宋体"/>
                <w:b w:val="0"/>
                <w:bCs w:val="0"/>
                <w:color w:val="auto"/>
                <w:kern w:val="0"/>
                <w:sz w:val="21"/>
                <w:szCs w:val="21"/>
                <w:highlight w:val="none"/>
              </w:rPr>
              <w:t>投标文件响应内容</w:t>
            </w:r>
            <w:bookmarkEnd w:id="285"/>
            <w:bookmarkEnd w:id="286"/>
            <w:bookmarkEnd w:id="287"/>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88" w:name="_Toc16003"/>
            <w:bookmarkStart w:id="289" w:name="_Toc27285"/>
            <w:bookmarkStart w:id="290" w:name="_Toc29838"/>
            <w:bookmarkStart w:id="291" w:name="_Toc3701"/>
            <w:bookmarkStart w:id="292" w:name="_Toc17296"/>
            <w:bookmarkStart w:id="293" w:name="_Toc20820"/>
            <w:bookmarkStart w:id="294" w:name="_Toc1912"/>
            <w:bookmarkStart w:id="295" w:name="_Toc17642"/>
            <w:bookmarkStart w:id="296" w:name="_Toc1330"/>
            <w:bookmarkStart w:id="297" w:name="_Toc20139"/>
            <w:bookmarkStart w:id="298" w:name="_Toc5563"/>
            <w:bookmarkStart w:id="299" w:name="_Toc5992"/>
            <w:bookmarkStart w:id="300" w:name="_Toc27185"/>
            <w:r>
              <w:rPr>
                <w:rFonts w:hint="eastAsia" w:ascii="宋体" w:hAnsi="宋体" w:eastAsia="宋体" w:cs="宋体"/>
                <w:b w:val="0"/>
                <w:bCs w:val="0"/>
                <w:color w:val="auto"/>
                <w:sz w:val="21"/>
                <w:szCs w:val="21"/>
                <w:highlight w:val="none"/>
                <w:lang w:val="en-US" w:eastAsia="zh-CN"/>
              </w:rPr>
              <w:t>说明</w:t>
            </w:r>
            <w:bookmarkEnd w:id="288"/>
            <w:bookmarkEnd w:id="289"/>
            <w:bookmarkEnd w:id="290"/>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01" w:name="_Toc3520"/>
            <w:bookmarkStart w:id="302" w:name="_Toc857"/>
            <w:bookmarkStart w:id="303" w:name="_Toc19105"/>
            <w:r>
              <w:rPr>
                <w:rFonts w:hint="eastAsia" w:ascii="宋体" w:hAnsi="宋体" w:eastAsia="宋体" w:cs="宋体"/>
                <w:b w:val="0"/>
                <w:bCs w:val="0"/>
                <w:color w:val="auto"/>
                <w:sz w:val="21"/>
                <w:szCs w:val="21"/>
                <w:highlight w:val="none"/>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5"/>
        <w:spacing w:after="0" w:line="360" w:lineRule="auto"/>
        <w:rPr>
          <w:rFonts w:ascii="宋体" w:hAnsi="宋体" w:eastAsia="宋体"/>
          <w:color w:val="auto"/>
          <w:sz w:val="21"/>
          <w:szCs w:val="21"/>
          <w:highlight w:val="none"/>
        </w:rPr>
      </w:pP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5"/>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5"/>
        <w:spacing w:after="0" w:line="360" w:lineRule="auto"/>
        <w:rPr>
          <w:rFonts w:ascii="宋体" w:hAnsi="宋体" w:eastAsia="宋体"/>
          <w:color w:val="auto"/>
          <w:sz w:val="21"/>
          <w:szCs w:val="21"/>
          <w:highlight w:val="none"/>
        </w:rPr>
      </w:pPr>
    </w:p>
    <w:p>
      <w:pPr>
        <w:pStyle w:val="35"/>
        <w:numPr>
          <w:ilvl w:val="0"/>
          <w:numId w:val="1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7139"/>
      <w:bookmarkStart w:id="305" w:name="_Toc19349"/>
      <w:r>
        <w:rPr>
          <w:rFonts w:hint="eastAsia"/>
          <w:color w:val="auto"/>
          <w:highlight w:val="none"/>
          <w:lang w:val="en-US" w:eastAsia="zh-CN"/>
        </w:rPr>
        <w:t>三、</w:t>
      </w:r>
      <w:r>
        <w:rPr>
          <w:rFonts w:hint="eastAsia"/>
          <w:color w:val="auto"/>
          <w:highlight w:val="none"/>
        </w:rPr>
        <w:t>实质性条款（标记★）投标响应表</w:t>
      </w:r>
      <w:bookmarkEnd w:id="304"/>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6"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26880"/>
      <w:bookmarkStart w:id="308" w:name="_Toc16328"/>
      <w:r>
        <w:rPr>
          <w:rFonts w:hint="eastAsia"/>
          <w:color w:val="auto"/>
          <w:highlight w:val="none"/>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09" w:name="_Toc26980"/>
      <w:bookmarkStart w:id="310" w:name="_Toc15431"/>
      <w:r>
        <w:rPr>
          <w:rFonts w:hint="eastAsia"/>
          <w:color w:val="auto"/>
          <w:highlight w:val="none"/>
          <w:lang w:val="en-US" w:eastAsia="zh-CN"/>
        </w:rPr>
        <w:t>六、投标货物明细一览表</w:t>
      </w:r>
      <w:bookmarkEnd w:id="309"/>
      <w:bookmarkEnd w:id="310"/>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1" w:name="_Toc21541"/>
      <w:bookmarkStart w:id="312" w:name="_Toc16710"/>
      <w:r>
        <w:rPr>
          <w:rFonts w:hint="eastAsia"/>
          <w:color w:val="auto"/>
          <w:highlight w:val="none"/>
          <w:lang w:val="en-US" w:eastAsia="zh-CN"/>
        </w:rPr>
        <w:t>七、投标保证金汇入情况说明</w:t>
      </w:r>
      <w:bookmarkEnd w:id="311"/>
      <w:bookmarkEnd w:id="312"/>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3" w:name="_Toc26855"/>
      <w:bookmarkStart w:id="314" w:name="_Toc24545"/>
      <w:r>
        <w:rPr>
          <w:rFonts w:hint="eastAsia"/>
          <w:color w:val="auto"/>
          <w:highlight w:val="none"/>
          <w:lang w:val="en-US" w:eastAsia="zh-CN"/>
        </w:rPr>
        <w:t>八、采购投标担保函</w:t>
      </w:r>
      <w:bookmarkEnd w:id="313"/>
      <w:bookmarkEnd w:id="314"/>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5" w:name="_Toc6961"/>
      <w:r>
        <w:rPr>
          <w:rFonts w:hint="eastAsia"/>
          <w:color w:val="auto"/>
          <w:highlight w:val="none"/>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6" w:name="_Toc26772"/>
      <w:bookmarkStart w:id="317" w:name="_Toc26782"/>
      <w:r>
        <w:rPr>
          <w:rFonts w:hint="eastAsia"/>
          <w:color w:val="auto"/>
          <w:highlight w:val="none"/>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1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22736"/>
      <w:bookmarkStart w:id="320" w:name="_Toc2710"/>
      <w:r>
        <w:rPr>
          <w:rFonts w:hint="eastAsia"/>
          <w:color w:val="auto"/>
          <w:highlight w:val="none"/>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18"/>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4"/>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300元</w:t>
            </w:r>
            <w:r>
              <w:rPr>
                <w:rFonts w:hint="eastAsia" w:ascii="宋体" w:hAnsi="宋体" w:eastAsia="宋体" w:cs="宋体"/>
                <w:i w:val="0"/>
                <w:iCs w:val="0"/>
                <w:color w:val="auto"/>
                <w:kern w:val="0"/>
                <w:sz w:val="28"/>
                <w:szCs w:val="28"/>
                <w:highlight w:val="none"/>
                <w:u w:val="none"/>
                <w:lang w:val="en-US" w:eastAsia="zh-CN" w:bidi="ar"/>
              </w:rPr>
              <w:t>/份</w:t>
            </w:r>
          </w:p>
        </w:tc>
      </w:tr>
    </w:tbl>
    <w:p>
      <w:pPr>
        <w:pStyle w:val="23"/>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16010E5"/>
    <w:multiLevelType w:val="singleLevel"/>
    <w:tmpl w:val="316010E5"/>
    <w:lvl w:ilvl="0" w:tentative="0">
      <w:start w:val="1"/>
      <w:numFmt w:val="decimal"/>
      <w:suff w:val="nothing"/>
      <w:lvlText w:val="%1．"/>
      <w:lvlJc w:val="left"/>
    </w:lvl>
  </w:abstractNum>
  <w:abstractNum w:abstractNumId="8">
    <w:nsid w:val="3B1B8417"/>
    <w:multiLevelType w:val="singleLevel"/>
    <w:tmpl w:val="3B1B8417"/>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6E5CE7BD"/>
    <w:multiLevelType w:val="singleLevel"/>
    <w:tmpl w:val="6E5CE7BD"/>
    <w:lvl w:ilvl="0" w:tentative="0">
      <w:start w:val="1"/>
      <w:numFmt w:val="chineseCounting"/>
      <w:suff w:val="nothing"/>
      <w:lvlText w:val="%1、"/>
      <w:lvlJc w:val="left"/>
      <w:rPr>
        <w:rFonts w:hint="eastAsia"/>
      </w:rPr>
    </w:lvl>
  </w:abstractNum>
  <w:num w:numId="1">
    <w:abstractNumId w:val="10"/>
  </w:num>
  <w:num w:numId="2">
    <w:abstractNumId w:val="8"/>
  </w:num>
  <w:num w:numId="3">
    <w:abstractNumId w:val="5"/>
  </w:num>
  <w:num w:numId="4">
    <w:abstractNumId w:val="9"/>
  </w:num>
  <w:num w:numId="5">
    <w:abstractNumId w:val="6"/>
  </w:num>
  <w:num w:numId="6">
    <w:abstractNumId w:val="3"/>
  </w:num>
  <w:num w:numId="7">
    <w:abstractNumId w:val="1"/>
  </w:num>
  <w:num w:numId="8">
    <w:abstractNumId w:val="2"/>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05e77290-4603-45a6-821f-0c6798d36045"/>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413"/>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57801"/>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A93FA3"/>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985762"/>
    <w:rsid w:val="06BC41F2"/>
    <w:rsid w:val="06DF3DBD"/>
    <w:rsid w:val="070122F3"/>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0A2859"/>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AFD5AE8"/>
    <w:rsid w:val="0B22594B"/>
    <w:rsid w:val="0B797387"/>
    <w:rsid w:val="0B8B2381"/>
    <w:rsid w:val="0BC044BE"/>
    <w:rsid w:val="0BDF26F7"/>
    <w:rsid w:val="0C264099"/>
    <w:rsid w:val="0C2B4952"/>
    <w:rsid w:val="0C7B2220"/>
    <w:rsid w:val="0D83431B"/>
    <w:rsid w:val="0D890E47"/>
    <w:rsid w:val="0DC64A00"/>
    <w:rsid w:val="0DFC60BA"/>
    <w:rsid w:val="0E4249F1"/>
    <w:rsid w:val="0E7B4FF1"/>
    <w:rsid w:val="0EDC018F"/>
    <w:rsid w:val="0EFF0CDE"/>
    <w:rsid w:val="0F6C5A53"/>
    <w:rsid w:val="0F7C5FF6"/>
    <w:rsid w:val="0FC63FBD"/>
    <w:rsid w:val="100A0F53"/>
    <w:rsid w:val="106C564D"/>
    <w:rsid w:val="107B7B8F"/>
    <w:rsid w:val="107C67CE"/>
    <w:rsid w:val="1080523F"/>
    <w:rsid w:val="108F06C9"/>
    <w:rsid w:val="109D68CB"/>
    <w:rsid w:val="10A949B8"/>
    <w:rsid w:val="10C54639"/>
    <w:rsid w:val="11200D07"/>
    <w:rsid w:val="11DA73AF"/>
    <w:rsid w:val="11F11489"/>
    <w:rsid w:val="11F62F4A"/>
    <w:rsid w:val="123346DD"/>
    <w:rsid w:val="1285542E"/>
    <w:rsid w:val="12C60D80"/>
    <w:rsid w:val="12DC0068"/>
    <w:rsid w:val="131867D4"/>
    <w:rsid w:val="131F7A3A"/>
    <w:rsid w:val="132645D0"/>
    <w:rsid w:val="13455ABC"/>
    <w:rsid w:val="134633D7"/>
    <w:rsid w:val="1370322B"/>
    <w:rsid w:val="13767449"/>
    <w:rsid w:val="13B27845"/>
    <w:rsid w:val="13BE469F"/>
    <w:rsid w:val="13F87121"/>
    <w:rsid w:val="13F90428"/>
    <w:rsid w:val="141A03E1"/>
    <w:rsid w:val="143B2E0B"/>
    <w:rsid w:val="14672B11"/>
    <w:rsid w:val="14892735"/>
    <w:rsid w:val="14CC769D"/>
    <w:rsid w:val="152D7863"/>
    <w:rsid w:val="157D38E3"/>
    <w:rsid w:val="15BD250B"/>
    <w:rsid w:val="15D359D7"/>
    <w:rsid w:val="15D81E0F"/>
    <w:rsid w:val="161771F3"/>
    <w:rsid w:val="161F470C"/>
    <w:rsid w:val="16222D6D"/>
    <w:rsid w:val="163C77BE"/>
    <w:rsid w:val="16632F86"/>
    <w:rsid w:val="1679588C"/>
    <w:rsid w:val="16994962"/>
    <w:rsid w:val="16A71041"/>
    <w:rsid w:val="16AA24BF"/>
    <w:rsid w:val="16F72341"/>
    <w:rsid w:val="17680CAB"/>
    <w:rsid w:val="176E4128"/>
    <w:rsid w:val="1783371F"/>
    <w:rsid w:val="17E4768B"/>
    <w:rsid w:val="17E62B67"/>
    <w:rsid w:val="180C0192"/>
    <w:rsid w:val="180F4499"/>
    <w:rsid w:val="18221ECE"/>
    <w:rsid w:val="18884F66"/>
    <w:rsid w:val="190B7894"/>
    <w:rsid w:val="19781A2D"/>
    <w:rsid w:val="19A2789F"/>
    <w:rsid w:val="1A460CF5"/>
    <w:rsid w:val="1A7F297D"/>
    <w:rsid w:val="1AA55BE0"/>
    <w:rsid w:val="1AB16AC1"/>
    <w:rsid w:val="1B034A52"/>
    <w:rsid w:val="1B1F34AD"/>
    <w:rsid w:val="1B6B7632"/>
    <w:rsid w:val="1B7B06D9"/>
    <w:rsid w:val="1B8D5DC6"/>
    <w:rsid w:val="1BFE1D3B"/>
    <w:rsid w:val="1C2775EC"/>
    <w:rsid w:val="1C750ECE"/>
    <w:rsid w:val="1C80603F"/>
    <w:rsid w:val="1CA22168"/>
    <w:rsid w:val="1D0836D7"/>
    <w:rsid w:val="1D196139"/>
    <w:rsid w:val="1D3D70CF"/>
    <w:rsid w:val="1DB85900"/>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3F72C32"/>
    <w:rsid w:val="247051F5"/>
    <w:rsid w:val="24814CBE"/>
    <w:rsid w:val="24AC168B"/>
    <w:rsid w:val="25004EF6"/>
    <w:rsid w:val="258C3BEC"/>
    <w:rsid w:val="25E576CC"/>
    <w:rsid w:val="260E3862"/>
    <w:rsid w:val="262569FC"/>
    <w:rsid w:val="26344C98"/>
    <w:rsid w:val="26F56CE2"/>
    <w:rsid w:val="27295937"/>
    <w:rsid w:val="27435D49"/>
    <w:rsid w:val="27A34F71"/>
    <w:rsid w:val="27AA2455"/>
    <w:rsid w:val="27B36A67"/>
    <w:rsid w:val="27EB0D9B"/>
    <w:rsid w:val="28406D8B"/>
    <w:rsid w:val="286602C8"/>
    <w:rsid w:val="28665C95"/>
    <w:rsid w:val="28A64522"/>
    <w:rsid w:val="28B74AAA"/>
    <w:rsid w:val="28CC5B40"/>
    <w:rsid w:val="290B3EB9"/>
    <w:rsid w:val="290D7423"/>
    <w:rsid w:val="291418C2"/>
    <w:rsid w:val="2950768C"/>
    <w:rsid w:val="29794227"/>
    <w:rsid w:val="297A5FC4"/>
    <w:rsid w:val="2A1113BC"/>
    <w:rsid w:val="2A2D408C"/>
    <w:rsid w:val="2A8B79F9"/>
    <w:rsid w:val="2A8D4F8F"/>
    <w:rsid w:val="2A911082"/>
    <w:rsid w:val="2A917B34"/>
    <w:rsid w:val="2ACB0822"/>
    <w:rsid w:val="2AE3766F"/>
    <w:rsid w:val="2B520BFD"/>
    <w:rsid w:val="2B7E4054"/>
    <w:rsid w:val="2BE91804"/>
    <w:rsid w:val="2BEC2B5B"/>
    <w:rsid w:val="2BF22742"/>
    <w:rsid w:val="2C987C56"/>
    <w:rsid w:val="2CD64B09"/>
    <w:rsid w:val="2CFF149A"/>
    <w:rsid w:val="2D1413BC"/>
    <w:rsid w:val="2D201865"/>
    <w:rsid w:val="2D4B5CEA"/>
    <w:rsid w:val="2D546AD5"/>
    <w:rsid w:val="2D652658"/>
    <w:rsid w:val="2DC80C49"/>
    <w:rsid w:val="2DCA6355"/>
    <w:rsid w:val="2DF0699F"/>
    <w:rsid w:val="2E166748"/>
    <w:rsid w:val="2E556F01"/>
    <w:rsid w:val="2E5633A6"/>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582AA6"/>
    <w:rsid w:val="31884E67"/>
    <w:rsid w:val="31A0275E"/>
    <w:rsid w:val="31B7357A"/>
    <w:rsid w:val="31ED6B08"/>
    <w:rsid w:val="31F915C9"/>
    <w:rsid w:val="321449A9"/>
    <w:rsid w:val="32610CE6"/>
    <w:rsid w:val="32631A32"/>
    <w:rsid w:val="328464CE"/>
    <w:rsid w:val="32AB70C5"/>
    <w:rsid w:val="32AD56ED"/>
    <w:rsid w:val="32C83D5A"/>
    <w:rsid w:val="32DC33E0"/>
    <w:rsid w:val="335D0AF5"/>
    <w:rsid w:val="3370088C"/>
    <w:rsid w:val="33873E85"/>
    <w:rsid w:val="33A3154A"/>
    <w:rsid w:val="33DC2F78"/>
    <w:rsid w:val="33EB2A55"/>
    <w:rsid w:val="3428227C"/>
    <w:rsid w:val="35260F83"/>
    <w:rsid w:val="35367E89"/>
    <w:rsid w:val="35602226"/>
    <w:rsid w:val="356B72E7"/>
    <w:rsid w:val="3572424F"/>
    <w:rsid w:val="35FC3844"/>
    <w:rsid w:val="366061FD"/>
    <w:rsid w:val="36723877"/>
    <w:rsid w:val="36794DEF"/>
    <w:rsid w:val="36AD519D"/>
    <w:rsid w:val="36B57705"/>
    <w:rsid w:val="374F1A0B"/>
    <w:rsid w:val="37A103ED"/>
    <w:rsid w:val="37EA5E6E"/>
    <w:rsid w:val="37F77C8B"/>
    <w:rsid w:val="37FF016F"/>
    <w:rsid w:val="3838093A"/>
    <w:rsid w:val="38427C0B"/>
    <w:rsid w:val="387C5ABE"/>
    <w:rsid w:val="389B3A1E"/>
    <w:rsid w:val="389E0191"/>
    <w:rsid w:val="38B324C6"/>
    <w:rsid w:val="38EB6119"/>
    <w:rsid w:val="391F35E6"/>
    <w:rsid w:val="39274643"/>
    <w:rsid w:val="394C3792"/>
    <w:rsid w:val="39AF650A"/>
    <w:rsid w:val="39DE33DA"/>
    <w:rsid w:val="39FA5B4A"/>
    <w:rsid w:val="39FE0BE9"/>
    <w:rsid w:val="3A3C1AAF"/>
    <w:rsid w:val="3A424C25"/>
    <w:rsid w:val="3A4B7CC1"/>
    <w:rsid w:val="3A51228C"/>
    <w:rsid w:val="3A552E60"/>
    <w:rsid w:val="3A58524E"/>
    <w:rsid w:val="3A5D642F"/>
    <w:rsid w:val="3AB210FC"/>
    <w:rsid w:val="3ACE216B"/>
    <w:rsid w:val="3AD95C13"/>
    <w:rsid w:val="3B261E51"/>
    <w:rsid w:val="3B973F88"/>
    <w:rsid w:val="3BCD72F7"/>
    <w:rsid w:val="3BF267D2"/>
    <w:rsid w:val="3C414142"/>
    <w:rsid w:val="3C6C2B88"/>
    <w:rsid w:val="3CC34D7A"/>
    <w:rsid w:val="3CE114D9"/>
    <w:rsid w:val="3CF737A2"/>
    <w:rsid w:val="3CF7509A"/>
    <w:rsid w:val="3D10295A"/>
    <w:rsid w:val="3D3D4210"/>
    <w:rsid w:val="3D9748EA"/>
    <w:rsid w:val="3E0572FD"/>
    <w:rsid w:val="3E1A5292"/>
    <w:rsid w:val="3E291774"/>
    <w:rsid w:val="3E5A7FE7"/>
    <w:rsid w:val="3EC8179E"/>
    <w:rsid w:val="3EF66B2E"/>
    <w:rsid w:val="3F217914"/>
    <w:rsid w:val="3F72577B"/>
    <w:rsid w:val="3F942B76"/>
    <w:rsid w:val="3FD70BB0"/>
    <w:rsid w:val="3FFB55AC"/>
    <w:rsid w:val="401C5F9D"/>
    <w:rsid w:val="401C690C"/>
    <w:rsid w:val="401D7195"/>
    <w:rsid w:val="403131C8"/>
    <w:rsid w:val="405F1BE4"/>
    <w:rsid w:val="40A51286"/>
    <w:rsid w:val="40CE3DC0"/>
    <w:rsid w:val="40D7455A"/>
    <w:rsid w:val="40E302F1"/>
    <w:rsid w:val="40E743E5"/>
    <w:rsid w:val="4110038E"/>
    <w:rsid w:val="41152661"/>
    <w:rsid w:val="41734CBA"/>
    <w:rsid w:val="41836C0B"/>
    <w:rsid w:val="41B51F6B"/>
    <w:rsid w:val="41C01B53"/>
    <w:rsid w:val="41DD7057"/>
    <w:rsid w:val="420F7A65"/>
    <w:rsid w:val="4216611A"/>
    <w:rsid w:val="423E300F"/>
    <w:rsid w:val="425656C8"/>
    <w:rsid w:val="4257273C"/>
    <w:rsid w:val="425D7213"/>
    <w:rsid w:val="42677B61"/>
    <w:rsid w:val="42756DB0"/>
    <w:rsid w:val="42B21AD2"/>
    <w:rsid w:val="42FD694D"/>
    <w:rsid w:val="434A6D8F"/>
    <w:rsid w:val="43B91AC3"/>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9CD5977"/>
    <w:rsid w:val="4A0030EE"/>
    <w:rsid w:val="4AC36065"/>
    <w:rsid w:val="4B1926BD"/>
    <w:rsid w:val="4B560086"/>
    <w:rsid w:val="4B7501F5"/>
    <w:rsid w:val="4B8C2DEB"/>
    <w:rsid w:val="4BA03882"/>
    <w:rsid w:val="4BA40904"/>
    <w:rsid w:val="4BFA3C9F"/>
    <w:rsid w:val="4C0E3379"/>
    <w:rsid w:val="4C107F48"/>
    <w:rsid w:val="4C3277BC"/>
    <w:rsid w:val="4C4D68C2"/>
    <w:rsid w:val="4C686851"/>
    <w:rsid w:val="4CB25875"/>
    <w:rsid w:val="4CC353EB"/>
    <w:rsid w:val="4CEA1FD2"/>
    <w:rsid w:val="4CF36F3C"/>
    <w:rsid w:val="4CF428DD"/>
    <w:rsid w:val="4D4C776E"/>
    <w:rsid w:val="4D4F67BA"/>
    <w:rsid w:val="4D603399"/>
    <w:rsid w:val="4D867EE1"/>
    <w:rsid w:val="4DBC3CE3"/>
    <w:rsid w:val="4DBC4C65"/>
    <w:rsid w:val="4DD16E2E"/>
    <w:rsid w:val="4DF6568D"/>
    <w:rsid w:val="4DFC4102"/>
    <w:rsid w:val="4E2E1A80"/>
    <w:rsid w:val="4E550010"/>
    <w:rsid w:val="4E5F14CB"/>
    <w:rsid w:val="4EBA5055"/>
    <w:rsid w:val="4F086370"/>
    <w:rsid w:val="4F3705F8"/>
    <w:rsid w:val="4F651D09"/>
    <w:rsid w:val="4FAC3540"/>
    <w:rsid w:val="4FBB12F4"/>
    <w:rsid w:val="4FCF1583"/>
    <w:rsid w:val="4FF26862"/>
    <w:rsid w:val="4FFA7625"/>
    <w:rsid w:val="501B0BF9"/>
    <w:rsid w:val="50547451"/>
    <w:rsid w:val="507D2599"/>
    <w:rsid w:val="5096229D"/>
    <w:rsid w:val="50B44FCE"/>
    <w:rsid w:val="50DC4184"/>
    <w:rsid w:val="51475B39"/>
    <w:rsid w:val="514C3EA7"/>
    <w:rsid w:val="519849E5"/>
    <w:rsid w:val="51B36892"/>
    <w:rsid w:val="52506DA7"/>
    <w:rsid w:val="526F57A8"/>
    <w:rsid w:val="53276652"/>
    <w:rsid w:val="533B2B84"/>
    <w:rsid w:val="537A7243"/>
    <w:rsid w:val="539C1B81"/>
    <w:rsid w:val="53AA6184"/>
    <w:rsid w:val="53AE750F"/>
    <w:rsid w:val="53CA212D"/>
    <w:rsid w:val="53EB0895"/>
    <w:rsid w:val="53F263AD"/>
    <w:rsid w:val="54693932"/>
    <w:rsid w:val="54966A9C"/>
    <w:rsid w:val="549A6BFA"/>
    <w:rsid w:val="54CA3D8B"/>
    <w:rsid w:val="54DA0AFD"/>
    <w:rsid w:val="54E72921"/>
    <w:rsid w:val="55806F07"/>
    <w:rsid w:val="55BF31A9"/>
    <w:rsid w:val="55FA2961"/>
    <w:rsid w:val="565E3E0E"/>
    <w:rsid w:val="565E7F4F"/>
    <w:rsid w:val="566503CE"/>
    <w:rsid w:val="56775789"/>
    <w:rsid w:val="56857D06"/>
    <w:rsid w:val="56914056"/>
    <w:rsid w:val="569F0E63"/>
    <w:rsid w:val="56DB613D"/>
    <w:rsid w:val="56F5149D"/>
    <w:rsid w:val="56FF7082"/>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1431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487E19"/>
    <w:rsid w:val="5E71411E"/>
    <w:rsid w:val="5EA06921"/>
    <w:rsid w:val="5EB6049E"/>
    <w:rsid w:val="5EBC56A2"/>
    <w:rsid w:val="5ED5006A"/>
    <w:rsid w:val="5EFD4926"/>
    <w:rsid w:val="5F576E4B"/>
    <w:rsid w:val="5F5A3895"/>
    <w:rsid w:val="5F5D4EDE"/>
    <w:rsid w:val="5F7A2C30"/>
    <w:rsid w:val="5FBE370A"/>
    <w:rsid w:val="5FDA3132"/>
    <w:rsid w:val="60292845"/>
    <w:rsid w:val="60B16EF7"/>
    <w:rsid w:val="61027308"/>
    <w:rsid w:val="612E1A5D"/>
    <w:rsid w:val="61816046"/>
    <w:rsid w:val="61C4322D"/>
    <w:rsid w:val="62182687"/>
    <w:rsid w:val="623627B6"/>
    <w:rsid w:val="62391564"/>
    <w:rsid w:val="625C4BA1"/>
    <w:rsid w:val="62816669"/>
    <w:rsid w:val="628E1C6F"/>
    <w:rsid w:val="62BA0953"/>
    <w:rsid w:val="62D03A7C"/>
    <w:rsid w:val="62F16BCB"/>
    <w:rsid w:val="62F648FE"/>
    <w:rsid w:val="63341DB1"/>
    <w:rsid w:val="63447612"/>
    <w:rsid w:val="63907004"/>
    <w:rsid w:val="63A10995"/>
    <w:rsid w:val="63C23EFA"/>
    <w:rsid w:val="64255BC3"/>
    <w:rsid w:val="643A070A"/>
    <w:rsid w:val="644C573D"/>
    <w:rsid w:val="64692F09"/>
    <w:rsid w:val="648667A7"/>
    <w:rsid w:val="64C00563"/>
    <w:rsid w:val="64DB383A"/>
    <w:rsid w:val="65032F85"/>
    <w:rsid w:val="65136B50"/>
    <w:rsid w:val="65784A67"/>
    <w:rsid w:val="657E2A35"/>
    <w:rsid w:val="65A94E9D"/>
    <w:rsid w:val="65C60A92"/>
    <w:rsid w:val="662203DD"/>
    <w:rsid w:val="666B723B"/>
    <w:rsid w:val="6678045A"/>
    <w:rsid w:val="66795DE1"/>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A20CB"/>
    <w:rsid w:val="6A2031B6"/>
    <w:rsid w:val="6A440C53"/>
    <w:rsid w:val="6AC61F6F"/>
    <w:rsid w:val="6ADE74F0"/>
    <w:rsid w:val="6B1002C0"/>
    <w:rsid w:val="6B1F5CFA"/>
    <w:rsid w:val="6B723594"/>
    <w:rsid w:val="6B805156"/>
    <w:rsid w:val="6BD50977"/>
    <w:rsid w:val="6BD81195"/>
    <w:rsid w:val="6BEA2A9B"/>
    <w:rsid w:val="6C9C0875"/>
    <w:rsid w:val="6C9D1F03"/>
    <w:rsid w:val="6CAA3931"/>
    <w:rsid w:val="6CDE1F0E"/>
    <w:rsid w:val="6D3933CA"/>
    <w:rsid w:val="6D7B61EC"/>
    <w:rsid w:val="6DC3266E"/>
    <w:rsid w:val="6DD049FF"/>
    <w:rsid w:val="6DED694C"/>
    <w:rsid w:val="6E09491E"/>
    <w:rsid w:val="6E0D3655"/>
    <w:rsid w:val="6E276B3D"/>
    <w:rsid w:val="6E5D7B7F"/>
    <w:rsid w:val="6E5F4465"/>
    <w:rsid w:val="6E8C54DA"/>
    <w:rsid w:val="6E9C28B4"/>
    <w:rsid w:val="6EF10568"/>
    <w:rsid w:val="6EF11E03"/>
    <w:rsid w:val="6F111C62"/>
    <w:rsid w:val="6F2176E5"/>
    <w:rsid w:val="6F3053CA"/>
    <w:rsid w:val="6F592303"/>
    <w:rsid w:val="6F5F5B74"/>
    <w:rsid w:val="6F711A2B"/>
    <w:rsid w:val="6F9B1C65"/>
    <w:rsid w:val="6FA41D2C"/>
    <w:rsid w:val="6FBA40D9"/>
    <w:rsid w:val="6FD47A25"/>
    <w:rsid w:val="6FF44026"/>
    <w:rsid w:val="6FFB146E"/>
    <w:rsid w:val="701A5C74"/>
    <w:rsid w:val="70230BCC"/>
    <w:rsid w:val="706516C3"/>
    <w:rsid w:val="70864A71"/>
    <w:rsid w:val="70896E68"/>
    <w:rsid w:val="714079A1"/>
    <w:rsid w:val="71434811"/>
    <w:rsid w:val="714556B4"/>
    <w:rsid w:val="71532318"/>
    <w:rsid w:val="715B60E9"/>
    <w:rsid w:val="71723BD4"/>
    <w:rsid w:val="71E96309"/>
    <w:rsid w:val="71EA1FED"/>
    <w:rsid w:val="72284A0C"/>
    <w:rsid w:val="72C16204"/>
    <w:rsid w:val="730313F6"/>
    <w:rsid w:val="731E1007"/>
    <w:rsid w:val="73370D24"/>
    <w:rsid w:val="7359268C"/>
    <w:rsid w:val="73797DFD"/>
    <w:rsid w:val="739503EB"/>
    <w:rsid w:val="73A05B28"/>
    <w:rsid w:val="73C07D69"/>
    <w:rsid w:val="749E2255"/>
    <w:rsid w:val="74B42AE4"/>
    <w:rsid w:val="750A429D"/>
    <w:rsid w:val="75167F59"/>
    <w:rsid w:val="752B0454"/>
    <w:rsid w:val="754D77D2"/>
    <w:rsid w:val="755D38A7"/>
    <w:rsid w:val="755F5A0F"/>
    <w:rsid w:val="75614792"/>
    <w:rsid w:val="756E5849"/>
    <w:rsid w:val="75784473"/>
    <w:rsid w:val="757E044C"/>
    <w:rsid w:val="75977BC3"/>
    <w:rsid w:val="759C54AC"/>
    <w:rsid w:val="75B161B3"/>
    <w:rsid w:val="75E470E3"/>
    <w:rsid w:val="76690B0A"/>
    <w:rsid w:val="76736B32"/>
    <w:rsid w:val="76E3765E"/>
    <w:rsid w:val="76FC2AFA"/>
    <w:rsid w:val="773F0836"/>
    <w:rsid w:val="77563E5A"/>
    <w:rsid w:val="77653671"/>
    <w:rsid w:val="777D65C8"/>
    <w:rsid w:val="778546CC"/>
    <w:rsid w:val="77B56730"/>
    <w:rsid w:val="77C04A8B"/>
    <w:rsid w:val="77D85DB3"/>
    <w:rsid w:val="780252A0"/>
    <w:rsid w:val="78027772"/>
    <w:rsid w:val="78A50513"/>
    <w:rsid w:val="78F35DE2"/>
    <w:rsid w:val="793B7339"/>
    <w:rsid w:val="7951690E"/>
    <w:rsid w:val="796518DD"/>
    <w:rsid w:val="796E0C55"/>
    <w:rsid w:val="79AA0532"/>
    <w:rsid w:val="79C17E21"/>
    <w:rsid w:val="79F70999"/>
    <w:rsid w:val="79FE1DDD"/>
    <w:rsid w:val="7A075767"/>
    <w:rsid w:val="7A212062"/>
    <w:rsid w:val="7A282A11"/>
    <w:rsid w:val="7A4054A5"/>
    <w:rsid w:val="7A9F00FE"/>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D9E3C29"/>
    <w:rsid w:val="7DBF2967"/>
    <w:rsid w:val="7E2142A2"/>
    <w:rsid w:val="7E4F5384"/>
    <w:rsid w:val="7E5A6DFA"/>
    <w:rsid w:val="7E7B0BF2"/>
    <w:rsid w:val="7E7C7A78"/>
    <w:rsid w:val="7E8D75B6"/>
    <w:rsid w:val="7EB2417D"/>
    <w:rsid w:val="7EE67601"/>
    <w:rsid w:val="7EF760EE"/>
    <w:rsid w:val="7F257B01"/>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autoRedefine/>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6"/>
    <w:autoRedefine/>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autoRedefine/>
    <w:semiHidden/>
    <w:unhideWhenUsed/>
    <w:qFormat/>
    <w:uiPriority w:val="99"/>
  </w:style>
  <w:style w:type="paragraph" w:styleId="7">
    <w:name w:val="Body Text"/>
    <w:basedOn w:val="1"/>
    <w:next w:val="1"/>
    <w:autoRedefine/>
    <w:qFormat/>
    <w:uiPriority w:val="1"/>
    <w:pPr>
      <w:spacing w:before="161"/>
      <w:ind w:left="120"/>
    </w:pPr>
    <w:rPr>
      <w:rFonts w:ascii="宋体" w:hAnsi="宋体" w:eastAsia="宋体" w:cs="宋体"/>
      <w:sz w:val="24"/>
      <w:lang w:val="zh-CN" w:bidi="zh-CN"/>
    </w:rPr>
  </w:style>
  <w:style w:type="paragraph" w:styleId="8">
    <w:name w:val="toc 3"/>
    <w:basedOn w:val="1"/>
    <w:next w:val="1"/>
    <w:autoRedefine/>
    <w:unhideWhenUsed/>
    <w:qFormat/>
    <w:uiPriority w:val="39"/>
    <w:pPr>
      <w:tabs>
        <w:tab w:val="right" w:leader="dot" w:pos="8296"/>
      </w:tabs>
      <w:ind w:left="838" w:leftChars="381"/>
    </w:pPr>
    <w:rPr>
      <w:sz w:val="21"/>
      <w:szCs w:val="21"/>
    </w:rPr>
  </w:style>
  <w:style w:type="paragraph" w:styleId="9">
    <w:name w:val="Plain Text"/>
    <w:basedOn w:val="1"/>
    <w:link w:val="47"/>
    <w:autoRedefine/>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autoRedefine/>
    <w:qFormat/>
    <w:uiPriority w:val="0"/>
    <w:pPr>
      <w:ind w:firstLine="539" w:firstLineChars="174"/>
    </w:pPr>
    <w:rPr>
      <w:rFonts w:ascii="仿宋_GB2312" w:eastAsia="仿宋_GB2312"/>
      <w:sz w:val="31"/>
    </w:rPr>
  </w:style>
  <w:style w:type="paragraph" w:styleId="11">
    <w:name w:val="Balloon Text"/>
    <w:basedOn w:val="1"/>
    <w:link w:val="50"/>
    <w:autoRedefine/>
    <w:semiHidden/>
    <w:unhideWhenUsed/>
    <w:qFormat/>
    <w:uiPriority w:val="99"/>
    <w:pPr>
      <w:spacing w:after="0"/>
    </w:pPr>
    <w:rPr>
      <w:sz w:val="18"/>
      <w:szCs w:val="18"/>
    </w:rPr>
  </w:style>
  <w:style w:type="paragraph" w:styleId="12">
    <w:name w:val="footer"/>
    <w:basedOn w:val="1"/>
    <w:link w:val="49"/>
    <w:autoRedefine/>
    <w:unhideWhenUsed/>
    <w:qFormat/>
    <w:uiPriority w:val="99"/>
    <w:pPr>
      <w:tabs>
        <w:tab w:val="center" w:pos="4153"/>
        <w:tab w:val="right" w:pos="8306"/>
      </w:tabs>
    </w:pPr>
    <w:rPr>
      <w:sz w:val="18"/>
      <w:szCs w:val="18"/>
    </w:rPr>
  </w:style>
  <w:style w:type="paragraph" w:styleId="13">
    <w:name w:val="header"/>
    <w:basedOn w:val="1"/>
    <w:link w:val="48"/>
    <w:autoRedefine/>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autoRedefine/>
    <w:semiHidden/>
    <w:unhideWhenUsed/>
    <w:qFormat/>
    <w:uiPriority w:val="39"/>
  </w:style>
  <w:style w:type="paragraph" w:styleId="15">
    <w:name w:val="toc 4"/>
    <w:basedOn w:val="1"/>
    <w:next w:val="1"/>
    <w:autoRedefine/>
    <w:unhideWhenUsed/>
    <w:qFormat/>
    <w:uiPriority w:val="39"/>
    <w:pPr>
      <w:tabs>
        <w:tab w:val="right" w:leader="dot" w:pos="8296"/>
      </w:tabs>
      <w:spacing w:after="120"/>
      <w:ind w:left="1320" w:leftChars="600"/>
    </w:pPr>
  </w:style>
  <w:style w:type="paragraph" w:styleId="16">
    <w:name w:val="index heading"/>
    <w:basedOn w:val="1"/>
    <w:next w:val="17"/>
    <w:autoRedefine/>
    <w:qFormat/>
    <w:uiPriority w:val="0"/>
    <w:rPr>
      <w:rFonts w:ascii="Times New Roman" w:hAnsi="Times New Roman"/>
      <w:szCs w:val="20"/>
    </w:rPr>
  </w:style>
  <w:style w:type="paragraph" w:styleId="17">
    <w:name w:val="index 1"/>
    <w:basedOn w:val="1"/>
    <w:next w:val="1"/>
    <w:autoRedefine/>
    <w:unhideWhenUsed/>
    <w:qFormat/>
    <w:uiPriority w:val="99"/>
  </w:style>
  <w:style w:type="paragraph" w:styleId="18">
    <w:name w:val="Subtitle"/>
    <w:basedOn w:val="1"/>
    <w:next w:val="1"/>
    <w:autoRedefine/>
    <w:qFormat/>
    <w:uiPriority w:val="0"/>
    <w:pPr>
      <w:spacing w:line="312" w:lineRule="auto"/>
      <w:jc w:val="center"/>
      <w:outlineLvl w:val="1"/>
    </w:pPr>
    <w:rPr>
      <w:rFonts w:ascii="Arial" w:hAnsi="Arial" w:cs="Arial"/>
      <w:b/>
      <w:bCs/>
      <w:kern w:val="28"/>
      <w:sz w:val="32"/>
      <w:szCs w:val="32"/>
    </w:rPr>
  </w:style>
  <w:style w:type="paragraph" w:styleId="19">
    <w:name w:val="footnote text"/>
    <w:basedOn w:val="1"/>
    <w:autoRedefine/>
    <w:semiHidden/>
    <w:unhideWhenUsed/>
    <w:qFormat/>
    <w:uiPriority w:val="99"/>
    <w:pPr>
      <w:snapToGrid w:val="0"/>
      <w:jc w:val="left"/>
    </w:pPr>
    <w:rPr>
      <w:sz w:val="18"/>
    </w:rPr>
  </w:style>
  <w:style w:type="paragraph" w:styleId="20">
    <w:name w:val="toc 6"/>
    <w:basedOn w:val="1"/>
    <w:next w:val="1"/>
    <w:autoRedefine/>
    <w:qFormat/>
    <w:uiPriority w:val="0"/>
    <w:pPr>
      <w:ind w:left="1200"/>
    </w:pPr>
    <w:rPr>
      <w:rFonts w:ascii="Calibri" w:cs="Calibri"/>
      <w:sz w:val="18"/>
      <w:szCs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2"/>
    <w:autoRedefine/>
    <w:qFormat/>
    <w:uiPriority w:val="0"/>
    <w:pPr>
      <w:widowControl w:val="0"/>
      <w:adjustRightInd/>
      <w:snapToGrid/>
      <w:spacing w:after="0"/>
      <w:jc w:val="both"/>
    </w:pPr>
    <w:rPr>
      <w:rFonts w:eastAsia="宋体" w:asciiTheme="minorHAnsi" w:hAnsiTheme="minorHAnsi"/>
      <w:kern w:val="2"/>
      <w:sz w:val="24"/>
      <w:szCs w:val="24"/>
    </w:rPr>
  </w:style>
  <w:style w:type="paragraph" w:styleId="23">
    <w:name w:val="Body Text First Indent"/>
    <w:basedOn w:val="7"/>
    <w:next w:val="20"/>
    <w:autoRedefine/>
    <w:unhideWhenUsed/>
    <w:qFormat/>
    <w:uiPriority w:val="99"/>
    <w:pPr>
      <w:ind w:firstLine="420" w:firstLineChars="100"/>
    </w:pPr>
    <w:rPr>
      <w:rFonts w:ascii="Times New Roman" w:hAnsi="Times New Roman" w:cs="Times New Roman"/>
    </w:r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autoRedefine/>
    <w:qFormat/>
    <w:uiPriority w:val="20"/>
    <w:rPr>
      <w:i/>
      <w:iCs/>
    </w:rPr>
  </w:style>
  <w:style w:type="character" w:styleId="28">
    <w:name w:val="Hyperlink"/>
    <w:autoRedefine/>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autoRedefine/>
    <w:semiHidden/>
    <w:unhideWhenUsed/>
    <w:qFormat/>
    <w:uiPriority w:val="99"/>
    <w:rPr>
      <w:sz w:val="21"/>
      <w:szCs w:val="21"/>
    </w:rPr>
  </w:style>
  <w:style w:type="character" w:styleId="30">
    <w:name w:val="footnote reference"/>
    <w:basedOn w:val="26"/>
    <w:autoRedefine/>
    <w:semiHidden/>
    <w:unhideWhenUsed/>
    <w:qFormat/>
    <w:uiPriority w:val="99"/>
    <w:rPr>
      <w:vertAlign w:val="superscript"/>
    </w:rPr>
  </w:style>
  <w:style w:type="paragraph" w:customStyle="1" w:styleId="31">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表格文字"/>
    <w:basedOn w:val="1"/>
    <w:autoRedefine/>
    <w:qFormat/>
    <w:uiPriority w:val="0"/>
    <w:pPr>
      <w:autoSpaceDE/>
      <w:autoSpaceDN/>
      <w:adjustRightInd/>
      <w:spacing w:before="25" w:after="25"/>
    </w:pPr>
    <w:rPr>
      <w:rFonts w:ascii="Times New Roman"/>
      <w:bCs/>
      <w:spacing w:val="10"/>
      <w:szCs w:val="20"/>
    </w:rPr>
  </w:style>
  <w:style w:type="character" w:customStyle="1" w:styleId="33">
    <w:name w:val="标题 2 Char"/>
    <w:basedOn w:val="26"/>
    <w:link w:val="3"/>
    <w:autoRedefine/>
    <w:qFormat/>
    <w:uiPriority w:val="9"/>
    <w:rPr>
      <w:rFonts w:asciiTheme="majorHAnsi" w:hAnsiTheme="majorHAnsi" w:eastAsiaTheme="majorEastAsia" w:cstheme="majorBidi"/>
      <w:b/>
      <w:bCs/>
      <w:sz w:val="32"/>
      <w:szCs w:val="32"/>
    </w:rPr>
  </w:style>
  <w:style w:type="character" w:customStyle="1" w:styleId="34">
    <w:name w:val="标题 3 Char"/>
    <w:basedOn w:val="26"/>
    <w:link w:val="4"/>
    <w:autoRedefine/>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6"/>
    <w:link w:val="5"/>
    <w:autoRedefine/>
    <w:qFormat/>
    <w:uiPriority w:val="9"/>
    <w:rPr>
      <w:rFonts w:eastAsia="宋体" w:asciiTheme="majorAscii" w:hAnsiTheme="majorAsci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autoRedefine/>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9">
    <w:name w:val="正文缩进4格"/>
    <w:basedOn w:val="38"/>
    <w:autoRedefine/>
    <w:qFormat/>
    <w:uiPriority w:val="0"/>
    <w:pPr>
      <w:ind w:left="2" w:firstLine="538" w:firstLineChars="192"/>
    </w:pPr>
    <w:rPr>
      <w:color w:val="0000FF"/>
      <w:sz w:val="28"/>
    </w:rPr>
  </w:style>
  <w:style w:type="character" w:customStyle="1" w:styleId="40">
    <w:name w:val="正文缩进2格 Char Char"/>
    <w:autoRedefine/>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autoRedefine/>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2">
    <w:name w:val="标题1"/>
    <w:autoRedefine/>
    <w:qFormat/>
    <w:uiPriority w:val="0"/>
    <w:rPr>
      <w:rFonts w:ascii="Times New Roman" w:hAnsi="Times New Roman" w:eastAsia="宋体" w:cs="Times New Roman"/>
      <w:b/>
      <w:kern w:val="0"/>
      <w:sz w:val="24"/>
      <w:szCs w:val="20"/>
      <w:lang w:eastAsia="en-US"/>
    </w:rPr>
  </w:style>
  <w:style w:type="character" w:customStyle="1" w:styleId="43">
    <w:name w:val="标题 3.1 Char"/>
    <w:link w:val="44"/>
    <w:autoRedefine/>
    <w:qFormat/>
    <w:uiPriority w:val="0"/>
    <w:rPr>
      <w:rFonts w:ascii="宋体" w:hAnsi="宋体" w:eastAsia="宋体"/>
      <w:b/>
      <w:color w:val="FF0000"/>
      <w:kern w:val="2"/>
      <w:sz w:val="32"/>
    </w:rPr>
  </w:style>
  <w:style w:type="paragraph" w:customStyle="1" w:styleId="44">
    <w:name w:val="标题 3.1"/>
    <w:basedOn w:val="4"/>
    <w:link w:val="43"/>
    <w:autoRedefine/>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5">
    <w:name w:val="样式 楷体_GB2312 小四"/>
    <w:autoRedefine/>
    <w:qFormat/>
    <w:uiPriority w:val="0"/>
    <w:rPr>
      <w:rFonts w:ascii="楷体_GB2312" w:hAnsi="楷体_GB2312" w:eastAsia="仿宋_GB2312"/>
      <w:sz w:val="24"/>
    </w:rPr>
  </w:style>
  <w:style w:type="character" w:customStyle="1" w:styleId="46">
    <w:name w:val="纯文本 Char"/>
    <w:autoRedefine/>
    <w:qFormat/>
    <w:uiPriority w:val="0"/>
    <w:rPr>
      <w:rFonts w:ascii="宋体" w:hAnsi="Courier New" w:eastAsia="宋体" w:cs="Times New Roman"/>
      <w:b/>
      <w:kern w:val="2"/>
      <w:sz w:val="21"/>
      <w:szCs w:val="20"/>
    </w:rPr>
  </w:style>
  <w:style w:type="character" w:customStyle="1" w:styleId="47">
    <w:name w:val="纯文本 Char1"/>
    <w:basedOn w:val="26"/>
    <w:link w:val="9"/>
    <w:autoRedefine/>
    <w:semiHidden/>
    <w:qFormat/>
    <w:uiPriority w:val="99"/>
    <w:rPr>
      <w:rFonts w:ascii="宋体" w:hAnsi="Courier New" w:eastAsia="宋体" w:cs="Courier New"/>
      <w:sz w:val="21"/>
      <w:szCs w:val="21"/>
    </w:rPr>
  </w:style>
  <w:style w:type="character" w:customStyle="1" w:styleId="48">
    <w:name w:val="页眉 Char"/>
    <w:basedOn w:val="26"/>
    <w:link w:val="13"/>
    <w:qFormat/>
    <w:uiPriority w:val="99"/>
    <w:rPr>
      <w:rFonts w:ascii="Tahoma" w:hAnsi="Tahoma"/>
      <w:sz w:val="18"/>
      <w:szCs w:val="18"/>
    </w:rPr>
  </w:style>
  <w:style w:type="character" w:customStyle="1" w:styleId="49">
    <w:name w:val="页脚 Char"/>
    <w:basedOn w:val="26"/>
    <w:link w:val="12"/>
    <w:autoRedefine/>
    <w:qFormat/>
    <w:uiPriority w:val="99"/>
    <w:rPr>
      <w:rFonts w:ascii="Tahoma" w:hAnsi="Tahoma"/>
      <w:sz w:val="18"/>
      <w:szCs w:val="18"/>
    </w:rPr>
  </w:style>
  <w:style w:type="character" w:customStyle="1" w:styleId="50">
    <w:name w:val="批注框文本 Char"/>
    <w:basedOn w:val="26"/>
    <w:link w:val="11"/>
    <w:semiHidden/>
    <w:qFormat/>
    <w:uiPriority w:val="99"/>
    <w:rPr>
      <w:rFonts w:ascii="Tahoma" w:hAnsi="Tahoma"/>
      <w:sz w:val="18"/>
      <w:szCs w:val="18"/>
    </w:rPr>
  </w:style>
  <w:style w:type="paragraph" w:customStyle="1" w:styleId="51">
    <w:name w:val="Char Char2 Char"/>
    <w:basedOn w:val="1"/>
    <w:autoRedefine/>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2">
    <w:name w:val="普通(网站) Char"/>
    <w:link w:val="22"/>
    <w:autoRedefine/>
    <w:qFormat/>
    <w:uiPriority w:val="0"/>
    <w:rPr>
      <w:rFonts w:eastAsia="宋体"/>
      <w:kern w:val="2"/>
      <w:sz w:val="24"/>
      <w:szCs w:val="24"/>
    </w:rPr>
  </w:style>
  <w:style w:type="paragraph" w:customStyle="1" w:styleId="53">
    <w:name w:val="列出段落1"/>
    <w:basedOn w:val="1"/>
    <w:autoRedefine/>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4">
    <w:name w:val="p141"/>
    <w:autoRedefine/>
    <w:qFormat/>
    <w:uiPriority w:val="0"/>
    <w:rPr>
      <w:sz w:val="21"/>
      <w:szCs w:val="21"/>
    </w:rPr>
  </w:style>
  <w:style w:type="paragraph" w:customStyle="1" w:styleId="55">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6">
    <w:name w:val="正文无缩进"/>
    <w:basedOn w:val="38"/>
    <w:qFormat/>
    <w:uiPriority w:val="0"/>
    <w:pPr>
      <w:ind w:firstLine="0" w:firstLineChars="0"/>
    </w:pPr>
  </w:style>
  <w:style w:type="paragraph" w:customStyle="1" w:styleId="57">
    <w:name w:val="一级条标题"/>
    <w:basedOn w:val="58"/>
    <w:next w:val="59"/>
    <w:qFormat/>
    <w:uiPriority w:val="0"/>
    <w:pPr>
      <w:tabs>
        <w:tab w:val="left" w:pos="720"/>
      </w:tabs>
      <w:spacing w:beforeLines="0" w:afterLines="0"/>
      <w:outlineLvl w:val="2"/>
    </w:pPr>
  </w:style>
  <w:style w:type="paragraph" w:customStyle="1" w:styleId="58">
    <w:name w:val="章标题"/>
    <w:next w:val="1"/>
    <w:autoRedefine/>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9">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Table Paragraph"/>
    <w:basedOn w:val="1"/>
    <w:qFormat/>
    <w:uiPriority w:val="1"/>
  </w:style>
  <w:style w:type="paragraph" w:customStyle="1" w:styleId="61">
    <w:name w:val="正文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样式6 正文"/>
    <w:autoRedefine/>
    <w:qFormat/>
    <w:uiPriority w:val="0"/>
    <w:pPr>
      <w:widowControl w:val="0"/>
      <w:tabs>
        <w:tab w:val="left" w:pos="420"/>
      </w:tabs>
      <w:spacing w:line="360" w:lineRule="auto"/>
      <w:ind w:firstLine="482"/>
      <w:jc w:val="both"/>
    </w:pPr>
    <w:rPr>
      <w:rFonts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72</Pages>
  <Words>28127</Words>
  <Characters>28725</Characters>
  <Lines>264</Lines>
  <Paragraphs>74</Paragraphs>
  <TotalTime>7</TotalTime>
  <ScaleCrop>false</ScaleCrop>
  <LinksUpToDate>false</LinksUpToDate>
  <CharactersWithSpaces>30988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2024-05-10T08:53:29Z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B0A5F89F882D462CB0D1A777BE0A365D</vt:lpwstr>
  </property>
</Properties>
</file>