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3"/>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9"/>
        <w:ind w:firstLine="240"/>
        <w:rPr>
          <w:rFonts w:ascii="黑体" w:eastAsia="黑体"/>
          <w:color w:val="auto"/>
          <w:szCs w:val="21"/>
          <w:highlight w:val="none"/>
        </w:rPr>
      </w:pPr>
    </w:p>
    <w:p>
      <w:pPr>
        <w:pStyle w:val="29"/>
        <w:ind w:left="0" w:firstLine="0" w:firstLineChars="0"/>
        <w:rPr>
          <w:rFonts w:ascii="黑体" w:eastAsia="黑体"/>
          <w:color w:val="auto"/>
          <w:szCs w:val="21"/>
          <w:highlight w:val="none"/>
        </w:rPr>
      </w:pPr>
    </w:p>
    <w:tbl>
      <w:tblPr>
        <w:tblStyle w:val="31"/>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GDZT2024111C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东莞市大朗镇中心小学采购食材配送服务项目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东莞市大朗镇中心小学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6"/>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6"/>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6"/>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6"/>
        <w:ind w:left="0" w:leftChars="0"/>
        <w:rPr>
          <w:color w:val="auto"/>
          <w:sz w:val="40"/>
          <w:szCs w:val="40"/>
          <w:highlight w:val="none"/>
        </w:rPr>
      </w:pPr>
      <w:r>
        <w:rPr>
          <w:rFonts w:hint="eastAsia"/>
          <w:color w:val="auto"/>
          <w:sz w:val="40"/>
          <w:szCs w:val="40"/>
          <w:highlight w:val="none"/>
        </w:rPr>
        <w:t>目录</w:t>
      </w:r>
    </w:p>
    <w:p>
      <w:pPr>
        <w:pStyle w:val="26"/>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7"/>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东莞市大朗镇中心小学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东莞市大朗镇中心小学采购食材配送服务项目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GDZT2024111C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东莞市大朗镇中心小学采购食材配送服务项目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30"/>
        <w:tblW w:w="46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1"/>
        <w:gridCol w:w="4625"/>
        <w:gridCol w:w="79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99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1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990"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预算</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99"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995"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东莞市大朗镇中心小学采购食材配送服务项目</w:t>
            </w:r>
          </w:p>
        </w:tc>
        <w:tc>
          <w:tcPr>
            <w:tcW w:w="51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990"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color w:val="auto"/>
                <w:szCs w:val="21"/>
                <w:highlight w:val="none"/>
                <w:lang w:val="en-US" w:eastAsia="zh-CN"/>
              </w:rPr>
              <w:t>7,418,000.00</w:t>
            </w:r>
          </w:p>
        </w:tc>
      </w:tr>
    </w:tbl>
    <w:p>
      <w:pPr>
        <w:pStyle w:val="13"/>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1、项目公示时间：2024年</w:t>
      </w:r>
      <w:r>
        <w:rPr>
          <w:rFonts w:hint="eastAsia" w:ascii="宋体" w:hAnsi="宋体"/>
          <w:color w:val="auto"/>
          <w:szCs w:val="21"/>
          <w:highlight w:val="none"/>
          <w:lang w:val="en-US" w:eastAsia="zh-CN"/>
        </w:rPr>
        <w:t>0</w:t>
      </w:r>
      <w:r>
        <w:rPr>
          <w:rFonts w:hint="eastAsia" w:ascii="宋体" w:hAnsi="宋体"/>
          <w:color w:val="auto"/>
          <w:szCs w:val="21"/>
          <w:highlight w:val="none"/>
        </w:rPr>
        <w:t>3月</w:t>
      </w:r>
      <w:r>
        <w:rPr>
          <w:rFonts w:hint="eastAsia" w:ascii="宋体" w:hAnsi="宋体"/>
          <w:color w:val="auto"/>
          <w:szCs w:val="21"/>
          <w:highlight w:val="none"/>
          <w:lang w:val="en-US" w:eastAsia="zh-CN"/>
        </w:rPr>
        <w:t>2</w:t>
      </w:r>
      <w:r>
        <w:rPr>
          <w:rFonts w:hint="eastAsia" w:ascii="宋体" w:hAnsi="宋体"/>
          <w:color w:val="auto"/>
          <w:szCs w:val="21"/>
          <w:highlight w:val="none"/>
        </w:rPr>
        <w:t>6日  至 2024年</w:t>
      </w:r>
      <w:r>
        <w:rPr>
          <w:rFonts w:hint="eastAsia" w:ascii="宋体" w:hAnsi="宋体"/>
          <w:color w:val="auto"/>
          <w:szCs w:val="21"/>
          <w:highlight w:val="none"/>
          <w:lang w:val="en-US" w:eastAsia="zh-CN"/>
        </w:rPr>
        <w:t>0</w:t>
      </w:r>
      <w:r>
        <w:rPr>
          <w:rFonts w:hint="eastAsia" w:ascii="宋体" w:hAnsi="宋体"/>
          <w:color w:val="auto"/>
          <w:szCs w:val="21"/>
          <w:highlight w:val="none"/>
        </w:rPr>
        <w:t>4月</w:t>
      </w:r>
      <w:r>
        <w:rPr>
          <w:rFonts w:hint="eastAsia" w:ascii="宋体" w:hAnsi="宋体"/>
          <w:color w:val="auto"/>
          <w:szCs w:val="21"/>
          <w:highlight w:val="none"/>
          <w:lang w:val="en-US" w:eastAsia="zh-CN"/>
        </w:rPr>
        <w:t>0</w:t>
      </w:r>
      <w:r>
        <w:rPr>
          <w:rFonts w:hint="eastAsia" w:ascii="宋体" w:hAnsi="宋体"/>
          <w:color w:val="auto"/>
          <w:szCs w:val="21"/>
          <w:highlight w:val="none"/>
        </w:rPr>
        <w:t>2日。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2024年</w:t>
      </w:r>
      <w:r>
        <w:rPr>
          <w:rFonts w:hint="eastAsia" w:ascii="宋体" w:hAnsi="宋体"/>
          <w:color w:val="auto"/>
          <w:szCs w:val="21"/>
          <w:highlight w:val="none"/>
          <w:lang w:val="en-US" w:eastAsia="zh-CN"/>
        </w:rPr>
        <w:t>0</w:t>
      </w:r>
      <w:r>
        <w:rPr>
          <w:rFonts w:hint="eastAsia" w:ascii="宋体" w:hAnsi="宋体"/>
          <w:color w:val="auto"/>
          <w:szCs w:val="21"/>
          <w:highlight w:val="none"/>
        </w:rPr>
        <w:t>3月</w:t>
      </w:r>
      <w:r>
        <w:rPr>
          <w:rFonts w:hint="eastAsia" w:ascii="宋体" w:hAnsi="宋体"/>
          <w:color w:val="auto"/>
          <w:szCs w:val="21"/>
          <w:highlight w:val="none"/>
          <w:lang w:val="en-US" w:eastAsia="zh-CN"/>
        </w:rPr>
        <w:t>2</w:t>
      </w:r>
      <w:r>
        <w:rPr>
          <w:rFonts w:hint="eastAsia" w:ascii="宋体" w:hAnsi="宋体"/>
          <w:color w:val="auto"/>
          <w:szCs w:val="21"/>
          <w:highlight w:val="none"/>
        </w:rPr>
        <w:t>6日  至 2024年</w:t>
      </w:r>
      <w:r>
        <w:rPr>
          <w:rFonts w:hint="eastAsia" w:ascii="宋体" w:hAnsi="宋体"/>
          <w:color w:val="auto"/>
          <w:szCs w:val="21"/>
          <w:highlight w:val="none"/>
          <w:lang w:val="en-US" w:eastAsia="zh-CN"/>
        </w:rPr>
        <w:t>0</w:t>
      </w:r>
      <w:r>
        <w:rPr>
          <w:rFonts w:hint="eastAsia" w:ascii="宋体" w:hAnsi="宋体"/>
          <w:color w:val="auto"/>
          <w:szCs w:val="21"/>
          <w:highlight w:val="none"/>
        </w:rPr>
        <w:t>4月</w:t>
      </w:r>
      <w:r>
        <w:rPr>
          <w:rFonts w:hint="eastAsia" w:ascii="宋体" w:hAnsi="宋体"/>
          <w:color w:val="auto"/>
          <w:szCs w:val="21"/>
          <w:highlight w:val="none"/>
          <w:lang w:val="en-US" w:eastAsia="zh-CN"/>
        </w:rPr>
        <w:t>0</w:t>
      </w:r>
      <w:r>
        <w:rPr>
          <w:rFonts w:hint="eastAsia" w:ascii="宋体" w:hAnsi="宋体"/>
          <w:color w:val="auto"/>
          <w:szCs w:val="21"/>
          <w:highlight w:val="none"/>
        </w:rPr>
        <w:t xml:space="preserve">2日（节假日除外），上午9：00～12：00，下午14：30～17：30（北京时间）。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1、递交投标文件时间：2024年04月16日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：00～</w:t>
      </w:r>
      <w:r>
        <w:rPr>
          <w:rFonts w:hint="eastAsia" w:ascii="宋体" w:hAnsi="宋体"/>
          <w:bCs/>
          <w:color w:val="auto"/>
          <w:szCs w:val="21"/>
          <w:highlight w:val="none"/>
          <w:lang w:val="en-US" w:eastAsia="zh-CN"/>
        </w:rPr>
        <w:t>09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及开标时间：2024年04月16日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采购人联系人：刘老师</w:t>
      </w:r>
      <w:r>
        <w:rPr>
          <w:rFonts w:hint="eastAsia" w:ascii="宋体" w:hAnsi="宋体"/>
          <w:bCs/>
          <w:color w:val="auto"/>
          <w:szCs w:val="21"/>
          <w:highlight w:val="none"/>
          <w:lang w:val="en-US" w:eastAsia="zh-CN"/>
        </w:rPr>
        <w:t xml:space="preserve">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地址：东莞市大朗镇新体育中心路10号</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联系电话：0769-82230662</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w:t>
      </w:r>
      <w:r>
        <w:rPr>
          <w:rFonts w:hint="eastAsia" w:ascii="宋体" w:hAnsi="宋体"/>
          <w:color w:val="auto"/>
          <w:szCs w:val="21"/>
          <w:highlight w:val="none"/>
          <w:lang w:val="en-US" w:eastAsia="zh-CN"/>
        </w:rPr>
        <w:t>lzc704846447</w:t>
      </w:r>
      <w:r>
        <w:rPr>
          <w:rFonts w:hint="eastAsia" w:ascii="宋体" w:hAnsi="宋体"/>
          <w:color w:val="auto"/>
          <w:szCs w:val="21"/>
          <w:highlight w:val="none"/>
        </w:rPr>
        <w:t>@</w:t>
      </w:r>
      <w:r>
        <w:rPr>
          <w:rFonts w:hint="eastAsia" w:ascii="宋体" w:hAnsi="宋体"/>
          <w:color w:val="auto"/>
          <w:szCs w:val="21"/>
          <w:highlight w:val="none"/>
          <w:lang w:val="en-US" w:eastAsia="zh-CN"/>
        </w:rPr>
        <w:t>163</w:t>
      </w:r>
      <w:r>
        <w:rPr>
          <w:rFonts w:hint="eastAsia" w:ascii="宋体" w:hAnsi="宋体"/>
          <w:color w:val="auto"/>
          <w:szCs w:val="21"/>
          <w:highlight w:val="none"/>
        </w:rPr>
        <w:t>.com</w:t>
      </w:r>
    </w:p>
    <w:p>
      <w:pPr>
        <w:rPr>
          <w:color w:val="auto"/>
          <w:highlight w:val="none"/>
        </w:rPr>
      </w:pPr>
      <w:bookmarkStart w:id="385" w:name="_GoBack"/>
      <w:bookmarkEnd w:id="385"/>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13"/>
        <w:rPr>
          <w:color w:val="auto"/>
          <w:sz w:val="21"/>
          <w:szCs w:val="21"/>
          <w:highlight w:val="none"/>
        </w:rPr>
      </w:pPr>
    </w:p>
    <w:p>
      <w:pPr>
        <w:pStyle w:val="6"/>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3"/>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3"/>
        <w:rPr>
          <w:highlight w:val="none"/>
        </w:rPr>
      </w:pPr>
    </w:p>
    <w:p>
      <w:pPr>
        <w:rPr>
          <w:color w:val="auto"/>
          <w:highlight w:val="none"/>
        </w:rPr>
      </w:pPr>
    </w:p>
    <w:p>
      <w:pPr>
        <w:pStyle w:val="6"/>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7"/>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19"/>
        <w:gridCol w:w="825"/>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30638"/>
            <w:bookmarkStart w:id="18" w:name="_Toc2479"/>
            <w:bookmarkStart w:id="19" w:name="_Toc29685"/>
            <w:bookmarkStart w:id="20" w:name="_Toc14146"/>
            <w:r>
              <w:rPr>
                <w:rFonts w:hint="eastAsia" w:ascii="宋体" w:eastAsia="宋体" w:cs="宋体"/>
                <w:b/>
                <w:bCs/>
                <w:color w:val="auto"/>
                <w:sz w:val="21"/>
                <w:szCs w:val="21"/>
                <w:highlight w:val="none"/>
              </w:rPr>
              <w:t>序号</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35分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投标人企业认证及产品认证情况</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14</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kern w:val="2"/>
                <w:sz w:val="21"/>
                <w:szCs w:val="24"/>
                <w:highlight w:val="none"/>
                <w:lang w:val="en-US" w:eastAsia="zh-CN" w:bidi="ar-SA"/>
              </w:rPr>
              <w:t>1</w:t>
            </w:r>
            <w:r>
              <w:rPr>
                <w:rFonts w:hint="eastAsia" w:ascii="宋体" w:hAnsi="宋体" w:cs="宋体"/>
                <w:kern w:val="2"/>
                <w:sz w:val="21"/>
                <w:szCs w:val="24"/>
                <w:highlight w:val="none"/>
                <w:lang w:val="en-US" w:eastAsia="zh-CN" w:bidi="ar-SA"/>
              </w:rPr>
              <w:t>、</w:t>
            </w:r>
            <w:r>
              <w:rPr>
                <w:rFonts w:hint="eastAsia" w:ascii="宋体" w:hAnsi="宋体" w:eastAsia="宋体" w:cs="宋体"/>
                <w:sz w:val="21"/>
                <w:szCs w:val="21"/>
                <w:highlight w:val="none"/>
              </w:rPr>
              <w:t>具有有效期内的质量管理体系认证证书，得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具有有效期内的环境管理体系认证证书，得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3</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具有有效期内的职业健康安全管理体系认证证书 ，得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4</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具有有效期内的HACCP危害分析和关键控制点体系认证</w:t>
            </w:r>
            <w:r>
              <w:rPr>
                <w:rFonts w:hint="eastAsia" w:ascii="宋体" w:hAnsi="宋体" w:eastAsia="宋体" w:cs="宋体"/>
                <w:sz w:val="21"/>
                <w:szCs w:val="21"/>
                <w:highlight w:val="none"/>
                <w:lang w:eastAsia="zh-CN"/>
              </w:rPr>
              <w:t>证书</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5</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w:t>
            </w:r>
            <w:r>
              <w:rPr>
                <w:rFonts w:hint="eastAsia" w:ascii="宋体" w:hAnsi="宋体" w:eastAsia="宋体" w:cs="宋体"/>
                <w:b w:val="0"/>
                <w:bCs w:val="0"/>
                <w:sz w:val="21"/>
                <w:szCs w:val="21"/>
                <w:highlight w:val="none"/>
                <w:lang w:val="en-US" w:eastAsia="zh-CN"/>
              </w:rPr>
              <w:t>食品安全管理体系认证证书</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bidi="ar-SA"/>
              </w:rPr>
              <w:t>6</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具有有效期内的供应链</w:t>
            </w: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rPr>
              <w:t>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bidi="ar-SA"/>
              </w:rPr>
              <w:t>7</w:t>
            </w:r>
            <w:r>
              <w:rPr>
                <w:rFonts w:hint="eastAsia" w:ascii="宋体" w:hAnsi="宋体" w:cs="宋体"/>
                <w:kern w:val="2"/>
                <w:sz w:val="21"/>
                <w:szCs w:val="21"/>
                <w:highlight w:val="none"/>
                <w:lang w:val="en-US" w:eastAsia="zh-CN" w:bidi="ar-SA"/>
              </w:rPr>
              <w:t>、</w:t>
            </w:r>
            <w:r>
              <w:rPr>
                <w:rFonts w:hint="eastAsia" w:ascii="宋体" w:hAnsi="宋体" w:eastAsia="宋体" w:cs="宋体"/>
                <w:sz w:val="21"/>
                <w:szCs w:val="21"/>
                <w:highlight w:val="none"/>
              </w:rPr>
              <w:t>具有有效期内的</w:t>
            </w:r>
            <w:r>
              <w:rPr>
                <w:rFonts w:hint="eastAsia" w:ascii="宋体" w:hAnsi="宋体" w:eastAsia="宋体" w:cs="宋体"/>
                <w:sz w:val="21"/>
                <w:szCs w:val="21"/>
                <w:highlight w:val="none"/>
                <w:lang w:eastAsia="zh-CN"/>
              </w:rPr>
              <w:t>售后服务</w:t>
            </w:r>
            <w:r>
              <w:rPr>
                <w:rFonts w:hint="eastAsia" w:ascii="宋体" w:hAnsi="宋体" w:eastAsia="宋体" w:cs="宋体"/>
                <w:sz w:val="21"/>
                <w:szCs w:val="21"/>
                <w:highlight w:val="none"/>
              </w:rPr>
              <w:t>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sz w:val="21"/>
                <w:szCs w:val="21"/>
                <w:highlight w:val="none"/>
              </w:rPr>
              <w:t>注：</w:t>
            </w:r>
            <w:r>
              <w:rPr>
                <w:rFonts w:hint="eastAsia"/>
                <w:highlight w:val="none"/>
                <w:lang w:val="en-US" w:eastAsia="zh-CN"/>
              </w:rPr>
              <w:t>须提供有效证书复印件并加盖投标人公章，否则不得分。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配送车辆</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投标人每提供一台配送车辆的，得</w:t>
            </w:r>
            <w:r>
              <w:rPr>
                <w:rFonts w:hint="eastAsia" w:asci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分，本项最高得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分，不提供不得分。</w:t>
            </w:r>
          </w:p>
          <w:p>
            <w:pPr>
              <w:pStyle w:val="44"/>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eastAsia="zh-CN"/>
              </w:rPr>
              <w:t>注：（</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）自有车辆</w:t>
            </w:r>
            <w:r>
              <w:rPr>
                <w:rFonts w:hint="eastAsia" w:ascii="宋体" w:hAnsi="宋体" w:eastAsia="宋体" w:cs="宋体"/>
                <w:bCs/>
                <w:color w:val="auto"/>
                <w:sz w:val="21"/>
                <w:szCs w:val="21"/>
                <w:highlight w:val="none"/>
                <w:lang w:val="en-US" w:eastAsia="zh-CN"/>
              </w:rPr>
              <w:t>的，须</w:t>
            </w:r>
            <w:r>
              <w:rPr>
                <w:rFonts w:hint="eastAsia" w:ascii="宋体" w:hAnsi="宋体" w:eastAsia="宋体" w:cs="宋体"/>
                <w:bCs/>
                <w:color w:val="auto"/>
                <w:sz w:val="21"/>
                <w:szCs w:val="21"/>
                <w:highlight w:val="none"/>
                <w:lang w:eastAsia="zh-CN"/>
              </w:rPr>
              <w:t>提供有效</w:t>
            </w:r>
            <w:r>
              <w:rPr>
                <w:rFonts w:hint="eastAsia" w:ascii="宋体" w:eastAsia="宋体" w:cs="宋体"/>
                <w:bCs/>
                <w:color w:val="auto"/>
                <w:sz w:val="21"/>
                <w:szCs w:val="21"/>
                <w:highlight w:val="none"/>
                <w:lang w:val="en-US" w:eastAsia="zh-CN"/>
              </w:rPr>
              <w:t>期内</w:t>
            </w:r>
            <w:r>
              <w:rPr>
                <w:rFonts w:hint="eastAsia" w:ascii="宋体" w:hAnsi="宋体" w:eastAsia="宋体" w:cs="宋体"/>
                <w:bCs/>
                <w:color w:val="auto"/>
                <w:sz w:val="21"/>
                <w:szCs w:val="21"/>
                <w:highlight w:val="none"/>
                <w:lang w:eastAsia="zh-CN"/>
              </w:rPr>
              <w:t>的行驶证复印件、机动车登记证复印件、购买车辆发票复印件加盖投标人公章，不提供不得分。 （</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）租赁车辆</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lang w:eastAsia="zh-CN"/>
              </w:rPr>
              <w:t>提供</w:t>
            </w:r>
            <w:r>
              <w:rPr>
                <w:rFonts w:hint="eastAsia" w:ascii="宋体" w:eastAsia="宋体" w:cs="宋体"/>
                <w:bCs/>
                <w:color w:val="auto"/>
                <w:sz w:val="21"/>
                <w:szCs w:val="21"/>
                <w:highlight w:val="none"/>
              </w:rPr>
              <w:t>有效期内的</w:t>
            </w:r>
            <w:r>
              <w:rPr>
                <w:rFonts w:hint="eastAsia" w:ascii="宋体" w:hAnsi="宋体" w:eastAsia="宋体" w:cs="宋体"/>
                <w:bCs/>
                <w:color w:val="auto"/>
                <w:sz w:val="21"/>
                <w:szCs w:val="21"/>
                <w:highlight w:val="none"/>
                <w:lang w:eastAsia="zh-CN"/>
              </w:rPr>
              <w:t>租赁合同复印件、</w:t>
            </w:r>
            <w:r>
              <w:rPr>
                <w:rFonts w:hint="eastAsia" w:ascii="宋体" w:eastAsia="宋体" w:cs="宋体"/>
                <w:bCs/>
                <w:color w:val="auto"/>
                <w:sz w:val="21"/>
                <w:szCs w:val="21"/>
                <w:highlight w:val="none"/>
              </w:rPr>
              <w:t>租赁车辆有效内的行驶证复印件</w:t>
            </w:r>
            <w:r>
              <w:rPr>
                <w:rFonts w:hint="eastAsia" w:ascii="宋体" w:hAnsi="宋体" w:eastAsia="宋体" w:cs="宋体"/>
                <w:bCs/>
                <w:color w:val="auto"/>
                <w:sz w:val="21"/>
                <w:szCs w:val="21"/>
                <w:highlight w:val="none"/>
                <w:lang w:eastAsia="zh-CN"/>
              </w:rPr>
              <w:t xml:space="preserve">加盖投标人公章，不提供不得分。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项目业绩</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根据</w:t>
            </w:r>
            <w:r>
              <w:rPr>
                <w:rFonts w:hint="eastAsia" w:ascii="宋体" w:hAnsi="宋体" w:eastAsia="宋体" w:cs="宋体"/>
                <w:sz w:val="21"/>
                <w:szCs w:val="21"/>
                <w:highlight w:val="none"/>
              </w:rPr>
              <w:t xml:space="preserve">投标人自2019年1月1日至今 (以合同签署日期为准) </w:t>
            </w:r>
            <w:r>
              <w:rPr>
                <w:rFonts w:hint="eastAsia" w:ascii="宋体" w:hAnsi="宋体" w:eastAsia="宋体" w:cs="宋体"/>
                <w:sz w:val="21"/>
                <w:szCs w:val="21"/>
                <w:highlight w:val="none"/>
                <w:lang w:eastAsia="zh-CN"/>
              </w:rPr>
              <w:t>正在履行或已</w:t>
            </w:r>
            <w:r>
              <w:rPr>
                <w:rFonts w:hint="eastAsia" w:ascii="宋体" w:hAnsi="宋体" w:eastAsia="宋体" w:cs="宋体"/>
                <w:sz w:val="21"/>
                <w:szCs w:val="21"/>
                <w:highlight w:val="none"/>
              </w:rPr>
              <w:t>完成的</w:t>
            </w:r>
            <w:r>
              <w:rPr>
                <w:rFonts w:hint="eastAsia" w:ascii="宋体" w:hAnsi="宋体" w:eastAsia="宋体" w:cs="宋体"/>
                <w:sz w:val="21"/>
                <w:szCs w:val="21"/>
                <w:highlight w:val="none"/>
                <w:lang w:val="en-US" w:eastAsia="zh-CN"/>
              </w:rPr>
              <w:t>食材配送</w:t>
            </w:r>
            <w:r>
              <w:rPr>
                <w:rFonts w:hint="eastAsia" w:ascii="宋体" w:hAnsi="宋体" w:eastAsia="宋体" w:cs="宋体"/>
                <w:sz w:val="21"/>
                <w:szCs w:val="21"/>
                <w:highlight w:val="none"/>
              </w:rPr>
              <w:t>类项目业绩</w:t>
            </w:r>
            <w:r>
              <w:rPr>
                <w:rFonts w:hint="eastAsia" w:ascii="宋体" w:hAnsi="宋体" w:cs="宋体"/>
                <w:sz w:val="21"/>
                <w:szCs w:val="21"/>
                <w:highlight w:val="none"/>
                <w:lang w:val="en-US" w:eastAsia="zh-CN"/>
              </w:rPr>
              <w:t>进行评审</w:t>
            </w:r>
            <w:r>
              <w:rPr>
                <w:rFonts w:hint="eastAsia" w:ascii="宋体" w:hAnsi="宋体" w:eastAsia="宋体" w:cs="宋体"/>
                <w:sz w:val="21"/>
                <w:szCs w:val="21"/>
                <w:highlight w:val="none"/>
              </w:rPr>
              <w:t>，每提供一个得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bCs/>
                <w:color w:val="auto"/>
                <w:sz w:val="21"/>
                <w:szCs w:val="21"/>
                <w:highlight w:val="none"/>
                <w:lang w:eastAsia="zh-CN"/>
              </w:rPr>
              <w:t>本项最高得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sz w:val="21"/>
                <w:szCs w:val="21"/>
                <w:highlight w:val="none"/>
              </w:rPr>
              <w:t>注：以合同签订时间为准，</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提供合同复印件</w:t>
            </w:r>
            <w:r>
              <w:rPr>
                <w:rFonts w:hint="eastAsia" w:ascii="宋体" w:hAnsi="宋体" w:eastAsia="宋体" w:cs="宋体"/>
                <w:sz w:val="21"/>
                <w:szCs w:val="21"/>
                <w:highlight w:val="none"/>
                <w:lang w:val="en-US" w:eastAsia="zh-CN"/>
              </w:rPr>
              <w:t>加盖投标人公章</w:t>
            </w:r>
            <w:r>
              <w:rPr>
                <w:rFonts w:hint="eastAsia" w:ascii="宋体" w:hAnsi="宋体" w:eastAsia="宋体" w:cs="宋体"/>
                <w:sz w:val="21"/>
                <w:szCs w:val="21"/>
                <w:highlight w:val="none"/>
              </w:rPr>
              <w:t>，提供不齐全不得分。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服务便利性</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5</w:t>
            </w:r>
          </w:p>
        </w:tc>
        <w:tc>
          <w:tcPr>
            <w:tcW w:w="5463" w:type="dxa"/>
            <w:tcBorders>
              <w:top w:val="single" w:color="auto" w:sz="4" w:space="0"/>
              <w:left w:val="single" w:color="auto" w:sz="4" w:space="0"/>
              <w:bottom w:val="single" w:color="auto" w:sz="4" w:space="0"/>
              <w:right w:val="single" w:color="auto" w:sz="4" w:space="0"/>
            </w:tcBorders>
            <w:noWrap w:val="0"/>
            <w:vAlign w:val="top"/>
          </w:tcPr>
          <w:p>
            <w:pPr>
              <w:pStyle w:val="44"/>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根据投标人提供的服务响应时间承诺进行评分。</w:t>
            </w:r>
          </w:p>
          <w:p>
            <w:pPr>
              <w:pStyle w:val="44"/>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投标人承诺在接到采购人通知后1小时（含）内到现场，得5分；</w:t>
            </w:r>
          </w:p>
          <w:p>
            <w:pPr>
              <w:pStyle w:val="44"/>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投标人承诺在接到采购人通知后2小时（含）内到现场，得3分；</w:t>
            </w:r>
          </w:p>
          <w:p>
            <w:pPr>
              <w:pStyle w:val="44"/>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投标人承诺在接到采购人通知后4小时（含）内到现场，得1分；</w:t>
            </w:r>
          </w:p>
          <w:p>
            <w:pPr>
              <w:pStyle w:val="44"/>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投标人未承诺或其他情况，不得分。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拟派人员</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投标人为本项目配置服务人员中，具有食品安全管理员证或食品检验</w:t>
            </w:r>
            <w:r>
              <w:rPr>
                <w:rFonts w:hint="default" w:ascii="宋体" w:hAnsi="宋体" w:eastAsia="宋体" w:cs="宋体"/>
                <w:sz w:val="21"/>
                <w:szCs w:val="21"/>
                <w:highlight w:val="none"/>
                <w:lang w:val="en-US" w:eastAsia="zh-CN"/>
              </w:rPr>
              <w:t>相关</w:t>
            </w:r>
            <w:r>
              <w:rPr>
                <w:rFonts w:hint="eastAsia" w:ascii="宋体" w:hAnsi="宋体" w:eastAsia="宋体" w:cs="宋体"/>
                <w:sz w:val="21"/>
                <w:szCs w:val="21"/>
                <w:highlight w:val="none"/>
                <w:lang w:val="en-US" w:eastAsia="zh-CN"/>
              </w:rPr>
              <w:t>证书的情况，每提供一个证书得1分，本项最高得2分。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sz w:val="21"/>
                <w:szCs w:val="21"/>
                <w:highlight w:val="none"/>
                <w:lang w:val="en-US" w:eastAsia="zh-CN"/>
              </w:rPr>
              <w:t>注：须提供有效期内的食品安全管理员证或食品检验相关证书复印件加盖投标人公章，不提供或提供不全不得分。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55分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食品配送服务方案</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对各投标人食品配送服务方案进行评审： </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1、对本项目需求理解清晰、明确，服务方案完全符合本项目服务内容，人员、资源配置合理、可行，得10分； </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2、对本项目需求理解较为清晰，服务方案较符合本项目服务内容，人员、资源配置较合理、可行，得6分；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3、对本项目需求理解基本清晰，服务方案基本符合本项目服务内容，人员、资源配置基本可行，得3分；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4、对本项目需求理解一般，服务方案一般，人员、资源配置一般，得1分；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5、对本项目需求理解差，服务方案不符合本项目服务，内容内容人员、资源配置差，得0分。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519" w:type="dxa"/>
            <w:tcBorders>
              <w:top w:val="single" w:color="auto" w:sz="4" w:space="0"/>
              <w:left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管理制度</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对各投标人提供的人员管理、卫生管理、安全管理、物资管理、出品管理、价格管理、服务管理等制度进行评审：</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1、内部各项管理制度健全、规范、科学，得10分；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2、内部各项管理制度较健全、较规范，得6分；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3、内部各项管理制度基本健全、基本符合项目要求，得2分；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4、内部各项管理制度较差、不规范、不科学，得0分。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突发事件处理预案及措施</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根据投标人针对突发事件应急预案及措施（包含但不限于自然灾害预案、因食物中毒或者其他食源性疾患、采购人临时增加订单、以及因交通、天气等原因不能按时送达配餐等突发事件的应急预案等）进行评审：</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1、应急预案详细完整，针对性强，可行性高，得10分；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2、应急预案较完整，针对性较强，可行性较高，得6分；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3、应急预案一般，针对性、可行性一般的，得2分； </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4、提供的应急方案差，针对性、可行性差的，得0分；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售后服务情况</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对各投标人</w:t>
            </w:r>
            <w:r>
              <w:rPr>
                <w:rFonts w:hint="eastAsia" w:ascii="宋体" w:hAnsi="宋体" w:eastAsia="宋体" w:cs="宋体"/>
                <w:color w:val="auto"/>
                <w:kern w:val="2"/>
                <w:sz w:val="21"/>
                <w:szCs w:val="21"/>
                <w:highlight w:val="none"/>
                <w:lang w:val="en-US" w:eastAsia="zh-CN" w:bidi="ar-SA"/>
              </w:rPr>
              <w:t>售后服务情况</w:t>
            </w:r>
            <w:r>
              <w:rPr>
                <w:rFonts w:hint="eastAsia" w:ascii="宋体" w:hAnsi="宋体" w:eastAsia="宋体" w:cs="宋体"/>
                <w:sz w:val="21"/>
                <w:szCs w:val="21"/>
                <w:highlight w:val="none"/>
                <w:lang w:val="en-US" w:eastAsia="zh-CN"/>
              </w:rPr>
              <w:t xml:space="preserve">进行评审： </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1、投标人配送服务点设置合理，备货供货能力强，响应时间快，得10分；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2、投标人配送服务点设置较合理，备货供货能力较强，响应时间较快，得6分；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3、投标人配送服务点设置一般，备货供货能力一般，响应时间一般，得2分；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投标人配送服务点设置不合理，备货供货能力差，响应时间慢，得0分；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食品质量安全保障方案</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对各投标人的货物的来源、采购、检验、加工、储存、运输各环节的质量管理及保障措施进行评审：</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1、食品质量安全保障方案非常合理，服务人员具有健康证明，验收方案科学、可行性强，完全符合项目要求，得10分；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2、食品质量安全保障方案较合理，验收方案较科学、可行性较强，基本符合项目要求，得6分；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3、食品质量安全保障方案一般，验收方案基本合理、可行性一般，得2分；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4、食品质量安全保障方案差，验收方案不合理、可行性差，得0分。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内部管理方案</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根据投标人提供的内部管理方案（包括但不限于管理目标要求、管理质量、内部监督和服务要求等）进行评审：</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1、内部管理方案详细具体、可行性高的，得5分；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2、内部管理方案较详细具体、可行性较高的，得3分；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3、内部管理方案基本详细具体、基本可行的，得2分；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4、内部管理方案不详细具体、可行性较低的，得1分；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5、不提供相关表述不得分。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 xml:space="preserve"> 10分</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13"/>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6"/>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7"/>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pPr>
        <w:pStyle w:val="8"/>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1530"/>
      <w:bookmarkStart w:id="31" w:name="_Toc298847174"/>
      <w:bookmarkStart w:id="32" w:name="_Toc382049092"/>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7"/>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8"/>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8"/>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7"/>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8"/>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65" w:name="_Toc7728"/>
      <w:bookmarkStart w:id="66" w:name="_Toc28866"/>
      <w:bookmarkStart w:id="67" w:name="_Toc382049103"/>
      <w:bookmarkStart w:id="68" w:name="_Toc18999"/>
      <w:bookmarkStart w:id="69" w:name="_Toc12145"/>
      <w:bookmarkStart w:id="70" w:name="_Toc307934854"/>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8"/>
        <w:widowControl w:val="0"/>
        <w:overflowPunct w:val="0"/>
        <w:rPr>
          <w:rFonts w:ascii="宋体" w:hAnsi="宋体"/>
          <w:color w:val="auto"/>
          <w:sz w:val="21"/>
          <w:szCs w:val="21"/>
          <w:highlight w:val="none"/>
        </w:rPr>
      </w:pPr>
      <w:bookmarkStart w:id="72" w:name="_Toc3882"/>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41"/>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8"/>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8"/>
        <w:widowControl w:val="0"/>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1"/>
        <w:widowControl w:val="0"/>
        <w:adjustRightInd/>
        <w:snapToGrid/>
        <w:ind w:left="425" w:firstLine="0" w:firstLineChars="0"/>
        <w:jc w:val="both"/>
        <w:rPr>
          <w:color w:val="auto"/>
          <w:highlight w:val="none"/>
        </w:rPr>
      </w:pPr>
    </w:p>
    <w:p>
      <w:pPr>
        <w:pStyle w:val="8"/>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1"/>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7"/>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8"/>
        <w:widowControl w:val="0"/>
        <w:overflowPunct w:val="0"/>
        <w:rPr>
          <w:rFonts w:ascii="宋体" w:hAnsi="宋体"/>
          <w:color w:val="auto"/>
          <w:sz w:val="21"/>
          <w:szCs w:val="21"/>
          <w:highlight w:val="none"/>
        </w:rPr>
      </w:pPr>
      <w:bookmarkStart w:id="94" w:name="_Toc382049111"/>
      <w:bookmarkStart w:id="95" w:name="_Toc473"/>
      <w:bookmarkStart w:id="96" w:name="_Toc29590"/>
      <w:bookmarkStart w:id="97" w:name="_Toc303084264"/>
      <w:bookmarkStart w:id="98" w:name="_Toc24997"/>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00" w:name="_Toc7473"/>
      <w:bookmarkStart w:id="101" w:name="_Toc17417"/>
      <w:bookmarkStart w:id="102" w:name="_Toc8628"/>
      <w:r>
        <w:rPr>
          <w:rFonts w:hint="eastAsia" w:ascii="宋体" w:hAnsi="宋体"/>
          <w:color w:val="auto"/>
          <w:sz w:val="21"/>
          <w:szCs w:val="21"/>
          <w:highlight w:val="none"/>
        </w:rPr>
        <w:t>18.迟交的投标文件</w:t>
      </w:r>
      <w:bookmarkEnd w:id="100"/>
      <w:bookmarkEnd w:id="101"/>
      <w:bookmarkEnd w:id="102"/>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8"/>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8"/>
        <w:widowControl w:val="0"/>
        <w:overflowPunct w:val="0"/>
        <w:rPr>
          <w:rFonts w:ascii="宋体" w:hAnsi="宋体"/>
          <w:color w:val="auto"/>
          <w:sz w:val="21"/>
          <w:szCs w:val="21"/>
          <w:highlight w:val="none"/>
        </w:rPr>
      </w:pPr>
      <w:bookmarkStart w:id="106" w:name="_Toc23477"/>
      <w:bookmarkStart w:id="107" w:name="_Toc9777"/>
      <w:bookmarkStart w:id="108" w:name="_Toc382049112"/>
      <w:bookmarkStart w:id="109" w:name="_Toc303084265"/>
      <w:bookmarkStart w:id="110" w:name="_Toc7689"/>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8"/>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3"/>
        <w:rPr>
          <w:color w:val="auto"/>
          <w:highlight w:val="none"/>
        </w:rPr>
      </w:pPr>
    </w:p>
    <w:p>
      <w:pPr>
        <w:pStyle w:val="7"/>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8"/>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w:t>
      </w:r>
      <w:r>
        <w:rPr>
          <w:rFonts w:hint="eastAsia" w:ascii="宋体" w:hAnsi="宋体"/>
          <w:color w:val="auto"/>
          <w:szCs w:val="21"/>
          <w:highlight w:val="none"/>
          <w:lang w:val="en-US" w:eastAsia="zh-CN"/>
        </w:rPr>
        <w:t>按</w:t>
      </w:r>
      <w:r>
        <w:rPr>
          <w:rFonts w:hint="eastAsia" w:ascii="宋体" w:hAnsi="宋体"/>
          <w:color w:val="auto"/>
          <w:szCs w:val="21"/>
          <w:highlight w:val="none"/>
        </w:rPr>
        <w:t>评标总得分</w:t>
      </w:r>
      <w:r>
        <w:rPr>
          <w:rFonts w:hint="eastAsia" w:ascii="宋体" w:hAnsi="宋体" w:eastAsia="宋体" w:cs="宋体"/>
          <w:color w:val="auto"/>
          <w:sz w:val="21"/>
          <w:szCs w:val="21"/>
          <w:highlight w:val="none"/>
        </w:rPr>
        <w:t>由高到低顺序排列</w:t>
      </w:r>
      <w:r>
        <w:rPr>
          <w:rFonts w:hint="eastAsia" w:ascii="宋体" w:hAnsi="宋体"/>
          <w:color w:val="auto"/>
          <w:szCs w:val="21"/>
          <w:highlight w:val="none"/>
          <w:lang w:val="en-US" w:eastAsia="zh-CN"/>
        </w:rPr>
        <w:t>推荐</w:t>
      </w:r>
      <w:r>
        <w:rPr>
          <w:rFonts w:hint="eastAsia" w:ascii="宋体" w:hAnsi="宋体"/>
          <w:color w:val="auto"/>
          <w:szCs w:val="21"/>
          <w:highlight w:val="none"/>
        </w:rPr>
        <w:t>中标候选人。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24" w:name="_Toc32730"/>
      <w:bookmarkStart w:id="125" w:name="_Toc15231"/>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8"/>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8"/>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val="en-US" w:eastAsia="zh-CN"/>
        </w:rPr>
        <w:t>工业</w:t>
      </w:r>
      <w:r>
        <w:rPr>
          <w:rFonts w:hint="eastAsia" w:ascii="宋体" w:hAnsi="宋体"/>
          <w:color w:val="auto"/>
          <w:szCs w:val="21"/>
          <w:highlight w:val="none"/>
          <w:lang w:eastAsia="zh-CN"/>
        </w:rPr>
        <w:t>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val="en-US"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val="en-US"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36" w:name="_Toc316375620"/>
      <w:bookmarkStart w:id="137" w:name="_Toc12115"/>
      <w:bookmarkStart w:id="138" w:name="_Toc382049120"/>
      <w:bookmarkStart w:id="139" w:name="_Toc31141"/>
      <w:bookmarkStart w:id="140" w:name="_Toc20328"/>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7"/>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8"/>
        <w:widowControl w:val="0"/>
        <w:overflowPunct w:val="0"/>
        <w:rPr>
          <w:rFonts w:ascii="宋体" w:hAnsi="宋体"/>
          <w:color w:val="auto"/>
          <w:sz w:val="21"/>
          <w:szCs w:val="21"/>
          <w:highlight w:val="none"/>
        </w:rPr>
      </w:pPr>
      <w:bookmarkStart w:id="145" w:name="_Toc6696"/>
      <w:bookmarkStart w:id="146" w:name="_Toc508284011"/>
      <w:bookmarkStart w:id="147" w:name="_Toc17778"/>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8"/>
        <w:widowControl w:val="0"/>
        <w:overflowPunct w:val="0"/>
        <w:rPr>
          <w:rFonts w:ascii="宋体" w:hAnsi="宋体"/>
          <w:color w:val="auto"/>
          <w:sz w:val="21"/>
          <w:szCs w:val="21"/>
          <w:highlight w:val="none"/>
        </w:rPr>
      </w:pPr>
      <w:bookmarkStart w:id="149" w:name="_Toc508284013"/>
      <w:bookmarkStart w:id="150" w:name="_Toc23136"/>
      <w:bookmarkStart w:id="151" w:name="_Toc29283"/>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8"/>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8"/>
        <w:widowControl w:val="0"/>
        <w:overflowPunct w:val="0"/>
        <w:rPr>
          <w:rFonts w:ascii="宋体" w:hAnsi="宋体"/>
          <w:color w:val="auto"/>
          <w:sz w:val="21"/>
          <w:szCs w:val="21"/>
          <w:highlight w:val="none"/>
        </w:rPr>
      </w:pPr>
      <w:bookmarkStart w:id="156" w:name="_Toc303084277"/>
      <w:bookmarkStart w:id="157" w:name="_Toc2744"/>
      <w:bookmarkStart w:id="158" w:name="_Toc382049124"/>
      <w:bookmarkStart w:id="159" w:name="_Toc7405"/>
      <w:bookmarkStart w:id="160" w:name="_Toc29009"/>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7"/>
        <w:spacing w:line="480" w:lineRule="auto"/>
        <w:jc w:val="center"/>
        <w:rPr>
          <w:rFonts w:ascii="宋体" w:hAnsi="宋体"/>
          <w:color w:val="auto"/>
          <w:highlight w:val="none"/>
        </w:rPr>
      </w:pPr>
      <w:bookmarkStart w:id="162" w:name="_Toc20699"/>
      <w:bookmarkStart w:id="163" w:name="_Toc7360"/>
      <w:bookmarkStart w:id="164" w:name="_Toc13694"/>
      <w:r>
        <w:rPr>
          <w:rFonts w:hint="eastAsia" w:ascii="宋体" w:hAnsi="宋体"/>
          <w:color w:val="auto"/>
          <w:highlight w:val="none"/>
        </w:rPr>
        <w:t>第七章询问或质疑</w:t>
      </w:r>
      <w:bookmarkEnd w:id="162"/>
      <w:bookmarkEnd w:id="163"/>
      <w:bookmarkEnd w:id="164"/>
    </w:p>
    <w:p>
      <w:pPr>
        <w:pStyle w:val="8"/>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7"/>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8"/>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6"/>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7"/>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80"/>
        <w:tblW w:w="868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497"/>
        <w:gridCol w:w="6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30" w:type="dxa"/>
            <w:tcBorders>
              <w:top w:val="single" w:color="000000" w:sz="10" w:space="0"/>
              <w:lef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221"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spacing w:val="-2"/>
                <w:sz w:val="21"/>
                <w:szCs w:val="21"/>
                <w:highlight w:val="none"/>
              </w:rPr>
              <w:t>序号</w:t>
            </w:r>
          </w:p>
        </w:tc>
        <w:tc>
          <w:tcPr>
            <w:tcW w:w="1497" w:type="dxa"/>
            <w:tcBorders>
              <w:top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spacing w:val="-2"/>
                <w:sz w:val="21"/>
                <w:szCs w:val="21"/>
                <w:highlight w:val="none"/>
              </w:rPr>
              <w:t>条款名称</w:t>
            </w:r>
          </w:p>
        </w:tc>
        <w:tc>
          <w:tcPr>
            <w:tcW w:w="6461" w:type="dxa"/>
            <w:tcBorders>
              <w:top w:val="single" w:color="000000" w:sz="10" w:space="0"/>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spacing w:val="-6"/>
                <w:sz w:val="21"/>
                <w:szCs w:val="21"/>
                <w:highlight w:val="none"/>
              </w:rPr>
              <w:t>说</w:t>
            </w:r>
            <w:r>
              <w:rPr>
                <w:rFonts w:hint="eastAsia" w:ascii="宋体" w:hAnsi="宋体" w:eastAsia="宋体" w:cs="宋体"/>
                <w:b/>
                <w:bCs/>
                <w:spacing w:val="14"/>
                <w:sz w:val="21"/>
                <w:szCs w:val="21"/>
                <w:highlight w:val="none"/>
              </w:rPr>
              <w:t xml:space="preserve">  </w:t>
            </w:r>
            <w:r>
              <w:rPr>
                <w:rFonts w:hint="eastAsia" w:ascii="宋体" w:hAnsi="宋体" w:eastAsia="宋体" w:cs="宋体"/>
                <w:b/>
                <w:bCs/>
                <w:spacing w:val="-6"/>
                <w:sz w:val="21"/>
                <w:szCs w:val="21"/>
                <w:highlight w:val="none"/>
              </w:rPr>
              <w:t>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4"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服务期</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56" w:firstLineChars="200"/>
              <w:textAlignment w:val="auto"/>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签订合同生效之日起</w:t>
            </w:r>
            <w:r>
              <w:rPr>
                <w:rFonts w:hint="eastAsia" w:cs="宋体"/>
                <w:spacing w:val="-16"/>
                <w:sz w:val="21"/>
                <w:szCs w:val="21"/>
                <w:highlight w:val="none"/>
                <w:lang w:val="en-US" w:eastAsia="zh-CN"/>
              </w:rPr>
              <w:t>二</w:t>
            </w:r>
            <w:r>
              <w:rPr>
                <w:rFonts w:hint="eastAsia" w:ascii="宋体" w:hAnsi="宋体" w:eastAsia="宋体" w:cs="宋体"/>
                <w:spacing w:val="-16"/>
                <w:sz w:val="21"/>
                <w:szCs w:val="21"/>
                <w:highlight w:val="none"/>
              </w:rPr>
              <w:t>年</w:t>
            </w:r>
            <w:r>
              <w:rPr>
                <w:rFonts w:hint="eastAsia" w:cs="宋体"/>
                <w:b w:val="0"/>
                <w:bCs w:val="0"/>
                <w:spacing w:val="1"/>
                <w:sz w:val="21"/>
                <w:szCs w:val="21"/>
                <w:highlight w:val="none"/>
                <w:lang w:eastAsia="zh-CN"/>
              </w:rPr>
              <w:t>（</w:t>
            </w:r>
            <w:r>
              <w:rPr>
                <w:rFonts w:hint="eastAsia" w:ascii="宋体" w:hAnsi="宋体" w:eastAsia="宋体" w:cs="宋体"/>
                <w:b w:val="0"/>
                <w:bCs w:val="0"/>
                <w:color w:val="auto"/>
                <w:sz w:val="21"/>
                <w:szCs w:val="21"/>
                <w:highlight w:val="none"/>
                <w:lang w:val="en-US" w:eastAsia="zh-CN" w:bidi="zh-CN"/>
              </w:rPr>
              <w:t>合同签订采用“1+1”的形式签订，即首次签订合同为一年期，后续签订一年期的合同</w:t>
            </w:r>
            <w:r>
              <w:rPr>
                <w:rFonts w:hint="eastAsia" w:ascii="宋体" w:hAnsi="宋体" w:eastAsia="宋体"/>
                <w:b w:val="0"/>
                <w:bCs w:val="0"/>
                <w:color w:val="auto"/>
                <w:szCs w:val="21"/>
                <w:highlight w:val="none"/>
                <w:lang w:eastAsia="zh-CN"/>
              </w:rPr>
              <w:t>）</w:t>
            </w:r>
            <w:r>
              <w:rPr>
                <w:rFonts w:hint="eastAsia" w:ascii="宋体" w:hAnsi="宋体" w:eastAsia="宋体" w:cs="宋体"/>
                <w:spacing w:val="-16"/>
                <w:sz w:val="21"/>
                <w:szCs w:val="21"/>
                <w:highlight w:val="none"/>
              </w:rPr>
              <w:t>。本项目分若干次供货， 每次供货量及时间由采购人指定。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服务地点</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采购人指定地点（如有变化另行确定）。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5"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497" w:type="dxa"/>
            <w:vAlign w:val="center"/>
          </w:tcPr>
          <w:p>
            <w:pPr>
              <w:keepNext w:val="0"/>
              <w:keepLines w:val="0"/>
              <w:pageBreakBefore w:val="0"/>
              <w:widowControl/>
              <w:kinsoku/>
              <w:wordWrap/>
              <w:overflowPunct/>
              <w:topLinePunct w:val="0"/>
              <w:autoSpaceDE/>
              <w:autoSpaceDN/>
              <w:bidi w:val="0"/>
              <w:adjustRightInd w:val="0"/>
              <w:snapToGrid w:val="0"/>
              <w:spacing w:line="264" w:lineRule="auto"/>
              <w:ind w:left="0" w:right="0"/>
              <w:jc w:val="both"/>
              <w:textAlignment w:val="auto"/>
              <w:rPr>
                <w:rFonts w:hint="eastAsia" w:ascii="宋体" w:hAnsi="宋体" w:eastAsia="宋体" w:cs="宋体"/>
                <w:sz w:val="21"/>
                <w:szCs w:val="21"/>
                <w:highlight w:val="none"/>
              </w:rPr>
            </w:pPr>
          </w:p>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付款方式</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56" w:firstLineChars="200"/>
              <w:textAlignment w:val="auto"/>
              <w:rPr>
                <w:rFonts w:hint="eastAsia" w:ascii="宋体" w:hAnsi="宋体" w:eastAsia="宋体" w:cs="宋体"/>
                <w:sz w:val="21"/>
                <w:szCs w:val="21"/>
                <w:highlight w:val="none"/>
              </w:rPr>
            </w:pPr>
            <w:r>
              <w:rPr>
                <w:rFonts w:hint="eastAsia" w:ascii="宋体" w:hAnsi="宋体" w:eastAsia="宋体" w:cs="宋体"/>
                <w:spacing w:val="-16"/>
                <w:sz w:val="21"/>
                <w:szCs w:val="21"/>
                <w:highlight w:val="none"/>
              </w:rPr>
              <w:t>1、按月结算费用</w:t>
            </w:r>
            <w:r>
              <w:rPr>
                <w:rFonts w:hint="eastAsia" w:cs="宋体"/>
                <w:spacing w:val="-16"/>
                <w:sz w:val="21"/>
                <w:szCs w:val="21"/>
                <w:highlight w:val="none"/>
                <w:lang w:eastAsia="zh-CN"/>
              </w:rPr>
              <w:t>，</w:t>
            </w:r>
            <w:r>
              <w:rPr>
                <w:rFonts w:hint="eastAsia" w:ascii="宋体" w:hAnsi="宋体" w:eastAsia="宋体" w:cs="宋体"/>
                <w:spacing w:val="-4"/>
                <w:sz w:val="21"/>
                <w:szCs w:val="21"/>
                <w:highlight w:val="none"/>
              </w:rPr>
              <w:t>中标人每月</w:t>
            </w:r>
            <w:r>
              <w:rPr>
                <w:rFonts w:hint="eastAsia" w:ascii="宋体" w:hAnsi="宋体" w:eastAsia="宋体" w:cs="宋体"/>
                <w:spacing w:val="-42"/>
                <w:sz w:val="21"/>
                <w:szCs w:val="21"/>
                <w:highlight w:val="none"/>
              </w:rPr>
              <w:t xml:space="preserve"> </w:t>
            </w:r>
            <w:r>
              <w:rPr>
                <w:rFonts w:hint="eastAsia" w:ascii="宋体" w:hAnsi="宋体" w:eastAsia="宋体" w:cs="宋体"/>
                <w:spacing w:val="-4"/>
                <w:sz w:val="21"/>
                <w:szCs w:val="21"/>
                <w:highlight w:val="none"/>
              </w:rPr>
              <w:t>5号前根据上月的收货凭证与采购</w:t>
            </w:r>
            <w:r>
              <w:rPr>
                <w:rFonts w:hint="eastAsia" w:ascii="宋体" w:hAnsi="宋体" w:eastAsia="宋体" w:cs="宋体"/>
                <w:spacing w:val="-5"/>
                <w:sz w:val="21"/>
                <w:szCs w:val="21"/>
                <w:highlight w:val="none"/>
              </w:rPr>
              <w:t>人对上月货款进行确认，并向采购人提出付款申请及开具相应数额的含税发票。</w:t>
            </w:r>
            <w:r>
              <w:rPr>
                <w:rFonts w:hint="eastAsia" w:ascii="宋体" w:hAnsi="宋体" w:eastAsia="宋体" w:cs="宋体"/>
                <w:spacing w:val="-31"/>
                <w:sz w:val="21"/>
                <w:szCs w:val="21"/>
                <w:highlight w:val="none"/>
              </w:rPr>
              <w:t xml:space="preserve"> </w:t>
            </w:r>
            <w:r>
              <w:rPr>
                <w:rFonts w:hint="eastAsia" w:ascii="宋体" w:hAnsi="宋体" w:eastAsia="宋体" w:cs="宋体"/>
                <w:spacing w:val="-5"/>
                <w:sz w:val="21"/>
                <w:szCs w:val="21"/>
                <w:highlight w:val="none"/>
              </w:rPr>
              <w:t>采购人应在收</w:t>
            </w:r>
            <w:r>
              <w:rPr>
                <w:rFonts w:hint="eastAsia" w:ascii="宋体" w:hAnsi="宋体" w:eastAsia="宋体" w:cs="宋体"/>
                <w:spacing w:val="-6"/>
                <w:sz w:val="21"/>
                <w:szCs w:val="21"/>
                <w:highlight w:val="none"/>
              </w:rPr>
              <w:t>到中标人发票后的5 日内支付上月的货款，并以银行转账方式将货款一</w:t>
            </w:r>
            <w:r>
              <w:rPr>
                <w:rFonts w:hint="eastAsia" w:ascii="宋体" w:hAnsi="宋体" w:eastAsia="宋体" w:cs="宋体"/>
                <w:spacing w:val="-3"/>
                <w:sz w:val="21"/>
                <w:szCs w:val="21"/>
                <w:highlight w:val="none"/>
              </w:rPr>
              <w:t>次性全额转入中标人书面指定的银行账户【其中：货品结算价格=经采</w:t>
            </w:r>
          </w:p>
          <w:p>
            <w:pPr>
              <w:pStyle w:val="79"/>
              <w:keepNext w:val="0"/>
              <w:keepLines w:val="0"/>
              <w:pageBreakBefore w:val="0"/>
              <w:widowControl/>
              <w:kinsoku/>
              <w:wordWrap/>
              <w:overflowPunct/>
              <w:topLinePunct w:val="0"/>
              <w:autoSpaceDE/>
              <w:autoSpaceDN/>
              <w:bidi w:val="0"/>
              <w:adjustRightInd w:val="0"/>
              <w:snapToGrid w:val="0"/>
              <w:spacing w:line="360" w:lineRule="auto"/>
              <w:ind w:right="0"/>
              <w:textAlignment w:val="auto"/>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购人核定确认的基准价×（1-中标下浮率）】。</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400" w:firstLineChars="200"/>
              <w:textAlignment w:val="auto"/>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 xml:space="preserve">2、收款方、发票的销售方、合同乙方均必须与中标人名称一致。 </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3、因特殊原因需要提早或延迟结算的，经采购人</w:t>
            </w:r>
            <w:r>
              <w:rPr>
                <w:rFonts w:hint="eastAsia" w:ascii="宋体" w:hAnsi="宋体" w:eastAsia="宋体" w:cs="宋体"/>
                <w:spacing w:val="-3"/>
                <w:sz w:val="21"/>
                <w:szCs w:val="21"/>
                <w:highlight w:val="none"/>
              </w:rPr>
              <w:t>和中标人双方协商一</w:t>
            </w:r>
            <w:r>
              <w:rPr>
                <w:rFonts w:hint="eastAsia" w:ascii="宋体" w:hAnsi="宋体" w:eastAsia="宋体" w:cs="宋体"/>
                <w:spacing w:val="-8"/>
                <w:sz w:val="21"/>
                <w:szCs w:val="21"/>
                <w:highlight w:val="none"/>
              </w:rPr>
              <w:t>致后执行。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5"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验收要求</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（1）中标人所供应的货品需要符合国家、广东省和东莞市的相 </w:t>
            </w:r>
            <w:r>
              <w:rPr>
                <w:rFonts w:hint="eastAsia" w:ascii="宋体" w:hAnsi="宋体" w:eastAsia="宋体" w:cs="宋体"/>
                <w:spacing w:val="-12"/>
                <w:sz w:val="21"/>
                <w:szCs w:val="21"/>
                <w:highlight w:val="none"/>
              </w:rPr>
              <w:t>关安全质量标准、卫生标准等，同时符合采购人</w:t>
            </w:r>
            <w:r>
              <w:rPr>
                <w:rFonts w:hint="eastAsia" w:ascii="宋体" w:hAnsi="宋体" w:eastAsia="宋体" w:cs="宋体"/>
                <w:spacing w:val="-13"/>
                <w:sz w:val="21"/>
                <w:szCs w:val="21"/>
                <w:highlight w:val="none"/>
              </w:rPr>
              <w:t>的使用要求，包括但</w:t>
            </w:r>
            <w:r>
              <w:rPr>
                <w:rFonts w:hint="eastAsia" w:ascii="宋体" w:hAnsi="宋体" w:eastAsia="宋体" w:cs="宋体"/>
                <w:spacing w:val="-2"/>
                <w:sz w:val="21"/>
                <w:szCs w:val="21"/>
                <w:highlight w:val="none"/>
              </w:rPr>
              <w:t>不限于各类所列的货品质量要求。中标人在接受订单时需要确认采购</w:t>
            </w:r>
            <w:r>
              <w:rPr>
                <w:rFonts w:hint="eastAsia" w:ascii="宋体" w:hAnsi="宋体" w:eastAsia="宋体" w:cs="宋体"/>
                <w:spacing w:val="-11"/>
                <w:sz w:val="21"/>
                <w:szCs w:val="21"/>
                <w:highlight w:val="none"/>
              </w:rPr>
              <w:t>人对货品的使用要求，对于不符合采购人要求的货品，采购人有权拒</w:t>
            </w:r>
            <w:r>
              <w:rPr>
                <w:rFonts w:hint="eastAsia" w:ascii="宋体" w:hAnsi="宋体" w:eastAsia="宋体" w:cs="宋体"/>
                <w:spacing w:val="-6"/>
                <w:sz w:val="21"/>
                <w:szCs w:val="21"/>
                <w:highlight w:val="none"/>
              </w:rPr>
              <w:t>收或要求更换。</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416" w:firstLineChars="200"/>
              <w:jc w:val="both"/>
              <w:textAlignment w:val="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（2）退（补）货流程：对不符合采购要求的食材由验收人员提</w:t>
            </w:r>
            <w:r>
              <w:rPr>
                <w:rFonts w:hint="eastAsia" w:ascii="宋体" w:hAnsi="宋体" w:eastAsia="宋体" w:cs="宋体"/>
                <w:spacing w:val="4"/>
                <w:sz w:val="21"/>
                <w:szCs w:val="21"/>
                <w:highlight w:val="none"/>
              </w:rPr>
              <w:t xml:space="preserve"> </w:t>
            </w:r>
            <w:r>
              <w:rPr>
                <w:rFonts w:hint="eastAsia" w:ascii="宋体" w:hAnsi="宋体" w:eastAsia="宋体" w:cs="宋体"/>
                <w:spacing w:val="-10"/>
                <w:sz w:val="21"/>
                <w:szCs w:val="21"/>
                <w:highlight w:val="none"/>
              </w:rPr>
              <w:t>出清退，退货前应实行留板备案，如双方对质量争议可送国家质监部</w:t>
            </w:r>
            <w:r>
              <w:rPr>
                <w:rFonts w:hint="eastAsia" w:ascii="宋体" w:hAnsi="宋体" w:eastAsia="宋体" w:cs="宋体"/>
                <w:spacing w:val="-7"/>
                <w:sz w:val="21"/>
                <w:szCs w:val="21"/>
                <w:highlight w:val="none"/>
              </w:rPr>
              <w:t>门检测。对缺斤短两（或含水量超标）的应按实际重量扣减。出现退</w:t>
            </w:r>
            <w:r>
              <w:rPr>
                <w:rFonts w:hint="eastAsia" w:ascii="宋体" w:hAnsi="宋体" w:eastAsia="宋体" w:cs="宋体"/>
                <w:spacing w:val="-13"/>
                <w:sz w:val="21"/>
                <w:szCs w:val="21"/>
                <w:highlight w:val="none"/>
              </w:rPr>
              <w:t>（补）</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货情况，应及时报告。在退货过程中，对有碍公共卫生安全的</w:t>
            </w:r>
            <w:r>
              <w:rPr>
                <w:rFonts w:hint="eastAsia" w:ascii="宋体" w:hAnsi="宋体" w:eastAsia="宋体" w:cs="宋体"/>
                <w:sz w:val="21"/>
                <w:szCs w:val="21"/>
                <w:highlight w:val="none"/>
              </w:rPr>
              <w:t xml:space="preserve"> </w:t>
            </w:r>
            <w:r>
              <w:rPr>
                <w:rFonts w:hint="eastAsia" w:ascii="宋体" w:hAnsi="宋体" w:eastAsia="宋体" w:cs="宋体"/>
                <w:spacing w:val="-9"/>
                <w:sz w:val="21"/>
                <w:szCs w:val="21"/>
                <w:highlight w:val="none"/>
              </w:rPr>
              <w:t>蔬菜，应按国家有关规定处理或进行协议销毁，</w:t>
            </w:r>
            <w:r>
              <w:rPr>
                <w:rFonts w:hint="eastAsia" w:ascii="宋体" w:hAnsi="宋体" w:eastAsia="宋体" w:cs="宋体"/>
                <w:spacing w:val="-10"/>
                <w:sz w:val="21"/>
                <w:szCs w:val="21"/>
                <w:highlight w:val="none"/>
              </w:rPr>
              <w:t>所产生的费用经济法</w:t>
            </w:r>
            <w:r>
              <w:rPr>
                <w:rFonts w:hint="eastAsia" w:ascii="宋体" w:hAnsi="宋体" w:eastAsia="宋体" w:cs="宋体"/>
                <w:spacing w:val="-3"/>
                <w:sz w:val="21"/>
                <w:szCs w:val="21"/>
                <w:highlight w:val="none"/>
              </w:rPr>
              <w:t>律责任由中标人自行承担。</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（3）验收记录：每次采购的食材都要登记记录，注明名称、数量等事项并在采购登记记录上签明意见和验收人的名字及日期。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★报价方式</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（1）本项目采用下浮率报价，报价范围：0%-100%，投标下浮</w:t>
            </w:r>
            <w:r>
              <w:rPr>
                <w:rFonts w:hint="eastAsia" w:ascii="宋体" w:hAnsi="宋体" w:eastAsia="宋体" w:cs="宋体"/>
                <w:spacing w:val="-2"/>
                <w:sz w:val="21"/>
                <w:szCs w:val="21"/>
                <w:highlight w:val="none"/>
              </w:rPr>
              <w:t>率报价不得大于或等于</w:t>
            </w:r>
            <w:r>
              <w:rPr>
                <w:rFonts w:hint="eastAsia" w:ascii="宋体" w:hAnsi="宋体" w:eastAsia="宋体" w:cs="宋体"/>
                <w:spacing w:val="-27"/>
                <w:sz w:val="21"/>
                <w:szCs w:val="21"/>
                <w:highlight w:val="none"/>
              </w:rPr>
              <w:t xml:space="preserve"> </w:t>
            </w:r>
            <w:r>
              <w:rPr>
                <w:rFonts w:hint="eastAsia" w:ascii="宋体" w:hAnsi="宋体" w:eastAsia="宋体" w:cs="宋体"/>
                <w:spacing w:val="-2"/>
                <w:sz w:val="21"/>
                <w:szCs w:val="21"/>
                <w:highlight w:val="none"/>
              </w:rPr>
              <w:t>100%，不得为负数</w:t>
            </w:r>
            <w:r>
              <w:rPr>
                <w:rFonts w:hint="eastAsia" w:ascii="宋体" w:hAnsi="宋体" w:eastAsia="宋体" w:cs="宋体"/>
                <w:spacing w:val="-3"/>
                <w:sz w:val="21"/>
                <w:szCs w:val="21"/>
                <w:highlight w:val="none"/>
              </w:rPr>
              <w:t>，且是固定唯一值。例：</w:t>
            </w:r>
            <w:r>
              <w:rPr>
                <w:rFonts w:hint="eastAsia" w:ascii="宋体" w:hAnsi="宋体" w:eastAsia="宋体" w:cs="宋体"/>
                <w:spacing w:val="-9"/>
                <w:sz w:val="21"/>
                <w:szCs w:val="21"/>
                <w:highlight w:val="none"/>
              </w:rPr>
              <w:t>若投标人打八折，即投标下浮率为：20%</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2）基准价：采购人参考供货当前时段东莞市发展和改革局公布同期“广东省菜篮子价格监测表”中最新一期的“东莞市菜篮子价格监测表”的价格，若“广东省菜篮子价格监测表”无采购人所需的货品，则采购人和中标人双方共同在就近市场（大朗市场） 参考同类产品价格的平均价作为基准价，确定供货价格。</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96" w:firstLineChars="200"/>
              <w:textAlignment w:val="auto"/>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（3）定价周期：每15日更新一次，中标人须每次至少提前2天提交下次报价清单给采购人审核，双方签字后生效。</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（4）若遇台风、暴雨等意外原因造成的个别品种价格需临时调整， 应通知采购人，并征得采购人同意后方可调整， 每次送货按通知价格计算。否则按约定实际报价进行结算。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保质期</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保质期超过15日的，投标人拟提供货品的剩余保质期不得短于货品标记保质期的75%；保质期低于或等于15日的，投标人拟提供货品必须为送货当日屠宰或制作的货品。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1497" w:type="dxa"/>
            <w:vAlign w:val="center"/>
          </w:tcPr>
          <w:p>
            <w:pPr>
              <w:pStyle w:val="79"/>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售后服务</w:t>
            </w:r>
          </w:p>
        </w:tc>
        <w:tc>
          <w:tcPr>
            <w:tcW w:w="6461" w:type="dxa"/>
            <w:tcBorders>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（1）售后服务方式均为中标人上门服务。</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（2）非采购人的人为原因而出现产品质量问题，由中标人负责包换或包退，并承担因此而产生的一切费用。</w:t>
            </w:r>
          </w:p>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（3）中标人应具备完善的售后服务体系和客户投诉处理机制， 有专门负责售后的服务人员，能够满足服务过程中采购人的响应需求。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30" w:type="dxa"/>
            <w:tcBorders>
              <w:left w:val="single" w:color="000000" w:sz="10" w:space="0"/>
              <w:bottom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1497" w:type="dxa"/>
            <w:tcBorders>
              <w:bottom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合同条款及签 订模式</w:t>
            </w:r>
          </w:p>
        </w:tc>
        <w:tc>
          <w:tcPr>
            <w:tcW w:w="6461" w:type="dxa"/>
            <w:tcBorders>
              <w:bottom w:val="single" w:color="000000" w:sz="10" w:space="0"/>
              <w:right w:val="single" w:color="000000" w:sz="10" w:space="0"/>
            </w:tcBorders>
            <w:vAlign w:val="top"/>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spacing w:val="-10"/>
                <w:sz w:val="21"/>
                <w:szCs w:val="21"/>
                <w:highlight w:val="none"/>
              </w:rPr>
            </w:pPr>
            <w:r>
              <w:rPr>
                <w:rFonts w:hint="eastAsia" w:ascii="宋体" w:hAnsi="宋体" w:eastAsia="宋体" w:cs="宋体"/>
                <w:spacing w:val="-10"/>
                <w:sz w:val="21"/>
                <w:szCs w:val="21"/>
                <w:highlight w:val="none"/>
              </w:rPr>
              <w:t>投标人实质响应合同各条款，签订合同为一年期。</w:t>
            </w:r>
          </w:p>
        </w:tc>
      </w:tr>
    </w:tbl>
    <w:p>
      <w:pPr>
        <w:rPr>
          <w:color w:val="auto"/>
          <w:highlight w:val="none"/>
        </w:rPr>
      </w:pPr>
    </w:p>
    <w:p>
      <w:pPr>
        <w:pStyle w:val="13"/>
        <w:rPr>
          <w:color w:val="auto"/>
          <w:highlight w:val="none"/>
          <w:lang w:val="en-US"/>
        </w:rPr>
      </w:pPr>
    </w:p>
    <w:p>
      <w:pPr>
        <w:pStyle w:val="3"/>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7"/>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8"/>
        <w:bidi w:val="0"/>
        <w:rPr>
          <w:rFonts w:hint="eastAsia" w:ascii="宋体" w:hAnsi="宋体" w:eastAsia="宋体" w:cs="宋体"/>
          <w:b w:val="0"/>
          <w:bCs w:val="0"/>
          <w:color w:val="auto"/>
          <w:szCs w:val="21"/>
          <w:highlight w:val="none"/>
        </w:rPr>
      </w:pPr>
      <w:bookmarkStart w:id="182" w:name="_Toc31278"/>
      <w:bookmarkStart w:id="183" w:name="_Toc14462"/>
      <w:bookmarkStart w:id="184" w:name="_Toc24679"/>
      <w:bookmarkStart w:id="185" w:name="_Toc13112"/>
      <w:r>
        <w:rPr>
          <w:rFonts w:hint="eastAsia"/>
          <w:highlight w:val="none"/>
        </w:rPr>
        <w:t>一、项目概况</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本次采购项目为大朗镇中心小学采购食材配送服务，每天承接教职工用餐人数约</w:t>
      </w:r>
      <w:r>
        <w:rPr>
          <w:rFonts w:hint="eastAsia" w:ascii="宋体" w:hAnsi="宋体" w:cs="宋体"/>
          <w:b w:val="0"/>
          <w:bCs w:val="0"/>
          <w:color w:val="auto"/>
          <w:szCs w:val="21"/>
          <w:highlight w:val="none"/>
          <w:u w:val="single"/>
          <w:lang w:val="en-US" w:eastAsia="zh-CN"/>
        </w:rPr>
        <w:t>150</w:t>
      </w:r>
      <w:r>
        <w:rPr>
          <w:rFonts w:hint="eastAsia" w:ascii="宋体" w:hAnsi="宋体" w:eastAsia="宋体" w:cs="宋体"/>
          <w:b w:val="0"/>
          <w:bCs w:val="0"/>
          <w:color w:val="auto"/>
          <w:szCs w:val="21"/>
          <w:highlight w:val="none"/>
        </w:rPr>
        <w:t>人（以在校实际教职工人数为准）、学生用餐人数约为</w:t>
      </w:r>
      <w:r>
        <w:rPr>
          <w:rFonts w:hint="eastAsia" w:ascii="宋体" w:hAnsi="宋体" w:cs="宋体"/>
          <w:b w:val="0"/>
          <w:bCs w:val="0"/>
          <w:color w:val="auto"/>
          <w:szCs w:val="21"/>
          <w:highlight w:val="none"/>
          <w:u w:val="single"/>
          <w:lang w:val="en-US" w:eastAsia="zh-CN"/>
        </w:rPr>
        <w:t>2099</w:t>
      </w:r>
      <w:r>
        <w:rPr>
          <w:rFonts w:hint="eastAsia" w:ascii="宋体" w:hAnsi="宋体" w:eastAsia="宋体" w:cs="宋体"/>
          <w:b w:val="0"/>
          <w:bCs w:val="0"/>
          <w:color w:val="auto"/>
          <w:szCs w:val="21"/>
          <w:highlight w:val="none"/>
        </w:rPr>
        <w:t>人（以在校实际学生人数为准），主要目的是采购一家食堂食材配送供货商。结算金额根据实际用餐人数所送货物数量进行结算。</w:t>
      </w:r>
    </w:p>
    <w:p>
      <w:pPr>
        <w:pStyle w:val="8"/>
        <w:bidi w:val="0"/>
        <w:rPr>
          <w:rFonts w:hint="eastAsia" w:ascii="宋体" w:hAnsi="宋体" w:eastAsia="宋体" w:cs="宋体"/>
          <w:b w:val="0"/>
          <w:bCs w:val="0"/>
          <w:color w:val="auto"/>
          <w:szCs w:val="21"/>
          <w:highlight w:val="none"/>
        </w:rPr>
      </w:pPr>
      <w:r>
        <w:rPr>
          <w:rFonts w:hint="eastAsia"/>
          <w:highlight w:val="none"/>
        </w:rPr>
        <w:t>二、项目总体要求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1、本项目为在大朗镇中心小学食堂用餐的教职工提供早餐、午餐、晚餐食材，学生提</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供早餐（中标后看家长需要推行）、午餐食材。</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2、中标人为采购人供应肉类、三鸟类、冻品类、海产品、豆制品、蔬菜类、水果类、</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油脂类、米面制品、调料等。</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3、中标人按照采购人提出的物品订货清单，不论数量多少，必须保证在规定的时间（以采购人下达供货通知单为依据）、地点（食堂）送货。</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4、中标人对采购人提出的临时性服务要求应按时、按质、按量将货品送到指定地点。</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5、所供的货物必须符合《中华人民共和国食品安全法》要求。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6、中标人不得将中标项目转包、分包，否则采购人有权单方终止合同，由此产生的一</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切经济损失由中标人自行承担。</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7、由于采购人工作的特殊性，中标人应做好本单位工作人员的教育工作，遵守采购人</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各项规定，并有明确的服务标准和规范的服务细则。</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8、中标人提供的货物必须出示真实有效的检验合格报告。凡国家有明文规定的必须提</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供产品检验报告交采购人存档。</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9、★中标人须符合国家相关规定，服从采购人和市场监督部门的监督管理及要求，配 合采购人及时更新所提供的符合市场监督部门的有效证明材料，如营业执照、产品合格证、食品经营许可证、备案等。（须提供承诺函并加盖投标人公章）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10、采购人按合同对货物进行认真验收，对不符合规格要求的货物，供应商必须无条件 退货；中标人未能履行招标文件和合同所定事项，或供应不合格、假冒伪劣、以次充好的货 物，采购人退货后将记录在案，并对中标人予以处罚， 除要承担因此产生的一切损失和费用外，情节严重的可取消其供应资格。</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11、本项目执行过程中应遵循国家、省、市有关法律、法规、标准、技术规范和规范性文件的最新规定。如同一参数标准在不同的规定中有不一致的地方，按最高标准执行。</w:t>
      </w:r>
    </w:p>
    <w:p>
      <w:pPr>
        <w:pStyle w:val="8"/>
        <w:bidi w:val="0"/>
        <w:rPr>
          <w:rFonts w:hint="eastAsia"/>
          <w:highlight w:val="none"/>
        </w:rPr>
      </w:pPr>
      <w:r>
        <w:rPr>
          <w:rFonts w:hint="eastAsia"/>
          <w:highlight w:val="none"/>
        </w:rPr>
        <w:t>三、食材安全保障措施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1、中标人必须遵守国家规定的《中华人民共和国食品安全法》、《中华人民共和国农 产品质量安全法》等法律和行政法规的规定，提供的货品必须符合国家有关卫生标准，保质、保量、保鲜，严禁配送假冒、变质、过期的农副产品。不合格的货品，中标人必须包退包换。</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2、中标人须对采购人购买的食材进行分类并用器具装载，不得混装，运输过程应采取</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相应的保鲜防护措施。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3、如因中标人所送的食材引起食用人的身体不适、发生食物中毒等问题，经市级质量 检验部门确定后为中标人责任的，由中标人承担全部经济赔偿（医药费等）与承担相应的民事及刑事法律责任及放弃先诉抗辩权，采购人并立即终止合同。</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4、中标人应充分理解并认真遵循本招标文件的要求，所提供的货物必须满足招标文件 要求。中标人应保证供应的货品均为正规生产的新鲜（冰鲜除外）检验合格、无毒、无辐射、 无侵权货品，符合国家有关卫生、质量、包装和保质标准，保质期超过 15 日的，其剩余保质期不得少于标注保质期的75%。</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5、中标人提供的鲜鱼、肉类保证每日新鲜，提供的猪肉牛肉羊肉均为东莞市定点屠宰 厂（场）经检疫和肉品品质检验合格的产品，具有由定点屠宰厂（场）加盖验讫印章并出具 《畜产品检验证明》或《动物检疫合格证明》，所有产品均可追索。中标人提供的蔬菜必须 保证每日新鲜，优先选择取得无公害认证产品，符合《中华人民共和国食品安全法》要求并出具有效的《农产品检验报告》。配送的农副产品经相关检验部门检验超标的，要求中标人无条件换货。</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6、中标人保证所提供的鲜肉类、生禽、鲜水产、蔬菜种类的多样性和季节性，以保证</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新鲜感。</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7、货物有包装的，货物的包装必须完整清洁（无损、无污、无皱），采购人有权拒收</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包装不整齐、已拆封的商品。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8、采购人发现商品出现损坏（包括表面损坏），或出现水渍、串味、受潮等导致货物</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性质改变的，中标人必须无条件退货或更换商品。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9、中标人提供过期、变质的、有毒食材的，一经发现，除按采购人要求无条件退货或换货外，还将受到如下处罚：</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（1）中标人提供过期、变质食材的，采购人有权要求无条件退货或换货，中标人将被</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处以当次供应食材货款 2 倍的罚款，罚款由供货结算款内扣除。如提供过期、变质食材的累计达三次，采购人有权单方终止合同，并要求中标人进行任何赔偿。</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（2）中标人若提供有毒食材，造成食材安全事故的，经有关单位鉴定原因后，如确实 为中标人提供的食材问题，中标人须负担全数的医药费、精神损害等费用，采购人有权终止合同，中标人同时承担相应的民事及刑事法律责任及放弃先诉抗辩权，并立即终止合同。</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10、中标人应做好货物的安全管理工作。</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11、食材配送管理必须建立出入库台账，做到票据溯源，且每2个月须按照采购人要求整理报表，食材需提供第三方的检测报告。</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12、★因本项目为食材配送服务，可能因疏忽或过失致使食物中毒或其他食源性疾患， 或因食物中掺有异物，造成人身损害或财产损失，为保证采购人权益，中标人须以承诺函  形式承诺：中标后为采购人提供一份以采购人为受益人、额度不低于人民币 5000 万元（含5000万元）的保险（食品安全责任险或公众责任保险），保险承保期限不短于合同有效期。保单需给采购人保存。（须提供承诺函并加盖投标人公章）</w:t>
      </w:r>
    </w:p>
    <w:p>
      <w:pPr>
        <w:pStyle w:val="8"/>
        <w:bidi w:val="0"/>
        <w:rPr>
          <w:rFonts w:hint="eastAsia" w:ascii="宋体" w:hAnsi="宋体" w:eastAsia="宋体" w:cs="宋体"/>
          <w:b w:val="0"/>
          <w:bCs w:val="0"/>
          <w:color w:val="auto"/>
          <w:szCs w:val="21"/>
          <w:highlight w:val="none"/>
        </w:rPr>
      </w:pPr>
      <w:r>
        <w:rPr>
          <w:rFonts w:hint="eastAsia"/>
          <w:highlight w:val="none"/>
        </w:rPr>
        <w:t>四、质量和数量要求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（一）质量要求：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1、蔬果类应保持较好的色泽和新鲜度，符合国家食品安全标准，不得有黄叶、腐烂， 泥沙等现象，蔬果类农药等化学物不得超标，并提供农药残留检测证明（蔬菜利用率不低于95%）。</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2、冷冻类食材应选购标有厂名、地址、电话、保存期且包装完好的产品。食材在验货</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时不能有变软的现象，不得食材表面或包装袋内附有许多霜的食材当做复冻食材，退货处理。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3、海鲜、河鲜类水产必须鲜活。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4、鲜肉类全部来源于正规肉联厂，保证为当日新鲜肉，并提供政府检疫部门出示的检</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疫合格证明。（鲜肉类利用率不低于 98%）。</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5、蛋类需新鲜、蛋黄完整、非人造。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6、豆制品来源于政府许可的正规厂商。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7、粮油、调料类食材由正规厂商供货，符合国家食品安全标准，且不得使用由转基因</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原料制作。</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8、水果须保证新鲜，做到种类多、营养搭配，符合中小学膳食服务要求。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9、对于不符合采购人质量要求的品种可无偿退货或换货；如需换货，中标人必须在采</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购人规定的时间内把货品送到目的地。</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10、中标人提供的所有货物来源须清晰，可溯源。</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11、★食用油不能使用含有转基因食品，调和油、棕榈油等含量不能超过总含量的 30%。（须提供承诺函并加盖投标人公章）</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12、★投标人须保证提供的食材及其它副食等所有用于本项目的材料不使用转基因食</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材或由转基因原料制作的产品。（须提供承诺函并加盖投标人公章）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13、要建立食品留样制度(即每餐每种食品 200 克专用于留样冰箱内,48 小时后如无发生食物中毒事故,方可弃去),并有留样记录。</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（二）数量要求：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应保证千克、克的准确性， 以采购人的验收数量为准，中标人每次随货携带一式两联的送货清单，食材经双方验收后须签字确认，双方各持一份，全部作为收货与货款结算的凭证。</w:t>
      </w:r>
    </w:p>
    <w:p>
      <w:pPr>
        <w:pStyle w:val="8"/>
        <w:bidi w:val="0"/>
        <w:rPr>
          <w:rFonts w:hint="eastAsia" w:ascii="宋体" w:hAnsi="宋体" w:eastAsia="宋体" w:cs="宋体"/>
          <w:b w:val="0"/>
          <w:bCs w:val="0"/>
          <w:color w:val="auto"/>
          <w:szCs w:val="21"/>
          <w:highlight w:val="none"/>
        </w:rPr>
      </w:pPr>
      <w:r>
        <w:rPr>
          <w:rFonts w:hint="eastAsia"/>
          <w:highlight w:val="none"/>
        </w:rPr>
        <w:t>五、供货价格要求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中标人的供货价应包含交给采购人之前的一切可预见及不可预见的费用，包括购置费、 包装费、运输费、装卸费、搬运费、储存费、人工费、保险费、各种税费等，并承担送货途中的一切风险。</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中标人采购的食材不能高于市场价，如经发现食材价格高于市场价，需双倍赔偿采购人损失。</w:t>
      </w:r>
    </w:p>
    <w:p>
      <w:pPr>
        <w:pStyle w:val="8"/>
        <w:bidi w:val="0"/>
        <w:rPr>
          <w:rFonts w:hint="eastAsia" w:ascii="宋体" w:hAnsi="宋体" w:eastAsia="宋体" w:cs="宋体"/>
          <w:b w:val="0"/>
          <w:bCs w:val="0"/>
          <w:color w:val="auto"/>
          <w:szCs w:val="21"/>
          <w:highlight w:val="none"/>
        </w:rPr>
      </w:pPr>
      <w:r>
        <w:rPr>
          <w:rFonts w:hint="eastAsia"/>
          <w:highlight w:val="none"/>
        </w:rPr>
        <w:t>六、订货、交货及运输</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1、采购人向中标人订购的蔬菜、肉类等农副产品， 应在前一天的 16:00 之前， 以电话、传真或电子邮件或微信等方式下单，订单内容应说明清楚品名、数量、规格、质量和餐次等要求。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2、中标人应保证每天早上6:30之前将采购人所订的货物按照约定时间送至采购人指定地方，运输车辆内外必须清洁干净，无污渍，无异味。</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3、中标人在发货前，应对货品的外观质量、规格、数量等进行准确和全面的检验。</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4、中标人的送货单必须详细注明商品的品牌、品种、单价、数量、送货单不得涂改。</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标记不清的，采购人将拒绝签收。结算期末中标人还应提供送货清单供采购人结算。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5、中标人应设专人服务、跟踪、对账、快速处理突发事件。对送货过程中出现货不对</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板或达不到订单注明质量要求的品种，以及采购人根据就餐需要临时加补的品种，中标人应在采购人指定的时间补送到位，保证采购人的正常就餐时间。</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6、中标人应当根据采购人实际情况，按照与采购人的约定，在规定的时间内将预定的 货物如数送到指定地点。如遇不可抗力因素而造成配送延误时，中标人应提前通知采购人， 并配合采购人共同解决。除发生客观不可抗力的情况外， 中标人不得推迟送货。如确需延迟 送货的，中标人应在得知情况的同时告知采购人并征得采购人同意，由于中标人拖沓造成采 购人利益受损的，采购人有权要求中标人赔偿，出现3次或以上上述情况的，并处以中标人人民币1000元罚款，罚款在供货结算款内扣除。</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7、中标人负责货品的仓储，采购人不提供仓库。中标人须准时送货到采购人指定地点，采购人不另行支付配送交通费。</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8、在采购人签收之前，货物的所有权和风险属于中标人，货物发生遗失、损坏由中标</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人负责。</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9、中标人须严格按照采购人的指令配送商品的数量，不得随意增减数量，否则，采购</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人有权拒收。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10、除客观不可抗力外，中标人不得更改送货内容。如因市场流通问题确实需要变更供 货内容的，中标人应在得知情况的同时告知采购人并事先征得书面申请，并经采购人同意后 方可改变。经发现中标人有私自更改菜单中货品时以违约论处，由此产生的一切损失和费用 由中标人承担。出现 3 次或以上上述情况的，并处以人民币 1000 元罚款，罚款在供货结算款内扣除。</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11、产品储存及原材料配备要求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（1）中标人应做好产品储存方案及原料配备；</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（2）中标人应具备安全、无害的贮存场所、容器、工具和设备，并保持清洁；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（3）中标人要确保产品质量，保持食材原材料在储存期间的使用价值。</w:t>
      </w:r>
    </w:p>
    <w:p>
      <w:pPr>
        <w:pStyle w:val="8"/>
        <w:bidi w:val="0"/>
        <w:rPr>
          <w:rFonts w:hint="eastAsia" w:ascii="宋体" w:hAnsi="宋体" w:eastAsia="宋体" w:cs="宋体"/>
          <w:b w:val="0"/>
          <w:bCs w:val="0"/>
          <w:color w:val="auto"/>
          <w:szCs w:val="21"/>
          <w:highlight w:val="none"/>
        </w:rPr>
      </w:pPr>
      <w:r>
        <w:rPr>
          <w:rFonts w:hint="eastAsia"/>
          <w:highlight w:val="none"/>
        </w:rPr>
        <w:t>七、中标人责任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1、中标人派驻采购人单位的服务人员必须经卫生防疫部门检查和培训，持有健康证上 岗，必须穿着便于辨认的工衣和配戴胸卡，送货专员在采购人单位活动必须严格遵守采购人单位各项规章制度，不得做出有损采购人形象和利益的事情。</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2、中标人运送货物时须对场地内的设备、设施有良好保护措施，若中标人在配送过程</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中损坏采购人的物品，中标人应照价赔偿。</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3、中标人不得泄露采购人的商业秘密。泄密造成采购人损失的或声誉损害的，中标人</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将承担由此产生的一切损失和法律责任。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4、节假日按照采购人要求照常运作，特殊情况停止供货，中标人必须提前三天通知采 购人，在取得采购人同意后方可停止供货，否则将按照单次货款总额的 10%进行罚款。由于中标人不履行购销合同造成采购人经济损失由中标人承担责任，并终止合同。</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5、中标人的采购人员不得给采购人负责合约洽谈、价格监督、食材验收的人员任何好 处， 如查实有上述情况，取消中标人配送资格。中标人可向采购人举报采购人相关人员故意刁难及索取好处的行为，经采购人查实，相关人员立即解除劳动合同。</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6、★采购人对应急食材及政府扶贫农副产品采购有自主权，采购人有权直接采购，不 受中标人和本项目制约。为贯彻落实党中央、国务院和广东省委、省政府关于打赢脱贫攻坚战的有关决策部署，在本项目饭堂食材配送服务期内，采购人或采购人委托中标人通过脱贫地区农副产品网络销售平台（832 平台）预留不少于10%的比例采购脱贫地区农副产品 或通过广东省政府采购扶贫馆平台等政府部门认可的平台采购部分既定预留份额的食堂食材，中标人必须无条件配合，采购人对此不承担任何经济补偿或违约责任。（须提供承诺函加盖投标人公章）</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7、★中标人须承诺遇台风、暴雨等意外造成停课的，所有已订食材须无条件接受退回。（须提供承诺函加盖投标人公章）</w:t>
      </w:r>
    </w:p>
    <w:p>
      <w:pPr>
        <w:pStyle w:val="8"/>
        <w:bidi w:val="0"/>
        <w:rPr>
          <w:rFonts w:hint="eastAsia" w:ascii="宋体" w:hAnsi="宋体" w:eastAsia="宋体" w:cs="宋体"/>
          <w:b w:val="0"/>
          <w:bCs w:val="0"/>
          <w:color w:val="auto"/>
          <w:szCs w:val="21"/>
          <w:highlight w:val="none"/>
        </w:rPr>
      </w:pPr>
      <w:r>
        <w:rPr>
          <w:rFonts w:hint="eastAsia"/>
          <w:highlight w:val="none"/>
        </w:rPr>
        <w:t>八、合同解除</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1、中标人提供的货品质量未达到上述质量要求标准达三次（含）以上，且经采购人提</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出后仍不改进的，采购人有权单方终止合同，相关经济损失由中标人承担。</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2、如因中标人所送的食材引起食用的人身体不适、发生食物中毒等问题，经市级质量</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检验部门确定后是中标人的责任，采购人有权立即单方终止合约。</w:t>
      </w:r>
    </w:p>
    <w:p>
      <w:pPr>
        <w:pStyle w:val="8"/>
        <w:bidi w:val="0"/>
        <w:rPr>
          <w:rFonts w:hint="eastAsia" w:ascii="宋体" w:hAnsi="宋体" w:eastAsia="宋体" w:cs="宋体"/>
          <w:b w:val="0"/>
          <w:bCs w:val="0"/>
          <w:color w:val="auto"/>
          <w:szCs w:val="21"/>
          <w:highlight w:val="none"/>
        </w:rPr>
      </w:pPr>
      <w:r>
        <w:rPr>
          <w:rFonts w:hint="eastAsia"/>
          <w:highlight w:val="none"/>
        </w:rPr>
        <w:t>九、企业管理制度</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1、中标人应具备有利于本项目实施的管理服务理念与管理模式；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2、中标人应具备完善的组织管理架构及岗位职责；</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3、中标人应具备健全的各类食材检测制度。</w:t>
      </w:r>
    </w:p>
    <w:p>
      <w:pPr>
        <w:pStyle w:val="8"/>
        <w:bidi w:val="0"/>
        <w:rPr>
          <w:rFonts w:hint="eastAsia" w:ascii="宋体" w:hAnsi="宋体" w:eastAsia="宋体" w:cs="宋体"/>
          <w:b w:val="0"/>
          <w:bCs w:val="0"/>
          <w:color w:val="auto"/>
          <w:szCs w:val="21"/>
          <w:highlight w:val="none"/>
        </w:rPr>
      </w:pPr>
      <w:r>
        <w:rPr>
          <w:rFonts w:hint="eastAsia"/>
          <w:highlight w:val="none"/>
        </w:rPr>
        <w:t>十、应急处理要求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中标人应具备完善的应急处理方案，包括但不限于下列要求：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1、针对食材仓储环节中可能出现的导致食材种类、数量不足的紧急情况（如突发火灾、</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被水淹没等），应有相应的处置措施；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2、针对食材流通和使用环节可能会出现的质量问题（如仓储、运具不达标致使食材变</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得不合格等），应有相应的处置措施；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3、针对台风、暴雨等恶劣天气，应有相应的配送保障措施；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4、针对配送人员在配送途中突发车辆故障、交通事故等情况，应有相应的人员替换保</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障措施。</w:t>
      </w:r>
    </w:p>
    <w:p>
      <w:pPr>
        <w:pStyle w:val="8"/>
        <w:bidi w:val="0"/>
        <w:rPr>
          <w:rFonts w:hint="eastAsia" w:ascii="宋体" w:hAnsi="宋体" w:eastAsia="宋体" w:cs="宋体"/>
          <w:b w:val="0"/>
          <w:bCs w:val="0"/>
          <w:color w:val="auto"/>
          <w:szCs w:val="21"/>
          <w:highlight w:val="none"/>
        </w:rPr>
      </w:pPr>
      <w:r>
        <w:rPr>
          <w:rFonts w:hint="eastAsia"/>
          <w:highlight w:val="none"/>
        </w:rPr>
        <w:t>十</w:t>
      </w:r>
      <w:r>
        <w:rPr>
          <w:rFonts w:hint="eastAsia"/>
          <w:highlight w:val="none"/>
          <w:lang w:val="en-US" w:eastAsia="zh-CN"/>
        </w:rPr>
        <w:t>一</w:t>
      </w:r>
      <w:r>
        <w:rPr>
          <w:rFonts w:hint="eastAsia"/>
          <w:highlight w:val="none"/>
        </w:rPr>
        <w:t>、</w:t>
      </w:r>
      <w:r>
        <w:rPr>
          <w:rFonts w:hint="eastAsia"/>
          <w:highlight w:val="none"/>
          <w:lang w:val="en-US"/>
        </w:rPr>
        <w:t>项目流程</w:t>
      </w:r>
    </w:p>
    <w:p>
      <w:pPr>
        <w:widowControl w:val="0"/>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第一轮：由</w:t>
      </w:r>
      <w:r>
        <w:rPr>
          <w:rFonts w:hint="eastAsia" w:ascii="宋体" w:hAnsi="宋体" w:eastAsia="宋体" w:cs="宋体"/>
          <w:color w:val="auto"/>
          <w:sz w:val="21"/>
          <w:szCs w:val="21"/>
          <w:highlight w:val="none"/>
          <w:lang w:val="en-US" w:eastAsia="zh-CN"/>
        </w:rPr>
        <w:t>评标委员会</w:t>
      </w:r>
      <w:r>
        <w:rPr>
          <w:rFonts w:hint="eastAsia" w:ascii="宋体" w:hAnsi="宋体" w:cs="宋体"/>
          <w:color w:val="auto"/>
          <w:sz w:val="21"/>
          <w:szCs w:val="21"/>
          <w:highlight w:val="none"/>
          <w:lang w:val="en-US" w:eastAsia="zh-CN"/>
        </w:rPr>
        <w:t>对</w:t>
      </w:r>
      <w:r>
        <w:rPr>
          <w:rFonts w:hint="eastAsia" w:ascii="宋体" w:hAnsi="宋体" w:eastAsia="宋体" w:cs="宋体"/>
          <w:color w:val="auto"/>
          <w:sz w:val="21"/>
          <w:szCs w:val="21"/>
          <w:highlight w:val="none"/>
        </w:rPr>
        <w:t>参与本项目投标</w:t>
      </w:r>
      <w:r>
        <w:rPr>
          <w:rFonts w:hint="eastAsia" w:ascii="宋体" w:hAnsi="宋体" w:cs="宋体"/>
          <w:color w:val="auto"/>
          <w:sz w:val="21"/>
          <w:szCs w:val="21"/>
          <w:highlight w:val="none"/>
          <w:lang w:val="en-US" w:eastAsia="zh-CN"/>
        </w:rPr>
        <w:t>的投标文件进行评审，并按</w:t>
      </w:r>
      <w:r>
        <w:rPr>
          <w:rFonts w:hint="eastAsia" w:ascii="宋体" w:hAnsi="宋体" w:eastAsia="宋体" w:cs="宋体"/>
          <w:color w:val="auto"/>
          <w:sz w:val="21"/>
          <w:szCs w:val="21"/>
          <w:highlight w:val="none"/>
        </w:rPr>
        <w:t>评审后的综合得分由高到低顺序排列，向采购人推荐</w:t>
      </w:r>
      <w:r>
        <w:rPr>
          <w:rFonts w:hint="eastAsia" w:ascii="宋体" w:hAnsi="宋体" w:cs="宋体"/>
          <w:color w:val="auto"/>
          <w:sz w:val="21"/>
          <w:szCs w:val="21"/>
          <w:highlight w:val="none"/>
          <w:lang w:val="en-US" w:eastAsia="zh-CN"/>
        </w:rPr>
        <w:t>5</w:t>
      </w:r>
      <w:r>
        <w:rPr>
          <w:rFonts w:ascii="宋体" w:hAnsi="宋体" w:eastAsia="宋体" w:cs="宋体"/>
          <w:color w:val="auto"/>
          <w:sz w:val="21"/>
          <w:szCs w:val="21"/>
          <w:highlight w:val="none"/>
        </w:rPr>
        <w:t>名</w:t>
      </w:r>
      <w:r>
        <w:rPr>
          <w:rFonts w:hint="eastAsia" w:ascii="宋体" w:hAnsi="宋体" w:eastAsia="宋体" w:cs="宋体"/>
          <w:color w:val="auto"/>
          <w:sz w:val="21"/>
          <w:szCs w:val="21"/>
          <w:highlight w:val="none"/>
        </w:rPr>
        <w:t>中标候选人。</w:t>
      </w:r>
    </w:p>
    <w:p>
      <w:pPr>
        <w:widowControl w:val="0"/>
        <w:spacing w:after="0" w:line="360" w:lineRule="auto"/>
        <w:ind w:firstLine="420" w:firstLineChars="200"/>
        <w:rPr>
          <w:rFonts w:ascii="宋体" w:hAnsi="宋体" w:cs="宋体"/>
          <w:b/>
          <w:bCs/>
          <w:color w:val="auto"/>
          <w:sz w:val="21"/>
          <w:szCs w:val="21"/>
          <w:highlight w:val="none"/>
          <w:lang w:val="en-US"/>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第二轮票选会：学校组织代表（包括</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名</w:t>
      </w:r>
      <w:r>
        <w:rPr>
          <w:rFonts w:hint="eastAsia" w:ascii="宋体" w:hAnsi="宋体" w:eastAsia="宋体" w:cs="宋体"/>
          <w:color w:val="auto"/>
          <w:sz w:val="21"/>
          <w:szCs w:val="21"/>
          <w:highlight w:val="none"/>
          <w:lang w:val="en-US"/>
        </w:rPr>
        <w:t>家长、</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名</w:t>
      </w:r>
      <w:r>
        <w:rPr>
          <w:rFonts w:hint="eastAsia" w:ascii="宋体" w:hAnsi="宋体" w:eastAsia="宋体" w:cs="宋体"/>
          <w:color w:val="auto"/>
          <w:sz w:val="21"/>
          <w:szCs w:val="21"/>
          <w:highlight w:val="none"/>
          <w:lang w:val="en-US"/>
        </w:rPr>
        <w:t>教师）票选，从入围的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名中标候选人中选出</w:t>
      </w:r>
      <w:r>
        <w:rPr>
          <w:rFonts w:hint="eastAsia" w:ascii="宋体" w:hAnsi="宋体" w:eastAsia="宋体" w:cs="宋体"/>
          <w:color w:val="auto"/>
          <w:sz w:val="21"/>
          <w:szCs w:val="21"/>
          <w:highlight w:val="none"/>
          <w:lang w:val="en-US" w:eastAsia="zh-CN"/>
        </w:rPr>
        <w:t>东莞市</w:t>
      </w:r>
      <w:r>
        <w:rPr>
          <w:rFonts w:hint="eastAsia" w:ascii="宋体" w:hAnsi="宋体" w:eastAsia="宋体" w:cs="宋体"/>
          <w:b w:val="0"/>
          <w:bCs w:val="0"/>
          <w:color w:val="auto"/>
          <w:szCs w:val="21"/>
          <w:highlight w:val="none"/>
        </w:rPr>
        <w:t>大朗镇中心小学食堂食材配送</w:t>
      </w:r>
      <w:r>
        <w:rPr>
          <w:rFonts w:hint="eastAsia" w:ascii="宋体" w:hAnsi="宋体" w:cs="宋体"/>
          <w:b w:val="0"/>
          <w:bCs w:val="0"/>
          <w:color w:val="auto"/>
          <w:szCs w:val="21"/>
          <w:highlight w:val="none"/>
          <w:lang w:val="en-US" w:eastAsia="zh-CN"/>
        </w:rPr>
        <w:t>的</w:t>
      </w:r>
      <w:r>
        <w:rPr>
          <w:rFonts w:hint="eastAsia" w:ascii="宋体" w:hAnsi="宋体" w:eastAsia="宋体" w:cs="宋体"/>
          <w:b w:val="0"/>
          <w:bCs w:val="0"/>
          <w:color w:val="auto"/>
          <w:szCs w:val="21"/>
          <w:highlight w:val="none"/>
        </w:rPr>
        <w:t>供货商</w:t>
      </w:r>
      <w:r>
        <w:rPr>
          <w:rFonts w:hint="eastAsia" w:ascii="宋体" w:hAnsi="宋体" w:eastAsia="宋体" w:cs="宋体"/>
          <w:color w:val="auto"/>
          <w:sz w:val="21"/>
          <w:szCs w:val="21"/>
          <w:highlight w:val="none"/>
          <w:lang w:val="en-US"/>
        </w:rPr>
        <w:t>，得票数最高者为中标人。</w:t>
      </w:r>
    </w:p>
    <w:p>
      <w:pPr>
        <w:pStyle w:val="8"/>
        <w:bidi w:val="0"/>
        <w:rPr>
          <w:rFonts w:hint="eastAsia"/>
          <w:highlight w:val="none"/>
          <w:lang w:val="en-US"/>
        </w:rPr>
      </w:pPr>
      <w:r>
        <w:rPr>
          <w:rFonts w:hint="eastAsia"/>
          <w:highlight w:val="none"/>
          <w:lang w:val="en-US" w:eastAsia="zh-CN"/>
        </w:rPr>
        <w:t>十二</w:t>
      </w:r>
      <w:r>
        <w:rPr>
          <w:rFonts w:hint="eastAsia"/>
          <w:highlight w:val="none"/>
          <w:lang w:val="en-US"/>
        </w:rPr>
        <w:t xml:space="preserve">、票选会时间、安排及要求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票选会</w:t>
      </w:r>
      <w:r>
        <w:rPr>
          <w:rFonts w:hint="eastAsia" w:ascii="宋体" w:hAnsi="宋体" w:cs="宋体"/>
          <w:color w:val="auto"/>
          <w:sz w:val="21"/>
          <w:szCs w:val="21"/>
          <w:highlight w:val="none"/>
          <w:lang w:val="en-US" w:eastAsia="zh-CN"/>
        </w:rPr>
        <w:t>前考察</w:t>
      </w:r>
      <w:r>
        <w:rPr>
          <w:rFonts w:hint="eastAsia" w:ascii="宋体" w:hAnsi="宋体" w:cs="宋体"/>
          <w:color w:val="auto"/>
          <w:sz w:val="21"/>
          <w:szCs w:val="21"/>
          <w:highlight w:val="none"/>
          <w:lang w:val="en-US"/>
        </w:rPr>
        <w:t>:具体时间将另行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票选会开始时间：具体时间将另行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票选会地点：具体地点将另行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 xml:space="preserve">票选会程序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票选会由校方</w:t>
      </w:r>
      <w:r>
        <w:rPr>
          <w:rFonts w:hint="eastAsia" w:ascii="宋体" w:hAnsi="宋体" w:cs="宋体"/>
          <w:color w:val="auto"/>
          <w:sz w:val="21"/>
          <w:szCs w:val="21"/>
          <w:highlight w:val="none"/>
          <w:lang w:val="en-US" w:eastAsia="zh-CN"/>
        </w:rPr>
        <w:t>组织</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hint="eastAsia"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选取代表。代表主要由家长代表、教师代表组成。</w:t>
      </w:r>
    </w:p>
    <w:p>
      <w:pPr>
        <w:pStyle w:val="81"/>
        <w:widowControl w:val="0"/>
        <w:spacing w:before="0" w:after="0"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（3）从入围的5名中标候选人中选出东莞市大朗镇中心小学食堂食材配送的供货商，得票数最高者为中标人。</w:t>
      </w:r>
    </w:p>
    <w:p>
      <w:pPr>
        <w:pStyle w:val="81"/>
        <w:widowControl w:val="0"/>
        <w:spacing w:before="0" w:after="0" w:line="360" w:lineRule="auto"/>
        <w:ind w:firstLine="480" w:firstLineChars="200"/>
        <w:rPr>
          <w:rFonts w:hint="eastAsia"/>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8"/>
        <w:rPr>
          <w:color w:val="auto"/>
          <w:highlight w:val="none"/>
        </w:rPr>
      </w:pPr>
    </w:p>
    <w:p>
      <w:pPr>
        <w:pStyle w:val="38"/>
        <w:rPr>
          <w:color w:val="auto"/>
          <w:highlight w:val="none"/>
        </w:rPr>
      </w:pPr>
    </w:p>
    <w:p>
      <w:pPr>
        <w:pStyle w:val="6"/>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pPr>
        <w:pStyle w:val="7"/>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6"/>
        <w:spacing w:before="0" w:after="0" w:line="240" w:lineRule="auto"/>
        <w:rPr>
          <w:color w:val="auto"/>
          <w:sz w:val="28"/>
          <w:szCs w:val="28"/>
          <w:highlight w:val="none"/>
        </w:rPr>
      </w:pPr>
      <w:bookmarkStart w:id="198" w:name="_Toc31587"/>
      <w:bookmarkStart w:id="199" w:name="_Toc23749"/>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7"/>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3"/>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7"/>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13"/>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pStyle w:val="29"/>
        <w:rPr>
          <w:color w:val="auto"/>
          <w:highlight w:val="none"/>
        </w:rPr>
      </w:pPr>
    </w:p>
    <w:p>
      <w:pPr>
        <w:rPr>
          <w:color w:val="auto"/>
          <w:highlight w:val="none"/>
        </w:rPr>
      </w:pPr>
    </w:p>
    <w:p>
      <w:pPr>
        <w:pStyle w:val="7"/>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7"/>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1"/>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50"/>
          <w:rFonts w:hint="eastAsia" w:ascii="宋体" w:hAnsi="宋体" w:eastAsia="宋体" w:cs="宋体"/>
          <w:b/>
          <w:color w:val="auto"/>
          <w:sz w:val="21"/>
          <w:szCs w:val="21"/>
          <w:highlight w:val="none"/>
        </w:rPr>
        <w:t>；</w:t>
      </w:r>
    </w:p>
    <w:p>
      <w:pPr>
        <w:pStyle w:val="41"/>
        <w:ind w:firstLine="422"/>
        <w:rPr>
          <w:rFonts w:ascii="黑体" w:eastAsia="黑体"/>
          <w:color w:val="auto"/>
          <w:sz w:val="32"/>
          <w:szCs w:val="32"/>
          <w:highlight w:val="none"/>
        </w:rPr>
      </w:pPr>
      <w:r>
        <w:rPr>
          <w:rStyle w:val="50"/>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7"/>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tabs>
          <w:tab w:val="left" w:pos="284"/>
        </w:tabs>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50"/>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7"/>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3"/>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3"/>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3"/>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3"/>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3"/>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3"/>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3"/>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3"/>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10171693"/>
      <w:bookmarkStart w:id="223" w:name="_Toc508960153"/>
      <w:bookmarkStart w:id="224" w:name="_Toc30247"/>
      <w:bookmarkStart w:id="225" w:name="_Toc17761"/>
      <w:bookmarkStart w:id="226" w:name="_Toc508898066"/>
      <w:bookmarkStart w:id="227" w:name="_Toc509844825"/>
      <w:bookmarkStart w:id="228" w:name="_Toc22970"/>
      <w:bookmarkStart w:id="229" w:name="_Toc20910"/>
      <w:bookmarkStart w:id="230" w:name="_Toc509479530"/>
      <w:bookmarkStart w:id="231" w:name="_Toc509927455"/>
      <w:bookmarkStart w:id="232" w:name="_Toc30277"/>
      <w:bookmarkStart w:id="233" w:name="_Toc50895870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3"/>
        <w:rPr>
          <w:color w:val="auto"/>
          <w:highlight w:val="none"/>
        </w:rPr>
      </w:pPr>
    </w:p>
    <w:p>
      <w:pPr>
        <w:ind w:firstLine="420" w:firstLineChars="200"/>
        <w:rPr>
          <w:rFonts w:ascii="宋体" w:hAnsi="宋体"/>
          <w:color w:val="auto"/>
          <w:szCs w:val="21"/>
          <w:highlight w:val="none"/>
        </w:rPr>
      </w:pPr>
      <w:bookmarkStart w:id="234" w:name="_Toc31520"/>
      <w:bookmarkStart w:id="235" w:name="_Toc509844826"/>
      <w:bookmarkStart w:id="236" w:name="_Toc508958704"/>
      <w:bookmarkStart w:id="237" w:name="_Toc28527"/>
      <w:bookmarkStart w:id="238" w:name="_Toc21053"/>
      <w:bookmarkStart w:id="239" w:name="_Toc508960154"/>
      <w:bookmarkStart w:id="240" w:name="_Toc508898067"/>
      <w:bookmarkStart w:id="241" w:name="_Toc510171694"/>
      <w:bookmarkStart w:id="242" w:name="_Toc509927456"/>
      <w:bookmarkStart w:id="243" w:name="_Toc5447"/>
      <w:bookmarkStart w:id="244" w:name="_Toc26216"/>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126"/>
      <w:bookmarkStart w:id="247" w:name="_Toc508960155"/>
      <w:bookmarkStart w:id="248" w:name="_Toc510171695"/>
      <w:bookmarkStart w:id="249" w:name="_Toc28626"/>
      <w:bookmarkStart w:id="250" w:name="_Toc509844827"/>
      <w:bookmarkStart w:id="251" w:name="_Toc14653"/>
      <w:bookmarkStart w:id="252" w:name="_Toc509927457"/>
      <w:bookmarkStart w:id="253" w:name="_Toc9148"/>
      <w:bookmarkStart w:id="254" w:name="_Toc508898068"/>
      <w:bookmarkStart w:id="255" w:name="_Toc508958705"/>
      <w:bookmarkStart w:id="256" w:name="_Toc509479532"/>
      <w:bookmarkStart w:id="257" w:name="_Toc248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8958706"/>
      <w:bookmarkStart w:id="259" w:name="_Toc9837"/>
      <w:bookmarkStart w:id="260" w:name="_Toc28044"/>
      <w:bookmarkStart w:id="261" w:name="_Toc508898069"/>
      <w:bookmarkStart w:id="262" w:name="_Toc509927458"/>
      <w:bookmarkStart w:id="263" w:name="_Toc508960156"/>
      <w:bookmarkStart w:id="264" w:name="_Toc22981"/>
      <w:bookmarkStart w:id="265" w:name="_Toc509844828"/>
      <w:bookmarkStart w:id="266" w:name="_Toc28686"/>
      <w:bookmarkStart w:id="267" w:name="_Toc509479533"/>
      <w:bookmarkStart w:id="268" w:name="_Toc7858"/>
      <w:bookmarkStart w:id="269" w:name="_Toc51017169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58707"/>
      <w:bookmarkStart w:id="271" w:name="_Toc509927459"/>
      <w:bookmarkStart w:id="272" w:name="_Toc508960157"/>
      <w:bookmarkStart w:id="273" w:name="_Toc509844829"/>
      <w:bookmarkStart w:id="274" w:name="_Toc508898070"/>
      <w:bookmarkStart w:id="275" w:name="_Toc510171697"/>
      <w:bookmarkStart w:id="276" w:name="_Toc18843"/>
      <w:bookmarkStart w:id="277" w:name="_Toc5289"/>
      <w:bookmarkStart w:id="278"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7"/>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7"/>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7"/>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4"/>
        <w:spacing w:line="500" w:lineRule="atLeast"/>
        <w:ind w:firstLine="3517" w:firstLineChars="1675"/>
        <w:rPr>
          <w:rFonts w:ascii="宋体" w:eastAsia="宋体"/>
          <w:color w:val="auto"/>
          <w:sz w:val="21"/>
          <w:szCs w:val="21"/>
          <w:highlight w:val="none"/>
        </w:rPr>
      </w:pP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highlight w:val="none"/>
        </w:rPr>
      </w:pPr>
    </w:p>
    <w:p>
      <w:pPr>
        <w:rPr>
          <w:color w:val="auto"/>
          <w:highlight w:val="none"/>
        </w:rPr>
      </w:pPr>
      <w:bookmarkStart w:id="285" w:name="_Toc16412"/>
    </w:p>
    <w:p>
      <w:pPr>
        <w:pStyle w:val="7"/>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7"/>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pStyle w:val="44"/>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4"/>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7"/>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3"/>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7"/>
        <w:jc w:val="center"/>
        <w:rPr>
          <w:color w:val="auto"/>
          <w:highlight w:val="none"/>
        </w:rPr>
      </w:pPr>
      <w:bookmarkStart w:id="295" w:name="_Toc5919"/>
      <w:bookmarkStart w:id="296" w:name="_Toc29995"/>
      <w:bookmarkStart w:id="297" w:name="_Toc24210"/>
      <w:bookmarkStart w:id="298" w:name="_Toc1511"/>
      <w:bookmarkStart w:id="299" w:name="_Toc28067"/>
      <w:bookmarkStart w:id="300" w:name="_Toc17470"/>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7"/>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highlight w:val="none"/>
        </w:rPr>
      </w:pPr>
    </w:p>
    <w:p>
      <w:pPr>
        <w:pStyle w:val="7"/>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4"/>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4"/>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7"/>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7"/>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pStyle w:val="13"/>
        <w:ind w:left="0"/>
        <w:rPr>
          <w:color w:val="auto"/>
          <w:highlight w:val="none"/>
        </w:rPr>
      </w:pPr>
    </w:p>
    <w:p>
      <w:pPr>
        <w:pStyle w:val="7"/>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7"/>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6080"/>
      <w:bookmarkStart w:id="321" w:name="_Toc1274"/>
      <w:bookmarkStart w:id="322" w:name="_Toc4827"/>
      <w:bookmarkStart w:id="323" w:name="_Toc4464"/>
      <w:bookmarkStart w:id="324" w:name="_Toc18668"/>
    </w:p>
    <w:p>
      <w:pPr>
        <w:pStyle w:val="7"/>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9642"/>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30" w:name="_Toc4304"/>
            <w:bookmarkStart w:id="331" w:name="_Toc12049"/>
            <w:bookmarkStart w:id="332" w:name="_Toc15903"/>
            <w:bookmarkStart w:id="333" w:name="_Toc27090"/>
            <w:bookmarkStart w:id="334" w:name="_Toc14815"/>
            <w:bookmarkStart w:id="335" w:name="_Toc21739"/>
            <w:bookmarkStart w:id="336" w:name="_Toc2700"/>
            <w:bookmarkStart w:id="337" w:name="_Toc15368"/>
            <w:bookmarkStart w:id="338" w:name="_Toc22448"/>
            <w:bookmarkStart w:id="339" w:name="_Toc16872"/>
            <w:bookmarkStart w:id="340" w:name="_Toc1016"/>
            <w:bookmarkStart w:id="341" w:name="_Toc26124"/>
            <w:bookmarkStart w:id="342" w:name="_Toc10045"/>
            <w:bookmarkStart w:id="343" w:name="_Toc32531"/>
            <w:bookmarkStart w:id="344" w:name="_Toc7333"/>
            <w:bookmarkStart w:id="345" w:name="_Toc21809"/>
            <w:bookmarkStart w:id="346" w:name="_Toc8312"/>
            <w:bookmarkStart w:id="347" w:name="_Toc8490"/>
            <w:bookmarkStart w:id="348" w:name="_Toc24662"/>
            <w:bookmarkStart w:id="349" w:name="_Toc22917"/>
            <w:bookmarkStart w:id="350" w:name="_Toc22879"/>
            <w:bookmarkStart w:id="351" w:name="_Toc19251"/>
            <w:bookmarkStart w:id="352" w:name="_Toc2744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53" w:name="_Toc22153"/>
            <w:bookmarkStart w:id="354" w:name="_Toc10122"/>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9838"/>
            <w:bookmarkStart w:id="358" w:name="_Toc27285"/>
            <w:bookmarkStart w:id="359" w:name="_Toc17642"/>
            <w:bookmarkStart w:id="360" w:name="_Toc27185"/>
            <w:bookmarkStart w:id="361" w:name="_Toc5563"/>
            <w:bookmarkStart w:id="362" w:name="_Toc1330"/>
            <w:bookmarkStart w:id="363" w:name="_Toc3701"/>
            <w:bookmarkStart w:id="364" w:name="_Toc1912"/>
            <w:bookmarkStart w:id="365" w:name="_Toc5992"/>
            <w:bookmarkStart w:id="366" w:name="_Toc20820"/>
            <w:bookmarkStart w:id="367" w:name="_Toc20139"/>
            <w:bookmarkStart w:id="368" w:name="_Toc17296"/>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w:t>
      </w:r>
    </w:p>
    <w:p>
      <w:pPr>
        <w:pStyle w:val="41"/>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1"/>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1"/>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1"/>
        <w:rPr>
          <w:rFonts w:ascii="宋体" w:hAnsi="宋体"/>
          <w:color w:val="auto"/>
          <w:szCs w:val="21"/>
          <w:highlight w:val="none"/>
        </w:rPr>
      </w:pPr>
    </w:p>
    <w:p>
      <w:pPr>
        <w:pStyle w:val="41"/>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7"/>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7"/>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7"/>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3"/>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7"/>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7"/>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3"/>
        <w:rPr>
          <w:color w:val="auto"/>
          <w:highlight w:val="none"/>
        </w:rPr>
      </w:pPr>
    </w:p>
    <w:p>
      <w:pPr>
        <w:rPr>
          <w:color w:val="auto"/>
          <w:highlight w:val="none"/>
        </w:rPr>
      </w:pPr>
      <w:r>
        <w:rPr>
          <w:color w:val="auto"/>
          <w:highlight w:val="none"/>
        </w:rPr>
        <w:br w:type="page"/>
      </w:r>
    </w:p>
    <w:p>
      <w:pPr>
        <w:pStyle w:val="7"/>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rPr>
          <w:color w:val="auto"/>
          <w:highlight w:val="none"/>
        </w:rPr>
      </w:pPr>
    </w:p>
    <w:p>
      <w:pPr>
        <w:rPr>
          <w:color w:val="auto"/>
          <w:highlight w:val="none"/>
        </w:rPr>
      </w:pPr>
    </w:p>
    <w:p>
      <w:pPr>
        <w:pStyle w:val="7"/>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3"/>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3"/>
        <w:rPr>
          <w:color w:val="auto"/>
          <w:sz w:val="21"/>
          <w:szCs w:val="21"/>
          <w:highlight w:val="none"/>
        </w:rPr>
      </w:pPr>
    </w:p>
    <w:p>
      <w:pPr>
        <w:rPr>
          <w:rFonts w:ascii="宋体" w:hAnsi="宋体" w:cs="宋体"/>
          <w:color w:val="auto"/>
          <w:szCs w:val="21"/>
          <w:highlight w:val="none"/>
        </w:rPr>
      </w:pPr>
    </w:p>
    <w:p>
      <w:pPr>
        <w:pStyle w:val="13"/>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3"/>
        <w:rPr>
          <w:color w:val="auto"/>
          <w:highlight w:val="none"/>
        </w:rPr>
      </w:pPr>
    </w:p>
    <w:p>
      <w:pPr>
        <w:rPr>
          <w:color w:val="auto"/>
          <w:highlight w:val="none"/>
        </w:rPr>
      </w:pPr>
    </w:p>
    <w:p>
      <w:pPr>
        <w:pStyle w:val="13"/>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30"/>
        <w:tblW w:w="4998" w:type="pct"/>
        <w:tblInd w:w="0" w:type="dxa"/>
        <w:tblLayout w:type="fixed"/>
        <w:tblCellMar>
          <w:top w:w="0" w:type="dxa"/>
          <w:left w:w="108" w:type="dxa"/>
          <w:bottom w:w="0" w:type="dxa"/>
          <w:right w:w="108" w:type="dxa"/>
        </w:tblCellMar>
      </w:tblPr>
      <w:tblGrid>
        <w:gridCol w:w="2769"/>
        <w:gridCol w:w="2355"/>
        <w:gridCol w:w="1015"/>
        <w:gridCol w:w="2380"/>
      </w:tblGrid>
      <w:tr>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9"/>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5"/>
        <w:rPr>
          <w:rFonts w:eastAsia="微软雅黑"/>
        </w:rPr>
      </w:pPr>
      <w:r>
        <w:rPr>
          <w:rStyle w:val="36"/>
        </w:rPr>
        <w:footnoteRef/>
      </w:r>
      <w:r>
        <w:t xml:space="preserve"> </w:t>
      </w:r>
      <w:r>
        <w:rPr>
          <w:rFonts w:hint="eastAsia"/>
        </w:rPr>
        <w:t>从业人员、营业人员、资产总额填报上一年度数据，无上一年度数据的新成立企业可不填报。</w:t>
      </w:r>
    </w:p>
  </w:footnote>
  <w:footnote w:id="1">
    <w:p>
      <w:pPr>
        <w:pStyle w:val="25"/>
      </w:pPr>
      <w:r>
        <w:rPr>
          <w:rStyle w:val="3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1F11DC6"/>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A11861"/>
    <w:rsid w:val="04C9400E"/>
    <w:rsid w:val="04DF1036"/>
    <w:rsid w:val="050F6021"/>
    <w:rsid w:val="05203AD5"/>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4A5F5C"/>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5F2C51"/>
    <w:rsid w:val="0D890E47"/>
    <w:rsid w:val="0DBD266C"/>
    <w:rsid w:val="0DC64A00"/>
    <w:rsid w:val="0DEA328C"/>
    <w:rsid w:val="0DFC60BA"/>
    <w:rsid w:val="0E1243D2"/>
    <w:rsid w:val="0E3110EC"/>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5C74EC"/>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4316CF"/>
    <w:rsid w:val="14672B11"/>
    <w:rsid w:val="1470209B"/>
    <w:rsid w:val="14892735"/>
    <w:rsid w:val="14CC769D"/>
    <w:rsid w:val="157D38E3"/>
    <w:rsid w:val="15C259AA"/>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8540A1F"/>
    <w:rsid w:val="190B7894"/>
    <w:rsid w:val="19302282"/>
    <w:rsid w:val="199C3A1C"/>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4F5A7B"/>
    <w:rsid w:val="1E5C7612"/>
    <w:rsid w:val="1EA40BB4"/>
    <w:rsid w:val="1F43381C"/>
    <w:rsid w:val="1F857813"/>
    <w:rsid w:val="1FA4148D"/>
    <w:rsid w:val="20121621"/>
    <w:rsid w:val="201A421D"/>
    <w:rsid w:val="20341172"/>
    <w:rsid w:val="204E554F"/>
    <w:rsid w:val="20590035"/>
    <w:rsid w:val="20750119"/>
    <w:rsid w:val="20C35213"/>
    <w:rsid w:val="20FC799E"/>
    <w:rsid w:val="21A17A1C"/>
    <w:rsid w:val="22154DDD"/>
    <w:rsid w:val="22213E42"/>
    <w:rsid w:val="22336873"/>
    <w:rsid w:val="22380438"/>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994546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D65290"/>
    <w:rsid w:val="2FE04319"/>
    <w:rsid w:val="2FF37AB3"/>
    <w:rsid w:val="304A650F"/>
    <w:rsid w:val="308C7755"/>
    <w:rsid w:val="30FF27D2"/>
    <w:rsid w:val="31170995"/>
    <w:rsid w:val="31264A30"/>
    <w:rsid w:val="313A4D7D"/>
    <w:rsid w:val="31884E67"/>
    <w:rsid w:val="318D51AD"/>
    <w:rsid w:val="31A0275E"/>
    <w:rsid w:val="31B7357A"/>
    <w:rsid w:val="31D14BDA"/>
    <w:rsid w:val="31ED6B08"/>
    <w:rsid w:val="31F915C9"/>
    <w:rsid w:val="320D643F"/>
    <w:rsid w:val="3236546E"/>
    <w:rsid w:val="32610CE6"/>
    <w:rsid w:val="32631A32"/>
    <w:rsid w:val="328464CE"/>
    <w:rsid w:val="32AB70C5"/>
    <w:rsid w:val="32B95807"/>
    <w:rsid w:val="32DC33E0"/>
    <w:rsid w:val="330C1F7A"/>
    <w:rsid w:val="334101F9"/>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00748A"/>
    <w:rsid w:val="37311E7F"/>
    <w:rsid w:val="373563ED"/>
    <w:rsid w:val="374F1A0B"/>
    <w:rsid w:val="3778009F"/>
    <w:rsid w:val="37A103ED"/>
    <w:rsid w:val="37EA5E6E"/>
    <w:rsid w:val="37FF016F"/>
    <w:rsid w:val="38427C0B"/>
    <w:rsid w:val="387C5ABE"/>
    <w:rsid w:val="38865AC7"/>
    <w:rsid w:val="389B3A1E"/>
    <w:rsid w:val="38EB6119"/>
    <w:rsid w:val="394A6998"/>
    <w:rsid w:val="3986380F"/>
    <w:rsid w:val="39DE33DA"/>
    <w:rsid w:val="39FA5B4A"/>
    <w:rsid w:val="39FE0BE9"/>
    <w:rsid w:val="3A175247"/>
    <w:rsid w:val="3A3C1AAF"/>
    <w:rsid w:val="3A424C25"/>
    <w:rsid w:val="3A4B7CC1"/>
    <w:rsid w:val="3A51228C"/>
    <w:rsid w:val="3A552E60"/>
    <w:rsid w:val="3A5D642F"/>
    <w:rsid w:val="3AB210FC"/>
    <w:rsid w:val="3ACE216B"/>
    <w:rsid w:val="3AD95C13"/>
    <w:rsid w:val="3B261E51"/>
    <w:rsid w:val="3B973F88"/>
    <w:rsid w:val="3BCD72F7"/>
    <w:rsid w:val="3C414142"/>
    <w:rsid w:val="3C8C6382"/>
    <w:rsid w:val="3CE114D9"/>
    <w:rsid w:val="3CF737A2"/>
    <w:rsid w:val="3CF7509A"/>
    <w:rsid w:val="3D10295A"/>
    <w:rsid w:val="3D442901"/>
    <w:rsid w:val="3DED21B5"/>
    <w:rsid w:val="3E0572FD"/>
    <w:rsid w:val="3E1A5292"/>
    <w:rsid w:val="3E4127AD"/>
    <w:rsid w:val="3E5A7FE7"/>
    <w:rsid w:val="3EC8179E"/>
    <w:rsid w:val="3EF66B2E"/>
    <w:rsid w:val="3F217914"/>
    <w:rsid w:val="3F942B76"/>
    <w:rsid w:val="3FD70BB0"/>
    <w:rsid w:val="3FD83E86"/>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F543E"/>
    <w:rsid w:val="47F2350D"/>
    <w:rsid w:val="482D31EA"/>
    <w:rsid w:val="485970A0"/>
    <w:rsid w:val="48847961"/>
    <w:rsid w:val="489F50E6"/>
    <w:rsid w:val="48A41906"/>
    <w:rsid w:val="48B65C71"/>
    <w:rsid w:val="48F303D7"/>
    <w:rsid w:val="492434DC"/>
    <w:rsid w:val="492837FF"/>
    <w:rsid w:val="492E6A57"/>
    <w:rsid w:val="49894B84"/>
    <w:rsid w:val="49A121F9"/>
    <w:rsid w:val="49B86103"/>
    <w:rsid w:val="49F306B0"/>
    <w:rsid w:val="4A0030EE"/>
    <w:rsid w:val="4A2F6D9D"/>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CA439B"/>
    <w:rsid w:val="4CEA1028"/>
    <w:rsid w:val="4CF36F3C"/>
    <w:rsid w:val="4D4433CA"/>
    <w:rsid w:val="4D4F67BA"/>
    <w:rsid w:val="4D603399"/>
    <w:rsid w:val="4D6C1893"/>
    <w:rsid w:val="4D867EE1"/>
    <w:rsid w:val="4DBC4C65"/>
    <w:rsid w:val="4DF6568D"/>
    <w:rsid w:val="4DF7145B"/>
    <w:rsid w:val="4E2E1A80"/>
    <w:rsid w:val="4E550010"/>
    <w:rsid w:val="4E5F14CB"/>
    <w:rsid w:val="4E7F5FBD"/>
    <w:rsid w:val="4EB85DB1"/>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570AE"/>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C2B8D"/>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2F2DE7"/>
    <w:rsid w:val="5D893B14"/>
    <w:rsid w:val="5D9F3D30"/>
    <w:rsid w:val="5E2810D5"/>
    <w:rsid w:val="5E2B7D62"/>
    <w:rsid w:val="5E71411E"/>
    <w:rsid w:val="5EA06921"/>
    <w:rsid w:val="5ED5006A"/>
    <w:rsid w:val="5F0C44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1D0728C"/>
    <w:rsid w:val="62182687"/>
    <w:rsid w:val="621A1F76"/>
    <w:rsid w:val="62391564"/>
    <w:rsid w:val="62816669"/>
    <w:rsid w:val="62B619C6"/>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4B1B9C"/>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9"/>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0"/>
    <w:autoRedefine/>
    <w:unhideWhenUsed/>
    <w:qFormat/>
    <w:uiPriority w:val="9"/>
    <w:pPr>
      <w:keepNext/>
      <w:keepLines/>
      <w:outlineLvl w:val="2"/>
    </w:pPr>
    <w:rPr>
      <w:b/>
      <w:bCs/>
      <w:sz w:val="28"/>
      <w:szCs w:val="32"/>
    </w:rPr>
  </w:style>
  <w:style w:type="paragraph" w:styleId="8">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9">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10">
    <w:name w:val="heading 8"/>
    <w:basedOn w:val="1"/>
    <w:next w:val="1"/>
    <w:autoRedefine/>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semiHidden/>
    <w:unhideWhenUsed/>
    <w:qFormat/>
    <w:uiPriority w:val="99"/>
    <w:pPr>
      <w:ind w:firstLine="420" w:firstLineChars="200"/>
    </w:pPr>
  </w:style>
  <w:style w:type="paragraph" w:styleId="3">
    <w:name w:val="Body Text Indent"/>
    <w:basedOn w:val="1"/>
    <w:next w:val="4"/>
    <w:autoRedefine/>
    <w:qFormat/>
    <w:uiPriority w:val="0"/>
    <w:pPr>
      <w:ind w:left="270" w:leftChars="270"/>
    </w:pPr>
    <w:rPr>
      <w:rFonts w:ascii="Times New Roman" w:hAnsi="Times New Roman" w:eastAsia="宋体" w:cs="Times New Roman"/>
      <w:szCs w:val="20"/>
    </w:rPr>
  </w:style>
  <w:style w:type="paragraph" w:styleId="4">
    <w:name w:val="envelope return"/>
    <w:basedOn w:val="1"/>
    <w:autoRedefine/>
    <w:qFormat/>
    <w:uiPriority w:val="0"/>
    <w:rPr>
      <w:rFonts w:ascii="Arial" w:hAnsi="Arial"/>
    </w:rPr>
  </w:style>
  <w:style w:type="paragraph" w:styleId="11">
    <w:name w:val="Normal Indent"/>
    <w:basedOn w:val="1"/>
    <w:autoRedefine/>
    <w:semiHidden/>
    <w:unhideWhenUsed/>
    <w:qFormat/>
    <w:uiPriority w:val="99"/>
    <w:pPr>
      <w:ind w:firstLine="420" w:firstLineChars="200"/>
    </w:pPr>
  </w:style>
  <w:style w:type="paragraph" w:styleId="12">
    <w:name w:val="annotation text"/>
    <w:basedOn w:val="1"/>
    <w:autoRedefine/>
    <w:semiHidden/>
    <w:unhideWhenUsed/>
    <w:qFormat/>
    <w:uiPriority w:val="99"/>
  </w:style>
  <w:style w:type="paragraph" w:styleId="13">
    <w:name w:val="Body Text"/>
    <w:basedOn w:val="1"/>
    <w:next w:val="1"/>
    <w:autoRedefine/>
    <w:qFormat/>
    <w:uiPriority w:val="1"/>
    <w:pPr>
      <w:spacing w:before="161"/>
      <w:ind w:left="120"/>
    </w:pPr>
    <w:rPr>
      <w:rFonts w:ascii="宋体" w:hAnsi="宋体" w:cs="宋体"/>
      <w:sz w:val="24"/>
      <w:lang w:val="zh-CN" w:bidi="zh-CN"/>
    </w:rPr>
  </w:style>
  <w:style w:type="paragraph" w:styleId="14">
    <w:name w:val="toc 3"/>
    <w:basedOn w:val="1"/>
    <w:next w:val="1"/>
    <w:autoRedefine/>
    <w:unhideWhenUsed/>
    <w:qFormat/>
    <w:uiPriority w:val="39"/>
    <w:pPr>
      <w:tabs>
        <w:tab w:val="right" w:leader="dot" w:pos="8296"/>
      </w:tabs>
      <w:ind w:left="838" w:leftChars="381"/>
    </w:pPr>
    <w:rPr>
      <w:szCs w:val="21"/>
    </w:rPr>
  </w:style>
  <w:style w:type="paragraph" w:styleId="15">
    <w:name w:val="Plain Text"/>
    <w:basedOn w:val="1"/>
    <w:link w:val="52"/>
    <w:autoRedefine/>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autoRedefine/>
    <w:qFormat/>
    <w:uiPriority w:val="0"/>
    <w:pPr>
      <w:ind w:firstLine="539" w:firstLineChars="174"/>
    </w:pPr>
    <w:rPr>
      <w:rFonts w:ascii="仿宋_GB2312" w:eastAsia="仿宋_GB2312"/>
      <w:sz w:val="31"/>
    </w:r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54"/>
    <w:autoRedefine/>
    <w:unhideWhenUsed/>
    <w:qFormat/>
    <w:uiPriority w:val="99"/>
    <w:pPr>
      <w:tabs>
        <w:tab w:val="center" w:pos="4153"/>
        <w:tab w:val="right" w:pos="8306"/>
      </w:tabs>
    </w:pPr>
    <w:rPr>
      <w:sz w:val="18"/>
      <w:szCs w:val="18"/>
    </w:rPr>
  </w:style>
  <w:style w:type="paragraph" w:styleId="19">
    <w:name w:val="header"/>
    <w:basedOn w:val="1"/>
    <w:link w:val="53"/>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semiHidden/>
    <w:unhideWhenUsed/>
    <w:qFormat/>
    <w:uiPriority w:val="39"/>
  </w:style>
  <w:style w:type="paragraph" w:styleId="21">
    <w:name w:val="toc 4"/>
    <w:basedOn w:val="1"/>
    <w:next w:val="1"/>
    <w:autoRedefine/>
    <w:unhideWhenUsed/>
    <w:qFormat/>
    <w:uiPriority w:val="39"/>
    <w:pPr>
      <w:tabs>
        <w:tab w:val="right" w:leader="dot" w:pos="8296"/>
      </w:tabs>
      <w:spacing w:after="120"/>
      <w:ind w:left="1320" w:leftChars="600"/>
    </w:pPr>
  </w:style>
  <w:style w:type="paragraph" w:styleId="22">
    <w:name w:val="index heading"/>
    <w:basedOn w:val="1"/>
    <w:next w:val="23"/>
    <w:autoRedefine/>
    <w:qFormat/>
    <w:uiPriority w:val="0"/>
    <w:rPr>
      <w:rFonts w:ascii="Times New Roman" w:hAnsi="Times New Roman"/>
      <w:szCs w:val="20"/>
    </w:rPr>
  </w:style>
  <w:style w:type="paragraph" w:styleId="23">
    <w:name w:val="index 1"/>
    <w:basedOn w:val="1"/>
    <w:next w:val="1"/>
    <w:autoRedefine/>
    <w:unhideWhenUsed/>
    <w:qFormat/>
    <w:uiPriority w:val="99"/>
  </w:style>
  <w:style w:type="paragraph" w:styleId="24">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5">
    <w:name w:val="footnote text"/>
    <w:basedOn w:val="1"/>
    <w:autoRedefine/>
    <w:semiHidden/>
    <w:unhideWhenUsed/>
    <w:qFormat/>
    <w:uiPriority w:val="99"/>
    <w:rPr>
      <w:sz w:val="18"/>
    </w:rPr>
  </w:style>
  <w:style w:type="paragraph" w:styleId="26">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7">
    <w:name w:val="Normal (Web)"/>
    <w:basedOn w:val="1"/>
    <w:link w:val="57"/>
    <w:autoRedefine/>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3"/>
    <w:autoRedefine/>
    <w:unhideWhenUsed/>
    <w:qFormat/>
    <w:uiPriority w:val="99"/>
    <w:pPr>
      <w:ind w:firstLine="420" w:firstLineChars="100"/>
    </w:pPr>
    <w:rPr>
      <w:rFonts w:ascii="Times New Roman" w:hAnsi="Times New Roman" w:cs="Times New Roman"/>
    </w:r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mphasis"/>
    <w:basedOn w:val="32"/>
    <w:autoRedefine/>
    <w:qFormat/>
    <w:uiPriority w:val="20"/>
    <w:rPr>
      <w:i/>
      <w:iCs/>
    </w:rPr>
  </w:style>
  <w:style w:type="character" w:styleId="34">
    <w:name w:val="Hyperlink"/>
    <w:autoRedefine/>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2"/>
    <w:autoRedefine/>
    <w:semiHidden/>
    <w:unhideWhenUsed/>
    <w:qFormat/>
    <w:uiPriority w:val="99"/>
    <w:rPr>
      <w:sz w:val="21"/>
      <w:szCs w:val="21"/>
    </w:rPr>
  </w:style>
  <w:style w:type="character" w:styleId="36">
    <w:name w:val="footnote reference"/>
    <w:basedOn w:val="32"/>
    <w:autoRedefine/>
    <w:semiHidden/>
    <w:unhideWhenUsed/>
    <w:qFormat/>
    <w:uiPriority w:val="99"/>
    <w:rPr>
      <w:vertAlign w:val="superscript"/>
    </w:rPr>
  </w:style>
  <w:style w:type="paragraph" w:customStyle="1" w:styleId="37">
    <w:name w:val="表格文字"/>
    <w:basedOn w:val="1"/>
    <w:autoRedefine/>
    <w:qFormat/>
    <w:uiPriority w:val="0"/>
    <w:pPr>
      <w:adjustRightInd/>
      <w:spacing w:before="25" w:after="25"/>
    </w:pPr>
    <w:rPr>
      <w:rFonts w:ascii="Times New Roman"/>
      <w:bCs/>
      <w:spacing w:val="10"/>
      <w:szCs w:val="20"/>
    </w:rPr>
  </w:style>
  <w:style w:type="paragraph" w:customStyle="1" w:styleId="38">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 2 Char"/>
    <w:basedOn w:val="32"/>
    <w:link w:val="6"/>
    <w:autoRedefine/>
    <w:qFormat/>
    <w:uiPriority w:val="9"/>
    <w:rPr>
      <w:rFonts w:asciiTheme="majorHAnsi" w:hAnsiTheme="majorHAnsi" w:eastAsiaTheme="majorEastAsia" w:cstheme="majorBidi"/>
      <w:b/>
      <w:bCs/>
      <w:sz w:val="32"/>
      <w:szCs w:val="32"/>
    </w:rPr>
  </w:style>
  <w:style w:type="character" w:customStyle="1" w:styleId="40">
    <w:name w:val="标题 3 Char"/>
    <w:basedOn w:val="32"/>
    <w:link w:val="7"/>
    <w:autoRedefine/>
    <w:qFormat/>
    <w:uiPriority w:val="9"/>
    <w:rPr>
      <w:rFonts w:ascii="Tahoma" w:hAnsi="Tahoma" w:eastAsia="宋体"/>
      <w:b/>
      <w:bCs/>
      <w:sz w:val="28"/>
      <w:szCs w:val="32"/>
    </w:rPr>
  </w:style>
  <w:style w:type="paragraph" w:styleId="41">
    <w:name w:val="List Paragraph"/>
    <w:basedOn w:val="1"/>
    <w:autoRedefine/>
    <w:qFormat/>
    <w:uiPriority w:val="34"/>
    <w:pPr>
      <w:ind w:firstLine="420" w:firstLineChars="200"/>
    </w:pPr>
  </w:style>
  <w:style w:type="character" w:customStyle="1" w:styleId="42">
    <w:name w:val="标题 4 Char"/>
    <w:basedOn w:val="32"/>
    <w:link w:val="8"/>
    <w:autoRedefine/>
    <w:qFormat/>
    <w:uiPriority w:val="9"/>
    <w:rPr>
      <w:rFonts w:eastAsia="宋体" w:asciiTheme="majorHAnsi" w:hAnsiTheme="majorHAnsi" w:cstheme="majorBidi"/>
      <w:b/>
      <w:bCs/>
      <w:sz w:val="24"/>
      <w:szCs w:val="28"/>
    </w:rPr>
  </w:style>
  <w:style w:type="character" w:customStyle="1" w:styleId="43">
    <w:name w:val="正文缩进2格 Char"/>
    <w:link w:val="44"/>
    <w:autoRedefine/>
    <w:qFormat/>
    <w:uiPriority w:val="0"/>
    <w:rPr>
      <w:rFonts w:ascii="仿宋_GB2312" w:hAnsi="宋体" w:eastAsia="仿宋_GB2312"/>
      <w:kern w:val="2"/>
      <w:sz w:val="31"/>
    </w:rPr>
  </w:style>
  <w:style w:type="paragraph" w:customStyle="1" w:styleId="44">
    <w:name w:val="正文缩进2格"/>
    <w:basedOn w:val="1"/>
    <w:next w:val="1"/>
    <w:link w:val="43"/>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autoRedefine/>
    <w:qFormat/>
    <w:uiPriority w:val="0"/>
    <w:pPr>
      <w:ind w:left="2" w:firstLine="538" w:firstLineChars="192"/>
    </w:pPr>
    <w:rPr>
      <w:color w:val="0000FF"/>
      <w:sz w:val="28"/>
    </w:rPr>
  </w:style>
  <w:style w:type="character" w:customStyle="1" w:styleId="46">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7">
    <w:name w:val="标题1"/>
    <w:autoRedefine/>
    <w:qFormat/>
    <w:uiPriority w:val="0"/>
    <w:rPr>
      <w:rFonts w:ascii="Times New Roman" w:hAnsi="Times New Roman" w:eastAsia="宋体" w:cs="Times New Roman"/>
      <w:b/>
      <w:kern w:val="0"/>
      <w:sz w:val="24"/>
      <w:szCs w:val="20"/>
      <w:lang w:eastAsia="en-US"/>
    </w:rPr>
  </w:style>
  <w:style w:type="character" w:customStyle="1" w:styleId="48">
    <w:name w:val="标题 3.1 Char"/>
    <w:link w:val="49"/>
    <w:autoRedefine/>
    <w:qFormat/>
    <w:uiPriority w:val="0"/>
    <w:rPr>
      <w:rFonts w:ascii="宋体" w:hAnsi="宋体" w:eastAsia="宋体"/>
      <w:b/>
      <w:color w:val="FF0000"/>
      <w:kern w:val="2"/>
      <w:sz w:val="32"/>
    </w:rPr>
  </w:style>
  <w:style w:type="paragraph" w:customStyle="1" w:styleId="49">
    <w:name w:val="标题 3.1"/>
    <w:basedOn w:val="7"/>
    <w:link w:val="48"/>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autoRedefine/>
    <w:qFormat/>
    <w:uiPriority w:val="0"/>
    <w:rPr>
      <w:rFonts w:ascii="楷体_GB2312" w:hAnsi="楷体_GB2312" w:eastAsia="仿宋_GB2312"/>
      <w:sz w:val="24"/>
    </w:rPr>
  </w:style>
  <w:style w:type="character" w:customStyle="1" w:styleId="51">
    <w:name w:val="纯文本 Char"/>
    <w:autoRedefine/>
    <w:qFormat/>
    <w:uiPriority w:val="0"/>
    <w:rPr>
      <w:rFonts w:ascii="宋体" w:hAnsi="Courier New" w:eastAsia="宋体" w:cs="Times New Roman"/>
      <w:b/>
      <w:kern w:val="2"/>
      <w:sz w:val="21"/>
      <w:szCs w:val="20"/>
    </w:rPr>
  </w:style>
  <w:style w:type="character" w:customStyle="1" w:styleId="52">
    <w:name w:val="纯文本 Char1"/>
    <w:basedOn w:val="32"/>
    <w:link w:val="15"/>
    <w:autoRedefine/>
    <w:semiHidden/>
    <w:qFormat/>
    <w:uiPriority w:val="99"/>
    <w:rPr>
      <w:rFonts w:ascii="宋体" w:hAnsi="Courier New" w:eastAsia="宋体" w:cs="Courier New"/>
      <w:sz w:val="21"/>
      <w:szCs w:val="21"/>
    </w:rPr>
  </w:style>
  <w:style w:type="character" w:customStyle="1" w:styleId="53">
    <w:name w:val="页眉 Char"/>
    <w:basedOn w:val="32"/>
    <w:link w:val="19"/>
    <w:autoRedefine/>
    <w:qFormat/>
    <w:uiPriority w:val="99"/>
    <w:rPr>
      <w:rFonts w:ascii="Tahoma" w:hAnsi="Tahoma"/>
      <w:sz w:val="18"/>
      <w:szCs w:val="18"/>
    </w:rPr>
  </w:style>
  <w:style w:type="character" w:customStyle="1" w:styleId="54">
    <w:name w:val="页脚 Char"/>
    <w:basedOn w:val="32"/>
    <w:link w:val="18"/>
    <w:autoRedefine/>
    <w:qFormat/>
    <w:uiPriority w:val="99"/>
    <w:rPr>
      <w:rFonts w:ascii="Tahoma" w:hAnsi="Tahoma"/>
      <w:sz w:val="18"/>
      <w:szCs w:val="18"/>
    </w:rPr>
  </w:style>
  <w:style w:type="character" w:customStyle="1" w:styleId="55">
    <w:name w:val="批注框文本 Char"/>
    <w:basedOn w:val="32"/>
    <w:link w:val="17"/>
    <w:autoRedefine/>
    <w:semiHidden/>
    <w:qFormat/>
    <w:uiPriority w:val="99"/>
    <w:rPr>
      <w:rFonts w:ascii="Tahoma" w:hAnsi="Tahoma"/>
      <w:sz w:val="18"/>
      <w:szCs w:val="18"/>
    </w:rPr>
  </w:style>
  <w:style w:type="paragraph" w:customStyle="1" w:styleId="56">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7">
    <w:name w:val="普通(网站) Char"/>
    <w:link w:val="27"/>
    <w:autoRedefine/>
    <w:qFormat/>
    <w:uiPriority w:val="0"/>
    <w:rPr>
      <w:rFonts w:eastAsia="宋体"/>
      <w:kern w:val="2"/>
      <w:sz w:val="24"/>
      <w:szCs w:val="24"/>
    </w:rPr>
  </w:style>
  <w:style w:type="paragraph" w:customStyle="1" w:styleId="58">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autoRedefine/>
    <w:qFormat/>
    <w:uiPriority w:val="0"/>
    <w:rPr>
      <w:sz w:val="21"/>
      <w:szCs w:val="21"/>
    </w:rPr>
  </w:style>
  <w:style w:type="paragraph" w:customStyle="1" w:styleId="60">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1">
    <w:name w:val="正文无缩进"/>
    <w:basedOn w:val="44"/>
    <w:autoRedefine/>
    <w:qFormat/>
    <w:uiPriority w:val="0"/>
    <w:pPr>
      <w:ind w:firstLine="0" w:firstLineChars="0"/>
    </w:pPr>
  </w:style>
  <w:style w:type="paragraph" w:customStyle="1" w:styleId="62">
    <w:name w:val="一级条标题"/>
    <w:basedOn w:val="63"/>
    <w:next w:val="64"/>
    <w:autoRedefine/>
    <w:qFormat/>
    <w:uiPriority w:val="0"/>
    <w:pPr>
      <w:tabs>
        <w:tab w:val="left" w:pos="720"/>
      </w:tabs>
      <w:spacing w:beforeLines="0" w:afterLines="0"/>
      <w:outlineLvl w:val="2"/>
    </w:pPr>
  </w:style>
  <w:style w:type="paragraph" w:customStyle="1" w:styleId="63">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4">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font212"/>
    <w:basedOn w:val="32"/>
    <w:autoRedefine/>
    <w:qFormat/>
    <w:uiPriority w:val="0"/>
    <w:rPr>
      <w:rFonts w:ascii="宋体" w:hAnsi="宋体" w:eastAsia="宋体" w:cs="宋体"/>
      <w:color w:val="000000"/>
      <w:sz w:val="22"/>
      <w:szCs w:val="22"/>
      <w:u w:val="none"/>
    </w:rPr>
  </w:style>
  <w:style w:type="character" w:customStyle="1" w:styleId="66">
    <w:name w:val="font41"/>
    <w:basedOn w:val="32"/>
    <w:autoRedefine/>
    <w:qFormat/>
    <w:uiPriority w:val="0"/>
    <w:rPr>
      <w:rFonts w:hint="eastAsia" w:ascii="宋体" w:hAnsi="宋体" w:eastAsia="宋体" w:cs="宋体"/>
      <w:color w:val="000000"/>
      <w:sz w:val="22"/>
      <w:szCs w:val="22"/>
      <w:u w:val="none"/>
    </w:rPr>
  </w:style>
  <w:style w:type="character" w:customStyle="1" w:styleId="67">
    <w:name w:val="font181"/>
    <w:basedOn w:val="32"/>
    <w:autoRedefine/>
    <w:qFormat/>
    <w:uiPriority w:val="0"/>
    <w:rPr>
      <w:rFonts w:hint="default" w:ascii="Times New Roman" w:hAnsi="Times New Roman" w:cs="Times New Roman"/>
      <w:color w:val="000000"/>
      <w:sz w:val="22"/>
      <w:szCs w:val="22"/>
      <w:u w:val="none"/>
    </w:rPr>
  </w:style>
  <w:style w:type="character" w:customStyle="1" w:styleId="68">
    <w:name w:val="font221"/>
    <w:basedOn w:val="32"/>
    <w:autoRedefine/>
    <w:qFormat/>
    <w:uiPriority w:val="0"/>
    <w:rPr>
      <w:rFonts w:hint="eastAsia" w:ascii="宋体" w:hAnsi="宋体" w:eastAsia="宋体" w:cs="宋体"/>
      <w:color w:val="000000"/>
      <w:sz w:val="22"/>
      <w:szCs w:val="22"/>
      <w:u w:val="none"/>
      <w:vertAlign w:val="superscript"/>
    </w:rPr>
  </w:style>
  <w:style w:type="character" w:customStyle="1" w:styleId="69">
    <w:name w:val="font161"/>
    <w:basedOn w:val="32"/>
    <w:autoRedefine/>
    <w:qFormat/>
    <w:uiPriority w:val="0"/>
    <w:rPr>
      <w:rFonts w:hint="eastAsia" w:ascii="宋体" w:hAnsi="宋体" w:eastAsia="宋体" w:cs="宋体"/>
      <w:color w:val="000000"/>
      <w:sz w:val="22"/>
      <w:szCs w:val="22"/>
      <w:u w:val="none"/>
    </w:rPr>
  </w:style>
  <w:style w:type="character" w:customStyle="1" w:styleId="70">
    <w:name w:val="font131"/>
    <w:basedOn w:val="32"/>
    <w:autoRedefine/>
    <w:qFormat/>
    <w:uiPriority w:val="0"/>
    <w:rPr>
      <w:rFonts w:hint="eastAsia" w:ascii="微软雅黑" w:hAnsi="微软雅黑" w:eastAsia="微软雅黑" w:cs="微软雅黑"/>
      <w:color w:val="000000"/>
      <w:sz w:val="22"/>
      <w:szCs w:val="22"/>
      <w:u w:val="none"/>
    </w:rPr>
  </w:style>
  <w:style w:type="paragraph" w:customStyle="1" w:styleId="71">
    <w:name w:val="*正文"/>
    <w:basedOn w:val="1"/>
    <w:autoRedefine/>
    <w:qFormat/>
    <w:uiPriority w:val="0"/>
    <w:pPr>
      <w:spacing w:after="200"/>
      <w:ind w:firstLine="200"/>
    </w:pPr>
    <w:rPr>
      <w:rFonts w:ascii="宋体" w:hAnsi="宋体"/>
      <w:sz w:val="24"/>
      <w:szCs w:val="24"/>
    </w:rPr>
  </w:style>
  <w:style w:type="paragraph" w:customStyle="1" w:styleId="72">
    <w:name w:val="列出段落2"/>
    <w:basedOn w:val="1"/>
    <w:autoRedefine/>
    <w:qFormat/>
    <w:uiPriority w:val="0"/>
    <w:pPr>
      <w:ind w:firstLine="420" w:firstLineChars="200"/>
    </w:pPr>
    <w:rPr>
      <w:rFonts w:ascii="Calibri" w:hAnsi="Calibri" w:cs="Times New Roman"/>
    </w:rPr>
  </w:style>
  <w:style w:type="paragraph" w:customStyle="1" w:styleId="73">
    <w:name w:val="Table Paragraph"/>
    <w:basedOn w:val="1"/>
    <w:autoRedefine/>
    <w:qFormat/>
    <w:uiPriority w:val="1"/>
  </w:style>
  <w:style w:type="character" w:customStyle="1" w:styleId="74">
    <w:name w:val="font61"/>
    <w:basedOn w:val="32"/>
    <w:autoRedefine/>
    <w:qFormat/>
    <w:uiPriority w:val="0"/>
    <w:rPr>
      <w:rFonts w:hint="eastAsia" w:ascii="宋体" w:hAnsi="宋体" w:eastAsia="宋体" w:cs="宋体"/>
      <w:color w:val="000000"/>
      <w:sz w:val="20"/>
      <w:szCs w:val="20"/>
      <w:u w:val="none"/>
    </w:rPr>
  </w:style>
  <w:style w:type="character" w:customStyle="1" w:styleId="75">
    <w:name w:val="font101"/>
    <w:basedOn w:val="32"/>
    <w:autoRedefine/>
    <w:qFormat/>
    <w:uiPriority w:val="0"/>
    <w:rPr>
      <w:rFonts w:hint="eastAsia" w:ascii="宋体" w:hAnsi="宋体" w:eastAsia="宋体" w:cs="宋体"/>
      <w:color w:val="70AD47"/>
      <w:sz w:val="20"/>
      <w:szCs w:val="20"/>
      <w:u w:val="none"/>
    </w:rPr>
  </w:style>
  <w:style w:type="character" w:customStyle="1" w:styleId="76">
    <w:name w:val="font31"/>
    <w:basedOn w:val="32"/>
    <w:autoRedefine/>
    <w:qFormat/>
    <w:uiPriority w:val="0"/>
    <w:rPr>
      <w:rFonts w:hint="eastAsia" w:ascii="宋体" w:hAnsi="宋体" w:eastAsia="宋体" w:cs="宋体"/>
      <w:color w:val="000000"/>
      <w:sz w:val="20"/>
      <w:szCs w:val="20"/>
      <w:u w:val="none"/>
    </w:rPr>
  </w:style>
  <w:style w:type="character" w:customStyle="1" w:styleId="77">
    <w:name w:val="font91"/>
    <w:basedOn w:val="32"/>
    <w:autoRedefine/>
    <w:qFormat/>
    <w:uiPriority w:val="0"/>
    <w:rPr>
      <w:rFonts w:hint="eastAsia" w:ascii="宋体" w:hAnsi="宋体" w:eastAsia="宋体" w:cs="宋体"/>
      <w:color w:val="000000"/>
      <w:sz w:val="22"/>
      <w:szCs w:val="22"/>
      <w:u w:val="none"/>
    </w:rPr>
  </w:style>
  <w:style w:type="character" w:customStyle="1" w:styleId="78">
    <w:name w:val="font121"/>
    <w:basedOn w:val="32"/>
    <w:autoRedefine/>
    <w:qFormat/>
    <w:uiPriority w:val="0"/>
    <w:rPr>
      <w:rFonts w:hint="default" w:ascii="Times New Roman" w:hAnsi="Times New Roman" w:cs="Times New Roman"/>
      <w:color w:val="000000"/>
      <w:sz w:val="22"/>
      <w:szCs w:val="22"/>
      <w:u w:val="none"/>
    </w:rPr>
  </w:style>
  <w:style w:type="paragraph" w:customStyle="1" w:styleId="79">
    <w:name w:val="Table Text"/>
    <w:basedOn w:val="1"/>
    <w:autoRedefine/>
    <w:semiHidden/>
    <w:qFormat/>
    <w:uiPriority w:val="0"/>
    <w:rPr>
      <w:rFonts w:ascii="宋体" w:hAnsi="宋体" w:eastAsia="宋体" w:cs="宋体"/>
      <w:sz w:val="21"/>
      <w:szCs w:val="21"/>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保留正文"/>
    <w:basedOn w:val="13"/>
    <w:autoRedefine/>
    <w:qFormat/>
    <w:uiPriority w:val="0"/>
    <w:pPr>
      <w:keepNext/>
    </w:pPr>
    <w:rPr>
      <w:rFonts w:ascii="Times New Roman" w:hAnsi="Times New Roman"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81</Pages>
  <Words>36607</Words>
  <Characters>37441</Characters>
  <Lines>392</Lines>
  <Paragraphs>110</Paragraphs>
  <TotalTime>0</TotalTime>
  <ScaleCrop>false</ScaleCrop>
  <LinksUpToDate>false</LinksUpToDate>
  <CharactersWithSpaces>39721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2024-03-26T11:05:33Z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D9AFFE071BC648619EB69328E6F727C6_13</vt:lpwstr>
  </property>
</Properties>
</file>