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2"/>
        <w:ind w:firstLine="240"/>
        <w:rPr>
          <w:rFonts w:ascii="黑体" w:eastAsia="黑体"/>
          <w:color w:val="auto"/>
          <w:szCs w:val="21"/>
          <w:highlight w:val="none"/>
        </w:rPr>
      </w:pPr>
    </w:p>
    <w:p>
      <w:pPr>
        <w:pStyle w:val="22"/>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GDZT2024108C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东莞市横沥镇社区卫生服务中心基因检测、药物预测外送检验服务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0"/>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5"/>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6"/>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东莞市横沥镇社区卫生服务中心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东莞市横沥镇社区卫生服务中心基因检测、药物预测外送检验服务</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bookmarkStart w:id="389" w:name="_GoBack"/>
      <w:bookmarkEnd w:id="389"/>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GDZT2024108C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东莞市横沥镇社区卫生服务中心基因检测、药物预测外送检验服务</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48"/>
        <w:gridCol w:w="660"/>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13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4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1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133"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东莞市横沥镇社区卫生服务中心基因检测、药物预测外送检验服务</w:t>
            </w:r>
          </w:p>
        </w:tc>
        <w:tc>
          <w:tcPr>
            <w:tcW w:w="444"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17"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600,000.00</w:t>
            </w:r>
            <w:r>
              <w:rPr>
                <w:rFonts w:hint="eastAsia" w:ascii="宋体" w:hAnsi="宋体"/>
                <w:color w:val="auto"/>
                <w:szCs w:val="21"/>
                <w:highlight w:val="none"/>
              </w:rPr>
              <w:t>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投标人</w:t>
      </w:r>
      <w:r>
        <w:rPr>
          <w:rFonts w:hint="eastAsia" w:ascii="宋体" w:hAnsi="宋体" w:eastAsia="宋体" w:cs="宋体"/>
          <w:color w:val="auto"/>
          <w:kern w:val="0"/>
          <w:sz w:val="21"/>
          <w:szCs w:val="21"/>
          <w:highlight w:val="none"/>
          <w:lang w:val="en-US" w:eastAsia="zh-CN"/>
        </w:rPr>
        <w:t>须具有卫生行政部门核发且在有效期内的《医疗机构执业许可证》。</w:t>
      </w:r>
    </w:p>
    <w:p>
      <w:pPr>
        <w:shd w:val="clear"/>
        <w:spacing w:after="0" w:line="360" w:lineRule="auto"/>
        <w:ind w:firstLine="411" w:firstLineChars="196"/>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27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09</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r>
        <w:rPr>
          <w:rFonts w:hint="eastAsia" w:ascii="宋体" w:hAnsi="宋体"/>
          <w:bCs/>
          <w:color w:val="auto"/>
          <w:szCs w:val="21"/>
          <w:highlight w:val="none"/>
          <w:lang w:val="en-US" w:eastAsia="zh-CN"/>
        </w:rPr>
        <w:t>09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27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采购人联系人：黄</w:t>
      </w:r>
      <w:r>
        <w:rPr>
          <w:rFonts w:hint="eastAsia" w:ascii="宋体" w:hAnsi="宋体"/>
          <w:bCs/>
          <w:color w:val="auto"/>
          <w:sz w:val="21"/>
          <w:szCs w:val="21"/>
          <w:highlight w:val="none"/>
          <w:lang w:val="en-US" w:eastAsia="zh-CN"/>
        </w:rPr>
        <w:t>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eastAsia="zh-CN"/>
        </w:rPr>
        <w:t xml:space="preserve"> 0769-82208056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2"/>
        <w:rPr>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5"/>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b/>
                <w:color w:val="auto"/>
                <w:szCs w:val="21"/>
                <w:highlight w:val="none"/>
              </w:rPr>
              <w:t>自筹资金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5"/>
        <w:spacing w:before="0" w:after="0" w:line="360" w:lineRule="auto"/>
        <w:rPr>
          <w:color w:val="auto"/>
          <w:highlight w:val="none"/>
        </w:rPr>
      </w:pPr>
      <w:bookmarkStart w:id="8" w:name="_Toc5749"/>
      <w:bookmarkStart w:id="9" w:name="_Hlk55300595"/>
      <w:bookmarkStart w:id="10" w:name="_Toc13473"/>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6"/>
        <w:spacing w:line="240" w:lineRule="auto"/>
        <w:jc w:val="center"/>
        <w:rPr>
          <w:rFonts w:hint="eastAsia"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价格分计算方法：满足招标文件要求且投标价格最低的综合单价折扣率为评标基准价，其价格分为满分。其他投标人的价格分统一按照下列公式计算：</w:t>
            </w:r>
          </w:p>
          <w:p>
            <w:pPr>
              <w:pStyle w:val="36"/>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投标报价得分=(评标基准单价折扣率／投标单价折扣率)×价格权值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企业</w:t>
            </w:r>
            <w:r>
              <w:rPr>
                <w:rFonts w:hint="eastAsia" w:ascii="宋体" w:hAnsi="宋体" w:eastAsia="宋体" w:cs="宋体"/>
                <w:color w:val="auto"/>
                <w:sz w:val="21"/>
                <w:szCs w:val="21"/>
                <w:highlight w:val="none"/>
                <w:lang w:eastAsia="zh-CN"/>
              </w:rPr>
              <w:t>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投标人具有由国家认证认可的监督管理部门批准设立的认证机构颁发并在有效期内的：</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（1）质量管理体系认证证书，得4分，本项最高得4分；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（2）职业健康安全管理体系认证证书，得4分，本项最高得4分；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（3）环境管理体系认证证书，得4分，本项最高得4分；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（4）信息安全管理体系认证证书，得4分，本项最高得4分。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kern w:val="2"/>
                <w:sz w:val="21"/>
                <w:szCs w:val="21"/>
                <w:highlight w:val="none"/>
                <w:lang w:val="pt-BR" w:eastAsia="zh-CN" w:bidi="ar-SA"/>
              </w:rPr>
            </w:pPr>
            <w:r>
              <w:rPr>
                <w:rFonts w:hint="eastAsia" w:ascii="宋体" w:hAnsi="宋体" w:eastAsia="宋体" w:cs="宋体"/>
                <w:color w:val="auto"/>
                <w:kern w:val="0"/>
                <w:sz w:val="21"/>
                <w:szCs w:val="21"/>
                <w:highlight w:val="none"/>
                <w:lang w:val="en-US" w:eastAsia="zh-CN" w:bidi="ar-SA"/>
              </w:rPr>
              <w:t>注：须提供有效证书复印件加盖投标人公章，否则不得分。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val="zh-CN"/>
              </w:rPr>
              <w:t>具有医疗机构检验（或检测）外送服务</w:t>
            </w:r>
            <w:r>
              <w:rPr>
                <w:rFonts w:hint="eastAsia" w:ascii="宋体" w:hAns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rPr>
              <w:t>项目业绩</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，按医疗机构的数量计分，每提供一个医疗机构</w:t>
            </w:r>
            <w:r>
              <w:rPr>
                <w:rFonts w:hint="eastAsia" w:ascii="宋体" w:hAnsi="宋体" w:eastAsia="宋体" w:cs="宋体"/>
                <w:bCs/>
                <w:color w:val="auto"/>
                <w:sz w:val="21"/>
                <w:szCs w:val="21"/>
                <w:highlight w:val="none"/>
                <w:lang w:val="en-US" w:eastAsia="zh-CN"/>
              </w:rPr>
              <w:t>的业绩</w:t>
            </w:r>
            <w:r>
              <w:rPr>
                <w:rFonts w:hint="eastAsia" w:ascii="宋体" w:hAnsi="宋体" w:eastAsia="宋体" w:cs="宋体"/>
                <w:bCs/>
                <w:color w:val="auto"/>
                <w:sz w:val="21"/>
                <w:szCs w:val="21"/>
                <w:highlight w:val="none"/>
                <w:lang w:val="zh-CN"/>
              </w:rPr>
              <w:t>合同得2分，</w:t>
            </w:r>
            <w:r>
              <w:rPr>
                <w:rFonts w:hint="eastAsia" w:ascii="宋体" w:hAns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rPr>
              <w:t>最高得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0分。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color w:val="auto"/>
                <w:sz w:val="21"/>
                <w:szCs w:val="21"/>
                <w:highlight w:val="none"/>
              </w:rPr>
              <w:t>须提供业绩合同复印件</w:t>
            </w:r>
            <w:r>
              <w:rPr>
                <w:rFonts w:hint="eastAsia" w:ascii="宋体" w:hAnsi="宋体" w:eastAsia="宋体" w:cs="宋体"/>
                <w:color w:val="auto"/>
                <w:sz w:val="21"/>
                <w:szCs w:val="21"/>
                <w:highlight w:val="none"/>
                <w:lang w:eastAsia="zh-CN"/>
              </w:rPr>
              <w:t>加盖投标人公章，</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w:t>
            </w:r>
            <w:r>
              <w:rPr>
                <w:rFonts w:hint="eastAsia" w:ascii="宋体" w:hAnsi="宋体" w:eastAsia="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（3）承诺在接到采购人通知后3小时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lang w:val="en-US" w:eastAsia="zh-CN"/>
              </w:rPr>
              <w:t>未</w:t>
            </w:r>
            <w:r>
              <w:rPr>
                <w:rFonts w:hint="eastAsia" w:ascii="宋体" w:hAnsi="宋体" w:eastAsia="宋体" w:cs="宋体"/>
                <w:bCs/>
                <w:color w:val="auto"/>
                <w:sz w:val="21"/>
                <w:szCs w:val="21"/>
                <w:highlight w:val="none"/>
              </w:rPr>
              <w:t>承诺</w:t>
            </w:r>
            <w:r>
              <w:rPr>
                <w:rFonts w:hint="eastAsia" w:ascii="宋体" w:hAnsi="宋体" w:eastAsia="宋体" w:cs="宋体"/>
                <w:bCs/>
                <w:color w:val="auto"/>
                <w:sz w:val="21"/>
                <w:szCs w:val="21"/>
                <w:highlight w:val="none"/>
                <w:lang w:val="en-US" w:eastAsia="zh-CN"/>
              </w:rPr>
              <w:t>或其他情况</w:t>
            </w:r>
            <w:r>
              <w:rPr>
                <w:rFonts w:hint="eastAsia" w:ascii="宋体" w:hAnsi="宋体" w:eastAsia="宋体" w:cs="宋体"/>
                <w:bCs/>
                <w:color w:val="auto"/>
                <w:sz w:val="21"/>
                <w:szCs w:val="21"/>
                <w:highlight w:val="none"/>
              </w:rPr>
              <w:t>，不得分。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zh-CN"/>
              </w:rPr>
              <w:t>注：</w:t>
            </w:r>
            <w:r>
              <w:rPr>
                <w:rFonts w:hint="eastAsia" w:ascii="宋体" w:hAnsi="宋体" w:eastAsia="宋体" w:cs="宋体"/>
                <w:bCs/>
                <w:color w:val="auto"/>
                <w:sz w:val="21"/>
                <w:szCs w:val="21"/>
                <w:highlight w:val="none"/>
              </w:rPr>
              <w:t>须提供服务承诺书并加盖</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w:t>
            </w:r>
            <w:r>
              <w:rPr>
                <w:rFonts w:hint="eastAsia" w:ascii="宋体" w:hAnsi="宋体" w:eastAsia="宋体" w:cs="宋体"/>
                <w:bCs/>
                <w:color w:val="auto"/>
                <w:sz w:val="21"/>
                <w:szCs w:val="21"/>
                <w:highlight w:val="none"/>
                <w:lang w:eastAsia="zh-CN"/>
              </w:rPr>
              <w:t>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2"/>
                <w:sz w:val="21"/>
                <w:szCs w:val="21"/>
                <w:highlight w:val="none"/>
                <w:lang w:val="zh-CN"/>
              </w:rPr>
              <w:t>未提供</w:t>
            </w:r>
            <w:r>
              <w:rPr>
                <w:rFonts w:hint="eastAsia" w:ascii="宋体" w:hAnsi="宋体" w:eastAsia="宋体" w:cs="宋体"/>
                <w:color w:val="auto"/>
                <w:kern w:val="2"/>
                <w:sz w:val="21"/>
                <w:szCs w:val="21"/>
                <w:highlight w:val="none"/>
                <w:lang w:val="en-US" w:eastAsia="zh-CN"/>
              </w:rPr>
              <w:t>项目重点难点分析</w:t>
            </w:r>
            <w:r>
              <w:rPr>
                <w:rFonts w:hint="eastAsia" w:ascii="宋体" w:hAnsi="宋体" w:eastAsia="宋体" w:cs="宋体"/>
                <w:bCs/>
                <w:color w:val="auto"/>
                <w:kern w:val="2"/>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投标人提供的项目实施方案响应《用户需求书》</w:t>
            </w:r>
            <w:r>
              <w:rPr>
                <w:rFonts w:hint="eastAsia" w:ascii="宋体" w:hAnsi="宋体" w:eastAsia="宋体" w:cs="宋体"/>
                <w:color w:val="auto"/>
                <w:sz w:val="21"/>
                <w:szCs w:val="21"/>
                <w:highlight w:val="none"/>
                <w:lang w:val="en-US" w:eastAsia="zh-CN"/>
              </w:rPr>
              <w:t>的程度进行综合评审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如对每周上门服务次数、咨询服务方案、检验方案、出具检测报告具体时间长短方案等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对标本运输保管方案及其保障措施、质量标准及保障措施、异常报告处理流程、采购人对检测报告提出异议后处理机制、提供检验前培训服务方案进行综合评审：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完整，实施方法基本可行，满足以上提出要求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w:t>
            </w:r>
            <w:r>
              <w:rPr>
                <w:rFonts w:hint="eastAsia" w:ascii="宋体" w:hAnsi="宋体" w:eastAsia="宋体" w:cs="宋体"/>
                <w:color w:val="auto"/>
                <w:sz w:val="21"/>
                <w:szCs w:val="21"/>
                <w:highlight w:val="none"/>
              </w:rPr>
              <w:t>要求，得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增值服务方案  </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val="en-US" w:eastAsia="zh-CN"/>
              </w:rPr>
              <w:t>投标人针对</w:t>
            </w:r>
            <w:r>
              <w:rPr>
                <w:rFonts w:hint="eastAsia" w:ascii="宋体" w:hAnsi="宋体" w:eastAsia="宋体" w:cs="宋体"/>
                <w:color w:val="auto"/>
                <w:sz w:val="21"/>
                <w:szCs w:val="21"/>
                <w:highlight w:val="none"/>
              </w:rPr>
              <w:t>招标文件用户需求书要求，协助采购人实验室进行流程优化、质量提升、技术能力提升，提供给采购人实验室信息系统双向对接提出相应的实施服务方案</w:t>
            </w:r>
            <w:r>
              <w:rPr>
                <w:rFonts w:hint="eastAsia" w:ascii="宋体" w:hAnsi="宋体" w:eastAsia="宋体" w:cs="宋体"/>
                <w:color w:val="auto"/>
                <w:sz w:val="21"/>
                <w:szCs w:val="21"/>
                <w:highlight w:val="none"/>
                <w:lang w:val="en-US" w:eastAsia="zh-CN"/>
              </w:rPr>
              <w:t>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服务方案完整，实施方法可行，满足优于以上提出的要求，得10分；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完整，实施方法基本可行，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拟投入技术人员及设备配备方案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拟投入本项目的技术人员(检验类别)、设备、实验室情况进行综合</w:t>
            </w:r>
            <w:r>
              <w:rPr>
                <w:rFonts w:hint="eastAsia" w:ascii="宋体" w:hAnsi="宋体" w:eastAsia="宋体" w:cs="宋体"/>
                <w:color w:val="auto"/>
                <w:sz w:val="21"/>
                <w:szCs w:val="21"/>
                <w:highlight w:val="none"/>
                <w:lang w:val="en-US" w:eastAsia="zh-CN"/>
              </w:rPr>
              <w:t>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技术人员配备完整、设备配套齐全，实验室管理方案、实施方法可行，得10分；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技术人员配备较为完整、设备配套较为齐全，实验室管理方案、实施方法基本可行，得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技术人员配备不够完整、设备配套不够齐全，实验室管理方案、实施方法不当，得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widowControl/>
              <w:shd w:val="clear" w:color="auto" w:fill="auto"/>
              <w:kinsoku/>
              <w:wordWrap/>
              <w:overflowPunct/>
              <w:topLinePunct w:val="0"/>
              <w:autoSpaceDE/>
              <w:autoSpaceDN/>
              <w:bidi w:val="0"/>
              <w:adjustRightInd w:val="0"/>
              <w:snapToGrid w:val="0"/>
              <w:spacing w:before="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根据投标人提供的售后服务承诺方案，售后服务计划及方案是否合理、是否完善、</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可靠进行</w:t>
            </w:r>
            <w:r>
              <w:rPr>
                <w:rFonts w:hint="eastAsia" w:ascii="宋体" w:hAnsi="宋体" w:eastAsia="宋体" w:cs="宋体"/>
                <w:color w:val="auto"/>
                <w:sz w:val="21"/>
                <w:szCs w:val="21"/>
                <w:highlight w:val="none"/>
                <w:lang w:val="en-US" w:eastAsia="zh-CN"/>
              </w:rPr>
              <w:t>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方案完整，实施方法可行，得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可行，得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w:t>
            </w:r>
            <w:r>
              <w:rPr>
                <w:rFonts w:hint="eastAsia" w:ascii="宋体" w:hAnsi="宋体" w:eastAsia="宋体" w:cs="宋体"/>
                <w:color w:val="auto"/>
                <w:sz w:val="21"/>
                <w:szCs w:val="21"/>
                <w:highlight w:val="none"/>
                <w:lang w:eastAsia="zh-CN"/>
              </w:rPr>
              <w:t>够</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w:t>
            </w:r>
            <w:r>
              <w:rPr>
                <w:rFonts w:hint="eastAsia" w:ascii="宋体" w:hAnsi="宋体" w:eastAsia="宋体" w:cs="宋体"/>
                <w:color w:val="auto"/>
                <w:sz w:val="21"/>
                <w:szCs w:val="21"/>
                <w:highlight w:val="none"/>
              </w:rPr>
              <w:t>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rPr>
          <w:color w:val="auto"/>
          <w:highlight w:val="none"/>
        </w:rPr>
      </w:pPr>
    </w:p>
    <w:p>
      <w:pPr>
        <w:rPr>
          <w:color w:val="auto"/>
          <w:highlight w:val="none"/>
        </w:rPr>
      </w:pPr>
      <w:r>
        <w:rPr>
          <w:rFonts w:hint="eastAsia"/>
          <w:color w:val="auto"/>
          <w:highlight w:val="none"/>
        </w:rPr>
        <w:br w:type="page"/>
      </w:r>
    </w:p>
    <w:p>
      <w:pPr>
        <w:pStyle w:val="5"/>
        <w:spacing w:before="0" w:after="0" w:line="240" w:lineRule="auto"/>
        <w:rPr>
          <w:color w:val="auto"/>
          <w:sz w:val="24"/>
          <w:szCs w:val="24"/>
          <w:highlight w:val="none"/>
        </w:rPr>
      </w:pPr>
      <w:bookmarkStart w:id="17" w:name="_Toc2479"/>
      <w:bookmarkStart w:id="18" w:name="_Toc30638"/>
      <w:bookmarkStart w:id="19" w:name="_Toc29685"/>
      <w:bookmarkStart w:id="20" w:name="_Toc14146"/>
      <w:r>
        <w:rPr>
          <w:rFonts w:hint="eastAsia"/>
          <w:color w:val="auto"/>
          <w:sz w:val="28"/>
          <w:szCs w:val="28"/>
          <w:highlight w:val="none"/>
        </w:rPr>
        <w:t>第四部分 投标人须知</w:t>
      </w:r>
      <w:bookmarkEnd w:id="17"/>
      <w:bookmarkEnd w:id="18"/>
      <w:bookmarkEnd w:id="19"/>
    </w:p>
    <w:p>
      <w:pPr>
        <w:pStyle w:val="6"/>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7"/>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7"/>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298847174"/>
      <w:bookmarkStart w:id="31" w:name="_Toc303084246"/>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7"/>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7"/>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7"/>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7"/>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7"/>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6"/>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7"/>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7"/>
        <w:widowControl w:val="0"/>
        <w:overflowPunct w:val="0"/>
        <w:rPr>
          <w:rFonts w:ascii="宋体" w:hAnsi="宋体"/>
          <w:color w:val="auto"/>
          <w:sz w:val="21"/>
          <w:szCs w:val="21"/>
          <w:highlight w:val="none"/>
        </w:rPr>
      </w:pPr>
      <w:bookmarkStart w:id="56" w:name="_Toc7997"/>
      <w:bookmarkStart w:id="57" w:name="_Toc14217"/>
      <w:bookmarkStart w:id="58" w:name="_Toc17274"/>
      <w:r>
        <w:rPr>
          <w:rFonts w:hint="eastAsia" w:ascii="宋体" w:hAnsi="宋体"/>
          <w:color w:val="auto"/>
          <w:sz w:val="21"/>
          <w:szCs w:val="21"/>
          <w:highlight w:val="none"/>
        </w:rPr>
        <w:t>9.招标文件的澄清或修改</w:t>
      </w:r>
      <w:bookmarkEnd w:id="56"/>
      <w:bookmarkEnd w:id="57"/>
      <w:bookmarkEnd w:id="5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6"/>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pPr>
        <w:pStyle w:val="7"/>
        <w:widowControl w:val="0"/>
        <w:overflowPunct w:val="0"/>
        <w:rPr>
          <w:rFonts w:ascii="宋体" w:hAnsi="宋体"/>
          <w:color w:val="auto"/>
          <w:sz w:val="21"/>
          <w:szCs w:val="21"/>
          <w:highlight w:val="none"/>
        </w:rPr>
      </w:pPr>
      <w:bookmarkStart w:id="62" w:name="_Toc28092"/>
      <w:bookmarkStart w:id="63" w:name="_Toc20623"/>
      <w:bookmarkStart w:id="64" w:name="_Toc7434"/>
      <w:r>
        <w:rPr>
          <w:rFonts w:hint="eastAsia" w:ascii="宋体" w:hAnsi="宋体"/>
          <w:color w:val="auto"/>
          <w:sz w:val="21"/>
          <w:szCs w:val="21"/>
          <w:highlight w:val="none"/>
        </w:rPr>
        <w:t>10.投标文件的语言及度量衡单位</w:t>
      </w:r>
      <w:bookmarkEnd w:id="62"/>
      <w:bookmarkEnd w:id="63"/>
      <w:bookmarkEnd w:id="6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7"/>
        <w:widowControl w:val="0"/>
        <w:overflowPunct w:val="0"/>
        <w:rPr>
          <w:rFonts w:ascii="宋体" w:hAnsi="宋体"/>
          <w:color w:val="auto"/>
          <w:sz w:val="21"/>
          <w:szCs w:val="21"/>
          <w:highlight w:val="none"/>
        </w:rPr>
      </w:pPr>
      <w:bookmarkStart w:id="65" w:name="_Toc382049103"/>
      <w:bookmarkStart w:id="66" w:name="_Toc28866"/>
      <w:bookmarkStart w:id="67" w:name="_Toc18999"/>
      <w:bookmarkStart w:id="68" w:name="_Toc303084256"/>
      <w:bookmarkStart w:id="69" w:name="_Toc12145"/>
      <w:bookmarkStart w:id="70" w:name="_Toc7728"/>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7"/>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3"/>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7"/>
        <w:widowControl w:val="0"/>
        <w:overflowPunct w:val="0"/>
        <w:rPr>
          <w:rFonts w:ascii="宋体" w:hAnsi="宋体"/>
          <w:color w:val="auto"/>
          <w:sz w:val="21"/>
          <w:szCs w:val="21"/>
          <w:highlight w:val="none"/>
        </w:rPr>
      </w:pPr>
      <w:bookmarkStart w:id="76" w:name="_Toc17188"/>
      <w:bookmarkStart w:id="77" w:name="_Toc7847"/>
      <w:bookmarkStart w:id="78" w:name="_Toc259"/>
      <w:r>
        <w:rPr>
          <w:rFonts w:hint="eastAsia" w:ascii="宋体" w:hAnsi="宋体"/>
          <w:color w:val="auto"/>
          <w:sz w:val="21"/>
          <w:szCs w:val="21"/>
          <w:highlight w:val="none"/>
        </w:rPr>
        <w:t>13.投标报价说明</w:t>
      </w:r>
      <w:bookmarkEnd w:id="76"/>
      <w:bookmarkEnd w:id="77"/>
      <w:bookmarkEnd w:id="7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7"/>
        <w:widowControl w:val="0"/>
        <w:overflowPunct w:val="0"/>
        <w:rPr>
          <w:rFonts w:ascii="宋体" w:hAnsi="宋体"/>
          <w:color w:val="auto"/>
          <w:sz w:val="21"/>
          <w:szCs w:val="21"/>
          <w:highlight w:val="none"/>
        </w:rPr>
      </w:pPr>
      <w:bookmarkStart w:id="79" w:name="_Toc16535"/>
      <w:bookmarkStart w:id="80" w:name="_Toc27724"/>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widowControl w:val="0"/>
        <w:adjustRightInd/>
        <w:snapToGrid/>
        <w:ind w:left="425" w:firstLine="0" w:firstLineChars="0"/>
        <w:jc w:val="both"/>
        <w:rPr>
          <w:color w:val="auto"/>
          <w:highlight w:val="none"/>
        </w:rPr>
      </w:pPr>
    </w:p>
    <w:p>
      <w:pPr>
        <w:pStyle w:val="7"/>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7"/>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p>
    <w:p>
      <w:pPr>
        <w:pStyle w:val="33"/>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6"/>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pPr>
        <w:pStyle w:val="7"/>
        <w:widowControl w:val="0"/>
        <w:overflowPunct w:val="0"/>
        <w:rPr>
          <w:rFonts w:ascii="宋体" w:hAnsi="宋体"/>
          <w:color w:val="auto"/>
          <w:sz w:val="21"/>
          <w:szCs w:val="21"/>
          <w:highlight w:val="none"/>
        </w:rPr>
      </w:pPr>
      <w:bookmarkStart w:id="94" w:name="_Toc24997"/>
      <w:bookmarkStart w:id="95" w:name="_Toc382049111"/>
      <w:bookmarkStart w:id="96" w:name="_Toc23678"/>
      <w:bookmarkStart w:id="97" w:name="_Toc473"/>
      <w:bookmarkStart w:id="98" w:name="_Toc29590"/>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7"/>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7"/>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7"/>
        <w:widowControl w:val="0"/>
        <w:overflowPunct w:val="0"/>
        <w:rPr>
          <w:rFonts w:ascii="宋体" w:hAnsi="宋体"/>
          <w:color w:val="auto"/>
          <w:sz w:val="21"/>
          <w:szCs w:val="21"/>
          <w:highlight w:val="none"/>
        </w:rPr>
      </w:pPr>
      <w:bookmarkStart w:id="106" w:name="_Toc382049112"/>
      <w:bookmarkStart w:id="107" w:name="_Toc23477"/>
      <w:bookmarkStart w:id="108" w:name="_Toc5900"/>
      <w:bookmarkStart w:id="109" w:name="_Toc303084265"/>
      <w:bookmarkStart w:id="110" w:name="_Toc7689"/>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7"/>
        <w:widowControl w:val="0"/>
        <w:overflowPunct w:val="0"/>
        <w:rPr>
          <w:rFonts w:ascii="宋体" w:hAnsi="宋体"/>
          <w:color w:val="auto"/>
          <w:sz w:val="21"/>
          <w:szCs w:val="21"/>
          <w:highlight w:val="none"/>
        </w:rPr>
      </w:pPr>
      <w:bookmarkStart w:id="112" w:name="_Toc15569"/>
      <w:bookmarkStart w:id="113" w:name="_Toc6003"/>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6"/>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pPr>
        <w:pStyle w:val="7"/>
        <w:widowControl w:val="0"/>
        <w:overflowPunct w:val="0"/>
        <w:rPr>
          <w:rFonts w:ascii="宋体" w:hAnsi="宋体"/>
          <w:color w:val="auto"/>
          <w:sz w:val="21"/>
          <w:szCs w:val="21"/>
          <w:highlight w:val="none"/>
        </w:rPr>
      </w:pPr>
      <w:bookmarkStart w:id="118" w:name="_Toc24251"/>
      <w:bookmarkStart w:id="119" w:name="_Toc28458"/>
      <w:bookmarkStart w:id="120" w:name="_Toc27700"/>
      <w:r>
        <w:rPr>
          <w:rFonts w:hint="eastAsia" w:ascii="宋体" w:hAnsi="宋体"/>
          <w:color w:val="auto"/>
          <w:sz w:val="21"/>
          <w:szCs w:val="21"/>
          <w:highlight w:val="none"/>
        </w:rPr>
        <w:t>22.开标</w:t>
      </w:r>
      <w:bookmarkEnd w:id="118"/>
      <w:bookmarkEnd w:id="119"/>
      <w:bookmarkEnd w:id="120"/>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7"/>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7"/>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7"/>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7"/>
        <w:widowControl w:val="0"/>
        <w:overflowPunct w:val="0"/>
        <w:rPr>
          <w:rFonts w:ascii="宋体" w:hAnsi="宋体"/>
          <w:color w:val="auto"/>
          <w:sz w:val="21"/>
          <w:szCs w:val="21"/>
          <w:highlight w:val="none"/>
        </w:rPr>
      </w:pPr>
      <w:bookmarkStart w:id="130" w:name="_Toc21742"/>
      <w:bookmarkStart w:id="131" w:name="_Toc29184"/>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7"/>
        <w:widowControl w:val="0"/>
        <w:overflowPunct w:val="0"/>
        <w:rPr>
          <w:rFonts w:ascii="宋体" w:hAnsi="宋体"/>
          <w:color w:val="auto"/>
          <w:sz w:val="21"/>
          <w:szCs w:val="21"/>
          <w:highlight w:val="none"/>
        </w:rPr>
      </w:pPr>
      <w:bookmarkStart w:id="133" w:name="_Toc17683"/>
      <w:bookmarkStart w:id="134" w:name="_Toc7593"/>
      <w:bookmarkStart w:id="135" w:name="_Toc22192"/>
      <w:r>
        <w:rPr>
          <w:rFonts w:hint="eastAsia" w:ascii="宋体" w:hAnsi="宋体"/>
          <w:color w:val="auto"/>
          <w:sz w:val="21"/>
          <w:szCs w:val="21"/>
          <w:highlight w:val="none"/>
        </w:rPr>
        <w:t>27.优惠政策</w:t>
      </w:r>
      <w:bookmarkEnd w:id="133"/>
      <w:bookmarkEnd w:id="134"/>
      <w:bookmarkEnd w:id="13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7"/>
        <w:widowControl w:val="0"/>
        <w:overflowPunct w:val="0"/>
        <w:rPr>
          <w:rFonts w:ascii="宋体" w:hAnsi="宋体"/>
          <w:color w:val="auto"/>
          <w:sz w:val="21"/>
          <w:szCs w:val="21"/>
          <w:highlight w:val="none"/>
        </w:rPr>
      </w:pPr>
      <w:bookmarkStart w:id="136" w:name="_Toc316375620"/>
      <w:bookmarkStart w:id="137" w:name="_Toc12115"/>
      <w:bookmarkStart w:id="138" w:name="_Toc22591"/>
      <w:bookmarkStart w:id="139" w:name="_Toc382049120"/>
      <w:bookmarkStart w:id="140" w:name="_Toc20328"/>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6"/>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7"/>
        <w:widowControl w:val="0"/>
        <w:overflowPunct w:val="0"/>
        <w:rPr>
          <w:rFonts w:ascii="宋体" w:hAnsi="宋体"/>
          <w:color w:val="auto"/>
          <w:sz w:val="21"/>
          <w:szCs w:val="21"/>
          <w:highlight w:val="none"/>
        </w:rPr>
      </w:pPr>
      <w:bookmarkStart w:id="145" w:name="_Toc17778"/>
      <w:bookmarkStart w:id="146" w:name="_Toc508284011"/>
      <w:bookmarkStart w:id="147" w:name="_Toc27817"/>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7"/>
        <w:widowControl w:val="0"/>
        <w:overflowPunct w:val="0"/>
        <w:rPr>
          <w:rFonts w:ascii="宋体" w:hAnsi="宋体"/>
          <w:color w:val="auto"/>
          <w:sz w:val="21"/>
          <w:szCs w:val="21"/>
          <w:highlight w:val="none"/>
        </w:rPr>
      </w:pPr>
      <w:bookmarkStart w:id="149" w:name="_Toc508284013"/>
      <w:bookmarkStart w:id="150" w:name="_Toc23136"/>
      <w:bookmarkStart w:id="151" w:name="_Toc29283"/>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7"/>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7"/>
        <w:widowControl w:val="0"/>
        <w:overflowPunct w:val="0"/>
        <w:rPr>
          <w:rFonts w:ascii="宋体" w:hAnsi="宋体"/>
          <w:color w:val="auto"/>
          <w:sz w:val="21"/>
          <w:szCs w:val="21"/>
          <w:highlight w:val="none"/>
        </w:rPr>
      </w:pPr>
      <w:bookmarkStart w:id="156" w:name="_Toc382049124"/>
      <w:bookmarkStart w:id="157" w:name="_Toc25756"/>
      <w:bookmarkStart w:id="158" w:name="_Toc2744"/>
      <w:bookmarkStart w:id="159" w:name="_Toc7405"/>
      <w:bookmarkStart w:id="160" w:name="_Toc29009"/>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6"/>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7"/>
        <w:widowControl w:val="0"/>
        <w:overflowPunct w:val="0"/>
        <w:rPr>
          <w:rFonts w:ascii="宋体" w:hAnsi="宋体"/>
          <w:color w:val="auto"/>
          <w:sz w:val="21"/>
          <w:szCs w:val="21"/>
          <w:highlight w:val="none"/>
        </w:rPr>
      </w:pPr>
      <w:bookmarkStart w:id="165" w:name="_Toc22900"/>
      <w:bookmarkStart w:id="166" w:name="_Toc17974"/>
      <w:bookmarkStart w:id="167" w:name="_Toc25498"/>
      <w:r>
        <w:rPr>
          <w:rFonts w:hint="eastAsia" w:ascii="宋体" w:hAnsi="宋体"/>
          <w:color w:val="auto"/>
          <w:sz w:val="21"/>
          <w:szCs w:val="21"/>
          <w:highlight w:val="none"/>
        </w:rPr>
        <w:t>33.询问</w:t>
      </w:r>
      <w:bookmarkEnd w:id="165"/>
      <w:bookmarkEnd w:id="166"/>
      <w:bookmarkEnd w:id="167"/>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7"/>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6"/>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pPr>
        <w:pStyle w:val="7"/>
        <w:widowControl w:val="0"/>
        <w:overflowPunct w:val="0"/>
        <w:rPr>
          <w:rFonts w:ascii="宋体" w:hAnsi="宋体"/>
          <w:color w:val="auto"/>
          <w:sz w:val="21"/>
          <w:szCs w:val="21"/>
          <w:highlight w:val="none"/>
        </w:rPr>
      </w:pPr>
      <w:bookmarkStart w:id="174" w:name="_Toc6548"/>
      <w:bookmarkStart w:id="175" w:name="_Toc21187"/>
      <w:bookmarkStart w:id="176" w:name="_Toc10082"/>
      <w:r>
        <w:rPr>
          <w:rFonts w:hint="eastAsia" w:ascii="宋体" w:hAnsi="宋体"/>
          <w:color w:val="auto"/>
          <w:sz w:val="21"/>
          <w:szCs w:val="21"/>
          <w:highlight w:val="none"/>
        </w:rPr>
        <w:t>35.招标文件的解释权</w:t>
      </w:r>
      <w:bookmarkEnd w:id="174"/>
      <w:bookmarkEnd w:id="175"/>
      <w:bookmarkEnd w:id="176"/>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5"/>
        <w:spacing w:before="0" w:after="0" w:line="240" w:lineRule="auto"/>
        <w:rPr>
          <w:color w:val="auto"/>
          <w:sz w:val="28"/>
          <w:szCs w:val="28"/>
          <w:highlight w:val="none"/>
        </w:rPr>
      </w:pPr>
      <w:bookmarkStart w:id="177" w:name="_Toc7011"/>
      <w:bookmarkStart w:id="178" w:name="_Toc31854"/>
      <w:bookmarkStart w:id="179" w:name="_Toc382"/>
      <w:r>
        <w:rPr>
          <w:rFonts w:hint="eastAsia"/>
          <w:color w:val="auto"/>
          <w:sz w:val="28"/>
          <w:szCs w:val="28"/>
          <w:highlight w:val="none"/>
        </w:rPr>
        <w:t>第五部分 用户需求书</w:t>
      </w:r>
      <w:bookmarkEnd w:id="177"/>
      <w:bookmarkEnd w:id="178"/>
      <w:bookmarkEnd w:id="179"/>
    </w:p>
    <w:p>
      <w:pPr>
        <w:pStyle w:val="6"/>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3"/>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eastAsia="zh-CN"/>
              </w:rPr>
              <w:t>签订合同之日起</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年，在服务期限内，预算使用完毕或服务期限到期即合同终止</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以先到为准。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每月结算一次，当月的服务费用采购人于次月底前支付。（中标人向采购人申请付款时须提供相应额度的国家正式发票给采购人。）</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投标人的投标单价以《东莞市公立医疗机构基本医疗服务价格（以最新版本为准）》中的规定的单价为标准，如此价格标准以外的送检项目，价格由中标人与采购人共同商定。如在服务期限内，物价部门调整了检验单价时，应按照物价部门调整的检验单价浮动比例调整结算单价。</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ascii="宋体" w:hAnsi="宋体" w:cs="宋体"/>
                <w:color w:val="auto"/>
                <w:szCs w:val="21"/>
                <w:highlight w:val="none"/>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实际服务费用=每月实际检测项目费用×投标人实际投标的单价折扣率。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42" w:firstLineChars="200"/>
              <w:jc w:val="both"/>
              <w:textAlignment w:val="auto"/>
              <w:outlineLvl w:val="9"/>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投标人</w:t>
            </w:r>
            <w:r>
              <w:rPr>
                <w:rFonts w:hint="eastAsia" w:ascii="宋体" w:hAnsi="宋体" w:cs="宋体"/>
                <w:b/>
                <w:color w:val="auto"/>
                <w:sz w:val="22"/>
                <w:szCs w:val="22"/>
                <w:highlight w:val="none"/>
              </w:rPr>
              <w:t>必须对本项目的全部内容响应及所有检验内容（包括但不限于项目清单内容）提供统一的</w:t>
            </w:r>
            <w:r>
              <w:rPr>
                <w:rFonts w:hint="eastAsia" w:ascii="宋体" w:hAnsi="宋体" w:cs="宋体"/>
                <w:b/>
                <w:color w:val="auto"/>
                <w:sz w:val="22"/>
                <w:szCs w:val="22"/>
                <w:highlight w:val="none"/>
                <w:lang w:val="en-US" w:eastAsia="zh-CN"/>
              </w:rPr>
              <w:t>单价</w:t>
            </w:r>
            <w:r>
              <w:rPr>
                <w:rFonts w:hint="eastAsia" w:ascii="宋体" w:hAnsi="宋体" w:cs="宋体"/>
                <w:b/>
                <w:color w:val="auto"/>
                <w:sz w:val="22"/>
                <w:szCs w:val="22"/>
                <w:highlight w:val="none"/>
              </w:rPr>
              <w:t>折扣率报价。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注：折扣率=1-下浮率</w:t>
            </w:r>
            <w:r>
              <w:rPr>
                <w:rFonts w:hint="eastAsia" w:ascii="宋体" w:hAnsi="宋体" w:eastAsia="宋体" w:cs="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40" w:firstLineChars="200"/>
              <w:jc w:val="both"/>
              <w:textAlignment w:val="auto"/>
              <w:outlineLvl w:val="9"/>
              <w:rPr>
                <w:rFonts w:ascii="宋体" w:hAnsi="宋体" w:cs="宋体"/>
                <w:color w:val="auto"/>
                <w:szCs w:val="21"/>
                <w:highlight w:val="none"/>
              </w:rPr>
            </w:pPr>
            <w:r>
              <w:rPr>
                <w:rFonts w:hint="eastAsia" w:ascii="宋体" w:hAnsi="宋体" w:cs="宋体"/>
                <w:bCs/>
                <w:color w:val="auto"/>
                <w:sz w:val="22"/>
                <w:szCs w:val="22"/>
                <w:highlight w:val="none"/>
              </w:rPr>
              <w:t>2、</w:t>
            </w:r>
            <w:r>
              <w:rPr>
                <w:rFonts w:hint="eastAsia" w:ascii="宋体" w:hAnsi="宋体" w:cs="宋体"/>
                <w:bCs/>
                <w:color w:val="auto"/>
                <w:sz w:val="22"/>
                <w:szCs w:val="22"/>
                <w:highlight w:val="none"/>
                <w:lang w:val="en-US" w:eastAsia="zh-CN"/>
              </w:rPr>
              <w:t>投标人</w:t>
            </w:r>
            <w:r>
              <w:rPr>
                <w:rFonts w:hint="eastAsia" w:ascii="宋体" w:hAnsi="宋体" w:cs="宋体"/>
                <w:bCs/>
                <w:color w:val="auto"/>
                <w:sz w:val="22"/>
                <w:szCs w:val="22"/>
                <w:highlight w:val="none"/>
              </w:rPr>
              <w:t>的报价折扣率不能为负数或零，报价应包含完成本次采购所有服务内容的费用，包括人工费、检验费、材料费、设备使用费、各种税务费、必须的辅助材料费及合同实施过程中不可预见费用等全部费用。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rPr>
          <w:color w:val="auto"/>
          <w:highlight w:val="none"/>
        </w:rPr>
      </w:pPr>
    </w:p>
    <w:p>
      <w:pPr>
        <w:pStyle w:val="6"/>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7"/>
        <w:bidi w:val="0"/>
        <w:rPr>
          <w:rFonts w:hint="eastAsia"/>
          <w:color w:val="auto"/>
          <w:highlight w:val="none"/>
        </w:rPr>
      </w:pPr>
      <w:bookmarkStart w:id="182" w:name="_Toc14462"/>
      <w:bookmarkStart w:id="183" w:name="_Toc24679"/>
      <w:bookmarkStart w:id="184" w:name="_Toc31278"/>
      <w:bookmarkStart w:id="185" w:name="_Toc13112"/>
      <w:r>
        <w:rPr>
          <w:rFonts w:hint="eastAsia"/>
          <w:color w:val="auto"/>
          <w:highlight w:val="none"/>
        </w:rPr>
        <w:t>一、检验采购清单</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检验项目清单详见附件</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。外送项目包括但不限于附件中所列项目，其增减不受服务协议的限制，而是根据采购人业务发展和临床的需求进行增减。本次招标价格以《东莞市公立医疗机构基本医疗服务价格</w:t>
      </w:r>
      <w:r>
        <w:rPr>
          <w:rFonts w:hint="eastAsia" w:ascii="宋体" w:hAnsi="宋体" w:eastAsia="宋体" w:cs="宋体"/>
          <w:b/>
          <w:bCs/>
          <w:color w:val="auto"/>
          <w:sz w:val="21"/>
          <w:szCs w:val="21"/>
          <w:highlight w:val="none"/>
          <w:lang w:eastAsia="zh-CN"/>
        </w:rPr>
        <w:t>（以最新版本为准）</w:t>
      </w:r>
      <w:r>
        <w:rPr>
          <w:rFonts w:hint="eastAsia" w:ascii="宋体" w:hAnsi="宋体" w:eastAsia="宋体" w:cs="宋体"/>
          <w:color w:val="auto"/>
          <w:sz w:val="21"/>
          <w:szCs w:val="21"/>
          <w:highlight w:val="none"/>
        </w:rPr>
        <w:t>》中的规定的单价为标准，如此价格标准以外的送检项目，价格由中标人与采购人共同商定。具体项目及数量以实际检验为准。</w:t>
      </w:r>
    </w:p>
    <w:p>
      <w:pPr>
        <w:bidi w:val="0"/>
        <w:ind w:firstLine="422" w:firstLineChars="200"/>
        <w:rPr>
          <w:rFonts w:hint="default" w:eastAsia="宋体"/>
          <w:b/>
          <w:bCs/>
          <w:color w:val="auto"/>
          <w:highlight w:val="none"/>
          <w:lang w:val="en-US" w:eastAsia="zh-CN"/>
        </w:rPr>
      </w:pPr>
      <w:r>
        <w:rPr>
          <w:rFonts w:hint="eastAsia"/>
          <w:b/>
          <w:bCs/>
          <w:color w:val="auto"/>
          <w:highlight w:val="none"/>
          <w:lang w:val="en-US" w:eastAsia="zh-CN"/>
        </w:rPr>
        <w:t>附件1：</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2"/>
        <w:gridCol w:w="2846"/>
        <w:gridCol w:w="2475"/>
        <w:gridCol w:w="1462"/>
        <w:gridCol w:w="1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序号</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标准名称</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检测方法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报告周期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宫颈癌易感基因检测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甲状腺癌易感基因检测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膀胱癌易感基因检测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肝癌易感基因检测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胃癌易感基因检测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子宫内膜癌易感基因检测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肺癌易感基因检测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8</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淋巴瘤易感基因检测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9</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胰腺癌易感基因检测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10</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食管癌易感基因检测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11</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卵巢癌易感基因检测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12</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乳腺癌易感基因检测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13</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前列腺癌易感基因检测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14</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胶质瘤易感基因检测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15</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大肠癌易感基因检测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16</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肝癌三项（AFP,AFP-L3%,DCP)</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甲胎蛋白测定(AFP)</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甲胎蛋白异质体测定</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血浆凝血酶原片段1+2检测(F 1+2)</w:t>
            </w:r>
            <w:r>
              <w:rPr>
                <w:rStyle w:val="61"/>
                <w:rFonts w:hint="eastAsia" w:ascii="宋体" w:hAnsi="宋体" w:eastAsia="宋体" w:cs="宋体"/>
                <w:color w:val="auto"/>
                <w:sz w:val="21"/>
                <w:szCs w:val="21"/>
                <w:highlight w:val="none"/>
                <w:lang w:val="en-US" w:eastAsia="zh-CN"/>
              </w:rPr>
              <w:t></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17</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骨钙素N端中分子片段测定</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骨钙素N端中分子片段测定(N-MID)</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荧光免疫</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18</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肠癌早筛多基因甲基化检测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基因甲基化检测</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PCR荧光法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19</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肺癌基因甲基化检测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基因甲基化检测</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PCR荧光法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20</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人乳头瘤病毒HPVE6/E7 mRNA检测（HPVE6/E7 mRNA）</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各类病原体RNA测定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多重PCR</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21</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尿蛋白六项（α1-微球蛋白测定、尿视黄醇结合蛋白测定、N-乙酰-β-D-氨基葡萄糖甘酶测定、尿微量白蛋白测定、尿转铁蛋白测定、尿免疫球蛋白G（IgG））</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α1-微球蛋白测定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免疫比浊法</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视黄醇结合蛋白测定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免疫比浊法</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尿N-酰-β-D-氨基葡萄糖苷酶测定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比色法</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尿微量白蛋白测定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免疫比浊法</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尿转铁蛋白测定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免疫比浊法</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免疫球蛋白定量测定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免疫比浊法</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22</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贫血三项（铁蛋白、叶酸、维生素B12）</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血清铁蛋白测定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叶酸测定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血清维生素测定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23</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人乳头瘤HPV-DNA定性（28项）</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人乳头瘤病毒(HPV)核酸分型检测</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PCR杂交法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24</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呼吸道病原体核酸检测24项</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甲流、乙流、副流感、鼻病毒、呼吸道合胞病毒、博卡病毒、偏肺病毒、冠状病毒、腺病毒、肺炎支原体、肺炎衣原体、金黄色葡萄球菌、铜绿假单胞菌、肺炎克雷伯菌、流感嗜血菌、肺炎链球菌、脑膜炎奈瑟菌、卡他莫拉菌、A族链球菌、百日咳杆菌</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、嗜肺军团菌、Q热立克次氏体、肺孢子虫、鹦鹉热衣原体）</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各类病原体DNA测定-定性</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PCR荧光定量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25</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呼吸道病原体核酸检测15项</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（甲流、乙流、副流感、鼻病毒、呼吸道合胞病毒、腺病毒、肺炎支原体、肺炎衣原体、金黄色葡萄球菌、铜绿假单胞菌、流感嗜血菌、肺炎链球菌、卡他莫拉菌、A族链球菌、百日咳杆菌）</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各类病原体DNA测定-定性</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PCR荧光定量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26</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总IgE检测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总IgE测定-化学发光法</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27</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过敏原吸入-食物组14项（吸入7项：户尘螨/粉尘螨组合、矮豚草/蒿组合、猫/狗等毛皮屑组合、蟑螂、霉菌组合1（点青霉/烟曲霉/分枝孢菌/交链孢菌）、葎草、树组合4（柳、榆、栎、梧桐、三角叶杨）</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食入7项：鸡蛋白、牛奶、鱼/虾/蟹组合、牛/羊肉组合、腰果/花生/黄豆组合、芒果、小麦）</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吸入物变应原筛查-各种免疫学方法</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食入物变应原筛查-各种免疫学方法</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免疫印迹法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5"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28</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过敏原吸入-食物组28项（（吸入组13项）户尘螨/粉尘螨、屋尘、猫毛皮屑、狗毛皮屑、树组合（柳/榆/栎/梧桐/杨树）、霉组合（点青霉/烟曲霉/分枝孢菌/交链孢菌）、蟑螂、葎草、苋、艾蒿、矮豚草、桑树、混合草（肯塔基蓝草/草地羊茅/小康草/黑牧草/牧梯草/黄花茅）、</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（食物组15项）鸡蛋白、牛奶、羊肉、牛肉、海鱼组合（鳕鱼/龙虾/扇贝）、鲑鱼、虾、蟹、贝、花生、黄豆、腰果、芒果、菠萝、小麦）</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吸入物变应原筛查-各种免疫学方法</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食入物变应原筛查-各种免疫学方法</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免疫印迹法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29</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细胞因子11项（白介素6（IL6），α肿瘤坏死因子(TNF-α)，白介素1β(IL-1β)，白介素2(IL-2)，白介素8(IL-8)，白介素5，白介素17，白介素2受体，白介素4，白介素10(IL-10)，Y-干扰素（IFN -R）。</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各种白介素测定-化学发光法</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肿瘤坏死因子测定(TNF)-化学发光法</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干扰素测定</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3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30</w:t>
            </w:r>
          </w:p>
        </w:tc>
        <w:tc>
          <w:tcPr>
            <w:tcW w:w="284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维生素D三项</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25羟维生素D测定-色谱法</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高效液相色谱-串联质谱法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31</w:t>
            </w:r>
          </w:p>
        </w:tc>
        <w:tc>
          <w:tcPr>
            <w:tcW w:w="284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儿茶酚胺及其代谢产物（7项）</w:t>
            </w:r>
          </w:p>
        </w:tc>
        <w:tc>
          <w:tcPr>
            <w:tcW w:w="247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香草扁桃酸（VMA）</w:t>
            </w:r>
          </w:p>
        </w:tc>
        <w:tc>
          <w:tcPr>
            <w:tcW w:w="1462" w:type="dxa"/>
            <w:vMerge w:val="restart"/>
            <w:tcBorders>
              <w:top w:val="nil"/>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质</w:t>
            </w:r>
            <w:r>
              <w:rPr>
                <w:rFonts w:hint="eastAsia" w:ascii="宋体" w:hAnsi="宋体" w:eastAsia="宋体" w:cs="宋体"/>
                <w:i w:val="0"/>
                <w:iCs w:val="0"/>
                <w:color w:val="auto"/>
                <w:kern w:val="0"/>
                <w:sz w:val="21"/>
                <w:szCs w:val="21"/>
                <w:highlight w:val="none"/>
                <w:u w:val="none"/>
                <w:lang w:val="en-US" w:eastAsia="zh-CN"/>
              </w:rPr>
              <w:t>谱法</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121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多巴胺（DA）、高香草酸（HVA）、3-甲氧基去甲肾上腺素（NMN）、3-甲氧基肾上腺素（MN）</w:t>
            </w:r>
          </w:p>
        </w:tc>
        <w:tc>
          <w:tcPr>
            <w:tcW w:w="146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121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去甲肾上腺素（NE）</w:t>
            </w:r>
          </w:p>
        </w:tc>
        <w:tc>
          <w:tcPr>
            <w:tcW w:w="1462"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121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肾上腺素（E）</w:t>
            </w:r>
          </w:p>
        </w:tc>
        <w:tc>
          <w:tcPr>
            <w:tcW w:w="146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121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32</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质子泵抑制剂药物用药剂量指导及疗效预测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33</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华法林用药剂量指导及疗效预测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34</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氯吡格雷疗效预</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35</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阿司匹林疗效预测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34</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硝酸甘油疗效预测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35</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他汀类药物疗效预测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36</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β受体阻滞剂用药剂量指导及疗效预测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37</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血管紧张素Ⅱ受体拮抗剂用药剂量指导及疗效预测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38</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ACEI类药物用药剂量指导及疗效预测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39</w:t>
            </w:r>
          </w:p>
        </w:tc>
        <w:tc>
          <w:tcPr>
            <w:tcW w:w="284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利尿剂疗效预测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40</w:t>
            </w:r>
          </w:p>
        </w:tc>
        <w:tc>
          <w:tcPr>
            <w:tcW w:w="284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高血压个体化检测套餐</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41</w:t>
            </w:r>
          </w:p>
        </w:tc>
        <w:tc>
          <w:tcPr>
            <w:tcW w:w="284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普罗帕酮用药剂量指导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42</w:t>
            </w:r>
          </w:p>
        </w:tc>
        <w:tc>
          <w:tcPr>
            <w:tcW w:w="284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高血脂个体化检测套餐</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43</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糖尿病个体化检测套餐</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44</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磺脲类降糖药用药剂量调整</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45</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磺脲类降糖药不良反应预测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46</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罗格列酮疗效预测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47</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那格列奈疗效预测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48</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氯氮平用药剂量指导及不良反应预测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49</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奥氮平不良反应预测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50</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利培酮疗效预测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51</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奋乃静用药剂量指导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52</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喹硫平疗效预测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53</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氯丙嗪疗效预测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54</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阿立哌唑用药剂量指导及疗效预测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55</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氨磺必利疗效预测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56</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齐拉西酮不良反应预测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57</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氟哌啶醇用药剂量指导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58</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丙戊酸用药剂量指导及不良反应预测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59</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卡马西平不良反应预测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60</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苯妥英不良反应预测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61</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拉莫三嗪不良反应预测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62</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奥卡西平不良反应预测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63</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地昔帕明用药剂量指导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64</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去甲替林用药剂量指导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65</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丙咪嗪用药剂量指导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66</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阿米替林用药剂量指导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67</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氯丙咪嗪用药剂量指导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68</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多塞平用药剂量指导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69</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曲米帕明用药剂量指导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70</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马普替林用药剂量指导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71</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氟伏沙明用药剂量指导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72</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西酞普兰用药剂量指导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73</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依他普仑用药剂量指导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74</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安非他酮疗效预测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75</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托莫西汀用药剂量指导及疗效预测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76</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丁苯那嗪用药剂量指导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77</w:t>
            </w:r>
          </w:p>
        </w:tc>
        <w:tc>
          <w:tcPr>
            <w:tcW w:w="284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文拉法辛疗效预测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78</w:t>
            </w:r>
          </w:p>
        </w:tc>
        <w:tc>
          <w:tcPr>
            <w:tcW w:w="2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叶酸代谢能力预测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79</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伏立康唑用药剂量指导及疗效预测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80</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别嘌呤醇不良反应预测</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脱氧核糖核酸(DNA)测序</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sanger测序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5个工作日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81</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抗缪勒氏管激素（AMH）</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AMN</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2个工作日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82</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骨钙素（OST）</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OST</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1个工作日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83</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甲状旁腺激素（PTH）</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PTH</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1个工作日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84</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tabs>
                <w:tab w:val="left" w:pos="711"/>
              </w:tabs>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ab/>
            </w:r>
            <w:r>
              <w:rPr>
                <w:rFonts w:hint="eastAsia" w:ascii="宋体" w:hAnsi="宋体" w:cs="宋体"/>
                <w:i w:val="0"/>
                <w:iCs w:val="0"/>
                <w:color w:val="auto"/>
                <w:kern w:val="0"/>
                <w:sz w:val="21"/>
                <w:szCs w:val="21"/>
                <w:highlight w:val="none"/>
                <w:u w:val="none"/>
                <w:lang w:val="en-US" w:eastAsia="zh-CN"/>
              </w:rPr>
              <w:t>降钙素（CT）</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CT</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1个工作日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85</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生长激素（GH）</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GH</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1个工作日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3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86</w:t>
            </w:r>
          </w:p>
        </w:tc>
        <w:tc>
          <w:tcPr>
            <w:tcW w:w="2846" w:type="dxa"/>
            <w:tcBorders>
              <w:top w:val="single" w:color="000000" w:sz="4" w:space="0"/>
              <w:left w:val="single" w:color="000000" w:sz="4" w:space="0"/>
              <w:bottom w:val="single" w:color="auto"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胰岛素样生长因子-1（IGF-1）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IGF-1</w:t>
            </w:r>
          </w:p>
        </w:tc>
        <w:tc>
          <w:tcPr>
            <w:tcW w:w="1462" w:type="dxa"/>
            <w:tcBorders>
              <w:top w:val="single" w:color="000000" w:sz="4" w:space="0"/>
              <w:left w:val="single" w:color="000000" w:sz="4" w:space="0"/>
              <w:bottom w:val="single" w:color="auto"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tcBorders>
              <w:top w:val="single" w:color="000000" w:sz="4" w:space="0"/>
              <w:left w:val="single" w:color="000000" w:sz="4" w:space="0"/>
              <w:bottom w:val="single" w:color="auto"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2个工作日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87</w:t>
            </w:r>
          </w:p>
        </w:tc>
        <w:tc>
          <w:tcPr>
            <w:tcW w:w="2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生长激素两项（GH、IGF-1）</w:t>
            </w:r>
          </w:p>
        </w:tc>
        <w:tc>
          <w:tcPr>
            <w:tcW w:w="2475" w:type="dxa"/>
            <w:tcBorders>
              <w:top w:val="single" w:color="000000" w:sz="4" w:space="0"/>
              <w:left w:val="single" w:color="auto" w:sz="4" w:space="0"/>
              <w:bottom w:val="single" w:color="000000" w:sz="4" w:space="0"/>
              <w:right w:val="single" w:color="auto"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GH</w:t>
            </w:r>
          </w:p>
        </w:tc>
        <w:tc>
          <w:tcPr>
            <w:tcW w:w="14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化学发光法</w:t>
            </w:r>
          </w:p>
        </w:tc>
        <w:tc>
          <w:tcPr>
            <w:tcW w:w="12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1个工作日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cs="宋体"/>
                <w:i w:val="0"/>
                <w:iCs w:val="0"/>
                <w:color w:val="auto"/>
                <w:kern w:val="0"/>
                <w:sz w:val="21"/>
                <w:szCs w:val="21"/>
                <w:highlight w:val="none"/>
                <w:u w:val="none"/>
                <w:lang w:val="en-US" w:eastAsia="zh-CN"/>
              </w:rPr>
            </w:pPr>
          </w:p>
        </w:tc>
        <w:tc>
          <w:tcPr>
            <w:tcW w:w="2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2475" w:type="dxa"/>
            <w:tcBorders>
              <w:top w:val="single" w:color="000000" w:sz="4" w:space="0"/>
              <w:left w:val="single" w:color="auto" w:sz="4" w:space="0"/>
              <w:bottom w:val="single" w:color="000000" w:sz="4" w:space="0"/>
              <w:right w:val="single" w:color="auto"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IGF-1</w:t>
            </w:r>
          </w:p>
        </w:tc>
        <w:tc>
          <w:tcPr>
            <w:tcW w:w="14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12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88</w:t>
            </w:r>
          </w:p>
        </w:tc>
        <w:tc>
          <w:tcPr>
            <w:tcW w:w="2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肠道菌群16S检测</w:t>
            </w:r>
          </w:p>
        </w:tc>
        <w:tc>
          <w:tcPr>
            <w:tcW w:w="2475" w:type="dxa"/>
            <w:tcBorders>
              <w:top w:val="single" w:color="000000" w:sz="4" w:space="0"/>
              <w:left w:val="single" w:color="auto" w:sz="4" w:space="0"/>
              <w:bottom w:val="single" w:color="000000" w:sz="4" w:space="0"/>
              <w:right w:val="single" w:color="auto"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肠道菌群</w:t>
            </w: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二代测序</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cs="宋体"/>
                <w:i w:val="0"/>
                <w:iCs w:val="0"/>
                <w:color w:val="auto"/>
                <w:kern w:val="0"/>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rPr>
              <w:t>5个工作日</w:t>
            </w:r>
          </w:p>
        </w:tc>
      </w:tr>
    </w:tbl>
    <w:p>
      <w:pPr>
        <w:pageBreakBefore w:val="0"/>
        <w:widowControl/>
        <w:kinsoku/>
        <w:wordWrap/>
        <w:overflowPunct/>
        <w:topLinePunct w:val="0"/>
        <w:autoSpaceDE/>
        <w:autoSpaceDN/>
        <w:bidi w:val="0"/>
        <w:adjustRightInd w:val="0"/>
        <w:snapToGrid w:val="0"/>
        <w:spacing w:line="360" w:lineRule="auto"/>
        <w:ind w:firstLine="424" w:firstLineChars="202"/>
        <w:textAlignment w:val="auto"/>
        <w:rPr>
          <w:rFonts w:hint="eastAsia" w:ascii="宋体" w:hAnsi="宋体" w:eastAsia="宋体" w:cs="宋体"/>
          <w:color w:val="auto"/>
          <w:sz w:val="21"/>
          <w:szCs w:val="21"/>
          <w:highlight w:val="none"/>
        </w:rPr>
      </w:pPr>
    </w:p>
    <w:p>
      <w:pPr>
        <w:pStyle w:val="7"/>
        <w:bidi w:val="0"/>
        <w:rPr>
          <w:rFonts w:hint="eastAsia"/>
          <w:color w:val="auto"/>
          <w:highlight w:val="none"/>
        </w:rPr>
      </w:pPr>
      <w:r>
        <w:rPr>
          <w:rFonts w:hint="eastAsia"/>
          <w:color w:val="auto"/>
          <w:highlight w:val="none"/>
        </w:rPr>
        <w:t>二、项目要求</w:t>
      </w:r>
    </w:p>
    <w:p>
      <w:pPr>
        <w:shd w:val="clear" w:color="auto" w:fill="auto"/>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根据采购人临床业务需求提供相应检验项目服务，提供临床需求项目临床知识培训、标本采集要求培训，提供委托检验项目标本处理、冷链运输、检测服务、账单统计/查询服务。</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bidi="ar-SA"/>
        </w:rPr>
        <w:t>1)</w:t>
      </w:r>
      <w:r>
        <w:rPr>
          <w:rFonts w:hint="eastAsia" w:ascii="宋体" w:hAnsi="宋体" w:eastAsia="宋体" w:cs="宋体"/>
          <w:b/>
          <w:bCs/>
          <w:color w:val="auto"/>
          <w:kern w:val="0"/>
          <w:sz w:val="21"/>
          <w:szCs w:val="21"/>
          <w:highlight w:val="none"/>
        </w:rPr>
        <w:t>服务响应：</w:t>
      </w:r>
      <w:r>
        <w:rPr>
          <w:rFonts w:hint="eastAsia" w:ascii="宋体" w:hAnsi="宋体" w:eastAsia="宋体" w:cs="宋体"/>
          <w:color w:val="auto"/>
          <w:kern w:val="0"/>
          <w:sz w:val="21"/>
          <w:szCs w:val="21"/>
          <w:highlight w:val="none"/>
        </w:rPr>
        <w:t>每周提供六次上门收取标本服务，检测报告需按照</w:t>
      </w:r>
      <w:r>
        <w:rPr>
          <w:rFonts w:hint="eastAsia" w:ascii="宋体" w:hAnsi="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提供的检测项目规定的出报告时间出具。如供应商检测报告超出约定时间而又未出具书面通知委托方造成恶劣影响的 （包括造成医疗纠纷、有群众投诉造成严重后果等），</w:t>
      </w:r>
      <w:r>
        <w:rPr>
          <w:rFonts w:hint="eastAsia" w:ascii="宋体" w:hAnsi="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承担相应的经济和法律责任。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bidi="ar-SA"/>
        </w:rPr>
        <w:t>2)</w:t>
      </w:r>
      <w:r>
        <w:rPr>
          <w:rFonts w:hint="eastAsia" w:ascii="宋体" w:hAnsi="宋体" w:eastAsia="宋体" w:cs="宋体"/>
          <w:b/>
          <w:bCs/>
          <w:color w:val="auto"/>
          <w:kern w:val="0"/>
          <w:sz w:val="21"/>
          <w:szCs w:val="21"/>
          <w:highlight w:val="none"/>
        </w:rPr>
        <w:t>质量保障：</w:t>
      </w:r>
      <w:r>
        <w:rPr>
          <w:rFonts w:hint="eastAsia" w:ascii="宋体" w:hAnsi="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需保证委托检验项目检测质量，具备委托检验项目的相应检测设备、技术人才，并有检验前、检验中、检验后质量保障措施。检验前质量保障措施包括标本采集要求培训，标本箱运送温度控制（2-8℃）及安全性保障；检验中质量保障措施包括标准化的操作规范、室内质控、室间质控等；检验后质量保障措施包括异常结果处理流程、临床提出异议的检验报告处理流程等。</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bidi="ar-SA"/>
        </w:rPr>
        <w:t>3)</w:t>
      </w:r>
      <w:r>
        <w:rPr>
          <w:rFonts w:hint="eastAsia" w:ascii="宋体" w:hAnsi="宋体" w:eastAsia="宋体" w:cs="宋体"/>
          <w:b/>
          <w:bCs/>
          <w:color w:val="auto"/>
          <w:kern w:val="0"/>
          <w:sz w:val="21"/>
          <w:szCs w:val="21"/>
          <w:highlight w:val="none"/>
        </w:rPr>
        <w:t>咨询服务：</w:t>
      </w:r>
      <w:r>
        <w:rPr>
          <w:rFonts w:hint="eastAsia" w:ascii="宋体" w:hAnsi="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需提供免费服务电话、网络查询、微信查询等多种渠道供采购人相关临床部门进行业务咨询、报告查询、账单查询统计功能。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snapToGrid w:val="0"/>
          <w:color w:val="auto"/>
          <w:kern w:val="0"/>
          <w:sz w:val="21"/>
          <w:szCs w:val="21"/>
          <w:highlight w:val="none"/>
        </w:rPr>
      </w:pPr>
      <w:r>
        <w:rPr>
          <w:rFonts w:hint="default" w:ascii="宋体" w:hAnsi="宋体" w:eastAsia="宋体" w:cs="宋体"/>
          <w:snapToGrid w:val="0"/>
          <w:color w:val="auto"/>
          <w:kern w:val="0"/>
          <w:sz w:val="21"/>
          <w:szCs w:val="21"/>
          <w:highlight w:val="none"/>
          <w:lang w:val="en-US" w:eastAsia="zh-CN" w:bidi="ar-SA"/>
        </w:rPr>
        <w:t>4)</w:t>
      </w:r>
      <w:r>
        <w:rPr>
          <w:rFonts w:hint="eastAsia" w:ascii="宋体" w:hAnsi="宋体" w:eastAsia="宋体" w:cs="宋体"/>
          <w:b/>
          <w:bCs/>
          <w:color w:val="auto"/>
          <w:kern w:val="0"/>
          <w:sz w:val="21"/>
          <w:szCs w:val="21"/>
          <w:highlight w:val="none"/>
        </w:rPr>
        <w:t>冷链物流服务：</w:t>
      </w:r>
      <w:r>
        <w:rPr>
          <w:rFonts w:hint="eastAsia" w:ascii="宋体" w:hAnsi="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提供专人专车的专业冷链物流服务，</w:t>
      </w:r>
      <w:r>
        <w:rPr>
          <w:rFonts w:hint="eastAsia" w:ascii="宋体" w:hAnsi="宋体" w:eastAsia="宋体" w:cs="宋体"/>
          <w:color w:val="auto"/>
          <w:sz w:val="21"/>
          <w:szCs w:val="21"/>
          <w:highlight w:val="none"/>
        </w:rPr>
        <w:t>协助采购人整合地区基层医疗的标本送检业务。通过以专业化分工为基础、以标准化为路径、以信息化为手段，形成一个覆盖区域的区域医学检验中心。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bidi="ar-SA"/>
        </w:rPr>
        <w:t>5)</w:t>
      </w:r>
      <w:r>
        <w:rPr>
          <w:rFonts w:hint="eastAsia" w:ascii="宋体" w:hAnsi="宋体" w:eastAsia="宋体" w:cs="宋体"/>
          <w:b/>
          <w:bCs/>
          <w:color w:val="auto"/>
          <w:kern w:val="0"/>
          <w:sz w:val="21"/>
          <w:szCs w:val="21"/>
          <w:highlight w:val="none"/>
        </w:rPr>
        <w:t>信息化服务：</w:t>
      </w:r>
      <w:r>
        <w:rPr>
          <w:rFonts w:hint="eastAsia" w:ascii="宋体" w:hAnsi="宋体" w:eastAsia="宋体" w:cs="宋体"/>
          <w:snapToGrid w:val="0"/>
          <w:color w:val="auto"/>
          <w:kern w:val="0"/>
          <w:sz w:val="21"/>
          <w:szCs w:val="21"/>
          <w:highlight w:val="none"/>
        </w:rPr>
        <w:t>供应商配备完善的信息系统，可实现检验项目的多终端查询，包括网页端、手机端等，对紧急报告可提供口头报告或邮件报告等形式。并提供一台自助打印机（可智能选择打印A4和A5纸报告）供病人打印报告单。</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bidi="ar-SA"/>
        </w:rPr>
        <w:t>6)</w:t>
      </w:r>
      <w:r>
        <w:rPr>
          <w:rFonts w:hint="eastAsia" w:ascii="宋体" w:hAnsi="宋体" w:eastAsia="宋体" w:cs="宋体"/>
          <w:b/>
          <w:bCs/>
          <w:color w:val="auto"/>
          <w:sz w:val="21"/>
          <w:szCs w:val="21"/>
          <w:highlight w:val="none"/>
        </w:rPr>
        <w:t>保密责任：</w:t>
      </w:r>
      <w:r>
        <w:rPr>
          <w:rFonts w:hint="eastAsia" w:ascii="宋体" w:hAnsi="宋体" w:eastAsia="宋体" w:cs="宋体"/>
          <w:color w:val="auto"/>
          <w:sz w:val="21"/>
          <w:szCs w:val="21"/>
          <w:highlight w:val="none"/>
        </w:rPr>
        <w:t>有为用户保密的义务，未经同意不得向第三方泄露委托检验的项目、检验的内容、检验的结果。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bidi="ar-SA"/>
        </w:rPr>
        <w:t>7)</w:t>
      </w:r>
      <w:r>
        <w:rPr>
          <w:rFonts w:hint="eastAsia" w:ascii="宋体" w:hAnsi="宋体" w:eastAsia="宋体" w:cs="宋体"/>
          <w:b/>
          <w:bCs/>
          <w:color w:val="auto"/>
          <w:sz w:val="21"/>
          <w:szCs w:val="21"/>
          <w:highlight w:val="none"/>
        </w:rPr>
        <w:t>所有权声明：</w:t>
      </w:r>
      <w:r>
        <w:rPr>
          <w:rFonts w:hint="eastAsia" w:ascii="宋体" w:hAnsi="宋体" w:eastAsia="宋体" w:cs="宋体"/>
          <w:color w:val="auto"/>
          <w:sz w:val="21"/>
          <w:szCs w:val="21"/>
          <w:highlight w:val="none"/>
        </w:rPr>
        <w:t>检测样本、检测数据的所有权、使用权为用户所有，未经许可不得挪作它用。</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bidi="ar-SA"/>
        </w:rPr>
        <w:t>8)</w:t>
      </w:r>
      <w:r>
        <w:rPr>
          <w:rFonts w:hint="eastAsia" w:ascii="宋体" w:hAnsi="宋体" w:eastAsia="宋体" w:cs="宋体"/>
          <w:b/>
          <w:bCs/>
          <w:color w:val="auto"/>
          <w:sz w:val="21"/>
          <w:szCs w:val="21"/>
          <w:highlight w:val="none"/>
        </w:rPr>
        <w:t>耗材供应：</w:t>
      </w:r>
      <w:r>
        <w:rPr>
          <w:rFonts w:hint="eastAsia" w:ascii="宋体" w:hAnsi="宋体" w:eastAsia="宋体" w:cs="宋体"/>
          <w:color w:val="auto"/>
          <w:sz w:val="21"/>
          <w:szCs w:val="21"/>
          <w:highlight w:val="none"/>
        </w:rPr>
        <w:t>部分特殊检查项目需要的相关耗材、知情同意书、专用的患者资料登记申请单等由供应商免费提供。</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eastAsia="宋体" w:cs="Times New Roman"/>
          <w:color w:val="auto"/>
          <w:highlight w:val="none"/>
          <w:lang w:val="en-US" w:eastAsia="zh-CN"/>
        </w:rPr>
      </w:pPr>
      <w:r>
        <w:rPr>
          <w:rFonts w:hint="eastAsia" w:cs="Times New Roman"/>
          <w:color w:val="auto"/>
          <w:highlight w:val="none"/>
          <w:lang w:val="en-US" w:eastAsia="zh-CN"/>
        </w:rPr>
        <w:t>9）投标人</w:t>
      </w:r>
      <w:r>
        <w:rPr>
          <w:rFonts w:hint="eastAsia" w:eastAsia="宋体" w:cs="Times New Roman"/>
          <w:color w:val="auto"/>
          <w:highlight w:val="none"/>
          <w:lang w:val="en-US" w:eastAsia="zh-CN"/>
        </w:rPr>
        <w:t>应根据本项目的作业要求，在</w:t>
      </w:r>
      <w:r>
        <w:rPr>
          <w:rFonts w:hint="eastAsia" w:cs="Times New Roman"/>
          <w:color w:val="auto"/>
          <w:highlight w:val="none"/>
          <w:lang w:val="en-US" w:eastAsia="zh-CN"/>
        </w:rPr>
        <w:t>投标文件</w:t>
      </w:r>
      <w:r>
        <w:rPr>
          <w:rFonts w:hint="eastAsia" w:eastAsia="宋体" w:cs="Times New Roman"/>
          <w:color w:val="auto"/>
          <w:highlight w:val="none"/>
          <w:lang w:val="en-US" w:eastAsia="zh-CN"/>
        </w:rPr>
        <w:t>中提供切实可行项目实施方案</w:t>
      </w:r>
      <w:r>
        <w:rPr>
          <w:rFonts w:hint="eastAsia" w:cs="Times New Roman"/>
          <w:color w:val="auto"/>
          <w:highlight w:val="none"/>
          <w:lang w:val="en-US" w:eastAsia="zh-CN"/>
        </w:rPr>
        <w:t>、</w:t>
      </w:r>
      <w:r>
        <w:rPr>
          <w:rFonts w:hint="eastAsia" w:eastAsia="宋体" w:cs="Times New Roman"/>
          <w:color w:val="auto"/>
          <w:highlight w:val="none"/>
          <w:lang w:val="en-US" w:eastAsia="zh-CN"/>
        </w:rPr>
        <w:t>增值服务方案</w:t>
      </w:r>
      <w:r>
        <w:rPr>
          <w:rFonts w:hint="eastAsia" w:cs="Times New Roman"/>
          <w:color w:val="auto"/>
          <w:highlight w:val="none"/>
          <w:lang w:val="en-US" w:eastAsia="zh-CN"/>
        </w:rPr>
        <w:t>、</w:t>
      </w:r>
      <w:r>
        <w:rPr>
          <w:rFonts w:hint="eastAsia" w:eastAsia="宋体" w:cs="Times New Roman"/>
          <w:color w:val="auto"/>
          <w:highlight w:val="none"/>
          <w:lang w:val="en-US" w:eastAsia="zh-CN"/>
        </w:rPr>
        <w:t>拟投入技术人员及设备配备方案</w:t>
      </w:r>
      <w:r>
        <w:rPr>
          <w:rFonts w:hint="eastAsia" w:cs="Times New Roman"/>
          <w:color w:val="auto"/>
          <w:highlight w:val="none"/>
          <w:lang w:val="en-US" w:eastAsia="zh-CN"/>
        </w:rPr>
        <w:t>、</w:t>
      </w:r>
      <w:r>
        <w:rPr>
          <w:rFonts w:hint="eastAsia" w:eastAsia="宋体" w:cs="Times New Roman"/>
          <w:color w:val="auto"/>
          <w:highlight w:val="none"/>
          <w:lang w:val="en-US" w:eastAsia="zh-CN"/>
        </w:rPr>
        <w:t>售后服务方案等。</w:t>
      </w:r>
    </w:p>
    <w:p>
      <w:pPr>
        <w:pStyle w:val="2"/>
        <w:rPr>
          <w:rFonts w:hint="eastAsia"/>
          <w:color w:val="auto"/>
          <w:highlight w:val="none"/>
        </w:rPr>
      </w:pPr>
    </w:p>
    <w:p>
      <w:pPr>
        <w:pStyle w:val="7"/>
        <w:bidi w:val="0"/>
        <w:rPr>
          <w:rFonts w:hint="eastAsia"/>
          <w:color w:val="auto"/>
          <w:highlight w:val="none"/>
        </w:rPr>
      </w:pPr>
      <w:r>
        <w:rPr>
          <w:rFonts w:hint="eastAsia"/>
          <w:color w:val="auto"/>
          <w:highlight w:val="none"/>
        </w:rPr>
        <w:t>三、质量要求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color w:val="auto"/>
          <w:sz w:val="24"/>
          <w:highlight w:val="none"/>
        </w:rPr>
      </w:pPr>
      <w:r>
        <w:rPr>
          <w:rFonts w:hint="eastAsia" w:ascii="宋体" w:hAnsi="宋体" w:eastAsia="宋体" w:cs="宋体"/>
          <w:color w:val="auto"/>
          <w:sz w:val="21"/>
          <w:szCs w:val="21"/>
          <w:highlight w:val="none"/>
        </w:rPr>
        <w:t>投标实验室具有完善的质量管理体系，每次检测都有严格的室内质控，每年省临检中心的质量控制和室间质量评估工作，以控制诊断结果的质量。因投标实验室质量因素导致的医疗纠纷、事故等不良后果的，由此产生的赔偿责任由中标人承担。</w:t>
      </w:r>
      <w:r>
        <w:rPr>
          <w:rFonts w:hint="eastAsia"/>
          <w:color w:val="auto"/>
          <w:sz w:val="24"/>
          <w:highlight w:val="none"/>
        </w:rPr>
        <w:t xml:space="preserve">  </w:t>
      </w:r>
    </w:p>
    <w:p>
      <w:pPr>
        <w:pStyle w:val="2"/>
        <w:rPr>
          <w:rFonts w:hint="eastAsia"/>
          <w:color w:val="auto"/>
          <w:highlight w:val="none"/>
        </w:rPr>
      </w:pPr>
    </w:p>
    <w:p>
      <w:pP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pStyle w:val="2"/>
        <w:ind w:left="0" w:leftChars="0" w:firstLine="0" w:firstLineChars="0"/>
        <w:rPr>
          <w:color w:val="auto"/>
          <w:highlight w:val="none"/>
        </w:rPr>
        <w:sectPr>
          <w:pgSz w:w="11906" w:h="16838"/>
          <w:pgMar w:top="1440" w:right="1800" w:bottom="1440" w:left="1800" w:header="851" w:footer="992" w:gutter="0"/>
          <w:pgNumType w:fmt="decimal"/>
          <w:cols w:space="720" w:num="1"/>
          <w:docGrid w:type="lines" w:linePitch="312" w:charSpace="0"/>
        </w:sectPr>
      </w:pPr>
    </w:p>
    <w:bookmarkEnd w:id="182"/>
    <w:bookmarkEnd w:id="183"/>
    <w:bookmarkEnd w:id="184"/>
    <w:bookmarkEnd w:id="185"/>
    <w:p>
      <w:pPr>
        <w:pStyle w:val="5"/>
        <w:spacing w:before="0" w:after="0" w:line="240" w:lineRule="auto"/>
        <w:rPr>
          <w:color w:val="auto"/>
          <w:sz w:val="28"/>
          <w:szCs w:val="28"/>
          <w:highlight w:val="none"/>
        </w:rPr>
      </w:pPr>
      <w:bookmarkStart w:id="186" w:name="_Toc12014"/>
      <w:bookmarkStart w:id="187" w:name="_Toc12485"/>
      <w:bookmarkStart w:id="188" w:name="_Toc21448"/>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pPr>
        <w:pStyle w:val="6"/>
        <w:spacing w:line="240" w:lineRule="auto"/>
        <w:jc w:val="center"/>
        <w:rPr>
          <w:rFonts w:ascii="宋体" w:hAnsi="宋体" w:cs="宋体"/>
          <w:color w:val="auto"/>
          <w:highlight w:val="none"/>
        </w:rPr>
      </w:pPr>
      <w:bookmarkStart w:id="192" w:name="_Toc19575"/>
      <w:bookmarkStart w:id="193" w:name="_Toc8880"/>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5"/>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6"/>
        <w:rPr>
          <w:color w:val="auto"/>
          <w:highlight w:val="none"/>
        </w:rPr>
      </w:pPr>
      <w:bookmarkStart w:id="201" w:name="_Toc26830"/>
      <w:bookmarkStart w:id="202" w:name="_Toc5794"/>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6"/>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eastAsia="宋体"/>
                <w:color w:val="auto"/>
                <w:sz w:val="21"/>
                <w:szCs w:val="21"/>
                <w:highlight w:val="none"/>
              </w:rPr>
              <w:t>投标单价折扣率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color w:val="auto"/>
          <w:szCs w:val="21"/>
          <w:highlight w:val="none"/>
        </w:rPr>
        <w:t xml:space="preserve">      </w:t>
      </w:r>
      <w:r>
        <w:rPr>
          <w:rFonts w:hint="eastAsia" w:ascii="宋体" w:hAnsi="宋体" w:eastAsia="宋体"/>
          <w:color w:val="auto"/>
          <w:sz w:val="21"/>
          <w:szCs w:val="21"/>
          <w:highlight w:val="none"/>
        </w:rPr>
        <w:t>注：1、</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保留小数点后两位。</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大小写不一致，以大写为准。</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必须准确唯一且应包含招标文件要求的所有费用。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ind w:left="357" w:leftChars="170" w:firstLine="359" w:firstLineChars="171"/>
        <w:rPr>
          <w:rFonts w:ascii="宋体" w:hAnsi="宋体"/>
          <w:color w:val="auto"/>
          <w:szCs w:val="21"/>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6"/>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6"/>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3"/>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ind w:firstLine="422"/>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6"/>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0"/>
        <w:rPr>
          <w:color w:val="auto"/>
          <w:highlight w:val="none"/>
        </w:rPr>
      </w:pPr>
    </w:p>
    <w:p>
      <w:pPr>
        <w:tabs>
          <w:tab w:val="left" w:pos="284"/>
        </w:tabs>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tabs>
          <w:tab w:val="left" w:pos="284"/>
        </w:tabs>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6"/>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8958703"/>
      <w:bookmarkStart w:id="223" w:name="_Toc509479530"/>
      <w:bookmarkStart w:id="224" w:name="_Toc508960153"/>
      <w:bookmarkStart w:id="225" w:name="_Toc508898066"/>
      <w:bookmarkStart w:id="226" w:name="_Toc510171693"/>
      <w:bookmarkStart w:id="227" w:name="_Toc30277"/>
      <w:bookmarkStart w:id="228" w:name="_Toc509927455"/>
      <w:bookmarkStart w:id="229" w:name="_Toc20910"/>
      <w:bookmarkStart w:id="230" w:name="_Toc30247"/>
      <w:bookmarkStart w:id="231" w:name="_Toc17761"/>
      <w:bookmarkStart w:id="232" w:name="_Toc509844825"/>
      <w:bookmarkStart w:id="233" w:name="_Toc22970"/>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447"/>
      <w:bookmarkStart w:id="235" w:name="_Toc508958704"/>
      <w:bookmarkStart w:id="236" w:name="_Toc28527"/>
      <w:bookmarkStart w:id="237" w:name="_Toc31520"/>
      <w:bookmarkStart w:id="238" w:name="_Toc510171694"/>
      <w:bookmarkStart w:id="239" w:name="_Toc21053"/>
      <w:bookmarkStart w:id="240" w:name="_Toc26216"/>
      <w:bookmarkStart w:id="241" w:name="_Toc509844826"/>
      <w:bookmarkStart w:id="242" w:name="_Toc508960154"/>
      <w:bookmarkStart w:id="243" w:name="_Toc509927456"/>
      <w:bookmarkStart w:id="244" w:name="_Toc508898067"/>
      <w:bookmarkStart w:id="245"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8898068"/>
      <w:bookmarkStart w:id="247" w:name="_Toc508958705"/>
      <w:bookmarkStart w:id="248" w:name="_Toc508960155"/>
      <w:bookmarkStart w:id="249" w:name="_Toc509479532"/>
      <w:bookmarkStart w:id="250" w:name="_Toc509844827"/>
      <w:bookmarkStart w:id="251" w:name="_Toc509927457"/>
      <w:bookmarkStart w:id="252" w:name="_Toc28626"/>
      <w:bookmarkStart w:id="253" w:name="_Toc14653"/>
      <w:bookmarkStart w:id="254" w:name="_Toc510171695"/>
      <w:bookmarkStart w:id="255" w:name="_Toc24848"/>
      <w:bookmarkStart w:id="256" w:name="_Toc9148"/>
      <w:bookmarkStart w:id="257" w:name="_Toc281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7858"/>
      <w:bookmarkStart w:id="259" w:name="_Toc509479533"/>
      <w:bookmarkStart w:id="260" w:name="_Toc508958706"/>
      <w:bookmarkStart w:id="261" w:name="_Toc510171696"/>
      <w:bookmarkStart w:id="262" w:name="_Toc508960156"/>
      <w:bookmarkStart w:id="263" w:name="_Toc508898069"/>
      <w:bookmarkStart w:id="264" w:name="_Toc9837"/>
      <w:bookmarkStart w:id="265" w:name="_Toc509844828"/>
      <w:bookmarkStart w:id="266" w:name="_Toc509927458"/>
      <w:bookmarkStart w:id="267" w:name="_Toc28044"/>
      <w:bookmarkStart w:id="268" w:name="_Toc28686"/>
      <w:bookmarkStart w:id="269"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18843"/>
      <w:bookmarkStart w:id="271" w:name="_Toc509479534"/>
      <w:bookmarkStart w:id="272" w:name="_Toc508898070"/>
      <w:bookmarkStart w:id="273" w:name="_Toc509927459"/>
      <w:bookmarkStart w:id="274" w:name="_Toc508960157"/>
      <w:bookmarkStart w:id="275" w:name="_Toc510171697"/>
      <w:bookmarkStart w:id="276" w:name="_Toc509844829"/>
      <w:bookmarkStart w:id="277" w:name="_Toc5289"/>
      <w:bookmarkStart w:id="278"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6"/>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6"/>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6"/>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6"/>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6"/>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6"/>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6"/>
        <w:jc w:val="center"/>
        <w:rPr>
          <w:color w:val="auto"/>
          <w:highlight w:val="none"/>
        </w:rPr>
      </w:pPr>
      <w:bookmarkStart w:id="295" w:name="_Toc28067"/>
      <w:bookmarkStart w:id="296" w:name="_Toc1511"/>
      <w:bookmarkStart w:id="297" w:name="_Toc5919"/>
      <w:bookmarkStart w:id="298" w:name="_Toc29995"/>
      <w:bookmarkStart w:id="299" w:name="_Toc4926"/>
      <w:bookmarkStart w:id="300" w:name="_Toc24210"/>
      <w:bookmarkStart w:id="301" w:name="_Toc1747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6"/>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6"/>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6"/>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6"/>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6"/>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6"/>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6"/>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6"/>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26078"/>
      <w:bookmarkStart w:id="321" w:name="_Toc18668"/>
      <w:bookmarkStart w:id="322" w:name="_Toc4827"/>
      <w:bookmarkStart w:id="323" w:name="_Toc6080"/>
      <w:bookmarkStart w:id="324" w:name="_Toc1274"/>
    </w:p>
    <w:p>
      <w:pPr>
        <w:pStyle w:val="6"/>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7079"/>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30" w:name="_Toc4304"/>
            <w:bookmarkStart w:id="331" w:name="_Toc21739"/>
            <w:bookmarkStart w:id="332" w:name="_Toc15903"/>
            <w:bookmarkStart w:id="333" w:name="_Toc14815"/>
            <w:bookmarkStart w:id="334" w:name="_Toc2700"/>
            <w:bookmarkStart w:id="335" w:name="_Toc1016"/>
            <w:bookmarkStart w:id="336" w:name="_Toc10045"/>
            <w:bookmarkStart w:id="337" w:name="_Toc26124"/>
            <w:bookmarkStart w:id="338" w:name="_Toc15368"/>
            <w:bookmarkStart w:id="339" w:name="_Toc16872"/>
            <w:bookmarkStart w:id="340" w:name="_Toc27090"/>
            <w:bookmarkStart w:id="341" w:name="_Toc22448"/>
            <w:bookmarkStart w:id="342" w:name="_Toc12049"/>
            <w:bookmarkStart w:id="343" w:name="_Toc22917"/>
            <w:bookmarkStart w:id="344" w:name="_Toc22879"/>
            <w:bookmarkStart w:id="345" w:name="_Toc19251"/>
            <w:bookmarkStart w:id="346" w:name="_Toc8490"/>
            <w:bookmarkStart w:id="347" w:name="_Toc27442"/>
            <w:bookmarkStart w:id="348" w:name="_Toc8312"/>
            <w:bookmarkStart w:id="349" w:name="_Toc32531"/>
            <w:bookmarkStart w:id="350" w:name="_Toc21809"/>
            <w:bookmarkStart w:id="351" w:name="_Toc24662"/>
            <w:bookmarkStart w:id="352" w:name="_Toc7333"/>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10122"/>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5992"/>
            <w:bookmarkStart w:id="360" w:name="_Toc5563"/>
            <w:bookmarkStart w:id="361" w:name="_Toc20820"/>
            <w:bookmarkStart w:id="362" w:name="_Toc3701"/>
            <w:bookmarkStart w:id="363" w:name="_Toc20139"/>
            <w:bookmarkStart w:id="364" w:name="_Toc17296"/>
            <w:bookmarkStart w:id="365" w:name="_Toc1912"/>
            <w:bookmarkStart w:id="366" w:name="_Toc1330"/>
            <w:bookmarkStart w:id="367" w:name="_Toc17642"/>
            <w:bookmarkStart w:id="368" w:name="_Toc27185"/>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3520"/>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w:t>
      </w:r>
    </w:p>
    <w:p>
      <w:pPr>
        <w:pStyle w:val="33"/>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3"/>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3"/>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3"/>
        <w:rPr>
          <w:rFonts w:ascii="宋体" w:hAnsi="宋体"/>
          <w:color w:val="auto"/>
          <w:szCs w:val="21"/>
          <w:highlight w:val="none"/>
        </w:rPr>
      </w:pPr>
    </w:p>
    <w:p>
      <w:pPr>
        <w:pStyle w:val="33"/>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6"/>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6"/>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6"/>
        <w:jc w:val="center"/>
        <w:rPr>
          <w:color w:val="auto"/>
          <w:highlight w:val="none"/>
        </w:rPr>
      </w:pPr>
      <w:bookmarkStart w:id="379" w:name="_Toc21541"/>
      <w:bookmarkStart w:id="380" w:name="_Toc16710"/>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81" w:name="_Toc24545"/>
      <w:bookmarkStart w:id="382" w:name="_Toc2685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6"/>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6"/>
        <w:jc w:val="center"/>
        <w:rPr>
          <w:color w:val="auto"/>
          <w:highlight w:val="none"/>
        </w:rPr>
      </w:pPr>
      <w:bookmarkStart w:id="384" w:name="_Toc26772"/>
      <w:bookmarkStart w:id="385" w:name="_Toc2678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6"/>
        <w:jc w:val="center"/>
        <w:rPr>
          <w:color w:val="auto"/>
          <w:highlight w:val="none"/>
        </w:rPr>
      </w:pPr>
      <w:bookmarkStart w:id="387" w:name="_Toc22736"/>
      <w:bookmarkStart w:id="388" w:name="_Toc2710"/>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3"/>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2"/>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9"/>
        </w:rPr>
        <w:footnoteRef/>
      </w:r>
      <w:r>
        <w:rPr>
          <w:rFonts w:hint="eastAsia"/>
        </w:rPr>
        <w:t>从业人员、营业人员、资产总额填报上一年度数据，无上一年度数据的新成立企业可不填报。</w:t>
      </w:r>
    </w:p>
  </w:footnote>
  <w:footnote w:id="1">
    <w:p>
      <w:pPr>
        <w:pStyle w:val="19"/>
      </w:pPr>
      <w:r>
        <w:rPr>
          <w:rStyle w:val="29"/>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xNzUwYWQwNDRjMThmYzVmNmE3Mzg5MzZiY2U0YmIifQ=="/>
    <w:docVar w:name="KSO_WPS_MARK_KEY" w:val="6e650a26-cec9-4adc-abe2-07bd1182792c"/>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B67E12"/>
    <w:rsid w:val="03D10969"/>
    <w:rsid w:val="04480D55"/>
    <w:rsid w:val="04DF1036"/>
    <w:rsid w:val="050F6021"/>
    <w:rsid w:val="055214B8"/>
    <w:rsid w:val="05A97DEC"/>
    <w:rsid w:val="05C81981"/>
    <w:rsid w:val="065A32ED"/>
    <w:rsid w:val="06BC41F2"/>
    <w:rsid w:val="06DF3DBD"/>
    <w:rsid w:val="07197D08"/>
    <w:rsid w:val="071C2CFD"/>
    <w:rsid w:val="071E5C5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3E55F9"/>
    <w:rsid w:val="1E5C7612"/>
    <w:rsid w:val="1EA40BB4"/>
    <w:rsid w:val="1F43381C"/>
    <w:rsid w:val="1FA4148D"/>
    <w:rsid w:val="20121621"/>
    <w:rsid w:val="201A421D"/>
    <w:rsid w:val="20341172"/>
    <w:rsid w:val="204E554F"/>
    <w:rsid w:val="20590035"/>
    <w:rsid w:val="20C35213"/>
    <w:rsid w:val="20FC799E"/>
    <w:rsid w:val="21072664"/>
    <w:rsid w:val="21693C0A"/>
    <w:rsid w:val="21DC501A"/>
    <w:rsid w:val="22154DDD"/>
    <w:rsid w:val="22213E42"/>
    <w:rsid w:val="22336873"/>
    <w:rsid w:val="23175889"/>
    <w:rsid w:val="232C5C75"/>
    <w:rsid w:val="238C2182"/>
    <w:rsid w:val="239015D1"/>
    <w:rsid w:val="23BB4E7D"/>
    <w:rsid w:val="23C172D6"/>
    <w:rsid w:val="23F04F64"/>
    <w:rsid w:val="24814CBE"/>
    <w:rsid w:val="24AC168B"/>
    <w:rsid w:val="25857F75"/>
    <w:rsid w:val="258976B0"/>
    <w:rsid w:val="258C3BEC"/>
    <w:rsid w:val="25E576CC"/>
    <w:rsid w:val="260E3701"/>
    <w:rsid w:val="260E3862"/>
    <w:rsid w:val="262569FC"/>
    <w:rsid w:val="26344C98"/>
    <w:rsid w:val="26F56CE2"/>
    <w:rsid w:val="27435D49"/>
    <w:rsid w:val="27A34F71"/>
    <w:rsid w:val="27B36A67"/>
    <w:rsid w:val="27EB0D9B"/>
    <w:rsid w:val="286602C8"/>
    <w:rsid w:val="28665C95"/>
    <w:rsid w:val="28A64522"/>
    <w:rsid w:val="28CC5B40"/>
    <w:rsid w:val="28D45647"/>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77724B"/>
    <w:rsid w:val="328464CE"/>
    <w:rsid w:val="32AB70C5"/>
    <w:rsid w:val="32DC33E0"/>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E0572FD"/>
    <w:rsid w:val="3E1A5292"/>
    <w:rsid w:val="3E5A7FE7"/>
    <w:rsid w:val="3E741AC8"/>
    <w:rsid w:val="3EC8179E"/>
    <w:rsid w:val="3EF66B2E"/>
    <w:rsid w:val="3F217914"/>
    <w:rsid w:val="3F942B76"/>
    <w:rsid w:val="3FAB5A5B"/>
    <w:rsid w:val="3FD70BB0"/>
    <w:rsid w:val="3FFB55AC"/>
    <w:rsid w:val="401C5F9D"/>
    <w:rsid w:val="401C690C"/>
    <w:rsid w:val="401D7195"/>
    <w:rsid w:val="40332A00"/>
    <w:rsid w:val="405F1BE4"/>
    <w:rsid w:val="40A51286"/>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E17E8A"/>
    <w:rsid w:val="43FA5777"/>
    <w:rsid w:val="44044D92"/>
    <w:rsid w:val="441C1611"/>
    <w:rsid w:val="443C440B"/>
    <w:rsid w:val="443F7DBF"/>
    <w:rsid w:val="44514F52"/>
    <w:rsid w:val="448965CB"/>
    <w:rsid w:val="44C5497E"/>
    <w:rsid w:val="44FA2D53"/>
    <w:rsid w:val="4571374F"/>
    <w:rsid w:val="458B1BB0"/>
    <w:rsid w:val="45DD0A0B"/>
    <w:rsid w:val="4611075B"/>
    <w:rsid w:val="46214818"/>
    <w:rsid w:val="466E4C9E"/>
    <w:rsid w:val="467A0297"/>
    <w:rsid w:val="468B7125"/>
    <w:rsid w:val="46C4691F"/>
    <w:rsid w:val="47841568"/>
    <w:rsid w:val="479D1D34"/>
    <w:rsid w:val="47B609C0"/>
    <w:rsid w:val="47CF543E"/>
    <w:rsid w:val="482D31EA"/>
    <w:rsid w:val="484228F5"/>
    <w:rsid w:val="485970A0"/>
    <w:rsid w:val="48847961"/>
    <w:rsid w:val="48A41906"/>
    <w:rsid w:val="48B65C71"/>
    <w:rsid w:val="48F303D7"/>
    <w:rsid w:val="492837FF"/>
    <w:rsid w:val="492E6A57"/>
    <w:rsid w:val="49B86103"/>
    <w:rsid w:val="49FC22A6"/>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84E20"/>
    <w:rsid w:val="4D4F67BA"/>
    <w:rsid w:val="4D603399"/>
    <w:rsid w:val="4D867EE1"/>
    <w:rsid w:val="4DBC4C65"/>
    <w:rsid w:val="4DD731F1"/>
    <w:rsid w:val="4DF6568D"/>
    <w:rsid w:val="4E2E1A80"/>
    <w:rsid w:val="4E550010"/>
    <w:rsid w:val="4E5F14CB"/>
    <w:rsid w:val="4F3705F8"/>
    <w:rsid w:val="4F651D09"/>
    <w:rsid w:val="4FAC3540"/>
    <w:rsid w:val="4FBB12F4"/>
    <w:rsid w:val="4FCF1583"/>
    <w:rsid w:val="4FD30C19"/>
    <w:rsid w:val="4FFA7625"/>
    <w:rsid w:val="501B0BF9"/>
    <w:rsid w:val="507D2599"/>
    <w:rsid w:val="5096229D"/>
    <w:rsid w:val="50B44FCE"/>
    <w:rsid w:val="50DC4184"/>
    <w:rsid w:val="50EF6513"/>
    <w:rsid w:val="50F93342"/>
    <w:rsid w:val="51475B39"/>
    <w:rsid w:val="514C3EA7"/>
    <w:rsid w:val="519849E5"/>
    <w:rsid w:val="51B36892"/>
    <w:rsid w:val="51C11875"/>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F3D30"/>
    <w:rsid w:val="5E2810D5"/>
    <w:rsid w:val="5E2B7D62"/>
    <w:rsid w:val="5E2F31A6"/>
    <w:rsid w:val="5E71411E"/>
    <w:rsid w:val="5EA06921"/>
    <w:rsid w:val="5ED5006A"/>
    <w:rsid w:val="5F576E4B"/>
    <w:rsid w:val="5F5D4EDE"/>
    <w:rsid w:val="5F7A2C30"/>
    <w:rsid w:val="5FBE370A"/>
    <w:rsid w:val="60292845"/>
    <w:rsid w:val="60407720"/>
    <w:rsid w:val="60E5069E"/>
    <w:rsid w:val="61027308"/>
    <w:rsid w:val="612E1A5D"/>
    <w:rsid w:val="61816046"/>
    <w:rsid w:val="61881DE7"/>
    <w:rsid w:val="62182687"/>
    <w:rsid w:val="62391564"/>
    <w:rsid w:val="62816669"/>
    <w:rsid w:val="62BA0953"/>
    <w:rsid w:val="62D03A7C"/>
    <w:rsid w:val="62F16BCB"/>
    <w:rsid w:val="62F648FE"/>
    <w:rsid w:val="630A30D8"/>
    <w:rsid w:val="63341DB1"/>
    <w:rsid w:val="63447612"/>
    <w:rsid w:val="63907004"/>
    <w:rsid w:val="63974E47"/>
    <w:rsid w:val="63A10995"/>
    <w:rsid w:val="63C23EFA"/>
    <w:rsid w:val="63C41644"/>
    <w:rsid w:val="643A070A"/>
    <w:rsid w:val="644C573D"/>
    <w:rsid w:val="647F1ACC"/>
    <w:rsid w:val="648667A7"/>
    <w:rsid w:val="64DB383A"/>
    <w:rsid w:val="65032F85"/>
    <w:rsid w:val="65136B50"/>
    <w:rsid w:val="653B0C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46C21"/>
    <w:rsid w:val="68AD17BB"/>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B955B1"/>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09F26EE"/>
    <w:rsid w:val="71322C59"/>
    <w:rsid w:val="714556B4"/>
    <w:rsid w:val="715B60E9"/>
    <w:rsid w:val="71860FA0"/>
    <w:rsid w:val="71E96309"/>
    <w:rsid w:val="71EA1FED"/>
    <w:rsid w:val="72284A0C"/>
    <w:rsid w:val="72521EAA"/>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524615"/>
    <w:rsid w:val="77653671"/>
    <w:rsid w:val="778546CC"/>
    <w:rsid w:val="77B56730"/>
    <w:rsid w:val="77C04A8B"/>
    <w:rsid w:val="77D85DB3"/>
    <w:rsid w:val="780252A0"/>
    <w:rsid w:val="78027772"/>
    <w:rsid w:val="78A50513"/>
    <w:rsid w:val="78B92B9D"/>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DF10853"/>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2"/>
    <w:autoRedefine/>
    <w:unhideWhenUsed/>
    <w:qFormat/>
    <w:uiPriority w:val="9"/>
    <w:pPr>
      <w:keepNext/>
      <w:keepLines/>
      <w:outlineLvl w:val="2"/>
    </w:pPr>
    <w:rPr>
      <w:b/>
      <w:bCs/>
      <w:sz w:val="28"/>
      <w:szCs w:val="32"/>
    </w:rPr>
  </w:style>
  <w:style w:type="paragraph" w:styleId="7">
    <w:name w:val="heading 4"/>
    <w:basedOn w:val="1"/>
    <w:next w:val="1"/>
    <w:link w:val="34"/>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5"/>
    <w:autoRedefine/>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autoRedefine/>
    <w:qFormat/>
    <w:uiPriority w:val="0"/>
    <w:pPr>
      <w:ind w:firstLine="539" w:firstLineChars="174"/>
    </w:pPr>
    <w:rPr>
      <w:rFonts w:ascii="仿宋_GB2312" w:eastAsia="仿宋_GB2312"/>
      <w:sz w:val="31"/>
    </w:rPr>
  </w:style>
  <w:style w:type="paragraph" w:styleId="12">
    <w:name w:val="Balloon Text"/>
    <w:basedOn w:val="1"/>
    <w:link w:val="48"/>
    <w:autoRedefine/>
    <w:semiHidden/>
    <w:unhideWhenUsed/>
    <w:qFormat/>
    <w:uiPriority w:val="99"/>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autoRedefine/>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autoRedefine/>
    <w:semiHidden/>
    <w:unhideWhenUsed/>
    <w:qFormat/>
    <w:uiPriority w:val="39"/>
  </w:style>
  <w:style w:type="paragraph" w:styleId="16">
    <w:name w:val="toc 4"/>
    <w:basedOn w:val="1"/>
    <w:next w:val="1"/>
    <w:autoRedefine/>
    <w:unhideWhenUsed/>
    <w:qFormat/>
    <w:uiPriority w:val="39"/>
    <w:pPr>
      <w:tabs>
        <w:tab w:val="right" w:leader="dot" w:pos="8296"/>
      </w:tabs>
      <w:spacing w:after="120"/>
      <w:ind w:left="1320" w:leftChars="600"/>
    </w:pPr>
  </w:style>
  <w:style w:type="paragraph" w:styleId="17">
    <w:name w:val="index heading"/>
    <w:basedOn w:val="1"/>
    <w:next w:val="18"/>
    <w:autoRedefine/>
    <w:qFormat/>
    <w:uiPriority w:val="0"/>
    <w:rPr>
      <w:rFonts w:ascii="Times New Roman" w:hAnsi="Times New Roman"/>
      <w:szCs w:val="20"/>
    </w:rPr>
  </w:style>
  <w:style w:type="paragraph" w:styleId="18">
    <w:name w:val="index 1"/>
    <w:basedOn w:val="1"/>
    <w:next w:val="1"/>
    <w:autoRedefine/>
    <w:unhideWhenUsed/>
    <w:qFormat/>
    <w:uiPriority w:val="99"/>
  </w:style>
  <w:style w:type="paragraph" w:styleId="19">
    <w:name w:val="footnote text"/>
    <w:basedOn w:val="1"/>
    <w:autoRedefine/>
    <w:semiHidden/>
    <w:unhideWhenUsed/>
    <w:qFormat/>
    <w:uiPriority w:val="99"/>
    <w:rPr>
      <w:sz w:val="18"/>
    </w:rPr>
  </w:style>
  <w:style w:type="paragraph" w:styleId="20">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0"/>
    <w:qFormat/>
    <w:uiPriority w:val="0"/>
    <w:pPr>
      <w:widowControl w:val="0"/>
      <w:adjustRightInd/>
      <w:snapToGrid/>
      <w:jc w:val="both"/>
    </w:pPr>
    <w:rPr>
      <w:rFonts w:asciiTheme="minorHAnsi" w:hAnsiTheme="minorHAnsi"/>
      <w:kern w:val="2"/>
      <w:sz w:val="24"/>
      <w:szCs w:val="24"/>
    </w:rPr>
  </w:style>
  <w:style w:type="paragraph" w:styleId="22">
    <w:name w:val="Body Text First Indent"/>
    <w:basedOn w:val="2"/>
    <w:autoRedefine/>
    <w:unhideWhenUsed/>
    <w:qFormat/>
    <w:uiPriority w:val="99"/>
    <w:pPr>
      <w:ind w:firstLine="420" w:firstLineChars="100"/>
    </w:pPr>
    <w:rPr>
      <w:rFonts w:ascii="Times New Roman" w:hAnsi="Times New Roman" w:cs="Times New Roman"/>
    </w:rPr>
  </w:style>
  <w:style w:type="table" w:styleId="24">
    <w:name w:val="Table Grid"/>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autoRedefine/>
    <w:qFormat/>
    <w:uiPriority w:val="20"/>
    <w:rPr>
      <w:i/>
      <w:iCs/>
    </w:rPr>
  </w:style>
  <w:style w:type="character" w:styleId="27">
    <w:name w:val="Hyperlink"/>
    <w:autoRedefine/>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autoRedefine/>
    <w:semiHidden/>
    <w:unhideWhenUsed/>
    <w:qFormat/>
    <w:uiPriority w:val="99"/>
    <w:rPr>
      <w:vertAlign w:val="superscript"/>
    </w:rPr>
  </w:style>
  <w:style w:type="paragraph" w:customStyle="1" w:styleId="30">
    <w:name w:val="表格文字"/>
    <w:basedOn w:val="1"/>
    <w:autoRedefine/>
    <w:qFormat/>
    <w:uiPriority w:val="0"/>
    <w:pPr>
      <w:adjustRightInd/>
      <w:spacing w:before="25" w:after="25"/>
    </w:pPr>
    <w:rPr>
      <w:rFonts w:ascii="Times New Roman"/>
      <w:bCs/>
      <w:spacing w:val="10"/>
      <w:szCs w:val="20"/>
    </w:rPr>
  </w:style>
  <w:style w:type="character" w:customStyle="1" w:styleId="31">
    <w:name w:val="标题 2 Char"/>
    <w:basedOn w:val="25"/>
    <w:link w:val="5"/>
    <w:autoRedefine/>
    <w:qFormat/>
    <w:uiPriority w:val="9"/>
    <w:rPr>
      <w:rFonts w:asciiTheme="majorHAnsi" w:hAnsiTheme="majorHAnsi" w:eastAsiaTheme="majorEastAsia" w:cstheme="majorBidi"/>
      <w:b/>
      <w:bCs/>
      <w:sz w:val="32"/>
      <w:szCs w:val="32"/>
    </w:rPr>
  </w:style>
  <w:style w:type="character" w:customStyle="1" w:styleId="32">
    <w:name w:val="标题 3 Char"/>
    <w:basedOn w:val="25"/>
    <w:link w:val="6"/>
    <w:autoRedefine/>
    <w:qFormat/>
    <w:uiPriority w:val="9"/>
    <w:rPr>
      <w:rFonts w:ascii="Tahoma" w:hAnsi="Tahoma" w:eastAsia="宋体"/>
      <w:b/>
      <w:bCs/>
      <w:sz w:val="28"/>
      <w:szCs w:val="32"/>
    </w:rPr>
  </w:style>
  <w:style w:type="paragraph" w:styleId="33">
    <w:name w:val="List Paragraph"/>
    <w:basedOn w:val="1"/>
    <w:autoRedefine/>
    <w:qFormat/>
    <w:uiPriority w:val="34"/>
    <w:pPr>
      <w:ind w:firstLine="420" w:firstLineChars="200"/>
    </w:pPr>
  </w:style>
  <w:style w:type="character" w:customStyle="1" w:styleId="34">
    <w:name w:val="标题 4 Char"/>
    <w:basedOn w:val="25"/>
    <w:link w:val="7"/>
    <w:qFormat/>
    <w:uiPriority w:val="9"/>
    <w:rPr>
      <w:rFonts w:eastAsia="宋体" w:asciiTheme="majorHAnsi" w:hAnsiTheme="majorHAnsi" w:cstheme="majorBidi"/>
      <w:b/>
      <w:bCs/>
      <w:sz w:val="24"/>
      <w:szCs w:val="28"/>
    </w:rPr>
  </w:style>
  <w:style w:type="character" w:customStyle="1" w:styleId="35">
    <w:name w:val="正文缩进2格 Char"/>
    <w:link w:val="36"/>
    <w:autoRedefine/>
    <w:qFormat/>
    <w:uiPriority w:val="0"/>
    <w:rPr>
      <w:rFonts w:ascii="仿宋_GB2312" w:hAnsi="宋体" w:eastAsia="仿宋_GB2312"/>
      <w:kern w:val="2"/>
      <w:sz w:val="31"/>
    </w:rPr>
  </w:style>
  <w:style w:type="paragraph" w:customStyle="1" w:styleId="36">
    <w:name w:val="正文缩进2格"/>
    <w:basedOn w:val="1"/>
    <w:next w:val="1"/>
    <w:link w:val="35"/>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autoRedefine/>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autoRedefine/>
    <w:qFormat/>
    <w:uiPriority w:val="0"/>
    <w:rPr>
      <w:rFonts w:ascii="宋体" w:hAnsi="宋体" w:eastAsia="宋体"/>
      <w:b/>
      <w:color w:val="FF0000"/>
      <w:kern w:val="2"/>
      <w:sz w:val="32"/>
    </w:rPr>
  </w:style>
  <w:style w:type="paragraph" w:customStyle="1" w:styleId="42">
    <w:name w:val="标题 3.1"/>
    <w:basedOn w:val="6"/>
    <w:link w:val="4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0"/>
    <w:semiHidden/>
    <w:qFormat/>
    <w:uiPriority w:val="99"/>
    <w:rPr>
      <w:rFonts w:ascii="宋体" w:hAnsi="Courier New" w:eastAsia="宋体" w:cs="Courier New"/>
      <w:sz w:val="21"/>
      <w:szCs w:val="21"/>
    </w:rPr>
  </w:style>
  <w:style w:type="character" w:customStyle="1" w:styleId="46">
    <w:name w:val="页眉 Char"/>
    <w:basedOn w:val="25"/>
    <w:link w:val="14"/>
    <w:autoRedefine/>
    <w:qFormat/>
    <w:uiPriority w:val="99"/>
    <w:rPr>
      <w:rFonts w:ascii="Tahoma" w:hAnsi="Tahoma"/>
      <w:sz w:val="18"/>
      <w:szCs w:val="18"/>
    </w:rPr>
  </w:style>
  <w:style w:type="character" w:customStyle="1" w:styleId="47">
    <w:name w:val="页脚 Char"/>
    <w:basedOn w:val="25"/>
    <w:link w:val="13"/>
    <w:autoRedefine/>
    <w:qFormat/>
    <w:uiPriority w:val="99"/>
    <w:rPr>
      <w:rFonts w:ascii="Tahoma" w:hAnsi="Tahoma"/>
      <w:sz w:val="18"/>
      <w:szCs w:val="18"/>
    </w:rPr>
  </w:style>
  <w:style w:type="character" w:customStyle="1" w:styleId="48">
    <w:name w:val="批注框文本 Char"/>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0">
    <w:name w:val="font41"/>
    <w:basedOn w:val="25"/>
    <w:qFormat/>
    <w:uiPriority w:val="0"/>
    <w:rPr>
      <w:rFonts w:hint="eastAsia" w:ascii="宋体" w:hAnsi="宋体" w:eastAsia="宋体" w:cs="宋体"/>
      <w:color w:val="000000"/>
      <w:sz w:val="18"/>
      <w:szCs w:val="18"/>
      <w:u w:val="none"/>
    </w:rPr>
  </w:style>
  <w:style w:type="character" w:customStyle="1" w:styleId="61">
    <w:name w:val="font131"/>
    <w:basedOn w:val="2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37960</Words>
  <Characters>40457</Characters>
  <Lines>349</Lines>
  <Paragraphs>98</Paragraphs>
  <TotalTime>48</TotalTime>
  <ScaleCrop>false</ScaleCrop>
  <LinksUpToDate>false</LinksUpToDate>
  <CharactersWithSpaces>41846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2024-03-06T14:15:41Z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A79899B58B1A46ADBAE80875747AECB7_13</vt:lpwstr>
  </property>
</Properties>
</file>