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2"/>
        <w:ind w:firstLine="240"/>
        <w:rPr>
          <w:rFonts w:ascii="黑体" w:eastAsia="黑体"/>
          <w:color w:val="auto"/>
          <w:szCs w:val="21"/>
          <w:highlight w:val="none"/>
        </w:rPr>
      </w:pPr>
    </w:p>
    <w:p>
      <w:pPr>
        <w:pStyle w:val="22"/>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GDZT2024109C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东莞市横沥镇社区卫生服务中心肿瘤、甲亢、优生、病理外送检验服务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东莞市横沥镇社区卫生服务中心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0"/>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0"/>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2583180"/>
                    </a:xfrm>
                    <a:prstGeom prst="rect">
                      <a:avLst/>
                    </a:prstGeom>
                  </pic:spPr>
                </pic:pic>
              </a:graphicData>
            </a:graphic>
          </wp:inline>
        </w:drawing>
      </w:r>
    </w:p>
    <w:p>
      <w:pPr>
        <w:pStyle w:val="20"/>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0"/>
        <w:ind w:left="0" w:leftChars="0"/>
        <w:rPr>
          <w:color w:val="auto"/>
          <w:sz w:val="40"/>
          <w:szCs w:val="40"/>
          <w:highlight w:val="none"/>
        </w:rPr>
      </w:pPr>
      <w:r>
        <w:rPr>
          <w:rFonts w:hint="eastAsia"/>
          <w:color w:val="auto"/>
          <w:sz w:val="40"/>
          <w:szCs w:val="40"/>
          <w:highlight w:val="none"/>
        </w:rPr>
        <w:t>目录</w:t>
      </w:r>
    </w:p>
    <w:p>
      <w:pPr>
        <w:pStyle w:val="20"/>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9"/>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6"/>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5"/>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6"/>
        <w:jc w:val="center"/>
        <w:rPr>
          <w:rFonts w:ascii="宋体" w:hAnsi="宋体" w:cs="宋体"/>
          <w:color w:val="auto"/>
          <w:highlight w:val="none"/>
        </w:rPr>
      </w:pPr>
      <w:bookmarkStart w:id="2" w:name="_Toc8850"/>
      <w:bookmarkStart w:id="3" w:name="_Toc142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东莞市横沥镇社区卫生服务中心</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东莞市横沥镇社区卫生服务中心肿瘤、甲亢、优生、病理外送检验服务</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GDZT2024109C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东莞市横沥镇社区卫生服务中心肿瘤、甲亢、优生、病理外送检验服务</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48"/>
        <w:gridCol w:w="660"/>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13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4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1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133"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东莞市横沥镇社区卫生服务中心肿瘤、甲亢、优生、病理外送检验服务</w:t>
            </w:r>
          </w:p>
        </w:tc>
        <w:tc>
          <w:tcPr>
            <w:tcW w:w="44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17"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lang w:val="en-US" w:eastAsia="zh-CN"/>
              </w:rPr>
              <w:t>960,000.00</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投标人</w:t>
      </w:r>
      <w:r>
        <w:rPr>
          <w:rFonts w:hint="eastAsia" w:ascii="宋体" w:hAnsi="宋体" w:eastAsia="宋体" w:cs="宋体"/>
          <w:color w:val="auto"/>
          <w:kern w:val="0"/>
          <w:sz w:val="21"/>
          <w:szCs w:val="21"/>
          <w:highlight w:val="none"/>
          <w:lang w:val="en-US" w:eastAsia="zh-CN"/>
        </w:rPr>
        <w:t>须具有卫生行政部门核发且在有效期内的《医疗机构执业许可证》。</w:t>
      </w:r>
    </w:p>
    <w:p>
      <w:pPr>
        <w:shd w:val="clear"/>
        <w:spacing w:after="0" w:line="360" w:lineRule="auto"/>
        <w:ind w:firstLine="411" w:firstLineChars="196"/>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其他未列明行业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3</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3</w:t>
      </w:r>
      <w:r>
        <w:rPr>
          <w:rFonts w:hint="eastAsia" w:ascii="宋体" w:hAnsi="宋体"/>
          <w:bCs/>
          <w:color w:val="auto"/>
          <w:szCs w:val="21"/>
          <w:highlight w:val="none"/>
        </w:rPr>
        <w:t>月</w:t>
      </w:r>
      <w:r>
        <w:rPr>
          <w:rFonts w:hint="eastAsia" w:ascii="宋体" w:hAnsi="宋体"/>
          <w:bCs/>
          <w:color w:val="auto"/>
          <w:szCs w:val="21"/>
          <w:highlight w:val="none"/>
          <w:lang w:val="en-US" w:eastAsia="zh-CN"/>
        </w:rPr>
        <w:t>27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3</w:t>
      </w:r>
      <w:r>
        <w:rPr>
          <w:rFonts w:hint="eastAsia" w:ascii="宋体" w:hAnsi="宋体"/>
          <w:bCs/>
          <w:color w:val="auto"/>
          <w:szCs w:val="21"/>
          <w:highlight w:val="none"/>
        </w:rPr>
        <w:t>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采购人联系人：黄</w:t>
      </w:r>
      <w:r>
        <w:rPr>
          <w:rFonts w:hint="eastAsia" w:ascii="宋体" w:hAnsi="宋体"/>
          <w:bCs/>
          <w:color w:val="auto"/>
          <w:sz w:val="21"/>
          <w:szCs w:val="21"/>
          <w:highlight w:val="none"/>
          <w:lang w:val="en-US" w:eastAsia="zh-CN"/>
        </w:rPr>
        <w:t>工</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地址：东莞市横沥镇</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eastAsia="zh-CN"/>
        </w:rPr>
        <w:t xml:space="preserve"> 0769-82208056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bookmarkStart w:id="389" w:name="_GoBack"/>
      <w:bookmarkEnd w:id="389"/>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2"/>
        <w:rPr>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5"/>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b/>
                <w:color w:val="auto"/>
                <w:szCs w:val="21"/>
                <w:highlight w:val="none"/>
              </w:rPr>
              <w:t>自筹资金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ascii="宋体" w:hAnsi="宋体"/>
                <w:b/>
                <w:color w:val="auto"/>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firstLine="21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22"/>
        <w:ind w:left="0" w:firstLine="0" w:firstLineChars="0"/>
        <w:rPr>
          <w:rFonts w:ascii="宋体" w:hAnsi="宋体" w:cs="宋体"/>
          <w:color w:val="auto"/>
          <w:sz w:val="21"/>
          <w:szCs w:val="21"/>
          <w:highlight w:val="none"/>
        </w:rPr>
      </w:pPr>
    </w:p>
    <w:p>
      <w:pPr>
        <w:pStyle w:val="5"/>
        <w:spacing w:before="0" w:after="0" w:line="360" w:lineRule="auto"/>
        <w:rPr>
          <w:color w:val="auto"/>
          <w:highlight w:val="none"/>
        </w:rPr>
      </w:pPr>
      <w:bookmarkStart w:id="8" w:name="_Toc13473"/>
      <w:bookmarkStart w:id="9" w:name="_Toc5749"/>
      <w:bookmarkStart w:id="10" w:name="_Hlk55300595"/>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6"/>
        <w:spacing w:line="240" w:lineRule="auto"/>
        <w:jc w:val="center"/>
        <w:rPr>
          <w:rFonts w:hint="eastAsia"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价格分计算方法：满足招标文件要求且投标价格最低的综合单价折扣率为评标基准价，其价格分为满分。其他投标人的价格分统一按照下列公式计算：</w:t>
            </w:r>
          </w:p>
          <w:p>
            <w:pPr>
              <w:pStyle w:val="36"/>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投标报价得分=(评标基准单价折扣率／投标单价折扣率)×价格权值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 w:val="21"/>
                <w:szCs w:val="21"/>
                <w:highlight w:val="none"/>
                <w:lang w:eastAsia="zh-CN"/>
              </w:rPr>
              <w:t>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投标人具有由国家认证认可的监督管理部门批准设立的认证机构颁发并在有效期内的：</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（1）质量管理体系认证证书，得4分，本项最高得4分；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（2）职业健康安全管理体系认证证书，得4分，本项最高得4分；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（3）环境管理体系认证证书，得4分，本项最高得4分；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（4）信息安全管理体系认证证书，得4分，本项最高得4分。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kern w:val="2"/>
                <w:sz w:val="21"/>
                <w:szCs w:val="21"/>
                <w:highlight w:val="none"/>
                <w:lang w:val="pt-BR" w:eastAsia="zh-CN" w:bidi="ar-SA"/>
              </w:rPr>
            </w:pPr>
            <w:r>
              <w:rPr>
                <w:rFonts w:hint="eastAsia" w:ascii="宋体" w:hAnsi="宋体" w:eastAsia="宋体" w:cs="宋体"/>
                <w:color w:val="auto"/>
                <w:kern w:val="0"/>
                <w:sz w:val="21"/>
                <w:szCs w:val="21"/>
                <w:highlight w:val="none"/>
                <w:lang w:val="en-US" w:eastAsia="zh-CN" w:bidi="ar-SA"/>
              </w:rPr>
              <w:t>注：须提供有效证书复印件加盖投标人公章，否则不得分。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投标人</w:t>
            </w:r>
            <w:r>
              <w:rPr>
                <w:rFonts w:hint="eastAsia" w:ascii="宋体" w:hAnsi="宋体" w:eastAsia="宋体" w:cs="宋体"/>
                <w:bCs/>
                <w:color w:val="auto"/>
                <w:sz w:val="21"/>
                <w:szCs w:val="21"/>
                <w:highlight w:val="none"/>
                <w:lang w:val="zh-CN"/>
              </w:rPr>
              <w:t>具有医疗机构检验（或检测）外送服务</w:t>
            </w:r>
            <w:r>
              <w:rPr>
                <w:rFonts w:hint="eastAsia" w:ascii="宋体" w:hAnsi="宋体" w:eastAsia="宋体" w:cs="宋体"/>
                <w:bCs/>
                <w:color w:val="auto"/>
                <w:sz w:val="21"/>
                <w:szCs w:val="21"/>
                <w:highlight w:val="none"/>
                <w:lang w:val="en-US" w:eastAsia="zh-CN"/>
              </w:rPr>
              <w:t>类</w:t>
            </w:r>
            <w:r>
              <w:rPr>
                <w:rFonts w:hint="eastAsia" w:ascii="宋体" w:hAnsi="宋体" w:eastAsia="宋体" w:cs="宋体"/>
                <w:bCs/>
                <w:color w:val="auto"/>
                <w:sz w:val="21"/>
                <w:szCs w:val="21"/>
                <w:highlight w:val="none"/>
                <w:lang w:val="zh-CN"/>
              </w:rPr>
              <w:t>项目业绩</w:t>
            </w:r>
            <w:r>
              <w:rPr>
                <w:rFonts w:hint="eastAsia" w:ascii="宋体" w:hAnsi="宋体" w:eastAsia="宋体" w:cs="宋体"/>
                <w:bCs/>
                <w:color w:val="auto"/>
                <w:sz w:val="21"/>
                <w:szCs w:val="21"/>
                <w:highlight w:val="none"/>
                <w:lang w:val="en-US" w:eastAsia="zh-CN"/>
              </w:rPr>
              <w:t>的</w:t>
            </w:r>
            <w:r>
              <w:rPr>
                <w:rFonts w:hint="eastAsia" w:ascii="宋体" w:hAnsi="宋体" w:eastAsia="宋体" w:cs="宋体"/>
                <w:bCs/>
                <w:color w:val="auto"/>
                <w:sz w:val="21"/>
                <w:szCs w:val="21"/>
                <w:highlight w:val="none"/>
                <w:lang w:val="zh-CN"/>
              </w:rPr>
              <w:t>，按医疗机构的数量计分，每提供一个医疗机构</w:t>
            </w:r>
            <w:r>
              <w:rPr>
                <w:rFonts w:hint="eastAsia" w:ascii="宋体" w:hAnsi="宋体" w:eastAsia="宋体" w:cs="宋体"/>
                <w:bCs/>
                <w:color w:val="auto"/>
                <w:sz w:val="21"/>
                <w:szCs w:val="21"/>
                <w:highlight w:val="none"/>
                <w:lang w:val="en-US" w:eastAsia="zh-CN"/>
              </w:rPr>
              <w:t>的业绩</w:t>
            </w:r>
            <w:r>
              <w:rPr>
                <w:rFonts w:hint="eastAsia" w:ascii="宋体" w:hAnsi="宋体" w:eastAsia="宋体" w:cs="宋体"/>
                <w:bCs/>
                <w:color w:val="auto"/>
                <w:sz w:val="21"/>
                <w:szCs w:val="21"/>
                <w:highlight w:val="none"/>
                <w:lang w:val="zh-CN"/>
              </w:rPr>
              <w:t>合同得2分，</w:t>
            </w:r>
            <w:r>
              <w:rPr>
                <w:rFonts w:hint="eastAsia" w:ascii="宋体" w:hAnsi="宋体" w:eastAsia="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0分。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color w:val="auto"/>
                <w:sz w:val="21"/>
                <w:szCs w:val="21"/>
                <w:highlight w:val="none"/>
              </w:rPr>
              <w:t>须提供业绩合同复印件</w:t>
            </w:r>
            <w:r>
              <w:rPr>
                <w:rFonts w:hint="eastAsia" w:ascii="宋体" w:hAnsi="宋体" w:eastAsia="宋体" w:cs="宋体"/>
                <w:color w:val="auto"/>
                <w:sz w:val="21"/>
                <w:szCs w:val="21"/>
                <w:highlight w:val="none"/>
                <w:lang w:eastAsia="zh-CN"/>
              </w:rPr>
              <w:t>加盖投标人公章，</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服务便利性</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提供的服务响应时间承诺进行</w:t>
            </w:r>
            <w:r>
              <w:rPr>
                <w:rFonts w:hint="eastAsia" w:ascii="宋体" w:hAnsi="宋体" w:eastAsia="宋体" w:cs="宋体"/>
                <w:bCs/>
                <w:color w:val="auto"/>
                <w:sz w:val="21"/>
                <w:szCs w:val="21"/>
                <w:highlight w:val="none"/>
                <w:lang w:val="en-US" w:eastAsia="zh-CN"/>
              </w:rPr>
              <w:t>评审</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（3）承诺在接到采购人通知后3小时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内到现场，得1分；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Cs/>
                <w:color w:val="auto"/>
                <w:sz w:val="21"/>
                <w:szCs w:val="21"/>
                <w:highlight w:val="none"/>
                <w:lang w:val="en-US" w:eastAsia="zh-CN"/>
              </w:rPr>
              <w:t>未</w:t>
            </w:r>
            <w:r>
              <w:rPr>
                <w:rFonts w:hint="eastAsia" w:ascii="宋体" w:hAnsi="宋体" w:eastAsia="宋体" w:cs="宋体"/>
                <w:bCs/>
                <w:color w:val="auto"/>
                <w:sz w:val="21"/>
                <w:szCs w:val="21"/>
                <w:highlight w:val="none"/>
              </w:rPr>
              <w:t>承诺</w:t>
            </w:r>
            <w:r>
              <w:rPr>
                <w:rFonts w:hint="eastAsia" w:ascii="宋体" w:hAnsi="宋体" w:eastAsia="宋体" w:cs="宋体"/>
                <w:bCs/>
                <w:color w:val="auto"/>
                <w:sz w:val="21"/>
                <w:szCs w:val="21"/>
                <w:highlight w:val="none"/>
                <w:lang w:val="en-US" w:eastAsia="zh-CN"/>
              </w:rPr>
              <w:t>或其他情况</w:t>
            </w:r>
            <w:r>
              <w:rPr>
                <w:rFonts w:hint="eastAsia" w:ascii="宋体" w:hAnsi="宋体" w:eastAsia="宋体" w:cs="宋体"/>
                <w:bCs/>
                <w:color w:val="auto"/>
                <w:sz w:val="21"/>
                <w:szCs w:val="21"/>
                <w:highlight w:val="none"/>
              </w:rPr>
              <w:t>，不得分。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lang w:val="zh-CN"/>
              </w:rPr>
              <w:t>注：</w:t>
            </w:r>
            <w:r>
              <w:rPr>
                <w:rFonts w:hint="eastAsia" w:ascii="宋体" w:hAnsi="宋体" w:eastAsia="宋体" w:cs="宋体"/>
                <w:bCs/>
                <w:color w:val="auto"/>
                <w:sz w:val="21"/>
                <w:szCs w:val="21"/>
                <w:highlight w:val="none"/>
              </w:rPr>
              <w:t>须提供服务承诺书并加盖</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项目重点难点分析</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根据各</w:t>
            </w:r>
            <w:r>
              <w:rPr>
                <w:rFonts w:hint="eastAsia" w:ascii="宋体" w:hAnsi="宋体" w:eastAsia="宋体" w:cs="宋体"/>
                <w:bCs/>
                <w:color w:val="auto"/>
                <w:sz w:val="21"/>
                <w:szCs w:val="21"/>
                <w:highlight w:val="none"/>
                <w:lang w:eastAsia="zh-CN"/>
              </w:rPr>
              <w:t>投标人</w:t>
            </w:r>
            <w:r>
              <w:rPr>
                <w:rFonts w:hint="eastAsia" w:ascii="宋体" w:hAnsi="宋体" w:eastAsia="宋体" w:cs="宋体"/>
                <w:color w:val="auto"/>
                <w:sz w:val="21"/>
                <w:szCs w:val="21"/>
                <w:highlight w:val="none"/>
                <w:lang w:val="zh-CN"/>
              </w:rPr>
              <w:t>对本项目的熟悉程度、理解及项目重点和难点的分析，以及根据项目重点和难点所采取的措施等进行综合评审</w:t>
            </w: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对本项目的熟悉程度深入，重点和难点分析</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lang w:val="zh-CN"/>
              </w:rPr>
              <w:t>清晰具体且对应措施完善详细具体、有针对性、操作性</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lang w:val="zh-CN"/>
              </w:rPr>
              <w:t>强</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对本项目的熟悉程度一般，重点和难点分析基本合理、对应措施可行性</w:t>
            </w:r>
            <w:r>
              <w:rPr>
                <w:rFonts w:hint="eastAsia" w:ascii="宋体" w:hAnsi="宋体" w:eastAsia="宋体" w:cs="宋体"/>
                <w:color w:val="auto"/>
                <w:sz w:val="21"/>
                <w:szCs w:val="21"/>
                <w:highlight w:val="none"/>
                <w:lang w:val="en-US" w:eastAsia="zh-CN"/>
              </w:rPr>
              <w:t>一般</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zh-CN"/>
              </w:rPr>
              <w:t>对本项目的熟悉程度、重点和难点分析不清晰不具体</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2"/>
                <w:sz w:val="21"/>
                <w:szCs w:val="21"/>
                <w:highlight w:val="none"/>
                <w:lang w:val="zh-CN"/>
              </w:rPr>
              <w:t>未提供</w:t>
            </w:r>
            <w:r>
              <w:rPr>
                <w:rFonts w:hint="eastAsia" w:ascii="宋体" w:hAnsi="宋体" w:eastAsia="宋体" w:cs="宋体"/>
                <w:color w:val="auto"/>
                <w:kern w:val="2"/>
                <w:sz w:val="21"/>
                <w:szCs w:val="21"/>
                <w:highlight w:val="none"/>
                <w:lang w:val="en-US" w:eastAsia="zh-CN"/>
              </w:rPr>
              <w:t>项目重点难点分析</w:t>
            </w:r>
            <w:r>
              <w:rPr>
                <w:rFonts w:hint="eastAsia" w:ascii="宋体" w:hAnsi="宋体" w:eastAsia="宋体" w:cs="宋体"/>
                <w:bCs/>
                <w:color w:val="auto"/>
                <w:kern w:val="2"/>
                <w:sz w:val="21"/>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投标人提供的项目实施方案响应《用户需求书》</w:t>
            </w:r>
            <w:r>
              <w:rPr>
                <w:rFonts w:hint="eastAsia" w:ascii="宋体" w:hAnsi="宋体" w:eastAsia="宋体" w:cs="宋体"/>
                <w:color w:val="auto"/>
                <w:sz w:val="21"/>
                <w:szCs w:val="21"/>
                <w:highlight w:val="none"/>
                <w:lang w:val="en-US" w:eastAsia="zh-CN"/>
              </w:rPr>
              <w:t>的程度进行综合评审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如对每周上门服务次数、咨询服务方案、检验方案、出具检测报告具体时间长短方案等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对标本运输保管方案及其保障措施、质量标准及保障措施、异常报告处理流程、采购人对检测报告提出异议后处理机制、提供检验前培训服务方案进行综合评审：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项目方案完整，实施方法可行，满足优于以上提出的要求，得1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完整，实施方法基本可行，满足以上提出要求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w:t>
            </w:r>
            <w:r>
              <w:rPr>
                <w:rFonts w:hint="eastAsia" w:ascii="宋体" w:hAnsi="宋体" w:eastAsia="宋体" w:cs="宋体"/>
                <w:color w:val="auto"/>
                <w:sz w:val="21"/>
                <w:szCs w:val="21"/>
                <w:highlight w:val="none"/>
                <w:lang w:eastAsia="zh-CN"/>
              </w:rPr>
              <w:t>部分满足</w:t>
            </w:r>
            <w:r>
              <w:rPr>
                <w:rFonts w:hint="eastAsia" w:ascii="宋体" w:hAnsi="宋体" w:eastAsia="宋体" w:cs="宋体"/>
                <w:color w:val="auto"/>
                <w:sz w:val="21"/>
                <w:szCs w:val="21"/>
                <w:highlight w:val="none"/>
              </w:rPr>
              <w:t>要求，得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增值服务方案  </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投标人针对</w:t>
            </w:r>
            <w:r>
              <w:rPr>
                <w:rFonts w:hint="eastAsia" w:ascii="宋体" w:hAnsi="宋体" w:eastAsia="宋体" w:cs="宋体"/>
                <w:color w:val="auto"/>
                <w:sz w:val="21"/>
                <w:szCs w:val="21"/>
                <w:highlight w:val="none"/>
              </w:rPr>
              <w:t>招标文件用户需求书要求，协助采购人实验室进行流程优化、质量提升、技术能力提升，提供给采购人实验室信息系统双向对接提出相应的实施服务方案</w:t>
            </w:r>
            <w:r>
              <w:rPr>
                <w:rFonts w:hint="eastAsia" w:ascii="宋体" w:hAnsi="宋体" w:eastAsia="宋体" w:cs="宋体"/>
                <w:color w:val="auto"/>
                <w:sz w:val="21"/>
                <w:szCs w:val="21"/>
                <w:highlight w:val="none"/>
                <w:lang w:val="en-US" w:eastAsia="zh-CN"/>
              </w:rPr>
              <w:t>进行综合评审：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服务方案完整，实施方法可行，满足优于以上提出的要求，得10分；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可行，满足以上提出要求，得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基本</w:t>
            </w:r>
            <w:r>
              <w:rPr>
                <w:rFonts w:hint="eastAsia" w:ascii="宋体" w:hAnsi="宋体" w:eastAsia="宋体" w:cs="宋体"/>
                <w:color w:val="auto"/>
                <w:sz w:val="21"/>
                <w:szCs w:val="21"/>
                <w:highlight w:val="none"/>
              </w:rPr>
              <w:t>完整，实施方法基本可行，</w:t>
            </w:r>
            <w:r>
              <w:rPr>
                <w:rFonts w:hint="eastAsia" w:ascii="宋体" w:hAnsi="宋体" w:eastAsia="宋体" w:cs="宋体"/>
                <w:color w:val="auto"/>
                <w:sz w:val="21"/>
                <w:szCs w:val="21"/>
                <w:highlight w:val="none"/>
                <w:lang w:eastAsia="zh-CN"/>
              </w:rPr>
              <w:t>部分满足要求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r>
              <w:rPr>
                <w:rFonts w:hint="eastAsia" w:ascii="宋体" w:hAnsi="宋体" w:eastAsia="宋体" w:cs="宋体"/>
                <w:color w:val="auto"/>
                <w:sz w:val="21"/>
                <w:szCs w:val="21"/>
                <w:highlight w:val="none"/>
                <w:lang w:eastAsia="zh-CN"/>
              </w:rPr>
              <w:t>不够</w:t>
            </w:r>
            <w:r>
              <w:rPr>
                <w:rFonts w:hint="eastAsia" w:ascii="宋体" w:hAnsi="宋体" w:eastAsia="宋体" w:cs="宋体"/>
                <w:color w:val="auto"/>
                <w:sz w:val="21"/>
                <w:szCs w:val="21"/>
                <w:highlight w:val="none"/>
              </w:rPr>
              <w:t>完整，实施方法可行</w:t>
            </w:r>
            <w:r>
              <w:rPr>
                <w:rFonts w:hint="eastAsia" w:ascii="宋体" w:hAnsi="宋体" w:eastAsia="宋体" w:cs="宋体"/>
                <w:color w:val="auto"/>
                <w:sz w:val="21"/>
                <w:szCs w:val="21"/>
                <w:highlight w:val="none"/>
                <w:lang w:eastAsia="zh-CN"/>
              </w:rPr>
              <w:t>性较差</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拟投入技术人员及设备配备方案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rPr>
              <w:t>拟投入本项目的技术人员(检验类别)、设备、实验室情况进行综合</w:t>
            </w:r>
            <w:r>
              <w:rPr>
                <w:rFonts w:hint="eastAsia" w:ascii="宋体" w:hAnsi="宋体" w:eastAsia="宋体" w:cs="宋体"/>
                <w:color w:val="auto"/>
                <w:sz w:val="21"/>
                <w:szCs w:val="21"/>
                <w:highlight w:val="none"/>
                <w:lang w:val="en-US" w:eastAsia="zh-CN"/>
              </w:rPr>
              <w:t>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技术人员配备完整、设备配套齐全，实验室管理方案、实施方法可行，得10分；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技术人员配备较为完整、设备配套较为齐全，实验室管理方案、实施方法基本可行，得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技术人员配备不够完整、设备配套不够齐全，实验室管理方案、实施方法不当，得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pPr>
              <w:pStyle w:val="2"/>
              <w:keepNext w:val="0"/>
              <w:keepLines w:val="0"/>
              <w:pageBreakBefore w:val="0"/>
              <w:widowControl/>
              <w:shd w:val="clear" w:color="auto" w:fill="auto"/>
              <w:kinsoku/>
              <w:wordWrap/>
              <w:overflowPunct/>
              <w:topLinePunct w:val="0"/>
              <w:autoSpaceDE/>
              <w:autoSpaceDN/>
              <w:bidi w:val="0"/>
              <w:adjustRightInd w:val="0"/>
              <w:snapToGrid w:val="0"/>
              <w:spacing w:before="0" w:line="240" w:lineRule="auto"/>
              <w:ind w:lef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根据投标人提供的售后服务承诺方案，售后服务计划及方案是否合理、是否完善、</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可靠进行</w:t>
            </w:r>
            <w:r>
              <w:rPr>
                <w:rFonts w:hint="eastAsia" w:ascii="宋体" w:hAnsi="宋体" w:eastAsia="宋体" w:cs="宋体"/>
                <w:color w:val="auto"/>
                <w:sz w:val="21"/>
                <w:szCs w:val="21"/>
                <w:highlight w:val="none"/>
                <w:lang w:val="en-US" w:eastAsia="zh-CN"/>
              </w:rPr>
              <w:t>综合评审：</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方案完整，实施方法可行，得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较为</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val="en-US" w:eastAsia="zh-CN"/>
              </w:rPr>
              <w:t>基本</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keepNext w:val="0"/>
              <w:keepLines w:val="0"/>
              <w:pageBreakBefore w:val="0"/>
              <w:shd w:val="clear" w:color="auto" w:fill="auto"/>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方案不</w:t>
            </w:r>
            <w:r>
              <w:rPr>
                <w:rFonts w:hint="eastAsia" w:ascii="宋体" w:hAnsi="宋体" w:eastAsia="宋体" w:cs="宋体"/>
                <w:color w:val="auto"/>
                <w:sz w:val="21"/>
                <w:szCs w:val="21"/>
                <w:highlight w:val="none"/>
                <w:lang w:eastAsia="zh-CN"/>
              </w:rPr>
              <w:t>够</w:t>
            </w:r>
            <w:r>
              <w:rPr>
                <w:rFonts w:hint="eastAsia" w:ascii="宋体" w:hAnsi="宋体" w:eastAsia="宋体" w:cs="宋体"/>
                <w:color w:val="auto"/>
                <w:sz w:val="21"/>
                <w:szCs w:val="21"/>
                <w:highlight w:val="none"/>
              </w:rPr>
              <w:t>完整，实施方法</w:t>
            </w:r>
            <w:r>
              <w:rPr>
                <w:rFonts w:hint="eastAsia" w:ascii="宋体" w:hAnsi="宋体" w:eastAsia="宋体" w:cs="宋体"/>
                <w:color w:val="auto"/>
                <w:sz w:val="21"/>
                <w:szCs w:val="21"/>
                <w:highlight w:val="none"/>
                <w:lang w:eastAsia="zh-CN"/>
              </w:rPr>
              <w:t>较</w:t>
            </w:r>
            <w:r>
              <w:rPr>
                <w:rFonts w:hint="eastAsia" w:ascii="宋体" w:hAnsi="宋体" w:eastAsia="宋体" w:cs="宋体"/>
                <w:color w:val="auto"/>
                <w:sz w:val="21"/>
                <w:szCs w:val="21"/>
                <w:highlight w:val="none"/>
              </w:rPr>
              <w:t>差，得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rPr>
          <w:color w:val="auto"/>
          <w:highlight w:val="none"/>
        </w:rPr>
      </w:pPr>
    </w:p>
    <w:p>
      <w:pPr>
        <w:rPr>
          <w:color w:val="auto"/>
          <w:highlight w:val="none"/>
        </w:rPr>
      </w:pPr>
      <w:r>
        <w:rPr>
          <w:rFonts w:hint="eastAsia"/>
          <w:color w:val="auto"/>
          <w:highlight w:val="none"/>
        </w:rPr>
        <w:br w:type="page"/>
      </w:r>
    </w:p>
    <w:p>
      <w:pPr>
        <w:pStyle w:val="5"/>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6"/>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pPr>
        <w:pStyle w:val="7"/>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303084246"/>
      <w:bookmarkStart w:id="31" w:name="_Toc298847174"/>
      <w:bookmarkStart w:id="32" w:name="_Toc382049092"/>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7"/>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7"/>
        <w:widowControl w:val="0"/>
        <w:overflowPunct w:val="0"/>
        <w:spacing w:line="240" w:lineRule="auto"/>
        <w:rPr>
          <w:rFonts w:ascii="宋体" w:hAnsi="宋体"/>
          <w:color w:val="auto"/>
          <w:sz w:val="21"/>
          <w:szCs w:val="21"/>
          <w:highlight w:val="none"/>
        </w:rPr>
      </w:pPr>
      <w:bookmarkStart w:id="46" w:name="_Toc32331"/>
      <w:bookmarkStart w:id="47" w:name="_Toc16571"/>
      <w:bookmarkStart w:id="48" w:name="_Toc13811"/>
      <w:bookmarkStart w:id="49" w:name="_Toc17879"/>
      <w:r>
        <w:rPr>
          <w:rFonts w:hint="eastAsia" w:ascii="宋体" w:hAnsi="宋体"/>
          <w:color w:val="auto"/>
          <w:sz w:val="21"/>
          <w:szCs w:val="21"/>
          <w:highlight w:val="none"/>
        </w:rPr>
        <w:t>7.关于分支机构投标</w:t>
      </w:r>
      <w:bookmarkEnd w:id="46"/>
      <w:bookmarkEnd w:id="47"/>
      <w:bookmarkEnd w:id="48"/>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6"/>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7"/>
        <w:widowControl w:val="0"/>
        <w:overflowPunct w:val="0"/>
        <w:spacing w:line="240" w:lineRule="auto"/>
        <w:rPr>
          <w:rFonts w:ascii="宋体" w:hAnsi="宋体"/>
          <w:color w:val="auto"/>
          <w:sz w:val="21"/>
          <w:szCs w:val="21"/>
          <w:highlight w:val="none"/>
        </w:rPr>
      </w:pPr>
      <w:bookmarkStart w:id="53" w:name="_Toc1423"/>
      <w:bookmarkStart w:id="54" w:name="_Toc21771"/>
      <w:bookmarkStart w:id="55" w:name="_Toc13494"/>
      <w:r>
        <w:rPr>
          <w:rFonts w:hint="eastAsia" w:ascii="宋体" w:hAnsi="宋体"/>
          <w:color w:val="auto"/>
          <w:sz w:val="21"/>
          <w:szCs w:val="21"/>
          <w:highlight w:val="none"/>
        </w:rPr>
        <w:t>8.招标文件的组成</w:t>
      </w:r>
      <w:bookmarkEnd w:id="53"/>
      <w:bookmarkEnd w:id="54"/>
      <w:bookmarkEnd w:id="55"/>
    </w:p>
    <w:p>
      <w:pPr>
        <w:pStyle w:val="33"/>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7"/>
        <w:widowControl w:val="0"/>
        <w:overflowPunct w:val="0"/>
        <w:rPr>
          <w:rFonts w:ascii="宋体" w:hAnsi="宋体"/>
          <w:color w:val="auto"/>
          <w:sz w:val="21"/>
          <w:szCs w:val="21"/>
          <w:highlight w:val="none"/>
        </w:rPr>
      </w:pPr>
      <w:bookmarkStart w:id="56" w:name="_Toc14217"/>
      <w:bookmarkStart w:id="57" w:name="_Toc7997"/>
      <w:bookmarkStart w:id="58" w:name="_Toc17274"/>
      <w:r>
        <w:rPr>
          <w:rFonts w:hint="eastAsia" w:ascii="宋体" w:hAnsi="宋体"/>
          <w:color w:val="auto"/>
          <w:sz w:val="21"/>
          <w:szCs w:val="21"/>
          <w:highlight w:val="none"/>
        </w:rPr>
        <w:t>9.招标文件的澄清或修改</w:t>
      </w:r>
      <w:bookmarkEnd w:id="56"/>
      <w:bookmarkEnd w:id="57"/>
      <w:bookmarkEnd w:id="5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6"/>
        <w:spacing w:line="480" w:lineRule="auto"/>
        <w:jc w:val="center"/>
        <w:rPr>
          <w:rFonts w:ascii="宋体" w:hAnsi="宋体"/>
          <w:color w:val="auto"/>
          <w:highlight w:val="none"/>
        </w:rPr>
      </w:pPr>
      <w:bookmarkStart w:id="59" w:name="_Toc23726"/>
      <w:bookmarkStart w:id="60" w:name="_Toc16712"/>
      <w:bookmarkStart w:id="61" w:name="_Toc4773"/>
      <w:r>
        <w:rPr>
          <w:rFonts w:hint="eastAsia" w:ascii="宋体" w:hAnsi="宋体"/>
          <w:color w:val="auto"/>
          <w:highlight w:val="none"/>
        </w:rPr>
        <w:t>第三章投标文件的编制</w:t>
      </w:r>
      <w:bookmarkEnd w:id="59"/>
      <w:bookmarkEnd w:id="60"/>
      <w:bookmarkEnd w:id="61"/>
    </w:p>
    <w:p>
      <w:pPr>
        <w:pStyle w:val="7"/>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65" w:name="_Toc18999"/>
      <w:bookmarkStart w:id="66" w:name="_Toc7728"/>
      <w:bookmarkStart w:id="67" w:name="_Toc303084256"/>
      <w:bookmarkStart w:id="68" w:name="_Toc28866"/>
      <w:bookmarkStart w:id="69" w:name="_Toc307934854"/>
      <w:bookmarkStart w:id="70" w:name="_Toc382049103"/>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7"/>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3"/>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3"/>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7"/>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7"/>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widowControl w:val="0"/>
        <w:adjustRightInd/>
        <w:snapToGrid/>
        <w:ind w:left="425" w:firstLine="0" w:firstLineChars="0"/>
        <w:jc w:val="both"/>
        <w:rPr>
          <w:color w:val="auto"/>
          <w:highlight w:val="none"/>
        </w:rPr>
      </w:pPr>
    </w:p>
    <w:p>
      <w:pPr>
        <w:pStyle w:val="7"/>
        <w:widowControl w:val="0"/>
        <w:overflowPunct w:val="0"/>
        <w:rPr>
          <w:rFonts w:ascii="宋体" w:hAnsi="宋体"/>
          <w:color w:val="auto"/>
          <w:sz w:val="21"/>
          <w:szCs w:val="21"/>
          <w:highlight w:val="none"/>
        </w:rPr>
      </w:pPr>
      <w:bookmarkStart w:id="84" w:name="_Toc19520"/>
      <w:bookmarkStart w:id="85" w:name="_Toc22169"/>
      <w:bookmarkStart w:id="86" w:name="_Toc30815"/>
      <w:r>
        <w:rPr>
          <w:rFonts w:hint="eastAsia" w:ascii="宋体" w:hAnsi="宋体"/>
          <w:color w:val="auto"/>
          <w:sz w:val="21"/>
          <w:szCs w:val="21"/>
          <w:highlight w:val="none"/>
        </w:rPr>
        <w:t>15.★投标有效期</w:t>
      </w:r>
      <w:bookmarkEnd w:id="84"/>
      <w:bookmarkEnd w:id="85"/>
      <w:bookmarkEnd w:id="8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7"/>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p>
    <w:p>
      <w:pPr>
        <w:pStyle w:val="33"/>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6"/>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7"/>
        <w:widowControl w:val="0"/>
        <w:overflowPunct w:val="0"/>
        <w:rPr>
          <w:rFonts w:ascii="宋体" w:hAnsi="宋体"/>
          <w:color w:val="auto"/>
          <w:sz w:val="21"/>
          <w:szCs w:val="21"/>
          <w:highlight w:val="none"/>
        </w:rPr>
      </w:pPr>
      <w:bookmarkStart w:id="94" w:name="_Toc382049111"/>
      <w:bookmarkStart w:id="95" w:name="_Toc473"/>
      <w:bookmarkStart w:id="96" w:name="_Toc303084264"/>
      <w:bookmarkStart w:id="97" w:name="_Toc29590"/>
      <w:bookmarkStart w:id="98" w:name="_Toc23678"/>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7"/>
        <w:widowControl w:val="0"/>
        <w:overflowPunct w:val="0"/>
        <w:rPr>
          <w:rFonts w:ascii="宋体" w:hAnsi="宋体"/>
          <w:color w:val="auto"/>
          <w:sz w:val="21"/>
          <w:szCs w:val="21"/>
          <w:highlight w:val="none"/>
        </w:rPr>
      </w:pPr>
      <w:bookmarkStart w:id="100" w:name="_Toc8628"/>
      <w:bookmarkStart w:id="101" w:name="_Toc17417"/>
      <w:bookmarkStart w:id="102" w:name="_Toc7473"/>
      <w:r>
        <w:rPr>
          <w:rFonts w:hint="eastAsia" w:ascii="宋体" w:hAnsi="宋体"/>
          <w:color w:val="auto"/>
          <w:sz w:val="21"/>
          <w:szCs w:val="21"/>
          <w:highlight w:val="none"/>
        </w:rPr>
        <w:t>18.迟交的投标文件</w:t>
      </w:r>
      <w:bookmarkEnd w:id="100"/>
      <w:bookmarkEnd w:id="101"/>
      <w:bookmarkEnd w:id="102"/>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7"/>
        <w:widowControl w:val="0"/>
        <w:overflowPunct w:val="0"/>
        <w:rPr>
          <w:rFonts w:ascii="宋体" w:hAnsi="宋体"/>
          <w:color w:val="auto"/>
          <w:sz w:val="21"/>
          <w:szCs w:val="21"/>
          <w:highlight w:val="none"/>
        </w:rPr>
      </w:pPr>
      <w:bookmarkStart w:id="103" w:name="_Toc13212"/>
      <w:bookmarkStart w:id="104" w:name="_Toc8526"/>
      <w:bookmarkStart w:id="105" w:name="_Toc19649"/>
      <w:r>
        <w:rPr>
          <w:rFonts w:hint="eastAsia" w:ascii="宋体" w:hAnsi="宋体"/>
          <w:color w:val="auto"/>
          <w:sz w:val="21"/>
          <w:szCs w:val="21"/>
          <w:highlight w:val="none"/>
        </w:rPr>
        <w:t>19.投标样品（如需提交）</w:t>
      </w:r>
      <w:bookmarkEnd w:id="103"/>
      <w:bookmarkEnd w:id="104"/>
      <w:bookmarkEnd w:id="105"/>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7"/>
        <w:widowControl w:val="0"/>
        <w:overflowPunct w:val="0"/>
        <w:rPr>
          <w:rFonts w:ascii="宋体" w:hAnsi="宋体"/>
          <w:color w:val="auto"/>
          <w:sz w:val="21"/>
          <w:szCs w:val="21"/>
          <w:highlight w:val="none"/>
        </w:rPr>
      </w:pPr>
      <w:bookmarkStart w:id="106" w:name="_Toc23477"/>
      <w:bookmarkStart w:id="107" w:name="_Toc5900"/>
      <w:bookmarkStart w:id="108" w:name="_Toc303084265"/>
      <w:bookmarkStart w:id="109" w:name="_Toc382049112"/>
      <w:bookmarkStart w:id="110" w:name="_Toc9777"/>
      <w:bookmarkStart w:id="111" w:name="_Toc7689"/>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7"/>
        <w:widowControl w:val="0"/>
        <w:overflowPunct w:val="0"/>
        <w:rPr>
          <w:rFonts w:ascii="宋体" w:hAnsi="宋体"/>
          <w:color w:val="auto"/>
          <w:sz w:val="21"/>
          <w:szCs w:val="21"/>
          <w:highlight w:val="none"/>
        </w:rPr>
      </w:pPr>
      <w:bookmarkStart w:id="112" w:name="_Toc6003"/>
      <w:bookmarkStart w:id="113" w:name="_Toc15569"/>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6"/>
        <w:spacing w:line="480" w:lineRule="auto"/>
        <w:jc w:val="center"/>
        <w:rPr>
          <w:rFonts w:ascii="宋体" w:hAnsi="宋体"/>
          <w:color w:val="auto"/>
          <w:highlight w:val="none"/>
        </w:rPr>
      </w:pPr>
      <w:bookmarkStart w:id="115" w:name="_Toc5049"/>
      <w:bookmarkStart w:id="116" w:name="_Toc29574"/>
      <w:bookmarkStart w:id="117" w:name="_Toc23466"/>
      <w:r>
        <w:rPr>
          <w:rFonts w:hint="eastAsia" w:ascii="宋体" w:hAnsi="宋体"/>
          <w:color w:val="auto"/>
          <w:highlight w:val="none"/>
        </w:rPr>
        <w:t>第五章开标与评标</w:t>
      </w:r>
      <w:bookmarkEnd w:id="115"/>
      <w:bookmarkEnd w:id="116"/>
      <w:bookmarkEnd w:id="117"/>
    </w:p>
    <w:p>
      <w:pPr>
        <w:pStyle w:val="7"/>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7"/>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7"/>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3"/>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7"/>
        <w:widowControl w:val="0"/>
        <w:overflowPunct w:val="0"/>
        <w:rPr>
          <w:rFonts w:ascii="宋体" w:hAnsi="宋体"/>
          <w:color w:val="auto"/>
          <w:sz w:val="21"/>
          <w:szCs w:val="21"/>
          <w:highlight w:val="none"/>
        </w:rPr>
      </w:pPr>
      <w:bookmarkStart w:id="127" w:name="_Toc16745"/>
      <w:bookmarkStart w:id="128" w:name="_Toc3762"/>
      <w:bookmarkStart w:id="129" w:name="_Toc18436"/>
      <w:r>
        <w:rPr>
          <w:rFonts w:hint="eastAsia" w:ascii="宋体" w:hAnsi="宋体"/>
          <w:color w:val="auto"/>
          <w:sz w:val="21"/>
          <w:szCs w:val="21"/>
          <w:highlight w:val="none"/>
        </w:rPr>
        <w:t>25.投标文件的初审</w:t>
      </w:r>
      <w:bookmarkEnd w:id="127"/>
      <w:bookmarkEnd w:id="128"/>
      <w:bookmarkEnd w:id="129"/>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7"/>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7"/>
        <w:widowControl w:val="0"/>
        <w:overflowPunct w:val="0"/>
        <w:rPr>
          <w:rFonts w:ascii="宋体" w:hAnsi="宋体"/>
          <w:color w:val="auto"/>
          <w:sz w:val="21"/>
          <w:szCs w:val="21"/>
          <w:highlight w:val="none"/>
        </w:rPr>
      </w:pPr>
      <w:bookmarkStart w:id="136" w:name="_Toc316375620"/>
      <w:bookmarkStart w:id="137" w:name="_Toc20328"/>
      <w:bookmarkStart w:id="138" w:name="_Toc22591"/>
      <w:bookmarkStart w:id="139" w:name="_Toc382049120"/>
      <w:bookmarkStart w:id="140" w:name="_Toc12115"/>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6"/>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7"/>
        <w:widowControl w:val="0"/>
        <w:overflowPunct w:val="0"/>
        <w:rPr>
          <w:rFonts w:ascii="宋体" w:hAnsi="宋体"/>
          <w:color w:val="auto"/>
          <w:sz w:val="21"/>
          <w:szCs w:val="21"/>
          <w:highlight w:val="none"/>
        </w:rPr>
      </w:pPr>
      <w:bookmarkStart w:id="145" w:name="_Toc27817"/>
      <w:bookmarkStart w:id="146" w:name="_Toc508284011"/>
      <w:bookmarkStart w:id="147" w:name="_Toc17778"/>
      <w:bookmarkStart w:id="148" w:name="_Toc6696"/>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7"/>
        <w:widowControl w:val="0"/>
        <w:overflowPunct w:val="0"/>
        <w:rPr>
          <w:rFonts w:ascii="宋体" w:hAnsi="宋体"/>
          <w:color w:val="auto"/>
          <w:sz w:val="21"/>
          <w:szCs w:val="21"/>
          <w:highlight w:val="none"/>
        </w:rPr>
      </w:pPr>
      <w:bookmarkStart w:id="149" w:name="_Toc508284013"/>
      <w:bookmarkStart w:id="150" w:name="_Toc29283"/>
      <w:bookmarkStart w:id="151" w:name="_Toc12440"/>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7"/>
        <w:widowControl w:val="0"/>
        <w:overflowPunct w:val="0"/>
        <w:rPr>
          <w:rFonts w:ascii="宋体" w:hAnsi="宋体"/>
          <w:color w:val="auto"/>
          <w:sz w:val="21"/>
          <w:szCs w:val="21"/>
          <w:highlight w:val="none"/>
        </w:rPr>
      </w:pPr>
      <w:bookmarkStart w:id="153" w:name="_Toc27279"/>
      <w:bookmarkStart w:id="154" w:name="_Toc22451"/>
      <w:bookmarkStart w:id="155" w:name="_Toc22262"/>
      <w:r>
        <w:rPr>
          <w:rFonts w:hint="eastAsia" w:ascii="宋体" w:hAnsi="宋体"/>
          <w:color w:val="auto"/>
          <w:sz w:val="21"/>
          <w:szCs w:val="21"/>
          <w:highlight w:val="none"/>
        </w:rPr>
        <w:t>31.合同的签订与履行</w:t>
      </w:r>
      <w:bookmarkEnd w:id="153"/>
      <w:bookmarkEnd w:id="154"/>
      <w:bookmarkEnd w:id="155"/>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7"/>
        <w:widowControl w:val="0"/>
        <w:overflowPunct w:val="0"/>
        <w:rPr>
          <w:rFonts w:ascii="宋体" w:hAnsi="宋体"/>
          <w:color w:val="auto"/>
          <w:sz w:val="21"/>
          <w:szCs w:val="21"/>
          <w:highlight w:val="none"/>
        </w:rPr>
      </w:pPr>
      <w:bookmarkStart w:id="156" w:name="_Toc2744"/>
      <w:bookmarkStart w:id="157" w:name="_Toc303084277"/>
      <w:bookmarkStart w:id="158" w:name="_Toc29009"/>
      <w:bookmarkStart w:id="159" w:name="_Toc382049124"/>
      <w:bookmarkStart w:id="160" w:name="_Toc7405"/>
      <w:bookmarkStart w:id="161" w:name="_Toc25756"/>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6"/>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7"/>
        <w:widowControl w:val="0"/>
        <w:overflowPunct w:val="0"/>
        <w:rPr>
          <w:rFonts w:ascii="宋体" w:hAnsi="宋体"/>
          <w:color w:val="auto"/>
          <w:sz w:val="21"/>
          <w:szCs w:val="21"/>
          <w:highlight w:val="none"/>
        </w:rPr>
      </w:pPr>
      <w:bookmarkStart w:id="165" w:name="_Toc22900"/>
      <w:bookmarkStart w:id="166" w:name="_Toc25498"/>
      <w:bookmarkStart w:id="167" w:name="_Toc17974"/>
      <w:r>
        <w:rPr>
          <w:rFonts w:hint="eastAsia" w:ascii="宋体" w:hAnsi="宋体"/>
          <w:color w:val="auto"/>
          <w:sz w:val="21"/>
          <w:szCs w:val="21"/>
          <w:highlight w:val="none"/>
        </w:rPr>
        <w:t>33.询问</w:t>
      </w:r>
      <w:bookmarkEnd w:id="165"/>
      <w:bookmarkEnd w:id="166"/>
      <w:bookmarkEnd w:id="167"/>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7"/>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6"/>
        <w:spacing w:line="480" w:lineRule="auto"/>
        <w:jc w:val="center"/>
        <w:rPr>
          <w:rFonts w:ascii="宋体" w:hAnsi="宋体"/>
          <w:color w:val="auto"/>
          <w:highlight w:val="none"/>
        </w:rPr>
      </w:pPr>
      <w:bookmarkStart w:id="171" w:name="_Toc24383"/>
      <w:bookmarkStart w:id="172" w:name="_Toc5690"/>
      <w:bookmarkStart w:id="173" w:name="_Toc8919"/>
      <w:r>
        <w:rPr>
          <w:rFonts w:hint="eastAsia" w:ascii="宋体" w:hAnsi="宋体"/>
          <w:color w:val="auto"/>
          <w:highlight w:val="none"/>
        </w:rPr>
        <w:t>第八章其他</w:t>
      </w:r>
      <w:bookmarkEnd w:id="171"/>
      <w:bookmarkEnd w:id="172"/>
      <w:bookmarkEnd w:id="173"/>
    </w:p>
    <w:p>
      <w:pPr>
        <w:pStyle w:val="7"/>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pPr>
        <w:pStyle w:val="33"/>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5"/>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6"/>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3"/>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eastAsia="zh-CN"/>
              </w:rPr>
              <w:t>签订合同之日起</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年，在服务期限内，预算使用完毕或服务期限到期即合同终止</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以先到为准。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每月结算一次，当月的服务费用采购人于次月底前支付。（中标人向采购人申请付款时须提供相应额度的国家正式发票给采购人。）</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注：</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投标人的投标单价以《东莞市公立医疗机构基本医疗服务价格（以最新版本为准）》中的规定的单价为标准，如此价格标准以外的送检项目，价格由中标人与采购人共同商定。如在服务期限内，物价部门调整了检验单价时，应按照物价部门调整的检验单价浮动比例调整结算单价。</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2" w:firstLineChars="200"/>
              <w:textAlignment w:val="auto"/>
              <w:rPr>
                <w:rFonts w:ascii="宋体" w:hAnsi="宋体" w:cs="宋体"/>
                <w:color w:val="auto"/>
                <w:szCs w:val="21"/>
                <w:highlight w:val="none"/>
              </w:rPr>
            </w:pP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eastAsia="zh-CN"/>
              </w:rPr>
              <w:t>实际服务费用=每月实际检测项目费用×投标人实际投标的单价折扣率。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2" w:firstLineChars="200"/>
              <w:jc w:val="both"/>
              <w:textAlignment w:val="auto"/>
              <w:outlineLvl w:val="9"/>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投标人</w:t>
            </w:r>
            <w:r>
              <w:rPr>
                <w:rFonts w:hint="eastAsia" w:ascii="宋体" w:hAnsi="宋体" w:cs="宋体"/>
                <w:b/>
                <w:color w:val="auto"/>
                <w:sz w:val="22"/>
                <w:szCs w:val="22"/>
                <w:highlight w:val="none"/>
              </w:rPr>
              <w:t>必须对本项目的全部内容响应及所有检验内容（包括但不限于项目清单内容）提供统一的</w:t>
            </w:r>
            <w:r>
              <w:rPr>
                <w:rFonts w:hint="eastAsia" w:ascii="宋体" w:hAnsi="宋体" w:cs="宋体"/>
                <w:b/>
                <w:color w:val="auto"/>
                <w:sz w:val="22"/>
                <w:szCs w:val="22"/>
                <w:highlight w:val="none"/>
                <w:lang w:val="en-US" w:eastAsia="zh-CN"/>
              </w:rPr>
              <w:t>单价</w:t>
            </w:r>
            <w:r>
              <w:rPr>
                <w:rFonts w:hint="eastAsia" w:ascii="宋体" w:hAnsi="宋体" w:cs="宋体"/>
                <w:b/>
                <w:color w:val="auto"/>
                <w:sz w:val="22"/>
                <w:szCs w:val="22"/>
                <w:highlight w:val="none"/>
              </w:rPr>
              <w:t>折扣率报价。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注：折扣率=1-下浮率</w:t>
            </w:r>
            <w:r>
              <w:rPr>
                <w:rFonts w:hint="eastAsia" w:ascii="宋体" w:hAnsi="宋体" w:eastAsia="宋体" w:cs="宋体"/>
                <w:b/>
                <w:bCs/>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40" w:firstLineChars="200"/>
              <w:jc w:val="both"/>
              <w:textAlignment w:val="auto"/>
              <w:outlineLvl w:val="9"/>
              <w:rPr>
                <w:rFonts w:ascii="宋体" w:hAnsi="宋体" w:cs="宋体"/>
                <w:color w:val="auto"/>
                <w:szCs w:val="21"/>
                <w:highlight w:val="none"/>
              </w:rPr>
            </w:pPr>
            <w:r>
              <w:rPr>
                <w:rFonts w:hint="eastAsia" w:ascii="宋体" w:hAnsi="宋体" w:cs="宋体"/>
                <w:bCs/>
                <w:color w:val="auto"/>
                <w:sz w:val="22"/>
                <w:szCs w:val="22"/>
                <w:highlight w:val="none"/>
              </w:rPr>
              <w:t>2、</w:t>
            </w:r>
            <w:r>
              <w:rPr>
                <w:rFonts w:hint="eastAsia" w:ascii="宋体" w:hAnsi="宋体" w:cs="宋体"/>
                <w:bCs/>
                <w:color w:val="auto"/>
                <w:sz w:val="22"/>
                <w:szCs w:val="22"/>
                <w:highlight w:val="none"/>
                <w:lang w:val="en-US" w:eastAsia="zh-CN"/>
              </w:rPr>
              <w:t>投标人</w:t>
            </w:r>
            <w:r>
              <w:rPr>
                <w:rFonts w:hint="eastAsia" w:ascii="宋体" w:hAnsi="宋体" w:cs="宋体"/>
                <w:bCs/>
                <w:color w:val="auto"/>
                <w:sz w:val="22"/>
                <w:szCs w:val="22"/>
                <w:highlight w:val="none"/>
              </w:rPr>
              <w:t>的报价折扣率不能为负数或零，报价应包含完成本次采购所有服务内容的费用，包括人工费、检验费、材料费、设备使用费、各种税务费、必须的辅助材料费及合同实施过程中不可预见费用等全部费用。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color w:val="auto"/>
          <w:highlight w:val="none"/>
        </w:rPr>
      </w:pPr>
    </w:p>
    <w:p>
      <w:pPr>
        <w:rPr>
          <w:color w:val="auto"/>
          <w:highlight w:val="none"/>
        </w:rPr>
      </w:pPr>
    </w:p>
    <w:p>
      <w:pPr>
        <w:pStyle w:val="6"/>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7"/>
        <w:bidi w:val="0"/>
        <w:rPr>
          <w:rFonts w:hint="eastAsia"/>
          <w:color w:val="auto"/>
          <w:highlight w:val="none"/>
        </w:rPr>
      </w:pPr>
      <w:bookmarkStart w:id="182" w:name="_Toc31278"/>
      <w:bookmarkStart w:id="183" w:name="_Toc14462"/>
      <w:bookmarkStart w:id="184" w:name="_Toc24679"/>
      <w:bookmarkStart w:id="185" w:name="_Toc13112"/>
      <w:r>
        <w:rPr>
          <w:rFonts w:hint="eastAsia"/>
          <w:color w:val="auto"/>
          <w:highlight w:val="none"/>
        </w:rPr>
        <w:t>一、检验采购清单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检验项目清单详见附件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。外送项目包括但不限于附件中所列项目，其增减不受服务协议的限制，而是根据采购人业务发展和临床的需求进行增减。本次招标价格以《东莞市公立医疗机构基本医疗服务价格</w:t>
      </w:r>
      <w:r>
        <w:rPr>
          <w:rFonts w:hint="eastAsia" w:ascii="宋体" w:hAnsi="宋体" w:eastAsia="宋体" w:cs="宋体"/>
          <w:b/>
          <w:bCs/>
          <w:color w:val="auto"/>
          <w:sz w:val="21"/>
          <w:szCs w:val="21"/>
          <w:highlight w:val="none"/>
          <w:lang w:eastAsia="zh-CN"/>
        </w:rPr>
        <w:t>（以最新版本为准）</w:t>
      </w:r>
      <w:r>
        <w:rPr>
          <w:rFonts w:hint="eastAsia" w:ascii="宋体" w:hAnsi="宋体" w:eastAsia="宋体" w:cs="宋体"/>
          <w:color w:val="auto"/>
          <w:sz w:val="21"/>
          <w:szCs w:val="21"/>
          <w:highlight w:val="none"/>
        </w:rPr>
        <w:t>》中的规定的单价为标准，如此价格标准以外的送检项目，价格由中标人与采购人共同商定。具体项目及数量以实际检验为准。</w:t>
      </w:r>
    </w:p>
    <w:p>
      <w:pPr>
        <w:bidi w:val="0"/>
        <w:ind w:firstLine="422" w:firstLineChars="200"/>
        <w:rPr>
          <w:rFonts w:hint="default" w:eastAsia="宋体"/>
          <w:b/>
          <w:bCs/>
          <w:color w:val="auto"/>
          <w:highlight w:val="none"/>
          <w:lang w:val="en-US" w:eastAsia="zh-CN"/>
        </w:rPr>
      </w:pPr>
      <w:r>
        <w:rPr>
          <w:rFonts w:hint="eastAsia"/>
          <w:b/>
          <w:bCs/>
          <w:color w:val="auto"/>
          <w:highlight w:val="none"/>
          <w:lang w:val="en-US" w:eastAsia="zh-CN"/>
        </w:rPr>
        <w:t>附件1：</w:t>
      </w:r>
    </w:p>
    <w:tbl>
      <w:tblPr>
        <w:tblStyle w:val="23"/>
        <w:tblW w:w="868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43"/>
        <w:gridCol w:w="1455"/>
        <w:gridCol w:w="3687"/>
        <w:gridCol w:w="1686"/>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3687" w:type="dxa"/>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检验项目明细</w:t>
            </w:r>
          </w:p>
        </w:tc>
        <w:tc>
          <w:tcPr>
            <w:tcW w:w="1686" w:type="dxa"/>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检测方法</w:t>
            </w:r>
          </w:p>
        </w:tc>
        <w:tc>
          <w:tcPr>
            <w:tcW w:w="1214" w:type="dxa"/>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报告周期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甲状腺抗体三项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甲状腺球蛋白抗体</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促甲状腺素受体抗体</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抗甲状腺过氧化物酶抗体</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地贫筛查三项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红细胞渗透脆性试验</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比色法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葡萄糖6－磷酸脱氢酶活性检测</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速率法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血红蛋白电泳</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全自动电泳仪器法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骨代谢三项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降钙素测定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甲状旁腺激素测定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血清骨钙素测定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免疫球及补体5项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单项补体C3测定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免疫比浊法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单项补体C4测定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免疫比浊法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免疫球蛋白IgM定量测定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免疫比浊法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免疫球蛋白IgA定量测定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免疫比浊法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免疫球蛋白IgG定量测定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免疫比浊法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甲型肝炎抗体测定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甲型肝炎抗体测定IgM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甲型肝炎抗体测定IgG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丙型肝炎抗体测定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丙型肝炎抗体测定(Anti-HCV)(定性)</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戊型肝炎抗体测定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戊型肝炎抗体测定IgM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戊型肝炎抗体测定IgG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SLE2项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抗核抗体定量(ANA)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抗双链DNA定量(抗dsDNA)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不孕不育5项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抗心磷脂抗体IgG测定(ACA-IgG)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胶体金法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抗卵巢抗体IgG测定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胶体金法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抗子宫内膜抗体IgG测定(EMAB)</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胶体金法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抗精子抗体IgG测定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胶体金法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抗人绒毛膜促性腺激素抗体IgG(AHCGAb)测定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胶体金法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优生十项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弓形虫抗体测定IgG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弓形虫抗体测定IgM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风疹病毒抗体测定IgG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风疹病毒抗体测定IgM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巨细胞病毒抗体测定IgG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巨细胞病毒抗体测定IgM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单纯疱疹病毒抗体测定Ⅰ型IgG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单纯疱疹病毒抗体测定Ⅰ型IgM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单纯疱疹病毒抗体测定II型IgG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单纯疱疹病毒抗体测定II型IgM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肝纤4项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血清Ⅳ型胶原测定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血清层粘连蛋白测定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人Ⅲ型前胶原肽(PⅢP)测定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血清透明质酸酶测定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12 </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过敏原21项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食物性过敏原IgE抗体10项（B组）（鸡蛋白、牛奶、牛肉、羊肉、虾、蟹、鳕鱼、腰果、芒果、菠萝）</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免疫印迹法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吸入性过敏原IgE抗体10项（B组）（屋尘螨/粉尘螨、猫毛皮屑、狗毛皮屑、矮豚草、桑树、霉菌组合（点青霉/交链孢霉/烟曲霉/分枝孢霉）、树花粉组合（栎树/榆树/梧桐/柳树/杨树）、屋尘、蟑螂、艾蒿）</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免疫印迹法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总IgE检测</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高血压六项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血管紧张素I37℃</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血管紧张素I4℃</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血管紧张素II</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醛固酮</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肾素活性</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淋球菌RNA检测</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淋球菌RNA测定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核酸恒温扩增法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乙肝DNA定量</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乙型肝炎DNA测定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荧光PCR法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HPV分型</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人乳头瘤病毒(HPV)核酸检测</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PCR反向点杂交法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TCT</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液基薄层细胞制片术</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液基薄层细胞制片术</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梅毒螺旋体特异抗体测定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梅毒螺旋体特异抗体测定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ANCA六项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抗中性粒细胞胞浆抗体测定(胞质型)/cANCA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抗中性粒细胞胞浆抗体测定(核周型)/pANCA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抗中性粒细胞胞浆抗体定量(蛋白酶3)/PR3-ANCA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抗中性粒细胞胞浆抗体定量(髓过氧化物酶)/MPO-ANCA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抗肾小球基底膜抗体定量</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抗核抗体(ANA)定量</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人类白细胞抗原B27测定(HLA-B27)</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人类白细胞抗原B27测定(HLA-B27)</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流式细胞仪法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抗环瓜氨酸肽抗体(抗CCP抗体)测定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抗环瓜氨酸肽抗体(抗CCP抗体)测定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抗RA33抗体测定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抗RA33抗体IgG定量</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B型钠尿肽前体（PRO-BNP）测定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N端-B型钠尿肽前体测定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C肽释放试验</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C肽释放试验 (0h, 0.5h, 1h, 2h, 3h)</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糖尿病自身抗体谱5项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糖尿病自身抗体谱5项（IA，IC，GAD，IA-2 ，ZnT8）</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免疫印迹法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贫血套餐</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促红细胞生成素测定Erythropoietin</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总铁结合力四项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（铁测定+总铁结合力+转铁蛋白饱和度+不饱和铁结合力）</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亚铁嗪法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总铁结合力四项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（铁测定+总铁结合力+转铁蛋白饱和度+不饱和铁结合力）</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亚铁嗪法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血清铁蛋白测定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风湿三项（ANA、CCP、AKA）</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抗核抗体测定(ANA)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抗环瓜氨酸肽抗体(抗CCP抗体)测定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抗角蛋白抗体(AKA)测定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白介素6+SAA</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白细胞介素-6测定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淀粉样蛋白</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免疫层析法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呼吸道抗体9项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腺病毒抗体IgM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呼吸道合胞病毒抗体IgM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肺炎支原体IgM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肺炎衣原体IgM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甲型流感病毒抗体IgM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乙型流感病毒抗体IgM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柯萨奇病毒抗体B组IgM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副流感病毒抗体IgM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嗜肺军团菌病毒抗体IgM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间接免疫荧光法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肿瘤（女）标志物常规筛查6项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癌胚抗原测定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甲胎蛋白测定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鳞状细胞癌相关抗原测定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糖类抗原125测定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糖类抗原153测定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糖类抗原199测定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肿瘤（男）标志物常规检测6项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癌胚抗原测定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甲胎蛋白测定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鳞状细胞癌相关抗原测定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糖类抗原199测定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总前列腺特异性抗原测定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游离前列腺特异性抗原测定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FPSA/TPSA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214" w:type="dxa"/>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455"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前列腺二项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总前列腺特异性抗原测定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游离前列腺特异性抗原测定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FPSA/TPSA</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骨质疏松三项检测</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总Ⅰ型胶原氨基端延长肽检测</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β－胶原降解产物测定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25羟维生素D测定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乙肝两对半(化学发光法)</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乙型肝炎表面抗原测定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乙型肝炎表面抗体测定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乙型肝炎e抗原测定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乙型肝炎e抗体测定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乙型肝炎核心抗体测定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微量元素七项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全血钙测定（Ca）</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全血镁测定（Mg）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全血铁测定（Fe）</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全血锌测定（Zn）</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全血铜测定（Cu）</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全血铅测定（Pb）</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全血镉测定（Cr）</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原子吸收法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甲状腺功能五项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血清三碘甲状原氨酸测定(T3)</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血清甲状腺素测定(T4)</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血清游离三碘甲状原氨酸测定(FT3)</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血清游离甲状腺素测定(FT4)</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血清促甲状腺素测定（TSH)</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人免疫缺陷病毒抗体测定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人免疫缺陷病毒抗体测定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酶联免疫吸附法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手术标本检查与诊断加收(超过两个蜡块)</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手术标本检查与诊断加收(超过两个蜡块)</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HE染色</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手术标本检查与诊断（小标本）</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局部切除组织活检检查与诊断</w:t>
            </w:r>
          </w:p>
        </w:tc>
        <w:tc>
          <w:tcPr>
            <w:tcW w:w="1686"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HE染色</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病理大体标本摄影</w:t>
            </w:r>
          </w:p>
        </w:tc>
        <w:tc>
          <w:tcPr>
            <w:tcW w:w="1686"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显微摄影术</w:t>
            </w:r>
          </w:p>
        </w:tc>
        <w:tc>
          <w:tcPr>
            <w:tcW w:w="1686"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手术标本检查与诊断（中标本)</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w:t>
            </w:r>
          </w:p>
        </w:tc>
        <w:tc>
          <w:tcPr>
            <w:tcW w:w="1686" w:type="dxa"/>
            <w:vMerge w:val="restart"/>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HE染色</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病理大体标本摄影</w:t>
            </w:r>
          </w:p>
        </w:tc>
        <w:tc>
          <w:tcPr>
            <w:tcW w:w="1686"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显微摄影术</w:t>
            </w:r>
          </w:p>
        </w:tc>
        <w:tc>
          <w:tcPr>
            <w:tcW w:w="1686"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手术标本检查与诊断加收(超过两个蜡块)</w:t>
            </w:r>
          </w:p>
        </w:tc>
        <w:tc>
          <w:tcPr>
            <w:tcW w:w="1686"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性激素六项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血清泌乳素测定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血清促卵泡刺激素测定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血清促黄体生成素测定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睾酮测定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雌二醇测定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孕酮测定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糖尿病3项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血清胰岛素测定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血清C肽测定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胰岛素自身抗体检测</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类风湿二项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抗RA33抗体IgG测定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抗环瓜氨酸肽抗体(抗CCP抗体)测定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4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4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25羟维生素D测定</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25-OH Vit D</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肺炎支原体抗体二项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肺炎支原体抗体-IgM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肺炎支原体抗体-IgG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肺炎衣原体抗体二项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肺炎衣原体抗体IgM</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肺炎衣原体抗体IgG</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455"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游离甲功3项</w:t>
            </w:r>
          </w:p>
        </w:tc>
        <w:tc>
          <w:tcPr>
            <w:tcW w:w="3687"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血清游离三碘甲状原氨酸</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血清游离甲状腺素</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血清促甲状腺激素</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9" w:hRule="atLeast"/>
        </w:trPr>
        <w:tc>
          <w:tcPr>
            <w:tcW w:w="643"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455" w:type="dxa"/>
            <w:vMerge w:val="restart"/>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甲功5项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血清游离三碘甲状原氨酸(FT3)测定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血清游离甲状腺素(FT4)测定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血清三碘甲状原氨酸(T3)测定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血清甲状腺素(T4)测定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noWrap/>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血清促甲状腺激素测定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noWrap/>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优生五项IgM（化学发光法）</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弓形体抗体测定-IgM</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风疹病毒抗体测定-IgM</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巨细胞病毒抗体测定-IgM</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单纯疱疹病毒Ⅰ型抗体测定-IgM</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单纯疱疹病毒Ⅱ型抗体测定-IgM</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优生五项IgG（化学发光法）</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弓形体抗体测定-IgG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风疹病毒抗体测定-IgG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巨细胞病毒抗体测定-IgG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单纯疱疹病毒Ⅰ型抗体测定-IgG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9"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单纯疱疹病毒Ⅱ型抗体测定-IgG</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性病三项DNA检测（定量）</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淋球菌DNA测定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荧光PCR法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沙眼衣原体DNA测定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荧光PCR法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解脲支原体DNA测定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荧光PCR法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病原体四项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解脲脲原体RNA测定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核酸恒温扩增法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沙眼衣原体RNA测定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核酸恒温扩增法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淋球菌RNA测定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核酸恒温扩增法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生殖支原体RNA测定</w:t>
            </w:r>
          </w:p>
        </w:tc>
        <w:tc>
          <w:tcPr>
            <w:tcW w:w="1686" w:type="dxa"/>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核酸恒温扩增法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消化系统肿瘤标志物六项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癌胚抗原测定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甲胎蛋白测定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糖类抗原19-9测定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糖类抗原72-4测定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糖类抗原24-2测定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糖类抗原50测定</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455" w:type="dxa"/>
            <w:vMerge w:val="restart"/>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胃功能四项</w:t>
            </w: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胃蛋白酶原I</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restart"/>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胃蛋白酶原II</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胃蛋白酶原I/胃蛋白酶原II</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43"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1455" w:type="dxa"/>
            <w:vMerge w:val="continue"/>
            <w:shd w:val="clear" w:color="auto" w:fill="FFFFFF"/>
            <w:vAlign w:val="center"/>
          </w:tcPr>
          <w:p>
            <w:pPr>
              <w:jc w:val="center"/>
              <w:rPr>
                <w:rFonts w:hint="eastAsia" w:ascii="宋体" w:hAnsi="宋体" w:eastAsia="宋体" w:cs="宋体"/>
                <w:i w:val="0"/>
                <w:iCs w:val="0"/>
                <w:color w:val="auto"/>
                <w:sz w:val="21"/>
                <w:szCs w:val="21"/>
                <w:highlight w:val="none"/>
                <w:u w:val="none"/>
              </w:rPr>
            </w:pPr>
          </w:p>
        </w:tc>
        <w:tc>
          <w:tcPr>
            <w:tcW w:w="3687"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胃泌素17</w:t>
            </w:r>
          </w:p>
        </w:tc>
        <w:tc>
          <w:tcPr>
            <w:tcW w:w="1686" w:type="dxa"/>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化学发光法</w:t>
            </w:r>
          </w:p>
        </w:tc>
        <w:tc>
          <w:tcPr>
            <w:tcW w:w="1214" w:type="dxa"/>
            <w:vMerge w:val="continue"/>
            <w:shd w:val="clear" w:color="auto" w:fill="FFFFFF"/>
            <w:vAlign w:val="center"/>
          </w:tcPr>
          <w:p>
            <w:pPr>
              <w:jc w:val="left"/>
              <w:rPr>
                <w:rFonts w:hint="eastAsia" w:ascii="宋体" w:hAnsi="宋体" w:eastAsia="宋体" w:cs="宋体"/>
                <w:i w:val="0"/>
                <w:iCs w:val="0"/>
                <w:color w:val="auto"/>
                <w:sz w:val="21"/>
                <w:szCs w:val="21"/>
                <w:highlight w:val="none"/>
                <w:u w:val="none"/>
              </w:rPr>
            </w:pPr>
          </w:p>
        </w:tc>
      </w:tr>
    </w:tbl>
    <w:p>
      <w:pPr>
        <w:pageBreakBefore w:val="0"/>
        <w:widowControl/>
        <w:kinsoku/>
        <w:wordWrap/>
        <w:overflowPunct/>
        <w:topLinePunct w:val="0"/>
        <w:autoSpaceDE/>
        <w:autoSpaceDN/>
        <w:bidi w:val="0"/>
        <w:adjustRightInd w:val="0"/>
        <w:snapToGrid w:val="0"/>
        <w:spacing w:line="360" w:lineRule="auto"/>
        <w:ind w:firstLine="424" w:firstLineChars="202"/>
        <w:textAlignment w:val="auto"/>
        <w:rPr>
          <w:rFonts w:hint="eastAsia" w:ascii="宋体" w:hAnsi="宋体" w:eastAsia="宋体" w:cs="宋体"/>
          <w:color w:val="auto"/>
          <w:sz w:val="21"/>
          <w:szCs w:val="21"/>
          <w:highlight w:val="none"/>
        </w:rPr>
      </w:pPr>
    </w:p>
    <w:p>
      <w:pPr>
        <w:pStyle w:val="7"/>
        <w:bidi w:val="0"/>
        <w:rPr>
          <w:rFonts w:hint="eastAsia"/>
          <w:color w:val="auto"/>
          <w:highlight w:val="none"/>
        </w:rPr>
      </w:pPr>
      <w:r>
        <w:rPr>
          <w:rFonts w:hint="eastAsia"/>
          <w:color w:val="auto"/>
          <w:highlight w:val="none"/>
        </w:rPr>
        <w:t>二、项目要求</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(一)、服务要求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1、投标人必须配备完善医疗冷链物流系统和信息服务体系，要保证接收、送检标本运输过程的安全，保证标本的质量。</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2、如采购人设备仪器出现故障，投标人必须帮助采购人完成此类标本的检验，并承诺2个小时内向采购人提供急诊检验结果报告单。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3、投标人当天送检的常规检测项目应在当天下午四点前向采购人提供检验结果报告单。</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4、投标人提供每周七天的上门接收标本的服务，时间为8：30至17：30。遇特殊标本可机动收取。</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5、投标人具有规范标本接收、登记和包装流程，保证标本质量和安全，确保标本顺利交接，方便查核。</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6、投标人标本接收人员要通过严格培训，负责标本质量的初检、标识的核对，标本的接收登记及包装储存。</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7、投标人必须确保及时接收、送检标本和及时检验。标本不符合检验要求时，应及时通知采购人重新取样。</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8、标本在送检过程中出现延迟、遗漏、丢失等情况，投标人应有完善的应急预案予以妥善解决，否则投标人应承担相应责任。</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9、检验报告单必须由具备相应资质的检验人员签发，上级检验师或医师复核。出现因检验结果错误导致采购人医疗纠纷等不良后果，责任由中标人承担。</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10、部分特殊检查项目需要的采样器、知情同意书、专用的患者资料登记申请单等由投标人免费提供。</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(二)、结果查询</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1、为保证检验结果实时网络传送，实现实验室数据的汇总、储存、传输功能，可以与医院中心LIS和HIS系统对接,需符合国家信息安全有关的规定和要求。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2、提供网上查询服务，以供随时查询进度和结果。</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3、提供电话查询服务，危急值专人电话跟进，确保患者检测信息与临床医生的畅通。</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4、医务人员可以随时调阅检验结果，投标人须保证病人的资料的准确性和检验结果的及时性，并提供系统使用的必要培训与技术支持。</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5、按照检测项目常规报告时间提供检测结果，并能满足招标方急诊项目的优先检测。</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(三)、技术支持</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1、有完整的培训体系。</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2、协助采购人开展进修培训、协助医院中心开展继续教育、学术交流活动。</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采购人医务工作人员到投标人实验室进修的机会，以提高采购人医务工作人员的专业技能。协助设计、制作相关医学检验宣传资料。能够协助检验科的建设和发展，每年提供检验人员免费进修和ISO15189知识培训工作。</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(四)、人员要求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投标人所选派本项目的支持人员配备必须合理，职责明确，提供完备的服务团队，包括项目负责人、高级职称检验师等。</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(五)、车辆要求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配备接收、送检的车辆：车辆必须配备专用车载冰箱或保温箱，冰箱或保温箱必须有相应的温度记录表，同时需具备RFID无线射频功能。</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(六)、提供售后服务</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设有客服专线电话，处理相关的日常咨询及售后服务工作。具有完善管理制度和服务流程以保障上门服务及时有效性，并定期选派具有医学检验背景的专业技术人员提供售后服务。</w:t>
      </w:r>
    </w:p>
    <w:p>
      <w:pPr>
        <w:pageBreakBefore w:val="0"/>
        <w:widowControl/>
        <w:kinsoku/>
        <w:wordWrap/>
        <w:overflowPunct/>
        <w:topLinePunct w:val="0"/>
        <w:autoSpaceDE/>
        <w:autoSpaceDN/>
        <w:bidi w:val="0"/>
        <w:adjustRightInd w:val="0"/>
        <w:snapToGrid w:val="0"/>
        <w:spacing w:line="360" w:lineRule="auto"/>
        <w:ind w:firstLine="422" w:firstLineChars="200"/>
        <w:jc w:val="left"/>
        <w:textAlignment w:val="auto"/>
        <w:rPr>
          <w:rFonts w:hint="eastAsia" w:eastAsia="宋体" w:cs="Times New Roman"/>
          <w:color w:val="auto"/>
          <w:highlight w:val="none"/>
          <w:lang w:val="en-US" w:eastAsia="zh-CN"/>
        </w:rPr>
      </w:pPr>
      <w:r>
        <w:rPr>
          <w:rFonts w:hint="eastAsia" w:ascii="宋体" w:hAnsi="宋体" w:eastAsia="宋体" w:cs="宋体"/>
          <w:b/>
          <w:color w:val="auto"/>
          <w:sz w:val="21"/>
          <w:szCs w:val="21"/>
          <w:highlight w:val="none"/>
          <w:lang w:val="en-US" w:eastAsia="zh-CN"/>
        </w:rPr>
        <w:t>（七）</w:t>
      </w:r>
      <w:r>
        <w:rPr>
          <w:rFonts w:hint="eastAsia" w:cs="Times New Roman"/>
          <w:color w:val="auto"/>
          <w:highlight w:val="none"/>
          <w:lang w:val="en-US" w:eastAsia="zh-CN"/>
        </w:rPr>
        <w:t>投标人</w:t>
      </w:r>
      <w:r>
        <w:rPr>
          <w:rFonts w:hint="eastAsia" w:eastAsia="宋体" w:cs="Times New Roman"/>
          <w:color w:val="auto"/>
          <w:highlight w:val="none"/>
          <w:lang w:val="en-US" w:eastAsia="zh-CN"/>
        </w:rPr>
        <w:t>应根据本项目的作业要求，在</w:t>
      </w:r>
      <w:r>
        <w:rPr>
          <w:rFonts w:hint="eastAsia" w:cs="Times New Roman"/>
          <w:color w:val="auto"/>
          <w:highlight w:val="none"/>
          <w:lang w:val="en-US" w:eastAsia="zh-CN"/>
        </w:rPr>
        <w:t>投标文件</w:t>
      </w:r>
      <w:r>
        <w:rPr>
          <w:rFonts w:hint="eastAsia" w:eastAsia="宋体" w:cs="Times New Roman"/>
          <w:color w:val="auto"/>
          <w:highlight w:val="none"/>
          <w:lang w:val="en-US" w:eastAsia="zh-CN"/>
        </w:rPr>
        <w:t>中提供切实可行项目实施方案</w:t>
      </w:r>
      <w:r>
        <w:rPr>
          <w:rFonts w:hint="eastAsia" w:cs="Times New Roman"/>
          <w:color w:val="auto"/>
          <w:highlight w:val="none"/>
          <w:lang w:val="en-US" w:eastAsia="zh-CN"/>
        </w:rPr>
        <w:t>、</w:t>
      </w:r>
      <w:r>
        <w:rPr>
          <w:rFonts w:hint="eastAsia" w:eastAsia="宋体" w:cs="Times New Roman"/>
          <w:color w:val="auto"/>
          <w:highlight w:val="none"/>
          <w:lang w:val="en-US" w:eastAsia="zh-CN"/>
        </w:rPr>
        <w:t>增值服务方案</w:t>
      </w:r>
      <w:r>
        <w:rPr>
          <w:rFonts w:hint="eastAsia" w:cs="Times New Roman"/>
          <w:color w:val="auto"/>
          <w:highlight w:val="none"/>
          <w:lang w:val="en-US" w:eastAsia="zh-CN"/>
        </w:rPr>
        <w:t>、</w:t>
      </w:r>
      <w:r>
        <w:rPr>
          <w:rFonts w:hint="eastAsia" w:eastAsia="宋体" w:cs="Times New Roman"/>
          <w:color w:val="auto"/>
          <w:highlight w:val="none"/>
          <w:lang w:val="en-US" w:eastAsia="zh-CN"/>
        </w:rPr>
        <w:t>拟投入技术人员及设备配备方案</w:t>
      </w:r>
      <w:r>
        <w:rPr>
          <w:rFonts w:hint="eastAsia" w:cs="Times New Roman"/>
          <w:color w:val="auto"/>
          <w:highlight w:val="none"/>
          <w:lang w:val="en-US" w:eastAsia="zh-CN"/>
        </w:rPr>
        <w:t>、</w:t>
      </w:r>
      <w:r>
        <w:rPr>
          <w:rFonts w:hint="eastAsia" w:eastAsia="宋体" w:cs="Times New Roman"/>
          <w:color w:val="auto"/>
          <w:highlight w:val="none"/>
          <w:lang w:val="en-US" w:eastAsia="zh-CN"/>
        </w:rPr>
        <w:t>售后服务方案等。</w:t>
      </w:r>
    </w:p>
    <w:p>
      <w:pPr>
        <w:pStyle w:val="2"/>
        <w:rPr>
          <w:rFonts w:hint="eastAsia"/>
          <w:color w:val="auto"/>
          <w:highlight w:val="none"/>
        </w:rPr>
      </w:pPr>
    </w:p>
    <w:p>
      <w:pPr>
        <w:pStyle w:val="7"/>
        <w:bidi w:val="0"/>
        <w:rPr>
          <w:rFonts w:hint="eastAsia"/>
          <w:color w:val="auto"/>
          <w:highlight w:val="none"/>
        </w:rPr>
      </w:pPr>
      <w:r>
        <w:rPr>
          <w:rFonts w:hint="eastAsia"/>
          <w:color w:val="auto"/>
          <w:highlight w:val="none"/>
        </w:rPr>
        <w:t>三、质量要求</w:t>
      </w:r>
    </w:p>
    <w:p>
      <w:pPr>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color w:val="auto"/>
          <w:sz w:val="24"/>
          <w:highlight w:val="none"/>
        </w:rPr>
      </w:pPr>
      <w:r>
        <w:rPr>
          <w:rFonts w:hint="eastAsia" w:ascii="宋体" w:hAnsi="宋体" w:eastAsia="宋体" w:cs="宋体"/>
          <w:color w:val="auto"/>
          <w:sz w:val="21"/>
          <w:szCs w:val="21"/>
          <w:highlight w:val="none"/>
        </w:rPr>
        <w:t>投标实验室具有完善的质量管理体系，每次检测都有严格的室内质控，每年省临检中心的质量控制和室间质量评估工作，以控制诊断结果的质量。因投标实验室质量因素导致的医疗纠纷、事故等不良后果的，由此产生的赔偿责任由中标人承担。</w:t>
      </w:r>
      <w:r>
        <w:rPr>
          <w:rFonts w:hint="eastAsia"/>
          <w:color w:val="auto"/>
          <w:sz w:val="24"/>
          <w:highlight w:val="none"/>
        </w:rPr>
        <w:t xml:space="preserve">  </w:t>
      </w:r>
    </w:p>
    <w:p>
      <w:pPr>
        <w:pStyle w:val="2"/>
        <w:rPr>
          <w:rFonts w:hint="eastAsia"/>
          <w:color w:val="auto"/>
          <w:highlight w:val="none"/>
        </w:rPr>
      </w:pPr>
    </w:p>
    <w:p>
      <w:pPr>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pStyle w:val="2"/>
        <w:ind w:left="0" w:leftChars="0" w:firstLine="0" w:firstLineChars="0"/>
        <w:rPr>
          <w:color w:val="auto"/>
          <w:highlight w:val="none"/>
        </w:rPr>
        <w:sectPr>
          <w:pgSz w:w="11906" w:h="16838"/>
          <w:pgMar w:top="1440" w:right="1800" w:bottom="1440" w:left="1800" w:header="851" w:footer="992" w:gutter="0"/>
          <w:pgNumType w:fmt="decimal"/>
          <w:cols w:space="720" w:num="1"/>
          <w:docGrid w:type="lines" w:linePitch="312" w:charSpace="0"/>
        </w:sectPr>
      </w:pPr>
    </w:p>
    <w:bookmarkEnd w:id="182"/>
    <w:bookmarkEnd w:id="183"/>
    <w:bookmarkEnd w:id="184"/>
    <w:bookmarkEnd w:id="185"/>
    <w:p>
      <w:pPr>
        <w:pStyle w:val="5"/>
        <w:spacing w:before="0" w:after="0" w:line="240" w:lineRule="auto"/>
        <w:rPr>
          <w:color w:val="auto"/>
          <w:sz w:val="28"/>
          <w:szCs w:val="28"/>
          <w:highlight w:val="none"/>
        </w:rPr>
      </w:pPr>
      <w:bookmarkStart w:id="186" w:name="_Toc21448"/>
      <w:bookmarkStart w:id="187" w:name="_Toc12014"/>
      <w:bookmarkStart w:id="188" w:name="_Toc12485"/>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6"/>
        <w:spacing w:line="240" w:lineRule="auto"/>
        <w:jc w:val="center"/>
        <w:rPr>
          <w:rFonts w:ascii="宋体" w:hAnsi="宋体" w:cs="宋体"/>
          <w:color w:val="auto"/>
          <w:highlight w:val="none"/>
        </w:rPr>
      </w:pPr>
      <w:bookmarkStart w:id="192" w:name="_Toc16730"/>
      <w:bookmarkStart w:id="193" w:name="_Toc19575"/>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1"/>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1"/>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1"/>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5"/>
        <w:spacing w:before="0" w:after="0" w:line="240" w:lineRule="auto"/>
        <w:rPr>
          <w:color w:val="auto"/>
          <w:sz w:val="28"/>
          <w:szCs w:val="28"/>
          <w:highlight w:val="none"/>
        </w:rPr>
      </w:pPr>
      <w:bookmarkStart w:id="198" w:name="_Toc1478"/>
      <w:bookmarkStart w:id="199" w:name="_Toc23749"/>
      <w:bookmarkStart w:id="200" w:name="_Toc31587"/>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6"/>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3"/>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0"/>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7"/>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0"/>
              <w:jc w:val="both"/>
              <w:rPr>
                <w:rFonts w:ascii="宋体" w:hAnsi="宋体" w:cs="宋体"/>
                <w:color w:val="auto"/>
                <w:szCs w:val="21"/>
                <w:highlight w:val="none"/>
              </w:rPr>
            </w:pPr>
          </w:p>
        </w:tc>
        <w:tc>
          <w:tcPr>
            <w:tcW w:w="5028" w:type="dxa"/>
            <w:noWrap/>
            <w:vAlign w:val="center"/>
          </w:tcPr>
          <w:p>
            <w:pPr>
              <w:pStyle w:val="30"/>
              <w:jc w:val="both"/>
              <w:rPr>
                <w:rFonts w:ascii="宋体" w:hAnsi="宋体" w:cs="宋体"/>
                <w:color w:val="auto"/>
                <w:szCs w:val="21"/>
                <w:highlight w:val="none"/>
              </w:rPr>
            </w:pPr>
          </w:p>
        </w:tc>
        <w:tc>
          <w:tcPr>
            <w:tcW w:w="2126" w:type="dxa"/>
            <w:noWrap/>
            <w:vAlign w:val="center"/>
          </w:tcPr>
          <w:p>
            <w:pPr>
              <w:pStyle w:val="17"/>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6"/>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6"/>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pPr>
        <w:rPr>
          <w:color w:val="auto"/>
          <w:highlight w:val="none"/>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eastAsia="宋体"/>
                <w:color w:val="auto"/>
                <w:sz w:val="21"/>
                <w:szCs w:val="21"/>
                <w:highlight w:val="none"/>
              </w:rPr>
              <w:t>投标单价折扣率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color w:val="auto"/>
          <w:szCs w:val="21"/>
          <w:highlight w:val="none"/>
        </w:rPr>
        <w:t xml:space="preserve">      </w:t>
      </w:r>
      <w:r>
        <w:rPr>
          <w:rFonts w:hint="eastAsia" w:ascii="宋体" w:hAnsi="宋体" w:eastAsia="宋体"/>
          <w:color w:val="auto"/>
          <w:sz w:val="21"/>
          <w:szCs w:val="21"/>
          <w:highlight w:val="none"/>
        </w:rPr>
        <w:t>注：1、</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大写和小写两种方式</w:t>
      </w:r>
      <w:r>
        <w:rPr>
          <w:rFonts w:ascii="宋体" w:hAnsi="宋体" w:eastAsia="宋体"/>
          <w:color w:val="auto"/>
          <w:sz w:val="21"/>
          <w:szCs w:val="21"/>
          <w:highlight w:val="none"/>
        </w:rPr>
        <w:t>表示的</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保留小数点后两位。</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大小写不一致，以大写为准。</w:t>
      </w:r>
      <w:r>
        <w:rPr>
          <w:rFonts w:hint="eastAsia" w:ascii="宋体" w:hAnsi="宋体" w:eastAsia="宋体" w:cs="宋体"/>
          <w:bCs/>
          <w:color w:val="auto"/>
          <w:sz w:val="21"/>
          <w:szCs w:val="21"/>
          <w:highlight w:val="none"/>
          <w:lang w:val="zh-CN"/>
        </w:rPr>
        <w:t>投标</w:t>
      </w:r>
      <w:r>
        <w:rPr>
          <w:rFonts w:hint="eastAsia" w:ascii="宋体" w:eastAsia="宋体" w:cs="宋体"/>
          <w:bCs/>
          <w:color w:val="auto"/>
          <w:sz w:val="21"/>
          <w:szCs w:val="21"/>
          <w:highlight w:val="none"/>
          <w:lang w:val="en-US" w:eastAsia="zh-CN"/>
        </w:rPr>
        <w:t>折扣率</w:t>
      </w:r>
      <w:r>
        <w:rPr>
          <w:rFonts w:hint="eastAsia" w:ascii="宋体" w:hAnsi="宋体" w:eastAsia="宋体"/>
          <w:color w:val="auto"/>
          <w:sz w:val="21"/>
          <w:szCs w:val="21"/>
          <w:highlight w:val="none"/>
        </w:rPr>
        <w:t>必须准确唯一且应包含招标文件要求的所有费用。</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注：折扣率=1-下浮率</w:t>
      </w:r>
      <w:r>
        <w:rPr>
          <w:rFonts w:hint="eastAsia" w:ascii="宋体" w:hAnsi="宋体" w:cs="宋体"/>
          <w:color w:val="auto"/>
          <w:sz w:val="21"/>
          <w:szCs w:val="21"/>
          <w:highlight w:val="none"/>
          <w:lang w:eastAsia="zh-CN"/>
        </w:rPr>
        <w:t>）</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ind w:left="357" w:leftChars="170" w:firstLine="359" w:firstLineChars="171"/>
        <w:rPr>
          <w:rFonts w:ascii="宋体" w:hAnsi="宋体"/>
          <w:color w:val="auto"/>
          <w:szCs w:val="21"/>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0"/>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0"/>
        <w:rPr>
          <w:rFonts w:ascii="黑体" w:eastAsia="黑体"/>
          <w:color w:val="auto"/>
          <w:sz w:val="32"/>
          <w:szCs w:val="32"/>
          <w:highlight w:val="none"/>
        </w:rPr>
      </w:pPr>
    </w:p>
    <w:p>
      <w:pPr>
        <w:pStyle w:val="30"/>
        <w:rPr>
          <w:rFonts w:ascii="黑体" w:eastAsia="黑体"/>
          <w:color w:val="auto"/>
          <w:sz w:val="32"/>
          <w:szCs w:val="32"/>
          <w:highlight w:val="none"/>
        </w:rPr>
      </w:pPr>
    </w:p>
    <w:p>
      <w:pPr>
        <w:pStyle w:val="6"/>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3"/>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3"/>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3"/>
          <w:rFonts w:hint="eastAsia" w:ascii="宋体" w:hAnsi="宋体" w:eastAsia="宋体" w:cs="宋体"/>
          <w:b/>
          <w:color w:val="auto"/>
          <w:sz w:val="21"/>
          <w:szCs w:val="21"/>
          <w:highlight w:val="none"/>
        </w:rPr>
        <w:t>；</w:t>
      </w:r>
    </w:p>
    <w:p>
      <w:pPr>
        <w:pStyle w:val="33"/>
        <w:ind w:firstLine="422"/>
        <w:rPr>
          <w:rFonts w:ascii="黑体" w:eastAsia="黑体"/>
          <w:color w:val="auto"/>
          <w:sz w:val="32"/>
          <w:szCs w:val="32"/>
          <w:highlight w:val="none"/>
        </w:rPr>
      </w:pPr>
      <w:r>
        <w:rPr>
          <w:rStyle w:val="43"/>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6"/>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0"/>
        <w:rPr>
          <w:color w:val="auto"/>
          <w:highlight w:val="none"/>
        </w:rPr>
      </w:pPr>
    </w:p>
    <w:p>
      <w:pPr>
        <w:tabs>
          <w:tab w:val="left" w:pos="284"/>
        </w:tabs>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注：</w:t>
      </w:r>
    </w:p>
    <w:p>
      <w:pPr>
        <w:tabs>
          <w:tab w:val="left" w:pos="284"/>
        </w:tabs>
        <w:ind w:firstLine="422" w:firstLineChars="200"/>
        <w:rPr>
          <w:rStyle w:val="43"/>
          <w:rFonts w:ascii="宋体" w:hAnsi="宋体" w:eastAsia="宋体" w:cs="宋体"/>
          <w:b/>
          <w:color w:val="auto"/>
          <w:sz w:val="21"/>
          <w:szCs w:val="21"/>
          <w:highlight w:val="none"/>
        </w:rPr>
      </w:pPr>
      <w:r>
        <w:rPr>
          <w:rStyle w:val="43"/>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3"/>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6"/>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9"/>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9844825"/>
      <w:bookmarkStart w:id="223" w:name="_Toc17761"/>
      <w:bookmarkStart w:id="224" w:name="_Toc509927455"/>
      <w:bookmarkStart w:id="225" w:name="_Toc22970"/>
      <w:bookmarkStart w:id="226" w:name="_Toc510171693"/>
      <w:bookmarkStart w:id="227" w:name="_Toc508958703"/>
      <w:bookmarkStart w:id="228" w:name="_Toc30277"/>
      <w:bookmarkStart w:id="229" w:name="_Toc20910"/>
      <w:bookmarkStart w:id="230" w:name="_Toc508960153"/>
      <w:bookmarkStart w:id="231" w:name="_Toc508898066"/>
      <w:bookmarkStart w:id="232" w:name="_Toc30247"/>
      <w:bookmarkStart w:id="233" w:name="_Toc509479530"/>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08958704"/>
      <w:bookmarkStart w:id="235" w:name="_Toc28527"/>
      <w:bookmarkStart w:id="236" w:name="_Toc509844826"/>
      <w:bookmarkStart w:id="237" w:name="_Toc510171694"/>
      <w:bookmarkStart w:id="238" w:name="_Toc509927456"/>
      <w:bookmarkStart w:id="239" w:name="_Toc508960154"/>
      <w:bookmarkStart w:id="240" w:name="_Toc5447"/>
      <w:bookmarkStart w:id="241" w:name="_Toc509479531"/>
      <w:bookmarkStart w:id="242" w:name="_Toc26216"/>
      <w:bookmarkStart w:id="243" w:name="_Toc21053"/>
      <w:bookmarkStart w:id="244" w:name="_Toc31520"/>
      <w:bookmarkStart w:id="245" w:name="_Toc508898067"/>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927457"/>
      <w:bookmarkStart w:id="247" w:name="_Toc508898068"/>
      <w:bookmarkStart w:id="248" w:name="_Toc14653"/>
      <w:bookmarkStart w:id="249" w:name="_Toc510171695"/>
      <w:bookmarkStart w:id="250" w:name="_Toc28626"/>
      <w:bookmarkStart w:id="251" w:name="_Toc28126"/>
      <w:bookmarkStart w:id="252" w:name="_Toc9148"/>
      <w:bookmarkStart w:id="253" w:name="_Toc509479532"/>
      <w:bookmarkStart w:id="254" w:name="_Toc508960155"/>
      <w:bookmarkStart w:id="255" w:name="_Toc24848"/>
      <w:bookmarkStart w:id="256" w:name="_Toc508958705"/>
      <w:bookmarkStart w:id="257" w:name="_Toc509844827"/>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8958706"/>
      <w:bookmarkStart w:id="259" w:name="_Toc28686"/>
      <w:bookmarkStart w:id="260" w:name="_Toc510171696"/>
      <w:bookmarkStart w:id="261" w:name="_Toc509844828"/>
      <w:bookmarkStart w:id="262" w:name="_Toc22981"/>
      <w:bookmarkStart w:id="263" w:name="_Toc508960156"/>
      <w:bookmarkStart w:id="264" w:name="_Toc9837"/>
      <w:bookmarkStart w:id="265" w:name="_Toc509479533"/>
      <w:bookmarkStart w:id="266" w:name="_Toc7858"/>
      <w:bookmarkStart w:id="267" w:name="_Toc28044"/>
      <w:bookmarkStart w:id="268" w:name="_Toc508898069"/>
      <w:bookmarkStart w:id="269" w:name="_Toc5099274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10171697"/>
      <w:bookmarkStart w:id="271" w:name="_Toc509844829"/>
      <w:bookmarkStart w:id="272" w:name="_Toc509927459"/>
      <w:bookmarkStart w:id="273" w:name="_Toc509479534"/>
      <w:bookmarkStart w:id="274" w:name="_Toc508960157"/>
      <w:bookmarkStart w:id="275" w:name="_Toc508898070"/>
      <w:bookmarkStart w:id="276" w:name="_Toc508958707"/>
      <w:bookmarkStart w:id="277" w:name="_Toc5289"/>
      <w:bookmarkStart w:id="278" w:name="_Toc18843"/>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6"/>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6"/>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6"/>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6"/>
        <w:spacing w:line="500" w:lineRule="atLeast"/>
        <w:ind w:firstLine="3517" w:firstLineChars="1675"/>
        <w:rPr>
          <w:rFonts w:ascii="宋体" w:eastAsia="宋体"/>
          <w:color w:val="auto"/>
          <w:sz w:val="21"/>
          <w:szCs w:val="21"/>
          <w:highlight w:val="none"/>
        </w:rPr>
      </w:pP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6"/>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6"/>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pStyle w:val="36"/>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6"/>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36"/>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6"/>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6"/>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6"/>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6"/>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36"/>
        <w:spacing w:line="500" w:lineRule="atLeast"/>
        <w:ind w:firstLine="433"/>
        <w:rPr>
          <w:rFonts w:ascii="宋体" w:eastAsia="宋体"/>
          <w:color w:val="auto"/>
          <w:sz w:val="21"/>
          <w:szCs w:val="21"/>
          <w:highlight w:val="none"/>
        </w:rPr>
      </w:pPr>
    </w:p>
    <w:p>
      <w:pPr>
        <w:pStyle w:val="6"/>
        <w:jc w:val="center"/>
        <w:rPr>
          <w:color w:val="auto"/>
          <w:highlight w:val="none"/>
        </w:rPr>
      </w:pPr>
      <w:bookmarkStart w:id="295" w:name="_Toc29995"/>
      <w:bookmarkStart w:id="296" w:name="_Toc24210"/>
      <w:bookmarkStart w:id="297" w:name="_Toc1511"/>
      <w:bookmarkStart w:id="298" w:name="_Toc17470"/>
      <w:bookmarkStart w:id="299" w:name="_Toc28067"/>
      <w:bookmarkStart w:id="300" w:name="_Toc5919"/>
      <w:bookmarkStart w:id="301" w:name="_Toc4926"/>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6"/>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6"/>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6"/>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6"/>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6"/>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36"/>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0"/>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6"/>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6"/>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6"/>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pPr>
        <w:pStyle w:val="6"/>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4827"/>
      <w:bookmarkStart w:id="321" w:name="_Toc6080"/>
      <w:bookmarkStart w:id="322" w:name="_Toc26078"/>
      <w:bookmarkStart w:id="323" w:name="_Toc18668"/>
      <w:bookmarkStart w:id="324" w:name="_Toc1274"/>
    </w:p>
    <w:p>
      <w:pPr>
        <w:pStyle w:val="6"/>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560"/>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30" w:name="_Toc14815"/>
            <w:bookmarkStart w:id="331" w:name="_Toc21739"/>
            <w:bookmarkStart w:id="332" w:name="_Toc16872"/>
            <w:bookmarkStart w:id="333" w:name="_Toc26124"/>
            <w:bookmarkStart w:id="334" w:name="_Toc10045"/>
            <w:bookmarkStart w:id="335" w:name="_Toc12049"/>
            <w:bookmarkStart w:id="336" w:name="_Toc22448"/>
            <w:bookmarkStart w:id="337" w:name="_Toc27090"/>
            <w:bookmarkStart w:id="338" w:name="_Toc2700"/>
            <w:bookmarkStart w:id="339" w:name="_Toc4304"/>
            <w:bookmarkStart w:id="340" w:name="_Toc1016"/>
            <w:bookmarkStart w:id="341" w:name="_Toc15903"/>
            <w:bookmarkStart w:id="342" w:name="_Toc15368"/>
            <w:bookmarkStart w:id="343" w:name="_Toc8312"/>
            <w:bookmarkStart w:id="344" w:name="_Toc27442"/>
            <w:bookmarkStart w:id="345" w:name="_Toc7333"/>
            <w:bookmarkStart w:id="346" w:name="_Toc21809"/>
            <w:bookmarkStart w:id="347" w:name="_Toc32531"/>
            <w:bookmarkStart w:id="348" w:name="_Toc22879"/>
            <w:bookmarkStart w:id="349" w:name="_Toc19251"/>
            <w:bookmarkStart w:id="350" w:name="_Toc24662"/>
            <w:bookmarkStart w:id="351" w:name="_Toc22917"/>
            <w:bookmarkStart w:id="352" w:name="_Toc8490"/>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5992"/>
            <w:bookmarkStart w:id="360" w:name="_Toc5563"/>
            <w:bookmarkStart w:id="361" w:name="_Toc17642"/>
            <w:bookmarkStart w:id="362" w:name="_Toc1330"/>
            <w:bookmarkStart w:id="363" w:name="_Toc20820"/>
            <w:bookmarkStart w:id="364" w:name="_Toc27185"/>
            <w:bookmarkStart w:id="365" w:name="_Toc1912"/>
            <w:bookmarkStart w:id="366" w:name="_Toc17296"/>
            <w:bookmarkStart w:id="367" w:name="_Toc3701"/>
            <w:bookmarkStart w:id="368" w:name="_Toc20139"/>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857"/>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7"/>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3"/>
        <w:rPr>
          <w:rFonts w:ascii="宋体" w:hAnsi="宋体"/>
          <w:color w:val="auto"/>
          <w:szCs w:val="21"/>
          <w:highlight w:val="none"/>
        </w:rPr>
      </w:pPr>
    </w:p>
    <w:p>
      <w:pPr>
        <w:pStyle w:val="33"/>
        <w:rPr>
          <w:rFonts w:ascii="宋体" w:hAnsi="宋体"/>
          <w:color w:val="auto"/>
          <w:szCs w:val="21"/>
          <w:highlight w:val="none"/>
        </w:rPr>
      </w:pPr>
      <w:r>
        <w:rPr>
          <w:rFonts w:hint="eastAsia" w:ascii="宋体" w:hAnsi="宋体"/>
          <w:color w:val="auto"/>
          <w:szCs w:val="21"/>
          <w:highlight w:val="none"/>
        </w:rPr>
        <w:t>注：</w:t>
      </w:r>
    </w:p>
    <w:p>
      <w:pPr>
        <w:pStyle w:val="33"/>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3"/>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3"/>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3"/>
        <w:rPr>
          <w:rFonts w:ascii="宋体" w:hAnsi="宋体"/>
          <w:color w:val="auto"/>
          <w:szCs w:val="21"/>
          <w:highlight w:val="none"/>
        </w:rPr>
      </w:pPr>
    </w:p>
    <w:p>
      <w:pPr>
        <w:pStyle w:val="33"/>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6"/>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6"/>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6"/>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0"/>
              <w:spacing w:line="300" w:lineRule="auto"/>
              <w:jc w:val="center"/>
              <w:rPr>
                <w:rFonts w:hAnsi="宋体" w:cs="宋体"/>
                <w:b w:val="0"/>
                <w:bCs/>
                <w:color w:val="auto"/>
                <w:szCs w:val="21"/>
                <w:highlight w:val="none"/>
              </w:rPr>
            </w:pPr>
          </w:p>
        </w:tc>
        <w:tc>
          <w:tcPr>
            <w:tcW w:w="738" w:type="dxa"/>
            <w:tcBorders>
              <w:tl2br w:val="nil"/>
              <w:tr2bl w:val="nil"/>
            </w:tcBorders>
          </w:tcPr>
          <w:p>
            <w:pPr>
              <w:pStyle w:val="10"/>
              <w:spacing w:line="300" w:lineRule="auto"/>
              <w:jc w:val="center"/>
              <w:rPr>
                <w:rFonts w:hAnsi="宋体" w:cs="宋体"/>
                <w:b w:val="0"/>
                <w:bCs/>
                <w:color w:val="auto"/>
                <w:szCs w:val="21"/>
                <w:highlight w:val="none"/>
              </w:rPr>
            </w:pPr>
          </w:p>
        </w:tc>
        <w:tc>
          <w:tcPr>
            <w:tcW w:w="1616" w:type="dxa"/>
            <w:tcBorders>
              <w:tl2br w:val="nil"/>
              <w:tr2bl w:val="nil"/>
            </w:tcBorders>
          </w:tcPr>
          <w:p>
            <w:pPr>
              <w:pStyle w:val="10"/>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0"/>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6"/>
        <w:jc w:val="center"/>
        <w:rPr>
          <w:color w:val="auto"/>
          <w:highlight w:val="none"/>
        </w:rPr>
      </w:pPr>
      <w:bookmarkStart w:id="379" w:name="_Toc16710"/>
      <w:bookmarkStart w:id="380" w:name="_Toc21541"/>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6"/>
        <w:jc w:val="center"/>
        <w:rPr>
          <w:color w:val="auto"/>
          <w:highlight w:val="none"/>
        </w:rPr>
      </w:pPr>
      <w:bookmarkStart w:id="381" w:name="_Toc24545"/>
      <w:bookmarkStart w:id="382" w:name="_Toc2685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6"/>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6"/>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6"/>
        <w:jc w:val="center"/>
        <w:rPr>
          <w:color w:val="auto"/>
          <w:highlight w:val="none"/>
        </w:rPr>
      </w:pPr>
      <w:bookmarkStart w:id="387" w:name="_Toc22736"/>
      <w:bookmarkStart w:id="388" w:name="_Toc2710"/>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pStyle w:val="22"/>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2"/>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3"/>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3"/>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9"/>
        <w:rPr>
          <w:rFonts w:eastAsia="微软雅黑"/>
        </w:rPr>
      </w:pPr>
      <w:r>
        <w:rPr>
          <w:rStyle w:val="29"/>
        </w:rPr>
        <w:footnoteRef/>
      </w:r>
      <w:r>
        <w:rPr>
          <w:rFonts w:hint="eastAsia"/>
        </w:rPr>
        <w:t>从业人员、营业人员、资产总额填报上一年度数据，无上一年度数据的新成立企业可不填报。</w:t>
      </w:r>
    </w:p>
  </w:footnote>
  <w:footnote w:id="1">
    <w:p>
      <w:pPr>
        <w:pStyle w:val="19"/>
      </w:pPr>
      <w:r>
        <w:rPr>
          <w:rStyle w:val="29"/>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xNzUwYWQwNDRjMThmYzVmNmE3Mzg5MzZiY2U0YmIifQ=="/>
    <w:docVar w:name="KSO_WPS_MARK_KEY" w:val="6e650a26-cec9-4adc-abe2-07bd1182792c"/>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EC77BB5"/>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8A56CB"/>
    <w:rsid w:val="1DB85900"/>
    <w:rsid w:val="1DF051AF"/>
    <w:rsid w:val="1E010AF7"/>
    <w:rsid w:val="1E0178EB"/>
    <w:rsid w:val="1E301173"/>
    <w:rsid w:val="1E38333E"/>
    <w:rsid w:val="1E3E55F9"/>
    <w:rsid w:val="1E5C7612"/>
    <w:rsid w:val="1EA40BB4"/>
    <w:rsid w:val="1F43381C"/>
    <w:rsid w:val="1FA4148D"/>
    <w:rsid w:val="20121621"/>
    <w:rsid w:val="201A421D"/>
    <w:rsid w:val="20341172"/>
    <w:rsid w:val="204E554F"/>
    <w:rsid w:val="20590035"/>
    <w:rsid w:val="20810877"/>
    <w:rsid w:val="20C35213"/>
    <w:rsid w:val="20FC799E"/>
    <w:rsid w:val="21072664"/>
    <w:rsid w:val="21693C0A"/>
    <w:rsid w:val="21DC501A"/>
    <w:rsid w:val="22154DDD"/>
    <w:rsid w:val="22213E42"/>
    <w:rsid w:val="22336873"/>
    <w:rsid w:val="23175889"/>
    <w:rsid w:val="232C5C75"/>
    <w:rsid w:val="238C2182"/>
    <w:rsid w:val="239015D1"/>
    <w:rsid w:val="23BB4E7D"/>
    <w:rsid w:val="23C172D6"/>
    <w:rsid w:val="23F04F64"/>
    <w:rsid w:val="24814CBE"/>
    <w:rsid w:val="24AC168B"/>
    <w:rsid w:val="254D448F"/>
    <w:rsid w:val="25857F75"/>
    <w:rsid w:val="258976B0"/>
    <w:rsid w:val="258C3BEC"/>
    <w:rsid w:val="25E576CC"/>
    <w:rsid w:val="260E3862"/>
    <w:rsid w:val="262569FC"/>
    <w:rsid w:val="26344C98"/>
    <w:rsid w:val="26F56CE2"/>
    <w:rsid w:val="27435D49"/>
    <w:rsid w:val="27A34F71"/>
    <w:rsid w:val="27B36A67"/>
    <w:rsid w:val="27EB0D9B"/>
    <w:rsid w:val="286602C8"/>
    <w:rsid w:val="28665C95"/>
    <w:rsid w:val="28A64522"/>
    <w:rsid w:val="28CC5B40"/>
    <w:rsid w:val="28D45647"/>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77724B"/>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AB5A5B"/>
    <w:rsid w:val="3FD70BB0"/>
    <w:rsid w:val="3FFB55AC"/>
    <w:rsid w:val="401C5F9D"/>
    <w:rsid w:val="401C690C"/>
    <w:rsid w:val="401D7195"/>
    <w:rsid w:val="40332A00"/>
    <w:rsid w:val="405F1BE4"/>
    <w:rsid w:val="40A51286"/>
    <w:rsid w:val="40B91EC9"/>
    <w:rsid w:val="40CE3DC0"/>
    <w:rsid w:val="40D7455A"/>
    <w:rsid w:val="40E743E5"/>
    <w:rsid w:val="40F35EEC"/>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E17E8A"/>
    <w:rsid w:val="43FA5777"/>
    <w:rsid w:val="44044D92"/>
    <w:rsid w:val="441C1611"/>
    <w:rsid w:val="443C440B"/>
    <w:rsid w:val="443F7DBF"/>
    <w:rsid w:val="44514F52"/>
    <w:rsid w:val="448965CB"/>
    <w:rsid w:val="44C5497E"/>
    <w:rsid w:val="44FA2D53"/>
    <w:rsid w:val="4571374F"/>
    <w:rsid w:val="458B1BB0"/>
    <w:rsid w:val="45DD0A0B"/>
    <w:rsid w:val="4611075B"/>
    <w:rsid w:val="46214818"/>
    <w:rsid w:val="466E4C9E"/>
    <w:rsid w:val="467A0297"/>
    <w:rsid w:val="468B7125"/>
    <w:rsid w:val="46C4691F"/>
    <w:rsid w:val="46D626BC"/>
    <w:rsid w:val="47841568"/>
    <w:rsid w:val="479D1D34"/>
    <w:rsid w:val="47B609C0"/>
    <w:rsid w:val="47CF543E"/>
    <w:rsid w:val="482D31EA"/>
    <w:rsid w:val="484228F5"/>
    <w:rsid w:val="485970A0"/>
    <w:rsid w:val="48847961"/>
    <w:rsid w:val="48A41906"/>
    <w:rsid w:val="48B65C71"/>
    <w:rsid w:val="48F303D7"/>
    <w:rsid w:val="492837FF"/>
    <w:rsid w:val="492E6A57"/>
    <w:rsid w:val="49B86103"/>
    <w:rsid w:val="4A0030EE"/>
    <w:rsid w:val="4AC36065"/>
    <w:rsid w:val="4B560086"/>
    <w:rsid w:val="4B7501F5"/>
    <w:rsid w:val="4B8C2DEB"/>
    <w:rsid w:val="4BFA3C9F"/>
    <w:rsid w:val="4BFB5208"/>
    <w:rsid w:val="4C0E3379"/>
    <w:rsid w:val="4C107F48"/>
    <w:rsid w:val="4C3277BC"/>
    <w:rsid w:val="4C686851"/>
    <w:rsid w:val="4CB25875"/>
    <w:rsid w:val="4CC353EB"/>
    <w:rsid w:val="4CF36F3C"/>
    <w:rsid w:val="4D3739CE"/>
    <w:rsid w:val="4D484E20"/>
    <w:rsid w:val="4D4F67BA"/>
    <w:rsid w:val="4D603399"/>
    <w:rsid w:val="4D867EE1"/>
    <w:rsid w:val="4DBC4C65"/>
    <w:rsid w:val="4DD731F1"/>
    <w:rsid w:val="4DF6568D"/>
    <w:rsid w:val="4E2E1A80"/>
    <w:rsid w:val="4E550010"/>
    <w:rsid w:val="4E5F14CB"/>
    <w:rsid w:val="4ED63686"/>
    <w:rsid w:val="4F3705F8"/>
    <w:rsid w:val="4F651D09"/>
    <w:rsid w:val="4FAC3540"/>
    <w:rsid w:val="4FBB12F4"/>
    <w:rsid w:val="4FCF1583"/>
    <w:rsid w:val="4FD30C19"/>
    <w:rsid w:val="4FFA7625"/>
    <w:rsid w:val="501B0BF9"/>
    <w:rsid w:val="507D2599"/>
    <w:rsid w:val="5096229D"/>
    <w:rsid w:val="50B44FCE"/>
    <w:rsid w:val="50DC4184"/>
    <w:rsid w:val="50EF6513"/>
    <w:rsid w:val="50F93342"/>
    <w:rsid w:val="51475B39"/>
    <w:rsid w:val="514C3EA7"/>
    <w:rsid w:val="519849E5"/>
    <w:rsid w:val="51B36892"/>
    <w:rsid w:val="51C11875"/>
    <w:rsid w:val="52506DA7"/>
    <w:rsid w:val="533B2B84"/>
    <w:rsid w:val="537A7243"/>
    <w:rsid w:val="539C1B81"/>
    <w:rsid w:val="53AA6184"/>
    <w:rsid w:val="53AE750F"/>
    <w:rsid w:val="53D950DE"/>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55436"/>
    <w:rsid w:val="5D9F3D30"/>
    <w:rsid w:val="5E2810D5"/>
    <w:rsid w:val="5E2B7D62"/>
    <w:rsid w:val="5E2F31A6"/>
    <w:rsid w:val="5E71411E"/>
    <w:rsid w:val="5EA06921"/>
    <w:rsid w:val="5ED5006A"/>
    <w:rsid w:val="5F576E4B"/>
    <w:rsid w:val="5F5D4EDE"/>
    <w:rsid w:val="5F7A2C30"/>
    <w:rsid w:val="5FBE370A"/>
    <w:rsid w:val="60292845"/>
    <w:rsid w:val="60407720"/>
    <w:rsid w:val="61027308"/>
    <w:rsid w:val="612E1A5D"/>
    <w:rsid w:val="61816046"/>
    <w:rsid w:val="61881DE7"/>
    <w:rsid w:val="62182687"/>
    <w:rsid w:val="62391564"/>
    <w:rsid w:val="62816669"/>
    <w:rsid w:val="62BA0953"/>
    <w:rsid w:val="62D03A7C"/>
    <w:rsid w:val="62F16BCB"/>
    <w:rsid w:val="62F648FE"/>
    <w:rsid w:val="630A30D8"/>
    <w:rsid w:val="63341DB1"/>
    <w:rsid w:val="63447612"/>
    <w:rsid w:val="63907004"/>
    <w:rsid w:val="63974E47"/>
    <w:rsid w:val="63A10995"/>
    <w:rsid w:val="63C23EFA"/>
    <w:rsid w:val="63C41644"/>
    <w:rsid w:val="643A070A"/>
    <w:rsid w:val="644C573D"/>
    <w:rsid w:val="647F1ACC"/>
    <w:rsid w:val="648667A7"/>
    <w:rsid w:val="64DB383A"/>
    <w:rsid w:val="65032F85"/>
    <w:rsid w:val="65136B50"/>
    <w:rsid w:val="653B0C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2E7663"/>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B955B1"/>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524615"/>
    <w:rsid w:val="77653671"/>
    <w:rsid w:val="778546CC"/>
    <w:rsid w:val="77B56730"/>
    <w:rsid w:val="77C04A8B"/>
    <w:rsid w:val="77D85DB3"/>
    <w:rsid w:val="780252A0"/>
    <w:rsid w:val="78027772"/>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DF10853"/>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4">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autoRedefine/>
    <w:unhideWhenUsed/>
    <w:qFormat/>
    <w:uiPriority w:val="9"/>
    <w:pPr>
      <w:keepNext/>
      <w:keepLines/>
      <w:outlineLvl w:val="2"/>
    </w:pPr>
    <w:rPr>
      <w:b/>
      <w:bCs/>
      <w:sz w:val="28"/>
      <w:szCs w:val="32"/>
    </w:rPr>
  </w:style>
  <w:style w:type="paragraph" w:styleId="7">
    <w:name w:val="heading 4"/>
    <w:basedOn w:val="1"/>
    <w:next w:val="1"/>
    <w:link w:val="34"/>
    <w:autoRedefine/>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1"/>
    <w:pPr>
      <w:spacing w:before="161"/>
      <w:ind w:left="120"/>
    </w:pPr>
    <w:rPr>
      <w:rFonts w:ascii="宋体" w:hAnsi="宋体" w:cs="宋体"/>
      <w:sz w:val="24"/>
      <w:lang w:val="zh-CN" w:bidi="zh-CN"/>
    </w:rPr>
  </w:style>
  <w:style w:type="paragraph" w:styleId="3">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8">
    <w:name w:val="annotation text"/>
    <w:basedOn w:val="1"/>
    <w:autoRedefine/>
    <w:semiHidden/>
    <w:unhideWhenUsed/>
    <w:qFormat/>
    <w:uiPriority w:val="99"/>
  </w:style>
  <w:style w:type="paragraph" w:styleId="9">
    <w:name w:val="toc 3"/>
    <w:basedOn w:val="1"/>
    <w:next w:val="1"/>
    <w:autoRedefine/>
    <w:unhideWhenUsed/>
    <w:qFormat/>
    <w:uiPriority w:val="39"/>
    <w:pPr>
      <w:tabs>
        <w:tab w:val="right" w:leader="dot" w:pos="8296"/>
      </w:tabs>
      <w:ind w:left="838" w:leftChars="381"/>
    </w:pPr>
    <w:rPr>
      <w:szCs w:val="21"/>
    </w:rPr>
  </w:style>
  <w:style w:type="paragraph" w:styleId="10">
    <w:name w:val="Plain Text"/>
    <w:basedOn w:val="1"/>
    <w:link w:val="45"/>
    <w:autoRedefine/>
    <w:qFormat/>
    <w:uiPriority w:val="0"/>
    <w:pPr>
      <w:widowControl w:val="0"/>
      <w:adjustRightInd/>
      <w:snapToGrid/>
      <w:jc w:val="both"/>
    </w:pPr>
    <w:rPr>
      <w:rFonts w:ascii="宋体" w:hAnsi="Courier New" w:cs="Times New Roman"/>
      <w:b/>
      <w:kern w:val="2"/>
      <w:szCs w:val="20"/>
    </w:rPr>
  </w:style>
  <w:style w:type="paragraph" w:styleId="11">
    <w:name w:val="Body Text Indent 2"/>
    <w:basedOn w:val="1"/>
    <w:qFormat/>
    <w:uiPriority w:val="0"/>
    <w:pPr>
      <w:ind w:firstLine="539" w:firstLineChars="174"/>
    </w:pPr>
    <w:rPr>
      <w:rFonts w:ascii="仿宋_GB2312" w:eastAsia="仿宋_GB2312"/>
      <w:sz w:val="31"/>
    </w:rPr>
  </w:style>
  <w:style w:type="paragraph" w:styleId="12">
    <w:name w:val="Balloon Text"/>
    <w:basedOn w:val="1"/>
    <w:link w:val="48"/>
    <w:semiHidden/>
    <w:unhideWhenUsed/>
    <w:qFormat/>
    <w:uiPriority w:val="99"/>
    <w:rPr>
      <w:sz w:val="18"/>
      <w:szCs w:val="18"/>
    </w:rPr>
  </w:style>
  <w:style w:type="paragraph" w:styleId="13">
    <w:name w:val="footer"/>
    <w:basedOn w:val="1"/>
    <w:link w:val="47"/>
    <w:unhideWhenUsed/>
    <w:qFormat/>
    <w:uiPriority w:val="99"/>
    <w:pPr>
      <w:tabs>
        <w:tab w:val="center" w:pos="4153"/>
        <w:tab w:val="right" w:pos="8306"/>
      </w:tabs>
    </w:pPr>
    <w:rPr>
      <w:sz w:val="18"/>
      <w:szCs w:val="18"/>
    </w:rPr>
  </w:style>
  <w:style w:type="paragraph" w:styleId="14">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autoRedefine/>
    <w:semiHidden/>
    <w:unhideWhenUsed/>
    <w:qFormat/>
    <w:uiPriority w:val="39"/>
  </w:style>
  <w:style w:type="paragraph" w:styleId="16">
    <w:name w:val="toc 4"/>
    <w:basedOn w:val="1"/>
    <w:next w:val="1"/>
    <w:unhideWhenUsed/>
    <w:qFormat/>
    <w:uiPriority w:val="39"/>
    <w:pPr>
      <w:tabs>
        <w:tab w:val="right" w:leader="dot" w:pos="8296"/>
      </w:tabs>
      <w:spacing w:after="120"/>
      <w:ind w:left="1320" w:leftChars="600"/>
    </w:pPr>
  </w:style>
  <w:style w:type="paragraph" w:styleId="17">
    <w:name w:val="index heading"/>
    <w:basedOn w:val="1"/>
    <w:next w:val="18"/>
    <w:qFormat/>
    <w:uiPriority w:val="0"/>
    <w:rPr>
      <w:rFonts w:ascii="Times New Roman" w:hAnsi="Times New Roman"/>
      <w:szCs w:val="20"/>
    </w:rPr>
  </w:style>
  <w:style w:type="paragraph" w:styleId="18">
    <w:name w:val="index 1"/>
    <w:basedOn w:val="1"/>
    <w:next w:val="1"/>
    <w:autoRedefine/>
    <w:unhideWhenUsed/>
    <w:qFormat/>
    <w:uiPriority w:val="99"/>
  </w:style>
  <w:style w:type="paragraph" w:styleId="19">
    <w:name w:val="footnote text"/>
    <w:basedOn w:val="1"/>
    <w:autoRedefine/>
    <w:semiHidden/>
    <w:unhideWhenUsed/>
    <w:qFormat/>
    <w:uiPriority w:val="99"/>
    <w:rPr>
      <w:sz w:val="18"/>
    </w:rPr>
  </w:style>
  <w:style w:type="paragraph" w:styleId="20">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1">
    <w:name w:val="Normal (Web)"/>
    <w:basedOn w:val="1"/>
    <w:link w:val="50"/>
    <w:autoRedefine/>
    <w:qFormat/>
    <w:uiPriority w:val="0"/>
    <w:pPr>
      <w:widowControl w:val="0"/>
      <w:adjustRightInd/>
      <w:snapToGrid/>
      <w:jc w:val="both"/>
    </w:pPr>
    <w:rPr>
      <w:rFonts w:asciiTheme="minorHAnsi" w:hAnsiTheme="minorHAnsi"/>
      <w:kern w:val="2"/>
      <w:sz w:val="24"/>
      <w:szCs w:val="24"/>
    </w:rPr>
  </w:style>
  <w:style w:type="paragraph" w:styleId="22">
    <w:name w:val="Body Text First Indent"/>
    <w:basedOn w:val="2"/>
    <w:unhideWhenUsed/>
    <w:qFormat/>
    <w:uiPriority w:val="99"/>
    <w:pPr>
      <w:ind w:firstLine="420" w:firstLineChars="100"/>
    </w:pPr>
    <w:rPr>
      <w:rFonts w:ascii="Times New Roman" w:hAnsi="Times New Roman" w:cs="Times New Roman"/>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autoRedefine/>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autoRedefine/>
    <w:semiHidden/>
    <w:unhideWhenUsed/>
    <w:qFormat/>
    <w:uiPriority w:val="99"/>
    <w:rPr>
      <w:vertAlign w:val="superscript"/>
    </w:rPr>
  </w:style>
  <w:style w:type="paragraph" w:customStyle="1" w:styleId="30">
    <w:name w:val="表格文字"/>
    <w:basedOn w:val="1"/>
    <w:qFormat/>
    <w:uiPriority w:val="0"/>
    <w:pPr>
      <w:adjustRightInd/>
      <w:spacing w:before="25" w:after="25"/>
    </w:pPr>
    <w:rPr>
      <w:rFonts w:ascii="Times New Roman"/>
      <w:bCs/>
      <w:spacing w:val="10"/>
      <w:szCs w:val="20"/>
    </w:rPr>
  </w:style>
  <w:style w:type="character" w:customStyle="1" w:styleId="31">
    <w:name w:val="标题 2 Char"/>
    <w:basedOn w:val="25"/>
    <w:link w:val="5"/>
    <w:autoRedefine/>
    <w:qFormat/>
    <w:uiPriority w:val="9"/>
    <w:rPr>
      <w:rFonts w:asciiTheme="majorHAnsi" w:hAnsiTheme="majorHAnsi" w:eastAsiaTheme="majorEastAsia" w:cstheme="majorBidi"/>
      <w:b/>
      <w:bCs/>
      <w:sz w:val="32"/>
      <w:szCs w:val="32"/>
    </w:rPr>
  </w:style>
  <w:style w:type="character" w:customStyle="1" w:styleId="32">
    <w:name w:val="标题 3 Char"/>
    <w:basedOn w:val="25"/>
    <w:link w:val="6"/>
    <w:autoRedefine/>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7"/>
    <w:qFormat/>
    <w:uiPriority w:val="9"/>
    <w:rPr>
      <w:rFonts w:eastAsia="宋体" w:asciiTheme="majorHAnsi" w:hAnsiTheme="majorHAnsi" w:cstheme="majorBidi"/>
      <w:b/>
      <w:bCs/>
      <w:sz w:val="24"/>
      <w:szCs w:val="28"/>
    </w:rPr>
  </w:style>
  <w:style w:type="character" w:customStyle="1" w:styleId="35">
    <w:name w:val="正文缩进2格 Char"/>
    <w:link w:val="36"/>
    <w:autoRedefine/>
    <w:qFormat/>
    <w:uiPriority w:val="0"/>
    <w:rPr>
      <w:rFonts w:ascii="仿宋_GB2312" w:hAnsi="宋体" w:eastAsia="仿宋_GB2312"/>
      <w:kern w:val="2"/>
      <w:sz w:val="31"/>
    </w:rPr>
  </w:style>
  <w:style w:type="paragraph" w:customStyle="1" w:styleId="36">
    <w:name w:val="正文缩进2格"/>
    <w:basedOn w:val="1"/>
    <w:next w:val="1"/>
    <w:link w:val="3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0">
    <w:name w:val="标题1"/>
    <w:autoRedefine/>
    <w:qFormat/>
    <w:uiPriority w:val="0"/>
    <w:rPr>
      <w:rFonts w:ascii="Times New Roman" w:hAnsi="Times New Roman" w:eastAsia="宋体" w:cs="Times New Roman"/>
      <w:b/>
      <w:kern w:val="0"/>
      <w:sz w:val="24"/>
      <w:szCs w:val="20"/>
      <w:lang w:eastAsia="en-US"/>
    </w:rPr>
  </w:style>
  <w:style w:type="character" w:customStyle="1" w:styleId="41">
    <w:name w:val="标题 3.1 Char"/>
    <w:link w:val="42"/>
    <w:autoRedefine/>
    <w:qFormat/>
    <w:uiPriority w:val="0"/>
    <w:rPr>
      <w:rFonts w:ascii="宋体" w:hAnsi="宋体" w:eastAsia="宋体"/>
      <w:b/>
      <w:color w:val="FF0000"/>
      <w:kern w:val="2"/>
      <w:sz w:val="32"/>
    </w:rPr>
  </w:style>
  <w:style w:type="paragraph" w:customStyle="1" w:styleId="42">
    <w:name w:val="标题 3.1"/>
    <w:basedOn w:val="6"/>
    <w:link w:val="41"/>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3">
    <w:name w:val="样式 楷体_GB2312 小四"/>
    <w:autoRedefine/>
    <w:qFormat/>
    <w:uiPriority w:val="0"/>
    <w:rPr>
      <w:rFonts w:ascii="楷体_GB2312" w:hAnsi="楷体_GB2312" w:eastAsia="仿宋_GB2312"/>
      <w:sz w:val="24"/>
    </w:rPr>
  </w:style>
  <w:style w:type="character" w:customStyle="1" w:styleId="44">
    <w:name w:val="纯文本 Char"/>
    <w:autoRedefine/>
    <w:qFormat/>
    <w:uiPriority w:val="0"/>
    <w:rPr>
      <w:rFonts w:ascii="宋体" w:hAnsi="Courier New" w:eastAsia="宋体" w:cs="Times New Roman"/>
      <w:b/>
      <w:kern w:val="2"/>
      <w:sz w:val="21"/>
      <w:szCs w:val="20"/>
    </w:rPr>
  </w:style>
  <w:style w:type="character" w:customStyle="1" w:styleId="45">
    <w:name w:val="纯文本 Char1"/>
    <w:basedOn w:val="25"/>
    <w:link w:val="10"/>
    <w:autoRedefine/>
    <w:semiHidden/>
    <w:qFormat/>
    <w:uiPriority w:val="99"/>
    <w:rPr>
      <w:rFonts w:ascii="宋体" w:hAnsi="Courier New" w:eastAsia="宋体" w:cs="Courier New"/>
      <w:sz w:val="21"/>
      <w:szCs w:val="21"/>
    </w:rPr>
  </w:style>
  <w:style w:type="character" w:customStyle="1" w:styleId="46">
    <w:name w:val="页眉 Char"/>
    <w:basedOn w:val="25"/>
    <w:link w:val="14"/>
    <w:autoRedefine/>
    <w:qFormat/>
    <w:uiPriority w:val="99"/>
    <w:rPr>
      <w:rFonts w:ascii="Tahoma" w:hAnsi="Tahoma"/>
      <w:sz w:val="18"/>
      <w:szCs w:val="18"/>
    </w:rPr>
  </w:style>
  <w:style w:type="character" w:customStyle="1" w:styleId="47">
    <w:name w:val="页脚 Char"/>
    <w:basedOn w:val="25"/>
    <w:link w:val="13"/>
    <w:autoRedefine/>
    <w:qFormat/>
    <w:uiPriority w:val="99"/>
    <w:rPr>
      <w:rFonts w:ascii="Tahoma" w:hAnsi="Tahoma"/>
      <w:sz w:val="18"/>
      <w:szCs w:val="18"/>
    </w:rPr>
  </w:style>
  <w:style w:type="character" w:customStyle="1" w:styleId="48">
    <w:name w:val="批注框文本 Char"/>
    <w:basedOn w:val="25"/>
    <w:link w:val="12"/>
    <w:autoRedefine/>
    <w:semiHidden/>
    <w:qFormat/>
    <w:uiPriority w:val="99"/>
    <w:rPr>
      <w:rFonts w:ascii="Tahoma" w:hAnsi="Tahoma"/>
      <w:sz w:val="18"/>
      <w:szCs w:val="18"/>
    </w:rPr>
  </w:style>
  <w:style w:type="paragraph" w:customStyle="1" w:styleId="49">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0">
    <w:name w:val="普通(网站) Char"/>
    <w:link w:val="21"/>
    <w:autoRedefine/>
    <w:qFormat/>
    <w:uiPriority w:val="0"/>
    <w:rPr>
      <w:rFonts w:eastAsia="宋体"/>
      <w:kern w:val="2"/>
      <w:sz w:val="24"/>
      <w:szCs w:val="24"/>
    </w:rPr>
  </w:style>
  <w:style w:type="paragraph" w:customStyle="1" w:styleId="51">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2">
    <w:name w:val="p141"/>
    <w:autoRedefine/>
    <w:qFormat/>
    <w:uiPriority w:val="0"/>
    <w:rPr>
      <w:sz w:val="21"/>
      <w:szCs w:val="21"/>
    </w:rPr>
  </w:style>
  <w:style w:type="paragraph" w:customStyle="1" w:styleId="53">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4">
    <w:name w:val="正文无缩进"/>
    <w:basedOn w:val="36"/>
    <w:autoRedefine/>
    <w:qFormat/>
    <w:uiPriority w:val="0"/>
    <w:pPr>
      <w:ind w:firstLine="0" w:firstLineChars="0"/>
    </w:pPr>
  </w:style>
  <w:style w:type="paragraph" w:customStyle="1" w:styleId="55">
    <w:name w:val="一级条标题"/>
    <w:basedOn w:val="56"/>
    <w:next w:val="57"/>
    <w:autoRedefine/>
    <w:qFormat/>
    <w:uiPriority w:val="0"/>
    <w:pPr>
      <w:tabs>
        <w:tab w:val="left" w:pos="720"/>
      </w:tabs>
      <w:spacing w:beforeLines="0" w:afterLines="0"/>
      <w:outlineLvl w:val="2"/>
    </w:pPr>
  </w:style>
  <w:style w:type="paragraph" w:customStyle="1" w:styleId="56">
    <w:name w:val="章标题"/>
    <w:next w:val="1"/>
    <w:autoRedefine/>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8">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9">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0">
    <w:name w:val="font41"/>
    <w:basedOn w:val="25"/>
    <w:autoRedefine/>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86</Pages>
  <Words>37149</Words>
  <Characters>38455</Characters>
  <Lines>349</Lines>
  <Paragraphs>98</Paragraphs>
  <TotalTime>19</TotalTime>
  <ScaleCrop>false</ScaleCrop>
  <LinksUpToDate>false</LinksUpToDate>
  <CharactersWithSpaces>39851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2024-03-06T14:37:32Z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887F7413FE4348EAA5F7A6038D953F4A_13</vt:lpwstr>
  </property>
</Properties>
</file>