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6"/>
        <w:ind w:firstLine="240"/>
        <w:rPr>
          <w:rFonts w:ascii="黑体" w:eastAsia="黑体"/>
          <w:color w:val="auto"/>
          <w:szCs w:val="21"/>
          <w:highlight w:val="none"/>
        </w:rPr>
      </w:pPr>
    </w:p>
    <w:p>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GDZT2024105A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南城新基社区妇女儿童之家文化创意设施设备采购及安装项目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东莞市南城街道新基股份经济联合社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3"/>
        <w:ind w:left="0" w:leftChars="0"/>
        <w:rPr>
          <w:color w:val="auto"/>
          <w:sz w:val="40"/>
          <w:szCs w:val="40"/>
          <w:highlight w:val="none"/>
        </w:rPr>
      </w:pPr>
      <w:r>
        <w:rPr>
          <w:rFonts w:hint="eastAsia"/>
          <w:color w:val="auto"/>
          <w:sz w:val="40"/>
          <w:szCs w:val="40"/>
          <w:highlight w:val="none"/>
        </w:rPr>
        <w:t>目录</w:t>
      </w:r>
    </w:p>
    <w:p>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72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75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88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89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90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91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92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93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94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95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96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97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97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98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99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100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101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102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103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105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106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8850"/>
      <w:bookmarkStart w:id="3" w:name="_Toc7123"/>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东莞市南城街道新基股份经济联合社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南城新基社区妇女儿童之家文化创意设施设备采购及安装项目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GDZT2024105A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南城新基社区妇女儿童之家文化创意设施设备采购及安装项目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南城新基社区妇女儿童之家文化创意设施设备采购及安装项目</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1,267,226.41</w:t>
            </w:r>
            <w:r>
              <w:rPr>
                <w:rFonts w:hint="eastAsia" w:ascii="宋体" w:hAnsi="宋体"/>
                <w:color w:val="auto"/>
                <w:szCs w:val="21"/>
                <w:highlight w:val="none"/>
              </w:rPr>
              <w:t>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27</w:t>
      </w:r>
      <w:r>
        <w:rPr>
          <w:rFonts w:hint="eastAsia" w:ascii="宋体" w:hAnsi="宋体"/>
          <w:bCs/>
          <w:color w:val="auto"/>
          <w:szCs w:val="21"/>
          <w:highlight w:val="none"/>
        </w:rPr>
        <w:t>日下午14：00～14：30。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27</w:t>
      </w:r>
      <w:r>
        <w:rPr>
          <w:rFonts w:hint="eastAsia" w:ascii="宋体" w:hAnsi="宋体"/>
          <w:bCs/>
          <w:color w:val="auto"/>
          <w:szCs w:val="21"/>
          <w:highlight w:val="none"/>
        </w:rPr>
        <w:t>日下午14时30分。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张先生</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东莞市南城街道</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联系电话：0769-22408278</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10"/>
        <w:rPr>
          <w:color w:val="auto"/>
          <w:sz w:val="21"/>
          <w:szCs w:val="21"/>
          <w:highlight w:val="none"/>
        </w:rPr>
      </w:pPr>
    </w:p>
    <w:p>
      <w:pPr>
        <w:pStyle w:val="3"/>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3"/>
        <w:spacing w:before="0" w:after="0" w:line="360" w:lineRule="auto"/>
        <w:rPr>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30638"/>
            <w:bookmarkStart w:id="18" w:name="_Toc2479"/>
            <w:bookmarkStart w:id="19" w:name="_Toc29685"/>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投标人具有</w:t>
            </w:r>
            <w:r>
              <w:rPr>
                <w:rFonts w:hint="eastAsia" w:ascii="宋体" w:eastAsia="宋体" w:cs="宋体"/>
                <w:bCs/>
                <w:color w:val="auto"/>
                <w:sz w:val="21"/>
                <w:szCs w:val="21"/>
                <w:highlight w:val="none"/>
                <w:lang w:val="en-US" w:eastAsia="zh-CN"/>
              </w:rPr>
              <w:t>设备</w:t>
            </w:r>
            <w:r>
              <w:rPr>
                <w:rFonts w:hint="eastAsia" w:ascii="宋体" w:hAnsi="宋体" w:eastAsia="宋体" w:cs="宋体"/>
                <w:bCs/>
                <w:color w:val="auto"/>
                <w:sz w:val="21"/>
                <w:szCs w:val="21"/>
                <w:highlight w:val="none"/>
                <w:lang w:val="en-US" w:eastAsia="zh-CN"/>
              </w:rPr>
              <w:t>供货</w:t>
            </w:r>
            <w:r>
              <w:rPr>
                <w:rFonts w:hint="eastAsia" w:ascii="宋体" w:eastAsia="宋体" w:cs="宋体"/>
                <w:bCs/>
                <w:color w:val="auto"/>
                <w:sz w:val="21"/>
                <w:szCs w:val="21"/>
                <w:highlight w:val="none"/>
                <w:lang w:val="en-US" w:eastAsia="zh-CN"/>
              </w:rPr>
              <w:t>（或设备系统安装或文化建设或标识安装）</w:t>
            </w:r>
            <w:r>
              <w:rPr>
                <w:rFonts w:hint="eastAsia" w:ascii="宋体" w:hAnsi="宋体" w:eastAsia="宋体" w:cs="宋体"/>
                <w:bCs/>
                <w:color w:val="auto"/>
                <w:sz w:val="21"/>
                <w:szCs w:val="21"/>
                <w:highlight w:val="none"/>
                <w:lang w:val="zh-CN" w:eastAsia="zh-CN"/>
              </w:rPr>
              <w:t>类</w:t>
            </w:r>
            <w:r>
              <w:rPr>
                <w:rFonts w:hint="eastAsia" w:ascii="宋体" w:hAnsi="宋体" w:eastAsia="宋体" w:cs="宋体"/>
                <w:bCs/>
                <w:color w:val="auto"/>
                <w:sz w:val="21"/>
                <w:szCs w:val="21"/>
                <w:highlight w:val="none"/>
                <w:lang w:val="en-US" w:eastAsia="zh-CN"/>
              </w:rPr>
              <w:t>项目业绩的</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注：须提供合同复印件加盖投标人公章，</w:t>
            </w:r>
            <w:r>
              <w:rPr>
                <w:rFonts w:hint="eastAsia" w:ascii="宋体" w:hAnsi="宋体" w:eastAsia="宋体" w:cs="宋体"/>
                <w:bCs/>
                <w:color w:val="auto"/>
                <w:sz w:val="21"/>
                <w:szCs w:val="21"/>
                <w:highlight w:val="none"/>
              </w:rPr>
              <w:t>否则不得分</w:t>
            </w:r>
            <w:r>
              <w:rPr>
                <w:rFonts w:hint="eastAsia" w:ascii="宋体" w:hAnsi="宋体" w:eastAsia="宋体" w:cs="宋体"/>
                <w:bCs/>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rPr>
              <w:t>根据投标人提供的服务响应时间承诺进行</w:t>
            </w:r>
            <w:r>
              <w:rPr>
                <w:rFonts w:hint="eastAsia" w:ascii="宋体" w:hAnsi="宋体" w:eastAsia="宋体" w:cs="宋体"/>
                <w:bCs/>
                <w:color w:val="auto"/>
                <w:kern w:val="2"/>
                <w:sz w:val="21"/>
                <w:szCs w:val="21"/>
                <w:highlight w:val="none"/>
                <w:lang w:val="en-US"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zh-CN"/>
              </w:rPr>
              <w:t>小时</w:t>
            </w:r>
            <w:r>
              <w:rPr>
                <w:rFonts w:hint="eastAsia" w:ascii="宋体" w:hAnsi="宋体" w:cs="宋体"/>
                <w:bCs/>
                <w:color w:val="auto"/>
                <w:kern w:val="2"/>
                <w:sz w:val="21"/>
                <w:szCs w:val="21"/>
                <w:highlight w:val="none"/>
                <w:lang w:val="zh-CN"/>
              </w:rPr>
              <w:t>（</w:t>
            </w:r>
            <w:r>
              <w:rPr>
                <w:rFonts w:hint="eastAsia" w:ascii="宋体" w:hAnsi="宋体" w:cs="宋体"/>
                <w:bCs/>
                <w:color w:val="auto"/>
                <w:kern w:val="2"/>
                <w:sz w:val="21"/>
                <w:szCs w:val="21"/>
                <w:highlight w:val="none"/>
                <w:lang w:val="en-US" w:eastAsia="zh-CN"/>
              </w:rPr>
              <w:t>含</w:t>
            </w:r>
            <w:r>
              <w:rPr>
                <w:rFonts w:hint="eastAsia" w:ascii="宋体" w:hAnsi="宋体" w:cs="宋体"/>
                <w:bCs/>
                <w:color w:val="auto"/>
                <w:kern w:val="2"/>
                <w:sz w:val="21"/>
                <w:szCs w:val="21"/>
                <w:highlight w:val="none"/>
                <w:lang w:val="zh-CN"/>
              </w:rPr>
              <w:t>）</w:t>
            </w:r>
            <w:r>
              <w:rPr>
                <w:rFonts w:hint="eastAsia" w:ascii="宋体" w:hAnsi="宋体" w:eastAsia="宋体" w:cs="宋体"/>
                <w:bCs/>
                <w:color w:val="auto"/>
                <w:kern w:val="2"/>
                <w:sz w:val="21"/>
                <w:szCs w:val="21"/>
                <w:highlight w:val="none"/>
                <w:lang w:val="zh-CN"/>
              </w:rPr>
              <w:t>内到现场，得</w:t>
            </w:r>
            <w:r>
              <w:rPr>
                <w:rFonts w:hint="eastAsia" w:ascii="宋体" w:hAnsi="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小时</w:t>
            </w:r>
            <w:r>
              <w:rPr>
                <w:rFonts w:hint="eastAsia" w:ascii="宋体" w:hAnsi="宋体" w:cs="宋体"/>
                <w:bCs/>
                <w:color w:val="auto"/>
                <w:kern w:val="2"/>
                <w:sz w:val="21"/>
                <w:szCs w:val="21"/>
                <w:highlight w:val="none"/>
                <w:lang w:val="zh-CN"/>
              </w:rPr>
              <w:t>（</w:t>
            </w:r>
            <w:r>
              <w:rPr>
                <w:rFonts w:hint="eastAsia" w:ascii="宋体" w:hAnsi="宋体" w:cs="宋体"/>
                <w:bCs/>
                <w:color w:val="auto"/>
                <w:kern w:val="2"/>
                <w:sz w:val="21"/>
                <w:szCs w:val="21"/>
                <w:highlight w:val="none"/>
                <w:lang w:val="en-US" w:eastAsia="zh-CN"/>
              </w:rPr>
              <w:t>含</w:t>
            </w:r>
            <w:r>
              <w:rPr>
                <w:rFonts w:hint="eastAsia" w:ascii="宋体" w:hAnsi="宋体" w:cs="宋体"/>
                <w:bCs/>
                <w:color w:val="auto"/>
                <w:kern w:val="2"/>
                <w:sz w:val="21"/>
                <w:szCs w:val="21"/>
                <w:highlight w:val="none"/>
                <w:lang w:val="zh-CN"/>
              </w:rPr>
              <w:t>）</w:t>
            </w:r>
            <w:r>
              <w:rPr>
                <w:rFonts w:hint="eastAsia" w:ascii="宋体" w:hAnsi="宋体" w:eastAsia="宋体" w:cs="宋体"/>
                <w:bCs/>
                <w:color w:val="auto"/>
                <w:kern w:val="2"/>
                <w:sz w:val="21"/>
                <w:szCs w:val="21"/>
                <w:highlight w:val="none"/>
                <w:lang w:val="zh-CN"/>
              </w:rPr>
              <w:t>内到现场，得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w:t>
            </w:r>
            <w:r>
              <w:rPr>
                <w:rFonts w:hint="eastAsia" w:ascii="宋体" w:hAnsi="宋体" w:cs="宋体"/>
                <w:bCs/>
                <w:color w:val="auto"/>
                <w:kern w:val="2"/>
                <w:sz w:val="21"/>
                <w:szCs w:val="21"/>
                <w:highlight w:val="none"/>
                <w:lang w:val="zh-CN"/>
              </w:rPr>
              <w:t>（</w:t>
            </w:r>
            <w:r>
              <w:rPr>
                <w:rFonts w:hint="eastAsia" w:ascii="宋体" w:hAnsi="宋体" w:cs="宋体"/>
                <w:bCs/>
                <w:color w:val="auto"/>
                <w:kern w:val="2"/>
                <w:sz w:val="21"/>
                <w:szCs w:val="21"/>
                <w:highlight w:val="none"/>
                <w:lang w:val="en-US" w:eastAsia="zh-CN"/>
              </w:rPr>
              <w:t>含</w:t>
            </w:r>
            <w:r>
              <w:rPr>
                <w:rFonts w:hint="eastAsia" w:ascii="宋体" w:hAnsi="宋体" w:cs="宋体"/>
                <w:bCs/>
                <w:color w:val="auto"/>
                <w:kern w:val="2"/>
                <w:sz w:val="21"/>
                <w:szCs w:val="21"/>
                <w:highlight w:val="none"/>
                <w:lang w:val="zh-CN"/>
              </w:rPr>
              <w:t>）</w:t>
            </w:r>
            <w:r>
              <w:rPr>
                <w:rFonts w:hint="eastAsia" w:ascii="宋体" w:hAnsi="宋体" w:eastAsia="宋体" w:cs="宋体"/>
                <w:bCs/>
                <w:color w:val="auto"/>
                <w:kern w:val="2"/>
                <w:sz w:val="21"/>
                <w:szCs w:val="21"/>
                <w:highlight w:val="none"/>
                <w:lang w:val="zh-CN"/>
              </w:rPr>
              <w:t>内到现场，得</w:t>
            </w:r>
            <w:r>
              <w:rPr>
                <w:rFonts w:hint="eastAsia" w:ascii="宋体" w:hAnsi="宋体" w:eastAsia="宋体" w:cs="宋体"/>
                <w:bCs/>
                <w:color w:val="auto"/>
                <w:kern w:val="2"/>
                <w:sz w:val="21"/>
                <w:szCs w:val="21"/>
                <w:highlight w:val="none"/>
                <w:lang w:val="zh-CN" w:eastAsia="zh-CN"/>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w:t>
            </w:r>
            <w:r>
              <w:rPr>
                <w:rFonts w:hint="eastAsia" w:ascii="宋体" w:hAnsi="宋体" w:cs="宋体"/>
                <w:bCs/>
                <w:color w:val="auto"/>
                <w:kern w:val="2"/>
                <w:sz w:val="21"/>
                <w:szCs w:val="21"/>
                <w:highlight w:val="none"/>
                <w:lang w:val="en-US" w:eastAsia="zh-CN"/>
              </w:rPr>
              <w:t>其他情况</w:t>
            </w:r>
            <w:r>
              <w:rPr>
                <w:rFonts w:hint="eastAsia" w:ascii="宋体" w:hAnsi="宋体" w:eastAsia="宋体" w:cs="宋体"/>
                <w:bCs/>
                <w:color w:val="auto"/>
                <w:kern w:val="2"/>
                <w:sz w:val="21"/>
                <w:szCs w:val="21"/>
                <w:highlight w:val="none"/>
                <w:lang w:val="zh-CN"/>
              </w:rPr>
              <w:t>，不得分。</w:t>
            </w:r>
          </w:p>
          <w:p>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kern w:val="2"/>
                <w:sz w:val="21"/>
                <w:szCs w:val="21"/>
                <w:highlight w:val="none"/>
                <w:lang w:val="zh-CN"/>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供货方案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根据投标人提供的供货方案</w:t>
            </w:r>
            <w:r>
              <w:rPr>
                <w:rFonts w:hint="eastAsia" w:ascii="宋体" w:hAnsi="宋体" w:eastAsia="宋体" w:cs="宋体"/>
                <w:bCs/>
                <w:color w:val="auto"/>
                <w:sz w:val="21"/>
                <w:szCs w:val="21"/>
                <w:highlight w:val="none"/>
                <w:lang w:val="zh-CN"/>
              </w:rPr>
              <w:t>（包括但不限于供货</w:t>
            </w:r>
            <w:r>
              <w:rPr>
                <w:rFonts w:hint="eastAsia" w:ascii="宋体" w:hAnsi="宋体" w:eastAsia="宋体" w:cs="宋体"/>
                <w:bCs/>
                <w:color w:val="auto"/>
                <w:sz w:val="21"/>
                <w:szCs w:val="21"/>
                <w:highlight w:val="none"/>
                <w:lang w:val="en-US" w:eastAsia="zh-CN"/>
              </w:rPr>
              <w:t>时间安排、进度计划、运输、安装调试</w:t>
            </w:r>
            <w:r>
              <w:rPr>
                <w:rFonts w:hint="eastAsia" w:ascii="宋体" w:hAnsi="宋体" w:eastAsia="宋体" w:cs="宋体"/>
                <w:bCs/>
                <w:color w:val="auto"/>
                <w:sz w:val="21"/>
                <w:szCs w:val="21"/>
                <w:highlight w:val="none"/>
                <w:lang w:val="zh-CN"/>
              </w:rPr>
              <w:t>等）</w:t>
            </w:r>
            <w:r>
              <w:rPr>
                <w:rFonts w:hint="eastAsia" w:ascii="宋体" w:eastAsia="宋体" w:cs="宋体"/>
                <w:color w:val="auto"/>
                <w:sz w:val="21"/>
                <w:szCs w:val="21"/>
                <w:highlight w:val="none"/>
              </w:rPr>
              <w:t>进行综合评审：</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供货方案科学完整、合理、可行，得15分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供货方案较完整、较合理、较可行，得10分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供货方案基本完整、基本合理、基本可行，得5分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供货方案简单，可行性差，得1分</w:t>
            </w:r>
            <w:r>
              <w:rPr>
                <w:rFonts w:hint="eastAsia" w:asci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质量保障措施</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根据投标人提供质量保障措施方案（包括但不限于质量目标、项目质量的控制）进行评审：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质量目标非常明确、项目质量的控制非常详细、检验手段非常科学，得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质量目标比较明确、项目质量的控制较为详细、检验手段比较科学，得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质量目标基本明确、项目质量的控制一般、检验手段一般，得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质量目标不够明确、项目质量的控制不够可行、检验手段一般，得1分；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产品使用培训方案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根据投标人提供的产品使用培训方案进行综合评审： </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方案科学合理完整，可操作性强，针对性强，得1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zh-CN" w:eastAsia="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方案科学较合理完整，可操作性较强，针对性较强，得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eastAsia="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方案基本完整，可操作性一般，针对性一般，得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eastAsia="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方案不完整，可操作性差，针对性差，得1分； </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根据售后服务方案、售后点技术力量</w:t>
            </w:r>
            <w:r>
              <w:rPr>
                <w:rFonts w:hint="eastAsia" w:ascii="宋体" w:eastAsia="宋体"/>
                <w:color w:val="auto"/>
                <w:sz w:val="21"/>
                <w:szCs w:val="21"/>
                <w:highlight w:val="none"/>
                <w:lang w:eastAsia="zh-CN"/>
              </w:rPr>
              <w:t>、</w:t>
            </w:r>
            <w:r>
              <w:rPr>
                <w:rFonts w:hint="eastAsia" w:ascii="宋体" w:eastAsia="宋体"/>
                <w:color w:val="auto"/>
                <w:sz w:val="21"/>
                <w:szCs w:val="21"/>
                <w:highlight w:val="none"/>
              </w:rPr>
              <w:t>出现紧急情况时的服务措施等进行</w:t>
            </w:r>
            <w:r>
              <w:rPr>
                <w:rFonts w:hint="eastAsia" w:ascii="宋体" w:eastAsia="宋体" w:cs="宋体"/>
                <w:color w:val="auto"/>
                <w:sz w:val="21"/>
                <w:szCs w:val="21"/>
                <w:highlight w:val="none"/>
              </w:rPr>
              <w:t>综合评审：</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科学完整、合理、可行，得</w:t>
            </w:r>
            <w:r>
              <w:rPr>
                <w:rFonts w:hint="eastAsia" w:ascii="宋体" w:eastAsia="宋体" w:cs="宋体"/>
                <w:color w:val="auto"/>
                <w:sz w:val="21"/>
                <w:szCs w:val="21"/>
                <w:highlight w:val="none"/>
                <w:lang w:val="en-US" w:eastAsia="zh-CN"/>
              </w:rPr>
              <w:t>15</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较完整、较合理、较可</w:t>
            </w:r>
            <w:bookmarkStart w:id="385" w:name="_GoBack"/>
            <w:bookmarkEnd w:id="385"/>
            <w:r>
              <w:rPr>
                <w:rFonts w:hint="eastAsia" w:ascii="宋体" w:eastAsia="宋体" w:cs="宋体"/>
                <w:color w:val="auto"/>
                <w:sz w:val="21"/>
                <w:szCs w:val="21"/>
                <w:highlight w:val="none"/>
              </w:rPr>
              <w:t>行，得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基本完整、基本合理、基本可行，得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简单，可行性差，得1分</w:t>
            </w:r>
            <w:r>
              <w:rPr>
                <w:rFonts w:hint="eastAsia" w:asci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投标报价得分=(评标基准价／投标报价)×价格权值</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9746"/>
      <w:bookmarkStart w:id="22" w:name="_Toc11105"/>
      <w:bookmarkStart w:id="23" w:name="_Toc309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18488"/>
      <w:bookmarkStart w:id="25" w:name="_Toc22847"/>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3400"/>
      <w:bookmarkStart w:id="28" w:name="_Toc21002"/>
      <w:bookmarkStart w:id="29" w:name="_Toc16848"/>
      <w:r>
        <w:rPr>
          <w:rFonts w:hint="eastAsia" w:ascii="宋体" w:hAnsi="宋体"/>
          <w:color w:val="auto"/>
          <w:sz w:val="21"/>
          <w:szCs w:val="21"/>
          <w:highlight w:val="none"/>
        </w:rPr>
        <w:t>2.</w:t>
      </w:r>
      <w:bookmarkStart w:id="30" w:name="_Toc298847174"/>
      <w:bookmarkStart w:id="31" w:name="_Toc303084246"/>
      <w:bookmarkStart w:id="32" w:name="_Toc382049092"/>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9094"/>
      <w:r>
        <w:rPr>
          <w:rFonts w:hint="eastAsia" w:ascii="宋体" w:hAnsi="宋体"/>
          <w:color w:val="auto"/>
          <w:sz w:val="21"/>
          <w:szCs w:val="21"/>
          <w:highlight w:val="none"/>
        </w:rPr>
        <w:t>5.知识产权</w:t>
      </w:r>
      <w:bookmarkEnd w:id="40"/>
      <w:bookmarkEnd w:id="41"/>
      <w:bookmarkEnd w:id="42"/>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8432"/>
      <w:bookmarkStart w:id="44" w:name="_Toc21930"/>
      <w:bookmarkStart w:id="45" w:name="_Toc31885"/>
      <w:r>
        <w:rPr>
          <w:rFonts w:hint="eastAsia" w:ascii="宋体" w:hAnsi="宋体"/>
          <w:color w:val="auto"/>
          <w:sz w:val="21"/>
          <w:szCs w:val="21"/>
          <w:highlight w:val="none"/>
        </w:rPr>
        <w:t>6.关于联合体投标</w:t>
      </w:r>
      <w:bookmarkEnd w:id="43"/>
      <w:bookmarkEnd w:id="44"/>
      <w:bookmarkEnd w:id="4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6571"/>
      <w:bookmarkStart w:id="47" w:name="_Toc3233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3494"/>
      <w:bookmarkStart w:id="54" w:name="_Toc1423"/>
      <w:bookmarkStart w:id="55" w:name="_Toc21771"/>
      <w:r>
        <w:rPr>
          <w:rFonts w:hint="eastAsia" w:ascii="宋体" w:hAnsi="宋体"/>
          <w:color w:val="auto"/>
          <w:sz w:val="21"/>
          <w:szCs w:val="21"/>
          <w:highlight w:val="none"/>
        </w:rPr>
        <w:t>8.招标文件的组成</w:t>
      </w:r>
      <w:bookmarkEnd w:id="53"/>
      <w:bookmarkEnd w:id="54"/>
      <w:bookmarkEnd w:id="5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20623"/>
      <w:bookmarkStart w:id="63" w:name="_Toc7434"/>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12145"/>
      <w:bookmarkStart w:id="66" w:name="_Toc28866"/>
      <w:bookmarkStart w:id="67" w:name="_Toc382049103"/>
      <w:bookmarkStart w:id="68" w:name="_Toc303084256"/>
      <w:bookmarkStart w:id="69" w:name="_Toc7728"/>
      <w:bookmarkStart w:id="70" w:name="_Toc307934854"/>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882"/>
      <w:bookmarkStart w:id="73" w:name="_Toc30189"/>
      <w:bookmarkStart w:id="74" w:name="_Toc21747"/>
      <w:r>
        <w:rPr>
          <w:rFonts w:hint="eastAsia" w:ascii="宋体" w:hAnsi="宋体"/>
          <w:color w:val="auto"/>
          <w:sz w:val="21"/>
          <w:szCs w:val="21"/>
          <w:highlight w:val="none"/>
        </w:rPr>
        <w:t>12.投标文件编制</w:t>
      </w:r>
      <w:bookmarkEnd w:id="72"/>
      <w:bookmarkEnd w:id="73"/>
      <w:bookmarkEnd w:id="74"/>
    </w:p>
    <w:p>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7847"/>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8"/>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12456"/>
      <w:bookmarkStart w:id="88" w:name="_Toc25817"/>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1124"/>
      <w:bookmarkStart w:id="92" w:name="_Toc24109"/>
      <w:bookmarkStart w:id="93" w:name="_Toc3200"/>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29590"/>
      <w:bookmarkStart w:id="95" w:name="_Toc24997"/>
      <w:bookmarkStart w:id="96" w:name="_Toc473"/>
      <w:bookmarkStart w:id="97" w:name="_Toc303084264"/>
      <w:bookmarkStart w:id="98" w:name="_Toc382049111"/>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9649"/>
      <w:bookmarkStart w:id="104" w:name="_Toc8526"/>
      <w:bookmarkStart w:id="105" w:name="_Toc13212"/>
      <w:r>
        <w:rPr>
          <w:rFonts w:hint="eastAsia" w:ascii="宋体" w:hAnsi="宋体"/>
          <w:color w:val="auto"/>
          <w:sz w:val="21"/>
          <w:szCs w:val="21"/>
          <w:highlight w:val="none"/>
        </w:rPr>
        <w:t>19.投标样品（如需提交）</w:t>
      </w:r>
      <w:bookmarkEnd w:id="103"/>
      <w:bookmarkEnd w:id="104"/>
      <w:bookmarkEnd w:id="105"/>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23477"/>
      <w:bookmarkStart w:id="107" w:name="_Toc7689"/>
      <w:bookmarkStart w:id="108" w:name="_Toc303084265"/>
      <w:bookmarkStart w:id="109" w:name="_Toc9777"/>
      <w:bookmarkStart w:id="110" w:name="_Toc5900"/>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29574"/>
      <w:bookmarkStart w:id="116" w:name="_Toc5049"/>
      <w:bookmarkStart w:id="117" w:name="_Toc23466"/>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8458"/>
      <w:bookmarkStart w:id="119" w:name="_Toc24251"/>
      <w:bookmarkStart w:id="120" w:name="_Toc27700"/>
      <w:r>
        <w:rPr>
          <w:rFonts w:hint="eastAsia" w:ascii="宋体" w:hAnsi="宋体"/>
          <w:color w:val="auto"/>
          <w:sz w:val="21"/>
          <w:szCs w:val="21"/>
          <w:highlight w:val="none"/>
        </w:rPr>
        <w:t>22.开标</w:t>
      </w:r>
      <w:bookmarkEnd w:id="118"/>
      <w:bookmarkEnd w:id="119"/>
      <w:bookmarkEnd w:id="120"/>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974"/>
      <w:bookmarkStart w:id="122" w:name="_Toc4921"/>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15231"/>
      <w:bookmarkStart w:id="125" w:name="_Toc26402"/>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3762"/>
      <w:bookmarkStart w:id="128" w:name="_Toc16745"/>
      <w:bookmarkStart w:id="129" w:name="_Toc18436"/>
      <w:r>
        <w:rPr>
          <w:rFonts w:hint="eastAsia" w:ascii="宋体" w:hAnsi="宋体"/>
          <w:color w:val="auto"/>
          <w:sz w:val="21"/>
          <w:szCs w:val="21"/>
          <w:highlight w:val="none"/>
        </w:rPr>
        <w:t>25.投标文件的初审</w:t>
      </w:r>
      <w:bookmarkEnd w:id="127"/>
      <w:bookmarkEnd w:id="128"/>
      <w:bookmarkEnd w:id="129"/>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17683"/>
      <w:bookmarkStart w:id="134" w:name="_Toc22192"/>
      <w:bookmarkStart w:id="135" w:name="_Toc7593"/>
      <w:r>
        <w:rPr>
          <w:rFonts w:hint="eastAsia" w:ascii="宋体" w:hAnsi="宋体"/>
          <w:color w:val="auto"/>
          <w:sz w:val="21"/>
          <w:szCs w:val="21"/>
          <w:highlight w:val="none"/>
        </w:rPr>
        <w:t>27.优惠政策</w:t>
      </w:r>
      <w:bookmarkEnd w:id="133"/>
      <w:bookmarkEnd w:id="134"/>
      <w:bookmarkEnd w:id="13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12115"/>
      <w:bookmarkStart w:id="138" w:name="_Toc382049120"/>
      <w:bookmarkStart w:id="139" w:name="_Toc20328"/>
      <w:bookmarkStart w:id="140" w:name="_Toc31141"/>
      <w:bookmarkStart w:id="141" w:name="_Toc2259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6696"/>
      <w:bookmarkStart w:id="146" w:name="_Toc27817"/>
      <w:bookmarkStart w:id="147" w:name="_Toc508284011"/>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508284013"/>
      <w:bookmarkStart w:id="150" w:name="_Toc23136"/>
      <w:bookmarkStart w:id="151" w:name="_Toc29283"/>
      <w:bookmarkStart w:id="152" w:name="_Toc12440"/>
      <w:r>
        <w:rPr>
          <w:rFonts w:hint="eastAsia" w:ascii="宋体" w:hAnsi="宋体"/>
          <w:color w:val="auto"/>
          <w:sz w:val="21"/>
          <w:szCs w:val="21"/>
          <w:highlight w:val="none"/>
        </w:rPr>
        <w:t>30.发布采购结果</w:t>
      </w:r>
      <w:bookmarkEnd w:id="149"/>
      <w:bookmarkEnd w:id="150"/>
      <w:bookmarkEnd w:id="151"/>
      <w:bookmarkEnd w:id="15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7405"/>
      <w:bookmarkStart w:id="157" w:name="_Toc25756"/>
      <w:bookmarkStart w:id="158" w:name="_Toc382049124"/>
      <w:bookmarkStart w:id="159" w:name="_Toc303084277"/>
      <w:bookmarkStart w:id="160" w:name="_Toc29009"/>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2767"/>
      <w:bookmarkStart w:id="169" w:name="_Toc11264"/>
      <w:bookmarkStart w:id="170" w:name="_Toc8234"/>
      <w:r>
        <w:rPr>
          <w:rFonts w:hint="eastAsia" w:ascii="宋体" w:hAnsi="宋体"/>
          <w:color w:val="auto"/>
          <w:sz w:val="21"/>
          <w:szCs w:val="21"/>
          <w:highlight w:val="none"/>
        </w:rPr>
        <w:t>34.质疑</w:t>
      </w:r>
      <w:bookmarkEnd w:id="168"/>
      <w:bookmarkEnd w:id="169"/>
      <w:bookmarkEnd w:id="170"/>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24383"/>
      <w:bookmarkStart w:id="172" w:name="_Toc8919"/>
      <w:bookmarkStart w:id="173" w:name="_Toc5690"/>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6548"/>
      <w:bookmarkStart w:id="175" w:name="_Toc21187"/>
      <w:bookmarkStart w:id="176" w:name="_Toc10082"/>
      <w:r>
        <w:rPr>
          <w:rFonts w:hint="eastAsia" w:ascii="宋体" w:hAnsi="宋体"/>
          <w:color w:val="auto"/>
          <w:sz w:val="21"/>
          <w:szCs w:val="21"/>
          <w:highlight w:val="none"/>
        </w:rPr>
        <w:t>35.招标文件的解释权</w:t>
      </w:r>
      <w:bookmarkEnd w:id="174"/>
      <w:bookmarkEnd w:id="175"/>
      <w:bookmarkEnd w:id="176"/>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382"/>
      <w:bookmarkStart w:id="178" w:name="_Toc7011"/>
      <w:bookmarkStart w:id="179" w:name="_Toc31854"/>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8"/>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75</w:t>
            </w:r>
            <w:r>
              <w:rPr>
                <w:rFonts w:hint="eastAsia" w:ascii="宋体" w:hAnsi="宋体" w:eastAsia="宋体" w:cs="宋体"/>
                <w:bCs/>
                <w:color w:val="auto"/>
                <w:kern w:val="44"/>
                <w:sz w:val="21"/>
                <w:szCs w:val="21"/>
                <w:highlight w:val="none"/>
              </w:rPr>
              <w:t>天</w:t>
            </w:r>
            <w:r>
              <w:rPr>
                <w:rFonts w:hint="eastAsia" w:ascii="宋体" w:hAnsi="宋体" w:eastAsia="宋体" w:cs="宋体"/>
                <w:bCs/>
                <w:color w:val="auto"/>
                <w:kern w:val="44"/>
                <w:sz w:val="21"/>
                <w:szCs w:val="21"/>
                <w:highlight w:val="none"/>
                <w:lang w:val="en-US" w:eastAsia="zh-CN"/>
              </w:rPr>
              <w:t>内完成供货、安装、调试</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质保期及售后服务要求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质保期</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验收合格证书之日起</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如项目采购设备厂家有明确质保期限的，以设备厂家明确的质保期限为准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，质保期内中标人必须进行质量“三包”，对质保期内中标人对所供货物实行包修、包换、包退、包维护保养，期满后可同时提供终身有偿维修保养服务。</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质保期内，如设备或零部件因非人为因素出现故障而造成短期停用时，则质保期和免费维修期相应顺延。如停用时间累计超过60天则质保期重新计算。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widowControl w:val="0"/>
              <w:autoSpaceDE w:val="0"/>
              <w:autoSpaceDN w:val="0"/>
              <w:adjustRightInd/>
              <w:snapToGrid/>
              <w:spacing w:after="0" w:line="288" w:lineRule="auto"/>
              <w:ind w:firstLine="420" w:firstLineChars="200"/>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1</w:t>
            </w:r>
            <w:r>
              <w:rPr>
                <w:rFonts w:hint="eastAsia" w:ascii="宋体" w:hAnsi="宋体" w:eastAsia="宋体" w:cs="宋体"/>
                <w:color w:val="auto"/>
                <w:sz w:val="21"/>
                <w:szCs w:val="21"/>
                <w:highlight w:val="none"/>
                <w:lang w:val="zh-CN" w:bidi="zh-CN"/>
              </w:rPr>
              <w:t>）签订合同后，支付合同总价的</w:t>
            </w:r>
            <w:r>
              <w:rPr>
                <w:rFonts w:hint="eastAsia" w:ascii="宋体" w:hAnsi="宋体" w:cs="宋体"/>
                <w:color w:val="auto"/>
                <w:sz w:val="21"/>
                <w:szCs w:val="21"/>
                <w:highlight w:val="none"/>
                <w:lang w:val="en-US" w:bidi="zh-CN"/>
              </w:rPr>
              <w:t>5</w:t>
            </w:r>
            <w:r>
              <w:rPr>
                <w:rFonts w:hint="eastAsia" w:ascii="宋体" w:hAnsi="宋体" w:eastAsia="宋体" w:cs="宋体"/>
                <w:color w:val="auto"/>
                <w:sz w:val="21"/>
                <w:szCs w:val="21"/>
                <w:highlight w:val="none"/>
                <w:lang w:val="zh-CN" w:bidi="zh-CN"/>
              </w:rPr>
              <w:t>0%；</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zh-CN" w:bidi="zh-CN"/>
              </w:rPr>
              <w:t>（</w:t>
            </w:r>
            <w:r>
              <w:rPr>
                <w:rFonts w:hint="eastAsia" w:ascii="宋体" w:hAnsi="宋体" w:cs="宋体"/>
                <w:color w:val="auto"/>
                <w:sz w:val="21"/>
                <w:szCs w:val="21"/>
                <w:highlight w:val="none"/>
                <w:lang w:val="en-US" w:bidi="zh-CN"/>
              </w:rPr>
              <w:t>2</w:t>
            </w: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供货</w:t>
            </w:r>
            <w:r>
              <w:rPr>
                <w:rFonts w:hint="eastAsia" w:ascii="宋体" w:hAnsi="宋体" w:eastAsia="宋体" w:cs="宋体"/>
                <w:color w:val="auto"/>
                <w:sz w:val="21"/>
                <w:szCs w:val="21"/>
                <w:highlight w:val="none"/>
                <w:lang w:val="zh-CN" w:bidi="zh-CN"/>
              </w:rPr>
              <w:t>安装</w:t>
            </w:r>
            <w:r>
              <w:rPr>
                <w:rFonts w:hint="eastAsia" w:ascii="宋体" w:hAnsi="宋体" w:eastAsia="宋体" w:cs="宋体"/>
                <w:color w:val="auto"/>
                <w:sz w:val="21"/>
                <w:szCs w:val="21"/>
                <w:highlight w:val="none"/>
                <w:lang w:bidi="zh-CN"/>
              </w:rPr>
              <w:t>及</w:t>
            </w:r>
            <w:r>
              <w:rPr>
                <w:rFonts w:hint="eastAsia" w:ascii="宋体" w:hAnsi="宋体" w:eastAsia="宋体" w:cs="宋体"/>
                <w:color w:val="auto"/>
                <w:sz w:val="21"/>
                <w:szCs w:val="21"/>
                <w:highlight w:val="none"/>
                <w:lang w:val="zh-CN" w:bidi="zh-CN"/>
              </w:rPr>
              <w:t>调试结束，提交全部报告材料，并验收合格后，支付</w:t>
            </w:r>
            <w:r>
              <w:rPr>
                <w:rFonts w:hint="eastAsia" w:ascii="宋体" w:hAnsi="宋体" w:cs="宋体"/>
                <w:color w:val="auto"/>
                <w:sz w:val="21"/>
                <w:szCs w:val="21"/>
                <w:highlight w:val="none"/>
                <w:lang w:val="en-US" w:bidi="zh-CN"/>
              </w:rPr>
              <w:t>至</w:t>
            </w:r>
            <w:r>
              <w:rPr>
                <w:rFonts w:hint="eastAsia" w:ascii="宋体" w:hAnsi="宋体" w:eastAsia="宋体" w:cs="宋体"/>
                <w:color w:val="auto"/>
                <w:sz w:val="21"/>
                <w:szCs w:val="21"/>
                <w:highlight w:val="none"/>
                <w:lang w:val="zh-CN" w:bidi="zh-CN"/>
              </w:rPr>
              <w:t>合同总价的</w:t>
            </w:r>
            <w:r>
              <w:rPr>
                <w:rFonts w:hint="eastAsia" w:ascii="宋体" w:hAnsi="宋体" w:cs="宋体"/>
                <w:color w:val="auto"/>
                <w:sz w:val="21"/>
                <w:szCs w:val="21"/>
                <w:highlight w:val="none"/>
                <w:lang w:val="en-US" w:bidi="zh-CN"/>
              </w:rPr>
              <w:t>95</w:t>
            </w:r>
            <w:r>
              <w:rPr>
                <w:rFonts w:hint="eastAsia" w:ascii="宋体" w:hAnsi="宋体" w:eastAsia="宋体" w:cs="宋体"/>
                <w:color w:val="auto"/>
                <w:sz w:val="21"/>
                <w:szCs w:val="21"/>
                <w:highlight w:val="none"/>
                <w:lang w:val="zh-CN" w:bidi="zh-CN"/>
              </w:rPr>
              <w:t>%</w:t>
            </w:r>
            <w:r>
              <w:rPr>
                <w:rFonts w:hint="eastAsia" w:ascii="宋体" w:hAnsi="宋体" w:cs="宋体"/>
                <w:color w:val="auto"/>
                <w:sz w:val="21"/>
                <w:szCs w:val="21"/>
                <w:highlight w:val="none"/>
                <w:lang w:val="zh-CN" w:bidi="zh-CN"/>
              </w:rPr>
              <w:t>，</w:t>
            </w:r>
            <w:r>
              <w:rPr>
                <w:rFonts w:hint="eastAsia" w:ascii="宋体" w:hAnsi="宋体" w:cs="宋体"/>
                <w:color w:val="auto"/>
                <w:sz w:val="21"/>
                <w:szCs w:val="21"/>
                <w:highlight w:val="none"/>
                <w:lang w:val="en-US" w:bidi="zh-CN"/>
              </w:rPr>
              <w:t>剩余合同总价的5%待质保期满后支付。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pStyle w:val="1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4"/>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pPr>
        <w:pStyle w:val="5"/>
        <w:bidi w:val="0"/>
        <w:rPr>
          <w:rFonts w:hint="eastAsia" w:eastAsia="宋体"/>
          <w:color w:val="auto"/>
          <w:highlight w:val="none"/>
          <w:lang w:val="en-US" w:eastAsia="zh-CN"/>
        </w:rPr>
      </w:pPr>
      <w:bookmarkStart w:id="182" w:name="_Toc14462"/>
      <w:bookmarkStart w:id="183" w:name="_Toc13112"/>
      <w:bookmarkStart w:id="184" w:name="_Toc31278"/>
      <w:bookmarkStart w:id="185" w:name="_Toc24679"/>
      <w:r>
        <w:rPr>
          <w:rFonts w:hint="eastAsia" w:eastAsia="宋体"/>
          <w:color w:val="auto"/>
          <w:highlight w:val="none"/>
          <w:lang w:val="en-US" w:eastAsia="zh-CN"/>
        </w:rPr>
        <w:t>一、项目基本要求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pPr>
        <w:pStyle w:val="10"/>
        <w:spacing w:before="0" w:after="0" w:line="360" w:lineRule="auto"/>
        <w:ind w:left="0" w:firstLine="420" w:firstLineChars="200"/>
        <w:rPr>
          <w:rFonts w:hint="default" w:eastAsia="宋体"/>
          <w:color w:val="auto"/>
          <w:sz w:val="21"/>
          <w:szCs w:val="21"/>
          <w:highlight w:val="none"/>
          <w:lang w:val="en-US" w:eastAsia="zh-CN"/>
        </w:rPr>
      </w:pPr>
      <w:r>
        <w:rPr>
          <w:rFonts w:hint="eastAsia"/>
          <w:color w:val="auto"/>
          <w:sz w:val="21"/>
          <w:szCs w:val="21"/>
          <w:highlight w:val="none"/>
          <w:lang w:val="en-US" w:eastAsia="zh-CN"/>
        </w:rPr>
        <w:t>6、投标人所采用的材料应符合</w:t>
      </w:r>
      <w:r>
        <w:rPr>
          <w:rFonts w:hint="eastAsia" w:ascii="宋体" w:hAnsi="宋体" w:eastAsia="宋体" w:cs="宋体"/>
          <w:color w:val="auto"/>
          <w:sz w:val="21"/>
          <w:szCs w:val="21"/>
          <w:highlight w:val="none"/>
        </w:rPr>
        <w:t>国家</w:t>
      </w:r>
      <w:r>
        <w:rPr>
          <w:rFonts w:hint="eastAsia" w:cs="宋体"/>
          <w:color w:val="auto"/>
          <w:sz w:val="21"/>
          <w:szCs w:val="21"/>
          <w:highlight w:val="none"/>
          <w:lang w:val="en-US" w:eastAsia="zh-CN"/>
        </w:rPr>
        <w:t>标准及环保要求。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、投标</w:t>
      </w:r>
      <w:r>
        <w:rPr>
          <w:rFonts w:hint="eastAsia"/>
          <w:color w:val="auto"/>
          <w:sz w:val="21"/>
          <w:szCs w:val="21"/>
          <w:highlight w:val="none"/>
          <w:lang w:val="en-US" w:eastAsia="zh-CN"/>
        </w:rPr>
        <w:t>人</w:t>
      </w:r>
      <w:r>
        <w:rPr>
          <w:rFonts w:hint="eastAsia"/>
          <w:color w:val="auto"/>
          <w:sz w:val="21"/>
          <w:szCs w:val="21"/>
          <w:highlight w:val="none"/>
          <w:lang w:val="en-US"/>
        </w:rPr>
        <w:t xml:space="preserve">须负责投标货物的运输、验收、试运行和售后服务、培训等。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、本项目为一个整体，投标人必须对本项目整体进行投标，不能只对其中一部分货物进行投标，且要提供详细的技术资料。</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10</w:t>
      </w:r>
      <w:r>
        <w:rPr>
          <w:rFonts w:hint="eastAsia"/>
          <w:color w:val="auto"/>
          <w:sz w:val="21"/>
          <w:szCs w:val="21"/>
          <w:highlight w:val="none"/>
          <w:lang w:val="en-US"/>
        </w:rPr>
        <w:t>、投标人提供的产品必须符合招标文件要求的技术参数及功能要求。</w:t>
      </w:r>
    </w:p>
    <w:p>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eastAsia="zh-CN"/>
        </w:rPr>
        <w:t>11</w:t>
      </w:r>
      <w:r>
        <w:rPr>
          <w:rFonts w:hint="eastAsia"/>
          <w:color w:val="auto"/>
          <w:sz w:val="21"/>
          <w:szCs w:val="21"/>
          <w:highlight w:val="none"/>
          <w:lang w:val="en-US"/>
        </w:rPr>
        <w:t>、本项目主要标的的名称（即核心产品）为：</w:t>
      </w:r>
      <w:r>
        <w:rPr>
          <w:rFonts w:hint="eastAsia"/>
          <w:color w:val="auto"/>
          <w:sz w:val="21"/>
          <w:szCs w:val="21"/>
          <w:highlight w:val="none"/>
          <w:lang w:val="en-US" w:eastAsia="zh-CN"/>
        </w:rPr>
        <w:t>显示屏2</w:t>
      </w:r>
      <w:r>
        <w:rPr>
          <w:rFonts w:hint="eastAsia"/>
          <w:color w:val="auto"/>
          <w:sz w:val="21"/>
          <w:szCs w:val="21"/>
          <w:highlight w:val="none"/>
          <w:lang w:val="en-US"/>
        </w:rPr>
        <w:t>。</w:t>
      </w:r>
    </w:p>
    <w:p>
      <w:pPr>
        <w:pStyle w:val="10"/>
        <w:spacing w:before="0" w:after="0" w:line="360" w:lineRule="auto"/>
        <w:ind w:left="0" w:firstLine="420" w:firstLineChars="200"/>
        <w:rPr>
          <w:rFonts w:hint="eastAsia"/>
          <w:color w:val="auto"/>
          <w:sz w:val="21"/>
          <w:szCs w:val="21"/>
          <w:highlight w:val="none"/>
          <w:lang w:val="en-US" w:eastAsia="zh-CN"/>
        </w:rPr>
      </w:pPr>
      <w:r>
        <w:rPr>
          <w:rFonts w:hint="eastAsia"/>
          <w:color w:val="auto"/>
          <w:sz w:val="21"/>
          <w:szCs w:val="21"/>
          <w:highlight w:val="none"/>
          <w:lang w:val="en-US" w:eastAsia="zh-CN"/>
        </w:rPr>
        <w:t>12、项目服务期间，中标人如不具备项目实施过程中的施工类资质，可与采购人协商进行专业分包，经采购人同意后委托符合资质的企业承接本项目的非主体、非关键性工作，费用由中标人自行解决。</w:t>
      </w:r>
    </w:p>
    <w:p>
      <w:pPr>
        <w:rPr>
          <w:rFonts w:hint="eastAsia"/>
          <w:color w:val="auto"/>
          <w:highlight w:val="none"/>
          <w:lang w:val="en-US"/>
        </w:rPr>
      </w:pPr>
    </w:p>
    <w:p>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二</w:t>
      </w:r>
      <w:r>
        <w:rPr>
          <w:rFonts w:hint="eastAsia" w:eastAsia="宋体"/>
          <w:color w:val="auto"/>
          <w:highlight w:val="none"/>
          <w:lang w:val="en-US" w:eastAsia="zh-CN"/>
        </w:rPr>
        <w:t>、项目清单</w:t>
      </w:r>
    </w:p>
    <w:p>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eastAsia="宋体"/>
          <w:color w:val="auto"/>
          <w:highlight w:val="none"/>
          <w:lang w:val="en-US" w:eastAsia="zh-CN"/>
        </w:rPr>
        <w:t>1、安装清单</w:t>
      </w:r>
    </w:p>
    <w:tbl>
      <w:tblPr>
        <w:tblStyle w:val="2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7"/>
        <w:gridCol w:w="966"/>
        <w:gridCol w:w="5501"/>
        <w:gridCol w:w="459"/>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空调系统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风机盘管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2.规格:风量(CMH)：1680，制冷量(KW)：11.2，制热量(KW)：12.5，额定输入功率(KW)：0.241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3.安装形式:吊装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4.减振器、支架形式、材质:4个橡胶减振器,吊架、型钢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5.其他:支架制作安装，除锈刷面漆两遍、防锈漆两遍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风机盘管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2.规格:风量(CMH)：2130，制冷量(KW)：14.0，制热量(KW)：16.0，额定输入功率(KW)：0.291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3.安装形式:吊装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4.减振器、支架形式、材质:4个橡胶减振器,吊架、型钢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5.其他:支架制作安装，除锈刷面漆两遍、防锈漆两遍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9"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风机盘管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2.规格:风量(CMH)：900，制冷量(KW)：5.6，制热量(KW)：6.3，额定输入功率(KW)：0.105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3.安装形式:吊装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4.减振器、支架形式、材质:4个橡胶减振器,吊架、型钢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5.其他:支架制作安装，除锈刷面漆两遍、防锈漆两遍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风机盘管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2.规格:风量(CMH)：1140，制冷量(KW)：7.1，制热量(KW)：8.0，额定输入功率(KW)：0.162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3.安装形式:吊装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4.减振器、支架形式、材质:4个橡胶减振器,吊架、型钢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5.其他:支架制作安装，除锈刷面漆两遍、防锈漆两遍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风机盘管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2.规格:风量(CMH)：1680，制冷量(KW)：8.0，制热量(KW)：9.0，额定输入功率(KW)：0.241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3.安装形式:吊装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4.减振器、支架形式、材质:4个橡胶减振器,吊架、型钢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5.其他:支架制作安装，除锈刷面漆两遍、防锈漆两遍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风机盘管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2.规格:风量(CMH)：1680，制冷量(KW)：9.0，制热量(KW)：10.0，额定输入功率(KW)：0.241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3.安装形式:吊装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4.减振器、支架形式、材质:4个橡胶减振器,吊架、型钢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5.其他:支架制作安装，除锈刷面漆两遍、防锈漆两遍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4"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空调器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1.名称:双面出风天花机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2.规格:风量(CMH)：660，制冷量(KW)：2.8，制热量(KW)：3.3，额定输入功率(KW)：0.02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3.安装形式:吊装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风扇</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1.名称:6寸天花换气扇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2.规格:风量:300CMH、功率:24W/220V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2.规格:1500*200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2.规格:1800*200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2.规格:800*200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2.规格:1000*200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2.规格:1200*200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2.规格:600*200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镀锌钢板风管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1.名称:镀锌钢板通风管道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2.材质:镀锌钢板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3.形状:矩形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4.规格:450＜大边长≤630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5.板材厚度:0.6mm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6.管件、法兰等附件及支架设计要求:法兰及支架采用型钢并除锈、刷防锈油漆2遍,面漆2遍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7.接口形式:咬口</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镀锌钢板风管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1.名称:镀锌钢板通风管道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2.材质:镀锌钢板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3.形状:矩形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4.规格:630＜大边长≤1000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5.板材厚度:0.75mm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6.管件、法兰等附件及支架设计要求:法兰及支架采用型钢并除锈、刷防锈油漆2遍,面漆2遍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7.接口形式:咬口</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镀锌钢板风管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1.名称:镀锌钢板通风管道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2.材质:镀锌钢板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3.形状:矩形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4.规格:1000＜大边长≤2000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5.板材厚度:1.0mm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6.管件、法兰等附件及支架设计要求:法兰及支架采用型钢并除锈、刷防锈油漆2遍,面漆2遍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7.接口形式:咬口</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柔性接口</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1.名称:柔性接口(一般风管)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2.规格:200mm长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3.材质:绿色维纶防火帆布、氧指数不小于35,燃烧后碳化,不液滴,厚度不小于0.4mm,常温下伸缩不小于10000次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橡塑发泡管套保温板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1.名称:风管保温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2.绝热材料品种:难燃型橡塑发泡保温材料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167.33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2.介质:冷凝水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3.材质、规格:PVC塑料管、DN32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4.连接形式:粘接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5.管道绝热:难燃B1级橡塑保温材料 20mm厚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φ6.35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20mm厚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φ9.53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20mm厚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φ12.7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20mm厚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φ15.88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20mm厚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φ19.05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20mm厚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φ22.23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25mm厚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φ25.4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25mm厚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φ28.58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25mm厚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φ31.75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25mm厚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2.输送介质:冷媒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3.材质:去磷无缝紫铜管 φ41.28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4.连接方式:螺纹连接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5.压力试验及吹、洗设计要求:空气吹扫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6.管道绝热:难燃B1级橡塑保温材料 30mm厚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分歧器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1.类型:分歧器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2.规格、压力等级:DN20以内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分歧器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1.类型:分歧器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2.规格、压力等级:DN30以内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分歧器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1.类型:分歧器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2.规格、压力等级:DN40以内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管道支架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1.材质:管道支吊架制作、安装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金属结构刷油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1.除锈级别:一般钢结构 轻锈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2.涂刷遍数、漆膜厚度:刷防锈漆二遍，调和漆二遍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1.名称、类型:穿楼板套管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2.材质:塑料管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3.规格:φ110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空调水系统调试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1.系统形式:空调水系统调试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通风检测、调试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1.通风检测、调试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【空调系统】分部小计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电气系统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配电箱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1.名称:配电箱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2.编号:3F-AL</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配电箱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1.名称:配电箱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2.编号:3F-KTAP</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1.名称:金属线槽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2.规格:100*100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1.名称:金属线槽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2.规格:200*100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铁构件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1.名称:铁构件制作、安装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金属结构刷油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1.除锈级别:一般钢结构 轻锈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2.涂刷遍数、漆膜厚度:刷防锈漆二遍，调和漆二遍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1.名称:镀锌电线管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2.规格:JDG20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3.配置形式:暗敷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1.名称:镀锌电线管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2.规格:JDG25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3.配置形式:暗敷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电力电缆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1.名称:电力电缆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2.规格:ZC-YJV-3*2.5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4.敷设方式、部位:综合考虑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5.电压等级(kV):1kV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电力电缆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1.名称:电力电缆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2.规格:ZC-YJV-5*10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4.敷设方式、部位:综合考虑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5.电压等级(kV):1kV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电力电缆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1.名称:电力电缆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2.规格:ZC-YJV-3*35+2*16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4.敷设方式、部位:综合考虑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5.电压等级(kV):1kV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电力电缆头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1.名称:电力电缆头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2.规格:35mm2以下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3.材质、类型:铜芯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4.电压等级(kV):1KV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3.规格:ZC-BVR-2.5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4.配线部位:综合敷设</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3.规格:ZC-BVR-4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4.配线部位:综合敷设</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装饰灯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1.名称:射灯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2.安装形式:吸顶式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装饰灯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1.名称:线型灯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装饰灯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1.名称:LED灯带</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1.名称:单联单控暗开关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2.规格:220V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1.名称:双联单控暗开关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2.规格:220V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1.名称:三联单控暗开关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2.规格:220V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1.名称:四联单控暗开关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2.规格:220V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1.名称:空调温控面板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2.规格:220V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插座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1.名称:单相五孔插座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2.规格:220V 10A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接线盒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1.名称:开关(插座)盒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接线盒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1.名称:接线盒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凿(压)槽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1.名称:凿(压)槽及修补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2.规格:70mm*70mm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3.填充(恢复)方式:综合考虑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防火堵洞</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1.名称:防火堵洞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2.部位:综合考虑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【电气系统】分部小计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应急照明系统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1.名称:镀锌电线管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2.规格:JDG20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3.配置形式:暗敷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2.配线形式:综合考虑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3.规格:WDZN-BYJ-2.5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4.配线部位:综合敷设</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装饰灯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1.名称:疏散指示灯-安全出口灯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2.规格:5W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装饰灯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1.名称:疏散指示灯-单向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2.规格:5W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装饰灯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1.名称:疏散指示灯-双向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2.规格:5W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装饰灯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1.名称:应急双头灯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2.规格:2*3W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接线盒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1.名称:接线盒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凿(压)槽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1.名称:凿(压)槽及修补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2.规格:70mm*70mm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3.填充(恢复)方式:综合考虑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【应急照明系统】分部小计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安装显示屏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3"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显示屏</w:t>
            </w:r>
            <w:r>
              <w:rPr>
                <w:rFonts w:hint="eastAsia" w:ascii="宋体" w:hAnsi="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1.名称:显示屏P2/室内P2-H全彩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2.规格:规格P2.0室内表贴节能全彩LED屏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像数点间距 ≤2mm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像素密度 250000Dots/㎡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像素构成 1R1G1B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灯管封装 SMD1515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尺寸(长*宽*厚) 320*160*14.5mm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重量 0.43kg±0.01kg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结构特点 灯驱合一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套件材料：采用聚碳和玻璃纤维材质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为确保屏体的安全性，要求LED显示屏所使用的PCB和套件(底壳、面罩)防火阻燃达V-0等级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单元板分辨率 160*80=12800Dots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输入电压(直流) 4.5±0.1V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最大电流 ≤5A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单元板功率 ≤23W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驱动方式 1/40恒流驱动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亮度     ≥400cd/㎡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亮度均匀性 ＞0.95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屏幕水平视角 ≥140度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屏幕垂直视角 ≥130度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最佳视距 ≥2m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使用环境 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每平方单元板最大功率 ≤439W/㎡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配电功率（每平方最大功率÷78%÷85%） ≤663W/m2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灰度等级 红、绿、蓝各16bits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低亮高灰：亮度为20%时信号处理深度（灰度等级）达到14bit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显示颜色 43980亿种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换帧频率 ≥60帧/秒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刷新频率 ≥3840Hz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色温      3000K-18000K可调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单元板带有数据自动校正功能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控制方式 计算机控制，逐点一一对应，视频同步，实时显示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亮度调节 256级手动/自动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为确保产品稳定，及长期使用，防护等级需达到IP50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输入信号 DVI/VGA，视频(多种制式)RGBHV、复合视频信号、S-VIDEO YpbPr(HDTV)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使用寿命 ≥10万小时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平均无故障时间 ≥1万小时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色度均匀性：-0.003＜Cx＜0.003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衰减率(工作3年) ≤15％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连续失控点 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离散失控点 ＜0.0001，出厂时为0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盲点率         ＜0.0003，出厂时为0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工作温度范围 -20-40℃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工作湿度范围 10％-65％RH(无结露)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为确保屏体不受外界干扰、显示稳定，产品需通过EMC检测且其抗干扰等级达Class A级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屏幕水平平整度 ＜1mm/㎡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屏幕垂直平整度 ＜1mm/㎡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4"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olor w:val="auto"/>
                <w:szCs w:val="21"/>
                <w:highlight w:val="none"/>
              </w:rPr>
              <w:t>●</w:t>
            </w:r>
            <w:r>
              <w:rPr>
                <w:rFonts w:hint="eastAsia" w:ascii="宋体" w:hAnsi="宋体" w:eastAsia="宋体" w:cs="宋体"/>
                <w:i w:val="0"/>
                <w:iCs w:val="0"/>
                <w:color w:val="auto"/>
                <w:kern w:val="0"/>
                <w:sz w:val="21"/>
                <w:szCs w:val="21"/>
                <w:highlight w:val="none"/>
                <w:u w:val="none"/>
                <w:lang w:val="en-US" w:eastAsia="zh-CN" w:bidi="ar"/>
              </w:rPr>
              <w:t>显示屏</w:t>
            </w:r>
            <w:r>
              <w:rPr>
                <w:rFonts w:hint="eastAsia" w:ascii="宋体" w:hAnsi="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1.名称:86寸会议平板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2.规格:1.显示屏尺寸：86英寸（16：9）</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3.显示屏类型：LED液晶显示屏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4.显示尺寸：1895 (H) x 1066(V)；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5.分辨率：3840×2160；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6.亮度：350cd/m2；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7.可视角度：178 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8.触摸识别：红外识别；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9.安卓系统：CPU：Cortex A73×2   A53×2，主频：1.5GHz，GPU：高性能Mali-T820MP3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10.内部缓存容量（RAM）：4G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11.内部存储容量（ROM）：32G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12.系统版本：Android 8.0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13.PC系统：CPU：Core® 四代I5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14..内存：DDR4 4G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15.固态硬盘 ：128G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16.显卡：集成 Intel® HD Graphics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17.声卡：集成高清晰立体音效声卡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18.网卡：集成 10/100/1000M 自适应网卡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19.电源输入：100-240V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20.功能特点：超薄超窄外观，前置按键，前置 USB 端口，模块化安全设计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专业级芯片处理技术，确保高画质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抗光干扰（阳光直射照常使用，此功能为选装）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工业级高性能液晶屏，确保图像高清晰，高亮度和使用稳定性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外壳采用高强度设计，外观超溥，美观结实，具有优良的防护等级和电磁屏敝性能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表面触摸算法优化程度高，响应速度快，书写和演示流畅度高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表面阳极氧化处理，平滑均匀，简单大方，颜色与工业主机融为一体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多种信号接口，支持多种信号输入.输出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高可靠性，高稳定性，适用于教育培训，展览展示，公共传媒，视频会议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采用工业工控主板，英特尔高端双核处理器，高速硬盘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不需要 PC 可实现课件播放，视频播放功能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屏幕防划防撞击</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显示屏</w:t>
            </w:r>
            <w:r>
              <w:rPr>
                <w:rFonts w:hint="eastAsia" w:ascii="宋体" w:hAnsi="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1.名称:49寸会议平板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2.规格:1.屏幕尺寸：49寸；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2.显示面积：1073.8*604mm；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3.模式:16:9;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4.最大分辨率:3840*2160;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5.亮度:350cd/㎡;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6.对比度:3000:1;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7.色彩:16.7M;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8.供电电源 100V~240V AC；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9.安卓CPU：RK3288；内存：2G；存储：16G；操作系统：Android 8.1；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10.PC系统：CPU：Core® 四代I5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11..内存：DDR4 4G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12.固态硬盘 ：128G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13.显卡：集成 Intel® HD Graphics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14.内置喇叭；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15.外壳材质：钣金外框，表面嵌钢化玻璃。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16.安装方式：壁挂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17.网卡：集成 10/100/1000M 自适应网卡                                                                                                                             18.电源输入：100-240V</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开关电源设备</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1.种类:电源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2.规格:200W-4.5A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3.型号:输出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直流电压 5V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额定电流 40A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电流范围 0～40A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额定功率 200W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纹波与噪声 150mVp-p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电压调节范围 ±10%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电压精度 ±1.0%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线性调整率 ±0.5%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负载调整率 ±2%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启动、上升时间 2000ms，50ms/230VAC 负载100%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保持时间（Typ） 20ms/230VAC 负载100%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电压范围 200～240VAC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频率范围 47～63HZ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功率因数 （Typ） PF≥0.5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效率（Typ） ≥86%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交流电压 230VAC 2.5A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浪涌电流（Typ） 60A/230VAC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泄漏电流 &lt;1mA/230VAC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保护 过负载 110～150% rated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短路 输出端短路后电源保护，消除短路后可自动恢复输出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工作温度 -20℃～+50℃ (AC 230V)(参考负载温度降额曲线)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工作湿度 20～90%RH不凝固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储存温度 -30～+85℃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储存湿度 10～95%RH 不凝固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其他 尺寸 190*82*30mm（长*宽*高）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包装 0.40Kg/只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接收器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1.名称:接收卡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2.规格:支持高精度色度、亮度一体化逐点矫正，支持所有常规芯片、PWM芯片，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自带16个HUB75接口。支持所有75口1~64扫任意模组，最大带载：长度128点，高度512点，打折带载：长度256点，高度256点。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3.类型:DH7512-S/E120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智能触控笔</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1.名称:智能触控笔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2.规格:周边配件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无线接收器：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USB HID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开关机方式：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笔身传感器自动识别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笔尖压力感应级数：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4096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充电方式：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USB Type-C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供电方式：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Li-on battery 120mAh/3.7V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笔尖初始驱动压力：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&lt;10 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无线有效距离：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 m（无遮挡）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平均使用时间：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约两周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USB Type-C充电：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V/110 mA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操作系统：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Windows 7 SP1及以上、Android 6.0及以上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20±1 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笔帽+无线接收器重：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笔身塑胶件：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PC+ABS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笔身金属键：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POM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存储温度：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-20~45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工作温度：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0~45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电池循环寿命：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500次，电池容量≥80%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按键操作寿命：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300,000次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笔尖耐磨次数：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100,000次，磨损≤1 mm 测试环境：粗糙度1.0磨砂玻璃；测试力度：500 g；往返行程：10 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接收器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1.名称:无线投屏器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 支持 Windows / Mac OS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USB接口即插即用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支持WiFi 2.4G/5G 双频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最高支持4K分辨率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支持Windows反向控制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超低功耗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支持OTA升级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软件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1.名称:播控软件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2.规格:满足支持文字编辑，图片，视频播放，各种规格文件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前置通信处理器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1.名称:二合一处理器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2.规格:DS-D43V06-N/X6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类型:最大带载390万像素，最宽或最高8192像素，HDMI×1、DVI×2、SDI×1,4输入3画面，位置、大小自由调节，最大输入分辨率1920*1200@60Hz，支持分辨率任意设置，支持串口控制，支持双USB2.0控制和级联，扩展子板=WiFi投屏+U盘播放+新增1路HDMI</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机柜、机架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1.名称:智能配电柜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2.规格:1、配电柜基础参数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2、箱体尺寸：300*400*135MM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3、显示屏输出路数：3路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4、检修插座：1组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5、远程控制端子：1组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6、远程控制开关：1个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跳线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1.名称:视频信号线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2.规格:支持HDMI 2.0标准，最高支持4K@60Hz超高清显示。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支持HDCP 2.2。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即插即用，无需驱动程序。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无需任何外部供电。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线缆更轻、更细，重量和体积较传统铜缆减少70%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没有辐射，抗电磁干扰强。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接口类型：HDMI</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视频版本：HDMI2.0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支持最大分辨率：4K 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线缆类型（音视频线）：AOC</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固定钢架结构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1.名称:屏幕固定钢架结构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安装结构包边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1.名称:安装结构包边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2.规格:显示屏四周包边（304不锈钢四周5cm-10cm包边）颜色黑色</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【安装显示屏】分部小计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拆除空调系统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碳钢通风管道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1.名称:风管拆除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2.材质:镀锌薄板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3.形状:方矩形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4.规格:周长800mm以下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5.板材厚度:δ=1.2mm以内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碳钢通风管道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1.名称:风管拆除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2.材质:镀锌薄板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3.形状:方矩形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4.规格:周长2000mm以下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5.板材厚度:δ=1.2mm以内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风管软接头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1.名称:风管软接头拆除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2.材质:防火帆布</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风机盘管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1.名称:拆除风机盘管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拆除排气扇</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1.名称:拆除排气扇</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设备支架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1.名称:设备支架拆除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1.名称:拆除百叶风口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2.规格:矩形风口周长4200mm以内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1.名称:拆除百叶风口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2.规格:矩形风口周长2500mm以内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碳钢风口、散流器、百叶窗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1.名称:拆除百叶风口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2.规格:矩形风口周长1200mm以内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碳钢阀门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1.名称:拆除风阀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2.规格:矩形风管阀门周长800mm以内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碳钢阀门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1.名称:拆除风阀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2.规格:矩形风管阀门周长2000mm以内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【拆除空调系统】分部小计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给水系统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2.介质:给水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3.材质、规格:DN25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4.连接形式:热熔连接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5.压力试验及吹、洗设计要求:管道消毒、水压试验、水冲洗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空调水系统调试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1.空调水系统调试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【给水系统】分部小计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排水系统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2.介质:污、废水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3.材质、规格:De50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4.连接形式:粘接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2.介质:污、废水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3.材质、规格:De110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4.连接形式:粘接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给、排水附(配)件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1.名称:防臭地漏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小便器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1.名称:小便器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2.组装形式:成套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3.附件名称、数量:含角阀等配件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大便器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1.名称:蹲式大便器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2.组装形式:成套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3.附件名称、数量:含角阀等配件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洗脸盆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1.名称:洗脸盆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2.规格、类型:冷热式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3.组装形式:成套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4.附件名称、数量:含水龙头及其它配件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【排水系统】分部小计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bl>
    <w:p>
      <w:pPr>
        <w:bidi w:val="0"/>
        <w:rPr>
          <w:rFonts w:hint="eastAsia"/>
          <w:color w:val="auto"/>
          <w:highlight w:val="none"/>
          <w:lang w:eastAsia="zh-CN"/>
        </w:rPr>
      </w:pPr>
    </w:p>
    <w:p>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eastAsia="宋体"/>
          <w:color w:val="auto"/>
          <w:highlight w:val="none"/>
          <w:lang w:val="en-US" w:eastAsia="zh-CN"/>
        </w:rPr>
        <w:t>2、文创广告、装饰清单</w:t>
      </w:r>
    </w:p>
    <w:tbl>
      <w:tblPr>
        <w:tblStyle w:val="2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3"/>
        <w:gridCol w:w="1541"/>
        <w:gridCol w:w="5014"/>
        <w:gridCol w:w="470"/>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文创广告</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童心向党文化墙（序厅）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2.图文内容：10厘PVC雕刻造型，高清UV打印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3.小标题8厘PVC+3厘哑克力雕刻立体造型，分色烤漆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接待厅LED形象墙（序厅）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1.大标题：斜边双面迷你发光字(20mm+5mm亚克力导光板，亚克力雕刻、高温烤漆，高亮度S型LED软灯带)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2.小标题：双层8+3亚克力雕刻，烤漆立体字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3.软文：5厘亚克力，四周广告螺丝安装，文字高清UV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4.图片：8厘乳白亚克力高清UV打印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5.辅助图形：8哑克力雕刻，分色烤漆。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前台背景发光字（接待厅）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1.logo：迷你侧面发光字(20mm+5mm亚克力导光板，亚克力雕刻、高温烤漆，高亮度S型LED软灯带)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2.全称立体字：斜边正面迷你发光字(20mm+5mm亚克力导光板，亚克力雕刻、高温烤漆，高亮度S型LED软灯带)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3、暗走电线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前台IP卡通形象（含底座）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1.手工雕刻泡沫模型（L800*H500）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2.制作玻璃钢模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3.注入树脂，翻出模型，焊接好支撑框架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4.打磨修补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5.上底漆三道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6.分层上色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7.罩面保护漆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“积分超市”立体字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1.全称立体字：斜边正面迷你发光字(20mm+5mm亚克力导光板，亚克力雕刻、高温烤漆，高亮度S型LED软灯带)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2.暗走电线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母婴室文化墙1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2.图文内容：10厘PVC雕刻造型，高清UV打印；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母婴室文化墙2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1.造型：双层8+3亚克力雕刻，烤漆（L600*400）；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2.图文内容：10厘PVC雕刻造型，高清UV打印。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悄悄话室文化墙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1.主题字：10厘乳白色亚克力雕刻；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2.图文内容：10厘PVC雕刻造型，分色烤漆；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3.小标题5厘乳白色亚克力雕刻。</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儿童议事会形象墙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儿童绘图本文化墙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制度牌（儿童绘图本）</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2.图文内容:10厘PVC雕刻造型，高清UV打印；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儿童绘图本文化墙1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儿童绘图本文化墙2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科普室标识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“学科学 爱科学 用科学”立体字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1.斜边正面迷你发光字(20mm+5mm亚克力导光板，亚克力雕刻、高温烤漆，高亮度S型LED软灯带)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2、暗走电线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妇女儿童综合区文化墙1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制度牌（妇女儿童综合区）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2.图文内容:10厘PVC雕刻造型，高清UV打印；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妇女儿童综合区文化墙2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烘焙室背景墙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2.图文内容：10厘PVC雕刻造型，高清UV打印；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3.小标题8厘PVC+3厘哑克力雕刻立体造型，分色烤漆。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文化长廊1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文化长廊2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文化长廊3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文化长廊4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2.图文内容：10厘PVC雕刻造型，高清UV打印；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广告背景墙（家长学校1）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广告背景墙（家长学校2）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1.主题字：双层10+3亚克力雕刻，烤漆立体字。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2.图文内容：8厘PVC+3厘亚克力雕刻造型，背面高清UV打印；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3.小标题8厘PVC+3厘亚克力雕刻立体造型，分色烤漆。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4.辅助图形：8厘哑克力雕刻，分色烤漆。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展示柜内潮玩卡通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1.手工雕刻泡沫模型（L850*H1800）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2.制作玻璃钢模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3.注入树脂，翻出模型，焊接好支撑框架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4.打磨修补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5.上底漆三道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6.分层上色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7.罩面保护漆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科普室潮玩卡通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1.手工雕刻泡沫模型（L600*H1200）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2.制作玻璃钢模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3.注入树脂，翻出模型，焊接好支撑框架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4.打磨修补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5.上底漆三道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6.分层上渐变色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7.罩面保护漆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长颈鹿卡通模型（阅读区）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1.手工雕刻泡沫模型（L600*H1900）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2.制作玻璃钢模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3.注入树脂，翻出模型，焊接好支撑框架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4.打磨修补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5.上底漆三道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6.分层上色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7.罩面保护漆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仿真吊钟树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1.仿真吊钟树高1.6m，冠幅0.8m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仿真苔藓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1.仿真苔藓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景观石子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1.景观石子（8-12mm）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青龙石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1.青龙石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仿真小草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1.仿真小草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月球灯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1.月球灯（直径30cm）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【文创广告】分部小计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固装家具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接待厅铝合金玻璃门装饰展示柜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1.夹板柜体（9厘阻燃板夹板打底面贴3MM木饰面）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2.5MM铝合金钢化玻璃门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母婴室操作台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1.20MM多层实木免漆生态板2.哑光木饰面+白色亮面18MM厚石英石台面3.含50mm高挡水石,5*5倒角4.含所有小五金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洗菜盆+水龙头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1.洗菜盆+水龙头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儿童绘图馆书柜展示柜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1.书柜深度350MM(20MM多层实木免漆生态板)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软包装饰（儿童绘图馆书柜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展示柜）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1.9厘中纤板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2.面层20mm高密度海绵+1MM皮革</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儿童绘图馆书柜展示柜圆弧转角加工费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1.9厘中纤板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2.面层20mm高密度海绵+1MM皮革</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儿童绘图馆书柜展示柜圆烤漆工艺柜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按造型做法烤漆工艺柜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阶梯阅读区双层阶梯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按造型做法烤漆工艺柜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阶梯阅读区双层阶梯工艺费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木工打底面贴三聚氰胺面、多层实木夹板基材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阶梯阅读区书柜一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1.三聚氰胺面、多层实木、夹板基材（20MM多层实木免漆生态板）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阶梯阅读区书柜一圆弧工艺费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阶梯阅读区书柜一圆弧工艺费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阶梯阅读区书柜二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1.三聚氰胺面、多层实木、夹板基材（20MM多层实木免漆生态板）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阶梯阅读区书柜二圆弧工艺费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阶梯阅读区书柜二圆弧工艺费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七彩课堂造型树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定制七彩课堂造型树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2.轻钢龙骨+双层9厘阻燃板打底+面贴3MM木饰面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2.下部坐凳：轻钢龙骨+双层9厚夹板，3MM哑光免漆板面,20*20倒角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七彩课堂活动柜（组合）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三聚氰胺面、多层实木夹板基材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2.20MM多层实木免漆生态板(定制850MM高活动矮柜)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科普室活动柜（组合*2）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三聚氰胺面、多层实木夹板基材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科普室展示柜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异形科普室展示柜(20MM多层实木白色免漆生态板)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科普室亚克力旋转板挂件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科普室亚克力旋转板挂件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2.绿色免漆板+5MM亚克力+旋转轴(定制360度旋转玻璃盒)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厨房橱柜电器高柜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1.夹板柜体+烤漆法式门板(20MM绿色烤漆板)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厨房橱柜电器地柜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1.夹板柜体+烤漆法式门板（20MM绿色烤漆板）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2.1.18MM石英石台面2.20MM20MM绿色烤漆板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3.含250mm高挡水石,5*5倒角4.含所有小五金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厨房橱柜电器吊柜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1.夹板柜体+烤漆法式门板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厨房橱柜洗菜盆/水龙头配件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厨房橱柜洗菜盆/水龙头配件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文化长廊烤漆造型柜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文化长廊烤漆造型柜（9厘阻燃板夹板打底+9厘硅酸钙板面刷绿色乳胶漆）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洗漱台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1.40*40镀锌角钢焊制底架+12厘夹板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2.哑光木饰面+18MM厚石英石台面,5*5倒角4.含所有小五金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【固装家具】分部小计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活动家具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定制沙发（母婴室）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1.定制沙发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2.L1280*W850*H750实木框架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3.扪布+高弹海绵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定制实木茶几（母婴室）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1.L900*W650*H420定制实木茶几</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定制休闲椅（悄悄话室）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1.定制休闲椅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2.D500*H680实木框架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3.高弹海绵+金属</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定制洽谈桌（悄悄话室）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1.定制洽谈桌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2.D600*H750实木+金属底座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定制实木桌（妇女儿童之家）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1.L3500*W800*H600定制实木桌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定制实木椅子（妇女儿童之家）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1.L400*W430*H580定制实木椅子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会议桌（妇女儿童之家）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1.L2800*W800*H750定制实木会议桌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会议椅（妇女儿童之家）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1.L400*W430*H780定制实木椅子+扣皮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洽谈桌（过道洽谈区）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1.D800*H750定制实木桌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洽谈椅（过道洽谈区）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1.定制实木椅子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2.D620*H820实木框架+PVC</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实木长书桌（儿童绘本馆）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1.L2400*W1000*H600定制实木长书桌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坐墩（儿童绘本馆）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1.定制实木坐墩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2.D350*H380实木框架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3.扪布+高弹海绵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实木座椅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1.L450*W450*H650实木座椅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实木圆桌（七彩课堂）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1.D1500*H600实木圆桌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坐墩（七彩课堂）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1.定制坐墩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2.D350*W380实木框架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3.扣布+高密度海绵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自习桌（七彩课堂）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1.L2400*W1000*H600定制实木自习桌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坐凳（妇女儿童综合室）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1.L1200*W400*H420定制实木坐凳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异形桌子（妇女儿童综合室）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1.D1550*H650定制异形实木桌子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坐墩（妇女儿童综合室）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1.定制坐墩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2.D380*H420实木框架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3.扣布+高密度海绵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餐桌（过道）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1.L800*W800*H550定制实木餐桌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餐椅（过道）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1.D380*H350定制实木餐椅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定制实木桌（烘焙室）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1.L1200*W800*H650定制实木桌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实木椅子（烘焙室）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1.L400*W450*H680实木椅子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椅子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1.成品金属折叠椅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活动屏风</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1.成品活动屏风</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服务台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1.双层9厘阻燃板夹板打底面贴20mm石英石（1.7m长*1m高；底座长约3.2m）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【活动家具】分部小计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新建墙体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实心砖墙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1.砖品种、规格、强度等级:轻质砖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2.墙体类型:120厚内墙；150厚内墙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3.砂浆强度等级、配合比:M7.5砌筑砂浆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混水砖墙 墙体体积 1m3以外</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1.轻质砖封堵墙洞（150厚）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2.砂浆强度等级、配合比:M7.5砌筑砂浆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1.墙体类型：100mm厚轻钢龙骨隔墙（双面）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1.墙体类型：120mm厚轻钢龙骨隔墙（双面）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1.墙体类型：150mm厚轻钢龙骨隔墙（双面）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1.墙体类型：300mm厚轻钢龙骨隔墙（双面）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1.墙体类型：450mm厚轻钢龙骨隔墙（单面）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1.墙体类型：460mm厚轻钢龙骨隔墙（单面）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1.墙体类型：580mm厚轻钢龙骨隔墙（单面）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1.墙体类型：750mm厚轻钢龙骨隔墙（双面）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非承重隔墙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1.墙体类型：异形轻钢龙骨隔墙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2.C75系列轻钢龙骨间距400-600mm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3.底层9厚硅钙板加面层9厚石膏板专用自攻螺钉拧牢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【新建墙体】分部小计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新建地面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地面抬高（卫生间）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1.地面抬高150MM,陶粒填充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块料楼地面（卫生间）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1.贴12厚防滑地砖（仿水磨石砖）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2.10厚水泥砂浆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7"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填充找平层（卫生间）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1.30厚1:3干硬性水泥砂浆找平层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2.20厚1:3水泥砂浆防水保护层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3.73MM厚1:8陶粒回填填充层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楼(地)面涂膜防水（卫生间）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1.1.5厚合成高分子防水涂料层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2.1.5厚合成高分子防水涂料层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3.2mm素水泥浆一道,阴阳角处需加强涂刷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块料楼地面（烘焙室）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1.贴12厚防滑地砖（仿木纹砖）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2.10厚水泥砂浆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填充找平层（烘焙室）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1.30厚1:3干硬性水泥砂浆找平层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2.20厚1:3水泥砂浆防水保护层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3.73MM厚1:8陶粒回填填充层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楼(地)面涂膜防水（烘焙室）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1.1.5厚合成高分子防水涂料层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2.1.5厚合成高分子防水涂料层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3.2mm素水泥浆一道,阴阳角处需加强涂刷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塑料板楼地面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1.3mm环氧地坪漆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2.3mm防木纹PVC地胶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塑料板楼地面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1.30mm厚水泥砂浆找平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2.3mm环氧地坪漆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3.3mm防木纹PVC地胶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塑料板楼地面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1.30mm厚水泥砂浆找平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2.3mm环氧地坪漆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3.3mm防水磨石PVC地胶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塑料板楼地面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1.3mm环氧地坪漆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2.3mm防水磨石PVC地胶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小舞台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1.轻钢龙骨+双层9厚夹板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2.面板复合木地板12MM厚,20*20倒角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【新建地面】分部小计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新建天花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吊顶天棚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1.吊顶距离结构楼板、用M8膨胀螺栓连镀锌吊杆,间距≤1200x1200吊顶距离结构楼板,双向角钢间距900吊牢60系列上人轻钢龙骨骨架,主龙骨中距≤1200,次龙骨中距400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2.双层9厚硅酸钙板专用自攻螺钉拧牢（弧形造型）</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吊顶天棚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1.吊顶距离结构楼板、用M8膨胀螺栓连镀锌吊杆,间距≤1200x1200吊顶距离结构楼板,双向角钢间距900吊牢60系列上人轻钢龙骨骨架,主龙骨中距≤1200,次龙骨中距400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2.双层9厚硅酸钙板专用自攻螺钉拧牢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3.部分天花为透光灯模和星空布</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7"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抹灰面油漆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1.天花孔眼用腻子填平(防锈),阴、阳角及板接缝处分别贴专用封缝带内墙耐水腻子2~3遍刮平打磨平滑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2.刷无机涂料三遍(一底、二面漆)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抹灰面油漆（卫生间）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1.天花孔眼用腻子填平(防锈),阴、阳角及板接缝处分别贴专用封缝带内墙耐水腻子2~3遍刮平打磨平滑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2.刷防水乳胶漆三遍(一底、二面漆)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格栅吊顶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1.1.0铝方通格栅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【新建天花】分部小计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新建墙面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抹灰面油漆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1.刷乳胶漆一底两面（乳白色，绿色，蓝色，粉色等）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2.内墙耐水腻子2遍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金属踢脚线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1.面层材料品种、规格、颜色:面层1.2mm黑色不锈钢踢脚线50mm高</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墙面装饰板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1..基层材料种类、规格:9厘阻燃板夹板打底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3.面层材料品种、规格、颜色:面贴3MM厚木饰面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墙面装饰板（外凸异形造型）</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1.龙骨材料种类、规格、中距:基层木龙骨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2.基层材料种类、规格:9厘阻燃板夹板打底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3.面层材料品种、规格、颜色:9厘硅酸钙板面刷绿色乳胶漆（造型外凸4层）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墙面装饰板（外凸异形造型）</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1.龙骨材料种类、规格、中距:基层轻钢龙骨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2.基层材料种类、规格:9厘阻燃板夹板打底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3.面层材料品种、规格、颜色:9厘硅酸钙板面刷3MM蓝色乳胶漆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墙面装饰板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1..基层材料种类、规格:9厘阻燃板夹板打底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3.面层材料品种、规格、颜色:面贴绿色40MM长城板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5mm+5mm夹胶钢化玻璃(嵌入墙体)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1.5mm+5mm夹胶钢化玻璃(嵌入墙体)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乐高墙</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1.儿童乐高墙（含积木配件）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块料墙面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1.面贴8MM厚长条陶瓷白色马赛克规格(22*145MM)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2.5厚水泥胶浆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墙面涂膜防水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1.涂刷1.5厚JS柔性防水,涂刷至完成面以上1800mm高;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2.素水泥浆一道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【新建墙面】分部小计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新建门窗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1.定制木门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2.门代号及洞口尺寸:930*2560（圆拱形）；实木单开门（含配件）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1.定制木门（带5mm+5mm钢化玻璃）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2.门代号及洞口尺寸:930*2560（圆拱形）；实木单开门（含配件）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1.定制木门（带5mm+5mm钢化玻璃）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2.门代号及洞口尺寸:1500*2550；实木双开门（含配件）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1.定制木门（带5mm+5mm钢化玻璃）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2.门代号及洞口尺寸:1500*2550；实木双开门（含配件）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金属(塑钢)门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1.门代号，门框、扇材质:1500*2600；双开玻璃门（地弹门）；12mm钢化玻璃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2.成品把手2个；地弹簧2个（每樘门）等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3.1.2MM灰色拉丝不锈钢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4.符合设计图纸以及施工规范要求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1.原有木门贴3mm木饰面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7"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1.定制木门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2.门代号及洞口尺寸:850*2100mm；实木单开门（含配件）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【新建门窗】分部小计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成品隔断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1.卫生间隔断（20MM埃特板木饰面隔断及门）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镜面玻璃</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1.卫生间成品镜子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木质线条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1.10mm厚实木线条（宽度40mm）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木质线条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1.10mm厚实木线条（宽度120mm）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木质线条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1.弧形20mm厚实木线条（宽度120mm）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木质线条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1.弧形20mm厚实木线条（宽度350mm）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金属装饰线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1.1.2MM灰色拉丝不锈钢线条（50mm宽）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金属装饰线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1.1.2MM灰色拉丝不锈钢线条（5mm宽）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平面、箱式招牌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1.面层材料种类:0.5MM彩钢圆角扣板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金属字（室外广告牌）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1.304#不锈钢迷你发光造型（D50cm）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金属字（室外广告牌）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1.304#不锈钢迷你发光字（60cm）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金属字（室外广告牌）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1.304#不锈钢迷你发光字（15cm）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金属字（室外广告牌）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1.304#不锈钢迷你发光字（35cm）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金属字（室外广告牌）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1.304#不锈钢迷你发光字（20cm）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金属字（室外广告牌）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1.304#不锈钢迷你发光字（2.7cm）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金属字（室外广告牌）</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1.304#不锈钢迷你发光字（1.7cm）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【其他项目】分部小计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砖砌体拆除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1.拆除原有砌体墙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2.废料外运：运距自行考虑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砖砌体拆除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1.墙体拆除电梯门洞（240墙）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2.废料外运：运距自行考虑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混凝土构件拆除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1.拆除原有卫生间抬高150MM地面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2.废料外运：运距自行考虑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天棚面龙骨及饰面拆除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1.拆除原有铝扣板天花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2.废料外运：运距自行考虑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【拆除】分部小计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r>
    </w:tbl>
    <w:p>
      <w:pPr>
        <w:rPr>
          <w:rFonts w:hint="eastAsia" w:ascii="宋体" w:hAnsi="宋体" w:cs="Times New Roman"/>
          <w:b/>
          <w:bCs/>
          <w:color w:val="auto"/>
          <w:szCs w:val="21"/>
          <w:highlight w:val="none"/>
        </w:rPr>
      </w:pPr>
    </w:p>
    <w:p>
      <w:pPr>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color w:val="auto"/>
          <w:highlight w:val="none"/>
        </w:rPr>
      </w:pPr>
    </w:p>
    <w:p>
      <w:pPr>
        <w:pStyle w:val="34"/>
        <w:ind w:left="0" w:leftChars="0" w:firstLine="0" w:firstLineChars="0"/>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4"/>
        <w:rPr>
          <w:color w:val="auto"/>
          <w:highlight w:val="none"/>
        </w:rPr>
      </w:pPr>
    </w:p>
    <w:p>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p>
      <w:pPr>
        <w:pStyle w:val="4"/>
        <w:spacing w:line="240" w:lineRule="auto"/>
        <w:jc w:val="center"/>
        <w:rPr>
          <w:rFonts w:ascii="宋体" w:hAnsi="宋体" w:cs="宋体"/>
          <w:color w:val="auto"/>
          <w:highlight w:val="none"/>
        </w:rPr>
      </w:pPr>
      <w:bookmarkStart w:id="192" w:name="_Toc8880"/>
      <w:bookmarkStart w:id="193" w:name="_Toc19575"/>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6790"/>
      <w:bookmarkStart w:id="202" w:name="_Toc2683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5670"/>
      <w:bookmarkStart w:id="205" w:name="_Toc25502"/>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6"/>
        <w:rPr>
          <w:color w:val="auto"/>
          <w:highlight w:val="none"/>
        </w:rPr>
      </w:pPr>
    </w:p>
    <w:p>
      <w:pPr>
        <w:rPr>
          <w:color w:val="auto"/>
          <w:highlight w:val="none"/>
        </w:rPr>
      </w:pPr>
    </w:p>
    <w:p>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5"/>
        <w:rPr>
          <w:rFonts w:ascii="黑体" w:eastAsia="黑体"/>
          <w:color w:val="auto"/>
          <w:sz w:val="32"/>
          <w:szCs w:val="32"/>
          <w:highlight w:val="none"/>
        </w:rPr>
      </w:pPr>
    </w:p>
    <w:p>
      <w:pPr>
        <w:pStyle w:val="35"/>
        <w:rPr>
          <w:rFonts w:ascii="黑体" w:eastAsia="黑体"/>
          <w:color w:val="auto"/>
          <w:sz w:val="32"/>
          <w:szCs w:val="32"/>
          <w:highlight w:val="none"/>
        </w:rPr>
      </w:pPr>
    </w:p>
    <w:p>
      <w:pPr>
        <w:pStyle w:val="4"/>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5"/>
        <w:rPr>
          <w:color w:val="auto"/>
          <w:highlight w:val="none"/>
        </w:rPr>
      </w:pPr>
    </w:p>
    <w:p>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8960153"/>
      <w:bookmarkStart w:id="223" w:name="_Toc510171693"/>
      <w:bookmarkStart w:id="224" w:name="_Toc508958703"/>
      <w:bookmarkStart w:id="225" w:name="_Toc22970"/>
      <w:bookmarkStart w:id="226" w:name="_Toc20910"/>
      <w:bookmarkStart w:id="227" w:name="_Toc509479530"/>
      <w:bookmarkStart w:id="228" w:name="_Toc30247"/>
      <w:bookmarkStart w:id="229" w:name="_Toc17761"/>
      <w:bookmarkStart w:id="230" w:name="_Toc30277"/>
      <w:bookmarkStart w:id="231" w:name="_Toc509927455"/>
      <w:bookmarkStart w:id="232" w:name="_Toc509844825"/>
      <w:bookmarkStart w:id="233" w:name="_Toc508898066"/>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31520"/>
      <w:bookmarkStart w:id="235" w:name="_Toc508958704"/>
      <w:bookmarkStart w:id="236" w:name="_Toc26216"/>
      <w:bookmarkStart w:id="237" w:name="_Toc509927456"/>
      <w:bookmarkStart w:id="238" w:name="_Toc510171694"/>
      <w:bookmarkStart w:id="239" w:name="_Toc21053"/>
      <w:bookmarkStart w:id="240" w:name="_Toc508960154"/>
      <w:bookmarkStart w:id="241" w:name="_Toc28527"/>
      <w:bookmarkStart w:id="242" w:name="_Toc509479531"/>
      <w:bookmarkStart w:id="243" w:name="_Toc509844826"/>
      <w:bookmarkStart w:id="244" w:name="_Toc5447"/>
      <w:bookmarkStart w:id="245" w:name="_Toc50889806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14653"/>
      <w:bookmarkStart w:id="247" w:name="_Toc28126"/>
      <w:bookmarkStart w:id="248" w:name="_Toc508898068"/>
      <w:bookmarkStart w:id="249" w:name="_Toc509844827"/>
      <w:bookmarkStart w:id="250" w:name="_Toc9148"/>
      <w:bookmarkStart w:id="251" w:name="_Toc509479532"/>
      <w:bookmarkStart w:id="252" w:name="_Toc510171695"/>
      <w:bookmarkStart w:id="253" w:name="_Toc24848"/>
      <w:bookmarkStart w:id="254" w:name="_Toc508960155"/>
      <w:bookmarkStart w:id="255" w:name="_Toc508958705"/>
      <w:bookmarkStart w:id="256" w:name="_Toc28626"/>
      <w:bookmarkStart w:id="257" w:name="_Toc50992745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9844828"/>
      <w:bookmarkStart w:id="259" w:name="_Toc509927458"/>
      <w:bookmarkStart w:id="260" w:name="_Toc509479533"/>
      <w:bookmarkStart w:id="261" w:name="_Toc508960156"/>
      <w:bookmarkStart w:id="262" w:name="_Toc28044"/>
      <w:bookmarkStart w:id="263" w:name="_Toc22981"/>
      <w:bookmarkStart w:id="264" w:name="_Toc508898069"/>
      <w:bookmarkStart w:id="265" w:name="_Toc7858"/>
      <w:bookmarkStart w:id="266" w:name="_Toc510171696"/>
      <w:bookmarkStart w:id="267" w:name="_Toc508958706"/>
      <w:bookmarkStart w:id="268" w:name="_Toc28686"/>
      <w:bookmarkStart w:id="269" w:name="_Toc9837"/>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289"/>
      <w:bookmarkStart w:id="271" w:name="_Toc508898070"/>
      <w:bookmarkStart w:id="272" w:name="_Toc509479534"/>
      <w:bookmarkStart w:id="273" w:name="_Toc508960157"/>
      <w:bookmarkStart w:id="274" w:name="_Toc510171697"/>
      <w:bookmarkStart w:id="275" w:name="_Toc18843"/>
      <w:bookmarkStart w:id="276" w:name="_Toc509927459"/>
      <w:bookmarkStart w:id="277" w:name="_Toc508958707"/>
      <w:bookmarkStart w:id="278" w:name="_Toc50984482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1"/>
        <w:spacing w:line="500" w:lineRule="atLeast"/>
        <w:ind w:firstLine="3517" w:firstLineChars="1675"/>
        <w:rPr>
          <w:rFonts w:ascii="宋体" w:eastAsia="宋体"/>
          <w:color w:val="auto"/>
          <w:sz w:val="21"/>
          <w:szCs w:val="21"/>
          <w:highlight w:val="none"/>
        </w:rPr>
      </w:pP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1"/>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29995"/>
      <w:bookmarkStart w:id="296" w:name="_Toc4926"/>
      <w:bookmarkStart w:id="297" w:name="_Toc24210"/>
      <w:bookmarkStart w:id="298" w:name="_Toc28067"/>
      <w:bookmarkStart w:id="299" w:name="_Toc1511"/>
      <w:bookmarkStart w:id="300" w:name="_Toc17470"/>
      <w:bookmarkStart w:id="301" w:name="_Toc5919"/>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1"/>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827"/>
      <w:bookmarkStart w:id="320" w:name="_Toc6080"/>
      <w:bookmarkStart w:id="321" w:name="_Toc1274"/>
      <w:bookmarkStart w:id="322" w:name="_Toc4464"/>
      <w:bookmarkStart w:id="323" w:name="_Toc26078"/>
      <w:bookmarkStart w:id="324" w:name="_Toc18668"/>
    </w:p>
    <w:p>
      <w:pPr>
        <w:pStyle w:val="4"/>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642"/>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27090"/>
            <w:bookmarkStart w:id="331" w:name="_Toc22448"/>
            <w:bookmarkStart w:id="332" w:name="_Toc10045"/>
            <w:bookmarkStart w:id="333" w:name="_Toc16872"/>
            <w:bookmarkStart w:id="334" w:name="_Toc26124"/>
            <w:bookmarkStart w:id="335" w:name="_Toc12049"/>
            <w:bookmarkStart w:id="336" w:name="_Toc15368"/>
            <w:bookmarkStart w:id="337" w:name="_Toc21739"/>
            <w:bookmarkStart w:id="338" w:name="_Toc1016"/>
            <w:bookmarkStart w:id="339" w:name="_Toc4304"/>
            <w:bookmarkStart w:id="340" w:name="_Toc2700"/>
            <w:bookmarkStart w:id="341" w:name="_Toc15903"/>
            <w:bookmarkStart w:id="342" w:name="_Toc14815"/>
            <w:bookmarkStart w:id="343" w:name="_Toc8490"/>
            <w:bookmarkStart w:id="344" w:name="_Toc22879"/>
            <w:bookmarkStart w:id="345" w:name="_Toc19251"/>
            <w:bookmarkStart w:id="346" w:name="_Toc7333"/>
            <w:bookmarkStart w:id="347" w:name="_Toc24662"/>
            <w:bookmarkStart w:id="348" w:name="_Toc21809"/>
            <w:bookmarkStart w:id="349" w:name="_Toc27442"/>
            <w:bookmarkStart w:id="350" w:name="_Toc8312"/>
            <w:bookmarkStart w:id="351" w:name="_Toc22917"/>
            <w:bookmarkStart w:id="352" w:name="_Toc32531"/>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10122"/>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29838"/>
            <w:bookmarkStart w:id="358" w:name="_Toc16003"/>
            <w:bookmarkStart w:id="359" w:name="_Toc5563"/>
            <w:bookmarkStart w:id="360" w:name="_Toc17642"/>
            <w:bookmarkStart w:id="361" w:name="_Toc5992"/>
            <w:bookmarkStart w:id="362" w:name="_Toc20820"/>
            <w:bookmarkStart w:id="363" w:name="_Toc27185"/>
            <w:bookmarkStart w:id="364" w:name="_Toc20139"/>
            <w:bookmarkStart w:id="365" w:name="_Toc1330"/>
            <w:bookmarkStart w:id="366" w:name="_Toc1912"/>
            <w:bookmarkStart w:id="367" w:name="_Toc17296"/>
            <w:bookmarkStart w:id="368" w:name="_Toc3701"/>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3520"/>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w:t>
      </w:r>
    </w:p>
    <w:p>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8"/>
        <w:rPr>
          <w:rFonts w:ascii="宋体" w:hAnsi="宋体"/>
          <w:color w:val="auto"/>
          <w:szCs w:val="21"/>
          <w:highlight w:val="none"/>
        </w:rPr>
      </w:pPr>
    </w:p>
    <w:p>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710"/>
      <w:bookmarkStart w:id="384" w:name="_Toc22736"/>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951ce351-386a-4ba5-91f0-dddfe5523316"/>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75EF5"/>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C41BE8"/>
    <w:rsid w:val="04DF1036"/>
    <w:rsid w:val="050F6021"/>
    <w:rsid w:val="05A97DEC"/>
    <w:rsid w:val="05C81981"/>
    <w:rsid w:val="05C9779C"/>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9E0D79"/>
    <w:rsid w:val="09D658E4"/>
    <w:rsid w:val="09F1637C"/>
    <w:rsid w:val="0A25628F"/>
    <w:rsid w:val="0AA534D5"/>
    <w:rsid w:val="0AA650EB"/>
    <w:rsid w:val="0AB8066A"/>
    <w:rsid w:val="0AF47339"/>
    <w:rsid w:val="0B22594B"/>
    <w:rsid w:val="0B287554"/>
    <w:rsid w:val="0B797387"/>
    <w:rsid w:val="0B8B2381"/>
    <w:rsid w:val="0BC044BE"/>
    <w:rsid w:val="0BDF26F7"/>
    <w:rsid w:val="0BE34502"/>
    <w:rsid w:val="0BF027CF"/>
    <w:rsid w:val="0C264099"/>
    <w:rsid w:val="0C2B4952"/>
    <w:rsid w:val="0C436DE4"/>
    <w:rsid w:val="0C552CAB"/>
    <w:rsid w:val="0C7B2220"/>
    <w:rsid w:val="0D890E47"/>
    <w:rsid w:val="0DBD266C"/>
    <w:rsid w:val="0DC64A00"/>
    <w:rsid w:val="0DFC60BA"/>
    <w:rsid w:val="0E1243D2"/>
    <w:rsid w:val="0E4249F1"/>
    <w:rsid w:val="0E7A447D"/>
    <w:rsid w:val="0E8417B5"/>
    <w:rsid w:val="0F0623D7"/>
    <w:rsid w:val="0F6C5A53"/>
    <w:rsid w:val="0F7C5FF6"/>
    <w:rsid w:val="0FC63FBD"/>
    <w:rsid w:val="101645B3"/>
    <w:rsid w:val="106C564D"/>
    <w:rsid w:val="107B7B8F"/>
    <w:rsid w:val="107C67CE"/>
    <w:rsid w:val="1080523F"/>
    <w:rsid w:val="108F06C9"/>
    <w:rsid w:val="109D68CB"/>
    <w:rsid w:val="10A949B8"/>
    <w:rsid w:val="10AA6D26"/>
    <w:rsid w:val="10C54639"/>
    <w:rsid w:val="11200D07"/>
    <w:rsid w:val="11DA73AF"/>
    <w:rsid w:val="11DF733C"/>
    <w:rsid w:val="11E903EC"/>
    <w:rsid w:val="11F2417A"/>
    <w:rsid w:val="1267657C"/>
    <w:rsid w:val="12C60D80"/>
    <w:rsid w:val="131867D4"/>
    <w:rsid w:val="131F7A3A"/>
    <w:rsid w:val="132645D0"/>
    <w:rsid w:val="13455ABC"/>
    <w:rsid w:val="1370322B"/>
    <w:rsid w:val="13A21329"/>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CF7BDC"/>
    <w:rsid w:val="17D54E75"/>
    <w:rsid w:val="17E62B67"/>
    <w:rsid w:val="18030851"/>
    <w:rsid w:val="180C0192"/>
    <w:rsid w:val="180F4499"/>
    <w:rsid w:val="18221ECE"/>
    <w:rsid w:val="190B7894"/>
    <w:rsid w:val="19302282"/>
    <w:rsid w:val="19A2789F"/>
    <w:rsid w:val="19F0243E"/>
    <w:rsid w:val="1A2C3A27"/>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6B76B3"/>
    <w:rsid w:val="1EA40BB4"/>
    <w:rsid w:val="1F43381C"/>
    <w:rsid w:val="1F6170AE"/>
    <w:rsid w:val="1FA4148D"/>
    <w:rsid w:val="20121621"/>
    <w:rsid w:val="201A421D"/>
    <w:rsid w:val="202F0AD2"/>
    <w:rsid w:val="20341172"/>
    <w:rsid w:val="204E554F"/>
    <w:rsid w:val="20590035"/>
    <w:rsid w:val="20722F26"/>
    <w:rsid w:val="20C35213"/>
    <w:rsid w:val="20FC799E"/>
    <w:rsid w:val="21CD5F4F"/>
    <w:rsid w:val="22154DDD"/>
    <w:rsid w:val="22213E42"/>
    <w:rsid w:val="22336873"/>
    <w:rsid w:val="226A41D4"/>
    <w:rsid w:val="22BA032D"/>
    <w:rsid w:val="23175889"/>
    <w:rsid w:val="23675953"/>
    <w:rsid w:val="238C2182"/>
    <w:rsid w:val="239015D1"/>
    <w:rsid w:val="23BB4E7D"/>
    <w:rsid w:val="23C172D6"/>
    <w:rsid w:val="23F04F64"/>
    <w:rsid w:val="24270557"/>
    <w:rsid w:val="24814CBE"/>
    <w:rsid w:val="24AC168B"/>
    <w:rsid w:val="258C3BEC"/>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5E3AFD"/>
    <w:rsid w:val="297A5FC4"/>
    <w:rsid w:val="2A1113BC"/>
    <w:rsid w:val="2A8D4F8F"/>
    <w:rsid w:val="2A911082"/>
    <w:rsid w:val="2A917B34"/>
    <w:rsid w:val="2AE3766F"/>
    <w:rsid w:val="2B174B96"/>
    <w:rsid w:val="2B242199"/>
    <w:rsid w:val="2B7E4054"/>
    <w:rsid w:val="2B8C352F"/>
    <w:rsid w:val="2BF22742"/>
    <w:rsid w:val="2C1F6A47"/>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E449B6"/>
    <w:rsid w:val="2FF37AB3"/>
    <w:rsid w:val="304A650F"/>
    <w:rsid w:val="30890978"/>
    <w:rsid w:val="308C7755"/>
    <w:rsid w:val="30DE36F9"/>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DE1E08"/>
    <w:rsid w:val="35FC3844"/>
    <w:rsid w:val="366061FD"/>
    <w:rsid w:val="36621B40"/>
    <w:rsid w:val="366B5A1C"/>
    <w:rsid w:val="36794DEF"/>
    <w:rsid w:val="36AD519D"/>
    <w:rsid w:val="36B57705"/>
    <w:rsid w:val="36E75B41"/>
    <w:rsid w:val="373563ED"/>
    <w:rsid w:val="374F1A0B"/>
    <w:rsid w:val="3778009F"/>
    <w:rsid w:val="37A103ED"/>
    <w:rsid w:val="37A358C5"/>
    <w:rsid w:val="37EA5E6E"/>
    <w:rsid w:val="37FA0B59"/>
    <w:rsid w:val="37FF016F"/>
    <w:rsid w:val="38427C0B"/>
    <w:rsid w:val="387C5ABE"/>
    <w:rsid w:val="38865AC7"/>
    <w:rsid w:val="38894F4B"/>
    <w:rsid w:val="389B3A1E"/>
    <w:rsid w:val="38A1710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9920C7"/>
    <w:rsid w:val="3BCD72F7"/>
    <w:rsid w:val="3C0E4B06"/>
    <w:rsid w:val="3C414142"/>
    <w:rsid w:val="3CE114D9"/>
    <w:rsid w:val="3CF737A2"/>
    <w:rsid w:val="3CF7509A"/>
    <w:rsid w:val="3D10295A"/>
    <w:rsid w:val="3DED21B5"/>
    <w:rsid w:val="3E0572FD"/>
    <w:rsid w:val="3E1A5292"/>
    <w:rsid w:val="3E5A7FE7"/>
    <w:rsid w:val="3EC8179E"/>
    <w:rsid w:val="3EF66B2E"/>
    <w:rsid w:val="3F09713B"/>
    <w:rsid w:val="3F217914"/>
    <w:rsid w:val="3F942B76"/>
    <w:rsid w:val="3FD70BB0"/>
    <w:rsid w:val="3FFB55AC"/>
    <w:rsid w:val="401C5F9D"/>
    <w:rsid w:val="401C690C"/>
    <w:rsid w:val="401D7195"/>
    <w:rsid w:val="405F1BE4"/>
    <w:rsid w:val="40700E79"/>
    <w:rsid w:val="40905BAD"/>
    <w:rsid w:val="40A51286"/>
    <w:rsid w:val="40CE3DC0"/>
    <w:rsid w:val="40D7455A"/>
    <w:rsid w:val="40E743E5"/>
    <w:rsid w:val="4110038E"/>
    <w:rsid w:val="41734CBA"/>
    <w:rsid w:val="41C01B53"/>
    <w:rsid w:val="41DD7057"/>
    <w:rsid w:val="420F7A65"/>
    <w:rsid w:val="4216611A"/>
    <w:rsid w:val="422D4870"/>
    <w:rsid w:val="423E300F"/>
    <w:rsid w:val="425656C8"/>
    <w:rsid w:val="4257273C"/>
    <w:rsid w:val="425D7213"/>
    <w:rsid w:val="42605346"/>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004E6"/>
    <w:rsid w:val="47841568"/>
    <w:rsid w:val="479D1D34"/>
    <w:rsid w:val="47B609C0"/>
    <w:rsid w:val="47CF543E"/>
    <w:rsid w:val="482D31EA"/>
    <w:rsid w:val="485970A0"/>
    <w:rsid w:val="48847961"/>
    <w:rsid w:val="48A41906"/>
    <w:rsid w:val="48B65C71"/>
    <w:rsid w:val="48F303D7"/>
    <w:rsid w:val="492837FF"/>
    <w:rsid w:val="492E6A57"/>
    <w:rsid w:val="49894B84"/>
    <w:rsid w:val="49B86103"/>
    <w:rsid w:val="49F306B0"/>
    <w:rsid w:val="4A0030EE"/>
    <w:rsid w:val="4AC36065"/>
    <w:rsid w:val="4B167754"/>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C84BDF"/>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7675F9"/>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75FDD"/>
    <w:rsid w:val="5CFD533A"/>
    <w:rsid w:val="5D1B5066"/>
    <w:rsid w:val="5D562DA3"/>
    <w:rsid w:val="5D893B14"/>
    <w:rsid w:val="5D9F3D30"/>
    <w:rsid w:val="5E2810D5"/>
    <w:rsid w:val="5E2B7D62"/>
    <w:rsid w:val="5E2E766A"/>
    <w:rsid w:val="5E71411E"/>
    <w:rsid w:val="5EA06921"/>
    <w:rsid w:val="5ED5006A"/>
    <w:rsid w:val="5F576E4B"/>
    <w:rsid w:val="5F5D4EDE"/>
    <w:rsid w:val="5F7A2C30"/>
    <w:rsid w:val="5F7E5DBD"/>
    <w:rsid w:val="5FBE370A"/>
    <w:rsid w:val="5FDA503D"/>
    <w:rsid w:val="60292845"/>
    <w:rsid w:val="608544E6"/>
    <w:rsid w:val="60A4258E"/>
    <w:rsid w:val="61014BB6"/>
    <w:rsid w:val="61027308"/>
    <w:rsid w:val="612E1A5D"/>
    <w:rsid w:val="61816046"/>
    <w:rsid w:val="61C55CA9"/>
    <w:rsid w:val="61FF417F"/>
    <w:rsid w:val="62182687"/>
    <w:rsid w:val="62391564"/>
    <w:rsid w:val="626D6B63"/>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A229F3"/>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74144"/>
    <w:rsid w:val="6C187AE1"/>
    <w:rsid w:val="6C9C0875"/>
    <w:rsid w:val="6C9D1F03"/>
    <w:rsid w:val="6CAA3931"/>
    <w:rsid w:val="6D3933CA"/>
    <w:rsid w:val="6D7B61EC"/>
    <w:rsid w:val="6DC3266E"/>
    <w:rsid w:val="6DD049FF"/>
    <w:rsid w:val="6DDB72FC"/>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BC5308"/>
    <w:rsid w:val="6FD47A25"/>
    <w:rsid w:val="6FE77107"/>
    <w:rsid w:val="6FF44026"/>
    <w:rsid w:val="6FFB146E"/>
    <w:rsid w:val="70180A92"/>
    <w:rsid w:val="701A5C74"/>
    <w:rsid w:val="706516C3"/>
    <w:rsid w:val="707B510C"/>
    <w:rsid w:val="70864A71"/>
    <w:rsid w:val="70896E68"/>
    <w:rsid w:val="70D35446"/>
    <w:rsid w:val="714556B4"/>
    <w:rsid w:val="715B60E9"/>
    <w:rsid w:val="71E96309"/>
    <w:rsid w:val="71EA1FED"/>
    <w:rsid w:val="71EB298B"/>
    <w:rsid w:val="72284A0C"/>
    <w:rsid w:val="722853DA"/>
    <w:rsid w:val="72C16204"/>
    <w:rsid w:val="72CC29CD"/>
    <w:rsid w:val="730313F6"/>
    <w:rsid w:val="731E1007"/>
    <w:rsid w:val="73370D24"/>
    <w:rsid w:val="7359268C"/>
    <w:rsid w:val="73676C3F"/>
    <w:rsid w:val="739503EB"/>
    <w:rsid w:val="73A05B28"/>
    <w:rsid w:val="73C07D69"/>
    <w:rsid w:val="749E2255"/>
    <w:rsid w:val="74A82DB5"/>
    <w:rsid w:val="74AB340D"/>
    <w:rsid w:val="74B42AE4"/>
    <w:rsid w:val="74D430B7"/>
    <w:rsid w:val="750A429D"/>
    <w:rsid w:val="75167F59"/>
    <w:rsid w:val="754D77D2"/>
    <w:rsid w:val="755948DD"/>
    <w:rsid w:val="755D38A7"/>
    <w:rsid w:val="755D72AA"/>
    <w:rsid w:val="755F5A0F"/>
    <w:rsid w:val="75614792"/>
    <w:rsid w:val="75784473"/>
    <w:rsid w:val="757E044C"/>
    <w:rsid w:val="75977BC3"/>
    <w:rsid w:val="75B161B3"/>
    <w:rsid w:val="75C56F82"/>
    <w:rsid w:val="75E470E3"/>
    <w:rsid w:val="762F7BAA"/>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BF906F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outlineLvl w:val="2"/>
    </w:pPr>
    <w:rPr>
      <w:b/>
      <w:bCs/>
      <w:sz w:val="28"/>
      <w:szCs w:val="32"/>
    </w:rPr>
  </w:style>
  <w:style w:type="paragraph" w:styleId="5">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2"/>
    <w:semiHidden/>
    <w:unhideWhenUsed/>
    <w:qFormat/>
    <w:uiPriority w:val="99"/>
    <w:rPr>
      <w:sz w:val="18"/>
      <w:szCs w:val="18"/>
    </w:rPr>
  </w:style>
  <w:style w:type="paragraph" w:styleId="15">
    <w:name w:val="footer"/>
    <w:basedOn w:val="1"/>
    <w:link w:val="51"/>
    <w:unhideWhenUsed/>
    <w:qFormat/>
    <w:uiPriority w:val="99"/>
    <w:pPr>
      <w:tabs>
        <w:tab w:val="center" w:pos="4153"/>
        <w:tab w:val="right" w:pos="8306"/>
      </w:tabs>
    </w:pPr>
    <w:rPr>
      <w:sz w:val="18"/>
      <w:szCs w:val="18"/>
    </w:rPr>
  </w:style>
  <w:style w:type="paragraph" w:styleId="16">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10"/>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3"/>
    <w:qFormat/>
    <w:uiPriority w:val="9"/>
    <w:rPr>
      <w:rFonts w:asciiTheme="majorHAnsi" w:hAnsiTheme="majorHAnsi" w:eastAsiaTheme="majorEastAsia" w:cstheme="majorBidi"/>
      <w:b/>
      <w:bCs/>
      <w:sz w:val="32"/>
      <w:szCs w:val="32"/>
    </w:rPr>
  </w:style>
  <w:style w:type="character" w:customStyle="1" w:styleId="37">
    <w:name w:val="标题 3 Char"/>
    <w:basedOn w:val="29"/>
    <w:link w:val="4"/>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5"/>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4"/>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2"/>
    <w:semiHidden/>
    <w:qFormat/>
    <w:uiPriority w:val="99"/>
    <w:rPr>
      <w:rFonts w:ascii="宋体" w:hAnsi="Courier New" w:eastAsia="宋体" w:cs="Courier New"/>
      <w:sz w:val="21"/>
      <w:szCs w:val="21"/>
    </w:rPr>
  </w:style>
  <w:style w:type="character" w:customStyle="1" w:styleId="50">
    <w:name w:val="页眉 Char"/>
    <w:basedOn w:val="29"/>
    <w:link w:val="16"/>
    <w:qFormat/>
    <w:uiPriority w:val="99"/>
    <w:rPr>
      <w:rFonts w:ascii="Tahoma" w:hAnsi="Tahoma"/>
      <w:sz w:val="18"/>
      <w:szCs w:val="18"/>
    </w:rPr>
  </w:style>
  <w:style w:type="character" w:customStyle="1" w:styleId="51">
    <w:name w:val="页脚 Char"/>
    <w:basedOn w:val="29"/>
    <w:link w:val="15"/>
    <w:qFormat/>
    <w:uiPriority w:val="99"/>
    <w:rPr>
      <w:rFonts w:ascii="Tahoma" w:hAnsi="Tahoma"/>
      <w:sz w:val="18"/>
      <w:szCs w:val="18"/>
    </w:rPr>
  </w:style>
  <w:style w:type="character" w:customStyle="1" w:styleId="52">
    <w:name w:val="批注框文本 Char"/>
    <w:basedOn w:val="29"/>
    <w:link w:val="14"/>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109</Pages>
  <Words>43029</Words>
  <Characters>48251</Characters>
  <Lines>392</Lines>
  <Paragraphs>110</Paragraphs>
  <TotalTime>5</TotalTime>
  <ScaleCrop>false</ScaleCrop>
  <LinksUpToDate>false</LinksUpToDate>
  <CharactersWithSpaces>51453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2024-03-06T10:10:58Z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F39B031F108B47A6A5DF2F9443F3BC81_13</vt:lpwstr>
  </property>
</Properties>
</file>