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8"/>
        <w:ind w:firstLine="240"/>
        <w:rPr>
          <w:rFonts w:ascii="黑体" w:eastAsia="黑体"/>
          <w:color w:val="auto"/>
          <w:szCs w:val="21"/>
          <w:highlight w:val="none"/>
        </w:rPr>
      </w:pPr>
    </w:p>
    <w:p>
      <w:pPr>
        <w:pStyle w:val="28"/>
        <w:ind w:left="0" w:firstLine="0" w:firstLineChars="0"/>
        <w:rPr>
          <w:rFonts w:ascii="黑体" w:eastAsia="黑体"/>
          <w:color w:val="auto"/>
          <w:szCs w:val="21"/>
          <w:highlight w:val="none"/>
        </w:rPr>
      </w:pPr>
    </w:p>
    <w:tbl>
      <w:tblPr>
        <w:tblStyle w:val="30"/>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GDZT2024103C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东莞市黄江镇中心幼儿园食堂食材配送服务项目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东莞市黄江镇中心幼儿园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5"/>
        <w:ind w:left="0" w:leftChars="0"/>
        <w:rPr>
          <w:color w:val="auto"/>
          <w:sz w:val="40"/>
          <w:szCs w:val="40"/>
          <w:highlight w:val="none"/>
        </w:rPr>
      </w:pPr>
      <w:r>
        <w:rPr>
          <w:rFonts w:hint="eastAsia"/>
          <w:color w:val="auto"/>
          <w:sz w:val="40"/>
          <w:szCs w:val="40"/>
          <w:highlight w:val="none"/>
        </w:rPr>
        <w:t>目录</w:t>
      </w:r>
    </w:p>
    <w:p>
      <w:pPr>
        <w:pStyle w:val="25"/>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1420"/>
      <w:bookmarkStart w:id="3" w:name="_Toc885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东莞市黄江镇中心幼儿园</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东莞市黄江镇中心幼儿园</w:t>
      </w:r>
      <w:r>
        <w:rPr>
          <w:rFonts w:hint="eastAsia" w:ascii="宋体" w:hAnsi="宋体"/>
          <w:b/>
          <w:bCs/>
          <w:color w:val="auto"/>
          <w:szCs w:val="21"/>
          <w:highlight w:val="none"/>
          <w:u w:val="single"/>
          <w:lang w:val="en-US" w:eastAsia="zh-CN"/>
        </w:rPr>
        <w:t>食</w:t>
      </w:r>
      <w:r>
        <w:rPr>
          <w:rFonts w:hint="eastAsia" w:ascii="宋体" w:hAnsi="宋体"/>
          <w:b/>
          <w:bCs/>
          <w:color w:val="auto"/>
          <w:szCs w:val="21"/>
          <w:highlight w:val="none"/>
          <w:u w:val="single"/>
          <w:lang w:eastAsia="zh-CN"/>
        </w:rPr>
        <w:t>堂食材配送服务项目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GDZT2024103C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东莞市黄江镇中心幼儿园</w:t>
      </w:r>
      <w:r>
        <w:rPr>
          <w:rFonts w:hint="eastAsia" w:ascii="宋体" w:hAnsi="宋体"/>
          <w:color w:val="auto"/>
          <w:szCs w:val="21"/>
          <w:highlight w:val="none"/>
          <w:lang w:val="en-US" w:eastAsia="zh-CN"/>
        </w:rPr>
        <w:t>食</w:t>
      </w:r>
      <w:r>
        <w:rPr>
          <w:rFonts w:hint="eastAsia" w:ascii="宋体" w:hAnsi="宋体"/>
          <w:color w:val="auto"/>
          <w:szCs w:val="21"/>
          <w:highlight w:val="none"/>
          <w:lang w:eastAsia="zh-CN"/>
        </w:rPr>
        <w:t>堂食材配送服务项目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47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036"/>
        <w:gridCol w:w="795"/>
        <w:gridCol w:w="104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6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52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9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655" w:type="pct"/>
            <w:noWrap/>
            <w:tcMar>
              <w:top w:w="15" w:type="dxa"/>
              <w:left w:w="15" w:type="dxa"/>
              <w:right w:w="15" w:type="dxa"/>
            </w:tcMar>
            <w:vAlign w:val="center"/>
          </w:tcPr>
          <w:p>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95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65"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524"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东莞市黄江镇中心幼儿园</w:t>
            </w:r>
            <w:r>
              <w:rPr>
                <w:rFonts w:hint="eastAsia" w:ascii="宋体" w:hAnsi="宋体" w:cs="宋体"/>
                <w:color w:val="auto"/>
                <w:szCs w:val="21"/>
                <w:highlight w:val="none"/>
                <w:lang w:val="en-US" w:eastAsia="zh-CN"/>
              </w:rPr>
              <w:t>食</w:t>
            </w:r>
            <w:r>
              <w:rPr>
                <w:rFonts w:hint="eastAsia" w:ascii="宋体" w:hAnsi="宋体" w:cs="宋体"/>
                <w:color w:val="auto"/>
                <w:szCs w:val="21"/>
                <w:highlight w:val="none"/>
                <w:lang w:eastAsia="zh-CN"/>
              </w:rPr>
              <w:t>堂食材配送服务项目</w:t>
            </w:r>
          </w:p>
        </w:tc>
        <w:tc>
          <w:tcPr>
            <w:tcW w:w="497"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655"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三年</w:t>
            </w:r>
          </w:p>
        </w:tc>
        <w:tc>
          <w:tcPr>
            <w:tcW w:w="956"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无具体预算</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23</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23</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22</w:t>
      </w:r>
      <w:r>
        <w:rPr>
          <w:rFonts w:hint="eastAsia" w:ascii="宋体" w:hAnsi="宋体"/>
          <w:bCs/>
          <w:color w:val="auto"/>
          <w:szCs w:val="21"/>
          <w:highlight w:val="none"/>
        </w:rPr>
        <w:t>日下午14：00～14：30。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22</w:t>
      </w:r>
      <w:r>
        <w:rPr>
          <w:rFonts w:hint="eastAsia" w:ascii="宋体" w:hAnsi="宋体"/>
          <w:bCs/>
          <w:color w:val="auto"/>
          <w:szCs w:val="21"/>
          <w:highlight w:val="none"/>
        </w:rPr>
        <w:t>日下午14时30分。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 xml:space="preserve"> 黄小姐</w:t>
      </w:r>
      <w:bookmarkStart w:id="385" w:name="_GoBack"/>
      <w:bookmarkEnd w:id="385"/>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 xml:space="preserve"> 东莞市黄江镇鸡啼岗路80号</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0769-83600766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w:t>
      </w:r>
    </w:p>
    <w:p>
      <w:pPr>
        <w:pStyle w:val="2"/>
        <w:rPr>
          <w:color w:val="auto"/>
          <w:sz w:val="21"/>
          <w:szCs w:val="21"/>
          <w:highlight w:val="none"/>
        </w:rPr>
      </w:pPr>
    </w:p>
    <w:p>
      <w:pPr>
        <w:pStyle w:val="4"/>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w:t>
            </w:r>
            <w:r>
              <w:rPr>
                <w:rFonts w:hint="eastAsia" w:ascii="宋体" w:hAnsi="宋体"/>
                <w:color w:val="auto"/>
                <w:szCs w:val="21"/>
                <w:highlight w:val="none"/>
                <w:lang w:eastAsia="zh-CN"/>
              </w:rPr>
              <w:t>以定额人民币叁万元</w:t>
            </w:r>
            <w:r>
              <w:rPr>
                <w:rFonts w:hint="eastAsia" w:ascii="宋体" w:hAnsi="宋体"/>
                <w:color w:val="auto"/>
                <w:szCs w:val="21"/>
                <w:highlight w:val="none"/>
              </w:rPr>
              <w:t>向中标单位收取。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pPr>
    </w:p>
    <w:p>
      <w:pPr>
        <w:rPr>
          <w:color w:val="auto"/>
          <w:highlight w:val="none"/>
        </w:rPr>
      </w:pPr>
    </w:p>
    <w:p>
      <w:pPr>
        <w:pStyle w:val="4"/>
        <w:spacing w:before="0" w:after="0" w:line="360" w:lineRule="auto"/>
        <w:rPr>
          <w:color w:val="auto"/>
          <w:highlight w:val="none"/>
        </w:rPr>
      </w:pPr>
      <w:bookmarkStart w:id="8" w:name="_Toc5749"/>
      <w:bookmarkStart w:id="9" w:name="_Toc13473"/>
      <w:bookmarkStart w:id="10" w:name="_Hlk55300595"/>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bookmarkStart w:id="17" w:name="_Toc30638"/>
            <w:bookmarkStart w:id="18" w:name="_Toc29685"/>
            <w:bookmarkStart w:id="19" w:name="_Toc2479"/>
            <w:bookmarkStart w:id="20" w:name="_Toc14146"/>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noWrap w:val="0"/>
            <w:vAlign w:val="center"/>
          </w:tcPr>
          <w:p>
            <w:pPr>
              <w:pStyle w:val="43"/>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项目</w:t>
            </w:r>
            <w:r>
              <w:rPr>
                <w:rFonts w:hint="eastAsia" w:ascii="宋体" w:eastAsia="宋体" w:cs="宋体"/>
                <w:color w:val="auto"/>
                <w:sz w:val="21"/>
                <w:szCs w:val="21"/>
                <w:highlight w:val="none"/>
              </w:rPr>
              <w:t>业绩</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20分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投标人具有食材配送</w:t>
            </w:r>
            <w:r>
              <w:rPr>
                <w:rFonts w:hint="eastAsia" w:ascii="宋体" w:hAnsi="宋体" w:cs="宋体"/>
                <w:color w:val="auto"/>
                <w:kern w:val="2"/>
                <w:sz w:val="21"/>
                <w:szCs w:val="21"/>
                <w:highlight w:val="none"/>
                <w:lang w:val="en-US" w:eastAsia="zh-CN"/>
              </w:rPr>
              <w:t>类项目</w:t>
            </w:r>
            <w:r>
              <w:rPr>
                <w:rFonts w:hint="eastAsia" w:ascii="宋体" w:hAnsi="宋体" w:eastAsia="宋体" w:cs="宋体"/>
                <w:color w:val="auto"/>
                <w:kern w:val="2"/>
                <w:sz w:val="21"/>
                <w:szCs w:val="21"/>
                <w:highlight w:val="none"/>
              </w:rPr>
              <w:t>业绩进行评审，每提供一项业绩得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分，本项满分</w:t>
            </w:r>
            <w:r>
              <w:rPr>
                <w:rFonts w:hint="eastAsia" w:ascii="宋体" w:hAnsi="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 xml:space="preserve">分。 </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color w:val="auto"/>
                <w:kern w:val="2"/>
                <w:sz w:val="21"/>
                <w:szCs w:val="21"/>
                <w:highlight w:val="none"/>
              </w:rPr>
              <w:t>注：须提供合同复印件加盖投标人公章</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pPr>
              <w:pStyle w:val="43"/>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企业实力</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pStyle w:val="43"/>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8分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质量管理体系认证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2、</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环境管理体系认证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3、</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职业健康管理体系认证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w:t>
            </w:r>
            <w:r>
              <w:rPr>
                <w:rFonts w:hint="eastAsia" w:ascii="宋体" w:hAnsi="宋体" w:cs="宋体"/>
                <w:color w:val="auto"/>
                <w:kern w:val="2"/>
                <w:sz w:val="21"/>
                <w:szCs w:val="21"/>
                <w:highlight w:val="none"/>
                <w:lang w:val="en-US" w:eastAsia="zh-CN"/>
              </w:rPr>
              <w:t>投标人具有危害分析与关键控制点体系</w:t>
            </w:r>
            <w:r>
              <w:rPr>
                <w:rFonts w:hint="eastAsia" w:ascii="宋体" w:hAnsi="宋体" w:eastAsia="宋体" w:cs="宋体"/>
                <w:color w:val="auto"/>
                <w:kern w:val="2"/>
                <w:sz w:val="21"/>
                <w:szCs w:val="21"/>
                <w:highlight w:val="none"/>
              </w:rPr>
              <w:t>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5、投标人具有绿色供应链认证证书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6、投标人具有食品可追溯管理体系认证证书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7、投标人具有服务质量评价认证证书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8、投标人具有履约能力评价服务认证证书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kinsoku/>
              <w:wordWrap/>
              <w:overflowPunct/>
              <w:topLinePunct w:val="0"/>
              <w:autoSpaceDE/>
              <w:autoSpaceDN/>
              <w:bidi w:val="0"/>
              <w:adjustRightInd/>
              <w:snapToGrid/>
              <w:spacing w:before="37" w:beforeLines="10" w:after="37" w:afterLines="10"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cs="宋体"/>
                <w:color w:val="auto"/>
                <w:kern w:val="2"/>
                <w:sz w:val="21"/>
                <w:szCs w:val="21"/>
                <w:highlight w:val="none"/>
                <w:lang w:val="en-US" w:eastAsia="zh-CN"/>
              </w:rPr>
              <w:t>注：</w:t>
            </w:r>
            <w:r>
              <w:rPr>
                <w:rFonts w:hint="eastAsia" w:ascii="宋体" w:hAnsi="宋体" w:eastAsia="宋体" w:cs="宋体"/>
                <w:color w:val="auto"/>
                <w:kern w:val="2"/>
                <w:sz w:val="21"/>
                <w:szCs w:val="21"/>
                <w:highlight w:val="none"/>
                <w:lang w:val="en-US" w:eastAsia="zh-CN"/>
              </w:rPr>
              <w:t>须提供有效期内证书复印件加盖</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lang w:val="en-US" w:eastAsia="zh-CN"/>
              </w:rPr>
              <w:t>公章</w:t>
            </w:r>
            <w:r>
              <w:rPr>
                <w:rFonts w:hint="eastAsia" w:ascii="宋体" w:hAnsi="宋体" w:eastAsia="宋体" w:cs="宋体"/>
                <w:bCs/>
                <w:color w:val="auto"/>
                <w:sz w:val="21"/>
                <w:szCs w:val="21"/>
                <w:highlight w:val="none"/>
                <w:lang w:val="pt-BR"/>
              </w:rPr>
              <w:t>，否则不得分</w:t>
            </w:r>
            <w:r>
              <w:rPr>
                <w:rFonts w:hint="eastAsia" w:ascii="宋体" w:hAnsi="宋体" w:eastAsia="宋体" w:cs="宋体"/>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rPr>
              <w:t>服务便利性</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2分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lang w:val="pt-BR"/>
              </w:rPr>
              <w:t>，不得分。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bCs/>
                <w:color w:val="auto"/>
                <w:sz w:val="21"/>
                <w:szCs w:val="21"/>
                <w:highlight w:val="none"/>
                <w:lang w:val="pt-BR"/>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对项目重点难点分析</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bCs/>
                <w:color w:val="auto"/>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color w:val="auto"/>
                <w:kern w:val="2"/>
                <w:sz w:val="21"/>
                <w:szCs w:val="21"/>
                <w:highlight w:val="none"/>
              </w:rPr>
              <w:t>项目重点难点分析</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cs="宋体"/>
                <w:color w:val="auto"/>
                <w:kern w:val="2"/>
                <w:sz w:val="21"/>
                <w:szCs w:val="21"/>
                <w:highlight w:val="none"/>
                <w:lang w:val="en-US" w:eastAsia="zh-CN"/>
              </w:rPr>
              <w:t>分析等情况进行综合评审：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1)对本项目重点难点分析详细、透彻，能结合本项目实际情况分析，科学、合理的，得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2)对本项目重点难点分析较详细、透彻，能结合本项目实际情况分析，较科学、合理的，得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)对本项目重点难点分析</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2"/>
                <w:sz w:val="21"/>
                <w:szCs w:val="21"/>
                <w:highlight w:val="none"/>
              </w:rPr>
              <w:t>5)其他或无响应，得0分。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kern w:val="2"/>
                <w:sz w:val="21"/>
                <w:szCs w:val="21"/>
                <w:highlight w:val="none"/>
              </w:rPr>
              <w:t>投标产品的质量保证和食品安全保障措施方案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15分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bCs/>
                <w:color w:val="auto"/>
                <w:kern w:val="2"/>
                <w:sz w:val="21"/>
                <w:szCs w:val="21"/>
                <w:highlight w:val="none"/>
              </w:rPr>
              <w:t>投标产品的质量保证和食品安全保障措施方案</w:t>
            </w:r>
            <w:r>
              <w:rPr>
                <w:rFonts w:hint="eastAsia" w:ascii="宋体" w:hAnsi="宋体" w:cs="宋体"/>
                <w:bCs/>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1)投标产品的来源回溯、运储、仓储各环节的质量保证及食品安全保障措施完整、科学、合理的得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2)投标产品的来源回溯、运储、仓储各环节的质量保证及食品安全保障措施</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完整、较科学、</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3)投标产品的来源回溯、运储、仓储各环节的质量保证及食品安全保障措施基本完整、基本科学、</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4)投标产品的来源回溯、运储、仓储各环节的质量保证及食品安全保障措施不完整、缺乏科学合理性的得1分；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配送服务方案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rPr>
            </w:pPr>
            <w:r>
              <w:rPr>
                <w:rFonts w:hint="eastAsia" w:ascii="宋体" w:hAnsi="宋体" w:cs="宋体"/>
                <w:bCs/>
                <w:color w:val="auto"/>
                <w:sz w:val="21"/>
                <w:szCs w:val="21"/>
                <w:highlight w:val="none"/>
                <w:lang w:val="en-US" w:eastAsia="zh-CN"/>
              </w:rPr>
              <w:t>15分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根据投标人提供的</w:t>
            </w:r>
            <w:r>
              <w:rPr>
                <w:rFonts w:hint="eastAsia" w:ascii="宋体" w:hAnsi="宋体" w:eastAsia="宋体" w:cs="宋体"/>
                <w:color w:val="auto"/>
                <w:kern w:val="2"/>
                <w:sz w:val="21"/>
                <w:szCs w:val="21"/>
                <w:highlight w:val="none"/>
              </w:rPr>
              <w:t>配送服务方案</w:t>
            </w:r>
            <w:r>
              <w:rPr>
                <w:rFonts w:hint="eastAsia" w:ascii="宋体" w:hAnsi="宋体" w:cs="宋体"/>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1)方案内容完整、详细、表述清晰、科学合理、切实可行，得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2)方案内容较完整、</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详细、表述较清晰、合理可行，得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3)方案内容基本完整、表述基本清晰、基本合理可行，得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4)方案内容不完整、表述不清晰、缺乏合理性，得1分；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出现产品质量问题退换货方案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rPr>
            </w:pPr>
            <w:r>
              <w:rPr>
                <w:rFonts w:hint="eastAsia" w:ascii="宋体" w:hAnsi="宋体" w:cs="宋体"/>
                <w:color w:val="auto"/>
                <w:kern w:val="2"/>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投标人提供</w:t>
            </w:r>
            <w:r>
              <w:rPr>
                <w:rFonts w:hint="eastAsia" w:ascii="宋体" w:hAnsi="宋体" w:eastAsia="宋体" w:cs="宋体"/>
                <w:color w:val="auto"/>
                <w:kern w:val="2"/>
                <w:sz w:val="21"/>
                <w:szCs w:val="21"/>
                <w:highlight w:val="none"/>
              </w:rPr>
              <w:t>的退换方案（包含：退换流程）及措施进行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退换货方案全面、详细具体、流程科学（合理）、退换货周期快速，得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)退换货方案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具体、流程</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合理、退换货周期快速，得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)退换货方案不够全面、简略一般、流程基本合理、退换货周期一般，得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)退换货方案存在重大缺陷、流程具有重大漏洞的、退换货周期慢，得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突发事件的应急响应方案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提供</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项目实施应急服务预案</w:t>
            </w:r>
            <w:r>
              <w:rPr>
                <w:rFonts w:hint="eastAsia" w:ascii="宋体" w:hAnsi="宋体" w:cs="宋体"/>
                <w:color w:val="auto"/>
                <w:kern w:val="2"/>
                <w:sz w:val="21"/>
                <w:szCs w:val="21"/>
                <w:highlight w:val="none"/>
                <w:lang w:val="en-US" w:eastAsia="zh-CN"/>
              </w:rPr>
              <w:t>进行综合评审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针对本项目拟定的突发事件的处理措施和应急预案全面、科学、合理、可行且详细的，得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)针对本项目拟定的突发事件的处理措施和应急预案不全面、</w:t>
            </w:r>
            <w:r>
              <w:rPr>
                <w:rFonts w:hint="eastAsia" w:ascii="宋体" w:hAnsi="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注：（1）无特殊说明外，以上评审项，同一证明文件不重复计分。（2）</w:t>
            </w:r>
            <w:r>
              <w:rPr>
                <w:rFonts w:hint="eastAsia" w:ascii="宋体" w:hAnsi="宋体"/>
                <w:b/>
                <w:color w:val="auto"/>
                <w:sz w:val="21"/>
                <w:szCs w:val="21"/>
                <w:highlight w:val="none"/>
                <w:lang w:eastAsia="zh-CN"/>
              </w:rPr>
              <w:t>投标人</w:t>
            </w:r>
            <w:r>
              <w:rPr>
                <w:rFonts w:hint="eastAsia" w:ascii="宋体" w:hAnsi="宋体" w:eastAsia="宋体"/>
                <w:b/>
                <w:color w:val="auto"/>
                <w:sz w:val="21"/>
                <w:szCs w:val="21"/>
                <w:highlight w:val="none"/>
              </w:rPr>
              <w:t>根据以上评分要求提供的</w:t>
            </w:r>
            <w:r>
              <w:rPr>
                <w:rFonts w:hint="eastAsia" w:ascii="宋体" w:hAnsi="宋体"/>
                <w:b/>
                <w:color w:val="auto"/>
                <w:sz w:val="21"/>
                <w:szCs w:val="21"/>
                <w:highlight w:val="none"/>
                <w:lang w:val="en-US" w:eastAsia="zh-CN"/>
              </w:rPr>
              <w:t>投标</w:t>
            </w:r>
            <w:r>
              <w:rPr>
                <w:rFonts w:hint="eastAsia" w:ascii="宋体" w:hAnsi="宋体" w:eastAsia="宋体"/>
                <w:b/>
                <w:color w:val="auto"/>
                <w:sz w:val="21"/>
                <w:szCs w:val="21"/>
                <w:highlight w:val="none"/>
                <w:lang w:eastAsia="zh-CN"/>
              </w:rPr>
              <w:t>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投标报价</w:t>
            </w:r>
          </w:p>
        </w:tc>
        <w:tc>
          <w:tcPr>
            <w:tcW w:w="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0</w:t>
            </w:r>
            <w:r>
              <w:rPr>
                <w:rFonts w:hint="eastAsia" w:ascii="宋体" w:hAnsi="宋体" w:cs="宋体"/>
                <w:color w:val="auto"/>
                <w:kern w:val="2"/>
                <w:sz w:val="21"/>
                <w:szCs w:val="21"/>
                <w:highlight w:val="none"/>
                <w:lang w:val="en-US" w:eastAsia="zh-CN"/>
              </w:rPr>
              <w:t>分</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pPr>
        <w:pStyle w:val="2"/>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4"/>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11105"/>
      <w:bookmarkStart w:id="22" w:name="_Toc19746"/>
      <w:bookmarkStart w:id="23" w:name="_Toc3095"/>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18488"/>
      <w:bookmarkStart w:id="25" w:name="_Toc22803"/>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21002"/>
      <w:bookmarkStart w:id="28" w:name="_Toc16848"/>
      <w:bookmarkStart w:id="29" w:name="_Toc13400"/>
      <w:r>
        <w:rPr>
          <w:rFonts w:hint="eastAsia" w:ascii="宋体" w:hAnsi="宋体"/>
          <w:color w:val="auto"/>
          <w:sz w:val="21"/>
          <w:szCs w:val="21"/>
          <w:highlight w:val="none"/>
        </w:rPr>
        <w:t>2.</w:t>
      </w:r>
      <w:bookmarkStart w:id="30" w:name="_Toc298847174"/>
      <w:bookmarkStart w:id="31" w:name="_Toc1530"/>
      <w:bookmarkStart w:id="32" w:name="_Toc303084246"/>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5945"/>
      <w:bookmarkStart w:id="38" w:name="_Toc13909"/>
      <w:bookmarkStart w:id="39" w:name="_Toc12536"/>
      <w:r>
        <w:rPr>
          <w:rFonts w:hint="eastAsia" w:ascii="宋体" w:hAnsi="宋体"/>
          <w:color w:val="auto"/>
          <w:sz w:val="21"/>
          <w:szCs w:val="21"/>
          <w:highlight w:val="none"/>
        </w:rPr>
        <w:t>4.投标费用</w:t>
      </w:r>
      <w:bookmarkEnd w:id="37"/>
      <w:bookmarkEnd w:id="38"/>
      <w:bookmarkEnd w:id="39"/>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094"/>
      <w:bookmarkStart w:id="41" w:name="_Toc25040"/>
      <w:bookmarkStart w:id="42" w:name="_Toc19532"/>
      <w:r>
        <w:rPr>
          <w:rFonts w:hint="eastAsia" w:ascii="宋体" w:hAnsi="宋体"/>
          <w:color w:val="auto"/>
          <w:sz w:val="21"/>
          <w:szCs w:val="21"/>
          <w:highlight w:val="none"/>
        </w:rPr>
        <w:t>5.知识产权</w:t>
      </w:r>
      <w:bookmarkEnd w:id="40"/>
      <w:bookmarkEnd w:id="41"/>
      <w:bookmarkEnd w:id="42"/>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21930"/>
      <w:bookmarkStart w:id="44" w:name="_Toc31885"/>
      <w:bookmarkStart w:id="45" w:name="_Toc8432"/>
      <w:r>
        <w:rPr>
          <w:rFonts w:hint="eastAsia" w:ascii="宋体" w:hAnsi="宋体"/>
          <w:color w:val="auto"/>
          <w:sz w:val="21"/>
          <w:szCs w:val="21"/>
          <w:highlight w:val="none"/>
        </w:rPr>
        <w:t>6.关于联合体投标</w:t>
      </w:r>
      <w:bookmarkEnd w:id="43"/>
      <w:bookmarkEnd w:id="44"/>
      <w:bookmarkEnd w:id="45"/>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13811"/>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13494"/>
      <w:bookmarkStart w:id="54" w:name="_Toc1423"/>
      <w:bookmarkStart w:id="55" w:name="_Toc21771"/>
      <w:r>
        <w:rPr>
          <w:rFonts w:hint="eastAsia" w:ascii="宋体" w:hAnsi="宋体"/>
          <w:color w:val="auto"/>
          <w:sz w:val="21"/>
          <w:szCs w:val="21"/>
          <w:highlight w:val="none"/>
        </w:rPr>
        <w:t>8.招标文件的组成</w:t>
      </w:r>
      <w:bookmarkEnd w:id="53"/>
      <w:bookmarkEnd w:id="54"/>
      <w:bookmarkEnd w:id="55"/>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7997"/>
      <w:bookmarkStart w:id="57" w:name="_Toc17274"/>
      <w:bookmarkStart w:id="58" w:name="_Toc14217"/>
      <w:r>
        <w:rPr>
          <w:rFonts w:hint="eastAsia" w:ascii="宋体" w:hAnsi="宋体"/>
          <w:color w:val="auto"/>
          <w:sz w:val="21"/>
          <w:szCs w:val="21"/>
          <w:highlight w:val="none"/>
        </w:rPr>
        <w:t>9.招标文件的澄清或修改</w:t>
      </w:r>
      <w:bookmarkEnd w:id="56"/>
      <w:bookmarkEnd w:id="57"/>
      <w:bookmarkEnd w:id="58"/>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5"/>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4773"/>
      <w:bookmarkStart w:id="60" w:name="_Toc23726"/>
      <w:bookmarkStart w:id="61" w:name="_Toc16712"/>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28092"/>
      <w:bookmarkStart w:id="63" w:name="_Toc7434"/>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303084256"/>
      <w:bookmarkStart w:id="66" w:name="_Toc382049103"/>
      <w:bookmarkStart w:id="67" w:name="_Toc28866"/>
      <w:bookmarkStart w:id="68" w:name="_Toc12145"/>
      <w:bookmarkStart w:id="69" w:name="_Toc7728"/>
      <w:bookmarkStart w:id="70" w:name="_Toc307934854"/>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5"/>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pPr>
        <w:pStyle w:val="40"/>
        <w:widowControl w:val="0"/>
        <w:numPr>
          <w:ilvl w:val="0"/>
          <w:numId w:val="5"/>
        </w:numPr>
        <w:adjustRightInd/>
        <w:snapToGrid/>
        <w:ind w:firstLineChars="0"/>
        <w:jc w:val="both"/>
        <w:rPr>
          <w:rFonts w:ascii="宋体" w:hAnsi="宋体"/>
          <w:vanish/>
          <w:color w:val="auto"/>
          <w:szCs w:val="21"/>
          <w:highlight w:val="none"/>
        </w:rPr>
      </w:pPr>
      <w:bookmarkStart w:id="75" w:name="_Toc303084258"/>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7847"/>
      <w:bookmarkStart w:id="77" w:name="_Toc259"/>
      <w:bookmarkStart w:id="78" w:name="_Toc17188"/>
      <w:r>
        <w:rPr>
          <w:rFonts w:hint="eastAsia" w:ascii="宋体" w:hAnsi="宋体"/>
          <w:color w:val="auto"/>
          <w:sz w:val="21"/>
          <w:szCs w:val="21"/>
          <w:highlight w:val="none"/>
        </w:rPr>
        <w:t>13.投标报价说明</w:t>
      </w:r>
      <w:bookmarkEnd w:id="76"/>
      <w:bookmarkEnd w:id="77"/>
      <w:bookmarkEnd w:id="78"/>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18911"/>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40"/>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12456"/>
      <w:bookmarkStart w:id="88" w:name="_Toc30257"/>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40"/>
        <w:widowControl w:val="0"/>
        <w:numPr>
          <w:ilvl w:val="0"/>
          <w:numId w:val="5"/>
        </w:numPr>
        <w:adjustRightInd/>
        <w:snapToGrid/>
        <w:ind w:firstLineChars="0"/>
        <w:jc w:val="both"/>
        <w:rPr>
          <w:rFonts w:ascii="宋体" w:hAnsi="宋体"/>
          <w:vanish/>
          <w:color w:val="auto"/>
          <w:szCs w:val="21"/>
          <w:highlight w:val="none"/>
        </w:rPr>
      </w:pPr>
      <w:bookmarkStart w:id="90" w:name="_Ref179619405"/>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29590"/>
      <w:bookmarkStart w:id="95" w:name="_Toc23678"/>
      <w:bookmarkStart w:id="96" w:name="_Toc303084264"/>
      <w:bookmarkStart w:id="97" w:name="_Toc24997"/>
      <w:bookmarkStart w:id="98" w:name="_Toc382049111"/>
      <w:bookmarkStart w:id="99" w:name="_Toc473"/>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9649"/>
      <w:bookmarkStart w:id="104" w:name="_Toc8526"/>
      <w:bookmarkStart w:id="105" w:name="_Toc13212"/>
      <w:r>
        <w:rPr>
          <w:rFonts w:hint="eastAsia" w:ascii="宋体" w:hAnsi="宋体"/>
          <w:color w:val="auto"/>
          <w:sz w:val="21"/>
          <w:szCs w:val="21"/>
          <w:highlight w:val="none"/>
        </w:rPr>
        <w:t>19.投标样品（如需提交）</w:t>
      </w:r>
      <w:bookmarkEnd w:id="103"/>
      <w:bookmarkEnd w:id="104"/>
      <w:bookmarkEnd w:id="105"/>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7689"/>
      <w:bookmarkStart w:id="107" w:name="_Toc303084265"/>
      <w:bookmarkStart w:id="108" w:name="_Toc9777"/>
      <w:bookmarkStart w:id="109" w:name="_Toc5900"/>
      <w:bookmarkStart w:id="110" w:name="_Toc382049112"/>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6003"/>
      <w:bookmarkStart w:id="113" w:name="_Toc15569"/>
      <w:bookmarkStart w:id="114" w:name="_Toc11133"/>
      <w:r>
        <w:rPr>
          <w:rFonts w:hint="eastAsia" w:ascii="宋体" w:hAnsi="宋体"/>
          <w:color w:val="auto"/>
          <w:sz w:val="21"/>
          <w:szCs w:val="21"/>
          <w:highlight w:val="none"/>
        </w:rPr>
        <w:t>21.投标文件的补充、修改与撤回</w:t>
      </w:r>
      <w:bookmarkEnd w:id="112"/>
      <w:bookmarkEnd w:id="113"/>
      <w:bookmarkEnd w:id="114"/>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spacing w:line="480" w:lineRule="auto"/>
        <w:jc w:val="center"/>
        <w:rPr>
          <w:rFonts w:ascii="宋体" w:hAnsi="宋体"/>
          <w:color w:val="auto"/>
          <w:highlight w:val="none"/>
        </w:rPr>
      </w:pPr>
      <w:bookmarkStart w:id="115" w:name="_Toc23466"/>
      <w:bookmarkStart w:id="116" w:name="_Toc29574"/>
      <w:bookmarkStart w:id="117" w:name="_Toc5049"/>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8458"/>
      <w:bookmarkStart w:id="119" w:name="_Toc27700"/>
      <w:bookmarkStart w:id="120" w:name="_Toc24251"/>
      <w:r>
        <w:rPr>
          <w:rFonts w:hint="eastAsia" w:ascii="宋体" w:hAnsi="宋体"/>
          <w:color w:val="auto"/>
          <w:sz w:val="21"/>
          <w:szCs w:val="21"/>
          <w:highlight w:val="none"/>
        </w:rPr>
        <w:t>22.开标</w:t>
      </w:r>
      <w:bookmarkEnd w:id="118"/>
      <w:bookmarkEnd w:id="119"/>
      <w:bookmarkEnd w:id="120"/>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5"/>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5524"/>
      <w:bookmarkStart w:id="122" w:name="_Toc597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15231"/>
      <w:bookmarkStart w:id="125" w:name="_Toc26402"/>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3762"/>
      <w:bookmarkStart w:id="128" w:name="_Toc18436"/>
      <w:bookmarkStart w:id="129" w:name="_Toc16745"/>
      <w:r>
        <w:rPr>
          <w:rFonts w:hint="eastAsia" w:ascii="宋体" w:hAnsi="宋体"/>
          <w:color w:val="auto"/>
          <w:sz w:val="21"/>
          <w:szCs w:val="21"/>
          <w:highlight w:val="none"/>
        </w:rPr>
        <w:t>25.投标文件的初审</w:t>
      </w:r>
      <w:bookmarkEnd w:id="127"/>
      <w:bookmarkEnd w:id="128"/>
      <w:bookmarkEnd w:id="129"/>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5"/>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22192"/>
      <w:bookmarkStart w:id="134" w:name="_Toc7593"/>
      <w:bookmarkStart w:id="135" w:name="_Toc17683"/>
      <w:r>
        <w:rPr>
          <w:rFonts w:hint="eastAsia" w:ascii="宋体" w:hAnsi="宋体"/>
          <w:color w:val="auto"/>
          <w:sz w:val="21"/>
          <w:szCs w:val="21"/>
          <w:highlight w:val="none"/>
        </w:rPr>
        <w:t>27.优惠政策</w:t>
      </w:r>
      <w:bookmarkEnd w:id="133"/>
      <w:bookmarkEnd w:id="134"/>
      <w:bookmarkEnd w:id="135"/>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5"/>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382049120"/>
      <w:bookmarkStart w:id="138" w:name="_Toc31141"/>
      <w:bookmarkStart w:id="139" w:name="_Toc20328"/>
      <w:bookmarkStart w:id="140" w:name="_Toc22591"/>
      <w:bookmarkStart w:id="141"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27817"/>
      <w:bookmarkStart w:id="146" w:name="_Toc17778"/>
      <w:bookmarkStart w:id="147" w:name="_Toc508284011"/>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12440"/>
      <w:bookmarkStart w:id="150" w:name="_Toc508284013"/>
      <w:bookmarkStart w:id="151" w:name="_Toc29283"/>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5"/>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451"/>
      <w:bookmarkStart w:id="154" w:name="_Toc22262"/>
      <w:bookmarkStart w:id="155" w:name="_Toc27279"/>
      <w:r>
        <w:rPr>
          <w:rFonts w:hint="eastAsia" w:ascii="宋体" w:hAnsi="宋体"/>
          <w:color w:val="auto"/>
          <w:sz w:val="21"/>
          <w:szCs w:val="21"/>
          <w:highlight w:val="none"/>
        </w:rPr>
        <w:t>31.合同的签订与履行</w:t>
      </w:r>
      <w:bookmarkEnd w:id="153"/>
      <w:bookmarkEnd w:id="154"/>
      <w:bookmarkEnd w:id="155"/>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382049124"/>
      <w:bookmarkStart w:id="157" w:name="_Toc25756"/>
      <w:bookmarkStart w:id="158" w:name="_Toc303084277"/>
      <w:bookmarkStart w:id="159" w:name="_Toc7405"/>
      <w:bookmarkStart w:id="160" w:name="_Toc29009"/>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2900"/>
      <w:bookmarkStart w:id="166" w:name="_Toc25498"/>
      <w:bookmarkStart w:id="167" w:name="_Toc17974"/>
      <w:r>
        <w:rPr>
          <w:rFonts w:hint="eastAsia" w:ascii="宋体" w:hAnsi="宋体"/>
          <w:color w:val="auto"/>
          <w:sz w:val="21"/>
          <w:szCs w:val="21"/>
          <w:highlight w:val="none"/>
        </w:rPr>
        <w:t>33.询问</w:t>
      </w:r>
      <w:bookmarkEnd w:id="165"/>
      <w:bookmarkEnd w:id="166"/>
      <w:bookmarkEnd w:id="167"/>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68" w:name="_Toc11264"/>
      <w:bookmarkStart w:id="169" w:name="_Toc8234"/>
      <w:bookmarkStart w:id="170" w:name="_Toc2767"/>
      <w:r>
        <w:rPr>
          <w:rFonts w:hint="eastAsia" w:ascii="宋体" w:hAnsi="宋体"/>
          <w:color w:val="auto"/>
          <w:sz w:val="21"/>
          <w:szCs w:val="21"/>
          <w:highlight w:val="none"/>
        </w:rPr>
        <w:t>34.质疑</w:t>
      </w:r>
      <w:bookmarkEnd w:id="168"/>
      <w:bookmarkEnd w:id="169"/>
      <w:bookmarkEnd w:id="170"/>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10082"/>
      <w:bookmarkStart w:id="175" w:name="_Toc6548"/>
      <w:bookmarkStart w:id="176" w:name="_Toc21187"/>
      <w:r>
        <w:rPr>
          <w:rFonts w:hint="eastAsia" w:ascii="宋体" w:hAnsi="宋体"/>
          <w:color w:val="auto"/>
          <w:sz w:val="21"/>
          <w:szCs w:val="21"/>
          <w:highlight w:val="none"/>
        </w:rPr>
        <w:t>35.招标文件的解释权</w:t>
      </w:r>
      <w:bookmarkEnd w:id="174"/>
      <w:bookmarkEnd w:id="175"/>
      <w:bookmarkEnd w:id="176"/>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7011"/>
      <w:bookmarkStart w:id="178" w:name="_Toc31854"/>
      <w:bookmarkStart w:id="179" w:name="_Toc382"/>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9"/>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369"/>
        <w:gridCol w:w="67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rPr>
            </w:pPr>
            <w:r>
              <w:rPr>
                <w:rFonts w:hint="eastAsia" w:ascii="宋体" w:hAnsi="宋体"/>
                <w:color w:val="auto"/>
                <w:szCs w:val="21"/>
                <w:highlight w:val="none"/>
                <w:lang w:val="en-US" w:eastAsia="zh-CN"/>
              </w:rPr>
              <w:t>服务期</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三年</w:t>
            </w:r>
            <w:r>
              <w:rPr>
                <w:rFonts w:hint="default" w:ascii="宋体" w:hAnsi="宋体" w:eastAsia="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bidi="zh-CN"/>
              </w:rPr>
              <w:t>双方采取先送货后结款的方式，从第一次送货之日起，采购人每个月向</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结清货款一次；双方应在合同有效期内每月5日前对好上期货款（遇节假日顺延）。</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根据双方核对无误确认好的金额开具发票给采购人，采购人以转账方式将货款一次性全额转入成交供应商合同中书面指定的银行账户。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782" w:type="pct"/>
            <w:vAlign w:val="center"/>
          </w:tcPr>
          <w:p>
            <w:pPr>
              <w:pStyle w:val="72"/>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报价要求</w:t>
            </w:r>
          </w:p>
        </w:tc>
        <w:tc>
          <w:tcPr>
            <w:tcW w:w="3851" w:type="pct"/>
            <w:vAlign w:val="center"/>
          </w:tcPr>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本项目采用下浮率报价，结算时统一采用以下方式计算费用：供货单价=（1-</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下浮率）*基准价。</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）定价及定价周期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1.采购人和中标人按以下方式确定供货价格（定价原则）：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1.1原则上以东莞物价专栏(http://jgxx.dgdp.dg.gov.cn/)中《</w:t>
            </w:r>
            <w:r>
              <w:rPr>
                <w:rFonts w:hint="eastAsia" w:ascii="宋体" w:hAnsi="宋体" w:eastAsia="宋体" w:cs="Times New Roman"/>
                <w:color w:val="auto"/>
                <w:sz w:val="21"/>
                <w:szCs w:val="21"/>
                <w:highlight w:val="none"/>
              </w:rPr>
              <w:fldChar w:fldCharType="begin"/>
            </w:r>
            <w:r>
              <w:rPr>
                <w:rFonts w:hint="eastAsia" w:ascii="宋体" w:hAnsi="宋体" w:eastAsia="宋体" w:cs="Times New Roman"/>
                <w:color w:val="auto"/>
                <w:sz w:val="21"/>
                <w:szCs w:val="21"/>
                <w:highlight w:val="none"/>
              </w:rPr>
              <w:instrText xml:space="preserve"> HYPERLINK "http://jgxx.dgdp.dg.gov.cn/../../../business/htmlfiles/dgwjj/pjgjc1/list.htm" \t "_blank" </w:instrText>
            </w:r>
            <w:r>
              <w:rPr>
                <w:rFonts w:hint="eastAsia" w:ascii="宋体" w:hAnsi="宋体" w:eastAsia="宋体" w:cs="Times New Roman"/>
                <w:color w:val="auto"/>
                <w:sz w:val="21"/>
                <w:szCs w:val="21"/>
                <w:highlight w:val="none"/>
              </w:rPr>
              <w:fldChar w:fldCharType="separate"/>
            </w:r>
            <w:r>
              <w:rPr>
                <w:rFonts w:hint="eastAsia" w:ascii="宋体" w:hAnsi="宋体" w:eastAsia="宋体" w:cs="Times New Roman"/>
                <w:color w:val="auto"/>
                <w:sz w:val="21"/>
                <w:szCs w:val="21"/>
                <w:highlight w:val="none"/>
              </w:rPr>
              <w:t>广东省城市居民食品零售价格监测表</w:t>
            </w:r>
            <w:r>
              <w:rPr>
                <w:rFonts w:hint="eastAsia" w:ascii="宋体" w:hAnsi="宋体" w:eastAsia="宋体" w:cs="Times New Roman"/>
                <w:color w:val="auto"/>
                <w:sz w:val="21"/>
                <w:szCs w:val="21"/>
                <w:highlight w:val="none"/>
              </w:rPr>
              <w:fldChar w:fldCharType="end"/>
            </w:r>
            <w:r>
              <w:rPr>
                <w:rFonts w:hint="eastAsia" w:ascii="宋体" w:hAnsi="宋体" w:eastAsia="宋体" w:cs="Times New Roman"/>
                <w:color w:val="auto"/>
                <w:sz w:val="21"/>
                <w:szCs w:val="21"/>
                <w:highlight w:val="none"/>
              </w:rPr>
              <w:t>》（东莞市菜篮子价格监测日报表）最新公布本期价格作为基准价；若东莞物价专栏无采购人所需的相同品种，则采购人将对</w:t>
            </w:r>
            <w:r>
              <w:rPr>
                <w:rFonts w:hint="eastAsia" w:ascii="宋体" w:hAnsi="宋体" w:eastAsia="宋体" w:cs="Times New Roman"/>
                <w:color w:val="auto"/>
                <w:sz w:val="21"/>
                <w:szCs w:val="21"/>
                <w:highlight w:val="none"/>
                <w:lang w:eastAsia="zh-CN"/>
              </w:rPr>
              <w:t>邻近</w:t>
            </w:r>
            <w:r>
              <w:rPr>
                <w:rFonts w:hint="eastAsia" w:ascii="宋体" w:hAnsi="宋体" w:eastAsia="宋体" w:cs="Times New Roman"/>
                <w:color w:val="auto"/>
                <w:sz w:val="21"/>
                <w:szCs w:val="21"/>
                <w:highlight w:val="none"/>
              </w:rPr>
              <w:t>市场的市场零售价（精品零售价）进行抽样调查，</w:t>
            </w:r>
            <w:r>
              <w:rPr>
                <w:rFonts w:hint="eastAsia" w:ascii="宋体" w:hAnsi="宋体" w:eastAsia="宋体" w:cs="Times New Roman"/>
                <w:color w:val="auto"/>
                <w:sz w:val="21"/>
                <w:szCs w:val="21"/>
                <w:highlight w:val="none"/>
                <w:lang w:eastAsia="zh-CN"/>
              </w:rPr>
              <w:t>对比</w:t>
            </w:r>
            <w:r>
              <w:rPr>
                <w:rFonts w:hint="eastAsia" w:ascii="宋体" w:hAnsi="宋体" w:eastAsia="宋体" w:cs="Times New Roman"/>
                <w:color w:val="auto"/>
                <w:sz w:val="21"/>
                <w:szCs w:val="21"/>
                <w:highlight w:val="none"/>
              </w:rPr>
              <w:t>相同品种的市场平均价格。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1.2临时委托采购：中标人必须按照采购人急需餐料物资品种、数量、送货时间、地点等在4小时内进行供货，若急需餐料物资不在供货物资清单表上，其供货价格采购人在2个工作日内给予复核。</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3.定价周期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A类（粮油干货类）价格每半月更新一次，中标人每月28日前提交下个月报价给采购人审核；</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3.2  B类（肉类）每半月更新一次，中标人每月13日前提交下半月报价给采购人审核，每月28日前提交下个月上半月报价给采购人审核；</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Times New Roman"/>
                <w:color w:val="auto"/>
                <w:sz w:val="21"/>
                <w:szCs w:val="21"/>
                <w:highlight w:val="none"/>
              </w:rPr>
              <w:t>3.3  C类（蔬果类）价格每半月更新一次，中标人每月13日前提交下半月报价给采购人审核，每月28日前提交下个月上半月报价给采购人审核。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olor w:val="auto"/>
                <w:szCs w:val="21"/>
                <w:highlight w:val="none"/>
                <w:lang w:val="en-US" w:eastAsia="zh-CN"/>
              </w:rPr>
            </w:pPr>
            <w:r>
              <w:rPr>
                <w:rFonts w:hint="eastAsia" w:ascii="宋体" w:hAnsi="宋体" w:eastAsia="宋体" w:cs="宋体"/>
                <w:color w:val="auto"/>
                <w:sz w:val="21"/>
                <w:szCs w:val="21"/>
                <w:highlight w:val="none"/>
              </w:rPr>
              <w:t>投标有效期</w:t>
            </w:r>
          </w:p>
        </w:tc>
        <w:tc>
          <w:tcPr>
            <w:tcW w:w="3851"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其它要求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2"/>
        <w:rPr>
          <w:color w:val="auto"/>
          <w:highlight w:val="none"/>
          <w:lang w:val="en-US"/>
        </w:rPr>
      </w:pPr>
    </w:p>
    <w:p>
      <w:pPr>
        <w:pStyle w:val="11"/>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28"/>
        <w:ind w:left="0" w:leftChars="0" w:firstLine="0" w:firstLineChars="0"/>
        <w:rPr>
          <w:color w:val="auto"/>
          <w:highlight w:val="none"/>
          <w:lang w:val="en-US"/>
        </w:rPr>
      </w:pPr>
    </w:p>
    <w:p>
      <w:pPr>
        <w:pStyle w:val="28"/>
        <w:ind w:left="0" w:leftChars="0" w:firstLine="0" w:firstLineChars="0"/>
        <w:rPr>
          <w:color w:val="auto"/>
          <w:highlight w:val="none"/>
          <w:lang w:val="en-US"/>
        </w:rPr>
      </w:pPr>
    </w:p>
    <w:p>
      <w:pPr>
        <w:pStyle w:val="28"/>
        <w:ind w:left="0" w:leftChars="0" w:firstLine="0" w:firstLineChars="0"/>
        <w:rPr>
          <w:color w:val="auto"/>
          <w:highlight w:val="none"/>
          <w:lang w:val="en-US"/>
        </w:rPr>
      </w:pPr>
    </w:p>
    <w:p>
      <w:pPr>
        <w:pStyle w:val="5"/>
        <w:numPr>
          <w:ilvl w:val="0"/>
          <w:numId w:val="11"/>
        </w:numPr>
        <w:jc w:val="center"/>
        <w:rPr>
          <w:color w:val="auto"/>
          <w:highlight w:val="none"/>
        </w:rPr>
      </w:pPr>
      <w:bookmarkStart w:id="181" w:name="_Toc19316"/>
      <w:r>
        <w:rPr>
          <w:rFonts w:hint="eastAsia" w:ascii="宋体" w:hAnsi="宋体"/>
          <w:color w:val="auto"/>
          <w:highlight w:val="none"/>
        </w:rPr>
        <w:t>技术需求书</w:t>
      </w:r>
      <w:bookmarkEnd w:id="181"/>
    </w:p>
    <w:p>
      <w:pPr>
        <w:pStyle w:val="6"/>
        <w:bidi w:val="0"/>
        <w:rPr>
          <w:color w:val="auto"/>
          <w:highlight w:val="none"/>
        </w:rPr>
      </w:pPr>
      <w:bookmarkStart w:id="182" w:name="_Toc24679"/>
      <w:bookmarkStart w:id="183" w:name="_Toc13112"/>
      <w:bookmarkStart w:id="184" w:name="_Toc14462"/>
      <w:bookmarkStart w:id="185" w:name="_Toc31278"/>
      <w:r>
        <w:rPr>
          <w:rFonts w:hint="default"/>
          <w:color w:val="auto"/>
          <w:highlight w:val="none"/>
          <w:lang w:val="en-US" w:eastAsia="zh-CN"/>
        </w:rPr>
        <w:t>一、</w:t>
      </w:r>
      <w:r>
        <w:rPr>
          <w:rFonts w:hint="eastAsia"/>
          <w:color w:val="auto"/>
          <w:highlight w:val="none"/>
          <w:lang w:val="en-US" w:eastAsia="zh-CN"/>
        </w:rPr>
        <w:t>项目概况</w:t>
      </w:r>
    </w:p>
    <w:p>
      <w:pPr>
        <w:spacing w:after="0" w:line="360" w:lineRule="auto"/>
        <w:ind w:firstLine="420" w:firstLineChars="200"/>
        <w:rPr>
          <w:rFonts w:ascii="宋体" w:hAnsi="宋体" w:eastAsia="宋体"/>
          <w:b/>
          <w:color w:val="auto"/>
          <w:sz w:val="24"/>
          <w:highlight w:val="none"/>
        </w:rPr>
      </w:pPr>
      <w:r>
        <w:rPr>
          <w:rFonts w:hint="eastAsia" w:ascii="宋体" w:hAnsi="宋体" w:eastAsia="宋体" w:cs="Times New Roman"/>
          <w:color w:val="auto"/>
          <w:sz w:val="21"/>
          <w:szCs w:val="21"/>
          <w:highlight w:val="none"/>
        </w:rPr>
        <w:t>为了做好食堂规范管理工作，确保食品安全、卫生，</w:t>
      </w:r>
      <w:r>
        <w:rPr>
          <w:rFonts w:hint="eastAsia" w:ascii="宋体" w:hAnsi="宋体" w:cs="Times New Roman"/>
          <w:color w:val="auto"/>
          <w:sz w:val="21"/>
          <w:szCs w:val="21"/>
          <w:highlight w:val="none"/>
          <w:lang w:eastAsia="zh-CN"/>
        </w:rPr>
        <w:t>东莞市黄江镇中心幼儿园</w:t>
      </w:r>
      <w:r>
        <w:rPr>
          <w:rFonts w:hint="eastAsia" w:ascii="宋体" w:hAnsi="宋体" w:eastAsia="宋体" w:cs="Times New Roman"/>
          <w:color w:val="auto"/>
          <w:sz w:val="21"/>
          <w:szCs w:val="21"/>
          <w:highlight w:val="none"/>
        </w:rPr>
        <w:t>拟对食品原材料等配送的供货资格进行招标。</w:t>
      </w:r>
    </w:p>
    <w:p>
      <w:pPr>
        <w:pStyle w:val="6"/>
        <w:bidi w:val="0"/>
        <w:rPr>
          <w:color w:val="auto"/>
          <w:highlight w:val="none"/>
        </w:rPr>
      </w:pPr>
      <w:r>
        <w:rPr>
          <w:rFonts w:hint="default"/>
          <w:color w:val="auto"/>
          <w:highlight w:val="none"/>
          <w:lang w:val="en-US" w:eastAsia="zh-CN"/>
        </w:rPr>
        <w:t>二、</w:t>
      </w:r>
      <w:r>
        <w:rPr>
          <w:rFonts w:hint="eastAsia"/>
          <w:color w:val="auto"/>
          <w:highlight w:val="none"/>
          <w:lang w:val="en-US" w:eastAsia="zh-CN"/>
        </w:rPr>
        <w:t>配送情况</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本项目通过招标确定</w:t>
      </w:r>
      <w:r>
        <w:rPr>
          <w:rFonts w:hint="eastAsia" w:ascii="宋体" w:hAnsi="宋体" w:eastAsia="宋体" w:cs="Times New Roman"/>
          <w:color w:val="auto"/>
          <w:sz w:val="21"/>
          <w:szCs w:val="21"/>
          <w:highlight w:val="none"/>
          <w:lang w:val="en-US" w:eastAsia="zh-CN"/>
        </w:rPr>
        <w:t>一家</w:t>
      </w:r>
      <w:r>
        <w:rPr>
          <w:rFonts w:hint="eastAsia" w:ascii="宋体" w:hAnsi="宋体" w:eastAsia="宋体" w:cs="Times New Roman"/>
          <w:color w:val="auto"/>
          <w:sz w:val="21"/>
          <w:szCs w:val="21"/>
          <w:highlight w:val="none"/>
        </w:rPr>
        <w:t>配送资格单位，与采购人签订正式合同。具体配送数量以实际发生的数量为准，采购人不承诺在入围有效期内授予入围单位实际采购品类，不承诺在入围有效期内的实际采购数量。投标人为采购人提供配送的品种包括</w:t>
      </w:r>
      <w:r>
        <w:rPr>
          <w:rFonts w:hint="eastAsia" w:ascii="宋体" w:hAnsi="宋体" w:eastAsia="宋体" w:cs="Times New Roman"/>
          <w:color w:val="auto"/>
          <w:sz w:val="21"/>
          <w:szCs w:val="21"/>
          <w:highlight w:val="none"/>
          <w:lang w:eastAsia="zh-CN"/>
        </w:rPr>
        <w:t>但不限于以下种类</w:t>
      </w:r>
      <w:r>
        <w:rPr>
          <w:rFonts w:hint="eastAsia" w:ascii="宋体" w:hAnsi="宋体" w:eastAsia="宋体" w:cs="Times New Roman"/>
          <w:color w:val="auto"/>
          <w:sz w:val="21"/>
          <w:szCs w:val="21"/>
          <w:highlight w:val="none"/>
        </w:rPr>
        <w:t>：肉类（猪肉类、牛肉类、冻品类、禽类、腊味类、咸水鱼类、海水鱼和海鲜类、淡水鱼类）、调配料、腌菜、干货及蛋品、蔬菜类、水果及食用菌类、点心、豆制品、面食类、粉面、大米类及食用油类等。</w:t>
      </w:r>
    </w:p>
    <w:p>
      <w:pPr>
        <w:pStyle w:val="6"/>
        <w:bidi w:val="0"/>
        <w:rPr>
          <w:rFonts w:hint="eastAsia" w:eastAsia="宋体"/>
          <w:color w:val="auto"/>
          <w:highlight w:val="none"/>
          <w:lang w:val="en-US" w:eastAsia="zh-CN"/>
        </w:rPr>
      </w:pPr>
      <w:r>
        <w:rPr>
          <w:rFonts w:hint="eastAsia" w:eastAsia="宋体"/>
          <w:color w:val="auto"/>
          <w:highlight w:val="none"/>
          <w:lang w:val="en-US" w:eastAsia="zh-CN"/>
        </w:rPr>
        <w:t>三</w:t>
      </w:r>
      <w:r>
        <w:rPr>
          <w:rFonts w:hint="default" w:eastAsia="宋体"/>
          <w:color w:val="auto"/>
          <w:highlight w:val="none"/>
          <w:lang w:val="en-US" w:eastAsia="zh-CN"/>
        </w:rPr>
        <w:t>、</w:t>
      </w:r>
      <w:r>
        <w:rPr>
          <w:rFonts w:hint="eastAsia" w:eastAsia="宋体"/>
          <w:color w:val="auto"/>
          <w:highlight w:val="none"/>
          <w:lang w:val="en-US" w:eastAsia="zh-CN"/>
        </w:rPr>
        <w:t>具体要求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（一）采购内容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本项目主要是为</w:t>
      </w:r>
      <w:r>
        <w:rPr>
          <w:rFonts w:hint="eastAsia" w:ascii="宋体" w:hAnsi="宋体" w:cs="Times New Roman"/>
          <w:color w:val="auto"/>
          <w:sz w:val="21"/>
          <w:szCs w:val="21"/>
          <w:highlight w:val="none"/>
          <w:lang w:eastAsia="zh-CN"/>
        </w:rPr>
        <w:t>东莞市黄江镇中心幼儿园</w:t>
      </w:r>
      <w:r>
        <w:rPr>
          <w:rFonts w:hint="eastAsia" w:ascii="宋体" w:hAnsi="宋体" w:eastAsia="宋体" w:cs="Times New Roman"/>
          <w:color w:val="auto"/>
          <w:sz w:val="21"/>
          <w:szCs w:val="21"/>
          <w:highlight w:val="none"/>
        </w:rPr>
        <w:t>食堂提食材配送服务，投标人根据自身能力进行投标，供货内容如下：</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A类：粮油干货类──大米、食用油、调味品、干货、杂货、副食品、米粉面粉类等食品材料；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B类：肉类──新鲜猪肉、牛肉、羊肉、水产品、三鸟、零星冻品副食品类等食品材料；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C类：蔬果类──蔬菜、菇菌</w:t>
      </w: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水果</w:t>
      </w:r>
      <w:r>
        <w:rPr>
          <w:rFonts w:hint="eastAsia" w:ascii="宋体" w:hAnsi="宋体" w:eastAsia="宋体" w:cs="Times New Roman"/>
          <w:color w:val="auto"/>
          <w:sz w:val="21"/>
          <w:szCs w:val="21"/>
          <w:highlight w:val="none"/>
        </w:rPr>
        <w:t>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注：1、投标人必须同时对以上三个类别的全部食品材料进行投标，否则其投标将被拒绝。2、以上需求品种包含但不限于明细表中所列的品种；未列入食品材料明细表内又需要购买的货品，其单价由双方以定价原则确定供货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val="en-US" w:eastAsia="zh-CN"/>
        </w:rPr>
        <w:t>二</w:t>
      </w:r>
      <w:r>
        <w:rPr>
          <w:rFonts w:hint="eastAsia" w:ascii="宋体" w:hAnsi="宋体" w:eastAsia="宋体" w:cs="Times New Roman"/>
          <w:color w:val="auto"/>
          <w:sz w:val="21"/>
          <w:szCs w:val="21"/>
          <w:highlight w:val="none"/>
        </w:rPr>
        <w:t>）供货地点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东莞市黄江镇中心幼儿园</w:t>
      </w:r>
      <w:r>
        <w:rPr>
          <w:rFonts w:hint="eastAsia" w:ascii="宋体" w:hAnsi="宋体" w:eastAsia="宋体" w:cs="Times New Roman"/>
          <w:color w:val="auto"/>
          <w:sz w:val="21"/>
          <w:szCs w:val="21"/>
          <w:highlight w:val="none"/>
        </w:rPr>
        <w:t>食堂。</w:t>
      </w:r>
    </w:p>
    <w:p>
      <w:pPr>
        <w:spacing w:after="0" w:line="360" w:lineRule="auto"/>
        <w:ind w:firstLine="420" w:firstLineChars="200"/>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val="en-US" w:eastAsia="zh-CN"/>
        </w:rPr>
        <w:t>三</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eastAsia="zh-CN"/>
        </w:rPr>
        <w:t>其他要求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1.中标人按照采购人提出的物品订货清单，不论数量多少，必须保证在规定的时间、地点送货。</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2.中标人对采购人提出的临时性服务要求应按采购人要求按时、按质、按量将货品送到指定地点。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3.中标人提供的货品必须符合国家食品卫生法规相关标准，保质、保量，不合格的货品，中标人必须包退包换。</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4.中标人提供的货品必须出示真实有效的检验</w:t>
      </w:r>
      <w:r>
        <w:rPr>
          <w:rFonts w:hint="eastAsia" w:ascii="宋体" w:hAnsi="宋体" w:cs="Times New Roman"/>
          <w:color w:val="auto"/>
          <w:sz w:val="21"/>
          <w:szCs w:val="21"/>
          <w:highlight w:val="none"/>
          <w:lang w:val="en-US" w:eastAsia="zh-CN"/>
        </w:rPr>
        <w:t>检疫</w:t>
      </w:r>
      <w:r>
        <w:rPr>
          <w:rFonts w:hint="eastAsia" w:ascii="宋体" w:hAnsi="宋体" w:eastAsia="宋体" w:cs="Times New Roman"/>
          <w:color w:val="auto"/>
          <w:sz w:val="21"/>
          <w:szCs w:val="21"/>
          <w:highlight w:val="none"/>
        </w:rPr>
        <w:t>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.1 粮油、干货、副食品、粉、面类等餐料按采购人要求定期提供有效检验合格报告；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.2 凡国家有明文规定的必须提供产品检验报告交饭堂存档，符合国家朔源制度规定。</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.中标人每次送货应有相应的送货清单（盖有中标人的有效公章），且必须提供合法的进货单据。</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.中标人提供的货品导致采购人有任何食物安全事件出现，由中标人承担全部责任及赔偿采购人一切损失，采购人保留法律追究权利。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.中标人应按照采购人指定时间内对下月供货价格</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报价单</w:t>
      </w:r>
      <w:r>
        <w:rPr>
          <w:rFonts w:hint="eastAsia" w:ascii="宋体" w:hAnsi="宋体" w:eastAsia="宋体" w:cs="Times New Roman"/>
          <w:color w:val="auto"/>
          <w:sz w:val="21"/>
          <w:szCs w:val="21"/>
          <w:highlight w:val="none"/>
        </w:rPr>
        <w:t>进行签字</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盖章</w:t>
      </w:r>
      <w:r>
        <w:rPr>
          <w:rFonts w:hint="eastAsia" w:ascii="宋体" w:hAnsi="宋体" w:eastAsia="宋体" w:cs="Times New Roman"/>
          <w:color w:val="auto"/>
          <w:sz w:val="21"/>
          <w:szCs w:val="21"/>
          <w:highlight w:val="none"/>
        </w:rPr>
        <w:t>确认。</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w:t>
      </w:r>
      <w:r>
        <w:rPr>
          <w:rFonts w:hint="eastAsia" w:ascii="宋体" w:hAnsi="宋体" w:eastAsia="宋体" w:cs="Times New Roman"/>
          <w:color w:val="auto"/>
          <w:sz w:val="21"/>
          <w:szCs w:val="21"/>
          <w:highlight w:val="none"/>
        </w:rPr>
        <w:t>.中标人的供货价应包含货品交给采购人之前的一切费用，包括运输费、储存费等，并承担送货途中的一切风险。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w:t>
      </w:r>
      <w:r>
        <w:rPr>
          <w:rFonts w:hint="eastAsia" w:ascii="宋体" w:hAnsi="宋体" w:eastAsia="宋体" w:cs="Times New Roman"/>
          <w:color w:val="auto"/>
          <w:sz w:val="21"/>
          <w:szCs w:val="21"/>
          <w:highlight w:val="none"/>
        </w:rPr>
        <w:t>.未列入物资明细表内又需要购买的货品，其单价由双方以本用户需求书规定的定价原则确定供货价格。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0</w:t>
      </w:r>
      <w:r>
        <w:rPr>
          <w:rFonts w:hint="eastAsia" w:ascii="宋体" w:hAnsi="宋体" w:eastAsia="宋体" w:cs="Times New Roman"/>
          <w:color w:val="auto"/>
          <w:sz w:val="21"/>
          <w:szCs w:val="21"/>
          <w:highlight w:val="none"/>
        </w:rPr>
        <w:t>.中标人进入采购人范围内必须遵守采购人有关规定，不得影响采购人的正常工作，由于中标人的过失造成采购人直接经济损失则要负全部责任及赔偿采购人一切损失。</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val="en-US" w:eastAsia="zh-CN"/>
        </w:rPr>
        <w:t>四</w:t>
      </w:r>
      <w:r>
        <w:rPr>
          <w:rFonts w:hint="eastAsia" w:ascii="宋体" w:hAnsi="宋体" w:eastAsia="宋体" w:cs="Times New Roman"/>
          <w:color w:val="auto"/>
          <w:sz w:val="21"/>
          <w:szCs w:val="21"/>
          <w:highlight w:val="none"/>
        </w:rPr>
        <w:t>）验收标准</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A类（粮油干货类）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1.粮食大米类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 由正规厂家出厂、颜色品质纯正，米粒形均匀、整齐、重量大没有碎米和爆腰。</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 有清香味和光泽，无米糠和其它杂质、无虫害、无异味、无霉味，用手摸时滑爽、干燥。</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1.3 符合食品卫生标准，无毒、无污染。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2.食用油类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2.1 由知名正规厂家生产的植物油，非转基因类。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2.2 色泽纯正，透明度好。</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3.、调味品类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由正规厂家生产、颜色品质纯正。</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4.干货、杂货、副食品类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4.1 必须选用符合国家食品卫生法规相关标准的商品，选用无毒、无害、无污染、可朔源的食品。掺假、掺杂食品坚决不能使用。</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4.2 副食品等级标准要相符，其包装盒或标签上须注明食品名称、生产厂家、厂址、生产日期、食品的主要原料成份和食品保质期等信息，注明不详或没有注明的商品不予验收。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4.3 副食品表面外观新鲜、完整，无霉变异味，无砂粒杂质，无虫尸鼠粪等不洁卫生问题。</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5.米粉面粉类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5.1 米粉面粉类及其制品颜色品质要纯正，不掺假、掺杂。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5.2 符合食品卫生标准，粉质细腻干爽无异物、无毒、无污染。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5.3 制成品不能出现异味、霉变结块、虫尸鼠粪等不洁的卫生问题。</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上述货品必须符合国家食品卫生法规相关标准，符合采购人使用要求，货品必须保证有三分之二以上保质期（如货品有保质期）。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B类（肉类）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1.猪肉类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 具有当天卫生监督部门发放的“动物检疫合格证明”，肉体印有检疫章。</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 表皮干爽、肌体结实、肉质紧密、肉色淡红新鲜，肥肉洁白而细腻。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1.3 外观检测无异味、无寄生虫、无粘液、无渗出液体、指压反弹迅速、具有猪肉自然气味。</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1.4 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2.牛肉类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2.1 具有当天卫生监督部门发放的“动物检疫合格证明”，外观检测新鲜肉质柔软有光泽、无腐臭变质异味、无寄生虫、无粘液、无渗出液体。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2.2 牛肉色泽棕红，脂肪呈淡黄色或深黄色，肉质坚硬，弹性足。</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2.3运输设备具备恒温保鲜（5度），存放容器保持清洁卫生，包装合理且材料无污染。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3.羊肉类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具有当天卫生监督部门发放的“动物检疫合格证明”。</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3.2 羊肉色泽暗红，纤维细而软，肌间少脂肪。</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3.3运输设备具备恒温保鲜（5度），存放容器保持清洁卫生，包装合理且材料无污染。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4.水产品类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4.1 必须鲜活。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4.2 鲜鱼鳞片完整，有光泽无脱落，鳃口紧闭，眼球光亮透明，鱼鳃鲜红，鳍尾完整，确保新鲜。</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4.3 身体饱满结实，无腐烂异味，肉质紧密有弹性，无离骨脱刺现象。</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4.4 来源可靠放心，无毒、无害、无污染。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5.三鸟类（屠杀好的）</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①具有当天卫生监督部门发放的“动物检疫合格证明”。</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②肉质新鲜柔软有光泽，质地紧密，脂肪呈白色或淡黄色，肉质细腻、无腐烂异味， 肉体结实，内脏清掏干净，肉质弹性足无明显渗出液体，总体无粘液。</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③运输设备具备恒温保鲜（5度），存放容器保持清洁卫生，包装合理，来源可靠放心，无毒、无害、无污染。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6.零星冻品副食品类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6.1 必须选用符合国家食品卫生法规相关标准的商品，选用无毒、无害、无污染、可朔源的副食品。掺假、掺杂副食品坚决不能使用。</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6.2 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6.3 冻肉类产品中间不能有过多冰块，重量必须和包装箱上标明的重量一致。</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6.4 奶制品色泽乳白，口味鲜香，包装完整，无破损，验收每批在保质期二分之一以上，符合国家规定的质量卫生标准。</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C类：蔬果类</w:t>
      </w:r>
    </w:p>
    <w:p>
      <w:pPr>
        <w:spacing w:after="0" w:line="360" w:lineRule="auto"/>
        <w:ind w:firstLine="420" w:firstLineChars="200"/>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1.应保持较好的色泽和新鲜度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具有当天</w:t>
      </w:r>
      <w:r>
        <w:rPr>
          <w:rFonts w:hint="eastAsia" w:ascii="宋体" w:hAnsi="宋体" w:eastAsia="宋体" w:cs="Times New Roman"/>
          <w:color w:val="auto"/>
          <w:sz w:val="21"/>
          <w:szCs w:val="21"/>
          <w:highlight w:val="none"/>
          <w:lang w:val="en-US" w:eastAsia="zh-CN"/>
        </w:rPr>
        <w:t>符合标准</w:t>
      </w:r>
      <w:r>
        <w:rPr>
          <w:rFonts w:hint="eastAsia" w:ascii="宋体" w:hAnsi="宋体" w:eastAsia="宋体" w:cs="Times New Roman"/>
          <w:color w:val="auto"/>
          <w:sz w:val="21"/>
          <w:szCs w:val="21"/>
          <w:highlight w:val="none"/>
        </w:rPr>
        <w:t>的“</w:t>
      </w:r>
      <w:r>
        <w:rPr>
          <w:rFonts w:hint="eastAsia" w:ascii="宋体" w:hAnsi="宋体" w:eastAsia="宋体" w:cs="Times New Roman"/>
          <w:color w:val="auto"/>
          <w:sz w:val="21"/>
          <w:szCs w:val="21"/>
          <w:highlight w:val="none"/>
          <w:lang w:val="en-US" w:eastAsia="zh-CN"/>
        </w:rPr>
        <w:t>蔬菜检测报告单</w:t>
      </w:r>
      <w:r>
        <w:rPr>
          <w:rFonts w:hint="eastAsia" w:ascii="宋体" w:hAnsi="宋体" w:eastAsia="宋体" w:cs="Times New Roman"/>
          <w:color w:val="auto"/>
          <w:sz w:val="21"/>
          <w:szCs w:val="21"/>
          <w:highlight w:val="none"/>
        </w:rPr>
        <w:t>”</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2.符合国家食品卫生标准，蔬菜不得有黄叶；不得腐烂和泥沙等现象。</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3.无公害、农药残留不得超标，提供农药残留检测证明。</w:t>
      </w:r>
    </w:p>
    <w:p>
      <w:pPr>
        <w:pStyle w:val="6"/>
        <w:bidi w:val="0"/>
        <w:rPr>
          <w:rFonts w:hint="eastAsia" w:eastAsia="宋体"/>
          <w:color w:val="auto"/>
          <w:highlight w:val="none"/>
          <w:lang w:val="en-US" w:eastAsia="zh-CN"/>
        </w:rPr>
      </w:pPr>
      <w:r>
        <w:rPr>
          <w:rFonts w:hint="eastAsia" w:eastAsia="宋体"/>
          <w:color w:val="auto"/>
          <w:highlight w:val="none"/>
          <w:lang w:val="en-US" w:eastAsia="zh-CN"/>
        </w:rPr>
        <w:t>四</w:t>
      </w:r>
      <w:r>
        <w:rPr>
          <w:rFonts w:hint="default" w:eastAsia="宋体"/>
          <w:color w:val="auto"/>
          <w:highlight w:val="none"/>
          <w:lang w:val="en-US" w:eastAsia="zh-CN"/>
        </w:rPr>
        <w:t>、</w:t>
      </w:r>
      <w:r>
        <w:rPr>
          <w:rFonts w:hint="eastAsia" w:eastAsia="宋体"/>
          <w:color w:val="auto"/>
          <w:highlight w:val="none"/>
          <w:lang w:val="en-US" w:eastAsia="zh-CN"/>
        </w:rPr>
        <w:t>其他要求</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w:t>
      </w:r>
      <w:r>
        <w:rPr>
          <w:rFonts w:hint="eastAsia" w:ascii="宋体" w:hAnsi="宋体" w:eastAsia="宋体" w:cs="Times New Roman"/>
          <w:color w:val="auto"/>
          <w:sz w:val="21"/>
          <w:szCs w:val="21"/>
          <w:highlight w:val="none"/>
        </w:rPr>
        <w:t>、所有产品标准必须符合国家标准及相关规定。</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、投标人应根据采购要求，在投标文件中提供切实可行的质量保证和食品安全保障措施方案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配送服务方案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出现产品质量问题退换货方案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突发事件的应急响应方案</w:t>
      </w:r>
      <w:r>
        <w:rPr>
          <w:rFonts w:hint="eastAsia" w:ascii="宋体" w:hAnsi="宋体" w:eastAsia="宋体" w:cs="Times New Roman"/>
          <w:color w:val="auto"/>
          <w:sz w:val="21"/>
          <w:szCs w:val="21"/>
          <w:highlight w:val="none"/>
          <w:lang w:val="en-US" w:eastAsia="zh-CN"/>
        </w:rPr>
        <w:t>等</w:t>
      </w:r>
      <w:r>
        <w:rPr>
          <w:rFonts w:hint="eastAsia" w:ascii="宋体" w:hAnsi="宋体" w:eastAsia="宋体" w:cs="Times New Roman"/>
          <w:color w:val="auto"/>
          <w:sz w:val="21"/>
          <w:szCs w:val="21"/>
          <w:highlight w:val="none"/>
        </w:rPr>
        <w:t>。</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、中标单位在供货过程中必须采取足够的安全措施，确保</w:t>
      </w:r>
      <w:r>
        <w:rPr>
          <w:rFonts w:hint="eastAsia" w:ascii="宋体" w:hAnsi="宋体" w:eastAsia="宋体" w:cs="Times New Roman"/>
          <w:color w:val="auto"/>
          <w:sz w:val="21"/>
          <w:szCs w:val="21"/>
          <w:highlight w:val="none"/>
          <w:lang w:val="en-US" w:eastAsia="zh-CN"/>
        </w:rPr>
        <w:t>服务</w:t>
      </w:r>
      <w:r>
        <w:rPr>
          <w:rFonts w:hint="eastAsia" w:ascii="宋体" w:hAnsi="宋体" w:eastAsia="宋体" w:cs="Times New Roman"/>
          <w:color w:val="auto"/>
          <w:sz w:val="21"/>
          <w:szCs w:val="21"/>
          <w:highlight w:val="none"/>
        </w:rPr>
        <w:t>的安全，并自行负责相关安全责任。</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、项目未尽事宜将在采购合同中另行约定，中标单位需无条件同意采购人基于为顺利完成本项目所提出的各项合理要求。</w:t>
      </w:r>
    </w:p>
    <w:p>
      <w:pPr>
        <w:ind w:firstLine="422" w:firstLineChars="200"/>
        <w:rPr>
          <w:rFonts w:hint="eastAsia" w:ascii="宋体" w:hAnsi="宋体" w:cs="Times New Roman"/>
          <w:b/>
          <w:bCs/>
          <w:color w:val="auto"/>
          <w:szCs w:val="21"/>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4"/>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21155"/>
      <w:bookmarkStart w:id="190" w:name="_Toc13430"/>
      <w:bookmarkStart w:id="191" w:name="_Toc1534"/>
    </w:p>
    <w:p>
      <w:pPr>
        <w:pStyle w:val="5"/>
        <w:spacing w:line="240" w:lineRule="auto"/>
        <w:jc w:val="center"/>
        <w:rPr>
          <w:rFonts w:ascii="宋体" w:hAnsi="宋体" w:cs="宋体"/>
          <w:color w:val="auto"/>
          <w:highlight w:val="none"/>
        </w:rPr>
      </w:pPr>
      <w:bookmarkStart w:id="192" w:name="_Toc8880"/>
      <w:bookmarkStart w:id="193" w:name="_Toc1673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5"/>
        <w:rPr>
          <w:color w:val="auto"/>
          <w:highlight w:val="none"/>
        </w:rPr>
      </w:pPr>
      <w:bookmarkStart w:id="201" w:name="_Toc5794"/>
      <w:bookmarkStart w:id="202" w:name="_Toc6790"/>
      <w:bookmarkStart w:id="203" w:name="_Toc2683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4" w:name="_Toc25502"/>
      <w:bookmarkStart w:id="205" w:name="_Toc5670"/>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2"/>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5"/>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8"/>
        <w:rPr>
          <w:color w:val="auto"/>
          <w:highlight w:val="none"/>
        </w:rPr>
      </w:pPr>
    </w:p>
    <w:p>
      <w:pPr>
        <w:rPr>
          <w:color w:val="auto"/>
          <w:highlight w:val="none"/>
        </w:rPr>
      </w:pPr>
    </w:p>
    <w:p>
      <w:pPr>
        <w:pStyle w:val="5"/>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7"/>
        <w:rPr>
          <w:rFonts w:ascii="黑体" w:eastAsia="黑体"/>
          <w:color w:val="auto"/>
          <w:sz w:val="32"/>
          <w:szCs w:val="32"/>
          <w:highlight w:val="none"/>
        </w:rPr>
      </w:pPr>
    </w:p>
    <w:p>
      <w:pPr>
        <w:pStyle w:val="37"/>
        <w:rPr>
          <w:rFonts w:ascii="黑体" w:eastAsia="黑体"/>
          <w:color w:val="auto"/>
          <w:sz w:val="32"/>
          <w:szCs w:val="32"/>
          <w:highlight w:val="none"/>
        </w:rPr>
      </w:pPr>
    </w:p>
    <w:p>
      <w:pPr>
        <w:pStyle w:val="5"/>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7"/>
        <w:rPr>
          <w:color w:val="auto"/>
          <w:highlight w:val="none"/>
        </w:rPr>
      </w:pPr>
    </w:p>
    <w:p>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9927455"/>
      <w:bookmarkStart w:id="223" w:name="_Toc510171693"/>
      <w:bookmarkStart w:id="224" w:name="_Toc20910"/>
      <w:bookmarkStart w:id="225" w:name="_Toc30277"/>
      <w:bookmarkStart w:id="226" w:name="_Toc22970"/>
      <w:bookmarkStart w:id="227" w:name="_Toc509844825"/>
      <w:bookmarkStart w:id="228" w:name="_Toc17761"/>
      <w:bookmarkStart w:id="229" w:name="_Toc508960153"/>
      <w:bookmarkStart w:id="230" w:name="_Toc508898066"/>
      <w:bookmarkStart w:id="231" w:name="_Toc508958703"/>
      <w:bookmarkStart w:id="232" w:name="_Toc509479530"/>
      <w:bookmarkStart w:id="233" w:name="_Toc30247"/>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509927456"/>
      <w:bookmarkStart w:id="235" w:name="_Toc31520"/>
      <w:bookmarkStart w:id="236" w:name="_Toc5447"/>
      <w:bookmarkStart w:id="237" w:name="_Toc21053"/>
      <w:bookmarkStart w:id="238" w:name="_Toc508960154"/>
      <w:bookmarkStart w:id="239" w:name="_Toc509479531"/>
      <w:bookmarkStart w:id="240" w:name="_Toc26216"/>
      <w:bookmarkStart w:id="241" w:name="_Toc28527"/>
      <w:bookmarkStart w:id="242" w:name="_Toc508958704"/>
      <w:bookmarkStart w:id="243" w:name="_Toc510171694"/>
      <w:bookmarkStart w:id="244" w:name="_Toc508898067"/>
      <w:bookmarkStart w:id="245" w:name="_Toc509844826"/>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9479532"/>
      <w:bookmarkStart w:id="247" w:name="_Toc24848"/>
      <w:bookmarkStart w:id="248" w:name="_Toc9148"/>
      <w:bookmarkStart w:id="249" w:name="_Toc508958705"/>
      <w:bookmarkStart w:id="250" w:name="_Toc509927457"/>
      <w:bookmarkStart w:id="251" w:name="_Toc510171695"/>
      <w:bookmarkStart w:id="252" w:name="_Toc28126"/>
      <w:bookmarkStart w:id="253" w:name="_Toc508898068"/>
      <w:bookmarkStart w:id="254" w:name="_Toc509844827"/>
      <w:bookmarkStart w:id="255" w:name="_Toc28626"/>
      <w:bookmarkStart w:id="256" w:name="_Toc508960155"/>
      <w:bookmarkStart w:id="257" w:name="_Toc14653"/>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28044"/>
      <w:bookmarkStart w:id="259" w:name="_Toc509844828"/>
      <w:bookmarkStart w:id="260" w:name="_Toc509479533"/>
      <w:bookmarkStart w:id="261" w:name="_Toc9837"/>
      <w:bookmarkStart w:id="262" w:name="_Toc508958706"/>
      <w:bookmarkStart w:id="263" w:name="_Toc7858"/>
      <w:bookmarkStart w:id="264" w:name="_Toc510171696"/>
      <w:bookmarkStart w:id="265" w:name="_Toc509927458"/>
      <w:bookmarkStart w:id="266" w:name="_Toc508898069"/>
      <w:bookmarkStart w:id="267" w:name="_Toc22981"/>
      <w:bookmarkStart w:id="268" w:name="_Toc28686"/>
      <w:bookmarkStart w:id="269" w:name="_Toc50896015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289"/>
      <w:bookmarkStart w:id="271" w:name="_Toc509479534"/>
      <w:bookmarkStart w:id="272" w:name="_Toc510171697"/>
      <w:bookmarkStart w:id="273" w:name="_Toc508898070"/>
      <w:bookmarkStart w:id="274" w:name="_Toc509927459"/>
      <w:bookmarkStart w:id="275" w:name="_Toc508958707"/>
      <w:bookmarkStart w:id="276" w:name="_Toc508960157"/>
      <w:bookmarkStart w:id="277" w:name="_Toc18843"/>
      <w:bookmarkStart w:id="278" w:name="_Toc50984482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5"/>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3"/>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3"/>
        <w:spacing w:line="500" w:lineRule="atLeast"/>
        <w:ind w:firstLine="3517" w:firstLineChars="1675"/>
        <w:rPr>
          <w:rFonts w:ascii="宋体" w:eastAsia="宋体"/>
          <w:color w:val="auto"/>
          <w:sz w:val="21"/>
          <w:szCs w:val="21"/>
          <w:highlight w:val="none"/>
        </w:rPr>
      </w:pP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5"/>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3"/>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5"/>
        <w:jc w:val="center"/>
        <w:rPr>
          <w:color w:val="auto"/>
          <w:highlight w:val="none"/>
        </w:rPr>
      </w:pPr>
      <w:bookmarkStart w:id="295" w:name="_Toc17470"/>
      <w:bookmarkStart w:id="296" w:name="_Toc4926"/>
      <w:bookmarkStart w:id="297" w:name="_Toc29995"/>
      <w:bookmarkStart w:id="298" w:name="_Toc1511"/>
      <w:bookmarkStart w:id="299" w:name="_Toc5919"/>
      <w:bookmarkStart w:id="300" w:name="_Toc28067"/>
      <w:bookmarkStart w:id="301" w:name="_Toc24210"/>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5"/>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3"/>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3"/>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4"/>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5"/>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5"/>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5"/>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274"/>
      <w:bookmarkStart w:id="320" w:name="_Toc6080"/>
      <w:bookmarkStart w:id="321" w:name="_Toc26078"/>
      <w:bookmarkStart w:id="322" w:name="_Toc18668"/>
      <w:bookmarkStart w:id="323" w:name="_Toc4827"/>
      <w:bookmarkStart w:id="324" w:name="_Toc4464"/>
    </w:p>
    <w:p>
      <w:pPr>
        <w:pStyle w:val="5"/>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9560"/>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0" w:name="_Toc27090"/>
            <w:bookmarkStart w:id="331" w:name="_Toc12049"/>
            <w:bookmarkStart w:id="332" w:name="_Toc21739"/>
            <w:bookmarkStart w:id="333" w:name="_Toc14815"/>
            <w:bookmarkStart w:id="334" w:name="_Toc1016"/>
            <w:bookmarkStart w:id="335" w:name="_Toc15903"/>
            <w:bookmarkStart w:id="336" w:name="_Toc10045"/>
            <w:bookmarkStart w:id="337" w:name="_Toc26124"/>
            <w:bookmarkStart w:id="338" w:name="_Toc4304"/>
            <w:bookmarkStart w:id="339" w:name="_Toc16872"/>
            <w:bookmarkStart w:id="340" w:name="_Toc2700"/>
            <w:bookmarkStart w:id="341" w:name="_Toc22448"/>
            <w:bookmarkStart w:id="342" w:name="_Toc15368"/>
            <w:bookmarkStart w:id="343" w:name="_Toc22879"/>
            <w:bookmarkStart w:id="344" w:name="_Toc22917"/>
            <w:bookmarkStart w:id="345" w:name="_Toc8490"/>
            <w:bookmarkStart w:id="346" w:name="_Toc7333"/>
            <w:bookmarkStart w:id="347" w:name="_Toc19251"/>
            <w:bookmarkStart w:id="348" w:name="_Toc32531"/>
            <w:bookmarkStart w:id="349" w:name="_Toc21809"/>
            <w:bookmarkStart w:id="350" w:name="_Toc24662"/>
            <w:bookmarkStart w:id="351" w:name="_Toc27442"/>
            <w:bookmarkStart w:id="352" w:name="_Toc831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22153"/>
            <w:bookmarkStart w:id="355" w:name="_Toc10122"/>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20820"/>
            <w:bookmarkStart w:id="360" w:name="_Toc3701"/>
            <w:bookmarkStart w:id="361" w:name="_Toc5992"/>
            <w:bookmarkStart w:id="362" w:name="_Toc17642"/>
            <w:bookmarkStart w:id="363" w:name="_Toc17296"/>
            <w:bookmarkStart w:id="364" w:name="_Toc1330"/>
            <w:bookmarkStart w:id="365" w:name="_Toc5563"/>
            <w:bookmarkStart w:id="366" w:name="_Toc27185"/>
            <w:bookmarkStart w:id="367" w:name="_Toc20139"/>
            <w:bookmarkStart w:id="368" w:name="_Toc191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3520"/>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w:t>
      </w:r>
    </w:p>
    <w:p>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40"/>
        <w:rPr>
          <w:rFonts w:ascii="宋体" w:hAnsi="宋体"/>
          <w:color w:val="auto"/>
          <w:szCs w:val="21"/>
          <w:highlight w:val="none"/>
        </w:rPr>
      </w:pPr>
    </w:p>
    <w:p>
      <w:pPr>
        <w:pStyle w:val="40"/>
        <w:numPr>
          <w:ilvl w:val="0"/>
          <w:numId w:val="14"/>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6"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pStyle w:val="5"/>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5"/>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22532AD9"/>
    <w:multiLevelType w:val="singleLevel"/>
    <w:tmpl w:val="22532AD9"/>
    <w:lvl w:ilvl="0" w:tentative="0">
      <w:start w:val="1"/>
      <w:numFmt w:val="decimal"/>
      <w:lvlText w:val="%1)"/>
      <w:lvlJc w:val="left"/>
      <w:pPr>
        <w:tabs>
          <w:tab w:val="left" w:pos="312"/>
        </w:tabs>
      </w:pPr>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36C59FA"/>
    <w:multiLevelType w:val="singleLevel"/>
    <w:tmpl w:val="636C59FA"/>
    <w:lvl w:ilvl="0" w:tentative="0">
      <w:start w:val="1"/>
      <w:numFmt w:val="decimal"/>
      <w:lvlText w:val="%1)"/>
      <w:lvlJc w:val="left"/>
      <w:pPr>
        <w:tabs>
          <w:tab w:val="left" w:pos="312"/>
        </w:tabs>
      </w:pPr>
    </w:lvl>
  </w:abstractNum>
  <w:abstractNum w:abstractNumId="13">
    <w:nsid w:val="6554753B"/>
    <w:multiLevelType w:val="singleLevel"/>
    <w:tmpl w:val="6554753B"/>
    <w:lvl w:ilvl="0" w:tentative="0">
      <w:start w:val="2"/>
      <w:numFmt w:val="chineseCounting"/>
      <w:suff w:val="space"/>
      <w:lvlText w:val="第%1章"/>
      <w:lvlJc w:val="left"/>
      <w:rPr>
        <w:rFonts w:hint="eastAsia"/>
      </w:rPr>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num w:numId="1">
    <w:abstractNumId w:val="14"/>
  </w:num>
  <w:num w:numId="2">
    <w:abstractNumId w:val="10"/>
  </w:num>
  <w:num w:numId="3">
    <w:abstractNumId w:val="8"/>
  </w:num>
  <w:num w:numId="4">
    <w:abstractNumId w:val="12"/>
  </w:num>
  <w:num w:numId="5">
    <w:abstractNumId w:val="6"/>
  </w:num>
  <w:num w:numId="6">
    <w:abstractNumId w:val="11"/>
  </w:num>
  <w:num w:numId="7">
    <w:abstractNumId w:val="7"/>
  </w:num>
  <w:num w:numId="8">
    <w:abstractNumId w:val="3"/>
  </w:num>
  <w:num w:numId="9">
    <w:abstractNumId w:val="4"/>
  </w:num>
  <w:num w:numId="10">
    <w:abstractNumId w:val="1"/>
  </w:num>
  <w:num w:numId="11">
    <w:abstractNumId w:val="13"/>
  </w:num>
  <w:num w:numId="12">
    <w:abstractNumId w:val="2"/>
  </w:num>
  <w:num w:numId="13">
    <w:abstractNumId w:val="5"/>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A97DEC"/>
    <w:rsid w:val="05C81981"/>
    <w:rsid w:val="05D410C7"/>
    <w:rsid w:val="05FF6B6E"/>
    <w:rsid w:val="0600615C"/>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2064D2"/>
    <w:rsid w:val="0D890E47"/>
    <w:rsid w:val="0DBD266C"/>
    <w:rsid w:val="0DC64A00"/>
    <w:rsid w:val="0DFC60BA"/>
    <w:rsid w:val="0E1243D2"/>
    <w:rsid w:val="0E4249F1"/>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C0192"/>
    <w:rsid w:val="180F4499"/>
    <w:rsid w:val="18221ECE"/>
    <w:rsid w:val="190B7894"/>
    <w:rsid w:val="19302282"/>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750119"/>
    <w:rsid w:val="20C35213"/>
    <w:rsid w:val="20FC799E"/>
    <w:rsid w:val="21A17A1C"/>
    <w:rsid w:val="22154DDD"/>
    <w:rsid w:val="22213E42"/>
    <w:rsid w:val="22336873"/>
    <w:rsid w:val="23175889"/>
    <w:rsid w:val="23675953"/>
    <w:rsid w:val="238C2182"/>
    <w:rsid w:val="239015D1"/>
    <w:rsid w:val="23BB4E7D"/>
    <w:rsid w:val="23C172D6"/>
    <w:rsid w:val="23F04F64"/>
    <w:rsid w:val="24270557"/>
    <w:rsid w:val="244C68D7"/>
    <w:rsid w:val="24814CBE"/>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6061FD"/>
    <w:rsid w:val="36637631"/>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986380F"/>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DB78D8"/>
    <w:rsid w:val="42EB15FB"/>
    <w:rsid w:val="42FD694D"/>
    <w:rsid w:val="434A6D8F"/>
    <w:rsid w:val="43514833"/>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6C7044A"/>
    <w:rsid w:val="47841568"/>
    <w:rsid w:val="479D1D34"/>
    <w:rsid w:val="47B609C0"/>
    <w:rsid w:val="47CF543E"/>
    <w:rsid w:val="47F2350D"/>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806F07"/>
    <w:rsid w:val="55FA2961"/>
    <w:rsid w:val="565E3E0E"/>
    <w:rsid w:val="565E7F4F"/>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2F2DE7"/>
    <w:rsid w:val="5D893B14"/>
    <w:rsid w:val="5D9F3D30"/>
    <w:rsid w:val="5E2810D5"/>
    <w:rsid w:val="5E2B7D62"/>
    <w:rsid w:val="5E71411E"/>
    <w:rsid w:val="5EA06921"/>
    <w:rsid w:val="5ED5006A"/>
    <w:rsid w:val="5F576E4B"/>
    <w:rsid w:val="5F5D4EDE"/>
    <w:rsid w:val="5F7A2C30"/>
    <w:rsid w:val="5F7E5DBD"/>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C16204"/>
    <w:rsid w:val="730313F6"/>
    <w:rsid w:val="731E1007"/>
    <w:rsid w:val="73370D24"/>
    <w:rsid w:val="7359268C"/>
    <w:rsid w:val="73676C3F"/>
    <w:rsid w:val="739503EB"/>
    <w:rsid w:val="73A05B28"/>
    <w:rsid w:val="73C07D69"/>
    <w:rsid w:val="74016C15"/>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00225D"/>
    <w:rsid w:val="773F0836"/>
    <w:rsid w:val="77653671"/>
    <w:rsid w:val="7782683F"/>
    <w:rsid w:val="778546CC"/>
    <w:rsid w:val="77B01880"/>
    <w:rsid w:val="77B56730"/>
    <w:rsid w:val="77C04A8B"/>
    <w:rsid w:val="77D85DB3"/>
    <w:rsid w:val="780252A0"/>
    <w:rsid w:val="78027772"/>
    <w:rsid w:val="78A50513"/>
    <w:rsid w:val="79082967"/>
    <w:rsid w:val="790E1715"/>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9"/>
    <w:pPr>
      <w:keepNext/>
      <w:keepLines/>
      <w:outlineLvl w:val="2"/>
    </w:pPr>
    <w:rPr>
      <w:b/>
      <w:bCs/>
      <w:sz w:val="28"/>
      <w:szCs w:val="32"/>
    </w:rPr>
  </w:style>
  <w:style w:type="paragraph" w:styleId="6">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1"/>
    <w:pPr>
      <w:spacing w:before="161"/>
      <w:ind w:left="120"/>
    </w:pPr>
    <w:rPr>
      <w:rFonts w:ascii="宋体" w:hAnsi="宋体" w:cs="宋体"/>
      <w:sz w:val="24"/>
      <w:lang w:val="zh-CN" w:bidi="zh-CN"/>
    </w:rPr>
  </w:style>
  <w:style w:type="paragraph" w:styleId="9">
    <w:name w:val="Normal Indent"/>
    <w:basedOn w:val="1"/>
    <w:semiHidden/>
    <w:unhideWhenUsed/>
    <w:qFormat/>
    <w:uiPriority w:val="99"/>
    <w:pPr>
      <w:ind w:firstLine="420" w:firstLineChars="200"/>
    </w:pPr>
  </w:style>
  <w:style w:type="paragraph" w:styleId="10">
    <w:name w:val="annotation text"/>
    <w:basedOn w:val="1"/>
    <w:autoRedefine/>
    <w:semiHidden/>
    <w:unhideWhenUsed/>
    <w:qFormat/>
    <w:uiPriority w:val="99"/>
  </w:style>
  <w:style w:type="paragraph" w:styleId="11">
    <w:name w:val="Body Text Indent"/>
    <w:basedOn w:val="1"/>
    <w:next w:val="12"/>
    <w:autoRedefine/>
    <w:qFormat/>
    <w:uiPriority w:val="0"/>
    <w:pPr>
      <w:ind w:left="270" w:leftChars="270"/>
    </w:pPr>
    <w:rPr>
      <w:rFonts w:ascii="Times New Roman" w:hAnsi="Times New Roman" w:eastAsia="宋体" w:cs="Times New Roman"/>
      <w:szCs w:val="20"/>
    </w:rPr>
  </w:style>
  <w:style w:type="paragraph" w:styleId="12">
    <w:name w:val="envelope return"/>
    <w:basedOn w:val="1"/>
    <w:autoRedefine/>
    <w:qFormat/>
    <w:uiPriority w:val="0"/>
    <w:rPr>
      <w:rFonts w:ascii="Arial" w:hAnsi="Arial"/>
    </w:rPr>
  </w:style>
  <w:style w:type="paragraph" w:styleId="13">
    <w:name w:val="toc 3"/>
    <w:basedOn w:val="1"/>
    <w:next w:val="1"/>
    <w:autoRedefine/>
    <w:unhideWhenUsed/>
    <w:qFormat/>
    <w:uiPriority w:val="39"/>
    <w:pPr>
      <w:tabs>
        <w:tab w:val="right" w:leader="dot" w:pos="8296"/>
      </w:tabs>
      <w:ind w:left="838" w:leftChars="381"/>
    </w:pPr>
    <w:rPr>
      <w:szCs w:val="21"/>
    </w:rPr>
  </w:style>
  <w:style w:type="paragraph" w:styleId="14">
    <w:name w:val="Plain Text"/>
    <w:basedOn w:val="1"/>
    <w:link w:val="51"/>
    <w:autoRedefine/>
    <w:qFormat/>
    <w:uiPriority w:val="0"/>
    <w:pPr>
      <w:widowControl w:val="0"/>
      <w:adjustRightInd/>
      <w:snapToGrid/>
      <w:jc w:val="both"/>
    </w:pPr>
    <w:rPr>
      <w:rFonts w:ascii="宋体" w:hAnsi="Courier New" w:cs="Times New Roman"/>
      <w:b/>
      <w:kern w:val="2"/>
      <w:szCs w:val="20"/>
    </w:rPr>
  </w:style>
  <w:style w:type="paragraph" w:styleId="15">
    <w:name w:val="Body Text Indent 2"/>
    <w:basedOn w:val="1"/>
    <w:autoRedefine/>
    <w:qFormat/>
    <w:uiPriority w:val="0"/>
    <w:pPr>
      <w:ind w:firstLine="539" w:firstLineChars="174"/>
    </w:pPr>
    <w:rPr>
      <w:rFonts w:ascii="仿宋_GB2312" w:eastAsia="仿宋_GB2312"/>
      <w:sz w:val="31"/>
    </w:r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53"/>
    <w:autoRedefine/>
    <w:unhideWhenUsed/>
    <w:qFormat/>
    <w:uiPriority w:val="99"/>
    <w:pPr>
      <w:tabs>
        <w:tab w:val="center" w:pos="4153"/>
        <w:tab w:val="right" w:pos="8306"/>
      </w:tabs>
    </w:pPr>
    <w:rPr>
      <w:sz w:val="18"/>
      <w:szCs w:val="18"/>
    </w:rPr>
  </w:style>
  <w:style w:type="paragraph" w:styleId="18">
    <w:name w:val="header"/>
    <w:basedOn w:val="1"/>
    <w:link w:val="52"/>
    <w:autoRedefine/>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autoRedefine/>
    <w:semiHidden/>
    <w:unhideWhenUsed/>
    <w:qFormat/>
    <w:uiPriority w:val="39"/>
  </w:style>
  <w:style w:type="paragraph" w:styleId="20">
    <w:name w:val="toc 4"/>
    <w:basedOn w:val="1"/>
    <w:next w:val="1"/>
    <w:autoRedefine/>
    <w:unhideWhenUsed/>
    <w:qFormat/>
    <w:uiPriority w:val="39"/>
    <w:pPr>
      <w:tabs>
        <w:tab w:val="right" w:leader="dot" w:pos="8296"/>
      </w:tabs>
      <w:spacing w:after="120"/>
      <w:ind w:left="1320" w:leftChars="600"/>
    </w:pPr>
  </w:style>
  <w:style w:type="paragraph" w:styleId="21">
    <w:name w:val="index heading"/>
    <w:basedOn w:val="1"/>
    <w:next w:val="22"/>
    <w:autoRedefine/>
    <w:qFormat/>
    <w:uiPriority w:val="0"/>
    <w:rPr>
      <w:rFonts w:ascii="Times New Roman" w:hAnsi="Times New Roman"/>
      <w:szCs w:val="20"/>
    </w:rPr>
  </w:style>
  <w:style w:type="paragraph" w:styleId="22">
    <w:name w:val="index 1"/>
    <w:basedOn w:val="1"/>
    <w:next w:val="1"/>
    <w:autoRedefine/>
    <w:unhideWhenUsed/>
    <w:qFormat/>
    <w:uiPriority w:val="99"/>
  </w:style>
  <w:style w:type="paragraph" w:styleId="23">
    <w:name w:val="Subtitle"/>
    <w:basedOn w:val="1"/>
    <w:next w:val="1"/>
    <w:autoRedefine/>
    <w:qFormat/>
    <w:uiPriority w:val="0"/>
    <w:pPr>
      <w:spacing w:line="312" w:lineRule="auto"/>
      <w:jc w:val="center"/>
      <w:outlineLvl w:val="1"/>
    </w:pPr>
    <w:rPr>
      <w:rFonts w:ascii="Arial" w:hAnsi="Arial" w:cs="Arial"/>
      <w:b/>
      <w:bCs/>
      <w:kern w:val="28"/>
      <w:sz w:val="32"/>
      <w:szCs w:val="32"/>
    </w:rPr>
  </w:style>
  <w:style w:type="paragraph" w:styleId="24">
    <w:name w:val="footnote text"/>
    <w:basedOn w:val="1"/>
    <w:autoRedefine/>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autoRedefine/>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autoRedefine/>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2"/>
    <w:autoRedefine/>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autoRedefine/>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autoRedefine/>
    <w:semiHidden/>
    <w:unhideWhenUsed/>
    <w:qFormat/>
    <w:uiPriority w:val="99"/>
    <w:rPr>
      <w:sz w:val="21"/>
      <w:szCs w:val="21"/>
    </w:rPr>
  </w:style>
  <w:style w:type="character" w:styleId="35">
    <w:name w:val="footnote reference"/>
    <w:basedOn w:val="31"/>
    <w:autoRedefine/>
    <w:semiHidden/>
    <w:unhideWhenUsed/>
    <w:qFormat/>
    <w:uiPriority w:val="99"/>
    <w:rPr>
      <w:vertAlign w:val="superscript"/>
    </w:rPr>
  </w:style>
  <w:style w:type="paragraph" w:customStyle="1" w:styleId="36">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1"/>
    <w:link w:val="4"/>
    <w:qFormat/>
    <w:uiPriority w:val="9"/>
    <w:rPr>
      <w:rFonts w:asciiTheme="majorHAnsi" w:hAnsiTheme="majorHAnsi" w:eastAsiaTheme="majorEastAsia" w:cstheme="majorBidi"/>
      <w:b/>
      <w:bCs/>
      <w:sz w:val="32"/>
      <w:szCs w:val="32"/>
    </w:rPr>
  </w:style>
  <w:style w:type="character" w:customStyle="1" w:styleId="39">
    <w:name w:val="标题 3 Char"/>
    <w:basedOn w:val="31"/>
    <w:link w:val="5"/>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6"/>
    <w:qFormat/>
    <w:uiPriority w:val="9"/>
    <w:rPr>
      <w:rFonts w:eastAsia="宋体" w:asciiTheme="majorHAnsi" w:hAnsiTheme="majorHAnsi" w:cstheme="majorBidi"/>
      <w:b/>
      <w:bCs/>
      <w:sz w:val="24"/>
      <w:szCs w:val="28"/>
    </w:rPr>
  </w:style>
  <w:style w:type="character" w:customStyle="1" w:styleId="42">
    <w:name w:val="正文缩进2格 Char"/>
    <w:link w:val="43"/>
    <w:autoRedefine/>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autoRedefine/>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autoRedefine/>
    <w:qFormat/>
    <w:uiPriority w:val="0"/>
    <w:rPr>
      <w:rFonts w:ascii="宋体" w:hAnsi="宋体" w:eastAsia="宋体"/>
      <w:b/>
      <w:color w:val="FF0000"/>
      <w:kern w:val="2"/>
      <w:sz w:val="32"/>
    </w:rPr>
  </w:style>
  <w:style w:type="paragraph" w:customStyle="1" w:styleId="48">
    <w:name w:val="标题 3.1"/>
    <w:basedOn w:val="5"/>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autoRedefine/>
    <w:qFormat/>
    <w:uiPriority w:val="0"/>
    <w:rPr>
      <w:rFonts w:ascii="宋体" w:hAnsi="Courier New" w:eastAsia="宋体" w:cs="Times New Roman"/>
      <w:b/>
      <w:kern w:val="2"/>
      <w:sz w:val="21"/>
      <w:szCs w:val="20"/>
    </w:rPr>
  </w:style>
  <w:style w:type="character" w:customStyle="1" w:styleId="51">
    <w:name w:val="纯文本 Char1"/>
    <w:basedOn w:val="31"/>
    <w:link w:val="14"/>
    <w:semiHidden/>
    <w:qFormat/>
    <w:uiPriority w:val="99"/>
    <w:rPr>
      <w:rFonts w:ascii="宋体" w:hAnsi="Courier New" w:eastAsia="宋体" w:cs="Courier New"/>
      <w:sz w:val="21"/>
      <w:szCs w:val="21"/>
    </w:rPr>
  </w:style>
  <w:style w:type="character" w:customStyle="1" w:styleId="52">
    <w:name w:val="页眉 Char"/>
    <w:basedOn w:val="31"/>
    <w:link w:val="18"/>
    <w:qFormat/>
    <w:uiPriority w:val="99"/>
    <w:rPr>
      <w:rFonts w:ascii="Tahoma" w:hAnsi="Tahoma"/>
      <w:sz w:val="18"/>
      <w:szCs w:val="18"/>
    </w:rPr>
  </w:style>
  <w:style w:type="character" w:customStyle="1" w:styleId="53">
    <w:name w:val="页脚 Char"/>
    <w:basedOn w:val="31"/>
    <w:link w:val="17"/>
    <w:qFormat/>
    <w:uiPriority w:val="99"/>
    <w:rPr>
      <w:rFonts w:ascii="Tahoma" w:hAnsi="Tahoma"/>
      <w:sz w:val="18"/>
      <w:szCs w:val="18"/>
    </w:rPr>
  </w:style>
  <w:style w:type="character" w:customStyle="1" w:styleId="54">
    <w:name w:val="批注框文本 Char"/>
    <w:basedOn w:val="31"/>
    <w:link w:val="16"/>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autoRedefine/>
    <w:qFormat/>
    <w:uiPriority w:val="0"/>
    <w:rPr>
      <w:rFonts w:hint="eastAsia" w:ascii="宋体" w:hAnsi="宋体" w:eastAsia="宋体" w:cs="宋体"/>
      <w:color w:val="000000"/>
      <w:sz w:val="22"/>
      <w:szCs w:val="22"/>
      <w:u w:val="none"/>
    </w:rPr>
  </w:style>
  <w:style w:type="character" w:customStyle="1" w:styleId="66">
    <w:name w:val="font181"/>
    <w:basedOn w:val="31"/>
    <w:autoRedefine/>
    <w:qFormat/>
    <w:uiPriority w:val="0"/>
    <w:rPr>
      <w:rFonts w:hint="default" w:ascii="Times New Roman" w:hAnsi="Times New Roman" w:cs="Times New Roman"/>
      <w:color w:val="000000"/>
      <w:sz w:val="22"/>
      <w:szCs w:val="22"/>
      <w:u w:val="none"/>
    </w:rPr>
  </w:style>
  <w:style w:type="character" w:customStyle="1" w:styleId="67">
    <w:name w:val="font221"/>
    <w:basedOn w:val="31"/>
    <w:autoRedefine/>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autoRedefine/>
    <w:qFormat/>
    <w:uiPriority w:val="0"/>
    <w:rPr>
      <w:rFonts w:hint="eastAsia" w:ascii="宋体" w:hAnsi="宋体" w:eastAsia="宋体" w:cs="宋体"/>
      <w:color w:val="000000"/>
      <w:sz w:val="22"/>
      <w:szCs w:val="22"/>
      <w:u w:val="none"/>
    </w:rPr>
  </w:style>
  <w:style w:type="character" w:customStyle="1" w:styleId="69">
    <w:name w:val="font131"/>
    <w:basedOn w:val="31"/>
    <w:autoRedefine/>
    <w:qFormat/>
    <w:uiPriority w:val="0"/>
    <w:rPr>
      <w:rFonts w:hint="eastAsia" w:ascii="微软雅黑" w:hAnsi="微软雅黑" w:eastAsia="微软雅黑" w:cs="微软雅黑"/>
      <w:color w:val="000000"/>
      <w:sz w:val="22"/>
      <w:szCs w:val="22"/>
      <w:u w:val="none"/>
    </w:rPr>
  </w:style>
  <w:style w:type="paragraph" w:customStyle="1" w:styleId="70">
    <w:name w:val="*正文"/>
    <w:basedOn w:val="1"/>
    <w:autoRedefine/>
    <w:qFormat/>
    <w:uiPriority w:val="0"/>
    <w:pPr>
      <w:spacing w:after="200"/>
      <w:ind w:firstLine="200"/>
    </w:pPr>
    <w:rPr>
      <w:rFonts w:ascii="宋体" w:hAnsi="宋体"/>
      <w:sz w:val="24"/>
      <w:szCs w:val="24"/>
    </w:rPr>
  </w:style>
  <w:style w:type="paragraph" w:customStyle="1" w:styleId="71">
    <w:name w:val="列出段落2"/>
    <w:basedOn w:val="1"/>
    <w:autoRedefine/>
    <w:qFormat/>
    <w:uiPriority w:val="0"/>
    <w:pPr>
      <w:ind w:firstLine="420" w:firstLineChars="200"/>
    </w:pPr>
    <w:rPr>
      <w:rFonts w:ascii="Calibri" w:hAnsi="Calibri" w:cs="Times New Roman"/>
    </w:rPr>
  </w:style>
  <w:style w:type="paragraph" w:customStyle="1" w:styleId="72">
    <w:name w:val="Table Paragraph"/>
    <w:basedOn w:val="1"/>
    <w:autoRedefine/>
    <w:qFormat/>
    <w:uiPriority w:val="1"/>
  </w:style>
  <w:style w:type="character" w:customStyle="1" w:styleId="73">
    <w:name w:val="font61"/>
    <w:basedOn w:val="31"/>
    <w:autoRedefine/>
    <w:qFormat/>
    <w:uiPriority w:val="0"/>
    <w:rPr>
      <w:rFonts w:hint="eastAsia" w:ascii="宋体" w:hAnsi="宋体" w:eastAsia="宋体" w:cs="宋体"/>
      <w:color w:val="000000"/>
      <w:sz w:val="20"/>
      <w:szCs w:val="20"/>
      <w:u w:val="none"/>
    </w:rPr>
  </w:style>
  <w:style w:type="character" w:customStyle="1" w:styleId="74">
    <w:name w:val="font101"/>
    <w:basedOn w:val="31"/>
    <w:autoRedefine/>
    <w:qFormat/>
    <w:uiPriority w:val="0"/>
    <w:rPr>
      <w:rFonts w:hint="eastAsia" w:ascii="宋体" w:hAnsi="宋体" w:eastAsia="宋体" w:cs="宋体"/>
      <w:color w:val="70AD47"/>
      <w:sz w:val="20"/>
      <w:szCs w:val="20"/>
      <w:u w:val="none"/>
    </w:rPr>
  </w:style>
  <w:style w:type="character" w:customStyle="1" w:styleId="75">
    <w:name w:val="font31"/>
    <w:basedOn w:val="31"/>
    <w:autoRedefine/>
    <w:qFormat/>
    <w:uiPriority w:val="0"/>
    <w:rPr>
      <w:rFonts w:hint="eastAsia" w:ascii="宋体" w:hAnsi="宋体" w:eastAsia="宋体" w:cs="宋体"/>
      <w:color w:val="000000"/>
      <w:sz w:val="20"/>
      <w:szCs w:val="20"/>
      <w:u w:val="none"/>
    </w:rPr>
  </w:style>
  <w:style w:type="character" w:customStyle="1" w:styleId="76">
    <w:name w:val="font91"/>
    <w:basedOn w:val="31"/>
    <w:autoRedefine/>
    <w:qFormat/>
    <w:uiPriority w:val="0"/>
    <w:rPr>
      <w:rFonts w:hint="eastAsia" w:ascii="宋体" w:hAnsi="宋体" w:eastAsia="宋体" w:cs="宋体"/>
      <w:color w:val="000000"/>
      <w:sz w:val="22"/>
      <w:szCs w:val="22"/>
      <w:u w:val="none"/>
    </w:rPr>
  </w:style>
  <w:style w:type="character" w:customStyle="1" w:styleId="77">
    <w:name w:val="font121"/>
    <w:basedOn w:val="31"/>
    <w:autoRedefine/>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79</Pages>
  <Words>32945</Words>
  <Characters>33845</Characters>
  <Lines>392</Lines>
  <Paragraphs>110</Paragraphs>
  <TotalTime>2</TotalTime>
  <ScaleCrop>false</ScaleCrop>
  <LinksUpToDate>false</LinksUpToDate>
  <CharactersWithSpaces>36080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2024-01-23T03:05:14Z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D9AFFE071BC648619EB69328E6F727C6_13</vt:lpwstr>
  </property>
</Properties>
</file>