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441900014-2023-00799</w:t>
      </w:r>
    </w:p>
    <w:p>
      <w:pPr>
        <w:jc w:val="center"/>
      </w:pPr>
      <w:r>
        <w:rPr>
          <w:b/>
          <w:sz w:val="24"/>
        </w:rPr>
        <w:t>采购项目编号：</w:t>
      </w:r>
      <w:r>
        <w:rPr>
          <w:b/>
          <w:sz w:val="24"/>
        </w:rPr>
        <w:t>441900014-2023-00799</w:t>
      </w:r>
    </w:p>
    <w:p>
      <w:pPr>
        <w:jc w:val="center"/>
      </w:pPr>
      <w:r>
        <w:rPr>
          <w:b/>
          <w:sz w:val="24"/>
        </w:rPr>
        <w:t>项目名称：</w:t>
      </w:r>
      <w:r>
        <w:rPr>
          <w:b/>
          <w:sz w:val="24"/>
        </w:rPr>
        <w:t>东莞市横沥医院安保服务项目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东莞市横沥医院安保服务项目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东莞市横沥医院安保服务项目</w:t>
      </w:r>
    </w:p>
    <w:p>
      <w:pPr>
        <w:ind w:firstLine="480"/>
      </w:pPr>
      <w:r>
        <w:rPr/>
        <w:t>采购计划编号：</w:t>
      </w:r>
      <w:r>
        <w:rPr/>
        <w:t>441900014-2023-00799</w:t>
      </w:r>
    </w:p>
    <w:p>
      <w:pPr>
        <w:ind w:firstLine="480"/>
      </w:pPr>
      <w:r>
        <w:rPr/>
        <w:t>采购项目编号：</w:t>
      </w:r>
      <w:r>
        <w:rPr/>
        <w:t>441900014-2023-00799</w:t>
      </w:r>
    </w:p>
    <w:p>
      <w:pPr>
        <w:ind w:firstLine="480"/>
      </w:pPr>
      <w:r>
        <w:rPr/>
        <w:t>采购方式：</w:t>
      </w:r>
      <w:r>
        <w:rPr/>
        <w:t>公开招标</w:t>
      </w:r>
    </w:p>
    <w:p>
      <w:pPr>
        <w:ind w:firstLine="480"/>
      </w:pPr>
      <w:r>
        <w:rPr/>
        <w:t>预算金额：</w:t>
      </w:r>
      <w:r>
        <w:rPr/>
        <w:t>3,739,200.00</w:t>
      </w:r>
      <w:r>
        <w:rPr/>
        <w:t>元</w:t>
      </w:r>
    </w:p>
    <w:p>
      <w:r>
        <w:rPr>
          <w:b/>
          <w:sz w:val="24"/>
        </w:rPr>
        <w:t>2.项目内容及需求情况（采购项目技术规格、参数及要求）</w:t>
      </w:r>
    </w:p>
    <w:p>
      <w:pPr>
        <w:ind w:firstLine="480"/>
      </w:pPr>
    </w:p>
    <w:p/>
    <w:p>
      <w:r>
        <w:rPr/>
        <w:t>采购包1(东莞市横沥医院安保服务项目):</w:t>
      </w:r>
    </w:p>
    <w:p>
      <w:r>
        <w:rPr/>
        <w:t>采购包预算金额：3,739,200.00元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保安服务</w:t>
            </w:r>
          </w:p>
        </w:tc>
        <w:tc>
          <w:tcPr>
            <w:tcW w:type="dxa" w:w="2052"/>
          </w:tcPr>
          <w:p>
            <w:r>
              <w:rPr/>
              <w:t>东莞市横沥医院安保服务项目</w:t>
            </w:r>
          </w:p>
        </w:tc>
        <w:tc>
          <w:tcPr>
            <w:tcW w:type="dxa" w:w="977"/>
          </w:tcPr>
          <w:p>
            <w:r>
              <w:rPr/>
              <w:t>1.00(项)</w:t>
            </w:r>
          </w:p>
        </w:tc>
        <w:tc>
          <w:tcPr>
            <w:tcW w:type="dxa" w:w="977"/>
          </w:tcPr>
          <w:p>
            <w:r>
              <w:rPr/>
              <w:t>详见第二章</w:t>
            </w:r>
          </w:p>
        </w:tc>
        <w:tc>
          <w:tcPr>
            <w:tcW w:type="dxa" w:w="977"/>
          </w:tcPr>
          <w:p>
            <w:r>
              <w:rPr/>
              <w:t>3,739,200.00</w:t>
            </w:r>
          </w:p>
        </w:tc>
        <w:tc>
          <w:tcPr>
            <w:tcW w:type="dxa" w:w="977"/>
          </w:tcPr>
          <w:p>
            <w:r>
              <w:rPr/>
              <w:t>否</w:t>
            </w:r>
          </w:p>
        </w:tc>
      </w:tr>
    </w:tbl>
    <w:p/>
    <w:p>
      <w:r>
        <w:rPr/>
        <w:t>本采购包不接受联合体投标</w:t>
      </w:r>
    </w:p>
    <w:p/>
    <w:p>
      <w:r>
        <w:rPr/>
        <w:t>合同履行期限：2年（自2024年2月1日起至2026年1月31日止）。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采购包1（东莞市横沥医院安保服务项目）：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采购包1（东莞市横沥医院安保服务项目）：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公安机关核发的《保安服务许可证》；若为异地注册的供应商在东莞从事保安服务的须提供在本市备案的保安从业单位备案回执单【如未在东莞公安部门进行备案的，供应商须承诺在中标后30个工作日内在莞进行备案（须提供承诺函加盖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东莞市横沥医院安保服务项目</w:t>
      </w:r>
      <w:r>
        <w:rPr>
          <w:sz w:val="21"/>
        </w:rPr>
        <w:t>。</w:t>
      </w:r>
    </w:p>
    <w:p>
      <w:pPr>
        <w:jc w:val="both"/>
      </w:pPr>
      <w:r>
        <w:rPr>
          <w:sz w:val="21"/>
        </w:rPr>
        <w:t>附件</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651"/>
        <w:gridCol w:w="2242"/>
        <w:gridCol w:w="5411"/>
      </w:tblGrid>
      <w:tr>
        <w:tc>
          <w:tcPr>
            <w:tcW w:type="dxa" w:w="651"/>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2242"/>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5411"/>
            <w:tcBorders>
              <w:top w:val="single" w:color="000000" w:sz="4"/>
              <w:left w:val="single" w:color="000000" w:sz="4"/>
              <w:bottom w:val="single" w:color="000000" w:sz="4"/>
              <w:right w:val="single" w:color="000000" w:sz="4"/>
            </w:tcBorders>
            <w:vAlign w:val="top"/>
          </w:tcPr>
          <w:p>
            <w:pPr>
              <w:jc w:val="both"/>
            </w:pPr>
            <w:r>
              <w:rPr>
                <w:sz w:val="21"/>
              </w:rPr>
              <w:t>在镇级以上新闻媒体受到表扬的奖</w:t>
            </w:r>
            <w:r>
              <w:rPr>
                <w:sz w:val="21"/>
              </w:rPr>
              <w:t>200-500元</w:t>
            </w:r>
          </w:p>
        </w:tc>
      </w:tr>
      <w:tr>
        <w:tc>
          <w:tcPr>
            <w:tcW w:type="dxa" w:w="651"/>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single" w:color="000000" w:sz="4"/>
              <w:bottom w:val="single" w:color="000000" w:sz="4"/>
              <w:right w:val="single" w:color="000000" w:sz="4"/>
            </w:tcBorders>
          </w:tcPr>
          <w:p/>
        </w:tc>
        <w:tc>
          <w:tcPr>
            <w:tcW w:type="dxa" w:w="5411"/>
            <w:tcBorders>
              <w:top w:val="none" w:color="000000" w:sz="4"/>
              <w:left w:val="single" w:color="000000" w:sz="4"/>
              <w:bottom w:val="single" w:color="000000" w:sz="4"/>
              <w:right w:val="single" w:color="000000" w:sz="4"/>
            </w:tcBorders>
            <w:vAlign w:val="top"/>
          </w:tcPr>
          <w:p>
            <w:pPr>
              <w:jc w:val="both"/>
            </w:pPr>
            <w:r>
              <w:rPr>
                <w:sz w:val="21"/>
              </w:rPr>
              <w:t>受到医院领导</w:t>
            </w:r>
            <w:r>
              <w:rPr>
                <w:sz w:val="21"/>
              </w:rPr>
              <w:t>/职能部门/科室主任、护士长表扬的奖100元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患者及家属赠送表扬信的，奖</w:t>
            </w:r>
            <w:r>
              <w:rPr>
                <w:sz w:val="21"/>
              </w:rPr>
              <w:t>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视情节奖励</w:t>
            </w:r>
            <w:r>
              <w:rPr>
                <w:sz w:val="21"/>
              </w:rPr>
              <w:t>50-200元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就管理流程、管理办法、陪护</w:t>
            </w:r>
            <w:r>
              <w:rPr>
                <w:sz w:val="21"/>
              </w:rPr>
              <w:t>/清洁质量等提出合理化建议，一经采用，奖100-200元</w:t>
            </w:r>
          </w:p>
        </w:tc>
      </w:tr>
    </w:tbl>
    <w:p/>
    <w:p>
      <w:pPr>
        <w:ind w:firstLine="480"/>
      </w:pPr>
    </w:p>
    <w:p/>
    <w:p>
      <w:r>
        <w:rPr/>
        <w:t>采购包1（东莞市横沥医院安保服务项目）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2年（自2024年2月1日起至2026年1月31日止）。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为加强对保安服务工作的有效管理，切实改善服务，提高工作效率，医院对保安服务制定相应的工作质量标准和技术要求并每月开展质量考评，中标人必须严格按要求执行，并由派驻的主管人员负责项目管理督促员工做好安保服务工作，如出现工作人员未按合同的规定、要求作业，未按规定保证人员数量或者工作中出现疏忽大意，医院有权要求中标人立即无偿整改并视情况给予一定数量的罚款。在合同期内，双方尚须明确如下条款： 1、中标人在每月20日前向采购人提供上一月份应支付服务费的合格等额发票、人员名单及评分考核表，采购人在30天内以银行转账方式向中标人支付上一个月的服务费。中标人按上月考核情况凭合格发票请款时，必须于每季度末附上为驻院服务人员缴纳的社保凭证，便于医院核对在岗人员的人数。 2、采购人每月根据考评结果支付给中标人安保服务项目服务费。考核结果得分（满分100分）=《东莞市横沥医院保安工作(临床科室) 考评表》得分*50%+《东莞市横沥医院保安工作(职能部门) 考评表》得分*50%，根据考核结果，每月90分（含）以上属于合格；89分（含）以下为不合格，质量评估分数在90分（含）以上可得当月全额服务费，质量评估分数在80—89分，该月仅付90％服务费。分数在79分（含）以下，除限期整改外，该月仅付80％服务费。一年有两次少于70分的，医院有权与中标人解除合同并追究相应责任。特殊岗位人员，发生恶性事件者，立即辞退，并赔偿相应损失。 3、中标人对招聘的员工原则要求初中以上文化程度，年龄在50岁以下，入职前必须进行岗前培训，培训合格后报科室同意方可上岗，未经岗前培训不得参与医院工作。上岗前应提供相关检查报告（检查费用由中标人承担）；由于保安责任导致的医疗纠纷和员工自己违反操作要求造成他人和自身伤害的，由中标人承担全部责任。 4、驻院主管应做到每天巡查各工作岗位，如发现服务质量问题，应如实记录和签名，并及时指导员工进行整改。 5、有以下行为之一的，经双方确认后扣除中标单位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 6、有以下行为之一的，扣除中标人服务费2000元罚款并立即辞退相关人员：打骂病人的；对医疗垃圾进行分拣售卖的；偷盗医院、病人财物的或捡获医护人员、病人财物属实拒绝交还者。 7、若由于中标人原因导致院内发生治安灾害、医疗设备失窃、车辆失窃、公共财产人为损坏等事件时，应作价赔偿。如有异议，可向采购人所在地人民法院提起诉讼；事态严重者，可追究当事人的法律责任。 8、投标人必须保证院方提出用工人数，如出现脱岗现象，必须24小时内提供人员到岗；再者，经所在科室半个月内多次（2次以上）要求更换或辞退的不合要求的服务人员，中标人应无条件满足医院的合理要求，否则，院方有权扣发相应人数及其工作日的服务薪酬。 9、医院结合工作和业务发展的实际，对合同约定的服务人员工作量及岗位配置进行调整（若有调整，医院将提前半个月知会中标人，中标人应无条件配合），其服务费按实际完成的安保工作量响应增减。若中标人需对驻点的工作人员进行外调，需提前通知医院相关部门，若未征得医院同意，不得随意调走派驻在医院的服务人员。 10、对医院在抽查及月中检查发现存在的问题，中标人要向院方及时反馈落实情况。如有特殊情况或加急的安保项目，中标人应及时派人员到场处理，不得拒绝推诿，上班时间应随叫随到（从接到指令到提供服务的时间要求在10分钟内）并保证服务质量。 11、驻点服务人员食宿和服装及装备要求：中标人须自行解决所雇用服务人员的食宿问题；并提供充足的服务规范装备及用品（如：对讲机、胶鞋、保安服、保安帽、警棍、雨伞、雨衣）等。 12、服务人员工资要求：中标人所雇用服务人员的基本工资（不包括员工社保、医保、福利以及加班工资等）不能低于东莞市规定的最低工资标准。中标人必须承诺不能发生拖欠员工工资的问题，一经发现，医院有权解除合同。 13、医院定期对保安工作进行考核，对表现突出的，医院将适当给予奖励。奖励性具体措施详见附件1。</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报价要求，★（1）本项目采用单价报价，投标单价最高限价为：4100元/岗/月，投标报价不得超过4100元/岗/月，否则作无效投标处理。 （2）投标报价采取打包报价的方式，投标报价包括材料、工具、人工、管理费、利润、税金、风险、招标代理费用等一切因素所有应该和可能发生的费用因素。</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保安服务</w:t>
            </w:r>
          </w:p>
        </w:tc>
        <w:tc>
          <w:tcPr>
            <w:tcW w:type="dxa" w:w="933"/>
          </w:tcPr>
          <w:p>
            <w:pPr>
              <w:jc w:val="left"/>
            </w:pPr>
            <w:r>
              <w:rPr/>
              <w:t>东莞市横沥医院安保服务项目</w:t>
            </w:r>
          </w:p>
        </w:tc>
        <w:tc>
          <w:tcPr>
            <w:tcW w:type="dxa" w:w="933"/>
          </w:tcPr>
          <w:p>
            <w:pPr>
              <w:jc w:val="left"/>
            </w:pPr>
            <w:r>
              <w:rPr/>
              <w:t>项</w:t>
            </w:r>
          </w:p>
        </w:tc>
        <w:tc>
          <w:tcPr>
            <w:tcW w:type="dxa" w:w="933"/>
          </w:tcPr>
          <w:p>
            <w:pPr>
              <w:jc w:val="right"/>
            </w:pPr>
            <w:r>
              <w:rPr/>
              <w:t>1.00</w:t>
            </w:r>
          </w:p>
        </w:tc>
        <w:tc>
          <w:tcPr>
            <w:tcW w:type="dxa" w:w="933"/>
          </w:tcPr>
          <w:p>
            <w:pPr>
              <w:jc w:val="right"/>
            </w:pPr>
            <w:r>
              <w:rPr/>
              <w:t>3,739,200.00</w:t>
            </w:r>
          </w:p>
        </w:tc>
        <w:tc>
          <w:tcPr>
            <w:tcW w:type="dxa" w:w="933"/>
          </w:tcPr>
          <w:p>
            <w:pPr>
              <w:jc w:val="right"/>
            </w:pPr>
            <w:r>
              <w:rPr/>
              <w:t>3,739,200.00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东莞市横沥医院安保服务项目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一、项目概况</w:t>
            </w:r>
          </w:p>
          <w:p>
            <w:pPr>
              <w:ind w:firstLine="420"/>
              <w:jc w:val="left"/>
            </w:pPr>
            <w:r>
              <w:rPr>
                <w:sz w:val="21"/>
              </w:rPr>
              <w:t>东莞市横沥医院地处横沥镇天桥路</w:t>
            </w:r>
            <w:r>
              <w:rPr>
                <w:sz w:val="21"/>
              </w:rPr>
              <w:t>205号，占地面积2.35万多平米</w:t>
            </w:r>
            <w:r>
              <w:rPr>
                <w:sz w:val="21"/>
              </w:rPr>
              <w:t>，</w:t>
            </w:r>
            <w:r>
              <w:rPr>
                <w:sz w:val="21"/>
              </w:rPr>
              <w:t>编制床位</w:t>
            </w:r>
            <w:r>
              <w:rPr>
                <w:sz w:val="21"/>
              </w:rPr>
              <w:t>420张，计划招标</w:t>
            </w:r>
            <w:r>
              <w:rPr>
                <w:sz w:val="21"/>
              </w:rPr>
              <w:t>安保</w:t>
            </w:r>
            <w:r>
              <w:rPr>
                <w:sz w:val="21"/>
              </w:rPr>
              <w:t>服务，岗位拟定</w:t>
            </w:r>
            <w:r>
              <w:rPr>
                <w:sz w:val="21"/>
              </w:rPr>
              <w:t>38</w:t>
            </w:r>
            <w:r>
              <w:rPr>
                <w:sz w:val="21"/>
              </w:rPr>
              <w:t>个</w:t>
            </w:r>
            <w:r>
              <w:rPr>
                <w:sz w:val="21"/>
              </w:rPr>
              <w:t>，</w:t>
            </w:r>
            <w:r>
              <w:rPr>
                <w:sz w:val="21"/>
              </w:rPr>
              <w:t>服务期为</w:t>
            </w:r>
            <w:r>
              <w:rPr>
                <w:sz w:val="21"/>
              </w:rPr>
              <w:t>2</w:t>
            </w:r>
            <w:r>
              <w:rPr>
                <w:sz w:val="21"/>
              </w:rPr>
              <w:t>年。在</w:t>
            </w:r>
            <w:r>
              <w:rPr>
                <w:sz w:val="21"/>
              </w:rPr>
              <w:t>合同</w:t>
            </w:r>
            <w:r>
              <w:rPr>
                <w:sz w:val="21"/>
              </w:rPr>
              <w:t>期内，根据实际工作需要，医院在提前书面通知的情况下有权对中标人派驻工作人员作增减，费用也作相应增减，投标人须无条件同意。</w:t>
            </w:r>
          </w:p>
          <w:p>
            <w:pPr>
              <w:jc w:val="both"/>
            </w:pPr>
            <w:r>
              <w:rPr>
                <w:b/>
                <w:sz w:val="24"/>
              </w:rPr>
              <w:t>二、工作内容</w:t>
            </w:r>
          </w:p>
          <w:p>
            <w:pPr>
              <w:ind w:firstLine="420"/>
              <w:jc w:val="both"/>
            </w:pPr>
            <w:r>
              <w:rPr>
                <w:sz w:val="21"/>
              </w:rPr>
              <w:t>1</w:t>
            </w:r>
            <w:r>
              <w:rPr>
                <w:sz w:val="21"/>
              </w:rPr>
              <w:t>、依据《保安服务管理条例》（国务院令第</w:t>
            </w:r>
            <w:r>
              <w:rPr>
                <w:sz w:val="21"/>
              </w:rPr>
              <w:t>564号文件），中标人依照约定的安保服务项目及标准开展工作，严格按照质量标准执行。</w:t>
            </w:r>
          </w:p>
          <w:p>
            <w:pPr>
              <w:ind w:firstLine="420"/>
              <w:jc w:val="both"/>
            </w:pPr>
            <w:r>
              <w:rPr>
                <w:sz w:val="21"/>
              </w:rPr>
              <w:t>2、</w:t>
            </w:r>
            <w:r>
              <w:rPr>
                <w:sz w:val="21"/>
              </w:rPr>
              <w:t>负责全院范围内的公共安全秩序，做好日常巡逻和防盗工作，清理院区内扰乱公共秩序的人员，确保全院（含全院宿舍）的人身、财产安全；巡察各楼层各诊室患者就诊秩序情况，防止和减少各类问题的发生。</w:t>
            </w:r>
          </w:p>
          <w:p>
            <w:pPr>
              <w:ind w:firstLine="420"/>
              <w:jc w:val="both"/>
            </w:pPr>
            <w:r>
              <w:rPr>
                <w:sz w:val="21"/>
              </w:rPr>
              <w:t>3</w:t>
            </w:r>
            <w:r>
              <w:rPr>
                <w:sz w:val="21"/>
              </w:rPr>
              <w:t>、协助采购人做好突发事件管理工作：包括医院突发治安事件、特殊天气做好防风、防水、协助清理积水及防滑工作，做好医院人、财、物安全等的各种应急保障工作。遇突发性事件或紧急情况要沉着冷静，快速将出事地点通知值班领导，并对事件现场录像存档。</w:t>
            </w:r>
          </w:p>
          <w:p>
            <w:pPr>
              <w:ind w:firstLine="420"/>
              <w:jc w:val="both"/>
            </w:pPr>
            <w:r>
              <w:rPr>
                <w:sz w:val="21"/>
              </w:rPr>
              <w:t>4</w:t>
            </w:r>
            <w:r>
              <w:rPr>
                <w:sz w:val="21"/>
              </w:rPr>
              <w:t>、须严格执行来客登记和车辆进出询问、检查和记录制度，负责院内各类车辆停放的管理和安全。</w:t>
            </w:r>
          </w:p>
          <w:p>
            <w:pPr>
              <w:ind w:firstLine="420"/>
              <w:jc w:val="both"/>
            </w:pPr>
            <w:r>
              <w:rPr>
                <w:sz w:val="21"/>
              </w:rPr>
              <w:t>5</w:t>
            </w:r>
            <w:r>
              <w:rPr>
                <w:sz w:val="21"/>
              </w:rPr>
              <w:t>、熟悉医院内部环境，消防设施分布，灭火器材的摆放点，防盗防火报警装置的位置，会熟练使用各种灭火器材，发现隐患及时上报，保证消防设施处于良好状态，保证消防通道畅通。</w:t>
            </w:r>
          </w:p>
          <w:p>
            <w:pPr>
              <w:ind w:firstLine="420"/>
              <w:jc w:val="both"/>
            </w:pPr>
            <w:r>
              <w:rPr>
                <w:sz w:val="21"/>
              </w:rPr>
              <w:t>6</w:t>
            </w:r>
            <w:r>
              <w:rPr>
                <w:sz w:val="21"/>
              </w:rPr>
              <w:t>、协助做好采购人医院内电梯的日常管理工作。</w:t>
            </w:r>
          </w:p>
          <w:p>
            <w:pPr>
              <w:ind w:firstLine="420"/>
              <w:jc w:val="both"/>
            </w:pPr>
            <w:r>
              <w:rPr>
                <w:sz w:val="21"/>
              </w:rPr>
              <w:t>7</w:t>
            </w:r>
            <w:r>
              <w:rPr>
                <w:sz w:val="21"/>
              </w:rPr>
              <w:t>、协助完成采购人医院内临时要求的搬运工作任务。</w:t>
            </w:r>
          </w:p>
          <w:p>
            <w:pPr>
              <w:ind w:firstLine="420"/>
              <w:jc w:val="both"/>
            </w:pPr>
            <w:r>
              <w:rPr>
                <w:sz w:val="21"/>
              </w:rPr>
              <w:t>8</w:t>
            </w:r>
            <w:r>
              <w:rPr>
                <w:sz w:val="21"/>
              </w:rPr>
              <w:t>、协助完成采购人医院内的报刊和信件收发工作。</w:t>
            </w:r>
          </w:p>
          <w:p>
            <w:pPr>
              <w:ind w:firstLine="420"/>
              <w:jc w:val="both"/>
            </w:pPr>
            <w:r>
              <w:rPr>
                <w:sz w:val="21"/>
              </w:rPr>
              <w:t>9</w:t>
            </w:r>
            <w:r>
              <w:rPr>
                <w:sz w:val="21"/>
              </w:rPr>
              <w:t>、协助医院控烟、禁止患者在医院内吸烟，发现吸烟者应当立即劝阻。</w:t>
            </w:r>
          </w:p>
          <w:p>
            <w:pPr>
              <w:ind w:firstLine="420"/>
              <w:jc w:val="both"/>
            </w:pPr>
            <w:r>
              <w:rPr>
                <w:sz w:val="21"/>
              </w:rPr>
              <w:t>10</w:t>
            </w:r>
            <w:r>
              <w:rPr>
                <w:sz w:val="21"/>
              </w:rPr>
              <w:t>、严格遵守交接班制度，做好值班和交接班记录，做到三班全面监控。</w:t>
            </w:r>
          </w:p>
          <w:p>
            <w:pPr>
              <w:ind w:firstLine="420"/>
              <w:jc w:val="both"/>
            </w:pPr>
            <w:r>
              <w:rPr>
                <w:sz w:val="21"/>
              </w:rPr>
              <w:t>1</w:t>
            </w:r>
            <w:r>
              <w:rPr>
                <w:sz w:val="21"/>
              </w:rPr>
              <w:t>1</w:t>
            </w:r>
            <w:r>
              <w:rPr>
                <w:sz w:val="21"/>
              </w:rPr>
              <w:t>、协助做好医院公共场所水电开关管理工作</w:t>
            </w:r>
            <w:r>
              <w:rPr>
                <w:sz w:val="21"/>
              </w:rPr>
              <w:t>：</w:t>
            </w:r>
            <w:r>
              <w:rPr>
                <w:sz w:val="21"/>
              </w:rPr>
              <w:t>巡查各楼层，检查应关闭的灯光、门、窗、空调等。</w:t>
            </w:r>
          </w:p>
          <w:p>
            <w:pPr>
              <w:ind w:firstLine="420"/>
              <w:jc w:val="both"/>
            </w:pPr>
            <w:r>
              <w:rPr>
                <w:sz w:val="21"/>
              </w:rPr>
              <w:t>12、协助120出车及处理尸体、胎盘服务。</w:t>
            </w:r>
          </w:p>
          <w:p>
            <w:pPr>
              <w:ind w:firstLine="420"/>
              <w:jc w:val="both"/>
            </w:pPr>
            <w:r>
              <w:rPr>
                <w:sz w:val="21"/>
              </w:rPr>
              <w:t>13、</w:t>
            </w:r>
            <w:r>
              <w:rPr>
                <w:sz w:val="21"/>
              </w:rPr>
              <w:t>协助医院打击医托、医闹、劝退医药代表等工作。</w:t>
            </w:r>
          </w:p>
          <w:p>
            <w:pPr>
              <w:ind w:firstLine="420"/>
              <w:jc w:val="both"/>
            </w:pPr>
            <w:r>
              <w:rPr>
                <w:sz w:val="21"/>
              </w:rPr>
              <w:t>14、</w:t>
            </w:r>
            <w:r>
              <w:rPr>
                <w:sz w:val="21"/>
              </w:rPr>
              <w:t>协助医院及时制止因医闹、医托、醉酒闹事件、医患纠纷等引起的群体性事件，建立应急机制，可在短时间内抽调</w:t>
            </w:r>
            <w:r>
              <w:rPr>
                <w:sz w:val="21"/>
              </w:rPr>
              <w:t>10名以上保安人员参与应急。</w:t>
            </w:r>
          </w:p>
          <w:p>
            <w:pPr>
              <w:ind w:firstLine="420"/>
              <w:jc w:val="left"/>
            </w:pPr>
            <w:r>
              <w:rPr>
                <w:sz w:val="21"/>
              </w:rPr>
              <w:t>15、</w:t>
            </w:r>
            <w:r>
              <w:rPr>
                <w:sz w:val="21"/>
              </w:rPr>
              <w:t>清理院区内扰乱公共秩序的人员（非法保险从业员、卖水果、清洁物品、气球等小贩、非法张贴宣传单人员、非法派发小广告、非法</w:t>
            </w:r>
            <w:r>
              <w:rPr>
                <w:sz w:val="21"/>
              </w:rPr>
              <w:t>120车辆司机、非法营运车辆等）。</w:t>
            </w:r>
          </w:p>
          <w:p>
            <w:pPr>
              <w:ind w:firstLine="420"/>
              <w:jc w:val="both"/>
            </w:pPr>
            <w:r>
              <w:rPr>
                <w:sz w:val="21"/>
              </w:rPr>
              <w:t>16、</w:t>
            </w:r>
            <w:r>
              <w:rPr>
                <w:sz w:val="21"/>
              </w:rPr>
              <w:t>协助医院做好创建文明城市工作。</w:t>
            </w:r>
          </w:p>
          <w:p>
            <w:pPr>
              <w:ind w:firstLine="420"/>
              <w:jc w:val="both"/>
            </w:pPr>
            <w:r>
              <w:rPr>
                <w:sz w:val="21"/>
              </w:rPr>
              <w:t>17、</w:t>
            </w:r>
            <w:r>
              <w:rPr>
                <w:sz w:val="21"/>
              </w:rPr>
              <w:t>遵守院方的有关机密和保密要求。</w:t>
            </w:r>
          </w:p>
          <w:p>
            <w:pPr>
              <w:ind w:firstLine="420"/>
              <w:jc w:val="both"/>
            </w:pPr>
            <w:r>
              <w:rPr>
                <w:sz w:val="21"/>
              </w:rPr>
              <w:t>18、协助院方按照</w:t>
            </w:r>
            <w:r>
              <w:rPr>
                <w:sz w:val="21"/>
              </w:rPr>
              <w:t>《关于开展创建</w:t>
            </w:r>
            <w:r>
              <w:rPr>
                <w:sz w:val="21"/>
              </w:rPr>
              <w:t>“平安医院”活动的意见》（卫办发﹝2007﹞118号）及平安医院建设等相关要求</w:t>
            </w:r>
            <w:r>
              <w:rPr>
                <w:sz w:val="21"/>
              </w:rPr>
              <w:t>落实</w:t>
            </w:r>
            <w:r>
              <w:rPr>
                <w:sz w:val="21"/>
              </w:rPr>
              <w:t>“</w:t>
            </w:r>
            <w:r>
              <w:rPr>
                <w:sz w:val="21"/>
              </w:rPr>
              <w:t>平安建设</w:t>
            </w:r>
            <w:r>
              <w:rPr>
                <w:sz w:val="21"/>
              </w:rPr>
              <w:t>”</w:t>
            </w:r>
            <w:r>
              <w:rPr>
                <w:sz w:val="21"/>
              </w:rPr>
              <w:t>工作。</w:t>
            </w:r>
          </w:p>
          <w:p>
            <w:pPr>
              <w:ind w:firstLine="420"/>
              <w:jc w:val="left"/>
            </w:pPr>
            <w:r>
              <w:rPr>
                <w:sz w:val="21"/>
              </w:rPr>
              <w:t>19、</w:t>
            </w:r>
            <w:r>
              <w:rPr>
                <w:sz w:val="21"/>
              </w:rPr>
              <w:t>负责做好</w:t>
            </w:r>
            <w:r>
              <w:rPr>
                <w:sz w:val="21"/>
              </w:rPr>
              <w:t>院方</w:t>
            </w:r>
            <w:r>
              <w:rPr>
                <w:sz w:val="21"/>
              </w:rPr>
              <w:t>要求的其他属于保安服务管理范围内的工作任务。</w:t>
            </w:r>
          </w:p>
          <w:p>
            <w:pPr>
              <w:jc w:val="left"/>
            </w:pPr>
            <w:r>
              <w:rPr>
                <w:b/>
                <w:sz w:val="24"/>
              </w:rPr>
              <w:t>三、人员配置要求</w:t>
            </w:r>
          </w:p>
          <w:p>
            <w:pPr>
              <w:ind w:firstLine="420"/>
              <w:jc w:val="left"/>
            </w:pPr>
            <w:r>
              <w:rPr>
                <w:sz w:val="21"/>
              </w:rPr>
              <w:t>1、</w:t>
            </w:r>
            <w:r>
              <w:rPr>
                <w:sz w:val="21"/>
              </w:rPr>
              <w:t>服务人员应统一着装，（工作服公司自备</w:t>
            </w:r>
            <w:r>
              <w:rPr>
                <w:sz w:val="21"/>
              </w:rPr>
              <w:t>，</w:t>
            </w:r>
            <w:r>
              <w:rPr>
                <w:sz w:val="21"/>
              </w:rPr>
              <w:t>标准服装，且需符合国家规定的统一保安制服</w:t>
            </w:r>
            <w:r>
              <w:rPr>
                <w:sz w:val="21"/>
              </w:rPr>
              <w:t>）</w:t>
            </w:r>
            <w:r>
              <w:rPr>
                <w:sz w:val="21"/>
              </w:rPr>
              <w:t>、</w:t>
            </w:r>
            <w:r>
              <w:rPr>
                <w:sz w:val="21"/>
              </w:rPr>
              <w:t>佩戴胸卡</w:t>
            </w:r>
            <w:r>
              <w:rPr>
                <w:sz w:val="21"/>
              </w:rPr>
              <w:t>、</w:t>
            </w:r>
            <w:r>
              <w:rPr>
                <w:sz w:val="21"/>
              </w:rPr>
              <w:t>肩章、反光背心</w:t>
            </w:r>
            <w:r>
              <w:rPr>
                <w:sz w:val="21"/>
              </w:rPr>
              <w:t>。</w:t>
            </w:r>
          </w:p>
          <w:p>
            <w:pPr>
              <w:ind w:firstLine="420"/>
              <w:jc w:val="left"/>
            </w:pPr>
            <w:r>
              <w:rPr>
                <w:sz w:val="21"/>
              </w:rPr>
              <w:t>2、</w:t>
            </w:r>
            <w:r>
              <w:rPr>
                <w:sz w:val="21"/>
              </w:rPr>
              <w:t>必须派驻符合要求的管理人员对现场进行质量监控及合理调配安排人力，发现问题及时纠正处理。派驻的管理人员应相对固定，如有更换，应作出书面通知。同时提供派驻项目现场管理人员的上岗证明文件（包括身份证明、资格或资质证明、在项目所在地购买社会保险证明等）复印件。</w:t>
            </w:r>
          </w:p>
          <w:p>
            <w:pPr>
              <w:ind w:firstLine="420"/>
              <w:jc w:val="both"/>
            </w:pPr>
            <w:r>
              <w:rPr>
                <w:sz w:val="21"/>
              </w:rPr>
              <w:t>3、对服务人员</w:t>
            </w:r>
            <w:r>
              <w:rPr>
                <w:sz w:val="21"/>
              </w:rPr>
              <w:t>要严格调查审核，</w:t>
            </w:r>
            <w:r>
              <w:rPr>
                <w:sz w:val="21"/>
              </w:rPr>
              <w:t>确保</w:t>
            </w:r>
            <w:r>
              <w:rPr>
                <w:sz w:val="21"/>
              </w:rPr>
              <w:t>无违法犯罪记录，均经岗前培训合格、均持有公安机关发放的保安员证，身体健康状况良好、无任何疾病史，并具有相应岗位所要求的工作能力。具备良好的职业道德，维护医院的形象，不得泄露医院任何工作信息及病人的隐私，遵守国家法律法规和本院的规章制度，切实履行相关的工作制度和职责。</w:t>
            </w:r>
          </w:p>
          <w:p>
            <w:pPr>
              <w:ind w:firstLine="420"/>
              <w:jc w:val="both"/>
            </w:pPr>
            <w:r>
              <w:rPr>
                <w:sz w:val="21"/>
              </w:rPr>
              <w:t>3.1</w:t>
            </w:r>
            <w:r>
              <w:rPr>
                <w:sz w:val="21"/>
              </w:rPr>
              <w:t>身体条件：男性身高原则在</w:t>
            </w:r>
            <w:r>
              <w:rPr>
                <w:sz w:val="21"/>
              </w:rPr>
              <w:t>168cm以上，体质指数21-26，双眼裸视力1.0以上，外形端庄；女性身高1.60米以上，双眼裸视力1.0以上，体质指数21-26，外形端庄。</w:t>
            </w:r>
          </w:p>
          <w:p>
            <w:pPr>
              <w:ind w:firstLine="420"/>
              <w:jc w:val="both"/>
            </w:pPr>
            <w:r>
              <w:rPr>
                <w:sz w:val="21"/>
              </w:rPr>
              <w:t>3.2</w:t>
            </w:r>
            <w:r>
              <w:rPr>
                <w:sz w:val="21"/>
              </w:rPr>
              <w:t>年龄要求：</w:t>
            </w:r>
            <w:r>
              <w:rPr>
                <w:sz w:val="21"/>
              </w:rPr>
              <w:t>18-50岁，年龄在4</w:t>
            </w:r>
            <w:r>
              <w:rPr>
                <w:sz w:val="21"/>
              </w:rPr>
              <w:t>7</w:t>
            </w:r>
            <w:r>
              <w:rPr>
                <w:sz w:val="21"/>
              </w:rPr>
              <w:t>-50岁占总人数的35%以下。</w:t>
            </w:r>
          </w:p>
          <w:p>
            <w:pPr>
              <w:ind w:firstLine="420"/>
              <w:jc w:val="both"/>
            </w:pPr>
            <w:r>
              <w:rPr>
                <w:sz w:val="21"/>
              </w:rPr>
              <w:t>3.3 政治素质：</w:t>
            </w:r>
            <w:r>
              <w:rPr>
                <w:sz w:val="21"/>
              </w:rPr>
              <w:t>遵纪守法，文明执勤，礼貌待人，微笑服务，关心和尊重病人，主动服务患者，严禁向病人、家属索取红包，敢于同违法犯罪现象作斗争。</w:t>
            </w:r>
          </w:p>
          <w:p>
            <w:pPr>
              <w:ind w:firstLine="420"/>
              <w:jc w:val="both"/>
            </w:pPr>
            <w:r>
              <w:rPr>
                <w:sz w:val="21"/>
              </w:rPr>
              <w:t>3.4 业务技能：</w:t>
            </w:r>
            <w:r>
              <w:rPr>
                <w:sz w:val="21"/>
              </w:rPr>
              <w:t>具备相关法律法规知识、安保知识和消防知识，具备一定的语言和文字表达能力，取得《保安员资格证》的人员，会粤语与退伍军人优先。</w:t>
            </w:r>
          </w:p>
          <w:p>
            <w:pPr>
              <w:ind w:firstLine="420"/>
              <w:jc w:val="both"/>
            </w:pPr>
            <w:r>
              <w:rPr>
                <w:sz w:val="21"/>
              </w:rPr>
              <w:t>3.5 文化程度：</w:t>
            </w:r>
            <w:r>
              <w:rPr>
                <w:sz w:val="21"/>
              </w:rPr>
              <w:t>具备初中以上文化程度。</w:t>
            </w:r>
          </w:p>
          <w:p>
            <w:pPr>
              <w:ind w:firstLine="420"/>
              <w:jc w:val="left"/>
            </w:pPr>
            <w:r>
              <w:rPr>
                <w:sz w:val="21"/>
              </w:rPr>
              <w:t>4、</w:t>
            </w:r>
            <w:r>
              <w:rPr>
                <w:sz w:val="21"/>
              </w:rPr>
              <w:t>为保证服务人员的服务质量，必须按确定的服务人员名单提供</w:t>
            </w:r>
          </w:p>
          <w:p>
            <w:pPr>
              <w:ind w:firstLine="420"/>
              <w:jc w:val="left"/>
            </w:pPr>
            <w:r>
              <w:rPr>
                <w:sz w:val="21"/>
              </w:rPr>
              <w:t>服务，服务期内，每月的服务人员流动量不得超过总服务人员总数的</w:t>
            </w:r>
            <w:r>
              <w:rPr>
                <w:sz w:val="21"/>
              </w:rPr>
              <w:t>2</w:t>
            </w:r>
            <w:r>
              <w:rPr>
                <w:sz w:val="21"/>
              </w:rPr>
              <w:t>%。</w:t>
            </w:r>
          </w:p>
          <w:p>
            <w:pPr>
              <w:ind w:firstLine="420"/>
              <w:jc w:val="left"/>
            </w:pPr>
            <w:r>
              <w:rPr>
                <w:sz w:val="21"/>
              </w:rPr>
              <w:t>5、</w:t>
            </w:r>
            <w:r>
              <w:rPr>
                <w:sz w:val="21"/>
              </w:rPr>
              <w:t>派驻项目现场的服务人员应遵守医院的规章制度，爱护公共财</w:t>
            </w:r>
          </w:p>
          <w:p>
            <w:pPr>
              <w:ind w:firstLine="420"/>
              <w:jc w:val="left"/>
            </w:pPr>
            <w:r>
              <w:rPr>
                <w:sz w:val="21"/>
              </w:rPr>
              <w:t>物，不得故意损坏采购人的一切设施及采购人提供的设备和工具，并保证节约用水、用电，规范使用各种耗材，杜绝不必要的</w:t>
            </w:r>
            <w:r>
              <w:rPr>
                <w:sz w:val="21"/>
              </w:rPr>
              <w:t>浪费。</w:t>
            </w:r>
          </w:p>
          <w:p>
            <w:pPr>
              <w:ind w:firstLine="420"/>
              <w:jc w:val="both"/>
            </w:pPr>
            <w:r>
              <w:rPr>
                <w:sz w:val="21"/>
              </w:rPr>
              <w:t>6、</w:t>
            </w:r>
            <w:r>
              <w:rPr>
                <w:sz w:val="21"/>
              </w:rPr>
              <w:t>根据《广东保安服务管理条例实施细则》实施管理并自备制服、警具、对讲机、电筒、值班登记等提供服务所需装备、工具及消耗用品等，其中每个岗位必须配备对讲机、警棍等。</w:t>
            </w:r>
          </w:p>
          <w:p>
            <w:pPr>
              <w:ind w:firstLine="420"/>
              <w:jc w:val="both"/>
            </w:pPr>
            <w:r>
              <w:rPr>
                <w:sz w:val="21"/>
              </w:rPr>
              <w:t>7、</w:t>
            </w:r>
            <w:r>
              <w:rPr>
                <w:sz w:val="21"/>
              </w:rPr>
              <w:t>须保证保安员为合格的劳动者，满足《劳动合同法》的相关要求，自行负责与保安员的劳动争议，与</w:t>
            </w:r>
            <w:r>
              <w:rPr>
                <w:sz w:val="21"/>
              </w:rPr>
              <w:t>院方</w:t>
            </w:r>
            <w:r>
              <w:rPr>
                <w:sz w:val="21"/>
              </w:rPr>
              <w:t>无关。</w:t>
            </w:r>
          </w:p>
          <w:p>
            <w:pPr>
              <w:ind w:firstLine="420"/>
              <w:jc w:val="both"/>
            </w:pPr>
            <w:r>
              <w:rPr>
                <w:sz w:val="21"/>
              </w:rPr>
              <w:t>8、</w:t>
            </w:r>
            <w:r>
              <w:rPr>
                <w:sz w:val="21"/>
              </w:rPr>
              <w:t>依据《保安服务管理条例》第二十三条规定，保安服务公司派出保安员跨省、自治区、直辖市为客户单位提供保安服务的，应当向服务所在地设区的市级人民政府公安机关备案。备案应当提供保安服务公司的保安服务许可证和工商营业执照、保安服务合同、服务项目负责人和保安员的基本情况。</w:t>
            </w:r>
          </w:p>
          <w:p>
            <w:pPr>
              <w:ind w:firstLine="420"/>
              <w:jc w:val="both"/>
            </w:pPr>
            <w:r>
              <w:rPr>
                <w:sz w:val="21"/>
              </w:rPr>
              <w:t>9、</w:t>
            </w:r>
            <w:r>
              <w:rPr>
                <w:sz w:val="21"/>
              </w:rPr>
              <w:t>依据《公安机关实施保安服务管理条例办法》第二十六条规定，保安服务公司派出保安员提供保安服务，保安服务合同履行地与保安服务公司所在地不在同一省、自治区、直辖市的，应当依照《条例》第二十三条的规定，在开始提供保安服务之前</w:t>
            </w:r>
            <w:r>
              <w:rPr>
                <w:sz w:val="21"/>
              </w:rPr>
              <w:t>30个工作日内向保安服务合同履行地设区市的公安机关备案，并接受备案地公安机关监督管理。</w:t>
            </w:r>
          </w:p>
          <w:p>
            <w:pPr>
              <w:jc w:val="both"/>
            </w:pPr>
            <w:r>
              <w:rPr>
                <w:b/>
                <w:sz w:val="24"/>
              </w:rPr>
              <w:t>三、</w:t>
            </w:r>
            <w:r>
              <w:rPr>
                <w:b/>
                <w:sz w:val="24"/>
              </w:rPr>
              <w:t>管理质量标准</w:t>
            </w:r>
          </w:p>
          <w:p>
            <w:pPr>
              <w:ind w:firstLine="420"/>
              <w:jc w:val="both"/>
            </w:pPr>
            <w:r>
              <w:rPr>
                <w:sz w:val="21"/>
              </w:rPr>
              <w:t>1、严格执行《企业事业单位内部治安保卫条例》，保护采购人医院内的财产和人身安全；如发生财产失窃，中标人应承担相应的赔偿责任。</w:t>
            </w:r>
          </w:p>
          <w:p>
            <w:pPr>
              <w:ind w:firstLine="420"/>
              <w:jc w:val="both"/>
            </w:pPr>
            <w:r>
              <w:rPr>
                <w:sz w:val="21"/>
              </w:rPr>
              <w:t>2、有健全的安保组织和标准作业规程，有应急处理预案，发现问题，及时报告采购人及相关行政管理部门并协助处理解决。</w:t>
            </w:r>
          </w:p>
          <w:p>
            <w:pPr>
              <w:ind w:firstLine="420"/>
              <w:jc w:val="both"/>
            </w:pPr>
            <w:r>
              <w:rPr>
                <w:sz w:val="21"/>
              </w:rPr>
              <w:t>3、管理严格，确保正常的工作秩序。</w:t>
            </w:r>
          </w:p>
          <w:p>
            <w:pPr>
              <w:ind w:firstLine="420"/>
              <w:jc w:val="both"/>
            </w:pPr>
            <w:r>
              <w:rPr>
                <w:sz w:val="21"/>
              </w:rPr>
              <w:t>4、保安人员应经过严格培训，年龄不超过50周岁，着装整齐，姿态端正，精神饱满，举止文明，严守职责，确保能有效地应对紧急事件。</w:t>
            </w:r>
          </w:p>
          <w:p>
            <w:pPr>
              <w:ind w:firstLine="420"/>
              <w:jc w:val="both"/>
            </w:pPr>
            <w:r>
              <w:rPr>
                <w:sz w:val="21"/>
              </w:rPr>
              <w:t>5、实行24小时值班巡逻，重点岗位每小时不少于2次并做好工作记录。</w:t>
            </w:r>
          </w:p>
          <w:p>
            <w:pPr>
              <w:ind w:firstLine="420"/>
              <w:jc w:val="both"/>
            </w:pPr>
            <w:r>
              <w:rPr>
                <w:sz w:val="21"/>
              </w:rPr>
              <w:t>6、做好24小时监控值班，定时检查消防器材和设备设施，规章制度健全，运行良好。</w:t>
            </w:r>
          </w:p>
          <w:p>
            <w:pPr>
              <w:ind w:firstLine="420"/>
              <w:jc w:val="both"/>
            </w:pPr>
            <w:r>
              <w:rPr>
                <w:sz w:val="21"/>
              </w:rPr>
              <w:t>7、认真巡逻检查，及时发现水、电、气、暖、空调、车辆等出现的问题，避免发生火灾、治安案件和交通事故。</w:t>
            </w:r>
          </w:p>
          <w:p>
            <w:pPr>
              <w:ind w:firstLine="420"/>
              <w:jc w:val="both"/>
            </w:pPr>
            <w:r>
              <w:rPr>
                <w:sz w:val="21"/>
              </w:rPr>
              <w:t>8、协助</w:t>
            </w:r>
            <w:r>
              <w:rPr>
                <w:sz w:val="21"/>
              </w:rPr>
              <w:t>院方</w:t>
            </w:r>
            <w:r>
              <w:rPr>
                <w:sz w:val="21"/>
              </w:rPr>
              <w:t>做好重大活动的安全保卫工作。</w:t>
            </w:r>
          </w:p>
          <w:p>
            <w:pPr>
              <w:ind w:firstLine="420"/>
              <w:jc w:val="both"/>
            </w:pPr>
            <w:r>
              <w:rPr>
                <w:sz w:val="21"/>
              </w:rPr>
              <w:t>9、协助</w:t>
            </w:r>
            <w:r>
              <w:rPr>
                <w:sz w:val="21"/>
              </w:rPr>
              <w:t>院方</w:t>
            </w:r>
            <w:r>
              <w:rPr>
                <w:sz w:val="21"/>
              </w:rPr>
              <w:t>做好防风防涝的安全保卫工作。</w:t>
            </w:r>
          </w:p>
          <w:p>
            <w:pPr>
              <w:ind w:firstLine="420"/>
              <w:jc w:val="both"/>
            </w:pPr>
            <w:r>
              <w:rPr>
                <w:sz w:val="21"/>
              </w:rPr>
              <w:t>10、</w:t>
            </w:r>
            <w:r>
              <w:rPr>
                <w:sz w:val="21"/>
              </w:rPr>
              <w:t>协助</w:t>
            </w:r>
            <w:r>
              <w:rPr>
                <w:sz w:val="21"/>
              </w:rPr>
              <w:t>院方</w:t>
            </w:r>
            <w:r>
              <w:rPr>
                <w:sz w:val="21"/>
              </w:rPr>
              <w:t>做好</w:t>
            </w:r>
            <w:r>
              <w:rPr>
                <w:sz w:val="21"/>
              </w:rPr>
              <w:t>120出车及处理尸体、胎盘</w:t>
            </w:r>
            <w:r>
              <w:rPr>
                <w:sz w:val="21"/>
              </w:rPr>
              <w:t>的</w:t>
            </w:r>
            <w:r>
              <w:rPr>
                <w:sz w:val="21"/>
              </w:rPr>
              <w:t>服务</w:t>
            </w:r>
            <w:r>
              <w:rPr>
                <w:sz w:val="21"/>
              </w:rPr>
              <w:t>工作。</w:t>
            </w:r>
          </w:p>
          <w:p>
            <w:pPr>
              <w:jc w:val="both"/>
            </w:pPr>
          </w:p>
          <w:p>
            <w:pPr>
              <w:jc w:val="both"/>
            </w:pPr>
          </w:p>
          <w:p>
            <w:pPr>
              <w:jc w:val="both"/>
            </w:pPr>
            <w:r>
              <w:rPr>
                <w:b/>
                <w:sz w:val="24"/>
              </w:rPr>
              <w:t>四</w:t>
            </w:r>
            <w:r>
              <w:rPr>
                <w:b/>
                <w:sz w:val="24"/>
              </w:rPr>
              <w:t>、岗位设置（具体由医院安排）</w:t>
            </w:r>
          </w:p>
          <w:p>
            <w:pPr>
              <w:ind w:firstLine="420"/>
              <w:jc w:val="left"/>
            </w:pPr>
            <w:r>
              <w:rPr>
                <w:sz w:val="21"/>
              </w:rPr>
              <w:t>注：共设立编制</w:t>
            </w:r>
            <w:r>
              <w:rPr>
                <w:sz w:val="21"/>
              </w:rPr>
              <w:t>岗位数共</w:t>
            </w:r>
            <w:r>
              <w:rPr>
                <w:sz w:val="21"/>
              </w:rPr>
              <w:t>38</w:t>
            </w:r>
            <w:r>
              <w:rPr>
                <w:sz w:val="21"/>
              </w:rPr>
              <w:t>个，根据总人数按实际岗位合理安排调配。根据实际工作需要，医院在提前书面通知的情况下有权对中标人派驻工作人员作增减，投标人须无条件同意。</w:t>
            </w:r>
          </w:p>
          <w:tbl>
            <w:tblPr>
              <w:tblBorders>
                <w:top w:val="none" w:color="000000" w:sz="4"/>
                <w:left w:val="none" w:color="000000" w:sz="4"/>
                <w:bottom w:val="none" w:color="000000" w:sz="4"/>
                <w:right w:val="none" w:color="000000" w:sz="4"/>
                <w:insideH w:val="none"/>
                <w:insideV w:val="none"/>
              </w:tblBorders>
            </w:tblPr>
            <w:tblGrid>
              <w:gridCol w:w="2467"/>
              <w:gridCol w:w="1594"/>
              <w:gridCol w:w="1536"/>
            </w:tblGrid>
            <w:tr>
              <w:tc>
                <w:tcPr>
                  <w:tcW w:type="dxa" w:w="2467"/>
                  <w:tcBorders>
                    <w:top w:val="single" w:color="000000" w:sz="4"/>
                    <w:left w:val="single" w:color="000000" w:sz="4"/>
                    <w:bottom w:val="single" w:color="000000" w:sz="4"/>
                    <w:right w:val="single" w:color="000000" w:sz="4"/>
                  </w:tcBorders>
                  <w:vAlign w:val="top"/>
                </w:tcPr>
                <w:p>
                  <w:pPr>
                    <w:jc w:val="center"/>
                  </w:pPr>
                  <w:r>
                    <w:rPr>
                      <w:sz w:val="21"/>
                    </w:rPr>
                    <w:t>具体位置</w:t>
                  </w:r>
                </w:p>
              </w:tc>
              <w:tc>
                <w:tcPr>
                  <w:tcW w:type="dxa" w:w="1594"/>
                  <w:tcBorders>
                    <w:top w:val="single" w:color="000000" w:sz="4"/>
                    <w:left w:val="single" w:color="000000" w:sz="4"/>
                    <w:bottom w:val="single" w:color="000000" w:sz="4"/>
                    <w:right w:val="single" w:color="000000" w:sz="4"/>
                  </w:tcBorders>
                  <w:vAlign w:val="top"/>
                </w:tcPr>
                <w:p>
                  <w:pPr>
                    <w:jc w:val="center"/>
                  </w:pPr>
                  <w:r>
                    <w:rPr>
                      <w:sz w:val="21"/>
                    </w:rPr>
                    <w:t>岗位数</w:t>
                  </w:r>
                </w:p>
              </w:tc>
              <w:tc>
                <w:tcPr>
                  <w:tcW w:type="dxa" w:w="1536"/>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全员督查</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队长</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医院大门</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组长兼</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医院车辆出入口</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门诊出入口</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门诊部巡逻</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2个</w:t>
                  </w:r>
                </w:p>
              </w:tc>
              <w:tc>
                <w:tcPr>
                  <w:tcW w:type="dxa" w:w="1536"/>
                  <w:tcBorders>
                    <w:top w:val="none" w:color="000000" w:sz="4"/>
                    <w:left w:val="single" w:color="000000" w:sz="4"/>
                    <w:bottom w:val="single" w:color="000000" w:sz="4"/>
                    <w:right w:val="single" w:color="000000" w:sz="4"/>
                  </w:tcBorders>
                  <w:vAlign w:val="top"/>
                </w:tcPr>
                <w:p>
                  <w:pPr>
                    <w:jc w:val="center"/>
                  </w:pP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急诊停车场（含消防中心）</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急诊出入口</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住院部大厅</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住院部妇产科（</w:t>
                  </w:r>
                  <w:r>
                    <w:rPr>
                      <w:sz w:val="21"/>
                    </w:rPr>
                    <w:t>6F）</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行政楼停车场</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行政楼出入口</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发热门诊</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学生宿舍</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2个</w:t>
                  </w:r>
                </w:p>
              </w:tc>
              <w:tc>
                <w:tcPr>
                  <w:tcW w:type="dxa" w:w="1536"/>
                  <w:tcBorders>
                    <w:top w:val="none" w:color="000000" w:sz="4"/>
                    <w:left w:val="single" w:color="000000" w:sz="4"/>
                    <w:bottom w:val="single" w:color="000000" w:sz="4"/>
                    <w:right w:val="single" w:color="000000" w:sz="4"/>
                  </w:tcBorders>
                  <w:vAlign w:val="top"/>
                </w:tcPr>
                <w:p>
                  <w:pPr>
                    <w:jc w:val="center"/>
                  </w:pPr>
                  <w:r>
                    <w:rPr>
                      <w:sz w:val="21"/>
                    </w:rPr>
                    <w:t>24小时制</w:t>
                  </w: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机动</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3个</w:t>
                  </w:r>
                </w:p>
              </w:tc>
              <w:tc>
                <w:tcPr>
                  <w:tcW w:type="dxa" w:w="1536"/>
                  <w:tcBorders>
                    <w:top w:val="none" w:color="000000" w:sz="4"/>
                    <w:left w:val="single" w:color="000000" w:sz="4"/>
                    <w:bottom w:val="single" w:color="000000" w:sz="4"/>
                    <w:right w:val="single" w:color="000000" w:sz="4"/>
                  </w:tcBorders>
                  <w:vAlign w:val="top"/>
                </w:tcPr>
                <w:p>
                  <w:pPr>
                    <w:jc w:val="center"/>
                  </w:pPr>
                </w:p>
              </w:tc>
            </w:tr>
            <w:tr>
              <w:tc>
                <w:tcPr>
                  <w:tcW w:type="dxa" w:w="2467"/>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594"/>
                  <w:tcBorders>
                    <w:top w:val="none" w:color="000000" w:sz="4"/>
                    <w:left w:val="single" w:color="000000" w:sz="4"/>
                    <w:bottom w:val="single" w:color="000000" w:sz="4"/>
                    <w:right w:val="single" w:color="000000" w:sz="4"/>
                  </w:tcBorders>
                  <w:vAlign w:val="top"/>
                </w:tcPr>
                <w:p>
                  <w:pPr>
                    <w:jc w:val="center"/>
                  </w:pPr>
                  <w:r>
                    <w:rPr>
                      <w:sz w:val="21"/>
                    </w:rPr>
                    <w:t>38个</w:t>
                  </w:r>
                </w:p>
              </w:tc>
              <w:tc>
                <w:tcPr>
                  <w:tcW w:type="dxa" w:w="1536"/>
                  <w:tcBorders>
                    <w:top w:val="none" w:color="000000" w:sz="4"/>
                    <w:left w:val="single" w:color="000000" w:sz="4"/>
                    <w:bottom w:val="single" w:color="000000" w:sz="4"/>
                    <w:right w:val="single" w:color="000000" w:sz="4"/>
                  </w:tcBorders>
                  <w:vAlign w:val="top"/>
                </w:tcPr>
                <w:p>
                  <w:pPr>
                    <w:jc w:val="center"/>
                  </w:pPr>
                </w:p>
              </w:tc>
            </w:tr>
          </w:tbl>
          <w:p>
            <w:pPr>
              <w:ind w:firstLine="420"/>
              <w:jc w:val="left"/>
            </w:pPr>
          </w:p>
          <w:p/>
          <w:p/>
          <w:p>
            <w:r>
              <w:rPr/>
              <w:t xml:space="preserve"> </w:t>
            </w:r>
          </w:p>
          <w:p>
            <w:pPr>
              <w:jc w:val="both"/>
            </w:pPr>
            <w:r>
              <w:rPr>
                <w:b/>
                <w:sz w:val="24"/>
              </w:rPr>
              <w:t>五、</w:t>
            </w:r>
            <w:r>
              <w:rPr>
                <w:b/>
                <w:sz w:val="24"/>
              </w:rPr>
              <w:t>保安绩效考评评分表</w:t>
            </w:r>
          </w:p>
          <w:p>
            <w:pPr>
              <w:ind w:firstLine="435"/>
              <w:jc w:val="center"/>
            </w:pPr>
            <w:r>
              <w:rPr>
                <w:b/>
                <w:sz w:val="21"/>
              </w:rPr>
              <w:t>东莞市</w:t>
            </w:r>
            <w:r>
              <w:rPr>
                <w:b/>
                <w:sz w:val="21"/>
              </w:rPr>
              <w:t>横沥</w:t>
            </w:r>
            <w:r>
              <w:rPr>
                <w:b/>
                <w:sz w:val="21"/>
              </w:rPr>
              <w:t>医院保安工作</w:t>
            </w:r>
            <w:r>
              <w:rPr>
                <w:b/>
                <w:sz w:val="21"/>
              </w:rPr>
              <w:t>(临床科室)</w:t>
            </w:r>
            <w:r>
              <w:rPr>
                <w:sz w:val="21"/>
              </w:rPr>
              <w:t xml:space="preserve"> </w:t>
            </w:r>
            <w:r>
              <w:rPr>
                <w:b/>
                <w:sz w:val="21"/>
              </w:rPr>
              <w:t>考评表</w:t>
            </w:r>
          </w:p>
          <w:tbl>
            <w:tblPr>
              <w:tblInd w:type="dxa" w:w="135"/>
              <w:tblBorders>
                <w:top w:val="none" w:color="000000" w:sz="4"/>
                <w:left w:val="none" w:color="000000" w:sz="4"/>
                <w:bottom w:val="none" w:color="000000" w:sz="4"/>
                <w:right w:val="none" w:color="000000" w:sz="4"/>
                <w:insideH w:val="none"/>
                <w:insideV w:val="none"/>
              </w:tblBorders>
            </w:tblPr>
            <w:tblGrid>
              <w:gridCol w:w="449"/>
              <w:gridCol w:w="3253"/>
              <w:gridCol w:w="479"/>
              <w:gridCol w:w="540"/>
              <w:gridCol w:w="877"/>
            </w:tblGrid>
            <w:tr>
              <w:tc>
                <w:tcPr>
                  <w:tcW w:type="dxa" w:w="44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253"/>
                  <w:tcBorders>
                    <w:top w:val="single" w:color="000000" w:sz="4"/>
                    <w:left w:val="none" w:color="000000" w:sz="4"/>
                    <w:bottom w:val="single" w:color="000000" w:sz="4"/>
                    <w:right w:val="single" w:color="000000" w:sz="4"/>
                  </w:tcBorders>
                  <w:vAlign w:val="top"/>
                </w:tcPr>
                <w:p>
                  <w:pPr>
                    <w:jc w:val="center"/>
                  </w:pPr>
                  <w:r>
                    <w:rPr>
                      <w:sz w:val="21"/>
                    </w:rPr>
                    <w:t>内容及标准</w:t>
                  </w:r>
                </w:p>
              </w:tc>
              <w:tc>
                <w:tcPr>
                  <w:tcW w:type="dxa" w:w="479"/>
                  <w:tcBorders>
                    <w:top w:val="single" w:color="000000" w:sz="4"/>
                    <w:left w:val="none" w:color="000000" w:sz="4"/>
                    <w:bottom w:val="single" w:color="000000" w:sz="4"/>
                    <w:right w:val="single" w:color="000000" w:sz="4"/>
                  </w:tcBorders>
                  <w:vAlign w:val="top"/>
                </w:tcPr>
                <w:p>
                  <w:pPr>
                    <w:jc w:val="center"/>
                  </w:pPr>
                  <w:r>
                    <w:rPr>
                      <w:sz w:val="21"/>
                    </w:rPr>
                    <w:t>分值</w:t>
                  </w:r>
                </w:p>
              </w:tc>
              <w:tc>
                <w:tcPr>
                  <w:tcW w:type="dxa" w:w="540"/>
                  <w:tcBorders>
                    <w:top w:val="single" w:color="000000" w:sz="4"/>
                    <w:left w:val="none" w:color="000000" w:sz="4"/>
                    <w:bottom w:val="single" w:color="000000" w:sz="4"/>
                    <w:right w:val="single" w:color="000000" w:sz="4"/>
                  </w:tcBorders>
                  <w:vAlign w:val="top"/>
                </w:tcPr>
                <w:p>
                  <w:pPr>
                    <w:jc w:val="center"/>
                  </w:pPr>
                  <w:r>
                    <w:rPr>
                      <w:sz w:val="21"/>
                    </w:rPr>
                    <w:t>得分</w:t>
                  </w:r>
                </w:p>
              </w:tc>
              <w:tc>
                <w:tcPr>
                  <w:tcW w:type="dxa" w:w="87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53"/>
                  <w:tcBorders>
                    <w:top w:val="none" w:color="000000" w:sz="4"/>
                    <w:left w:val="none" w:color="000000" w:sz="4"/>
                    <w:bottom w:val="single" w:color="000000" w:sz="4"/>
                    <w:right w:val="single" w:color="000000" w:sz="4"/>
                  </w:tcBorders>
                  <w:vAlign w:val="top"/>
                </w:tcPr>
                <w:p>
                  <w:pPr>
                    <w:jc w:val="left"/>
                  </w:pPr>
                  <w:r>
                    <w:rPr>
                      <w:sz w:val="21"/>
                    </w:rPr>
                    <w:t>遵守医院的各项规章制度，遵守劳动纪律，不迟到早退离岗脱岗串岗。</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53"/>
                  <w:tcBorders>
                    <w:top w:val="none" w:color="000000" w:sz="4"/>
                    <w:left w:val="none" w:color="000000" w:sz="4"/>
                    <w:bottom w:val="single" w:color="000000" w:sz="4"/>
                    <w:right w:val="single" w:color="000000" w:sz="4"/>
                  </w:tcBorders>
                  <w:vAlign w:val="top"/>
                </w:tcPr>
                <w:p>
                  <w:pPr>
                    <w:jc w:val="left"/>
                  </w:pPr>
                  <w:r>
                    <w:rPr>
                      <w:sz w:val="21"/>
                    </w:rPr>
                    <w:t>按规定统一穿着制服，衣着整洁。仪表端庄、威武，精神饱满，热情，不得留长发、胡须、长指甲。</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253"/>
                  <w:tcBorders>
                    <w:top w:val="none" w:color="000000" w:sz="4"/>
                    <w:left w:val="none" w:color="000000" w:sz="4"/>
                    <w:bottom w:val="single" w:color="000000" w:sz="4"/>
                    <w:right w:val="single" w:color="000000" w:sz="4"/>
                  </w:tcBorders>
                  <w:vAlign w:val="top"/>
                </w:tcPr>
                <w:p>
                  <w:pPr>
                    <w:jc w:val="left"/>
                  </w:pPr>
                  <w:r>
                    <w:rPr>
                      <w:sz w:val="21"/>
                    </w:rPr>
                    <w:t>微笑服务，按规定使用礼貌规范用语，举止文明大方，不可将手插入口袋、不可勾肩搭背，闲聊，玩手机、听音乐、吃东西、喝酒、大声喧哗等与本职岗位工作无关的事情。严禁酗酒上岗，严禁在岗睡觉，严禁坐岗不动不作为。</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53"/>
                  <w:tcBorders>
                    <w:top w:val="none" w:color="000000" w:sz="4"/>
                    <w:left w:val="none" w:color="000000" w:sz="4"/>
                    <w:bottom w:val="single" w:color="000000" w:sz="4"/>
                    <w:right w:val="single" w:color="000000" w:sz="4"/>
                  </w:tcBorders>
                  <w:vAlign w:val="top"/>
                </w:tcPr>
                <w:p>
                  <w:pPr>
                    <w:jc w:val="left"/>
                  </w:pPr>
                  <w:r>
                    <w:rPr>
                      <w:sz w:val="21"/>
                    </w:rPr>
                    <w:t>服务意识良好。能够积极接受他人意见，不与就诊者或同事发生争吵或有失敬、失礼的行为。熟悉医院的布局，投诉流程，服务于病人，在病人咨询时能回答出来，确实不知道的指引问导诊或医务人员，不乱指引。</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253"/>
                  <w:tcBorders>
                    <w:top w:val="none" w:color="000000" w:sz="4"/>
                    <w:left w:val="none" w:color="000000" w:sz="4"/>
                    <w:bottom w:val="single" w:color="000000" w:sz="4"/>
                    <w:right w:val="single" w:color="000000" w:sz="4"/>
                  </w:tcBorders>
                  <w:vAlign w:val="top"/>
                </w:tcPr>
                <w:p>
                  <w:pPr>
                    <w:jc w:val="left"/>
                  </w:pPr>
                  <w:r>
                    <w:rPr>
                      <w:sz w:val="21"/>
                    </w:rPr>
                    <w:t>发生事件、警报铃响或科室呼叫保安后</w:t>
                  </w:r>
                  <w:r>
                    <w:rPr>
                      <w:sz w:val="21"/>
                    </w:rPr>
                    <w:t>3分钟赶到事发现场处理事件，重点科室要随叫随到。积极协助科室维护病区秩序，解决安保问题。勇于制止恶性事件的发生并保护医护人员安全，保护医院财产的安全。及时报告，做好记录与交班。</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253"/>
                  <w:tcBorders>
                    <w:top w:val="none" w:color="000000" w:sz="4"/>
                    <w:left w:val="none" w:color="000000" w:sz="4"/>
                    <w:bottom w:val="single" w:color="000000" w:sz="4"/>
                    <w:right w:val="single" w:color="000000" w:sz="4"/>
                  </w:tcBorders>
                  <w:vAlign w:val="top"/>
                </w:tcPr>
                <w:p>
                  <w:pPr>
                    <w:jc w:val="left"/>
                  </w:pPr>
                  <w:r>
                    <w:rPr>
                      <w:sz w:val="21"/>
                    </w:rPr>
                    <w:t>院内发现急救病人或在电梯停运时，在医护人员的指导下，积极配合落实搬运病人工作。</w:t>
                  </w:r>
                </w:p>
              </w:tc>
              <w:tc>
                <w:tcPr>
                  <w:tcW w:type="dxa" w:w="47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253"/>
                  <w:tcBorders>
                    <w:top w:val="none" w:color="000000" w:sz="4"/>
                    <w:left w:val="none" w:color="000000" w:sz="4"/>
                    <w:bottom w:val="single" w:color="000000" w:sz="4"/>
                    <w:right w:val="single" w:color="000000" w:sz="4"/>
                  </w:tcBorders>
                  <w:vAlign w:val="top"/>
                </w:tcPr>
                <w:p>
                  <w:pPr>
                    <w:jc w:val="left"/>
                  </w:pPr>
                  <w:r>
                    <w:rPr>
                      <w:sz w:val="21"/>
                    </w:rPr>
                    <w:t>接到救护车急救命令或信号，马上疏通绿色通道，保证路口畅通，疏通电梯，禁止他人使用，保持电梯在一楼，危重病人能及时转送到住院病区。</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253"/>
                  <w:tcBorders>
                    <w:top w:val="none" w:color="000000" w:sz="4"/>
                    <w:left w:val="none" w:color="000000" w:sz="4"/>
                    <w:bottom w:val="single" w:color="000000" w:sz="4"/>
                    <w:right w:val="single" w:color="000000" w:sz="4"/>
                  </w:tcBorders>
                  <w:vAlign w:val="top"/>
                </w:tcPr>
                <w:p>
                  <w:pPr>
                    <w:jc w:val="left"/>
                  </w:pPr>
                  <w:r>
                    <w:rPr>
                      <w:sz w:val="21"/>
                    </w:rPr>
                    <w:t>按规定时间进行院内及病区巡查，禁止推销、算命、依托医闹等人员在医院活动，严防偷窃行为，实时记录签到，不得有涂改。自行车电动车不得进入病区。</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253"/>
                  <w:tcBorders>
                    <w:top w:val="none" w:color="000000" w:sz="4"/>
                    <w:left w:val="none" w:color="000000" w:sz="4"/>
                    <w:bottom w:val="single" w:color="000000" w:sz="4"/>
                    <w:right w:val="single" w:color="000000" w:sz="4"/>
                  </w:tcBorders>
                  <w:vAlign w:val="top"/>
                </w:tcPr>
                <w:p>
                  <w:pPr>
                    <w:jc w:val="left"/>
                  </w:pPr>
                  <w:r>
                    <w:rPr>
                      <w:sz w:val="21"/>
                    </w:rPr>
                    <w:t>按收发管理要求，准时准确的发放报刊、杂志、信件。不翻看他人物件、资料或他人个人用品。不明信件咨询办公室，及时发放不得积压，不得丢弃一边不顾。</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253"/>
                  <w:tcBorders>
                    <w:top w:val="none" w:color="000000" w:sz="4"/>
                    <w:left w:val="none" w:color="000000" w:sz="4"/>
                    <w:bottom w:val="single" w:color="000000" w:sz="4"/>
                    <w:right w:val="single" w:color="000000" w:sz="4"/>
                  </w:tcBorders>
                  <w:vAlign w:val="top"/>
                </w:tcPr>
                <w:p>
                  <w:pPr>
                    <w:jc w:val="left"/>
                  </w:pPr>
                  <w:r>
                    <w:rPr>
                      <w:sz w:val="21"/>
                    </w:rPr>
                    <w:t>医院内不得吸烟，见到有在院内吸烟的人员能及时上前制止。</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253"/>
                  <w:tcBorders>
                    <w:top w:val="none" w:color="000000" w:sz="4"/>
                    <w:left w:val="none" w:color="000000" w:sz="4"/>
                    <w:bottom w:val="single" w:color="000000" w:sz="4"/>
                    <w:right w:val="single" w:color="000000" w:sz="4"/>
                  </w:tcBorders>
                  <w:vAlign w:val="top"/>
                </w:tcPr>
                <w:p>
                  <w:pPr>
                    <w:jc w:val="left"/>
                  </w:pPr>
                  <w:r>
                    <w:rPr>
                      <w:sz w:val="21"/>
                    </w:rPr>
                    <w:t>熟悉公共区域灯与排气扇的控制开关位置，准时开关，发现故障及时报告总务股。</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253"/>
                  <w:tcBorders>
                    <w:top w:val="none" w:color="000000" w:sz="4"/>
                    <w:left w:val="none" w:color="000000" w:sz="4"/>
                    <w:bottom w:val="single" w:color="000000" w:sz="4"/>
                    <w:right w:val="single" w:color="000000" w:sz="4"/>
                  </w:tcBorders>
                  <w:vAlign w:val="top"/>
                </w:tcPr>
                <w:p>
                  <w:pPr>
                    <w:jc w:val="left"/>
                  </w:pPr>
                  <w:r>
                    <w:rPr>
                      <w:sz w:val="21"/>
                    </w:rPr>
                    <w:t>停车场地清洁，车辆</w:t>
                  </w:r>
                  <w:r>
                    <w:rPr>
                      <w:sz w:val="21"/>
                    </w:rPr>
                    <w:t>(包括送货等车辆)摆放有序，疏导车辆出入方向正确，及时阻止违章停放，指挥动作手势规范、准确、有力，与车主有友好的沟通。做好停车场管理，严防偷窃行为。</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253"/>
                  <w:tcBorders>
                    <w:top w:val="none" w:color="000000" w:sz="4"/>
                    <w:left w:val="none" w:color="000000" w:sz="4"/>
                    <w:bottom w:val="single" w:color="000000" w:sz="4"/>
                    <w:right w:val="single" w:color="000000" w:sz="4"/>
                  </w:tcBorders>
                  <w:vAlign w:val="top"/>
                </w:tcPr>
                <w:p>
                  <w:pPr>
                    <w:jc w:val="left"/>
                  </w:pPr>
                  <w:r>
                    <w:rPr>
                      <w:sz w:val="21"/>
                    </w:rPr>
                    <w:t>熟练掌握各种消防设施设备的使用。消防通道畅通，熟悉院内各处通道，可及时开启各处消防通道的门，并做好巡查记录。</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253"/>
                  <w:tcBorders>
                    <w:top w:val="none" w:color="000000" w:sz="4"/>
                    <w:left w:val="none" w:color="000000" w:sz="4"/>
                    <w:bottom w:val="single" w:color="000000" w:sz="4"/>
                    <w:right w:val="single" w:color="000000" w:sz="4"/>
                  </w:tcBorders>
                  <w:vAlign w:val="top"/>
                </w:tcPr>
                <w:p>
                  <w:pPr>
                    <w:jc w:val="left"/>
                  </w:pPr>
                  <w:r>
                    <w:rPr>
                      <w:sz w:val="21"/>
                    </w:rPr>
                    <w:t>院方提出的问题，要及时整改。</w:t>
                  </w:r>
                </w:p>
              </w:tc>
              <w:tc>
                <w:tcPr>
                  <w:tcW w:type="dxa" w:w="47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center"/>
                  </w:pPr>
                </w:p>
              </w:tc>
            </w:tr>
            <w:tr>
              <w:tc>
                <w:tcPr>
                  <w:tcW w:type="dxa" w:w="3702"/>
                  <w:gridSpan w:val="2"/>
                  <w:tcBorders>
                    <w:top w:val="none" w:color="000000" w:sz="4"/>
                    <w:left w:val="single" w:color="000000" w:sz="4"/>
                    <w:bottom w:val="single" w:color="000000" w:sz="4"/>
                    <w:right w:val="single" w:color="000000" w:sz="4"/>
                  </w:tcBorders>
                  <w:vAlign w:val="top"/>
                </w:tcPr>
                <w:p>
                  <w:pPr>
                    <w:jc w:val="center"/>
                  </w:pPr>
                  <w:r>
                    <w:rPr>
                      <w:sz w:val="21"/>
                    </w:rPr>
                    <w:t>得分</w:t>
                  </w:r>
                </w:p>
              </w:tc>
              <w:tc>
                <w:tcPr>
                  <w:tcW w:type="dxa" w:w="1896"/>
                  <w:gridSpan w:val="3"/>
                  <w:tcBorders>
                    <w:top w:val="none" w:color="000000" w:sz="4"/>
                    <w:left w:val="none" w:color="000000" w:sz="4"/>
                    <w:bottom w:val="single" w:color="000000" w:sz="4"/>
                    <w:right w:val="single" w:color="000000" w:sz="4"/>
                  </w:tcBorders>
                  <w:vAlign w:val="top"/>
                </w:tcPr>
                <w:p>
                  <w:pPr>
                    <w:jc w:val="center"/>
                  </w:pPr>
                </w:p>
              </w:tc>
            </w:tr>
          </w:tbl>
          <w:p>
            <w:pPr>
              <w:ind w:firstLine="422"/>
              <w:jc w:val="left"/>
            </w:pPr>
          </w:p>
          <w:p>
            <w:pPr>
              <w:jc w:val="center"/>
            </w:pPr>
            <w:r>
              <w:rPr>
                <w:b/>
                <w:sz w:val="21"/>
              </w:rPr>
              <w:t>东莞市</w:t>
            </w:r>
            <w:r>
              <w:rPr>
                <w:b/>
                <w:sz w:val="21"/>
              </w:rPr>
              <w:t>横沥</w:t>
            </w:r>
            <w:r>
              <w:rPr>
                <w:b/>
                <w:sz w:val="21"/>
              </w:rPr>
              <w:t>医院保安工作</w:t>
            </w:r>
            <w:r>
              <w:rPr>
                <w:b/>
                <w:sz w:val="21"/>
              </w:rPr>
              <w:t>(职能部门)</w:t>
            </w:r>
            <w:r>
              <w:rPr>
                <w:sz w:val="21"/>
              </w:rPr>
              <w:t xml:space="preserve"> </w:t>
            </w:r>
            <w:r>
              <w:rPr>
                <w:b/>
                <w:sz w:val="21"/>
              </w:rPr>
              <w:t>考评表</w:t>
            </w:r>
          </w:p>
          <w:tbl>
            <w:tblPr>
              <w:tblBorders>
                <w:top w:val="none" w:color="000000" w:sz="4"/>
                <w:left w:val="none" w:color="000000" w:sz="4"/>
                <w:bottom w:val="none" w:color="000000" w:sz="4"/>
                <w:right w:val="none" w:color="000000" w:sz="4"/>
                <w:insideH w:val="none"/>
                <w:insideV w:val="none"/>
              </w:tblBorders>
            </w:tblPr>
            <w:tblGrid>
              <w:gridCol w:w="469"/>
              <w:gridCol w:w="3212"/>
              <w:gridCol w:w="489"/>
              <w:gridCol w:w="540"/>
              <w:gridCol w:w="887"/>
            </w:tblGrid>
            <w:tr>
              <w:tc>
                <w:tcPr>
                  <w:tcW w:type="dxa" w:w="46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212"/>
                  <w:tcBorders>
                    <w:top w:val="single" w:color="000000" w:sz="4"/>
                    <w:left w:val="none" w:color="000000" w:sz="4"/>
                    <w:bottom w:val="single" w:color="000000" w:sz="4"/>
                    <w:right w:val="single" w:color="000000" w:sz="4"/>
                  </w:tcBorders>
                  <w:vAlign w:val="top"/>
                </w:tcPr>
                <w:p>
                  <w:pPr>
                    <w:jc w:val="center"/>
                  </w:pPr>
                  <w:r>
                    <w:rPr>
                      <w:sz w:val="21"/>
                    </w:rPr>
                    <w:t>内容及标准</w:t>
                  </w:r>
                </w:p>
              </w:tc>
              <w:tc>
                <w:tcPr>
                  <w:tcW w:type="dxa" w:w="489"/>
                  <w:tcBorders>
                    <w:top w:val="single" w:color="000000" w:sz="4"/>
                    <w:left w:val="none" w:color="000000" w:sz="4"/>
                    <w:bottom w:val="single" w:color="000000" w:sz="4"/>
                    <w:right w:val="single" w:color="000000" w:sz="4"/>
                  </w:tcBorders>
                  <w:vAlign w:val="top"/>
                </w:tcPr>
                <w:p>
                  <w:pPr>
                    <w:jc w:val="center"/>
                  </w:pPr>
                  <w:r>
                    <w:rPr>
                      <w:sz w:val="21"/>
                    </w:rPr>
                    <w:t>分值</w:t>
                  </w:r>
                </w:p>
              </w:tc>
              <w:tc>
                <w:tcPr>
                  <w:tcW w:type="dxa" w:w="540"/>
                  <w:tcBorders>
                    <w:top w:val="single" w:color="000000" w:sz="4"/>
                    <w:left w:val="none" w:color="000000" w:sz="4"/>
                    <w:bottom w:val="single" w:color="000000" w:sz="4"/>
                    <w:right w:val="single" w:color="000000" w:sz="4"/>
                  </w:tcBorders>
                  <w:vAlign w:val="top"/>
                </w:tcPr>
                <w:p>
                  <w:pPr>
                    <w:jc w:val="center"/>
                  </w:pPr>
                  <w:r>
                    <w:rPr>
                      <w:sz w:val="21"/>
                    </w:rPr>
                    <w:t>得分</w:t>
                  </w:r>
                </w:p>
              </w:tc>
              <w:tc>
                <w:tcPr>
                  <w:tcW w:type="dxa" w:w="88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12"/>
                  <w:tcBorders>
                    <w:top w:val="none" w:color="000000" w:sz="4"/>
                    <w:left w:val="none" w:color="000000" w:sz="4"/>
                    <w:bottom w:val="single" w:color="000000" w:sz="4"/>
                    <w:right w:val="single" w:color="000000" w:sz="4"/>
                  </w:tcBorders>
                  <w:vAlign w:val="top"/>
                </w:tcPr>
                <w:p>
                  <w:pPr>
                    <w:jc w:val="left"/>
                  </w:pPr>
                  <w:r>
                    <w:rPr>
                      <w:sz w:val="21"/>
                    </w:rPr>
                    <w:t>认真履行合同，安全保卫各项规章制度齐全。岗位保安人员到位</w:t>
                  </w:r>
                  <w:r>
                    <w:rPr>
                      <w:sz w:val="21"/>
                    </w:rPr>
                    <w:t>，</w:t>
                  </w:r>
                  <w:r>
                    <w:rPr>
                      <w:sz w:val="21"/>
                    </w:rPr>
                    <w:t>并执证上岗</w:t>
                  </w:r>
                  <w:r>
                    <w:rPr>
                      <w:sz w:val="21"/>
                    </w:rPr>
                    <w:t>,合理灵活配置岗位，保证人员在岗率100%。人员变动及时向院方报备，保持岗位清洁。</w:t>
                  </w:r>
                </w:p>
              </w:tc>
              <w:tc>
                <w:tcPr>
                  <w:tcW w:type="dxa" w:w="48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12"/>
                  <w:tcBorders>
                    <w:top w:val="none" w:color="000000" w:sz="4"/>
                    <w:left w:val="none" w:color="000000" w:sz="4"/>
                    <w:bottom w:val="single" w:color="000000" w:sz="4"/>
                    <w:right w:val="single" w:color="000000" w:sz="4"/>
                  </w:tcBorders>
                  <w:vAlign w:val="top"/>
                </w:tcPr>
                <w:p>
                  <w:pPr>
                    <w:jc w:val="left"/>
                  </w:pPr>
                  <w:r>
                    <w:rPr>
                      <w:sz w:val="21"/>
                    </w:rPr>
                    <w:t>服务公司负责人与医院各管理部门有良好的协作与沟通。协助院方做好特殊情况下人和物的搬迁、搬运工作。</w:t>
                  </w:r>
                </w:p>
              </w:tc>
              <w:tc>
                <w:tcPr>
                  <w:tcW w:type="dxa" w:w="48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212"/>
                  <w:tcBorders>
                    <w:top w:val="none" w:color="000000" w:sz="4"/>
                    <w:left w:val="none" w:color="000000" w:sz="4"/>
                    <w:bottom w:val="single" w:color="000000" w:sz="4"/>
                    <w:right w:val="single" w:color="000000" w:sz="4"/>
                  </w:tcBorders>
                  <w:vAlign w:val="top"/>
                </w:tcPr>
                <w:p>
                  <w:pPr>
                    <w:jc w:val="left"/>
                  </w:pPr>
                  <w:r>
                    <w:rPr>
                      <w:sz w:val="21"/>
                    </w:rPr>
                    <w:t>服务公司负责人和保安队长要与警务区保持良好的协作与沟通做好警务室管理（设施、设备、标识、宣传、记录等），设施与警械处于良好状态，如有警械丢失，服务公司方负全责。</w:t>
                  </w:r>
                </w:p>
              </w:tc>
              <w:tc>
                <w:tcPr>
                  <w:tcW w:type="dxa" w:w="48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12"/>
                  <w:tcBorders>
                    <w:top w:val="none" w:color="000000" w:sz="4"/>
                    <w:left w:val="none" w:color="000000" w:sz="4"/>
                    <w:bottom w:val="single" w:color="000000" w:sz="4"/>
                    <w:right w:val="single" w:color="000000" w:sz="4"/>
                  </w:tcBorders>
                  <w:vAlign w:val="top"/>
                </w:tcPr>
                <w:p>
                  <w:pPr>
                    <w:jc w:val="left"/>
                  </w:pPr>
                  <w:r>
                    <w:rPr>
                      <w:sz w:val="21"/>
                    </w:rPr>
                    <w:t>熟悉消控室各项设备功能，做好消控室管理（设施、设备、资料、记录、清洁等），配合民警与院方及时查看和调取相关监控录像资料。</w:t>
                  </w:r>
                </w:p>
              </w:tc>
              <w:tc>
                <w:tcPr>
                  <w:tcW w:type="dxa" w:w="48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212"/>
                  <w:tcBorders>
                    <w:top w:val="none" w:color="000000" w:sz="4"/>
                    <w:left w:val="none" w:color="000000" w:sz="4"/>
                    <w:bottom w:val="single" w:color="000000" w:sz="4"/>
                    <w:right w:val="single" w:color="000000" w:sz="4"/>
                  </w:tcBorders>
                  <w:vAlign w:val="top"/>
                </w:tcPr>
                <w:p>
                  <w:pPr>
                    <w:jc w:val="left"/>
                  </w:pPr>
                  <w:r>
                    <w:rPr>
                      <w:sz w:val="21"/>
                    </w:rPr>
                    <w:t>做好停车场管理</w:t>
                  </w:r>
                  <w:r>
                    <w:rPr>
                      <w:sz w:val="21"/>
                    </w:rPr>
                    <w:t>(设施、设备、标识、宣传、记录、清洁等），车辆指挥疏导动作规范、停放有序，防盗防事故。</w:t>
                  </w:r>
                </w:p>
              </w:tc>
              <w:tc>
                <w:tcPr>
                  <w:tcW w:type="dxa" w:w="489"/>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212"/>
                  <w:tcBorders>
                    <w:top w:val="none" w:color="000000" w:sz="4"/>
                    <w:left w:val="none" w:color="000000" w:sz="4"/>
                    <w:bottom w:val="single" w:color="000000" w:sz="4"/>
                    <w:right w:val="single" w:color="000000" w:sz="4"/>
                  </w:tcBorders>
                  <w:vAlign w:val="top"/>
                </w:tcPr>
                <w:p>
                  <w:pPr>
                    <w:jc w:val="left"/>
                  </w:pPr>
                  <w:r>
                    <w:rPr>
                      <w:sz w:val="21"/>
                    </w:rPr>
                    <w:t>安排有能力的保安队长在岗，并相对固定。保安人员要身心素质良好，岗前经过严格的各项能力的培训。</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212"/>
                  <w:tcBorders>
                    <w:top w:val="none" w:color="000000" w:sz="4"/>
                    <w:left w:val="none" w:color="000000" w:sz="4"/>
                    <w:bottom w:val="single" w:color="000000" w:sz="4"/>
                    <w:right w:val="single" w:color="000000" w:sz="4"/>
                  </w:tcBorders>
                  <w:vAlign w:val="top"/>
                </w:tcPr>
                <w:p>
                  <w:pPr>
                    <w:jc w:val="left"/>
                  </w:pPr>
                  <w:r>
                    <w:rPr>
                      <w:sz w:val="21"/>
                    </w:rPr>
                    <w:t>认真履行安保职责，勇于担当，保障医院设施、医务人员及病人的人身、财产安全。</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212"/>
                  <w:tcBorders>
                    <w:top w:val="none" w:color="000000" w:sz="4"/>
                    <w:left w:val="none" w:color="000000" w:sz="4"/>
                    <w:bottom w:val="single" w:color="000000" w:sz="4"/>
                    <w:right w:val="single" w:color="000000" w:sz="4"/>
                  </w:tcBorders>
                  <w:vAlign w:val="top"/>
                </w:tcPr>
                <w:p>
                  <w:pPr>
                    <w:jc w:val="left"/>
                  </w:pPr>
                  <w:r>
                    <w:rPr>
                      <w:sz w:val="21"/>
                    </w:rPr>
                    <w:t>遵守并落实各项规章制度，各级人员服从领导指示，听从指挥，对领导工作指示及安排无不执行蓄意违抗现象。</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212"/>
                  <w:tcBorders>
                    <w:top w:val="none" w:color="000000" w:sz="4"/>
                    <w:left w:val="none" w:color="000000" w:sz="4"/>
                    <w:bottom w:val="single" w:color="000000" w:sz="4"/>
                    <w:right w:val="single" w:color="000000" w:sz="4"/>
                  </w:tcBorders>
                  <w:vAlign w:val="top"/>
                </w:tcPr>
                <w:p>
                  <w:pPr>
                    <w:jc w:val="left"/>
                  </w:pPr>
                  <w:r>
                    <w:rPr>
                      <w:sz w:val="21"/>
                    </w:rPr>
                    <w:t>各项学习培训与训练（队列、车辆指挥、消防、应急事件处理的训练）严肃认真，有计划、有科目、有检查、有记录。</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212"/>
                  <w:tcBorders>
                    <w:top w:val="none" w:color="000000" w:sz="4"/>
                    <w:left w:val="none" w:color="000000" w:sz="4"/>
                    <w:bottom w:val="single" w:color="000000" w:sz="4"/>
                    <w:right w:val="single" w:color="000000" w:sz="4"/>
                  </w:tcBorders>
                  <w:vAlign w:val="top"/>
                </w:tcPr>
                <w:p>
                  <w:pPr>
                    <w:jc w:val="left"/>
                  </w:pPr>
                  <w:r>
                    <w:rPr>
                      <w:sz w:val="21"/>
                    </w:rPr>
                    <w:t>处理事件时，要切实履行职责，不得松散坐或站一边（似与已无关的状态），使用规范语言，保护医院设施设备安全及医务人员的人身安全。</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212"/>
                  <w:tcBorders>
                    <w:top w:val="none" w:color="000000" w:sz="4"/>
                    <w:left w:val="none" w:color="000000" w:sz="4"/>
                    <w:bottom w:val="single" w:color="000000" w:sz="4"/>
                    <w:right w:val="single" w:color="000000" w:sz="4"/>
                  </w:tcBorders>
                  <w:vAlign w:val="top"/>
                </w:tcPr>
                <w:p>
                  <w:pPr>
                    <w:jc w:val="left"/>
                  </w:pPr>
                  <w:r>
                    <w:rPr>
                      <w:sz w:val="21"/>
                    </w:rPr>
                    <w:t>全员对应急预案熟知，并能及时准确处理各种事件。</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212"/>
                  <w:tcBorders>
                    <w:top w:val="none" w:color="000000" w:sz="4"/>
                    <w:left w:val="none" w:color="000000" w:sz="4"/>
                    <w:bottom w:val="single" w:color="000000" w:sz="4"/>
                    <w:right w:val="single" w:color="000000" w:sz="4"/>
                  </w:tcBorders>
                  <w:vAlign w:val="top"/>
                </w:tcPr>
                <w:p>
                  <w:pPr>
                    <w:jc w:val="left"/>
                  </w:pPr>
                  <w:r>
                    <w:rPr>
                      <w:sz w:val="21"/>
                    </w:rPr>
                    <w:t>熟悉全院报警系统与设备，熟悉全院监控系统情况。发现情况按相关应急预案及时准确处理问题。</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212"/>
                  <w:tcBorders>
                    <w:top w:val="none" w:color="000000" w:sz="4"/>
                    <w:left w:val="none" w:color="000000" w:sz="4"/>
                    <w:bottom w:val="single" w:color="000000" w:sz="4"/>
                    <w:right w:val="single" w:color="000000" w:sz="4"/>
                  </w:tcBorders>
                  <w:vAlign w:val="top"/>
                </w:tcPr>
                <w:p>
                  <w:pPr>
                    <w:jc w:val="left"/>
                  </w:pPr>
                  <w:r>
                    <w:rPr>
                      <w:sz w:val="21"/>
                    </w:rPr>
                    <w:t>急诊科安保工作：维持急诊科良好公共秩序，保障急诊科人员的人身安全，紧急情况下及时协助急诊科人员脱离危险，并立即与公安部门取得联系。</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212"/>
                  <w:tcBorders>
                    <w:top w:val="none" w:color="000000" w:sz="4"/>
                    <w:left w:val="none" w:color="000000" w:sz="4"/>
                    <w:bottom w:val="single" w:color="000000" w:sz="4"/>
                    <w:right w:val="single" w:color="000000" w:sz="4"/>
                  </w:tcBorders>
                  <w:vAlign w:val="top"/>
                </w:tcPr>
                <w:p>
                  <w:pPr>
                    <w:jc w:val="left"/>
                  </w:pPr>
                  <w:r>
                    <w:rPr>
                      <w:sz w:val="21"/>
                    </w:rPr>
                    <w:t>消防安全工作：熟悉医院消防安全通道和消防设备，能够熟练操作各种消防应急设备，熟练掌握灭火及疏散办法。</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212"/>
                  <w:tcBorders>
                    <w:top w:val="none" w:color="000000" w:sz="4"/>
                    <w:left w:val="none" w:color="000000" w:sz="4"/>
                    <w:bottom w:val="single" w:color="000000" w:sz="4"/>
                    <w:right w:val="single" w:color="000000" w:sz="4"/>
                  </w:tcBorders>
                  <w:vAlign w:val="top"/>
                </w:tcPr>
                <w:p>
                  <w:pPr>
                    <w:jc w:val="left"/>
                  </w:pPr>
                  <w:r>
                    <w:rPr>
                      <w:sz w:val="21"/>
                    </w:rPr>
                    <w:t>熟悉医院基本结构、各部门主要功能以及部门所处位置，能够使用简洁、易懂的语言，基本正确引导患者到所需部门办事。</w:t>
                  </w:r>
                </w:p>
              </w:tc>
              <w:tc>
                <w:tcPr>
                  <w:tcW w:type="dxa" w:w="489"/>
                  <w:tcBorders>
                    <w:top w:val="none" w:color="000000" w:sz="4"/>
                    <w:left w:val="none" w:color="000000" w:sz="4"/>
                    <w:bottom w:val="single" w:color="000000" w:sz="4"/>
                    <w:right w:val="single" w:color="000000" w:sz="4"/>
                  </w:tcBorders>
                  <w:vAlign w:val="top"/>
                </w:tcPr>
                <w:p>
                  <w:pPr>
                    <w:jc w:val="center"/>
                  </w:pPr>
                  <w:r>
                    <w:rPr>
                      <w:sz w:val="21"/>
                    </w:rPr>
                    <w:t>5</w:t>
                  </w:r>
                </w:p>
              </w:tc>
              <w:tc>
                <w:tcPr>
                  <w:tcW w:type="dxa" w:w="540"/>
                  <w:tcBorders>
                    <w:top w:val="none" w:color="000000" w:sz="4"/>
                    <w:left w:val="none" w:color="000000" w:sz="4"/>
                    <w:bottom w:val="single" w:color="000000" w:sz="4"/>
                    <w:right w:val="single" w:color="000000" w:sz="4"/>
                  </w:tcBorders>
                  <w:vAlign w:val="bottom"/>
                </w:tcPr>
                <w:p>
                  <w:pPr>
                    <w:jc w:val="left"/>
                  </w:pPr>
                </w:p>
              </w:tc>
              <w:tc>
                <w:tcPr>
                  <w:tcW w:type="dxa" w:w="887"/>
                  <w:tcBorders>
                    <w:top w:val="none" w:color="000000" w:sz="4"/>
                    <w:left w:val="none" w:color="000000" w:sz="4"/>
                    <w:bottom w:val="single" w:color="000000" w:sz="4"/>
                    <w:right w:val="single" w:color="000000" w:sz="4"/>
                  </w:tcBorders>
                  <w:vAlign w:val="bottom"/>
                </w:tcPr>
                <w:p>
                  <w:pPr>
                    <w:jc w:val="left"/>
                  </w:pPr>
                </w:p>
              </w:tc>
            </w:tr>
            <w:tr>
              <w:tc>
                <w:tcPr>
                  <w:tcW w:type="dxa" w:w="3681"/>
                  <w:gridSpan w:val="2"/>
                  <w:tcBorders>
                    <w:top w:val="none" w:color="000000" w:sz="4"/>
                    <w:left w:val="single" w:color="000000" w:sz="4"/>
                    <w:bottom w:val="single" w:color="000000" w:sz="4"/>
                    <w:right w:val="single" w:color="000000" w:sz="4"/>
                  </w:tcBorders>
                  <w:vAlign w:val="top"/>
                </w:tcPr>
                <w:p>
                  <w:pPr>
                    <w:jc w:val="center"/>
                  </w:pPr>
                  <w:r>
                    <w:rPr>
                      <w:sz w:val="21"/>
                    </w:rPr>
                    <w:t>得分</w:t>
                  </w:r>
                </w:p>
              </w:tc>
              <w:tc>
                <w:tcPr>
                  <w:tcW w:type="dxa" w:w="1916"/>
                  <w:gridSpan w:val="3"/>
                  <w:tcBorders>
                    <w:top w:val="none" w:color="000000" w:sz="4"/>
                    <w:left w:val="none" w:color="000000" w:sz="4"/>
                    <w:bottom w:val="single" w:color="000000" w:sz="4"/>
                    <w:right w:val="single" w:color="000000" w:sz="4"/>
                  </w:tcBorders>
                  <w:vAlign w:val="top"/>
                </w:tcPr>
                <w:p>
                  <w:pPr>
                    <w:jc w:val="center"/>
                  </w:pPr>
                </w:p>
              </w:tc>
            </w:tr>
          </w:tbl>
          <w:p>
            <w:pPr>
              <w:ind w:firstLine="420"/>
              <w:jc w:val="right"/>
            </w:pPr>
            <w:r>
              <w:rPr>
                <w:sz w:val="21"/>
              </w:rPr>
              <w:t>考评时间：</w:t>
            </w:r>
            <w:r>
              <w:rPr>
                <w:sz w:val="21"/>
              </w:rPr>
              <w:t>年</w:t>
            </w:r>
            <w:r>
              <w:rPr>
                <w:sz w:val="21"/>
              </w:rPr>
              <w:t xml:space="preserve">  </w:t>
            </w:r>
            <w:r>
              <w:rPr>
                <w:sz w:val="21"/>
              </w:rPr>
              <w:t>月</w:t>
            </w:r>
            <w:r>
              <w:rPr>
                <w:sz w:val="21"/>
              </w:rPr>
              <w:t xml:space="preserve">  </w:t>
            </w:r>
            <w:r>
              <w:rPr>
                <w:sz w:val="21"/>
              </w:rPr>
              <w:t>日</w:t>
            </w:r>
          </w:p>
          <w:p>
            <w:pPr>
              <w:ind w:firstLine="420"/>
              <w:jc w:val="right"/>
            </w:pPr>
            <w:r>
              <w:rPr/>
              <w:t xml:space="preserve"> </w:t>
            </w:r>
          </w:p>
          <w:p>
            <w:pPr>
              <w:ind w:firstLine="420"/>
              <w:jc w:val="right"/>
            </w:pPr>
            <w:r>
              <w:rPr/>
              <w:t xml:space="preserve"> </w:t>
            </w:r>
          </w:p>
          <w:p>
            <w:pPr>
              <w:ind w:firstLine="420"/>
              <w:jc w:val="right"/>
            </w:pPr>
            <w:r>
              <w:rPr/>
              <w:t xml:space="preserve"> </w:t>
            </w:r>
          </w:p>
          <w:p>
            <w:pPr>
              <w:ind w:firstLine="420"/>
              <w:jc w:val="right"/>
            </w:pPr>
            <w:r>
              <w:rPr/>
              <w:t xml:space="preserve"> </w:t>
            </w:r>
          </w:p>
          <w:p>
            <w:pPr>
              <w:ind w:firstLine="420"/>
              <w:jc w:val="righ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预算总金额作为收费的计算依据。项目预算总金额（万元）：100，收费费率：1.5%； 预算总金额（万元）：100-500，收费费率：0.8%； 预算总金额（万元）：500-1000，收费费率：0.45%；预算总金额（万元）：1000-5000，收费费率：0.25%； 注：中标服务费按差额定率累进法计算。例如：某服类项目预算金额为1000万元，计算中标服务费额如下：100万元×1.5%=1.5万元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安保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采购包1（东莞市横沥医院安保服务项目）：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采购包1（东莞市横沥医院安保服务项目）：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公安机关核发的《保安服务许可证》；若为异地注册的供应商在东莞从事保安服务的须提供在本市备案的保安从业单位备案回执单【如未在东莞公安部门进行备案的，供应商须承诺在中标后30个工作日内在莞进行备案（须提供承诺函加盖公章）】</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采购包1（东莞市横沥医院安保服务项目）：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采购包1(东莞市横沥医院安保服务项目):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2.0;</w:t>
            </w:r>
            <w:r>
              <w:rPr/>
              <w:t>6.0;</w:t>
            </w:r>
            <w:r>
              <w:rPr/>
              <w:t>10.0;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对项目的理解不够深刻，不能对项目的重点难点提出相应的措施，得2分。 无提供，得0分。</w:t>
            </w:r>
          </w:p>
        </w:tc>
      </w:tr>
      <w:tr>
        <w:tc>
          <w:tcPr>
            <w:tcW w:type="dxa" w:w="922"/>
            <w:gridSpan w:val="2"/>
            <w:vMerge/>
          </w:tcPr>
          <w:p/>
        </w:tc>
        <w:tc>
          <w:tcPr>
            <w:tcW w:type="dxa" w:w="2307"/>
          </w:tcPr>
          <w:p>
            <w:pPr>
              <w:jc w:val="left"/>
            </w:pPr>
            <w:r>
              <w:rPr/>
              <w:t>项目总体服务方案 (15.0分)</w:t>
            </w:r>
            <w:r>
              <w:rPr/>
              <w:t>，（等次分值选择：</w:t>
            </w:r>
            <w:r>
              <w:rPr/>
              <w:t>0.0;</w:t>
            </w:r>
            <w:r>
              <w:rPr/>
              <w:t>2.0;</w:t>
            </w:r>
            <w:r>
              <w:rPr/>
              <w:t>6.0;</w:t>
            </w:r>
            <w:r>
              <w:rPr/>
              <w:t>10.0;</w:t>
            </w:r>
            <w:r>
              <w:rPr/>
              <w:t>15.0;</w:t>
            </w:r>
            <w:r>
              <w:rPr/>
              <w:t>）</w:t>
            </w:r>
          </w:p>
        </w:tc>
        <w:tc>
          <w:tcPr>
            <w:tcW w:type="dxa" w:w="5076"/>
          </w:tcPr>
          <w:p>
            <w:pPr>
              <w:jc w:val="left"/>
            </w:pPr>
            <w:r>
              <w:rPr/>
              <w:t>根据投标人对本项目总体服务方案进行综合评审： 方案科学完整，针对性强，可行性强，得15分。 方案较完整，针对性较强，可行性较强，得10分。 方案基本完整，针对性一般，可行性一般，得6分。 方案不完整，针对性较差，可行性较差，得2分。 无提供，得0分。</w:t>
            </w:r>
          </w:p>
        </w:tc>
      </w:tr>
      <w:tr>
        <w:tc>
          <w:tcPr>
            <w:tcW w:type="dxa" w:w="922"/>
            <w:gridSpan w:val="2"/>
            <w:vMerge/>
          </w:tcPr>
          <w:p/>
        </w:tc>
        <w:tc>
          <w:tcPr>
            <w:tcW w:type="dxa" w:w="2307"/>
          </w:tcPr>
          <w:p>
            <w:pPr>
              <w:jc w:val="left"/>
            </w:pPr>
            <w:r>
              <w:rPr/>
              <w:t>应急处置方案 (15.0分)</w:t>
            </w:r>
            <w:r>
              <w:rPr/>
              <w:t>，（等次分值选择：</w:t>
            </w:r>
            <w:r>
              <w:rPr/>
              <w:t>0.0;</w:t>
            </w:r>
            <w:r>
              <w:rPr/>
              <w:t>2.0;</w:t>
            </w:r>
            <w:r>
              <w:rPr/>
              <w:t>6.0;</w:t>
            </w:r>
            <w:r>
              <w:rPr/>
              <w:t>10.0;</w:t>
            </w:r>
            <w:r>
              <w:rPr/>
              <w:t>15.0;</w:t>
            </w:r>
            <w:r>
              <w:rPr/>
              <w:t>）</w:t>
            </w:r>
          </w:p>
        </w:tc>
        <w:tc>
          <w:tcPr>
            <w:tcW w:type="dxa" w:w="5076"/>
          </w:tcPr>
          <w:p>
            <w:pPr>
              <w:jc w:val="left"/>
            </w:pPr>
            <w:r>
              <w:rPr/>
              <w:t>根据投标人针对本项目提出的应急处置方案进行综合评审： 方案科学完整，针对性强，可操作性强，得15分。 方案较完整，针对性较强，可操作性较强，得10分。 方案基本完整，针对性一般，可操作性一般，得6分。 方案不完整，针对性较差，可操作性差，得2分。 无提供，得0分。</w:t>
            </w:r>
          </w:p>
        </w:tc>
      </w:tr>
      <w:tr>
        <w:tc>
          <w:tcPr>
            <w:tcW w:type="dxa" w:w="922"/>
            <w:gridSpan w:val="2"/>
            <w:vMerge/>
          </w:tcPr>
          <w:p/>
        </w:tc>
        <w:tc>
          <w:tcPr>
            <w:tcW w:type="dxa" w:w="2307"/>
          </w:tcPr>
          <w:p>
            <w:pPr>
              <w:jc w:val="left"/>
            </w:pPr>
            <w:r>
              <w:rPr/>
              <w:t>内部管理规章制度 (10.0分)</w:t>
            </w:r>
            <w:r>
              <w:rPr/>
              <w:t>，（等次分值选择：</w:t>
            </w:r>
            <w:r>
              <w:rPr/>
              <w:t>0.0;</w:t>
            </w:r>
            <w:r>
              <w:rPr/>
              <w:t>2.0;</w:t>
            </w:r>
            <w:r>
              <w:rPr/>
              <w:t>6.0;</w:t>
            </w:r>
            <w:r>
              <w:rPr/>
              <w:t>10.0;</w:t>
            </w:r>
            <w:r>
              <w:rPr/>
              <w:t>）</w:t>
            </w:r>
          </w:p>
        </w:tc>
        <w:tc>
          <w:tcPr>
            <w:tcW w:type="dxa" w:w="5076"/>
          </w:tcPr>
          <w:p>
            <w:pPr>
              <w:jc w:val="left"/>
            </w:pPr>
            <w:r>
              <w:rPr/>
              <w:t>根据保安管理、岗位责任、保安员管理等各项制度的完整性、合理性进行综合评审： 各项制度详细完整，科学合理，得10分。 各项制度基本完整，合理性一般，得6分。 各项制度不完整，合理性较差，得2分。 无提供，得0分。</w:t>
            </w:r>
          </w:p>
        </w:tc>
      </w:tr>
      <w:tr>
        <w:tc>
          <w:tcPr>
            <w:tcW w:type="dxa" w:w="922"/>
            <w:gridSpan w:val="2"/>
            <w:vMerge/>
          </w:tcPr>
          <w:p/>
        </w:tc>
        <w:tc>
          <w:tcPr>
            <w:tcW w:type="dxa" w:w="2307"/>
          </w:tcPr>
          <w:p>
            <w:pPr>
              <w:jc w:val="left"/>
            </w:pPr>
            <w:r>
              <w:rPr/>
              <w:t>人员培训方案 (10.0分)</w:t>
            </w:r>
            <w:r>
              <w:rPr/>
              <w:t>，（等次分值选择：</w:t>
            </w:r>
            <w:r>
              <w:rPr/>
              <w:t>0.0;</w:t>
            </w:r>
            <w:r>
              <w:rPr/>
              <w:t>2.0;</w:t>
            </w:r>
            <w:r>
              <w:rPr/>
              <w:t>6.0;</w:t>
            </w:r>
            <w:r>
              <w:rPr/>
              <w:t>10.0;</w:t>
            </w:r>
            <w:r>
              <w:rPr/>
              <w:t>）</w:t>
            </w:r>
          </w:p>
        </w:tc>
        <w:tc>
          <w:tcPr>
            <w:tcW w:type="dxa" w:w="5076"/>
          </w:tcPr>
          <w:p>
            <w:pPr>
              <w:jc w:val="left"/>
            </w:pPr>
            <w:r>
              <w:rPr/>
              <w:t>根据投标人提供的人员培训方案进行综合评审： 方案科学完整，可行性强，得10分。 方案基本完整，可行性一般，得6分。 方案不完整，可行性差，得2分。 无提供，得0分。</w:t>
            </w:r>
          </w:p>
        </w:tc>
      </w:tr>
      <w:tr>
        <w:tc>
          <w:tcPr>
            <w:tcW w:type="dxa" w:w="922"/>
            <w:gridSpan w:val="2"/>
            <w:vMerge w:val="restart"/>
          </w:tcPr>
          <w:p>
            <w:pPr>
              <w:jc w:val="center"/>
            </w:pPr>
            <w:r>
              <w:rPr/>
              <w:t>商务部分</w:t>
            </w:r>
          </w:p>
        </w:tc>
        <w:tc>
          <w:tcPr>
            <w:tcW w:type="dxa" w:w="2307"/>
          </w:tcPr>
          <w:p>
            <w:pPr>
              <w:jc w:val="left"/>
            </w:pPr>
            <w:r>
              <w:rPr/>
              <w:t>业绩 (24.0分)</w:t>
            </w:r>
          </w:p>
        </w:tc>
        <w:tc>
          <w:tcPr>
            <w:tcW w:type="dxa" w:w="5076"/>
          </w:tcPr>
          <w:p>
            <w:pPr>
              <w:jc w:val="left"/>
            </w:pPr>
            <w:r>
              <w:rPr/>
              <w:t>根据投标人完成或正在履约的保安服务类项目业绩进行评审，每提供一个合同业绩得8分，本项最高得24分。 注：须提供合同复印件并加盖投标人公章，否则不得分。</w:t>
            </w:r>
          </w:p>
        </w:tc>
      </w:tr>
      <w:tr>
        <w:tc>
          <w:tcPr>
            <w:tcW w:type="dxa" w:w="922"/>
            <w:gridSpan w:val="2"/>
            <w:vMerge/>
          </w:tcPr>
          <w:p/>
        </w:tc>
        <w:tc>
          <w:tcPr>
            <w:tcW w:type="dxa" w:w="2307"/>
          </w:tcPr>
          <w:p>
            <w:pPr>
              <w:jc w:val="left"/>
            </w:pPr>
            <w:r>
              <w:rPr/>
              <w:t>服务响应 (6.0分)</w:t>
            </w:r>
          </w:p>
        </w:tc>
        <w:tc>
          <w:tcPr>
            <w:tcW w:type="dxa" w:w="5076"/>
          </w:tcPr>
          <w:p>
            <w:pPr>
              <w:jc w:val="left"/>
            </w:pPr>
            <w:r>
              <w:rPr/>
              <w:t>根据投标人提供的服务响应时间承诺进行评分。 （1）投标人承诺在接到采购人通知后1小时（含）内到现场，得6分； （2）投标人承诺在接到采购人通知后2小时（含）内到现场，得3分； （3）投标人承诺在接到采购人通知后3小时（含）内到现场，得1分； （4）投标人未承诺或其他情况，不得分。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both"/>
      </w:pPr>
      <w:r>
        <w:br/>
      </w:r>
      <w:r>
        <w:br/>
      </w:r>
      <w:r>
        <w:br/>
      </w:r>
      <w:r>
        <w:br/>
      </w:r>
      <w:r>
        <w:br/>
      </w:r>
      <w:r>
        <w:br/>
      </w:r>
      <w:r>
        <w:br/>
      </w:r>
      <w:r>
        <w:br/>
      </w:r>
      <w:r>
        <w:rPr>
          <w:sz w:val="21"/>
        </w:rPr>
        <w:t xml:space="preserve"> </w:t>
      </w:r>
    </w:p>
    <w:p>
      <w:pPr>
        <w:jc w:val="center"/>
      </w:pPr>
      <w:r>
        <w:rPr>
          <w:sz w:val="28"/>
        </w:rPr>
        <w:t>采购计划编号：</w:t>
      </w:r>
    </w:p>
    <w:p>
      <w:pPr>
        <w:jc w:val="both"/>
      </w:pPr>
      <w:r>
        <w:rPr>
          <w:sz w:val="21"/>
        </w:rPr>
        <w:t xml:space="preserve"> </w:t>
      </w:r>
    </w:p>
    <w:p>
      <w:pPr>
        <w:jc w:val="center"/>
      </w:pPr>
      <w:r>
        <w:rPr>
          <w:sz w:val="28"/>
        </w:rPr>
        <w:t>项目编号：</w:t>
      </w:r>
    </w:p>
    <w:p>
      <w:pPr>
        <w:jc w:val="both"/>
      </w:pPr>
      <w:r>
        <w:rPr>
          <w:sz w:val="21"/>
        </w:rPr>
        <w:t xml:space="preserve"> </w:t>
      </w:r>
    </w:p>
    <w:p>
      <w:pPr>
        <w:jc w:val="center"/>
      </w:pPr>
      <w:r>
        <w:rPr>
          <w:sz w:val="28"/>
        </w:rPr>
        <w:t>项目名称：</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jc w:val="both"/>
      </w:pPr>
    </w:p>
    <w:p>
      <w:pPr>
        <w:jc w:val="both"/>
      </w:pP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jc w:val="both"/>
      </w:pPr>
      <w:r>
        <w:rPr>
          <w:sz w:val="21"/>
        </w:rPr>
        <w:t>　　合同金额为（大写）：</w:t>
      </w:r>
      <w:r>
        <w:rPr>
          <w:sz w:val="21"/>
        </w:rPr>
        <w:t>_____________元（￥_________元）人民币。</w:t>
      </w:r>
    </w:p>
    <w:p>
      <w:pPr>
        <w:jc w:val="both"/>
      </w:pPr>
      <w:r>
        <w:rPr>
          <w:sz w:val="21"/>
        </w:rPr>
        <w:t>二、服务范围</w:t>
      </w:r>
    </w:p>
    <w:p>
      <w:pPr>
        <w:jc w:val="both"/>
      </w:pPr>
      <w:r>
        <w:rPr>
          <w:sz w:val="21"/>
        </w:rPr>
        <w:t>　　甲方聘请乙方提供以下服务：</w:t>
      </w:r>
    </w:p>
    <w:p>
      <w:pPr>
        <w:jc w:val="both"/>
      </w:pPr>
      <w:r>
        <w:rPr>
          <w:sz w:val="21"/>
        </w:rPr>
        <w:t>1．　　　　　　　　　　　。</w:t>
      </w:r>
    </w:p>
    <w:p>
      <w:pPr>
        <w:jc w:val="both"/>
      </w:pPr>
      <w:r>
        <w:rPr>
          <w:sz w:val="21"/>
        </w:rPr>
        <w:t>2．　　　　　　　　　　　</w:t>
      </w:r>
    </w:p>
    <w:p>
      <w:pPr>
        <w:jc w:val="both"/>
      </w:pPr>
      <w:r>
        <w:rPr>
          <w:sz w:val="21"/>
        </w:rPr>
        <w:t>……</w:t>
      </w:r>
    </w:p>
    <w:p>
      <w:pPr>
        <w:jc w:val="both"/>
      </w:pPr>
      <w:r>
        <w:rPr>
          <w:sz w:val="21"/>
        </w:rPr>
        <w:t>三、甲方乙方的权利和义务</w:t>
      </w:r>
    </w:p>
    <w:p>
      <w:pPr>
        <w:ind w:firstLine="420"/>
        <w:jc w:val="both"/>
      </w:pPr>
      <w:r>
        <w:rPr>
          <w:sz w:val="21"/>
        </w:rPr>
        <w:t>1.甲方的权利和义务</w:t>
      </w:r>
    </w:p>
    <w:p>
      <w:pPr>
        <w:ind w:firstLine="420"/>
        <w:jc w:val="both"/>
      </w:pPr>
      <w:r>
        <w:rPr>
          <w:sz w:val="21"/>
        </w:rPr>
        <w:t>（</w:t>
      </w:r>
      <w:r>
        <w:rPr>
          <w:sz w:val="21"/>
        </w:rPr>
        <w:t>1）保证对乙方的保安服务工作予以协助，以便于乙方顺利地开展工作，保证服务质量。</w:t>
      </w:r>
    </w:p>
    <w:p>
      <w:pPr>
        <w:ind w:firstLine="420"/>
        <w:jc w:val="both"/>
      </w:pPr>
      <w:r>
        <w:rPr>
          <w:sz w:val="21"/>
        </w:rPr>
        <w:t>（</w:t>
      </w:r>
      <w:r>
        <w:rPr>
          <w:sz w:val="21"/>
        </w:rPr>
        <w:t>2）免费提供乙方管理人员适当的办公场所、内线电话，以便和院方取得联系，更好地处理工作。</w:t>
      </w:r>
    </w:p>
    <w:p>
      <w:pPr>
        <w:ind w:firstLine="420"/>
        <w:jc w:val="both"/>
      </w:pPr>
      <w:r>
        <w:rPr>
          <w:sz w:val="21"/>
        </w:rPr>
        <w:t>（</w:t>
      </w:r>
      <w:r>
        <w:rPr>
          <w:sz w:val="21"/>
        </w:rPr>
        <w:t>3）甲方免费提供保安员上班期间所需的水、电及其他便利的条件（不含住宿，住宿须自行解决）。</w:t>
      </w:r>
    </w:p>
    <w:p>
      <w:pPr>
        <w:ind w:firstLine="420"/>
        <w:jc w:val="both"/>
      </w:pPr>
      <w:r>
        <w:rPr>
          <w:sz w:val="21"/>
        </w:rPr>
        <w:t>（</w:t>
      </w:r>
      <w:r>
        <w:rPr>
          <w:sz w:val="21"/>
        </w:rPr>
        <w:t>4）免费提供保安的日常培训训练场地，不断提升保安的综合素质。</w:t>
      </w:r>
    </w:p>
    <w:p>
      <w:pPr>
        <w:ind w:firstLine="420"/>
        <w:jc w:val="both"/>
      </w:pPr>
      <w:r>
        <w:rPr>
          <w:sz w:val="21"/>
        </w:rPr>
        <w:t>（</w:t>
      </w:r>
      <w:r>
        <w:rPr>
          <w:sz w:val="21"/>
        </w:rPr>
        <w:t>5）协助乙方或协调解决乙方及其保安员在执行本合同工作中的有关纠纷，但甲方不负责经济责任，也不为乙方单位或其保安员担保承担经济责任。</w:t>
      </w:r>
    </w:p>
    <w:p>
      <w:pPr>
        <w:ind w:firstLine="420"/>
        <w:jc w:val="both"/>
      </w:pPr>
      <w:r>
        <w:rPr>
          <w:sz w:val="21"/>
        </w:rPr>
        <w:t>2.乙方的权利和义务</w:t>
      </w:r>
    </w:p>
    <w:p>
      <w:pPr>
        <w:ind w:firstLine="420"/>
        <w:jc w:val="both"/>
      </w:pPr>
      <w:r>
        <w:rPr>
          <w:sz w:val="21"/>
        </w:rPr>
        <w:t>（</w:t>
      </w:r>
      <w:r>
        <w:rPr>
          <w:sz w:val="21"/>
        </w:rPr>
        <w:t>1）按照招标文件“安保服务</w:t>
      </w:r>
      <w:r>
        <w:rPr>
          <w:sz w:val="21"/>
        </w:rPr>
        <w:t>采购</w:t>
      </w:r>
      <w:r>
        <w:rPr>
          <w:sz w:val="21"/>
        </w:rPr>
        <w:t>需求书</w:t>
      </w:r>
      <w:r>
        <w:rPr>
          <w:sz w:val="21"/>
        </w:rPr>
        <w:t>”提供保安服务，保证保安服务质量，做到优质服务。</w:t>
      </w:r>
    </w:p>
    <w:p>
      <w:pPr>
        <w:ind w:firstLine="420"/>
        <w:jc w:val="both"/>
      </w:pPr>
      <w:r>
        <w:rPr>
          <w:sz w:val="21"/>
        </w:rPr>
        <w:t>（</w:t>
      </w:r>
      <w:r>
        <w:rPr>
          <w:sz w:val="21"/>
        </w:rPr>
        <w:t>2</w:t>
      </w:r>
      <w:r>
        <w:rPr>
          <w:sz w:val="21"/>
        </w:rPr>
        <w:t>）负责日常防火巡查及微型消防站各项工作。</w:t>
      </w:r>
    </w:p>
    <w:p>
      <w:pPr>
        <w:ind w:firstLine="420"/>
        <w:jc w:val="both"/>
      </w:pPr>
      <w:r>
        <w:rPr>
          <w:sz w:val="21"/>
        </w:rPr>
        <w:t>（</w:t>
      </w:r>
      <w:r>
        <w:rPr>
          <w:sz w:val="21"/>
        </w:rPr>
        <w:t>3</w:t>
      </w:r>
      <w:r>
        <w:rPr>
          <w:sz w:val="21"/>
        </w:rPr>
        <w:t>）严格执行保安服务方案书中规定的保安服务职责及服务规范。</w:t>
      </w:r>
    </w:p>
    <w:p>
      <w:pPr>
        <w:ind w:firstLine="420"/>
        <w:jc w:val="both"/>
      </w:pPr>
      <w:r>
        <w:rPr>
          <w:sz w:val="21"/>
        </w:rPr>
        <w:t>（</w:t>
      </w:r>
      <w:r>
        <w:rPr>
          <w:sz w:val="21"/>
        </w:rPr>
        <w:t>4</w:t>
      </w:r>
      <w:r>
        <w:rPr>
          <w:sz w:val="21"/>
        </w:rPr>
        <w:t>）乙方派驻甲方的工作人员必须穿着公司统一制服及佩戴工作牌，遵守甲方的纪律和制度做到安全作业，不得擅离职守，不得损坏甲方财物。</w:t>
      </w:r>
    </w:p>
    <w:p>
      <w:pPr>
        <w:ind w:firstLine="420"/>
        <w:jc w:val="both"/>
      </w:pPr>
      <w:r>
        <w:rPr>
          <w:sz w:val="21"/>
        </w:rPr>
        <w:t>（</w:t>
      </w:r>
      <w:r>
        <w:rPr>
          <w:sz w:val="21"/>
        </w:rPr>
        <w:t>5</w:t>
      </w:r>
      <w:r>
        <w:rPr>
          <w:sz w:val="21"/>
        </w:rPr>
        <w:t>）负责提供保安服务所需的工具及通讯设备（不包括值班室监控设备）。</w:t>
      </w:r>
    </w:p>
    <w:p>
      <w:pPr>
        <w:ind w:firstLine="420"/>
        <w:jc w:val="both"/>
      </w:pPr>
      <w:r>
        <w:rPr>
          <w:sz w:val="21"/>
        </w:rPr>
        <w:t>（</w:t>
      </w:r>
      <w:r>
        <w:rPr>
          <w:sz w:val="21"/>
        </w:rPr>
        <w:t>6</w:t>
      </w:r>
      <w:r>
        <w:rPr>
          <w:sz w:val="21"/>
        </w:rPr>
        <w:t>）负责提供保安员的工资、社保、劳保费用以及经营中发生的一切费用。并应当依照《劳动合同法》等相应法律法规的规定，为其全部的保安员签订劳动合同、办理社保等手续待遇。甲方有权查阅乙方提供的保安员的相关资料（包括取得其复印件），以便于管理和掌握情况。</w:t>
      </w:r>
    </w:p>
    <w:p>
      <w:pPr>
        <w:jc w:val="both"/>
      </w:pPr>
      <w:r>
        <w:rPr>
          <w:sz w:val="21"/>
        </w:rPr>
        <w:t>四、服务期间（项目完成期限）</w:t>
      </w:r>
    </w:p>
    <w:p>
      <w:pPr>
        <w:jc w:val="both"/>
      </w:pPr>
      <w:r>
        <w:rPr>
          <w:sz w:val="21"/>
        </w:rPr>
        <w:t>1.委托服务期间自</w:t>
      </w:r>
      <w:r>
        <w:rPr>
          <w:sz w:val="21"/>
        </w:rPr>
        <w:t>2024</w:t>
      </w:r>
      <w:r>
        <w:rPr>
          <w:sz w:val="21"/>
        </w:rPr>
        <w:t>年</w:t>
      </w:r>
      <w:r>
        <w:rPr>
          <w:sz w:val="21"/>
        </w:rPr>
        <w:t>2</w:t>
      </w:r>
      <w:r>
        <w:rPr>
          <w:sz w:val="21"/>
        </w:rPr>
        <w:t>月</w:t>
      </w:r>
      <w:r>
        <w:rPr>
          <w:sz w:val="21"/>
        </w:rPr>
        <w:t>1日起</w:t>
      </w:r>
      <w:r>
        <w:rPr>
          <w:sz w:val="21"/>
        </w:rPr>
        <w:t>至</w:t>
      </w:r>
      <w:r>
        <w:rPr>
          <w:sz w:val="21"/>
        </w:rPr>
        <w:t>2026</w:t>
      </w:r>
      <w:r>
        <w:rPr>
          <w:sz w:val="21"/>
        </w:rPr>
        <w:t>年</w:t>
      </w:r>
      <w:r>
        <w:rPr>
          <w:sz w:val="21"/>
        </w:rPr>
        <w:t>1</w:t>
      </w:r>
      <w:r>
        <w:rPr>
          <w:sz w:val="21"/>
        </w:rPr>
        <w:t>月</w:t>
      </w:r>
      <w:r>
        <w:rPr>
          <w:sz w:val="21"/>
        </w:rPr>
        <w:t>31日</w:t>
      </w:r>
      <w:r>
        <w:rPr>
          <w:sz w:val="21"/>
        </w:rPr>
        <w:t>止。</w:t>
      </w:r>
    </w:p>
    <w:p>
      <w:pPr>
        <w:jc w:val="both"/>
      </w:pPr>
      <w:r>
        <w:rPr>
          <w:sz w:val="21"/>
        </w:rPr>
        <w:t>五、付款方式</w:t>
      </w:r>
    </w:p>
    <w:p>
      <w:pPr>
        <w:ind w:firstLine="420"/>
        <w:jc w:val="both"/>
      </w:pPr>
      <w:r>
        <w:rPr>
          <w:sz w:val="21"/>
        </w:rPr>
        <w:t>为加强对保安服务工作的有效管理，切实改善服务，提高工作效率，医院对保安服务制定相应的工作质量标准和技术要求并每月开展质量考评，乙方必须严格按要求执行，并由派驻的主管人员负责项目管理督促员工做好安保服务工作，如出现工作人员未按合同的规定、要求作业，未按规定保证人员数量或者工作中出现疏忽大意，医院有权要求乙方立即无偿整改并视情况给予一定数量的罚款。在合同期内，双方尚须明确如下条款：</w:t>
      </w:r>
    </w:p>
    <w:p>
      <w:pPr>
        <w:ind w:firstLine="420"/>
        <w:jc w:val="both"/>
      </w:pPr>
      <w:r>
        <w:rPr>
          <w:sz w:val="21"/>
        </w:rPr>
        <w:t>1、乙方在每月20日前向甲方提供上一月份应支付服务费的合格等额发票、人员名单及评分考核表，甲方在30天内以银行转账方式向乙方支付上一个月的服务费。乙方按上月考核情况凭合格发票请款时，必须于每季度末附上为驻院服务人员缴纳的社保凭证，便于医院核对在岗人员的人数。</w:t>
      </w:r>
    </w:p>
    <w:p>
      <w:pPr>
        <w:ind w:firstLine="420"/>
        <w:jc w:val="both"/>
      </w:pPr>
      <w:r>
        <w:rPr>
          <w:sz w:val="21"/>
        </w:rPr>
        <w:t>2、甲方每月根据考评结果支付给乙方安保服务项目服务费。考核结果得分（满分100分）=《东莞市横沥医院保安工作(临床科室) 考评表》得分*50%+《东莞市横沥医院保安工作(职能部门) 考评表》得分*50%，根据考核结果，每月90分（含）以上属于合格；89分（含）以下为不合格，质量评估分数在90分（含）以上可得当月全额服务费，质量评估分数在80—89分，该月仅付90%服务费。分数在79分（含）以下，除限期整改外，该月仅付80%服务费。一年有两次少于70分的，医院有权与乙方解除合同并追究相应责任。特殊岗位人员，发生恶性事件者，立即辞退，并赔偿相应损失。</w:t>
      </w:r>
    </w:p>
    <w:p>
      <w:pPr>
        <w:ind w:firstLine="420"/>
        <w:jc w:val="both"/>
      </w:pPr>
      <w:r>
        <w:rPr>
          <w:sz w:val="21"/>
        </w:rPr>
        <w:t>3、乙方对招聘的员工原则要求初中以上文化程度，年龄在50岁以下，入职前必须进行岗前培训，培训合格后报科室同意方可上岗，未经岗前培训不得参与医院工作。上岗前应提供相关检查报告（检查费用由乙方承担）；由于保安责任导致的医疗纠纷和员工自己违反操作要求造成他人和自身伤害的，由乙方承担全部责任。</w:t>
      </w:r>
    </w:p>
    <w:p>
      <w:pPr>
        <w:ind w:firstLine="420"/>
        <w:jc w:val="both"/>
      </w:pPr>
      <w:r>
        <w:rPr>
          <w:sz w:val="21"/>
        </w:rPr>
        <w:t>4、驻院主管应做到每天巡查各工作岗位，如发现服务质量问题，应如实记录和签名，并及时指导员工进行整改。</w:t>
      </w:r>
    </w:p>
    <w:p>
      <w:pPr>
        <w:ind w:firstLine="420"/>
        <w:jc w:val="both"/>
      </w:pPr>
      <w:r>
        <w:rPr>
          <w:sz w:val="21"/>
        </w:rPr>
        <w:t>5、有以下行为之一的，经双方确认后扣除中标单位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w:t>
      </w:r>
    </w:p>
    <w:p>
      <w:pPr>
        <w:ind w:firstLine="420"/>
        <w:jc w:val="both"/>
      </w:pPr>
      <w:r>
        <w:rPr>
          <w:sz w:val="21"/>
        </w:rPr>
        <w:t>6、有以下行为之一的，扣除乙方服务费2000元罚款并立即辞退相关人员：打骂病人的；对医疗垃圾进行分拣售卖的；偷盗医院、病人财物的或捡获医护人员、病人财物属实拒绝交还者。</w:t>
      </w:r>
    </w:p>
    <w:p>
      <w:pPr>
        <w:ind w:firstLine="420"/>
        <w:jc w:val="both"/>
      </w:pPr>
      <w:r>
        <w:rPr>
          <w:sz w:val="21"/>
        </w:rPr>
        <w:t>7、若由于乙方原因导致院内发生治安灾害、医疗设备失窃、车辆失窃、公共财产人为损坏等事件时，应作价赔偿。如有异议，可向甲方所在地人民法院提起诉讼；事态严重者，可追究当事人的法律责任。</w:t>
      </w:r>
    </w:p>
    <w:p>
      <w:pPr>
        <w:ind w:firstLine="420"/>
        <w:jc w:val="both"/>
      </w:pPr>
      <w:r>
        <w:rPr>
          <w:sz w:val="21"/>
        </w:rPr>
        <w:t>8、乙方必须保证院方提出用工人数，如出现脱岗现象，必须24小时内提供人员到岗；再者，经所在科室半个月内多次（2次以上）要求更换或辞退的不合要求的服务人员，乙方应无条件满足医院的合理要求，否则，院方有权扣发相应人数及其工作日的服务薪酬。</w:t>
      </w:r>
    </w:p>
    <w:p>
      <w:pPr>
        <w:ind w:firstLine="420"/>
        <w:jc w:val="both"/>
      </w:pPr>
      <w:r>
        <w:rPr>
          <w:sz w:val="21"/>
        </w:rPr>
        <w:t>9、医院结合工作和业务发展的实际，对合同约定的服务人员工作量及岗位配置进行调整（若有调整，医院将提前半个月知会乙方，乙方应无条件配合），其服务费按实际完成的安保工作量响应增减。若乙方需对驻点的工作人员进行外调，需提前通知医院相关部门，若未征得医院同意，不得随意调走派驻在医院的服务人员。</w:t>
      </w:r>
    </w:p>
    <w:p>
      <w:pPr>
        <w:ind w:firstLine="420"/>
        <w:jc w:val="both"/>
      </w:pPr>
      <w:r>
        <w:rPr>
          <w:sz w:val="21"/>
        </w:rPr>
        <w:t>10、对医院在抽查及月中检查发现存在的问题，乙方要向院方及时反馈落实情况。如有特殊情况或加急的安保项目，乙方应及时派人员到场处理，不得拒绝推诿，上班时间应随叫随到（从接到指令到提供服务的时间要求在10分钟内）并保证服务质量。</w:t>
      </w:r>
    </w:p>
    <w:p>
      <w:pPr>
        <w:ind w:firstLine="420"/>
        <w:jc w:val="both"/>
      </w:pPr>
      <w:r>
        <w:rPr>
          <w:sz w:val="21"/>
        </w:rPr>
        <w:t>11、驻点服务人员食宿和服装及装备要求：乙方须自行解决所雇用服务人员的食宿问题；并提供充足的服务规范装备及用品（如：对讲机、胶鞋、保安服、保安帽、警棍、雨伞、雨衣）等。</w:t>
      </w:r>
    </w:p>
    <w:p>
      <w:pPr>
        <w:ind w:firstLine="420"/>
        <w:jc w:val="both"/>
      </w:pPr>
      <w:r>
        <w:rPr>
          <w:sz w:val="21"/>
        </w:rPr>
        <w:t>12、服务人员工资要求：乙方所雇用服务人员的基本工资（不包括员工社保、医保、福利以及加班工资等）不能低于东莞市规定的最低工资标准。乙方必须承诺不能发生拖欠员工工资的问题，一经发现，医院有权解除合同。</w:t>
      </w:r>
    </w:p>
    <w:p>
      <w:pPr>
        <w:ind w:firstLine="420"/>
        <w:jc w:val="both"/>
      </w:pPr>
      <w:r>
        <w:rPr>
          <w:sz w:val="21"/>
        </w:rPr>
        <w:t>13、医院定期对保安工作进行考核，对表现突出的，医院将适当给予奖励。奖励性具体措施详见附件1。</w:t>
      </w:r>
    </w:p>
    <w:p>
      <w:pPr>
        <w:jc w:val="both"/>
      </w:pPr>
      <w:r>
        <w:rPr>
          <w:sz w:val="21"/>
        </w:rPr>
        <w:t>附件</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651"/>
        <w:gridCol w:w="2242"/>
        <w:gridCol w:w="5411"/>
      </w:tblGrid>
      <w:tr>
        <w:tc>
          <w:tcPr>
            <w:tcW w:type="dxa" w:w="651"/>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2242"/>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5411"/>
            <w:tcBorders>
              <w:top w:val="single" w:color="000000" w:sz="4"/>
              <w:left w:val="single" w:color="000000" w:sz="4"/>
              <w:bottom w:val="single" w:color="000000" w:sz="4"/>
              <w:right w:val="single" w:color="000000" w:sz="4"/>
            </w:tcBorders>
            <w:vAlign w:val="top"/>
          </w:tcPr>
          <w:p>
            <w:pPr>
              <w:jc w:val="both"/>
            </w:pPr>
            <w:r>
              <w:rPr>
                <w:sz w:val="21"/>
              </w:rPr>
              <w:t>在镇级以上新闻媒体受到表扬的奖</w:t>
            </w:r>
            <w:r>
              <w:rPr>
                <w:sz w:val="21"/>
              </w:rPr>
              <w:t>200-500元</w:t>
            </w:r>
          </w:p>
        </w:tc>
      </w:tr>
      <w:tr>
        <w:tc>
          <w:tcPr>
            <w:tcW w:type="dxa" w:w="651"/>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single" w:color="000000" w:sz="4"/>
              <w:bottom w:val="single" w:color="000000" w:sz="4"/>
              <w:right w:val="single" w:color="000000" w:sz="4"/>
            </w:tcBorders>
          </w:tcPr>
          <w:p/>
        </w:tc>
        <w:tc>
          <w:tcPr>
            <w:tcW w:type="dxa" w:w="5411"/>
            <w:tcBorders>
              <w:top w:val="none" w:color="000000" w:sz="4"/>
              <w:left w:val="single" w:color="000000" w:sz="4"/>
              <w:bottom w:val="single" w:color="000000" w:sz="4"/>
              <w:right w:val="single" w:color="000000" w:sz="4"/>
            </w:tcBorders>
            <w:vAlign w:val="top"/>
          </w:tcPr>
          <w:p>
            <w:pPr>
              <w:jc w:val="both"/>
            </w:pPr>
            <w:r>
              <w:rPr>
                <w:sz w:val="21"/>
              </w:rPr>
              <w:t>受到医院领导</w:t>
            </w:r>
            <w:r>
              <w:rPr>
                <w:sz w:val="21"/>
              </w:rPr>
              <w:t>/职能部门/科室主任、护士长表扬的奖100元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患者及家属赠送表扬信的，奖</w:t>
            </w:r>
            <w:r>
              <w:rPr>
                <w:sz w:val="21"/>
              </w:rPr>
              <w:t>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视情节奖励</w:t>
            </w:r>
            <w:r>
              <w:rPr>
                <w:sz w:val="21"/>
              </w:rPr>
              <w:t>50-200元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2"/>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5411"/>
            <w:tcBorders>
              <w:top w:val="none" w:color="000000" w:sz="4"/>
              <w:left w:val="single" w:color="000000" w:sz="4"/>
              <w:bottom w:val="single" w:color="000000" w:sz="4"/>
              <w:right w:val="single" w:color="000000" w:sz="4"/>
            </w:tcBorders>
            <w:vAlign w:val="top"/>
          </w:tcPr>
          <w:p>
            <w:pPr>
              <w:jc w:val="both"/>
            </w:pPr>
            <w:r>
              <w:rPr>
                <w:sz w:val="21"/>
              </w:rPr>
              <w:t>就管理流程、管理办法、陪护</w:t>
            </w:r>
            <w:r>
              <w:rPr>
                <w:sz w:val="21"/>
              </w:rPr>
              <w:t>/清洁质量等提出合理化建议，一经采用，奖100-200元</w:t>
            </w:r>
          </w:p>
        </w:tc>
      </w:tr>
    </w:tbl>
    <w:p>
      <w:pPr>
        <w:jc w:val="both"/>
      </w:pPr>
      <w:r>
        <w:rPr>
          <w:sz w:val="21"/>
        </w:rPr>
        <w:t>六、知识产权归属</w:t>
      </w:r>
    </w:p>
    <w:p>
      <w:pPr>
        <w:jc w:val="both"/>
      </w:pPr>
      <w:r>
        <w:rPr>
          <w:sz w:val="21"/>
        </w:rPr>
        <w:t>七、保密</w:t>
      </w:r>
    </w:p>
    <w:p>
      <w:pPr>
        <w:jc w:val="both"/>
      </w:pPr>
      <w:r>
        <w:rPr>
          <w:sz w:val="21"/>
        </w:rPr>
        <w:t>八、违约责任与赔偿损失</w:t>
      </w:r>
    </w:p>
    <w:p>
      <w:pPr>
        <w:jc w:val="both"/>
      </w:pPr>
      <w:r>
        <w:rPr>
          <w:sz w:val="21"/>
        </w:rPr>
        <w:t>1</w:t>
      </w:r>
      <w:r>
        <w:rPr>
          <w:sz w:val="21"/>
        </w:rPr>
        <w:t>、</w:t>
      </w:r>
      <w:r>
        <w:rPr>
          <w:sz w:val="21"/>
        </w:rPr>
        <w:t>乙方提供的服务不符合本合同规定的，甲方有权拒收，并且乙方须向甲方方支付本合同总价</w:t>
      </w:r>
      <w:r>
        <w:rPr>
          <w:sz w:val="21"/>
        </w:rPr>
        <w:t>5%的违约金。</w:t>
      </w:r>
    </w:p>
    <w:p>
      <w:pPr>
        <w:jc w:val="both"/>
      </w:pPr>
      <w:r>
        <w:rPr>
          <w:sz w:val="21"/>
        </w:rPr>
        <w:t>2</w:t>
      </w:r>
      <w:r>
        <w:rPr>
          <w:sz w:val="21"/>
        </w:rPr>
        <w:t>、</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严格执行保安服务方案书中规定的保安服务职责及服务规范。</w:t>
      </w:r>
    </w:p>
    <w:p>
      <w:pPr>
        <w:jc w:val="both"/>
      </w:pPr>
      <w:r>
        <w:rPr>
          <w:sz w:val="21"/>
        </w:rPr>
        <w:t>4、</w:t>
      </w:r>
      <w:r>
        <w:rPr>
          <w:sz w:val="21"/>
        </w:rPr>
        <w:t>乙方派驻甲方的工作人员必须穿着公司统一制服及佩戴工作牌，遵守甲方的纪律和制度做到安全作业，不得擅离职守，不得损坏甲方财物。</w:t>
      </w:r>
    </w:p>
    <w:p>
      <w:pPr>
        <w:jc w:val="both"/>
      </w:pPr>
      <w:r>
        <w:rPr>
          <w:sz w:val="21"/>
        </w:rPr>
        <w:t>5、</w:t>
      </w:r>
      <w:r>
        <w:rPr>
          <w:sz w:val="21"/>
        </w:rPr>
        <w:t>负责提供保安服务所需的工具及通讯设备（不包括值班室监控设备）。</w:t>
      </w:r>
    </w:p>
    <w:p>
      <w:pPr>
        <w:jc w:val="both"/>
      </w:pPr>
      <w:r>
        <w:rPr>
          <w:sz w:val="21"/>
        </w:rPr>
        <w:t>6、</w:t>
      </w:r>
      <w:r>
        <w:rPr>
          <w:sz w:val="21"/>
        </w:rPr>
        <w:t>负责提供保安员的工资、社保、劳保费用以及经营中发生的一切费用。并应当依照《劳动合同法》等相应法律法规的规定，为其全部的保安员签订劳动合同、办理社保等手续待遇。甲方有权查阅乙方提供的保安员的相关资料（包括取得其复印件），以便于管理和掌握情况。</w:t>
      </w:r>
    </w:p>
    <w:p>
      <w:pPr>
        <w:jc w:val="both"/>
      </w:pPr>
      <w:r>
        <w:rPr>
          <w:sz w:val="21"/>
        </w:rPr>
        <w:t>7、</w:t>
      </w:r>
      <w:r>
        <w:rPr>
          <w:sz w:val="21"/>
        </w:rPr>
        <w:t>甲方无正当理由拒收接受服务，到期拒付服务款项的，甲方向乙方偿付本合同总的</w:t>
      </w:r>
      <w:r>
        <w:rPr>
          <w:sz w:val="21"/>
        </w:rPr>
        <w:t>5%的违约金。甲方人逾期付款，则每日按本合同总价的3‰向乙方偿付违约金。</w:t>
      </w:r>
    </w:p>
    <w:p>
      <w:pPr>
        <w:ind w:firstLine="420"/>
        <w:jc w:val="both"/>
      </w:pPr>
      <w:r>
        <w:rPr>
          <w:sz w:val="21"/>
        </w:rPr>
        <w:t>8</w:t>
      </w:r>
      <w:r>
        <w:rPr>
          <w:sz w:val="21"/>
        </w:rPr>
        <w:t>、</w:t>
      </w:r>
      <w:r>
        <w:rPr>
          <w:sz w:val="21"/>
        </w:rPr>
        <w:t>若其中一方违约，对方有权违约方追索损失赔偿；如符合上述解除、终止合同情况的，守约方还有权依法依约定解除终止本合同。</w:t>
      </w:r>
    </w:p>
    <w:p>
      <w:pPr>
        <w:ind w:firstLine="420"/>
        <w:jc w:val="both"/>
      </w:pPr>
      <w:r>
        <w:rPr>
          <w:sz w:val="21"/>
        </w:rPr>
        <w:t>9</w:t>
      </w:r>
      <w:r>
        <w:rPr>
          <w:sz w:val="21"/>
        </w:rPr>
        <w:t>、</w:t>
      </w:r>
      <w:r>
        <w:rPr>
          <w:sz w:val="21"/>
        </w:rPr>
        <w:t>如乙方违反本合同约定，未依法为其保安员办理相关劳动社保手续的，或拖欠其劳动报酬或其他补贴费用的，乙方作为其保安员的用人单位，承担最终的法律责任；若甲方因此而向乙方的保安员或对其他单位承担经济责任或连带责任的，乙方有权向甲方追偿。</w:t>
      </w:r>
      <w:r>
        <w:rPr>
          <w:sz w:val="21"/>
        </w:rPr>
        <w:t>”</w:t>
      </w:r>
    </w:p>
    <w:p>
      <w:pPr>
        <w:ind w:firstLine="420"/>
        <w:jc w:val="both"/>
      </w:pPr>
      <w:r>
        <w:rPr>
          <w:sz w:val="21"/>
        </w:rPr>
        <w:t>10、</w:t>
      </w:r>
      <w:r>
        <w:rPr>
          <w:sz w:val="21"/>
        </w:rPr>
        <w:t>其它违约责任按《中华人民共和国民法典》处理。</w:t>
      </w:r>
    </w:p>
    <w:p>
      <w:pPr>
        <w:jc w:val="both"/>
      </w:pPr>
      <w:r>
        <w:rPr>
          <w:sz w:val="21"/>
        </w:rPr>
        <w:t>九</w:t>
      </w:r>
      <w:r>
        <w:rPr>
          <w:sz w:val="21"/>
        </w:rPr>
        <w:t>、协议解除及终止</w:t>
      </w:r>
    </w:p>
    <w:p>
      <w:pPr>
        <w:jc w:val="both"/>
      </w:pPr>
      <w:r>
        <w:rPr>
          <w:sz w:val="21"/>
        </w:rPr>
        <w:t>1、</w:t>
      </w:r>
      <w:r>
        <w:rPr>
          <w:sz w:val="21"/>
        </w:rPr>
        <w:t>若乙方考核期内一年有两次少于</w:t>
      </w:r>
      <w:r>
        <w:rPr>
          <w:sz w:val="21"/>
        </w:rPr>
        <w:t>70分的，医院有权与乙方解除合同并追究相应责任。特殊岗位人员，发生恶性事件者，立即辞退，并赔偿相应损失。</w:t>
      </w:r>
    </w:p>
    <w:p>
      <w:pPr>
        <w:jc w:val="both"/>
      </w:pPr>
      <w:r>
        <w:rPr>
          <w:sz w:val="21"/>
        </w:rPr>
        <w:t>2、乙方在未征得甲方同意而无故停止工作按毁约论，甲方有权向乙方要求赔偿所造成的一切损失。</w:t>
      </w:r>
    </w:p>
    <w:p>
      <w:pPr>
        <w:jc w:val="both"/>
      </w:pPr>
      <w:r>
        <w:rPr>
          <w:sz w:val="21"/>
        </w:rPr>
        <w:t>3、甲乙任何一方非因本条约定的第1点情况而提前解除合同的，提前解除的提出方应至少提前三个月以书面形式通知对方，本合同可得以提前解除；提出解除方应当同时再赔偿对方一个月的服务费作为提前解除合同的补偿；合同因此而解除的，双方的债权债务关系在清算完结前继续存在。</w:t>
      </w:r>
    </w:p>
    <w:p>
      <w:pPr>
        <w:jc w:val="both"/>
      </w:pPr>
      <w:r>
        <w:rPr>
          <w:sz w:val="21"/>
        </w:rPr>
        <w:t>4、合同到期前</w:t>
      </w:r>
      <w:r>
        <w:rPr>
          <w:sz w:val="21"/>
        </w:rPr>
        <w:t>2</w:t>
      </w:r>
      <w:r>
        <w:rPr>
          <w:sz w:val="21"/>
        </w:rPr>
        <w:t>月内，甲方按规范流程重新采购安保服务。如果乙方不中标，或甲乙任何一方无意与对方继续签订保安服务合同的，本合同到期时，本合同终止</w:t>
      </w:r>
      <w:r>
        <w:rPr>
          <w:sz w:val="21"/>
        </w:rPr>
        <w:t>。</w:t>
      </w:r>
    </w:p>
    <w:p>
      <w:pPr>
        <w:jc w:val="both"/>
      </w:pPr>
      <w:r>
        <w:rPr>
          <w:sz w:val="21"/>
        </w:rPr>
        <w:t>5、服务人员工资要求：乙方所雇用服务人员的基本工资（不包括员工社保、医保、福利以及加班工资等）不能低于东莞市规定的最低工资标准。乙方必须承诺不能发生拖欠员工工资的问题，一经发现，医院有权解除合同。</w:t>
      </w:r>
    </w:p>
    <w:p>
      <w:pPr>
        <w:jc w:val="both"/>
      </w:pPr>
      <w:r>
        <w:rPr>
          <w:sz w:val="21"/>
        </w:rPr>
        <w:t>十</w:t>
      </w:r>
      <w:r>
        <w:rPr>
          <w:sz w:val="21"/>
        </w:rPr>
        <w:t>、争议的解决</w:t>
      </w:r>
    </w:p>
    <w:p>
      <w:pPr>
        <w:ind w:firstLine="420"/>
        <w:jc w:val="both"/>
      </w:pPr>
      <w:r>
        <w:rPr>
          <w:sz w:val="21"/>
        </w:rPr>
        <w:t>合同执行过程中发生的任何争议，甲乙双方应首先通过友好协商解决</w:t>
      </w:r>
      <w:r>
        <w:rPr>
          <w:sz w:val="21"/>
        </w:rPr>
        <w:t>；</w:t>
      </w:r>
      <w:r>
        <w:rPr>
          <w:sz w:val="21"/>
        </w:rPr>
        <w:t>如双方不能通过友好协商解决，任何一方可以向甲方所在地人民法院提出诉讼。</w:t>
      </w:r>
    </w:p>
    <w:p>
      <w:pPr>
        <w:jc w:val="both"/>
      </w:pPr>
      <w:r>
        <w:rPr>
          <w:sz w:val="21"/>
        </w:rPr>
        <w:t>十</w:t>
      </w:r>
      <w:r>
        <w:rPr>
          <w:sz w:val="21"/>
        </w:rPr>
        <w:t>一</w:t>
      </w:r>
      <w:r>
        <w:rPr>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w:t>
      </w:r>
      <w:r>
        <w:rPr>
          <w:sz w:val="21"/>
        </w:rPr>
        <w:t>二</w:t>
      </w:r>
      <w:r>
        <w:rPr>
          <w:sz w:val="21"/>
        </w:rPr>
        <w:t>、税费</w:t>
      </w:r>
    </w:p>
    <w:p>
      <w:pPr>
        <w:jc w:val="both"/>
      </w:pPr>
      <w:r>
        <w:rPr>
          <w:sz w:val="21"/>
        </w:rPr>
        <w:t>　　在中国境内、外发生的与本合同执行有关的一切税费均由乙方负担。</w:t>
      </w:r>
    </w:p>
    <w:p>
      <w:pPr>
        <w:jc w:val="both"/>
      </w:pPr>
      <w:r>
        <w:rPr>
          <w:sz w:val="21"/>
        </w:rPr>
        <w:t>十</w:t>
      </w:r>
      <w:r>
        <w:rPr>
          <w:sz w:val="21"/>
        </w:rPr>
        <w:t>三</w:t>
      </w:r>
      <w:r>
        <w:rPr>
          <w:sz w:val="21"/>
        </w:rPr>
        <w:t>、其它</w:t>
      </w:r>
    </w:p>
    <w:p>
      <w:pPr>
        <w:jc w:val="both"/>
      </w:pPr>
      <w:r>
        <w:rPr>
          <w:sz w:val="21"/>
        </w:rPr>
        <w:t>1</w:t>
      </w:r>
      <w:r>
        <w:rPr>
          <w:sz w:val="21"/>
        </w:rPr>
        <w:t>、</w:t>
      </w:r>
      <w:r>
        <w:rPr>
          <w:sz w:val="21"/>
        </w:rPr>
        <w:t>本合同所有附件、招标文件、投标文件、中标通知书均为合同的有效组成部分，与本合同具有同等法律效力。</w:t>
      </w:r>
    </w:p>
    <w:p>
      <w:pPr>
        <w:jc w:val="both"/>
      </w:pPr>
      <w:r>
        <w:rPr>
          <w:sz w:val="21"/>
        </w:rPr>
        <w:t>2</w:t>
      </w:r>
      <w:r>
        <w:rPr>
          <w:sz w:val="21"/>
        </w:rPr>
        <w:t>、</w:t>
      </w:r>
      <w:r>
        <w:rPr>
          <w:sz w:val="21"/>
        </w:rPr>
        <w:t>在执行本合同的过程中，所有经双方签署确认的文件（包括会议纪要、补充协议、往来信函）即成为本合同的有效组成部分。</w:t>
      </w:r>
    </w:p>
    <w:p>
      <w:pPr>
        <w:jc w:val="both"/>
      </w:pPr>
      <w:r>
        <w:rPr>
          <w:sz w:val="21"/>
        </w:rPr>
        <w:t>3</w:t>
      </w:r>
      <w:r>
        <w:rPr>
          <w:sz w:val="21"/>
        </w:rPr>
        <w:t>、</w:t>
      </w:r>
      <w:r>
        <w:rPr>
          <w:sz w:val="21"/>
        </w:rPr>
        <w:t>如一方地址、电话、传真号码有变更，应在变更当日内书面通知对方，否则，应承担相应责任。</w:t>
      </w:r>
    </w:p>
    <w:p>
      <w:pPr>
        <w:jc w:val="both"/>
      </w:pPr>
      <w:r>
        <w:rPr>
          <w:sz w:val="21"/>
        </w:rPr>
        <w:t>4</w:t>
      </w:r>
      <w:r>
        <w:rPr>
          <w:sz w:val="21"/>
        </w:rPr>
        <w:t>、</w:t>
      </w:r>
      <w:r>
        <w:rPr>
          <w:sz w:val="21"/>
        </w:rPr>
        <w:t>除甲方事先书面同意外，乙方不得部分或全部转让其应履行的合同项下的义务。</w:t>
      </w:r>
    </w:p>
    <w:p>
      <w:pPr>
        <w:jc w:val="both"/>
      </w:pPr>
      <w:r>
        <w:rPr>
          <w:sz w:val="21"/>
        </w:rPr>
        <w:t>十</w:t>
      </w:r>
      <w:r>
        <w:rPr>
          <w:sz w:val="21"/>
        </w:rPr>
        <w:t>四</w:t>
      </w:r>
      <w:r>
        <w:rPr>
          <w:sz w:val="21"/>
        </w:rPr>
        <w:t>、合同生效</w:t>
      </w:r>
    </w:p>
    <w:p>
      <w:pPr>
        <w:jc w:val="both"/>
      </w:pPr>
      <w:r>
        <w:rPr>
          <w:sz w:val="21"/>
        </w:rPr>
        <w:t>1</w:t>
      </w:r>
      <w:r>
        <w:rPr>
          <w:sz w:val="21"/>
        </w:rPr>
        <w:t>、</w:t>
      </w:r>
      <w:r>
        <w:rPr>
          <w:sz w:val="21"/>
        </w:rPr>
        <w:t>本合同在甲乙双方法人代表或其授权代表签字盖章后生效。</w:t>
      </w:r>
    </w:p>
    <w:p>
      <w:pPr>
        <w:jc w:val="both"/>
      </w:pPr>
      <w:r>
        <w:rPr>
          <w:sz w:val="21"/>
        </w:rPr>
        <w:t>2</w:t>
      </w:r>
      <w:r>
        <w:rPr>
          <w:sz w:val="21"/>
        </w:rPr>
        <w:t>、</w:t>
      </w:r>
      <w:r>
        <w:rPr>
          <w:sz w:val="21"/>
        </w:rPr>
        <w:t>合同一式</w:t>
      </w:r>
      <w:r>
        <w:rPr>
          <w:sz w:val="21"/>
        </w:rPr>
        <w:t xml:space="preserve">   </w:t>
      </w:r>
      <w:r>
        <w:rPr>
          <w:sz w:val="21"/>
        </w:rPr>
        <w:t>份。</w:t>
      </w:r>
    </w:p>
    <w:p>
      <w:pPr>
        <w:jc w:val="both"/>
      </w:pPr>
      <w:r>
        <w:rPr>
          <w:sz w:val="21"/>
        </w:rPr>
        <w:t xml:space="preserve"> </w:t>
      </w: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441900014-2023-00799</w:t>
      </w:r>
    </w:p>
    <w:p>
      <w:pPr>
        <w:jc w:val="center"/>
      </w:pPr>
      <w:r>
        <w:rPr>
          <w:b/>
          <w:sz w:val="24"/>
        </w:rPr>
        <w:t>采购项目编号：</w:t>
      </w:r>
      <w:r>
        <w:rPr>
          <w:b/>
          <w:sz w:val="24"/>
        </w:rPr>
        <w:t>441900014-2023-00799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东莞市横沥医院安保服务项目</w:t>
      </w:r>
      <w:r>
        <w:rPr>
          <w:u w:val="single"/>
        </w:rPr>
        <w:t>”</w:t>
      </w:r>
      <w:r>
        <w:rPr/>
        <w:t>项目的招标[采购项目编号为：</w:t>
      </w:r>
      <w:r>
        <w:rPr>
          <w:u w:val="single"/>
        </w:rPr>
        <w:t>441900014-2023-00799</w:t>
      </w:r>
      <w:r>
        <w:rPr/>
        <w:t>]，我方愿参与投标。</w:t>
      </w:r>
    </w:p>
    <w:p>
      <w:pPr>
        <w:ind w:firstLine="480"/>
      </w:pPr>
      <w:r>
        <w:rPr/>
        <w:t>我方确认收到贵方提供的</w:t>
      </w:r>
      <w:r>
        <w:rPr>
          <w:u w:val="single"/>
        </w:rPr>
        <w:t>“</w:t>
      </w:r>
      <w:r>
        <w:rPr>
          <w:u w:val="single"/>
        </w:rPr>
        <w:t>东莞市横沥医院安保服务项目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东莞市横沥医院安保服务项目</w:t>
      </w:r>
      <w:r>
        <w:rPr/>
        <w:t>”项目采购[采购项目编号为</w:t>
      </w:r>
      <w:r>
        <w:rPr/>
        <w:t>441900014-2023-00799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东莞市横沥医院安保服务项目</w:t>
      </w:r>
      <w:r>
        <w:rPr/>
        <w:t>招标中获中标（采购项目编号：</w:t>
      </w:r>
      <w:r>
        <w:rPr/>
        <w:t>441900014-2023-00799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东莞市横沥医院安保服务项目</w:t>
      </w:r>
      <w:r>
        <w:rPr/>
        <w:t>”项目（采购项目编号：</w:t>
      </w:r>
      <w:r>
        <w:rPr/>
        <w:t>441900014-2023-00799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