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color w:val="auto"/>
          <w:sz w:val="32"/>
          <w:szCs w:val="32"/>
          <w:highlight w:val="none"/>
          <w:lang w:val="en-US" w:eastAsia="zh-CN"/>
        </w:rPr>
      </w:pPr>
    </w:p>
    <w:p>
      <w:pPr>
        <w:jc w:val="center"/>
        <w:rPr>
          <w:b/>
          <w:color w:val="auto"/>
          <w:sz w:val="72"/>
          <w:szCs w:val="32"/>
          <w:highlight w:val="none"/>
        </w:rPr>
      </w:pPr>
      <w:r>
        <w:rPr>
          <w:rFonts w:hint="eastAsia" w:ascii="黑体" w:eastAsia="黑体"/>
          <w:b/>
          <w:color w:val="auto"/>
          <w:sz w:val="72"/>
          <w:szCs w:val="32"/>
          <w:highlight w:val="none"/>
          <w:lang w:val="en-US" w:eastAsia="zh-CN"/>
        </w:rPr>
        <w:t>公开招标</w:t>
      </w:r>
      <w:r>
        <w:rPr>
          <w:rFonts w:hint="eastAsia" w:ascii="黑体" w:eastAsia="黑体"/>
          <w:b/>
          <w:color w:val="auto"/>
          <w:sz w:val="72"/>
          <w:szCs w:val="32"/>
          <w:highlight w:val="none"/>
        </w:rPr>
        <w:t>文件</w:t>
      </w:r>
    </w:p>
    <w:p>
      <w:pPr>
        <w:pStyle w:val="7"/>
        <w:jc w:val="center"/>
        <w:rPr>
          <w:rFonts w:hint="eastAsia" w:ascii="黑体" w:eastAsia="黑体"/>
          <w:color w:val="auto"/>
          <w:szCs w:val="21"/>
          <w:highlight w:val="none"/>
          <w:lang w:eastAsia="zh-CN"/>
        </w:rPr>
      </w:pPr>
      <w:r>
        <w:rPr>
          <w:rFonts w:hint="eastAsia" w:ascii="黑体" w:eastAsia="黑体"/>
          <w:color w:val="auto"/>
          <w:szCs w:val="21"/>
          <w:highlight w:val="none"/>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2"/>
        <w:rPr>
          <w:rFonts w:hint="eastAsia" w:ascii="黑体" w:eastAsia="黑体"/>
          <w:color w:val="auto"/>
          <w:szCs w:val="21"/>
          <w:highlight w:val="none"/>
          <w:lang w:eastAsia="zh-CN"/>
        </w:rPr>
      </w:pPr>
    </w:p>
    <w:p>
      <w:pPr>
        <w:pStyle w:val="22"/>
        <w:ind w:left="0" w:leftChars="0" w:firstLine="0" w:firstLineChars="0"/>
        <w:rPr>
          <w:rFonts w:hint="eastAsia" w:ascii="黑体" w:eastAsia="黑体"/>
          <w:color w:val="auto"/>
          <w:szCs w:val="21"/>
          <w:highlight w:val="none"/>
          <w:lang w:eastAsia="zh-CN"/>
        </w:rPr>
      </w:pPr>
    </w:p>
    <w:p>
      <w:pPr>
        <w:pStyle w:val="22"/>
        <w:ind w:left="0" w:leftChars="0" w:firstLine="0" w:firstLineChars="0"/>
        <w:rPr>
          <w:rFonts w:hint="eastAsia" w:ascii="黑体" w:eastAsia="黑体"/>
          <w:color w:val="auto"/>
          <w:szCs w:val="21"/>
          <w:highlight w:val="none"/>
          <w:lang w:eastAsia="zh-CN"/>
        </w:rPr>
      </w:pPr>
    </w:p>
    <w:tbl>
      <w:tblPr>
        <w:tblStyle w:val="24"/>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val="en-US" w:eastAsia="zh-CN"/>
              </w:rPr>
              <w:t>项目编号</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GDZT2023158C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饭堂食材配送服务项目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lang w:val="en-US" w:eastAsia="zh-CN"/>
              </w:rPr>
              <w:t>盖章</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东莞市横沥商务服务有限公司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val="en-US" w:eastAsia="zh-CN"/>
              </w:rPr>
              <w:t>招标代理（盖章）：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广东政通招标有限公司</w:t>
            </w:r>
          </w:p>
        </w:tc>
      </w:tr>
    </w:tbl>
    <w:p>
      <w:pPr>
        <w:jc w:val="both"/>
        <w:rPr>
          <w:rFonts w:ascii="黑体" w:eastAsia="黑体"/>
          <w:color w:val="auto"/>
          <w:szCs w:val="21"/>
          <w:highlight w:val="none"/>
        </w:rPr>
      </w:pPr>
    </w:p>
    <w:p>
      <w:pPr>
        <w:pStyle w:val="20"/>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温馨提示</w:t>
      </w:r>
    </w:p>
    <w:p>
      <w:pPr>
        <w:spacing w:line="480" w:lineRule="auto"/>
        <w:rPr>
          <w:rFonts w:ascii="宋体" w:hAnsi="宋体" w:cs="宋体"/>
          <w:b/>
          <w:color w:val="auto"/>
          <w:szCs w:val="21"/>
          <w:highlight w:val="none"/>
        </w:rPr>
      </w:pPr>
      <w:r>
        <w:rPr>
          <w:rFonts w:hint="eastAsia" w:ascii="宋体" w:hAnsi="宋体" w:cs="宋体"/>
          <w:b/>
          <w:color w:val="auto"/>
          <w:szCs w:val="21"/>
          <w:highlight w:val="none"/>
        </w:rPr>
        <w:t>（本提示内容非磋商文件的组成部分，仅起提醒作用；如有不一致，以磋商文件为准）</w:t>
      </w:r>
    </w:p>
    <w:p>
      <w:pPr>
        <w:pStyle w:val="34"/>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1、请各供应商在制作响应文件时认真阅读本磋商文件的内容。</w:t>
      </w:r>
    </w:p>
    <w:p>
      <w:pPr>
        <w:pStyle w:val="34"/>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2、建议供应商将响应文件正本、副本、报价信封分别密封包装，并按照磋商文件“第四部分 供应商须知 第四章响应文件的递交”中相关要求进行提交，避免因密封包装不符合要求而导致响应文件被退回。</w:t>
      </w:r>
    </w:p>
    <w:p>
      <w:pPr>
        <w:pStyle w:val="34"/>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3、请正确填写《报价一览表》。多包项目请仔细检查包组号，包组号跟包组名称必须一致。</w:t>
      </w:r>
    </w:p>
    <w:p>
      <w:pPr>
        <w:pStyle w:val="34"/>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4、响应文件应编制目录及按顺序编制页码。</w:t>
      </w:r>
    </w:p>
    <w:p>
      <w:pPr>
        <w:pStyle w:val="34"/>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5、请仔细检查响应文件是否已按磋商文件盖章、签名(或盖私章)、签署日期。</w:t>
      </w:r>
    </w:p>
    <w:p>
      <w:pPr>
        <w:pStyle w:val="34"/>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6、加★号条款必须完全响应，不响应或负偏离将导致响应文件无效。</w:t>
      </w:r>
    </w:p>
    <w:p>
      <w:pPr>
        <w:pStyle w:val="34"/>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7、为避免因迟到而无法按时递交响应文件，供应商应自行计算路途可能出现塞车的时间，建议在响应文件递交截止时间之前30分钟内到达开标地点，响应截止时间一到，本公司不接收任何响应文件。</w:t>
      </w:r>
    </w:p>
    <w:p>
      <w:pPr>
        <w:pStyle w:val="34"/>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8、为了提高采购效率，节约社会交易成本与时间，希望领购了磋商文件而决定不参加本项目的供应商，在响应文件递交截止时间的2日前，按《磋商邀请函》中的联系方式，以书面形式告知采购代理机构。对您的支持与配合，谨此致谢。</w:t>
      </w:r>
    </w:p>
    <w:p>
      <w:pPr>
        <w:pStyle w:val="34"/>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9、公司位置：</w:t>
      </w:r>
    </w:p>
    <w:p>
      <w:pPr>
        <w:pStyle w:val="20"/>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color w:val="auto"/>
          <w:sz w:val="40"/>
          <w:szCs w:val="40"/>
          <w:highlight w:val="none"/>
        </w:rPr>
        <w:drawing>
          <wp:inline distT="0" distB="0" distL="114300" distR="114300">
            <wp:extent cx="5266690" cy="2573655"/>
            <wp:effectExtent l="0" t="0" r="10160" b="17145"/>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73655"/>
                    </a:xfrm>
                    <a:prstGeom prst="rect">
                      <a:avLst/>
                    </a:prstGeom>
                  </pic:spPr>
                </pic:pic>
              </a:graphicData>
            </a:graphic>
          </wp:inline>
        </w:drawing>
      </w:r>
    </w:p>
    <w:p>
      <w:pPr>
        <w:pStyle w:val="20"/>
        <w:keepNext w:val="0"/>
        <w:keepLines w:val="0"/>
        <w:pageBreakBefore w:val="0"/>
        <w:widowControl/>
        <w:kinsoku/>
        <w:wordWrap/>
        <w:overflowPunct/>
        <w:topLinePunct w:val="0"/>
        <w:autoSpaceDE/>
        <w:autoSpaceDN/>
        <w:bidi w:val="0"/>
        <w:adjustRightInd w:val="0"/>
        <w:snapToGrid w:val="0"/>
        <w:ind w:left="0" w:leftChars="0"/>
        <w:textAlignment w:val="auto"/>
        <w:rPr>
          <w:rFonts w:hint="eastAsia"/>
          <w:color w:val="auto"/>
          <w:sz w:val="40"/>
          <w:szCs w:val="40"/>
          <w:highlight w:val="none"/>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20"/>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highlight w:val="none"/>
        </w:rPr>
      </w:pPr>
      <w:r>
        <w:rPr>
          <w:rFonts w:hint="eastAsia"/>
          <w:color w:val="auto"/>
          <w:sz w:val="40"/>
          <w:szCs w:val="40"/>
          <w:highlight w:val="none"/>
        </w:rPr>
        <w:t>目录</w:t>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第一部分 投标邀请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_Toc7123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投标邀请书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_Toc7123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第二部分 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_Toc5749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第三部分 评分权重分配表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_Toc5749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_Toc21613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商务技术评分及价格权重细则表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_Toc21613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部分 投标人须知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_Toc11105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w:t>
      </w:r>
      <w:r>
        <w:rPr>
          <w:rFonts w:hint="eastAsia" w:ascii="宋体" w:hAnsi="宋体" w:eastAsia="宋体" w:cs="宋体"/>
          <w:color w:val="auto"/>
          <w:sz w:val="21"/>
          <w:szCs w:val="21"/>
          <w:highlight w:val="none"/>
        </w:rPr>
        <w:t>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_Toc11105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_Toc22803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1.适用范围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_Toc22803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_Toc21002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2.定义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_Toc21002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3.货物和服务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_Toc12536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4.投标费用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_Toc12536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_Toc19094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5.知识产权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_Toc19094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_Toc8432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6.关于联合体投标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_Toc8432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_Toc13811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7.关于分支机构投标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_Toc13811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_Toc27045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w:t>
      </w:r>
      <w:r>
        <w:rPr>
          <w:rFonts w:hint="eastAsia" w:ascii="宋体" w:hAnsi="宋体" w:eastAsia="宋体" w:cs="宋体"/>
          <w:color w:val="auto"/>
          <w:sz w:val="21"/>
          <w:szCs w:val="21"/>
          <w:highlight w:val="none"/>
        </w:rPr>
        <w:t>招标文件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_Toc27045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8.招标文件的组成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9.招标文件的澄清或修改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_Toc4773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w:t>
      </w:r>
      <w:r>
        <w:rPr>
          <w:rFonts w:hint="eastAsia" w:ascii="宋体" w:hAnsi="宋体" w:eastAsia="宋体" w:cs="宋体"/>
          <w:color w:val="auto"/>
          <w:sz w:val="21"/>
          <w:szCs w:val="21"/>
          <w:highlight w:val="none"/>
        </w:rPr>
        <w:t>投标文件的编制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_Toc4773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10.投标文件的语言及度量衡单位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_Toc7728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11.投标文件的组成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_Toc7728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12.投标文件编制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_Toc7847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13.投标报价说明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_Toc7847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_Toc18911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14.投标人所提供的服务或货物的证明文件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_Toc18911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15.投标有效期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_Toc25817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16.投标保证金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_Toc25817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_Toc24109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w:t>
      </w:r>
      <w:r>
        <w:rPr>
          <w:rFonts w:hint="eastAsia" w:ascii="宋体" w:hAnsi="宋体" w:eastAsia="宋体" w:cs="宋体"/>
          <w:color w:val="auto"/>
          <w:sz w:val="21"/>
          <w:szCs w:val="21"/>
          <w:highlight w:val="none"/>
        </w:rPr>
        <w:t>投标文件的递交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_Toc24109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17.投标文件的装订，签署，密封和标记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18.迟交的投标文件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_Toc8526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19.投标样品（如需提交）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_Toc8526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_Toc23477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20.投标截止期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_Toc23477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_Toc15569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21.投标文件的补充、修改与撤回</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_Toc15569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_Toc5049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w:t>
      </w:r>
      <w:r>
        <w:rPr>
          <w:rFonts w:hint="eastAsia" w:ascii="宋体" w:hAnsi="宋体" w:eastAsia="宋体" w:cs="宋体"/>
          <w:color w:val="auto"/>
          <w:sz w:val="21"/>
          <w:szCs w:val="21"/>
          <w:highlight w:val="none"/>
        </w:rPr>
        <w:t>开标与评标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_Toc5049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_Toc24251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22.开标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_Toc24251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_Toc4921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23.评标委员会及评标方法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_Toc4921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_Toc26402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24.评审原则及评标过程的保密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_Toc26402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_Toc16745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25.投标文件的初审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_Toc16745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_Toc29184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26.商务、技术、价格评审（具体评审项目详见投标资料表）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_Toc29184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_Toc12115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.纪律和保密事项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_Toc12115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_Toc5528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第六章</w:t>
      </w:r>
      <w:r>
        <w:rPr>
          <w:rFonts w:hint="eastAsia" w:ascii="宋体" w:hAnsi="宋体" w:eastAsia="宋体" w:cs="宋体"/>
          <w:color w:val="auto"/>
          <w:sz w:val="21"/>
          <w:szCs w:val="21"/>
          <w:highlight w:val="none"/>
        </w:rPr>
        <w:t>授予合同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_Toc5528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_Toc17778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.合同授予标准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_Toc17778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_Toc12440 </w:instrText>
      </w:r>
      <w:r>
        <w:rPr>
          <w:rFonts w:hint="eastAsia" w:ascii="宋体" w:hAnsi="宋体" w:eastAsia="宋体" w:cs="宋体"/>
          <w:color w:val="auto"/>
          <w:sz w:val="21"/>
          <w:szCs w:val="21"/>
          <w:highlight w:val="none"/>
        </w:rPr>
        <w:fldChar w:fldCharType="separate"/>
      </w:r>
      <w:r>
        <w:rPr>
          <w:rFonts w:hint="eastAsia" w:ascii="宋体" w:hAnsi="宋体" w:cs="宋体"/>
          <w:color w:val="auto"/>
          <w:sz w:val="21"/>
          <w:szCs w:val="21"/>
          <w:highlight w:val="none"/>
          <w:lang w:val="en-US" w:eastAsia="zh-CN"/>
        </w:rPr>
        <w:t>29</w:t>
      </w:r>
      <w:r>
        <w:rPr>
          <w:rFonts w:hint="eastAsia" w:ascii="宋体" w:hAnsi="宋体" w:eastAsia="宋体" w:cs="宋体"/>
          <w:color w:val="auto"/>
          <w:sz w:val="21"/>
          <w:szCs w:val="21"/>
          <w:highlight w:val="none"/>
        </w:rPr>
        <w:t>.发布采购结果</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rPr>
        <w:t>.合同的签订与履行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_Toc25756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.履约保证金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_Toc25756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_Toc20699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第七章</w:t>
      </w:r>
      <w:r>
        <w:rPr>
          <w:rFonts w:hint="eastAsia" w:ascii="宋体" w:hAnsi="宋体" w:eastAsia="宋体" w:cs="宋体"/>
          <w:color w:val="auto"/>
          <w:sz w:val="21"/>
          <w:szCs w:val="21"/>
          <w:highlight w:val="none"/>
        </w:rPr>
        <w:t>询问或质疑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_Toc20699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_Toc17974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.询问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_Toc17974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第八章</w:t>
      </w: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_Toc21187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.招标文件的解释权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_Toc21187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部分 用户需求书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 商务需求书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_Toc19316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 技术需求书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_Toc19316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部分 合同格式（仅供参考）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合同格式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部分  投标文件格式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投标文件目录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评分标准索引表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第一章价格文件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_Toc19750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一、唱标一览表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_Toc19750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_Toc31172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二、报价明细表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_Toc31172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_Toc6471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第二章商务文件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_Toc6471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一、投标函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_Toc28616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二、资格申明函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_Toc28616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_Toc32742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三、在参与采购活动前三年未有重大违法记录、没有不良信用记录的声明函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_Toc32742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四、法定代表人证明书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五、法定代表人授权书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_Toc18562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六、投标人基本情况说明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_Toc18562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营业执照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w:t>
      </w:r>
      <w:r>
        <w:rPr>
          <w:rFonts w:hint="eastAsia" w:ascii="宋体" w:hAnsi="宋体" w:eastAsia="宋体" w:cs="宋体"/>
          <w:color w:val="auto"/>
          <w:sz w:val="21"/>
          <w:szCs w:val="21"/>
          <w:highlight w:val="none"/>
        </w:rPr>
        <w:t>特殊资格要求证明文件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w:t>
      </w:r>
      <w:r>
        <w:rPr>
          <w:rFonts w:hint="eastAsia" w:ascii="宋体" w:hAnsi="宋体" w:eastAsia="宋体" w:cs="宋体"/>
          <w:color w:val="auto"/>
          <w:sz w:val="21"/>
          <w:szCs w:val="21"/>
          <w:highlight w:val="none"/>
        </w:rPr>
        <w:t>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_Toc13955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十、招标代理服务费承诺书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_Toc13955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_Toc12598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十一、</w:t>
      </w:r>
      <w:r>
        <w:rPr>
          <w:rFonts w:hint="eastAsia" w:ascii="宋体" w:hAnsi="宋体" w:eastAsia="宋体" w:cs="宋体"/>
          <w:color w:val="auto"/>
          <w:sz w:val="21"/>
          <w:szCs w:val="21"/>
          <w:highlight w:val="none"/>
        </w:rPr>
        <w:t>商务条款偏离表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_Toc12598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_Toc19276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十二、</w:t>
      </w:r>
      <w:r>
        <w:rPr>
          <w:rFonts w:hint="eastAsia" w:ascii="宋体" w:hAnsi="宋体" w:eastAsia="宋体" w:cs="宋体"/>
          <w:color w:val="auto"/>
          <w:sz w:val="21"/>
          <w:szCs w:val="21"/>
          <w:highlight w:val="none"/>
        </w:rPr>
        <w:t>业绩表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_Toc19276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_Toc20520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第三章技术文件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_Toc20520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_Toc13097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技术规格偏离表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_Toc13097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_Toc13461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重要技术参数（▲）响应表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_Toc13461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实质性条款（标记★）投标响应表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_Toc21519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_Toc21519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五、项目负责人及团队成员资料表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_Toc26980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六、投标货物明细一览表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_Toc26980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七、投标保证金汇入情况说明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八、采购投标担保函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九、采购履约担保函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_Toc26772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第四章唱标信封（单独封装）</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_Toc26772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color w:val="auto"/>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第五章联合体共同投标协议书（如有需要）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tabs>
          <w:tab w:val="right" w:leader="dot" w:pos="8306"/>
          <w:tab w:val="clear" w:pos="8296"/>
        </w:tabs>
        <w:spacing w:after="0" w:line="360" w:lineRule="auto"/>
        <w:ind w:left="0" w:leftChars="0"/>
        <w:jc w:val="both"/>
        <w:rPr>
          <w:rFonts w:cs="宋体"/>
          <w:color w:val="auto"/>
          <w:szCs w:val="21"/>
          <w:highlight w:val="none"/>
        </w:rPr>
      </w:pPr>
      <w:r>
        <w:rPr>
          <w:rFonts w:cs="宋体"/>
          <w:color w:val="auto"/>
          <w:szCs w:val="21"/>
          <w:highlight w:val="none"/>
        </w:rPr>
        <w:fldChar w:fldCharType="end"/>
      </w:r>
    </w:p>
    <w:p>
      <w:pPr>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pPr>
        <w:pStyle w:val="3"/>
        <w:spacing w:before="0" w:after="0" w:line="240" w:lineRule="auto"/>
        <w:rPr>
          <w:color w:val="auto"/>
          <w:sz w:val="28"/>
          <w:szCs w:val="28"/>
          <w:highlight w:val="none"/>
        </w:rPr>
      </w:pPr>
      <w:bookmarkStart w:id="0" w:name="_Toc2456"/>
      <w:bookmarkStart w:id="1" w:name="_Toc17306"/>
      <w:r>
        <w:rPr>
          <w:rFonts w:hint="eastAsia"/>
          <w:color w:val="auto"/>
          <w:sz w:val="28"/>
          <w:szCs w:val="28"/>
          <w:highlight w:val="none"/>
        </w:rPr>
        <w:t>第一部分 投标邀请</w:t>
      </w:r>
      <w:bookmarkEnd w:id="0"/>
      <w:bookmarkEnd w:id="1"/>
    </w:p>
    <w:p>
      <w:pPr>
        <w:pStyle w:val="4"/>
        <w:spacing w:before="0" w:after="0" w:line="360" w:lineRule="auto"/>
        <w:jc w:val="center"/>
        <w:rPr>
          <w:rFonts w:ascii="宋体" w:hAnsi="宋体" w:eastAsia="宋体" w:cs="宋体"/>
          <w:color w:val="auto"/>
          <w:highlight w:val="none"/>
        </w:rPr>
      </w:pPr>
      <w:bookmarkStart w:id="2" w:name="_Toc7123"/>
      <w:bookmarkStart w:id="3" w:name="_Toc1420"/>
      <w:bookmarkStart w:id="4" w:name="_Toc8850"/>
      <w:r>
        <w:rPr>
          <w:rFonts w:hint="eastAsia" w:ascii="宋体" w:hAnsi="宋体" w:eastAsia="宋体" w:cs="宋体"/>
          <w:color w:val="auto"/>
          <w:highlight w:val="none"/>
        </w:rPr>
        <w:t>投标邀请书</w:t>
      </w:r>
      <w:bookmarkEnd w:id="2"/>
      <w:bookmarkEnd w:id="3"/>
      <w:bookmarkEnd w:id="4"/>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广东政通招标有限公司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）受</w:t>
      </w:r>
      <w:r>
        <w:rPr>
          <w:rFonts w:hint="eastAsia" w:ascii="宋体" w:hAnsi="宋体" w:cs="宋体"/>
          <w:b/>
          <w:bCs/>
          <w:color w:val="auto"/>
          <w:sz w:val="21"/>
          <w:szCs w:val="21"/>
          <w:highlight w:val="none"/>
          <w:u w:val="single"/>
          <w:lang w:val="en-US" w:eastAsia="zh-CN"/>
        </w:rPr>
        <w:t>东莞市横沥商务服务有限公司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）委托，</w:t>
      </w:r>
      <w:r>
        <w:rPr>
          <w:rFonts w:hint="eastAsia" w:ascii="宋体" w:hAnsi="宋体" w:eastAsia="宋体"/>
          <w:color w:val="auto"/>
          <w:sz w:val="21"/>
          <w:szCs w:val="21"/>
          <w:highlight w:val="none"/>
        </w:rPr>
        <w:t>现</w:t>
      </w:r>
      <w:r>
        <w:rPr>
          <w:rFonts w:ascii="宋体" w:hAnsi="宋体" w:eastAsia="宋体"/>
          <w:color w:val="auto"/>
          <w:sz w:val="21"/>
          <w:szCs w:val="21"/>
          <w:highlight w:val="none"/>
        </w:rPr>
        <w:t>就</w:t>
      </w:r>
      <w:r>
        <w:rPr>
          <w:rFonts w:hint="eastAsia" w:ascii="宋体" w:hAnsi="宋体" w:cs="宋体"/>
          <w:b/>
          <w:bCs/>
          <w:color w:val="auto"/>
          <w:sz w:val="21"/>
          <w:szCs w:val="21"/>
          <w:highlight w:val="none"/>
          <w:u w:val="single"/>
          <w:lang w:val="en-US" w:eastAsia="zh-CN"/>
        </w:rPr>
        <w:t>饭堂食材配送服务项目</w:t>
      </w:r>
      <w:r>
        <w:rPr>
          <w:rFonts w:hint="eastAsia" w:ascii="宋体" w:hAnsi="宋体" w:eastAsia="宋体" w:cs="Times New Roman"/>
          <w:color w:val="auto"/>
          <w:sz w:val="21"/>
          <w:szCs w:val="21"/>
          <w:highlight w:val="none"/>
        </w:rPr>
        <w:t>进行国内公开招标采购</w:t>
      </w:r>
      <w:r>
        <w:rPr>
          <w:rFonts w:hint="eastAsia" w:ascii="宋体" w:hAnsi="宋体" w:eastAsia="宋体"/>
          <w:color w:val="auto"/>
          <w:sz w:val="21"/>
          <w:szCs w:val="21"/>
          <w:highlight w:val="none"/>
        </w:rPr>
        <w:t>，欢迎符合招标文件要求的国内投标人参加投标</w:t>
      </w:r>
      <w:r>
        <w:rPr>
          <w:rFonts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highlight w:val="none"/>
        </w:rPr>
      </w:pPr>
    </w:p>
    <w:p>
      <w:pPr>
        <w:numPr>
          <w:ilvl w:val="0"/>
          <w:numId w:val="1"/>
        </w:numPr>
        <w:spacing w:after="0" w:line="360" w:lineRule="auto"/>
        <w:ind w:firstLine="413" w:firstLineChars="196"/>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rPr>
        <w:t>招标项目</w:t>
      </w:r>
      <w:r>
        <w:rPr>
          <w:rFonts w:hint="eastAsia" w:ascii="宋体" w:hAnsi="宋体" w:eastAsia="宋体"/>
          <w:b/>
          <w:color w:val="auto"/>
          <w:sz w:val="21"/>
          <w:szCs w:val="21"/>
          <w:highlight w:val="none"/>
          <w:lang w:val="en-US" w:eastAsia="zh-CN"/>
        </w:rPr>
        <w:t>信息</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编号：</w:t>
      </w:r>
      <w:r>
        <w:rPr>
          <w:rFonts w:hint="eastAsia" w:ascii="宋体" w:hAnsi="宋体"/>
          <w:color w:val="auto"/>
          <w:sz w:val="21"/>
          <w:szCs w:val="21"/>
          <w:highlight w:val="none"/>
          <w:lang w:val="en-US" w:eastAsia="zh-CN"/>
        </w:rPr>
        <w:t>GDZT2023158C</w:t>
      </w:r>
      <w:r>
        <w:rPr>
          <w:rFonts w:hint="eastAsia" w:ascii="宋体" w:hAnsi="宋体" w:eastAsia="宋体"/>
          <w:color w:val="auto"/>
          <w:sz w:val="21"/>
          <w:szCs w:val="21"/>
          <w:highlight w:val="none"/>
          <w:lang w:val="en-US" w:eastAsia="zh-CN"/>
        </w:rPr>
        <w:t>；</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名称：</w:t>
      </w:r>
      <w:r>
        <w:rPr>
          <w:rFonts w:hint="eastAsia" w:ascii="宋体" w:hAnsi="宋体"/>
          <w:color w:val="auto"/>
          <w:sz w:val="21"/>
          <w:szCs w:val="21"/>
          <w:highlight w:val="none"/>
          <w:lang w:val="en-US" w:eastAsia="zh-CN"/>
        </w:rPr>
        <w:t>饭堂食材配送服务项目</w:t>
      </w:r>
      <w:r>
        <w:rPr>
          <w:rFonts w:hint="eastAsia" w:ascii="宋体" w:hAnsi="宋体" w:eastAsia="宋体"/>
          <w:color w:val="auto"/>
          <w:sz w:val="21"/>
          <w:szCs w:val="21"/>
          <w:highlight w:val="none"/>
          <w:lang w:val="en-US" w:eastAsia="zh-CN"/>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、项目内容：</w:t>
      </w:r>
    </w:p>
    <w:tbl>
      <w:tblPr>
        <w:tblStyle w:val="23"/>
        <w:tblW w:w="50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57"/>
        <w:gridCol w:w="2998"/>
        <w:gridCol w:w="1470"/>
        <w:gridCol w:w="1410"/>
        <w:gridCol w:w="1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5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789"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采购</w:t>
            </w:r>
            <w:r>
              <w:rPr>
                <w:rFonts w:hint="eastAsia" w:ascii="宋体" w:hAnsi="宋体" w:eastAsia="宋体"/>
                <w:color w:val="auto"/>
                <w:sz w:val="21"/>
                <w:szCs w:val="21"/>
                <w:highlight w:val="none"/>
                <w:lang w:val="en-US" w:eastAsia="zh-CN"/>
              </w:rPr>
              <w:t>内容</w:t>
            </w:r>
          </w:p>
        </w:tc>
        <w:tc>
          <w:tcPr>
            <w:tcW w:w="877"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采购</w:t>
            </w:r>
            <w:r>
              <w:rPr>
                <w:rFonts w:hint="eastAsia" w:ascii="宋体" w:hAnsi="宋体" w:eastAsia="宋体"/>
                <w:color w:val="auto"/>
                <w:sz w:val="21"/>
                <w:szCs w:val="21"/>
                <w:highlight w:val="none"/>
                <w:lang w:val="en-US" w:eastAsia="zh-CN"/>
              </w:rPr>
              <w:t>数量</w:t>
            </w:r>
          </w:p>
        </w:tc>
        <w:tc>
          <w:tcPr>
            <w:tcW w:w="84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服务期限</w:t>
            </w:r>
          </w:p>
        </w:tc>
        <w:tc>
          <w:tcPr>
            <w:tcW w:w="1038"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预算金额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45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1789"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cs="宋体"/>
                <w:b/>
                <w:bCs/>
                <w:color w:val="auto"/>
                <w:sz w:val="21"/>
                <w:szCs w:val="21"/>
                <w:highlight w:val="none"/>
                <w:u w:val="single"/>
                <w:lang w:val="en-US" w:eastAsia="zh-CN"/>
              </w:rPr>
              <w:t>饭堂食材配送服务项目</w:t>
            </w:r>
          </w:p>
        </w:tc>
        <w:tc>
          <w:tcPr>
            <w:tcW w:w="877"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auto"/>
                <w:sz w:val="21"/>
                <w:szCs w:val="21"/>
                <w:highlight w:val="none"/>
                <w:u w:val="none"/>
                <w:lang w:val="en-US" w:eastAsia="zh-CN"/>
              </w:rPr>
            </w:pPr>
            <w:r>
              <w:rPr>
                <w:rFonts w:hint="eastAsia" w:ascii="宋体" w:hAnsi="宋体"/>
                <w:b/>
                <w:color w:val="auto"/>
                <w:sz w:val="21"/>
                <w:szCs w:val="21"/>
                <w:highlight w:val="none"/>
                <w:u w:val="none"/>
                <w:lang w:val="en-US" w:eastAsia="zh-CN"/>
              </w:rPr>
              <w:t>2家</w:t>
            </w:r>
          </w:p>
        </w:tc>
        <w:tc>
          <w:tcPr>
            <w:tcW w:w="84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olor w:val="auto"/>
                <w:sz w:val="21"/>
                <w:szCs w:val="21"/>
                <w:highlight w:val="none"/>
                <w:u w:val="none"/>
                <w:lang w:val="en-US" w:eastAsia="zh-CN"/>
              </w:rPr>
            </w:pPr>
            <w:r>
              <w:rPr>
                <w:rFonts w:hint="eastAsia" w:ascii="宋体" w:hAnsi="宋体"/>
                <w:b/>
                <w:color w:val="auto"/>
                <w:sz w:val="21"/>
                <w:szCs w:val="21"/>
                <w:highlight w:val="none"/>
                <w:u w:val="none"/>
                <w:lang w:val="en-US" w:eastAsia="zh-CN"/>
              </w:rPr>
              <w:t>一年</w:t>
            </w:r>
          </w:p>
        </w:tc>
        <w:tc>
          <w:tcPr>
            <w:tcW w:w="1038"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b/>
                <w:color w:val="auto"/>
                <w:sz w:val="21"/>
                <w:szCs w:val="21"/>
                <w:highlight w:val="none"/>
                <w:u w:val="none"/>
                <w:lang w:val="en-US" w:eastAsia="zh-CN"/>
              </w:rPr>
            </w:pPr>
            <w:r>
              <w:rPr>
                <w:rFonts w:hint="eastAsia" w:ascii="宋体" w:hAnsi="宋体"/>
                <w:b/>
                <w:color w:val="auto"/>
                <w:sz w:val="21"/>
                <w:szCs w:val="21"/>
                <w:highlight w:val="none"/>
                <w:u w:val="none"/>
                <w:lang w:val="en-US" w:eastAsia="zh-CN"/>
              </w:rPr>
              <w:t>无具体预算</w:t>
            </w:r>
          </w:p>
        </w:tc>
      </w:tr>
    </w:tbl>
    <w:p>
      <w:pPr>
        <w:pStyle w:val="7"/>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color w:val="auto"/>
          <w:sz w:val="21"/>
          <w:szCs w:val="21"/>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二、投标人资格要求</w:t>
      </w: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1、一般要求：</w:t>
      </w:r>
    </w:p>
    <w:p>
      <w:pPr>
        <w:ind w:firstLine="420" w:firstLineChars="200"/>
        <w:rPr>
          <w:rFonts w:ascii="宋体" w:hAnsi="宋体"/>
          <w:color w:val="auto"/>
          <w:szCs w:val="21"/>
          <w:highlight w:val="none"/>
        </w:rPr>
      </w:pPr>
      <w:r>
        <w:rPr>
          <w:rFonts w:hint="eastAsia" w:ascii="宋体" w:hAnsi="宋体"/>
          <w:color w:val="auto"/>
          <w:szCs w:val="21"/>
          <w:highlight w:val="none"/>
        </w:rPr>
        <w:t>（1）投标人须为在中华人民共和国境内登记注册的具有独立承担民事责任能力的法人或其他组织；</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（2）参加采购活动前三年内，在经营活动中没有重大违法记录（提供书面声明）；</w:t>
      </w:r>
      <w:r>
        <w:rPr>
          <w:rFonts w:hint="eastAsia" w:ascii="宋体" w:hAnsi="宋体"/>
          <w:color w:val="auto"/>
          <w:szCs w:val="21"/>
          <w:highlight w:val="none"/>
        </w:rPr>
        <w:t>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3）投标人的单位负责人为同一人或者存在直接控股、管理关系的不同投标人，不得参加同一合同项下的采购活动。为本项目提供整体设计、规范编制或者项目管理、监理、检测等服务的投标人，不得参加本采购项目的采购活动； </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（4）未被列入“信用中国”网站(www.creditchina.gov.cn )“记录失信被执行人或</w:t>
      </w:r>
      <w:r>
        <w:rPr>
          <w:rFonts w:hint="eastAsia" w:ascii="宋体" w:hAnsi="宋体"/>
          <w:color w:val="auto"/>
          <w:sz w:val="21"/>
          <w:szCs w:val="21"/>
          <w:highlight w:val="none"/>
          <w:lang w:eastAsia="zh-CN"/>
        </w:rPr>
        <w:t>税收违法黑名单</w:t>
      </w:r>
      <w:r>
        <w:rPr>
          <w:rFonts w:hint="eastAsia" w:ascii="宋体" w:hAnsi="宋体" w:eastAsia="宋体"/>
          <w:color w:val="auto"/>
          <w:sz w:val="21"/>
          <w:szCs w:val="21"/>
          <w:highlight w:val="none"/>
        </w:rPr>
        <w:t>或政府采购严重违法失信行为”记录名单；不处于中国政府采购网(www.ccgp.gov.cn )“政府采购严重违法失信行为信息记录”中的禁止参加采购活动期间。以代理机构于投标截止日当天在“信用中国”网站及中国政府采购网查询结果为准，如相关失信记录已失效，投标人需提供相关证明资料。</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5</w:t>
      </w:r>
      <w:r>
        <w:rPr>
          <w:rFonts w:hint="eastAsia" w:ascii="宋体" w:hAnsi="宋体" w:eastAsia="宋体"/>
          <w:color w:val="auto"/>
          <w:sz w:val="21"/>
          <w:szCs w:val="21"/>
          <w:highlight w:val="none"/>
        </w:rPr>
        <w:t>）本项目（是/否）接受联合体投标：否</w:t>
      </w:r>
    </w:p>
    <w:p>
      <w:pPr>
        <w:pStyle w:val="7"/>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0" w:firstLineChars="0"/>
        <w:textAlignment w:val="auto"/>
        <w:rPr>
          <w:color w:val="auto"/>
          <w:sz w:val="21"/>
          <w:szCs w:val="21"/>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三、项目公示时间、招标文件领购时间、地点、方式</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1、项目公示时间：</w:t>
      </w:r>
      <w:r>
        <w:rPr>
          <w:rFonts w:hint="eastAsia" w:ascii="宋体" w:hAnsi="宋体"/>
          <w:color w:val="auto"/>
          <w:sz w:val="21"/>
          <w:szCs w:val="21"/>
          <w:highlight w:val="none"/>
          <w:lang w:eastAsia="zh-CN"/>
        </w:rPr>
        <w:t>2023年</w:t>
      </w:r>
      <w:r>
        <w:rPr>
          <w:rFonts w:hint="eastAsia" w:ascii="宋体" w:hAnsi="宋体"/>
          <w:color w:val="auto"/>
          <w:sz w:val="21"/>
          <w:szCs w:val="21"/>
          <w:highlight w:val="none"/>
          <w:lang w:val="en-US" w:eastAsia="zh-CN"/>
        </w:rPr>
        <w:t>11</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日起至</w:t>
      </w:r>
      <w:r>
        <w:rPr>
          <w:rFonts w:hint="eastAsia" w:ascii="宋体" w:hAnsi="宋体"/>
          <w:color w:val="auto"/>
          <w:sz w:val="21"/>
          <w:szCs w:val="21"/>
          <w:highlight w:val="none"/>
          <w:lang w:eastAsia="zh-CN"/>
        </w:rPr>
        <w:t>2023年</w:t>
      </w:r>
      <w:r>
        <w:rPr>
          <w:rFonts w:hint="eastAsia" w:ascii="宋体" w:hAnsi="宋体"/>
          <w:color w:val="auto"/>
          <w:sz w:val="21"/>
          <w:szCs w:val="21"/>
          <w:highlight w:val="none"/>
          <w:lang w:val="en-US" w:eastAsia="zh-CN"/>
        </w:rPr>
        <w:t>11</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9</w:t>
      </w:r>
      <w:r>
        <w:rPr>
          <w:rFonts w:hint="eastAsia" w:ascii="宋体" w:hAnsi="宋体" w:eastAsia="宋体"/>
          <w:color w:val="auto"/>
          <w:sz w:val="21"/>
          <w:szCs w:val="21"/>
          <w:highlight w:val="none"/>
        </w:rPr>
        <w:t>日。</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2、招标文件领购</w:t>
      </w:r>
      <w:r>
        <w:rPr>
          <w:rFonts w:ascii="宋体" w:hAnsi="宋体" w:eastAsia="宋体"/>
          <w:color w:val="auto"/>
          <w:sz w:val="21"/>
          <w:szCs w:val="21"/>
          <w:highlight w:val="none"/>
        </w:rPr>
        <w:t>时间：</w:t>
      </w:r>
      <w:r>
        <w:rPr>
          <w:rFonts w:hint="eastAsia" w:ascii="宋体" w:hAnsi="宋体"/>
          <w:color w:val="auto"/>
          <w:sz w:val="21"/>
          <w:szCs w:val="21"/>
          <w:highlight w:val="none"/>
          <w:lang w:eastAsia="zh-CN"/>
        </w:rPr>
        <w:t>2023年</w:t>
      </w:r>
      <w:r>
        <w:rPr>
          <w:rFonts w:hint="eastAsia" w:ascii="宋体" w:hAnsi="宋体"/>
          <w:color w:val="auto"/>
          <w:sz w:val="21"/>
          <w:szCs w:val="21"/>
          <w:highlight w:val="none"/>
          <w:lang w:val="en-US" w:eastAsia="zh-CN"/>
        </w:rPr>
        <w:t>11</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日起至</w:t>
      </w:r>
      <w:r>
        <w:rPr>
          <w:rFonts w:hint="eastAsia" w:ascii="宋体" w:hAnsi="宋体"/>
          <w:color w:val="auto"/>
          <w:sz w:val="21"/>
          <w:szCs w:val="21"/>
          <w:highlight w:val="none"/>
          <w:lang w:eastAsia="zh-CN"/>
        </w:rPr>
        <w:t>2023年</w:t>
      </w:r>
      <w:r>
        <w:rPr>
          <w:rFonts w:hint="eastAsia" w:ascii="宋体" w:hAnsi="宋体"/>
          <w:color w:val="auto"/>
          <w:sz w:val="21"/>
          <w:szCs w:val="21"/>
          <w:highlight w:val="none"/>
          <w:lang w:val="en-US" w:eastAsia="zh-CN"/>
        </w:rPr>
        <w:t>11</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9</w:t>
      </w:r>
      <w:r>
        <w:rPr>
          <w:rFonts w:hint="eastAsia" w:ascii="宋体" w:hAnsi="宋体" w:eastAsia="宋体"/>
          <w:color w:val="auto"/>
          <w:sz w:val="21"/>
          <w:szCs w:val="21"/>
          <w:highlight w:val="none"/>
        </w:rPr>
        <w:t xml:space="preserve">日（节假日除外），上午9：00～12：00，下午14：30～17：30（北京时间）。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注：（1）投标人可自行打印招标文件</w:t>
      </w:r>
      <w:r>
        <w:rPr>
          <w:rFonts w:hint="eastAsia" w:ascii="宋体" w:hAnsi="宋体" w:eastAsia="宋体"/>
          <w:color w:val="auto"/>
          <w:sz w:val="21"/>
          <w:szCs w:val="21"/>
          <w:highlight w:val="none"/>
          <w:lang w:val="en-US" w:eastAsia="zh-CN"/>
        </w:rPr>
        <w:t>最后1页</w:t>
      </w:r>
      <w:r>
        <w:rPr>
          <w:rFonts w:hint="eastAsia" w:ascii="宋体" w:hAnsi="宋体" w:eastAsia="宋体"/>
          <w:color w:val="auto"/>
          <w:sz w:val="21"/>
          <w:szCs w:val="21"/>
          <w:highlight w:val="none"/>
        </w:rPr>
        <w:t>中的“获取招标文件登记表”进行填写并带到现场进行领购，并现场领取发票。（招标文件领购价：人民币</w:t>
      </w:r>
      <w:r>
        <w:rPr>
          <w:rFonts w:hint="eastAsia" w:ascii="宋体" w:hAnsi="宋体"/>
          <w:color w:val="auto"/>
          <w:sz w:val="21"/>
          <w:szCs w:val="21"/>
          <w:highlight w:val="none"/>
          <w:lang w:val="en-US" w:eastAsia="zh-CN"/>
        </w:rPr>
        <w:t>300元</w:t>
      </w:r>
      <w:r>
        <w:rPr>
          <w:rFonts w:hint="eastAsia" w:ascii="宋体" w:hAnsi="宋体" w:eastAsia="宋体"/>
          <w:color w:val="auto"/>
          <w:sz w:val="21"/>
          <w:szCs w:val="21"/>
          <w:highlight w:val="none"/>
        </w:rPr>
        <w:t>整）</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（2）现场支持现金支付、微信支付、支付宝支付等支付方式，请将相应表格交予我司</w:t>
      </w:r>
      <w:r>
        <w:rPr>
          <w:rFonts w:hint="eastAsia" w:ascii="宋体" w:hAnsi="宋体" w:eastAsia="宋体"/>
          <w:color w:val="auto"/>
          <w:sz w:val="21"/>
          <w:szCs w:val="21"/>
          <w:highlight w:val="none"/>
          <w:lang w:val="en-US" w:eastAsia="zh-CN"/>
        </w:rPr>
        <w:t>简小姐</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（3）招标文件电子版可在政通招标网</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http://www.zttendering.com/</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相关招标信息公告下自行下载。</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3、招标文件领购地点：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联系人：</w:t>
      </w:r>
      <w:r>
        <w:rPr>
          <w:rFonts w:hint="eastAsia" w:ascii="宋体" w:hAnsi="宋体"/>
          <w:color w:val="auto"/>
          <w:sz w:val="21"/>
          <w:szCs w:val="21"/>
          <w:highlight w:val="none"/>
          <w:lang w:eastAsia="zh-CN"/>
        </w:rPr>
        <w:t>徐先生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w:t>
      </w:r>
      <w:r>
        <w:rPr>
          <w:rFonts w:hint="eastAsia" w:ascii="宋体" w:hAnsi="宋体" w:eastAsia="宋体"/>
          <w:color w:val="auto"/>
          <w:sz w:val="21"/>
          <w:szCs w:val="21"/>
          <w:highlight w:val="none"/>
          <w:lang w:eastAsia="zh-CN"/>
        </w:rPr>
        <w:t>0769-22881803</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4、招标文件领购方式：现场领购。</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投标人在领购招标文件时</w:t>
      </w:r>
      <w:r>
        <w:rPr>
          <w:rFonts w:hint="eastAsia" w:ascii="宋体" w:hAnsi="宋体"/>
          <w:color w:val="auto"/>
          <w:sz w:val="21"/>
          <w:szCs w:val="21"/>
          <w:highlight w:val="none"/>
          <w:lang w:val="en-US" w:eastAsia="zh-CN"/>
        </w:rPr>
        <w:t>建议</w:t>
      </w:r>
      <w:r>
        <w:rPr>
          <w:rFonts w:hint="eastAsia" w:ascii="宋体" w:hAnsi="宋体" w:eastAsia="宋体"/>
          <w:color w:val="auto"/>
          <w:sz w:val="21"/>
          <w:szCs w:val="21"/>
          <w:highlight w:val="none"/>
        </w:rPr>
        <w:t>提供如下证明材料：《营业执照》复印件或《事业单位法人证书》复印件或其他主体证书复印件，自然人参加投标须提供自然人的身份证明材料</w:t>
      </w:r>
      <w:r>
        <w:rPr>
          <w:rFonts w:hint="eastAsia" w:ascii="宋体" w:hAnsi="宋体" w:eastAsia="宋体"/>
          <w:color w:val="auto"/>
          <w:sz w:val="21"/>
          <w:szCs w:val="21"/>
          <w:highlight w:val="none"/>
          <w:lang w:eastAsia="zh-CN"/>
        </w:rPr>
        <w:t>。</w:t>
      </w:r>
    </w:p>
    <w:p>
      <w:pPr>
        <w:bidi w:val="0"/>
        <w:rPr>
          <w:rFonts w:hint="default"/>
          <w:color w:val="auto"/>
          <w:highlight w:val="none"/>
          <w:lang w:val="en-US" w:eastAsia="zh-CN"/>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b/>
          <w:color w:val="auto"/>
          <w:sz w:val="21"/>
          <w:szCs w:val="21"/>
          <w:highlight w:val="none"/>
          <w:lang w:val="en-US" w:eastAsia="zh-CN"/>
        </w:rPr>
        <w:t>四</w:t>
      </w:r>
      <w:r>
        <w:rPr>
          <w:rFonts w:hint="eastAsia" w:ascii="宋体" w:hAnsi="宋体" w:eastAsia="宋体"/>
          <w:b/>
          <w:color w:val="auto"/>
          <w:sz w:val="21"/>
          <w:szCs w:val="21"/>
          <w:highlight w:val="none"/>
        </w:rPr>
        <w:t>、投标截止时间、开标时间及地点</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1、递交投标文件时间：</w:t>
      </w:r>
      <w:r>
        <w:rPr>
          <w:rFonts w:hint="eastAsia" w:ascii="宋体" w:hAnsi="宋体"/>
          <w:color w:val="auto"/>
          <w:sz w:val="21"/>
          <w:szCs w:val="21"/>
          <w:highlight w:val="none"/>
          <w:lang w:eastAsia="zh-CN"/>
        </w:rPr>
        <w:t>2023年</w:t>
      </w:r>
      <w:r>
        <w:rPr>
          <w:rFonts w:hint="eastAsia" w:ascii="宋体" w:hAnsi="宋体"/>
          <w:bCs/>
          <w:color w:val="auto"/>
          <w:sz w:val="21"/>
          <w:szCs w:val="21"/>
          <w:highlight w:val="none"/>
          <w:lang w:val="en-US" w:eastAsia="zh-CN"/>
        </w:rPr>
        <w:t>11</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23</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上</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09</w:t>
      </w:r>
      <w:r>
        <w:rPr>
          <w:rFonts w:hint="eastAsia" w:ascii="宋体" w:hAnsi="宋体" w:eastAsia="宋体"/>
          <w:bCs/>
          <w:color w:val="auto"/>
          <w:sz w:val="21"/>
          <w:szCs w:val="21"/>
          <w:highlight w:val="none"/>
        </w:rPr>
        <w:t>：</w:t>
      </w:r>
      <w:r>
        <w:rPr>
          <w:rFonts w:hint="eastAsia" w:ascii="宋体" w:hAnsi="宋体"/>
          <w:bCs/>
          <w:color w:val="auto"/>
          <w:sz w:val="21"/>
          <w:szCs w:val="21"/>
          <w:highlight w:val="none"/>
          <w:lang w:val="en-US" w:eastAsia="zh-CN"/>
        </w:rPr>
        <w:t>3</w:t>
      </w:r>
      <w:r>
        <w:rPr>
          <w:rFonts w:hint="eastAsia" w:ascii="宋体" w:hAnsi="宋体" w:eastAsia="宋体"/>
          <w:bCs/>
          <w:color w:val="auto"/>
          <w:sz w:val="21"/>
          <w:szCs w:val="21"/>
          <w:highlight w:val="none"/>
        </w:rPr>
        <w:t>0～</w:t>
      </w:r>
      <w:r>
        <w:rPr>
          <w:rFonts w:hint="eastAsia" w:ascii="宋体" w:hAnsi="宋体"/>
          <w:bCs/>
          <w:color w:val="auto"/>
          <w:sz w:val="21"/>
          <w:szCs w:val="21"/>
          <w:highlight w:val="none"/>
          <w:lang w:val="en-US" w:eastAsia="zh-CN"/>
        </w:rPr>
        <w:t>10</w:t>
      </w:r>
      <w:r>
        <w:rPr>
          <w:rFonts w:hint="eastAsia" w:ascii="宋体" w:hAnsi="宋体" w:eastAsia="宋体"/>
          <w:bCs/>
          <w:color w:val="auto"/>
          <w:sz w:val="21"/>
          <w:szCs w:val="21"/>
          <w:highlight w:val="none"/>
        </w:rPr>
        <w:t>：</w:t>
      </w:r>
      <w:r>
        <w:rPr>
          <w:rFonts w:hint="eastAsia" w:ascii="宋体" w:hAnsi="宋体"/>
          <w:bCs/>
          <w:color w:val="auto"/>
          <w:sz w:val="21"/>
          <w:szCs w:val="21"/>
          <w:highlight w:val="none"/>
          <w:lang w:val="en-US" w:eastAsia="zh-CN"/>
        </w:rPr>
        <w:t>00</w:t>
      </w:r>
      <w:r>
        <w:rPr>
          <w:rFonts w:hint="eastAsia" w:ascii="宋体" w:hAnsi="宋体" w:eastAsia="宋体"/>
          <w:bCs/>
          <w:color w:val="auto"/>
          <w:sz w:val="21"/>
          <w:szCs w:val="21"/>
          <w:highlight w:val="none"/>
        </w:rPr>
        <w:t>。</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2、</w:t>
      </w:r>
      <w:r>
        <w:rPr>
          <w:rFonts w:ascii="宋体" w:hAnsi="宋体" w:eastAsia="宋体"/>
          <w:bCs/>
          <w:color w:val="auto"/>
          <w:sz w:val="21"/>
          <w:szCs w:val="21"/>
          <w:highlight w:val="none"/>
        </w:rPr>
        <w:t>投标截止</w:t>
      </w:r>
      <w:r>
        <w:rPr>
          <w:rFonts w:hint="eastAsia" w:ascii="宋体" w:hAnsi="宋体" w:eastAsia="宋体"/>
          <w:bCs/>
          <w:color w:val="auto"/>
          <w:sz w:val="21"/>
          <w:szCs w:val="21"/>
          <w:highlight w:val="none"/>
        </w:rPr>
        <w:t>及开标时间：</w:t>
      </w:r>
      <w:r>
        <w:rPr>
          <w:rFonts w:hint="eastAsia" w:ascii="宋体" w:hAnsi="宋体"/>
          <w:color w:val="auto"/>
          <w:sz w:val="21"/>
          <w:szCs w:val="21"/>
          <w:highlight w:val="none"/>
          <w:lang w:eastAsia="zh-CN"/>
        </w:rPr>
        <w:t>2023年</w:t>
      </w:r>
      <w:r>
        <w:rPr>
          <w:rFonts w:hint="eastAsia" w:ascii="宋体" w:hAnsi="宋体"/>
          <w:bCs/>
          <w:color w:val="auto"/>
          <w:sz w:val="21"/>
          <w:szCs w:val="21"/>
          <w:highlight w:val="none"/>
          <w:lang w:val="en-US" w:eastAsia="zh-CN"/>
        </w:rPr>
        <w:t>11</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23</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上</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10</w:t>
      </w:r>
      <w:r>
        <w:rPr>
          <w:rFonts w:hint="eastAsia" w:ascii="宋体" w:hAnsi="宋体" w:eastAsia="宋体"/>
          <w:bCs/>
          <w:color w:val="auto"/>
          <w:sz w:val="21"/>
          <w:szCs w:val="21"/>
          <w:highlight w:val="none"/>
        </w:rPr>
        <w:t>时</w:t>
      </w:r>
      <w:r>
        <w:rPr>
          <w:rFonts w:hint="eastAsia" w:ascii="宋体" w:hAnsi="宋体"/>
          <w:bCs/>
          <w:color w:val="auto"/>
          <w:sz w:val="21"/>
          <w:szCs w:val="21"/>
          <w:highlight w:val="none"/>
          <w:lang w:val="en-US" w:eastAsia="zh-CN"/>
        </w:rPr>
        <w:t>0</w:t>
      </w:r>
      <w:r>
        <w:rPr>
          <w:rFonts w:hint="eastAsia" w:ascii="宋体" w:hAnsi="宋体" w:eastAsia="宋体"/>
          <w:bCs/>
          <w:color w:val="auto"/>
          <w:sz w:val="21"/>
          <w:szCs w:val="21"/>
          <w:highlight w:val="none"/>
        </w:rPr>
        <w:t>0分。</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3、</w:t>
      </w:r>
      <w:r>
        <w:rPr>
          <w:rFonts w:ascii="宋体" w:hAnsi="宋体" w:eastAsia="宋体"/>
          <w:bCs/>
          <w:color w:val="auto"/>
          <w:sz w:val="21"/>
          <w:szCs w:val="21"/>
          <w:highlight w:val="none"/>
        </w:rPr>
        <w:t>开标地点：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bCs/>
          <w:color w:val="auto"/>
          <w:sz w:val="21"/>
          <w:szCs w:val="21"/>
          <w:highlight w:val="none"/>
        </w:rPr>
        <w:t>。</w:t>
      </w:r>
    </w:p>
    <w:p>
      <w:pPr>
        <w:spacing w:after="0" w:line="360" w:lineRule="auto"/>
        <w:ind w:firstLine="411" w:firstLineChars="196"/>
        <w:rPr>
          <w:rFonts w:ascii="宋体" w:hAnsi="宋体" w:eastAsia="宋体"/>
          <w:bCs/>
          <w:color w:val="auto"/>
          <w:sz w:val="21"/>
          <w:szCs w:val="21"/>
          <w:highlight w:val="none"/>
        </w:rPr>
      </w:pPr>
    </w:p>
    <w:p>
      <w:pPr>
        <w:spacing w:after="0" w:line="360" w:lineRule="auto"/>
        <w:ind w:firstLine="413" w:firstLineChars="196"/>
        <w:rPr>
          <w:rFonts w:ascii="宋体" w:hAnsi="宋体" w:eastAsia="宋体"/>
          <w:bCs/>
          <w:color w:val="auto"/>
          <w:sz w:val="21"/>
          <w:szCs w:val="21"/>
          <w:highlight w:val="none"/>
        </w:rPr>
      </w:pPr>
      <w:r>
        <w:rPr>
          <w:rFonts w:hint="eastAsia" w:ascii="宋体" w:hAnsi="宋体"/>
          <w:b/>
          <w:color w:val="auto"/>
          <w:sz w:val="21"/>
          <w:szCs w:val="21"/>
          <w:highlight w:val="none"/>
          <w:lang w:val="en-US" w:eastAsia="zh-CN"/>
        </w:rPr>
        <w:t>五</w:t>
      </w:r>
      <w:r>
        <w:rPr>
          <w:rFonts w:hint="eastAsia" w:ascii="宋体" w:hAnsi="宋体" w:eastAsia="宋体"/>
          <w:b/>
          <w:color w:val="auto"/>
          <w:sz w:val="21"/>
          <w:szCs w:val="21"/>
          <w:highlight w:val="none"/>
        </w:rPr>
        <w:t>、采购人及采购代理机构的名称、地址和联系方法：</w:t>
      </w:r>
    </w:p>
    <w:p>
      <w:pPr>
        <w:spacing w:after="0" w:line="360" w:lineRule="auto"/>
        <w:ind w:firstLine="420" w:firstLineChars="200"/>
        <w:rPr>
          <w:rFonts w:hint="default"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采购人联系人：</w:t>
      </w:r>
      <w:r>
        <w:rPr>
          <w:rFonts w:hint="eastAsia" w:ascii="宋体" w:hAnsi="宋体"/>
          <w:bCs/>
          <w:color w:val="auto"/>
          <w:sz w:val="21"/>
          <w:szCs w:val="21"/>
          <w:highlight w:val="none"/>
          <w:lang w:val="en-US" w:eastAsia="zh-CN"/>
        </w:rPr>
        <w:t>陈工</w:t>
      </w:r>
    </w:p>
    <w:p>
      <w:pPr>
        <w:spacing w:after="0" w:line="360" w:lineRule="auto"/>
        <w:ind w:firstLine="420" w:firstLineChars="200"/>
        <w:rPr>
          <w:rFonts w:hint="default"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地址：</w:t>
      </w:r>
      <w:r>
        <w:rPr>
          <w:rFonts w:hint="eastAsia" w:ascii="宋体" w:hAnsi="宋体"/>
          <w:bCs/>
          <w:color w:val="auto"/>
          <w:sz w:val="21"/>
          <w:szCs w:val="21"/>
          <w:highlight w:val="none"/>
          <w:lang w:val="en-US" w:eastAsia="zh-CN"/>
        </w:rPr>
        <w:t>东莞市横沥镇</w:t>
      </w:r>
    </w:p>
    <w:p>
      <w:pPr>
        <w:spacing w:after="0" w:line="360" w:lineRule="auto"/>
        <w:ind w:firstLine="420" w:firstLineChars="200"/>
        <w:rPr>
          <w:rFonts w:hint="eastAsia" w:ascii="宋体" w:hAnsi="宋体" w:eastAsia="宋体"/>
          <w:bCs/>
          <w:color w:val="auto"/>
          <w:sz w:val="21"/>
          <w:szCs w:val="21"/>
          <w:highlight w:val="none"/>
          <w:lang w:eastAsia="zh-CN"/>
        </w:rPr>
      </w:pPr>
      <w:r>
        <w:rPr>
          <w:rFonts w:hint="eastAsia" w:ascii="宋体" w:hAnsi="宋体" w:eastAsia="宋体"/>
          <w:bCs/>
          <w:color w:val="auto"/>
          <w:sz w:val="21"/>
          <w:szCs w:val="21"/>
          <w:highlight w:val="none"/>
        </w:rPr>
        <w:t>联系电话：</w:t>
      </w:r>
      <w:r>
        <w:rPr>
          <w:rFonts w:hint="eastAsia" w:ascii="宋体" w:hAnsi="宋体"/>
          <w:bCs/>
          <w:color w:val="auto"/>
          <w:sz w:val="21"/>
          <w:szCs w:val="21"/>
          <w:highlight w:val="none"/>
          <w:lang w:val="en-US" w:eastAsia="zh-CN"/>
        </w:rPr>
        <w:t>0769-</w:t>
      </w:r>
      <w:r>
        <w:rPr>
          <w:rFonts w:hint="eastAsia" w:ascii="宋体" w:hAnsi="宋体" w:eastAsia="宋体"/>
          <w:bCs/>
          <w:color w:val="auto"/>
          <w:sz w:val="21"/>
          <w:szCs w:val="21"/>
          <w:highlight w:val="none"/>
        </w:rPr>
        <w:t>83717616</w:t>
      </w:r>
    </w:p>
    <w:p>
      <w:pPr>
        <w:spacing w:after="0" w:line="360" w:lineRule="auto"/>
        <w:ind w:firstLine="420" w:firstLineChars="200"/>
        <w:rPr>
          <w:rFonts w:ascii="宋体" w:hAnsi="宋体" w:eastAsia="宋体"/>
          <w:color w:val="auto"/>
          <w:sz w:val="21"/>
          <w:szCs w:val="21"/>
          <w:highlight w:val="none"/>
        </w:rPr>
      </w:pPr>
      <w:bookmarkStart w:id="321" w:name="_GoBack"/>
      <w:bookmarkEnd w:id="321"/>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采购代理机构名称：</w:t>
      </w:r>
      <w:r>
        <w:rPr>
          <w:rFonts w:hint="eastAsia" w:ascii="宋体" w:hAnsi="宋体" w:eastAsia="宋体"/>
          <w:color w:val="auto"/>
          <w:sz w:val="21"/>
          <w:szCs w:val="21"/>
          <w:highlight w:val="none"/>
          <w:lang w:eastAsia="zh-CN"/>
        </w:rPr>
        <w:t>广东政通招标有限公司</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地址：</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采购代理机构联系人：</w:t>
      </w:r>
      <w:r>
        <w:rPr>
          <w:rFonts w:hint="eastAsia" w:ascii="宋体" w:hAnsi="宋体" w:eastAsia="宋体"/>
          <w:color w:val="auto"/>
          <w:sz w:val="21"/>
          <w:szCs w:val="21"/>
          <w:highlight w:val="none"/>
          <w:lang w:val="en-US" w:eastAsia="zh-CN"/>
        </w:rPr>
        <w:t>杨</w:t>
      </w:r>
      <w:r>
        <w:rPr>
          <w:rFonts w:hint="eastAsia" w:ascii="宋体" w:hAnsi="宋体"/>
          <w:color w:val="auto"/>
          <w:sz w:val="21"/>
          <w:szCs w:val="21"/>
          <w:highlight w:val="none"/>
          <w:lang w:val="en-US" w:eastAsia="zh-CN"/>
        </w:rPr>
        <w:t>先生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联系电话：0769-22881803</w:t>
      </w:r>
    </w:p>
    <w:p>
      <w:pPr>
        <w:spacing w:after="0" w:line="360" w:lineRule="auto"/>
        <w:ind w:firstLine="420" w:firstLineChars="200"/>
        <w:rPr>
          <w:color w:val="auto"/>
          <w:highlight w:val="none"/>
        </w:rPr>
      </w:pPr>
      <w:r>
        <w:rPr>
          <w:rFonts w:hint="eastAsia" w:ascii="宋体" w:hAnsi="宋体" w:eastAsia="宋体"/>
          <w:color w:val="auto"/>
          <w:sz w:val="21"/>
          <w:szCs w:val="21"/>
          <w:highlight w:val="none"/>
        </w:rPr>
        <w:t>E－ mail：</w:t>
      </w:r>
      <w:r>
        <w:rPr>
          <w:rFonts w:hint="eastAsia" w:ascii="宋体" w:hAnsi="宋体" w:eastAsia="宋体"/>
          <w:color w:val="auto"/>
          <w:sz w:val="21"/>
          <w:szCs w:val="21"/>
          <w:highlight w:val="none"/>
          <w:lang w:val="en-US" w:eastAsia="zh-CN"/>
        </w:rPr>
        <w:t>471539976@qq.com</w:t>
      </w:r>
    </w:p>
    <w:p>
      <w:pPr>
        <w:ind w:right="752" w:rightChars="358"/>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广东政通招标有限公司</w:t>
      </w:r>
    </w:p>
    <w:p>
      <w:pPr>
        <w:ind w:left="6205" w:leftChars="2755" w:hanging="420" w:hangingChars="200"/>
        <w:rPr>
          <w:rFonts w:hint="eastAsia" w:ascii="宋体" w:hAnsi="宋体" w:eastAsia="宋体" w:cs="宋体"/>
          <w:color w:val="auto"/>
          <w:sz w:val="21"/>
          <w:szCs w:val="21"/>
          <w:highlight w:val="none"/>
        </w:rPr>
      </w:pPr>
      <w:r>
        <w:rPr>
          <w:rFonts w:hint="eastAsia" w:ascii="宋体" w:hAnsi="宋体"/>
          <w:color w:val="auto"/>
          <w:sz w:val="21"/>
          <w:szCs w:val="21"/>
          <w:highlight w:val="none"/>
          <w:lang w:eastAsia="zh-CN"/>
        </w:rPr>
        <w:t>2023年</w:t>
      </w:r>
      <w:r>
        <w:rPr>
          <w:rFonts w:hint="eastAsia" w:ascii="宋体" w:hAnsi="宋体" w:cs="宋体"/>
          <w:color w:val="auto"/>
          <w:sz w:val="21"/>
          <w:szCs w:val="21"/>
          <w:highlight w:val="none"/>
          <w:lang w:val="en-US" w:eastAsia="zh-CN"/>
        </w:rPr>
        <w:t>11</w:t>
      </w:r>
      <w:r>
        <w:rPr>
          <w:rFonts w:hint="eastAsia" w:ascii="宋体" w:hAnsi="宋体" w:eastAsia="宋体" w:cs="宋体"/>
          <w:color w:val="auto"/>
          <w:sz w:val="21"/>
          <w:szCs w:val="21"/>
          <w:highlight w:val="none"/>
        </w:rPr>
        <w:t>月</w:t>
      </w:r>
    </w:p>
    <w:p>
      <w:pPr>
        <w:pStyle w:val="3"/>
        <w:spacing w:before="0" w:after="0" w:line="240" w:lineRule="auto"/>
        <w:rPr>
          <w:rFonts w:hint="eastAsia"/>
          <w:color w:val="auto"/>
          <w:sz w:val="28"/>
          <w:szCs w:val="28"/>
          <w:highlight w:val="none"/>
          <w:lang w:val="en-US" w:eastAsia="zh-CN"/>
        </w:rPr>
      </w:pPr>
      <w:bookmarkStart w:id="5" w:name="_Toc24505"/>
      <w:bookmarkStart w:id="6" w:name="_Toc28550"/>
      <w:r>
        <w:rPr>
          <w:rFonts w:hint="eastAsia"/>
          <w:color w:val="auto"/>
          <w:sz w:val="28"/>
          <w:szCs w:val="28"/>
          <w:highlight w:val="none"/>
          <w:lang w:val="en-US" w:eastAsia="zh-CN"/>
        </w:rPr>
        <w:t xml:space="preserve">第二部分 </w:t>
      </w:r>
      <w:bookmarkStart w:id="7" w:name="_Toc20683"/>
      <w:r>
        <w:rPr>
          <w:rFonts w:hint="eastAsia"/>
          <w:color w:val="auto"/>
          <w:sz w:val="28"/>
          <w:szCs w:val="28"/>
          <w:highlight w:val="none"/>
          <w:lang w:val="en-US" w:eastAsia="zh-CN"/>
        </w:rPr>
        <w:t>投标资料表</w:t>
      </w:r>
      <w:bookmarkEnd w:id="5"/>
      <w:bookmarkEnd w:id="6"/>
      <w:bookmarkEnd w:id="7"/>
    </w:p>
    <w:tbl>
      <w:tblPr>
        <w:tblStyle w:val="23"/>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510"/>
        <w:gridCol w:w="98"/>
        <w:gridCol w:w="393"/>
        <w:gridCol w:w="2019"/>
        <w:gridCol w:w="2512"/>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90" w:hRule="atLeast"/>
        </w:trPr>
        <w:tc>
          <w:tcPr>
            <w:tcW w:w="8410" w:type="dxa"/>
            <w:gridSpan w:val="6"/>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5"/>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Cs/>
                <w:color w:val="auto"/>
                <w:sz w:val="21"/>
                <w:szCs w:val="21"/>
                <w:highlight w:val="none"/>
                <w:lang w:eastAsia="zh-CN"/>
              </w:rPr>
              <w:t>货物</w:t>
            </w:r>
            <w:r>
              <w:rPr>
                <w:rFonts w:hint="eastAsia" w:ascii="宋体" w:hAnsi="宋体" w:eastAsia="宋体" w:cs="宋体"/>
                <w:bCs/>
                <w:color w:val="auto"/>
                <w:sz w:val="21"/>
                <w:szCs w:val="21"/>
                <w:highlight w:val="none"/>
              </w:rPr>
              <w:sym w:font="Wingdings" w:char="00A8"/>
            </w:r>
            <w:r>
              <w:rPr>
                <w:rFonts w:hint="eastAsia" w:ascii="宋体" w:hAnsi="宋体" w:eastAsia="宋体" w:cs="宋体"/>
                <w:bCs/>
                <w:color w:val="auto"/>
                <w:sz w:val="21"/>
                <w:szCs w:val="21"/>
                <w:highlight w:val="none"/>
                <w:lang w:val="en-US" w:eastAsia="zh-CN"/>
              </w:rPr>
              <w:t xml:space="preserve">   服务</w:t>
            </w:r>
            <w:r>
              <w:rPr>
                <w:rFonts w:hint="eastAsia" w:ascii="宋体" w:hAnsi="宋体" w:eastAsia="宋体" w:cs="宋体"/>
                <w:bCs/>
                <w:color w:val="auto"/>
                <w:sz w:val="21"/>
                <w:szCs w:val="21"/>
                <w:highlight w:val="none"/>
                <w:lang w:val="en-US" w:eastAsia="zh-CN"/>
              </w:rPr>
              <w:sym w:font="Wingdings" w:char="00FE"/>
            </w:r>
            <w:r>
              <w:rPr>
                <w:rFonts w:hint="eastAsia" w:ascii="宋体" w:hAnsi="宋体" w:eastAsia="宋体" w:cs="宋体"/>
                <w:bCs/>
                <w:color w:val="auto"/>
                <w:sz w:val="21"/>
                <w:szCs w:val="21"/>
                <w:highlight w:val="none"/>
                <w:lang w:val="en-US" w:eastAsia="zh-CN"/>
              </w:rPr>
              <w:t xml:space="preserve">  工程</w:t>
            </w:r>
            <w:r>
              <w:rPr>
                <w:rFonts w:hint="eastAsia" w:ascii="宋体" w:hAnsi="宋体" w:eastAsia="宋体" w:cs="宋体"/>
                <w:bCs/>
                <w:color w:val="auto"/>
                <w:sz w:val="21"/>
                <w:szCs w:val="21"/>
                <w:highlight w:val="none"/>
                <w:lang w:val="en-US" w:eastAsia="zh-CN"/>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bCs/>
                <w:color w:val="auto"/>
                <w:sz w:val="21"/>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5"/>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color w:val="auto"/>
                <w:sz w:val="21"/>
                <w:szCs w:val="21"/>
                <w:highlight w:val="none"/>
                <w:lang w:val="en-US" w:eastAsia="zh-CN"/>
              </w:rPr>
              <w:t>自筹</w:t>
            </w:r>
            <w:r>
              <w:rPr>
                <w:rFonts w:hint="eastAsia" w:ascii="宋体" w:hAnsi="宋体" w:eastAsia="宋体" w:cs="宋体"/>
                <w:color w:val="auto"/>
                <w:sz w:val="21"/>
                <w:szCs w:val="21"/>
                <w:highlight w:val="none"/>
              </w:rPr>
              <w:t>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5"/>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5"/>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b/>
                <w:color w:val="auto"/>
                <w:sz w:val="21"/>
                <w:szCs w:val="21"/>
                <w:highlight w:val="none"/>
              </w:rPr>
            </w:pPr>
            <w:r>
              <w:rPr>
                <w:rFonts w:hint="eastAsia" w:ascii="宋体" w:hAnsi="宋体" w:eastAsia="宋体" w:cs="宋体"/>
                <w:bCs/>
                <w:color w:val="auto"/>
                <w:sz w:val="21"/>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5</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2510" w:type="dxa"/>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政通招标网</w:t>
            </w:r>
          </w:p>
        </w:tc>
        <w:tc>
          <w:tcPr>
            <w:tcW w:w="2510" w:type="dxa"/>
            <w:gridSpan w:val="3"/>
            <w:vAlign w:val="center"/>
          </w:tcPr>
          <w:p>
            <w:pPr>
              <w:shd w:val="clear"/>
              <w:jc w:val="center"/>
              <w:rPr>
                <w:rFonts w:hint="eastAsia" w:ascii="宋体" w:hAnsi="宋体" w:eastAsia="宋体" w:cs="宋体"/>
                <w:b/>
                <w:color w:val="auto"/>
                <w:sz w:val="21"/>
                <w:szCs w:val="21"/>
                <w:highlight w:val="none"/>
              </w:rPr>
            </w:pPr>
            <w:r>
              <w:rPr>
                <w:rFonts w:hint="eastAsia" w:ascii="宋体" w:hAnsi="宋体"/>
                <w:b/>
                <w:color w:val="auto"/>
                <w:szCs w:val="21"/>
                <w:highlight w:val="none"/>
              </w:rPr>
              <w:t>中国政府采购网</w:t>
            </w:r>
          </w:p>
        </w:tc>
        <w:tc>
          <w:tcPr>
            <w:tcW w:w="2512"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b/>
                <w:color w:val="auto"/>
                <w:sz w:val="21"/>
                <w:szCs w:val="21"/>
                <w:highlight w:val="none"/>
              </w:rPr>
              <w:t>中国招标投标公共服务平台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2510" w:type="dxa"/>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http://www.zttendering.com/</w:t>
            </w:r>
          </w:p>
        </w:tc>
        <w:tc>
          <w:tcPr>
            <w:tcW w:w="2510" w:type="dxa"/>
            <w:gridSpan w:val="3"/>
            <w:vAlign w:val="center"/>
          </w:tcPr>
          <w:p>
            <w:pPr>
              <w:shd w:val="clear"/>
              <w:jc w:val="center"/>
              <w:rPr>
                <w:rFonts w:hint="eastAsia" w:ascii="宋体" w:hAnsi="宋体" w:eastAsia="宋体" w:cs="宋体"/>
                <w:b/>
                <w:color w:val="auto"/>
                <w:sz w:val="21"/>
                <w:szCs w:val="21"/>
                <w:highlight w:val="none"/>
              </w:rPr>
            </w:pPr>
            <w:r>
              <w:rPr>
                <w:rFonts w:ascii="宋体" w:hAnsi="宋体"/>
                <w:color w:val="auto"/>
                <w:szCs w:val="21"/>
                <w:highlight w:val="none"/>
              </w:rPr>
              <w:t>http://www.ccgp.gov.cn/</w:t>
            </w:r>
          </w:p>
        </w:tc>
        <w:tc>
          <w:tcPr>
            <w:tcW w:w="2512"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1"/>
                <w:szCs w:val="21"/>
                <w:highlight w:val="none"/>
              </w:rPr>
            </w:pPr>
            <w:r>
              <w:rPr>
                <w:rFonts w:ascii="宋体" w:hAnsi="宋体" w:eastAsia="宋体"/>
                <w:bCs/>
                <w:color w:val="auto"/>
                <w:sz w:val="21"/>
                <w:szCs w:val="21"/>
                <w:highlight w:val="none"/>
              </w:rPr>
              <w:t>http://www.cebpubservice.com</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6"/>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5"/>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8</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color w:val="auto"/>
                <w:sz w:val="21"/>
                <w:szCs w:val="21"/>
                <w:highlight w:val="none"/>
              </w:rPr>
            </w:pP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“●”为核心产品</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本项目无核心产品</w:t>
            </w:r>
            <w:r>
              <w:rPr>
                <w:rFonts w:hint="eastAsia" w:ascii="宋体" w:hAnsi="宋体" w:eastAsia="宋体" w:cs="宋体"/>
                <w:color w:val="auto"/>
                <w:sz w:val="21"/>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rPr>
              <w:t>投标保证金</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lang w:val="en-US" w:eastAsia="zh-CN"/>
              </w:rPr>
              <w:t>本项目不需提供投标保证金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b/>
                <w:color w:val="auto"/>
                <w:sz w:val="21"/>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3001"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信用中国</w:t>
            </w:r>
          </w:p>
        </w:tc>
        <w:tc>
          <w:tcPr>
            <w:tcW w:w="4531"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3001"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https://www.creditchina.gov.cn/</w:t>
            </w:r>
          </w:p>
        </w:tc>
        <w:tc>
          <w:tcPr>
            <w:tcW w:w="4531"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2608"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投标文件类型</w:t>
            </w:r>
          </w:p>
        </w:tc>
        <w:tc>
          <w:tcPr>
            <w:tcW w:w="4924"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2608"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唱标文件</w:t>
            </w:r>
          </w:p>
        </w:tc>
        <w:tc>
          <w:tcPr>
            <w:tcW w:w="4924"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2608"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投标文件正本</w:t>
            </w:r>
          </w:p>
        </w:tc>
        <w:tc>
          <w:tcPr>
            <w:tcW w:w="4924"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2608"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投标文件副本</w:t>
            </w:r>
          </w:p>
        </w:tc>
        <w:tc>
          <w:tcPr>
            <w:tcW w:w="4924"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val="en-US" w:eastAsia="zh-CN"/>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2608"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电子文档</w:t>
            </w:r>
          </w:p>
        </w:tc>
        <w:tc>
          <w:tcPr>
            <w:tcW w:w="4924"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22" w:hRule="atLeast"/>
        </w:trPr>
        <w:tc>
          <w:tcPr>
            <w:tcW w:w="8410" w:type="dxa"/>
            <w:gridSpan w:val="6"/>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477" w:hRule="atLeast"/>
        </w:trPr>
        <w:tc>
          <w:tcPr>
            <w:tcW w:w="8410" w:type="dxa"/>
            <w:gridSpan w:val="6"/>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w:t>
            </w:r>
          </w:p>
        </w:tc>
        <w:tc>
          <w:tcPr>
            <w:tcW w:w="7532" w:type="dxa"/>
            <w:gridSpan w:val="5"/>
            <w:shd w:val="clear" w:color="auto" w:fill="auto"/>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5"/>
            <w:shd w:val="clear" w:color="auto" w:fill="auto"/>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履约保证金的数额为采购合同金额的</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55"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5"/>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本项目向每家中标单位定额收取中标服务费人民币柒仟元整（¥7,000.00）</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5"/>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（2）中标服务费以转账或现金的形式支付。采购代理机构服务费汇入账号：</w:t>
            </w:r>
          </w:p>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收 款 人：</w:t>
            </w:r>
            <w:r>
              <w:rPr>
                <w:rFonts w:hint="eastAsia" w:ascii="宋体" w:hAnsi="宋体" w:eastAsia="宋体" w:cs="宋体"/>
                <w:color w:val="auto"/>
                <w:sz w:val="21"/>
                <w:szCs w:val="21"/>
                <w:highlight w:val="none"/>
                <w:lang w:eastAsia="zh-CN"/>
              </w:rPr>
              <w:t>广东政通招标有限公司</w:t>
            </w:r>
          </w:p>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开户银行：广发银行股份有限公司东莞南城支行</w:t>
            </w:r>
          </w:p>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245" w:hRule="atLeast"/>
        </w:trPr>
        <w:tc>
          <w:tcPr>
            <w:tcW w:w="8410" w:type="dxa"/>
            <w:gridSpan w:val="6"/>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注：本表关于要采购项目的具体资料，是对投标人须知的具体补充和修改，如有矛盾，应以本资料表为准。</w:t>
            </w:r>
          </w:p>
        </w:tc>
      </w:tr>
    </w:tbl>
    <w:p>
      <w:pPr>
        <w:bidi w:val="0"/>
        <w:rPr>
          <w:rFonts w:hint="eastAsia"/>
          <w:color w:val="auto"/>
          <w:highlight w:val="none"/>
        </w:rPr>
      </w:pPr>
    </w:p>
    <w:p>
      <w:pPr>
        <w:pStyle w:val="22"/>
        <w:rPr>
          <w:rFonts w:hint="eastAsia" w:ascii="宋体" w:hAnsi="宋体" w:eastAsia="宋体" w:cs="宋体"/>
          <w:color w:val="auto"/>
          <w:sz w:val="21"/>
          <w:szCs w:val="21"/>
          <w:highlight w:val="none"/>
        </w:rPr>
      </w:pPr>
    </w:p>
    <w:p>
      <w:pPr>
        <w:pStyle w:val="19"/>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rPr>
          <w:rFonts w:hint="eastAsia"/>
          <w:color w:val="auto"/>
          <w:sz w:val="28"/>
          <w:szCs w:val="28"/>
          <w:highlight w:val="none"/>
          <w:lang w:val="en-US" w:eastAsia="zh-CN"/>
        </w:rPr>
      </w:pPr>
      <w:bookmarkStart w:id="8" w:name="_Toc5749"/>
      <w:bookmarkStart w:id="9" w:name="_Hlk55300595"/>
      <w:bookmarkStart w:id="10" w:name="_Toc13473"/>
      <w:bookmarkStart w:id="11" w:name="_Toc9572"/>
      <w:r>
        <w:rPr>
          <w:rFonts w:hint="eastAsia"/>
          <w:color w:val="auto"/>
          <w:sz w:val="28"/>
          <w:szCs w:val="28"/>
          <w:highlight w:val="none"/>
          <w:lang w:val="en-US" w:eastAsia="zh-CN"/>
        </w:rPr>
        <w:br w:type="page"/>
      </w:r>
    </w:p>
    <w:p>
      <w:pPr>
        <w:pStyle w:val="3"/>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highlight w:val="none"/>
        </w:rPr>
      </w:pPr>
      <w:r>
        <w:rPr>
          <w:rFonts w:hint="eastAsia"/>
          <w:color w:val="auto"/>
          <w:sz w:val="28"/>
          <w:szCs w:val="28"/>
          <w:highlight w:val="none"/>
          <w:lang w:val="en-US" w:eastAsia="zh-CN"/>
        </w:rPr>
        <w:t xml:space="preserve">第三部分 </w:t>
      </w:r>
      <w:bookmarkStart w:id="12" w:name="_Hlk55300643"/>
      <w:bookmarkStart w:id="13" w:name="_Toc71133523"/>
      <w:r>
        <w:rPr>
          <w:rFonts w:hint="eastAsia"/>
          <w:color w:val="auto"/>
          <w:sz w:val="28"/>
          <w:szCs w:val="28"/>
          <w:highlight w:val="none"/>
          <w:lang w:val="en-US" w:eastAsia="zh-CN"/>
        </w:rPr>
        <w:t>评分</w:t>
      </w:r>
      <w:bookmarkStart w:id="14" w:name="_Hlk55209874"/>
      <w:r>
        <w:rPr>
          <w:rFonts w:hint="eastAsia"/>
          <w:color w:val="auto"/>
          <w:sz w:val="28"/>
          <w:szCs w:val="28"/>
          <w:highlight w:val="none"/>
          <w:lang w:val="en-US" w:eastAsia="zh-CN"/>
        </w:rPr>
        <w:t>权重分配表</w:t>
      </w:r>
      <w:bookmarkEnd w:id="8"/>
      <w:bookmarkEnd w:id="9"/>
      <w:bookmarkEnd w:id="10"/>
      <w:bookmarkEnd w:id="12"/>
      <w:bookmarkEnd w:id="13"/>
      <w:bookmarkEnd w:id="14"/>
    </w:p>
    <w:p>
      <w:pPr>
        <w:pStyle w:val="4"/>
        <w:spacing w:before="0" w:after="0" w:line="240" w:lineRule="auto"/>
        <w:jc w:val="center"/>
        <w:rPr>
          <w:rFonts w:ascii="宋体" w:hAnsi="宋体" w:eastAsia="宋体" w:cs="宋体"/>
          <w:color w:val="auto"/>
          <w:sz w:val="24"/>
          <w:szCs w:val="24"/>
          <w:highlight w:val="none"/>
        </w:rPr>
      </w:pPr>
      <w:bookmarkStart w:id="15" w:name="_Toc18413"/>
      <w:bookmarkStart w:id="16" w:name="_Toc21613"/>
      <w:r>
        <w:rPr>
          <w:rFonts w:hint="eastAsia" w:ascii="宋体" w:hAnsi="宋体" w:eastAsia="宋体" w:cs="宋体"/>
          <w:color w:val="auto"/>
          <w:sz w:val="24"/>
          <w:szCs w:val="24"/>
          <w:highlight w:val="none"/>
        </w:rPr>
        <w:t>价格</w:t>
      </w:r>
      <w:r>
        <w:rPr>
          <w:rFonts w:hint="eastAsia" w:ascii="宋体" w:hAnsi="宋体" w:cs="宋体"/>
          <w:color w:val="auto"/>
          <w:sz w:val="24"/>
          <w:szCs w:val="24"/>
          <w:highlight w:val="none"/>
          <w:lang w:val="en-US" w:eastAsia="zh-CN"/>
        </w:rPr>
        <w:t>及</w:t>
      </w:r>
      <w:r>
        <w:rPr>
          <w:rFonts w:hint="eastAsia" w:ascii="宋体" w:hAnsi="宋体" w:eastAsia="宋体" w:cs="宋体"/>
          <w:color w:val="auto"/>
          <w:sz w:val="24"/>
          <w:szCs w:val="24"/>
          <w:highlight w:val="none"/>
        </w:rPr>
        <w:t>商务技术评分权重细则表</w:t>
      </w:r>
      <w:bookmarkEnd w:id="11"/>
      <w:bookmarkEnd w:id="15"/>
      <w:bookmarkEnd w:id="16"/>
    </w:p>
    <w:tbl>
      <w:tblPr>
        <w:tblStyle w:val="2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762"/>
        <w:gridCol w:w="5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bidi w:val="0"/>
              <w:rPr>
                <w:rFonts w:hint="eastAsia" w:ascii="宋体" w:hAnsi="宋体" w:eastAsia="宋体" w:cs="宋体"/>
                <w:color w:val="auto"/>
                <w:sz w:val="21"/>
                <w:szCs w:val="21"/>
                <w:highlight w:val="none"/>
              </w:rPr>
            </w:pPr>
            <w:r>
              <w:rPr>
                <w:rFonts w:hint="eastAsia"/>
                <w:color w:val="auto"/>
                <w:highlight w:val="none"/>
              </w:rPr>
              <w:br w:type="page"/>
            </w:r>
            <w:r>
              <w:rPr>
                <w:rFonts w:hint="eastAsia" w:ascii="宋体" w:hAnsi="宋体" w:eastAsia="宋体" w:cs="宋体"/>
                <w:color w:val="auto"/>
                <w:sz w:val="21"/>
                <w:szCs w:val="21"/>
                <w:highlight w:val="none"/>
              </w:rPr>
              <w:t>序号</w:t>
            </w:r>
          </w:p>
        </w:tc>
        <w:tc>
          <w:tcPr>
            <w:tcW w:w="1607"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762"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c>
          <w:tcPr>
            <w:tcW w:w="5463"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商务评审</w:t>
            </w:r>
            <w:r>
              <w:rPr>
                <w:rFonts w:hint="eastAsia" w:ascii="宋体" w:hAnsi="宋体" w:eastAsia="宋体" w:cs="宋体"/>
                <w:color w:val="auto"/>
                <w:sz w:val="21"/>
                <w:szCs w:val="21"/>
                <w:highlight w:val="none"/>
                <w:lang w:eastAsia="zh-CN"/>
              </w:rPr>
              <w:t>（</w:t>
            </w:r>
            <w:r>
              <w:rPr>
                <w:rFonts w:hint="eastAsia" w:asci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lang w:val="en-US" w:eastAsia="zh-CN"/>
              </w:rPr>
              <w:t>分</w:t>
            </w:r>
            <w:r>
              <w:rPr>
                <w:rFonts w:hint="eastAsia" w:ascii="宋体" w:hAnsi="宋体" w:eastAsia="宋体" w:cs="宋体"/>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jc w:val="center"/>
        </w:trPr>
        <w:tc>
          <w:tcPr>
            <w:tcW w:w="690" w:type="dxa"/>
            <w:tcBorders>
              <w:top w:val="single" w:color="auto" w:sz="4" w:space="0"/>
              <w:left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1607"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rPr>
              <w:t>业绩</w:t>
            </w:r>
          </w:p>
        </w:tc>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contextualSpacing/>
              <w:textAlignment w:val="auto"/>
              <w:rPr>
                <w:rFonts w:hint="eastAsia"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投标人具有食堂（饭堂）食材配送项目业绩，每</w:t>
            </w:r>
            <w:r>
              <w:rPr>
                <w:rFonts w:hint="eastAsia" w:ascii="宋体" w:hAnsi="宋体" w:cs="宋体"/>
                <w:bCs/>
                <w:color w:val="auto"/>
                <w:kern w:val="2"/>
                <w:sz w:val="21"/>
                <w:szCs w:val="21"/>
                <w:highlight w:val="none"/>
                <w:lang w:val="en-US" w:eastAsia="zh-CN"/>
              </w:rPr>
              <w:t>提供一</w:t>
            </w:r>
            <w:r>
              <w:rPr>
                <w:rFonts w:hint="eastAsia" w:ascii="宋体" w:hAnsi="宋体" w:eastAsia="宋体" w:cs="宋体"/>
                <w:bCs/>
                <w:color w:val="auto"/>
                <w:kern w:val="2"/>
                <w:sz w:val="21"/>
                <w:szCs w:val="21"/>
                <w:highlight w:val="none"/>
                <w:lang w:val="en-US" w:eastAsia="zh-CN"/>
              </w:rPr>
              <w:t>个业绩得</w:t>
            </w:r>
            <w:r>
              <w:rPr>
                <w:rFonts w:hint="eastAsia" w:ascii="宋体" w:hAnsi="宋体" w:cs="宋体"/>
                <w:bCs/>
                <w:color w:val="auto"/>
                <w:kern w:val="2"/>
                <w:sz w:val="21"/>
                <w:szCs w:val="21"/>
                <w:highlight w:val="none"/>
                <w:lang w:val="en-US" w:eastAsia="zh-CN"/>
              </w:rPr>
              <w:t>5</w:t>
            </w:r>
            <w:r>
              <w:rPr>
                <w:rFonts w:hint="eastAsia" w:ascii="宋体" w:hAnsi="宋体" w:eastAsia="宋体" w:cs="宋体"/>
                <w:bCs/>
                <w:color w:val="auto"/>
                <w:kern w:val="2"/>
                <w:sz w:val="21"/>
                <w:szCs w:val="21"/>
                <w:highlight w:val="none"/>
                <w:lang w:val="en-US" w:eastAsia="zh-CN"/>
              </w:rPr>
              <w:t>分，本项最高得</w:t>
            </w:r>
            <w:r>
              <w:rPr>
                <w:rFonts w:hint="eastAsia" w:ascii="宋体" w:hAnsi="宋体" w:cs="宋体"/>
                <w:bCs/>
                <w:color w:val="auto"/>
                <w:kern w:val="2"/>
                <w:sz w:val="21"/>
                <w:szCs w:val="21"/>
                <w:highlight w:val="none"/>
                <w:lang w:val="en-US" w:eastAsia="zh-CN"/>
              </w:rPr>
              <w:t>15</w:t>
            </w:r>
            <w:r>
              <w:rPr>
                <w:rFonts w:hint="eastAsia" w:ascii="宋体" w:hAnsi="宋体" w:eastAsia="宋体" w:cs="宋体"/>
                <w:bCs/>
                <w:color w:val="auto"/>
                <w:kern w:val="2"/>
                <w:sz w:val="21"/>
                <w:szCs w:val="21"/>
                <w:highlight w:val="none"/>
                <w:lang w:val="en-US" w:eastAsia="zh-CN"/>
              </w:rPr>
              <w:t xml:space="preserve">分。 </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contextualSpacing/>
              <w:textAlignment w:val="auto"/>
              <w:rPr>
                <w:rFonts w:hint="default" w:ascii="宋体" w:hAnsi="宋体" w:eastAsia="宋体" w:cs="宋体"/>
                <w:bCs/>
                <w:color w:val="auto"/>
                <w:kern w:val="2"/>
                <w:sz w:val="21"/>
                <w:szCs w:val="21"/>
                <w:highlight w:val="none"/>
                <w:lang w:val="en-US" w:eastAsia="zh-CN"/>
              </w:rPr>
            </w:pPr>
            <w:r>
              <w:rPr>
                <w:rFonts w:hint="eastAsia" w:ascii="宋体" w:hAnsi="宋体" w:eastAsia="宋体" w:cs="宋体"/>
                <w:bCs/>
                <w:color w:val="auto"/>
                <w:kern w:val="2"/>
                <w:sz w:val="21"/>
                <w:szCs w:val="21"/>
                <w:highlight w:val="none"/>
                <w:lang w:val="en-US" w:eastAsia="zh-CN"/>
              </w:rPr>
              <w:t>注：须提供合同复印件并加盖投标人公章，否则不得分。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jc w:val="center"/>
        </w:trPr>
        <w:tc>
          <w:tcPr>
            <w:tcW w:w="690" w:type="dxa"/>
            <w:tcBorders>
              <w:top w:val="single" w:color="auto" w:sz="4" w:space="0"/>
              <w:left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1607"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服务便利性</w:t>
            </w:r>
          </w:p>
        </w:tc>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5</w:t>
            </w:r>
          </w:p>
        </w:tc>
        <w:tc>
          <w:tcPr>
            <w:tcW w:w="5463"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420" w:firstLineChars="200"/>
              <w:rPr>
                <w:rFonts w:ascii="宋体" w:eastAsia="宋体" w:cs="宋体"/>
                <w:color w:val="auto"/>
                <w:sz w:val="21"/>
                <w:szCs w:val="21"/>
                <w:highlight w:val="none"/>
                <w:lang w:val="zh-CN"/>
              </w:rPr>
            </w:pPr>
            <w:r>
              <w:rPr>
                <w:rFonts w:hint="eastAsia" w:ascii="宋体" w:eastAsia="宋体" w:cs="宋体"/>
                <w:color w:val="auto"/>
                <w:sz w:val="21"/>
                <w:szCs w:val="21"/>
                <w:highlight w:val="none"/>
                <w:lang w:val="zh-CN"/>
              </w:rPr>
              <w:t>根据投标人提供的服务响应时间承诺进行</w:t>
            </w:r>
            <w:r>
              <w:rPr>
                <w:rFonts w:hint="eastAsia" w:ascii="宋体" w:eastAsia="宋体" w:cs="宋体"/>
                <w:color w:val="auto"/>
                <w:sz w:val="21"/>
                <w:szCs w:val="21"/>
                <w:highlight w:val="none"/>
              </w:rPr>
              <w:t>评审：</w:t>
            </w:r>
          </w:p>
          <w:p>
            <w:pPr>
              <w:pStyle w:val="37"/>
              <w:spacing w:line="240" w:lineRule="auto"/>
              <w:ind w:firstLine="420" w:firstLineChars="200"/>
              <w:rPr>
                <w:rFonts w:ascii="宋体" w:eastAsia="宋体" w:cs="宋体"/>
                <w:color w:val="auto"/>
                <w:sz w:val="21"/>
                <w:szCs w:val="21"/>
                <w:highlight w:val="none"/>
                <w:lang w:val="zh-CN"/>
              </w:rPr>
            </w:pPr>
            <w:r>
              <w:rPr>
                <w:rFonts w:hint="eastAsia" w:ascii="宋体" w:eastAsia="宋体" w:cs="宋体"/>
                <w:color w:val="auto"/>
                <w:sz w:val="21"/>
                <w:szCs w:val="21"/>
                <w:highlight w:val="none"/>
                <w:lang w:val="zh-CN"/>
              </w:rPr>
              <w:t>承诺在接到采购人通知后1小时（</w:t>
            </w:r>
            <w:r>
              <w:rPr>
                <w:rFonts w:hint="eastAsia" w:ascii="宋体" w:eastAsia="宋体" w:cs="宋体"/>
                <w:color w:val="auto"/>
                <w:sz w:val="21"/>
                <w:szCs w:val="21"/>
                <w:highlight w:val="none"/>
                <w:lang w:val="en-US" w:eastAsia="zh-CN"/>
              </w:rPr>
              <w:t>含</w:t>
            </w:r>
            <w:r>
              <w:rPr>
                <w:rFonts w:hint="eastAsia" w:ascii="宋体" w:eastAsia="宋体" w:cs="宋体"/>
                <w:color w:val="auto"/>
                <w:sz w:val="21"/>
                <w:szCs w:val="21"/>
                <w:highlight w:val="none"/>
                <w:lang w:val="zh-CN"/>
              </w:rPr>
              <w:t>）内到现场</w:t>
            </w:r>
            <w:r>
              <w:rPr>
                <w:rFonts w:hint="eastAsia" w:ascii="宋体" w:eastAsia="宋体" w:cs="宋体"/>
                <w:color w:val="auto"/>
                <w:sz w:val="21"/>
                <w:szCs w:val="21"/>
                <w:highlight w:val="none"/>
              </w:rPr>
              <w:t>的</w:t>
            </w:r>
            <w:r>
              <w:rPr>
                <w:rFonts w:hint="eastAsia" w:ascii="宋体" w:eastAsia="宋体" w:cs="宋体"/>
                <w:color w:val="auto"/>
                <w:sz w:val="21"/>
                <w:szCs w:val="21"/>
                <w:highlight w:val="none"/>
                <w:lang w:val="zh-CN"/>
              </w:rPr>
              <w:t>，得</w:t>
            </w:r>
            <w:r>
              <w:rPr>
                <w:rFonts w:hint="eastAsia" w:ascii="宋体" w:eastAsia="宋体" w:cs="宋体"/>
                <w:color w:val="auto"/>
                <w:sz w:val="21"/>
                <w:szCs w:val="21"/>
                <w:highlight w:val="none"/>
                <w:lang w:val="en-US" w:eastAsia="zh-CN"/>
              </w:rPr>
              <w:t>5</w:t>
            </w:r>
            <w:r>
              <w:rPr>
                <w:rFonts w:hint="eastAsia" w:ascii="宋体" w:eastAsia="宋体" w:cs="宋体"/>
                <w:color w:val="auto"/>
                <w:sz w:val="21"/>
                <w:szCs w:val="21"/>
                <w:highlight w:val="none"/>
                <w:lang w:val="zh-CN"/>
              </w:rPr>
              <w:t>分；</w:t>
            </w:r>
          </w:p>
          <w:p>
            <w:pPr>
              <w:pStyle w:val="37"/>
              <w:spacing w:line="240" w:lineRule="auto"/>
              <w:ind w:firstLine="420" w:firstLineChars="200"/>
              <w:rPr>
                <w:rFonts w:ascii="宋体" w:eastAsia="宋体" w:cs="宋体"/>
                <w:color w:val="auto"/>
                <w:sz w:val="21"/>
                <w:szCs w:val="21"/>
                <w:highlight w:val="none"/>
                <w:lang w:val="zh-CN"/>
              </w:rPr>
            </w:pPr>
            <w:r>
              <w:rPr>
                <w:rFonts w:hint="eastAsia" w:ascii="宋体" w:eastAsia="宋体" w:cs="宋体"/>
                <w:color w:val="auto"/>
                <w:sz w:val="21"/>
                <w:szCs w:val="21"/>
                <w:highlight w:val="none"/>
                <w:lang w:val="zh-CN"/>
              </w:rPr>
              <w:t>承诺在接到采购人通知后2小时（</w:t>
            </w:r>
            <w:r>
              <w:rPr>
                <w:rFonts w:hint="eastAsia" w:ascii="宋体" w:eastAsia="宋体" w:cs="宋体"/>
                <w:color w:val="auto"/>
                <w:sz w:val="21"/>
                <w:szCs w:val="21"/>
                <w:highlight w:val="none"/>
                <w:lang w:val="en-US" w:eastAsia="zh-CN"/>
              </w:rPr>
              <w:t>含</w:t>
            </w:r>
            <w:r>
              <w:rPr>
                <w:rFonts w:hint="eastAsia" w:ascii="宋体" w:eastAsia="宋体" w:cs="宋体"/>
                <w:color w:val="auto"/>
                <w:sz w:val="21"/>
                <w:szCs w:val="21"/>
                <w:highlight w:val="none"/>
                <w:lang w:val="zh-CN"/>
              </w:rPr>
              <w:t>）内到现场</w:t>
            </w:r>
            <w:r>
              <w:rPr>
                <w:rFonts w:hint="eastAsia" w:ascii="宋体" w:eastAsia="宋体" w:cs="宋体"/>
                <w:color w:val="auto"/>
                <w:sz w:val="21"/>
                <w:szCs w:val="21"/>
                <w:highlight w:val="none"/>
              </w:rPr>
              <w:t>的</w:t>
            </w:r>
            <w:r>
              <w:rPr>
                <w:rFonts w:hint="eastAsia" w:ascii="宋体" w:eastAsia="宋体" w:cs="宋体"/>
                <w:color w:val="auto"/>
                <w:sz w:val="21"/>
                <w:szCs w:val="21"/>
                <w:highlight w:val="none"/>
                <w:lang w:val="zh-CN"/>
              </w:rPr>
              <w:t>，得</w:t>
            </w:r>
            <w:r>
              <w:rPr>
                <w:rFonts w:hint="eastAsia" w:ascii="宋体" w:eastAsia="宋体" w:cs="宋体"/>
                <w:color w:val="auto"/>
                <w:sz w:val="21"/>
                <w:szCs w:val="21"/>
                <w:highlight w:val="none"/>
                <w:lang w:val="en-US" w:eastAsia="zh-CN"/>
              </w:rPr>
              <w:t>3</w:t>
            </w:r>
            <w:r>
              <w:rPr>
                <w:rFonts w:hint="eastAsia" w:ascii="宋体" w:eastAsia="宋体" w:cs="宋体"/>
                <w:color w:val="auto"/>
                <w:sz w:val="21"/>
                <w:szCs w:val="21"/>
                <w:highlight w:val="none"/>
                <w:lang w:val="zh-CN"/>
              </w:rPr>
              <w:t>分；</w:t>
            </w:r>
          </w:p>
          <w:p>
            <w:pPr>
              <w:pStyle w:val="37"/>
              <w:spacing w:line="240" w:lineRule="auto"/>
              <w:ind w:firstLine="420" w:firstLineChars="200"/>
              <w:rPr>
                <w:rFonts w:ascii="宋体" w:eastAsia="宋体" w:cs="宋体"/>
                <w:color w:val="auto"/>
                <w:sz w:val="21"/>
                <w:szCs w:val="21"/>
                <w:highlight w:val="none"/>
                <w:lang w:val="zh-CN"/>
              </w:rPr>
            </w:pPr>
            <w:r>
              <w:rPr>
                <w:rFonts w:hint="eastAsia" w:ascii="宋体" w:eastAsia="宋体" w:cs="宋体"/>
                <w:color w:val="auto"/>
                <w:sz w:val="21"/>
                <w:szCs w:val="21"/>
                <w:highlight w:val="none"/>
                <w:lang w:val="zh-CN"/>
              </w:rPr>
              <w:t>承诺在接到采购人通知后3小时（</w:t>
            </w:r>
            <w:r>
              <w:rPr>
                <w:rFonts w:hint="eastAsia" w:ascii="宋体" w:eastAsia="宋体" w:cs="宋体"/>
                <w:color w:val="auto"/>
                <w:sz w:val="21"/>
                <w:szCs w:val="21"/>
                <w:highlight w:val="none"/>
                <w:lang w:val="en-US" w:eastAsia="zh-CN"/>
              </w:rPr>
              <w:t>含</w:t>
            </w:r>
            <w:r>
              <w:rPr>
                <w:rFonts w:hint="eastAsia" w:ascii="宋体" w:eastAsia="宋体" w:cs="宋体"/>
                <w:color w:val="auto"/>
                <w:sz w:val="21"/>
                <w:szCs w:val="21"/>
                <w:highlight w:val="none"/>
                <w:lang w:val="zh-CN"/>
              </w:rPr>
              <w:t>）内到现场</w:t>
            </w:r>
            <w:r>
              <w:rPr>
                <w:rFonts w:hint="eastAsia" w:ascii="宋体" w:eastAsia="宋体" w:cs="宋体"/>
                <w:color w:val="auto"/>
                <w:sz w:val="21"/>
                <w:szCs w:val="21"/>
                <w:highlight w:val="none"/>
              </w:rPr>
              <w:t>的</w:t>
            </w:r>
            <w:r>
              <w:rPr>
                <w:rFonts w:hint="eastAsia" w:ascii="宋体" w:eastAsia="宋体" w:cs="宋体"/>
                <w:color w:val="auto"/>
                <w:sz w:val="21"/>
                <w:szCs w:val="21"/>
                <w:highlight w:val="none"/>
                <w:lang w:val="zh-CN"/>
              </w:rPr>
              <w:t>，得</w:t>
            </w:r>
            <w:r>
              <w:rPr>
                <w:rFonts w:hint="eastAsia" w:ascii="宋体" w:eastAsia="宋体" w:cs="宋体"/>
                <w:color w:val="auto"/>
                <w:sz w:val="21"/>
                <w:szCs w:val="21"/>
                <w:highlight w:val="none"/>
                <w:lang w:val="en-US" w:eastAsia="zh-CN"/>
              </w:rPr>
              <w:t>1</w:t>
            </w:r>
            <w:r>
              <w:rPr>
                <w:rFonts w:hint="eastAsia" w:ascii="宋体" w:eastAsia="宋体" w:cs="宋体"/>
                <w:color w:val="auto"/>
                <w:sz w:val="21"/>
                <w:szCs w:val="21"/>
                <w:highlight w:val="none"/>
                <w:lang w:val="zh-CN"/>
              </w:rPr>
              <w:t>分；</w:t>
            </w:r>
          </w:p>
          <w:p>
            <w:pPr>
              <w:pStyle w:val="37"/>
              <w:spacing w:line="240" w:lineRule="auto"/>
              <w:ind w:firstLine="420" w:firstLineChars="200"/>
              <w:rPr>
                <w:rFonts w:ascii="宋体" w:eastAsia="宋体" w:cs="宋体"/>
                <w:color w:val="auto"/>
                <w:sz w:val="21"/>
                <w:szCs w:val="21"/>
                <w:highlight w:val="none"/>
                <w:lang w:val="zh-CN"/>
              </w:rPr>
            </w:pPr>
            <w:r>
              <w:rPr>
                <w:rFonts w:hint="eastAsia" w:ascii="宋体" w:eastAsia="宋体" w:cs="宋体"/>
                <w:color w:val="auto"/>
                <w:sz w:val="21"/>
                <w:szCs w:val="21"/>
                <w:highlight w:val="none"/>
              </w:rPr>
              <w:t>未承诺或</w:t>
            </w:r>
            <w:r>
              <w:rPr>
                <w:rFonts w:hint="eastAsia" w:ascii="宋体" w:eastAsia="宋体" w:cs="宋体"/>
                <w:color w:val="auto"/>
                <w:sz w:val="21"/>
                <w:szCs w:val="21"/>
                <w:highlight w:val="none"/>
                <w:lang w:val="en-US" w:eastAsia="zh-CN"/>
              </w:rPr>
              <w:t>其他情况</w:t>
            </w:r>
            <w:r>
              <w:rPr>
                <w:rFonts w:hint="eastAsia" w:ascii="宋体" w:eastAsia="宋体" w:cs="宋体"/>
                <w:color w:val="auto"/>
                <w:sz w:val="21"/>
                <w:szCs w:val="21"/>
                <w:highlight w:val="none"/>
                <w:lang w:val="zh-CN"/>
              </w:rPr>
              <w:t>，</w:t>
            </w:r>
            <w:r>
              <w:rPr>
                <w:rFonts w:hint="eastAsia" w:ascii="宋体" w:eastAsia="宋体" w:cs="宋体"/>
                <w:color w:val="auto"/>
                <w:sz w:val="21"/>
                <w:szCs w:val="21"/>
                <w:highlight w:val="none"/>
              </w:rPr>
              <w:t>不得分</w:t>
            </w:r>
            <w:r>
              <w:rPr>
                <w:rFonts w:hint="eastAsia" w:ascii="宋体" w:eastAsia="宋体" w:cs="宋体"/>
                <w:color w:val="auto"/>
                <w:sz w:val="21"/>
                <w:szCs w:val="21"/>
                <w:highlight w:val="none"/>
                <w:lang w:val="zh-CN"/>
              </w:rPr>
              <w:t>。</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contextualSpacing/>
              <w:textAlignment w:val="auto"/>
              <w:rPr>
                <w:rFonts w:hint="eastAsia" w:ascii="宋体" w:hAnsi="宋体" w:eastAsia="宋体" w:cs="宋体"/>
                <w:bCs/>
                <w:color w:val="auto"/>
                <w:kern w:val="2"/>
                <w:sz w:val="21"/>
                <w:szCs w:val="21"/>
                <w:highlight w:val="none"/>
                <w:lang w:val="en-US" w:eastAsia="zh-CN"/>
              </w:rPr>
            </w:pPr>
            <w:r>
              <w:rPr>
                <w:rFonts w:hint="eastAsia" w:ascii="宋体" w:eastAsia="宋体" w:cs="宋体"/>
                <w:color w:val="auto"/>
                <w:sz w:val="21"/>
                <w:szCs w:val="21"/>
                <w:highlight w:val="none"/>
                <w:lang w:val="zh-CN"/>
              </w:rPr>
              <w:t>注：</w:t>
            </w:r>
            <w:r>
              <w:rPr>
                <w:rFonts w:hint="eastAsia" w:ascii="宋体" w:eastAsia="宋体" w:cs="宋体"/>
                <w:color w:val="auto"/>
                <w:sz w:val="21"/>
                <w:szCs w:val="21"/>
                <w:highlight w:val="none"/>
              </w:rPr>
              <w:t>须</w:t>
            </w:r>
            <w:r>
              <w:rPr>
                <w:rFonts w:hint="eastAsia" w:ascii="宋体" w:eastAsia="宋体" w:cs="宋体"/>
                <w:color w:val="auto"/>
                <w:sz w:val="21"/>
                <w:szCs w:val="21"/>
                <w:highlight w:val="none"/>
                <w:lang w:val="zh-CN"/>
              </w:rPr>
              <w:t>提供单独服务承诺书，并加盖投标人公章。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技术评审</w:t>
            </w:r>
            <w:r>
              <w:rPr>
                <w:rFonts w:hint="eastAsia" w:ascii="宋体" w:hAnsi="宋体" w:eastAsia="宋体" w:cs="宋体"/>
                <w:color w:val="auto"/>
                <w:sz w:val="21"/>
                <w:szCs w:val="21"/>
                <w:highlight w:val="none"/>
                <w:lang w:eastAsia="zh-CN"/>
              </w:rPr>
              <w:t>（</w:t>
            </w:r>
            <w:r>
              <w:rPr>
                <w:rFonts w:hint="eastAsia" w:ascii="宋体" w:eastAsia="宋体" w:cs="宋体"/>
                <w:color w:val="auto"/>
                <w:sz w:val="21"/>
                <w:szCs w:val="21"/>
                <w:highlight w:val="none"/>
                <w:lang w:val="en-US" w:eastAsia="zh-CN"/>
              </w:rPr>
              <w:t>70</w:t>
            </w:r>
            <w:r>
              <w:rPr>
                <w:rFonts w:hint="eastAsia" w:ascii="宋体" w:hAnsi="宋体" w:eastAsia="宋体" w:cs="宋体"/>
                <w:color w:val="auto"/>
                <w:sz w:val="21"/>
                <w:szCs w:val="21"/>
                <w:highlight w:val="none"/>
                <w:lang w:val="en-US" w:eastAsia="zh-CN"/>
              </w:rPr>
              <w:t>分</w:t>
            </w:r>
            <w:r>
              <w:rPr>
                <w:rFonts w:hint="eastAsia" w:ascii="宋体" w:hAnsi="宋体" w:eastAsia="宋体" w:cs="宋体"/>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rPr>
              <w:t>对项目重点难点分析</w:t>
            </w:r>
          </w:p>
        </w:tc>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rPr>
              <w:t>1</w:t>
            </w:r>
            <w:r>
              <w:rPr>
                <w:rFonts w:hint="eastAsia" w:ascii="宋体" w:hAnsi="宋体" w:eastAsia="宋体" w:cs="宋体"/>
                <w:color w:val="auto"/>
                <w:kern w:val="2"/>
                <w:sz w:val="21"/>
                <w:szCs w:val="21"/>
                <w:highlight w:val="none"/>
                <w:lang w:val="en-US" w:eastAsia="zh-CN"/>
              </w:rPr>
              <w:t>0</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根据供应商对</w:t>
            </w:r>
            <w:r>
              <w:rPr>
                <w:rFonts w:hint="eastAsia" w:ascii="宋体" w:hAnsi="宋体" w:eastAsia="宋体" w:cs="宋体"/>
                <w:color w:val="auto"/>
                <w:kern w:val="2"/>
                <w:sz w:val="21"/>
                <w:szCs w:val="21"/>
                <w:highlight w:val="none"/>
              </w:rPr>
              <w:t>项目重点难点分析</w:t>
            </w:r>
            <w:r>
              <w:rPr>
                <w:rFonts w:hint="eastAsia" w:ascii="宋体" w:hAnsi="宋体" w:eastAsia="宋体" w:cs="宋体"/>
                <w:color w:val="auto"/>
                <w:kern w:val="2"/>
                <w:sz w:val="21"/>
                <w:szCs w:val="21"/>
                <w:highlight w:val="none"/>
                <w:lang w:val="en-US" w:eastAsia="zh-CN"/>
              </w:rPr>
              <w:t>的</w:t>
            </w:r>
            <w:r>
              <w:rPr>
                <w:rFonts w:hint="eastAsia" w:ascii="宋体" w:hAnsi="宋体" w:eastAsia="宋体" w:cs="宋体"/>
                <w:color w:val="auto"/>
                <w:kern w:val="2"/>
                <w:sz w:val="21"/>
                <w:szCs w:val="21"/>
                <w:highlight w:val="none"/>
              </w:rPr>
              <w:t>详细、透彻</w:t>
            </w:r>
            <w:r>
              <w:rPr>
                <w:rFonts w:hint="eastAsia" w:ascii="宋体" w:hAnsi="宋体" w:eastAsia="宋体" w:cs="宋体"/>
                <w:color w:val="auto"/>
                <w:kern w:val="2"/>
                <w:sz w:val="21"/>
                <w:szCs w:val="21"/>
                <w:highlight w:val="none"/>
                <w:lang w:val="en-US" w:eastAsia="zh-CN"/>
              </w:rPr>
              <w:t>程度及能否</w:t>
            </w:r>
            <w:r>
              <w:rPr>
                <w:rFonts w:hint="eastAsia" w:ascii="宋体" w:hAnsi="宋体" w:eastAsia="宋体" w:cs="宋体"/>
                <w:color w:val="auto"/>
                <w:kern w:val="2"/>
                <w:sz w:val="21"/>
                <w:szCs w:val="21"/>
                <w:highlight w:val="none"/>
              </w:rPr>
              <w:t>结合本项目实际情况</w:t>
            </w:r>
            <w:r>
              <w:rPr>
                <w:rFonts w:hint="eastAsia" w:ascii="宋体" w:hAnsi="宋体" w:eastAsia="宋体" w:cs="宋体"/>
                <w:color w:val="auto"/>
                <w:kern w:val="2"/>
                <w:sz w:val="21"/>
                <w:szCs w:val="21"/>
                <w:highlight w:val="none"/>
                <w:lang w:val="en-US" w:eastAsia="zh-CN"/>
              </w:rPr>
              <w:t>分析等情况进行综合评审：</w:t>
            </w:r>
          </w:p>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1)对本项目重点难点分析详细、透彻，能结合本项目实际情况分析，科学、合理的，得1</w:t>
            </w:r>
            <w:r>
              <w:rPr>
                <w:rFonts w:hint="eastAsia" w:ascii="宋体" w:hAnsi="宋体" w:eastAsia="宋体" w:cs="宋体"/>
                <w:color w:val="auto"/>
                <w:kern w:val="2"/>
                <w:sz w:val="21"/>
                <w:szCs w:val="21"/>
                <w:highlight w:val="none"/>
                <w:lang w:val="en-US" w:eastAsia="zh-CN"/>
              </w:rPr>
              <w:t>0</w:t>
            </w:r>
            <w:r>
              <w:rPr>
                <w:rFonts w:hint="eastAsia" w:ascii="宋体" w:hAnsi="宋体" w:eastAsia="宋体" w:cs="宋体"/>
                <w:color w:val="auto"/>
                <w:kern w:val="2"/>
                <w:sz w:val="21"/>
                <w:szCs w:val="21"/>
                <w:highlight w:val="none"/>
              </w:rPr>
              <w:t>分；</w:t>
            </w:r>
          </w:p>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2)对本项目重点难点分析较详细、透彻，能结合本项目实际情况分析，较科学、合理的，得</w:t>
            </w:r>
            <w:r>
              <w:rPr>
                <w:rFonts w:hint="eastAsia" w:ascii="宋体" w:hAnsi="宋体" w:eastAsia="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rPr>
              <w:t>分；</w:t>
            </w:r>
          </w:p>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)对本项目重点难点分析</w:t>
            </w:r>
            <w:r>
              <w:rPr>
                <w:rFonts w:hint="eastAsia" w:ascii="宋体" w:hAnsi="宋体" w:eastAsia="宋体" w:cs="宋体"/>
                <w:color w:val="auto"/>
                <w:kern w:val="2"/>
                <w:sz w:val="21"/>
                <w:szCs w:val="21"/>
                <w:highlight w:val="none"/>
                <w:lang w:val="en-US" w:eastAsia="zh-CN"/>
              </w:rPr>
              <w:t>基本</w:t>
            </w:r>
            <w:r>
              <w:rPr>
                <w:rFonts w:hint="eastAsia" w:ascii="宋体" w:hAnsi="宋体" w:eastAsia="宋体" w:cs="宋体"/>
                <w:color w:val="auto"/>
                <w:kern w:val="2"/>
                <w:sz w:val="21"/>
                <w:szCs w:val="21"/>
                <w:highlight w:val="none"/>
              </w:rPr>
              <w:t>详细、透彻，能结合本项目实际情况分析，合理</w:t>
            </w:r>
            <w:r>
              <w:rPr>
                <w:rFonts w:hint="eastAsia" w:ascii="宋体" w:hAnsi="宋体" w:eastAsia="宋体" w:cs="宋体"/>
                <w:color w:val="auto"/>
                <w:kern w:val="2"/>
                <w:sz w:val="21"/>
                <w:szCs w:val="21"/>
                <w:highlight w:val="none"/>
                <w:lang w:val="en-US" w:eastAsia="zh-CN"/>
              </w:rPr>
              <w:t>性一般</w:t>
            </w:r>
            <w:r>
              <w:rPr>
                <w:rFonts w:hint="eastAsia" w:ascii="宋体" w:hAnsi="宋体" w:eastAsia="宋体" w:cs="宋体"/>
                <w:color w:val="auto"/>
                <w:kern w:val="2"/>
                <w:sz w:val="21"/>
                <w:szCs w:val="21"/>
                <w:highlight w:val="none"/>
              </w:rPr>
              <w:t>的，得</w:t>
            </w:r>
            <w:r>
              <w:rPr>
                <w:rFonts w:hint="eastAsia" w:ascii="宋体" w:hAnsi="宋体" w:eastAsia="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分；</w:t>
            </w:r>
          </w:p>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)对本项目重点难点分析不详细，不能结合本项目实际情况分析，缺乏科学合理性的，得</w:t>
            </w:r>
            <w:r>
              <w:rPr>
                <w:rFonts w:hint="eastAsia" w:ascii="宋体" w:hAnsi="宋体" w:eastAsia="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rPr>
              <w:t>分；</w:t>
            </w:r>
          </w:p>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)其他或无响应，得0分。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16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bCs/>
                <w:color w:val="auto"/>
                <w:kern w:val="2"/>
                <w:sz w:val="21"/>
                <w:szCs w:val="21"/>
                <w:highlight w:val="none"/>
              </w:rPr>
              <w:t>投标产品的质量保证和食品安全保障措施方案</w:t>
            </w:r>
          </w:p>
        </w:tc>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15</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根据供应商对</w:t>
            </w:r>
            <w:r>
              <w:rPr>
                <w:rFonts w:hint="eastAsia" w:ascii="宋体" w:hAnsi="宋体" w:eastAsia="宋体" w:cs="宋体"/>
                <w:bCs/>
                <w:color w:val="auto"/>
                <w:kern w:val="2"/>
                <w:sz w:val="21"/>
                <w:szCs w:val="21"/>
                <w:highlight w:val="none"/>
              </w:rPr>
              <w:t>投标产品的质量保证和食品安全保障措施方案</w:t>
            </w:r>
            <w:r>
              <w:rPr>
                <w:rFonts w:hint="eastAsia" w:ascii="宋体" w:hAnsi="宋体" w:eastAsia="宋体" w:cs="宋体"/>
                <w:bCs/>
                <w:color w:val="auto"/>
                <w:kern w:val="2"/>
                <w:sz w:val="21"/>
                <w:szCs w:val="21"/>
                <w:highlight w:val="none"/>
                <w:lang w:val="en-US" w:eastAsia="zh-CN"/>
              </w:rPr>
              <w:t>进行综合评审：</w:t>
            </w:r>
          </w:p>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1)投标产品的来源回溯、加工、运储、仓储各环节的质量保证及食品安全保障措施完整、科学、合理的得15分；</w:t>
            </w:r>
          </w:p>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2)投标产品的来源回溯、加工、运储、仓储各环节的质量保证及食品安全保障措施完整、较科学、合理的得10分；</w:t>
            </w:r>
          </w:p>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3)投标产品的来源回溯、加工、运储、仓储各环节的质量保证及食品安全保障措施基本完整、基本科学、合理的得5分；</w:t>
            </w:r>
          </w:p>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4)投标产品的来源回溯、加工、运储、仓储各环节的质量保证及食品安全保障措施不完整、缺乏科学合理性的得1分；</w:t>
            </w:r>
          </w:p>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)其他或无响应，得0分。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6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rPr>
              <w:t>配送服务方案</w:t>
            </w:r>
          </w:p>
        </w:tc>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15</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根据供应商提供的</w:t>
            </w:r>
            <w:r>
              <w:rPr>
                <w:rFonts w:hint="eastAsia" w:ascii="宋体" w:hAnsi="宋体" w:eastAsia="宋体" w:cs="宋体"/>
                <w:color w:val="auto"/>
                <w:kern w:val="2"/>
                <w:sz w:val="21"/>
                <w:szCs w:val="21"/>
                <w:highlight w:val="none"/>
              </w:rPr>
              <w:t>配送服务方案</w:t>
            </w:r>
            <w:r>
              <w:rPr>
                <w:rFonts w:hint="eastAsia" w:ascii="宋体" w:hAnsi="宋体" w:eastAsia="宋体" w:cs="宋体"/>
                <w:color w:val="auto"/>
                <w:kern w:val="2"/>
                <w:sz w:val="21"/>
                <w:szCs w:val="21"/>
                <w:highlight w:val="none"/>
                <w:lang w:val="en-US" w:eastAsia="zh-CN"/>
              </w:rPr>
              <w:t>进行综合评审：</w:t>
            </w:r>
          </w:p>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1)方案内容完整、详细、表述清晰、科学合理、切实可行，得15分；</w:t>
            </w:r>
          </w:p>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2)方案内容比较完整、详细、表述比较清晰、合理、可行，得10分；</w:t>
            </w:r>
          </w:p>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3)方案内容基本完整、表述基本清晰、基本合理可行，得5分；</w:t>
            </w:r>
          </w:p>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4)方案内容不完整、表述不清晰、缺乏合理性，得1分；</w:t>
            </w:r>
          </w:p>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rPr>
              <w:t>5)其他或无响应，得0分。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6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rPr>
              <w:t>出现产品质量问题退换货方案</w:t>
            </w:r>
          </w:p>
        </w:tc>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根据</w:t>
            </w:r>
            <w:r>
              <w:rPr>
                <w:rFonts w:hint="eastAsia" w:ascii="宋体" w:hAnsi="宋体" w:eastAsia="宋体" w:cs="宋体"/>
                <w:color w:val="auto"/>
                <w:kern w:val="2"/>
                <w:sz w:val="21"/>
                <w:szCs w:val="21"/>
                <w:highlight w:val="none"/>
                <w:lang w:val="en-US" w:eastAsia="zh-CN"/>
              </w:rPr>
              <w:t>供应商提供</w:t>
            </w:r>
            <w:r>
              <w:rPr>
                <w:rFonts w:hint="eastAsia" w:ascii="宋体" w:hAnsi="宋体" w:eastAsia="宋体" w:cs="宋体"/>
                <w:color w:val="auto"/>
                <w:kern w:val="2"/>
                <w:sz w:val="21"/>
                <w:szCs w:val="21"/>
                <w:highlight w:val="none"/>
              </w:rPr>
              <w:t>的退换方案（包含：退换流程）及措施进行</w:t>
            </w:r>
            <w:r>
              <w:rPr>
                <w:rFonts w:hint="eastAsia" w:ascii="宋体" w:hAnsi="宋体" w:eastAsia="宋体" w:cs="宋体"/>
                <w:color w:val="auto"/>
                <w:kern w:val="2"/>
                <w:sz w:val="21"/>
                <w:szCs w:val="21"/>
                <w:highlight w:val="none"/>
                <w:lang w:val="en-US" w:eastAsia="zh-CN"/>
              </w:rPr>
              <w:t>综合评审</w:t>
            </w:r>
            <w:r>
              <w:rPr>
                <w:rFonts w:hint="eastAsia" w:ascii="宋体" w:hAnsi="宋体" w:eastAsia="宋体" w:cs="宋体"/>
                <w:color w:val="auto"/>
                <w:kern w:val="2"/>
                <w:sz w:val="21"/>
                <w:szCs w:val="21"/>
                <w:highlight w:val="none"/>
              </w:rPr>
              <w:t>：</w:t>
            </w:r>
          </w:p>
          <w:p>
            <w:pPr>
              <w:keepNext w:val="0"/>
              <w:keepLines w:val="0"/>
              <w:pageBreakBefore w:val="0"/>
              <w:widowControl w:val="0"/>
              <w:numPr>
                <w:ilvl w:val="0"/>
                <w:numId w:val="3"/>
              </w:numPr>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退换货方案全面、详细具体、流程科学（合理）、退换货周期快速，得</w:t>
            </w:r>
            <w:r>
              <w:rPr>
                <w:rFonts w:hint="eastAsia" w:ascii="宋体" w:hAnsi="宋体" w:cs="宋体"/>
                <w:color w:val="auto"/>
                <w:kern w:val="2"/>
                <w:sz w:val="21"/>
                <w:szCs w:val="21"/>
                <w:highlight w:val="none"/>
                <w:lang w:val="en-US" w:eastAsia="zh-CN"/>
              </w:rPr>
              <w:t>15</w:t>
            </w:r>
            <w:r>
              <w:rPr>
                <w:rFonts w:hint="eastAsia" w:ascii="宋体" w:hAnsi="宋体" w:eastAsia="宋体" w:cs="宋体"/>
                <w:color w:val="auto"/>
                <w:kern w:val="2"/>
                <w:sz w:val="21"/>
                <w:szCs w:val="21"/>
                <w:highlight w:val="none"/>
              </w:rPr>
              <w:t>分；</w:t>
            </w:r>
          </w:p>
          <w:p>
            <w:pPr>
              <w:keepNext w:val="0"/>
              <w:keepLines w:val="0"/>
              <w:pageBreakBefore w:val="0"/>
              <w:widowControl w:val="0"/>
              <w:numPr>
                <w:ilvl w:val="-1"/>
                <w:numId w:val="0"/>
              </w:numPr>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rPr>
              <w:t>)退换货方案</w:t>
            </w:r>
            <w:r>
              <w:rPr>
                <w:rFonts w:hint="eastAsia" w:ascii="宋体" w:hAnsi="宋体" w:eastAsia="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全面、</w:t>
            </w:r>
            <w:r>
              <w:rPr>
                <w:rFonts w:hint="eastAsia" w:ascii="宋体" w:hAnsi="宋体" w:eastAsia="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具体、流程</w:t>
            </w:r>
            <w:r>
              <w:rPr>
                <w:rFonts w:hint="eastAsia" w:ascii="宋体" w:hAnsi="宋体" w:eastAsia="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合理、退换货周期快速，得</w:t>
            </w:r>
            <w:r>
              <w:rPr>
                <w:rFonts w:hint="eastAsia" w:ascii="宋体" w:hAnsi="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分；</w:t>
            </w:r>
          </w:p>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)退换货方案不够全面、简略一般、流程基本合理、退换货周期一般，得</w:t>
            </w:r>
            <w:r>
              <w:rPr>
                <w:rFonts w:hint="eastAsia" w:ascii="宋体" w:hAnsi="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分；</w:t>
            </w:r>
          </w:p>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)退换货方案存在重大缺陷、流程具有重大漏洞的、退换货周期慢，得</w:t>
            </w:r>
            <w:r>
              <w:rPr>
                <w:rFonts w:hint="eastAsia" w:ascii="宋体" w:hAnsi="宋体" w:eastAsia="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rPr>
              <w:t>分；</w:t>
            </w:r>
          </w:p>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)其他或无响应，得0分。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6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rPr>
              <w:t>突发事件的应急响应方案</w:t>
            </w:r>
          </w:p>
        </w:tc>
        <w:tc>
          <w:tcPr>
            <w:tcW w:w="7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w:t>
            </w:r>
            <w:r>
              <w:rPr>
                <w:rFonts w:hint="eastAsia" w:ascii="宋体" w:hAnsi="宋体" w:eastAsia="宋体" w:cs="宋体"/>
                <w:color w:val="auto"/>
                <w:kern w:val="2"/>
                <w:sz w:val="21"/>
                <w:szCs w:val="21"/>
                <w:highlight w:val="none"/>
                <w:lang w:val="en-US" w:eastAsia="zh-CN"/>
              </w:rPr>
              <w:t>5</w:t>
            </w:r>
          </w:p>
        </w:tc>
        <w:tc>
          <w:tcPr>
            <w:tcW w:w="5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根据</w:t>
            </w:r>
            <w:r>
              <w:rPr>
                <w:rFonts w:hint="eastAsia" w:ascii="宋体" w:hAnsi="宋体" w:eastAsia="宋体" w:cs="宋体"/>
                <w:color w:val="auto"/>
                <w:kern w:val="2"/>
                <w:sz w:val="21"/>
                <w:szCs w:val="21"/>
                <w:highlight w:val="none"/>
                <w:lang w:val="en-US" w:eastAsia="zh-CN"/>
              </w:rPr>
              <w:t>供应商</w:t>
            </w:r>
            <w:r>
              <w:rPr>
                <w:rFonts w:hint="eastAsia" w:ascii="宋体" w:hAnsi="宋体" w:eastAsia="宋体" w:cs="宋体"/>
                <w:color w:val="auto"/>
                <w:kern w:val="2"/>
                <w:sz w:val="21"/>
                <w:szCs w:val="21"/>
                <w:highlight w:val="none"/>
              </w:rPr>
              <w:t>提供</w:t>
            </w:r>
            <w:r>
              <w:rPr>
                <w:rFonts w:hint="eastAsia" w:ascii="宋体" w:hAnsi="宋体" w:eastAsia="宋体" w:cs="宋体"/>
                <w:color w:val="auto"/>
                <w:kern w:val="2"/>
                <w:sz w:val="21"/>
                <w:szCs w:val="21"/>
                <w:highlight w:val="none"/>
                <w:lang w:val="en-US" w:eastAsia="zh-CN"/>
              </w:rPr>
              <w:t>的</w:t>
            </w:r>
            <w:r>
              <w:rPr>
                <w:rFonts w:hint="eastAsia" w:ascii="宋体" w:hAnsi="宋体" w:eastAsia="宋体" w:cs="宋体"/>
                <w:color w:val="auto"/>
                <w:kern w:val="2"/>
                <w:sz w:val="21"/>
                <w:szCs w:val="21"/>
                <w:highlight w:val="none"/>
              </w:rPr>
              <w:t>项目实施应急服务预案</w:t>
            </w:r>
            <w:r>
              <w:rPr>
                <w:rFonts w:hint="eastAsia" w:ascii="宋体" w:hAnsi="宋体" w:eastAsia="宋体" w:cs="宋体"/>
                <w:color w:val="auto"/>
                <w:kern w:val="2"/>
                <w:sz w:val="21"/>
                <w:szCs w:val="21"/>
                <w:highlight w:val="none"/>
                <w:lang w:val="en-US" w:eastAsia="zh-CN"/>
              </w:rPr>
              <w:t>进行综合评审</w:t>
            </w:r>
            <w:r>
              <w:rPr>
                <w:rFonts w:hint="eastAsia" w:ascii="宋体" w:hAnsi="宋体" w:eastAsia="宋体" w:cs="宋体"/>
                <w:color w:val="auto"/>
                <w:kern w:val="2"/>
                <w:sz w:val="21"/>
                <w:szCs w:val="21"/>
                <w:highlight w:val="none"/>
              </w:rPr>
              <w:t>：</w:t>
            </w:r>
          </w:p>
          <w:p>
            <w:pPr>
              <w:keepNext w:val="0"/>
              <w:keepLines w:val="0"/>
              <w:pageBreakBefore w:val="0"/>
              <w:widowControl w:val="0"/>
              <w:numPr>
                <w:ilvl w:val="0"/>
                <w:numId w:val="4"/>
              </w:numPr>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针对本项目拟定的突发事件的处理措施和应急预案全面、科学、合理、可行且详细的，得</w:t>
            </w:r>
            <w:r>
              <w:rPr>
                <w:rFonts w:hint="eastAsia" w:ascii="宋体" w:hAnsi="宋体" w:eastAsia="宋体" w:cs="宋体"/>
                <w:color w:val="auto"/>
                <w:kern w:val="2"/>
                <w:sz w:val="21"/>
                <w:szCs w:val="21"/>
                <w:highlight w:val="none"/>
                <w:lang w:val="en-US" w:eastAsia="zh-CN"/>
              </w:rPr>
              <w:t>15</w:t>
            </w:r>
            <w:r>
              <w:rPr>
                <w:rFonts w:hint="eastAsia" w:ascii="宋体" w:hAnsi="宋体" w:eastAsia="宋体" w:cs="宋体"/>
                <w:color w:val="auto"/>
                <w:kern w:val="2"/>
                <w:sz w:val="21"/>
                <w:szCs w:val="21"/>
                <w:highlight w:val="none"/>
              </w:rPr>
              <w:t>分；</w:t>
            </w:r>
          </w:p>
          <w:p>
            <w:pPr>
              <w:keepNext w:val="0"/>
              <w:keepLines w:val="0"/>
              <w:pageBreakBefore w:val="0"/>
              <w:widowControl w:val="0"/>
              <w:numPr>
                <w:ilvl w:val="0"/>
                <w:numId w:val="0"/>
              </w:numPr>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rPr>
              <w:t>)针对本项目拟定的突发事件的处理措施和应急预案</w:t>
            </w:r>
            <w:r>
              <w:rPr>
                <w:rFonts w:hint="eastAsia" w:ascii="宋体" w:hAnsi="宋体" w:eastAsia="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全面、</w:t>
            </w:r>
            <w:r>
              <w:rPr>
                <w:rFonts w:hint="eastAsia" w:ascii="宋体" w:hAnsi="宋体" w:eastAsia="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合理、</w:t>
            </w:r>
            <w:r>
              <w:rPr>
                <w:rFonts w:hint="eastAsia" w:ascii="宋体" w:hAnsi="宋体" w:eastAsia="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可行的，得</w:t>
            </w:r>
            <w:r>
              <w:rPr>
                <w:rFonts w:hint="eastAsia" w:ascii="宋体" w:hAnsi="宋体" w:eastAsia="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分；</w:t>
            </w:r>
          </w:p>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)针对本项目拟定的突发事件的处理措施和应急预案</w:t>
            </w:r>
            <w:r>
              <w:rPr>
                <w:rFonts w:hint="eastAsia" w:ascii="宋体" w:hAnsi="宋体" w:eastAsia="宋体" w:cs="宋体"/>
                <w:color w:val="auto"/>
                <w:kern w:val="2"/>
                <w:sz w:val="21"/>
                <w:szCs w:val="21"/>
                <w:highlight w:val="none"/>
                <w:lang w:val="en-US" w:eastAsia="zh-CN"/>
              </w:rPr>
              <w:t>基本</w:t>
            </w:r>
            <w:r>
              <w:rPr>
                <w:rFonts w:hint="eastAsia" w:ascii="宋体" w:hAnsi="宋体" w:eastAsia="宋体" w:cs="宋体"/>
                <w:color w:val="auto"/>
                <w:kern w:val="2"/>
                <w:sz w:val="21"/>
                <w:szCs w:val="21"/>
                <w:highlight w:val="none"/>
              </w:rPr>
              <w:t>全面、</w:t>
            </w:r>
            <w:r>
              <w:rPr>
                <w:rFonts w:hint="eastAsia" w:ascii="宋体" w:hAnsi="宋体" w:eastAsia="宋体" w:cs="宋体"/>
                <w:color w:val="auto"/>
                <w:kern w:val="2"/>
                <w:sz w:val="21"/>
                <w:szCs w:val="21"/>
                <w:highlight w:val="none"/>
                <w:lang w:val="en-US" w:eastAsia="zh-CN"/>
              </w:rPr>
              <w:t>基本</w:t>
            </w:r>
            <w:r>
              <w:rPr>
                <w:rFonts w:hint="eastAsia" w:ascii="宋体" w:hAnsi="宋体" w:eastAsia="宋体" w:cs="宋体"/>
                <w:color w:val="auto"/>
                <w:kern w:val="2"/>
                <w:sz w:val="21"/>
                <w:szCs w:val="21"/>
                <w:highlight w:val="none"/>
              </w:rPr>
              <w:t>合理</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基本</w:t>
            </w:r>
            <w:r>
              <w:rPr>
                <w:rFonts w:hint="eastAsia" w:ascii="宋体" w:hAnsi="宋体" w:eastAsia="宋体" w:cs="宋体"/>
                <w:color w:val="auto"/>
                <w:kern w:val="2"/>
                <w:sz w:val="21"/>
                <w:szCs w:val="21"/>
                <w:highlight w:val="none"/>
              </w:rPr>
              <w:t>可行的，得</w:t>
            </w:r>
            <w:r>
              <w:rPr>
                <w:rFonts w:hint="eastAsia" w:ascii="宋体" w:hAnsi="宋体" w:eastAsia="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分；</w:t>
            </w:r>
          </w:p>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)针对本项目拟定的突发事件的处理措施和应急预案不全面、</w:t>
            </w:r>
            <w:r>
              <w:rPr>
                <w:rFonts w:hint="eastAsia" w:ascii="宋体" w:hAnsi="宋体" w:eastAsia="宋体" w:cs="宋体"/>
                <w:color w:val="auto"/>
                <w:kern w:val="2"/>
                <w:sz w:val="21"/>
                <w:szCs w:val="21"/>
                <w:highlight w:val="none"/>
                <w:lang w:val="en-US" w:eastAsia="zh-CN"/>
              </w:rPr>
              <w:t>不</w:t>
            </w:r>
            <w:r>
              <w:rPr>
                <w:rFonts w:hint="eastAsia" w:ascii="宋体" w:hAnsi="宋体" w:eastAsia="宋体" w:cs="宋体"/>
                <w:color w:val="auto"/>
                <w:kern w:val="2"/>
                <w:sz w:val="21"/>
                <w:szCs w:val="21"/>
                <w:highlight w:val="none"/>
              </w:rPr>
              <w:t>合理的，得</w:t>
            </w:r>
            <w:r>
              <w:rPr>
                <w:rFonts w:hint="eastAsia" w:ascii="宋体" w:hAnsi="宋体" w:eastAsia="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rPr>
              <w:t>分；</w:t>
            </w:r>
          </w:p>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)其他或无响应，得0分。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除</w:t>
            </w:r>
            <w:r>
              <w:rPr>
                <w:rFonts w:hint="eastAsia" w:ascii="宋体" w:hAnsi="宋体" w:eastAsia="宋体" w:cs="宋体"/>
                <w:b/>
                <w:color w:val="auto"/>
                <w:sz w:val="21"/>
                <w:szCs w:val="21"/>
                <w:highlight w:val="none"/>
              </w:rPr>
              <w:t>特殊说明外，以上评审项，同一证明文件不重复计分。</w:t>
            </w:r>
          </w:p>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firstLine="422"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（2）投标人根据以上评分要求提供的</w:t>
            </w:r>
            <w:r>
              <w:rPr>
                <w:rFonts w:hint="eastAsia" w:ascii="宋体" w:hAnsi="宋体" w:eastAsia="宋体" w:cs="宋体"/>
                <w:b/>
                <w:color w:val="auto"/>
                <w:sz w:val="21"/>
                <w:szCs w:val="21"/>
                <w:highlight w:val="none"/>
                <w:lang w:eastAsia="zh-CN"/>
              </w:rPr>
              <w:t>投标材料</w:t>
            </w:r>
            <w:r>
              <w:rPr>
                <w:rFonts w:hint="eastAsia" w:ascii="宋体" w:hAnsi="宋体" w:eastAsia="宋体" w:cs="宋体"/>
                <w:b/>
                <w:color w:val="auto"/>
                <w:sz w:val="21"/>
                <w:szCs w:val="21"/>
                <w:highlight w:val="none"/>
              </w:rPr>
              <w:t>因模糊不清导致评标委员会无法清晰辨认进行评审的，</w:t>
            </w:r>
            <w:r>
              <w:rPr>
                <w:rFonts w:hint="eastAsia" w:ascii="宋体" w:hAnsi="宋体" w:eastAsia="宋体" w:cs="宋体"/>
                <w:b/>
                <w:color w:val="auto"/>
                <w:sz w:val="21"/>
                <w:szCs w:val="21"/>
                <w:highlight w:val="none"/>
                <w:lang w:eastAsia="zh-CN"/>
              </w:rPr>
              <w:t>视为无效材料</w:t>
            </w:r>
            <w:r>
              <w:rPr>
                <w:rFonts w:hint="eastAsia" w:ascii="宋体" w:hAnsi="宋体" w:eastAsia="宋体" w:cs="宋体"/>
                <w:b/>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rPr>
              <w:t>价格评审</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10分</w:t>
            </w:r>
            <w:r>
              <w:rPr>
                <w:rFonts w:hint="eastAsia" w:ascii="宋体" w:hAnsi="宋体" w:eastAsia="宋体" w:cs="宋体"/>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7832" w:type="dxa"/>
            <w:gridSpan w:val="3"/>
            <w:tcBorders>
              <w:top w:val="single" w:color="auto" w:sz="4" w:space="0"/>
              <w:left w:val="single" w:color="auto" w:sz="4" w:space="0"/>
              <w:bottom w:val="single" w:color="auto" w:sz="4" w:space="0"/>
              <w:right w:val="single" w:color="auto" w:sz="4" w:space="0"/>
            </w:tcBorders>
            <w:vAlign w:val="center"/>
          </w:tcPr>
          <w:p>
            <w:pPr>
              <w:pStyle w:val="37"/>
              <w:keepNext w:val="0"/>
              <w:keepLines w:val="0"/>
              <w:pageBreakBefore w:val="0"/>
              <w:shd w:val="clear"/>
              <w:kinsoku/>
              <w:wordWrap/>
              <w:overflowPunct/>
              <w:topLinePunct w:val="0"/>
              <w:autoSpaceDE/>
              <w:autoSpaceDN/>
              <w:bidi w:val="0"/>
              <w:spacing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rPr>
              <w:t>格分计算方法：满足招标文件要求且投标报价最低（即最大下浮率）的投标报价为评标基准价，其价格分为满分。其他</w:t>
            </w:r>
            <w:r>
              <w:rPr>
                <w:rFonts w:hint="eastAsia" w:ascii="宋体" w:hAnsi="宋体" w:eastAsia="宋体" w:cs="宋体"/>
                <w:bCs/>
                <w:color w:val="auto"/>
                <w:sz w:val="21"/>
                <w:szCs w:val="21"/>
                <w:highlight w:val="none"/>
                <w:lang w:val="zh-CN" w:eastAsia="zh-CN"/>
              </w:rPr>
              <w:t>供应商</w:t>
            </w:r>
            <w:r>
              <w:rPr>
                <w:rFonts w:hint="eastAsia" w:ascii="宋体" w:hAnsi="宋体" w:eastAsia="宋体" w:cs="宋体"/>
                <w:bCs/>
                <w:color w:val="auto"/>
                <w:sz w:val="21"/>
                <w:szCs w:val="21"/>
                <w:highlight w:val="none"/>
                <w:lang w:val="zh-CN"/>
              </w:rPr>
              <w:t>的价格分统一按照下列公式计算：</w:t>
            </w:r>
            <w:r>
              <w:rPr>
                <w:rFonts w:hint="eastAsia" w:ascii="宋体" w:hAnsi="宋体" w:eastAsia="宋体" w:cs="宋体"/>
                <w:bCs/>
                <w:color w:val="auto"/>
                <w:sz w:val="21"/>
                <w:szCs w:val="21"/>
                <w:highlight w:val="none"/>
                <w:lang w:val="zh-CN" w:eastAsia="zh-CN"/>
              </w:rPr>
              <w:t xml:space="preserve">   </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zh-CN"/>
              </w:rPr>
              <w:t>投标报价得分=[(1-最大下浮率)／(1-投标下浮率)] ×价格权重</w:t>
            </w:r>
          </w:p>
        </w:tc>
      </w:tr>
    </w:tbl>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3"/>
        <w:spacing w:before="0" w:after="0" w:line="240" w:lineRule="auto"/>
        <w:rPr>
          <w:color w:val="auto"/>
          <w:sz w:val="24"/>
          <w:szCs w:val="24"/>
          <w:highlight w:val="none"/>
        </w:rPr>
      </w:pPr>
      <w:bookmarkStart w:id="17" w:name="_Toc30638"/>
      <w:bookmarkStart w:id="18" w:name="_Toc29685"/>
      <w:bookmarkStart w:id="19" w:name="_Toc2479"/>
      <w:bookmarkStart w:id="20" w:name="_Toc14146"/>
      <w:r>
        <w:rPr>
          <w:rFonts w:hint="eastAsia"/>
          <w:color w:val="auto"/>
          <w:sz w:val="28"/>
          <w:szCs w:val="28"/>
          <w:highlight w:val="none"/>
        </w:rPr>
        <w:t>第</w:t>
      </w:r>
      <w:r>
        <w:rPr>
          <w:rFonts w:hint="eastAsia"/>
          <w:color w:val="auto"/>
          <w:sz w:val="28"/>
          <w:szCs w:val="28"/>
          <w:highlight w:val="none"/>
          <w:lang w:val="en-US" w:eastAsia="zh-CN"/>
        </w:rPr>
        <w:t>四</w:t>
      </w:r>
      <w:r>
        <w:rPr>
          <w:rFonts w:hint="eastAsia"/>
          <w:color w:val="auto"/>
          <w:sz w:val="28"/>
          <w:szCs w:val="28"/>
          <w:highlight w:val="none"/>
        </w:rPr>
        <w:t>部分 投标人须知</w:t>
      </w:r>
      <w:bookmarkEnd w:id="17"/>
      <w:bookmarkEnd w:id="18"/>
      <w:bookmarkEnd w:id="19"/>
    </w:p>
    <w:p>
      <w:pPr>
        <w:pStyle w:val="4"/>
        <w:numPr>
          <w:ilvl w:val="0"/>
          <w:numId w:val="0"/>
        </w:numPr>
        <w:spacing w:before="0" w:after="0" w:line="480" w:lineRule="auto"/>
        <w:ind w:leftChars="0"/>
        <w:jc w:val="center"/>
        <w:rPr>
          <w:rFonts w:ascii="宋体" w:hAnsi="宋体" w:eastAsia="宋体"/>
          <w:color w:val="auto"/>
          <w:highlight w:val="none"/>
        </w:rPr>
      </w:pPr>
      <w:bookmarkStart w:id="21" w:name="_Toc3095"/>
      <w:bookmarkStart w:id="22" w:name="_Toc11105"/>
      <w:bookmarkStart w:id="23" w:name="_Toc19746"/>
      <w:r>
        <w:rPr>
          <w:rFonts w:hint="eastAsia" w:ascii="宋体" w:hAnsi="宋体"/>
          <w:color w:val="auto"/>
          <w:highlight w:val="none"/>
          <w:lang w:val="en-US" w:eastAsia="zh-CN"/>
        </w:rPr>
        <w:t>第一章</w:t>
      </w:r>
      <w:r>
        <w:rPr>
          <w:rFonts w:hint="eastAsia" w:ascii="宋体" w:hAnsi="宋体" w:eastAsia="宋体"/>
          <w:color w:val="auto"/>
          <w:highlight w:val="none"/>
        </w:rPr>
        <w:t>说明</w:t>
      </w:r>
      <w:bookmarkEnd w:id="21"/>
      <w:bookmarkEnd w:id="22"/>
      <w:bookmarkEnd w:id="23"/>
    </w:p>
    <w:p>
      <w:pPr>
        <w:pStyle w:val="5"/>
        <w:widowControl w:val="0"/>
        <w:overflowPunct w:val="0"/>
        <w:spacing w:before="0" w:after="0" w:line="240" w:lineRule="auto"/>
        <w:rPr>
          <w:rFonts w:ascii="宋体" w:hAnsi="宋体" w:eastAsia="宋体"/>
          <w:color w:val="auto"/>
          <w:sz w:val="21"/>
          <w:szCs w:val="21"/>
          <w:highlight w:val="none"/>
        </w:rPr>
      </w:pPr>
      <w:bookmarkStart w:id="24" w:name="_Toc22847"/>
      <w:bookmarkStart w:id="25" w:name="_Toc22803"/>
      <w:bookmarkStart w:id="26" w:name="_Toc18488"/>
      <w:r>
        <w:rPr>
          <w:rFonts w:hint="eastAsia" w:ascii="宋体" w:hAnsi="宋体" w:eastAsia="宋体"/>
          <w:color w:val="auto"/>
          <w:sz w:val="21"/>
          <w:szCs w:val="21"/>
          <w:highlight w:val="none"/>
        </w:rPr>
        <w:t>1.适用范围</w:t>
      </w:r>
      <w:bookmarkEnd w:id="24"/>
      <w:bookmarkEnd w:id="25"/>
      <w:bookmarkEnd w:id="26"/>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招标范围：见本文件《用户需求书》</w:t>
      </w:r>
    </w:p>
    <w:p>
      <w:pPr>
        <w:rPr>
          <w:color w:val="auto"/>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27" w:name="_Toc21002"/>
      <w:bookmarkStart w:id="28" w:name="_Toc13400"/>
      <w:bookmarkStart w:id="29" w:name="_Toc16848"/>
      <w:r>
        <w:rPr>
          <w:rFonts w:hint="eastAsia" w:ascii="宋体" w:hAnsi="宋体" w:eastAsia="宋体"/>
          <w:color w:val="auto"/>
          <w:sz w:val="21"/>
          <w:szCs w:val="21"/>
          <w:highlight w:val="none"/>
        </w:rPr>
        <w:t>2.</w:t>
      </w:r>
      <w:bookmarkStart w:id="30" w:name="_Toc298847174"/>
      <w:bookmarkStart w:id="31" w:name="_Toc303084246"/>
      <w:bookmarkStart w:id="32" w:name="_Toc382049092"/>
      <w:bookmarkStart w:id="33" w:name="_Toc1530"/>
      <w:r>
        <w:rPr>
          <w:rFonts w:hint="eastAsia" w:ascii="宋体" w:hAnsi="宋体" w:eastAsia="宋体"/>
          <w:color w:val="auto"/>
          <w:sz w:val="21"/>
          <w:szCs w:val="21"/>
          <w:highlight w:val="none"/>
        </w:rPr>
        <w:t>定义</w:t>
      </w:r>
      <w:bookmarkEnd w:id="27"/>
      <w:bookmarkEnd w:id="28"/>
      <w:bookmarkEnd w:id="29"/>
      <w:bookmarkEnd w:id="30"/>
      <w:bookmarkEnd w:id="31"/>
      <w:bookmarkEnd w:id="32"/>
      <w:bookmarkEnd w:id="33"/>
    </w:p>
    <w:p>
      <w:pPr>
        <w:pStyle w:val="34"/>
        <w:widowControl w:val="0"/>
        <w:numPr>
          <w:ilvl w:val="0"/>
          <w:numId w:val="5"/>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是指</w:t>
      </w:r>
      <w:r>
        <w:rPr>
          <w:rFonts w:hint="eastAsia" w:ascii="宋体" w:hAnsi="宋体"/>
          <w:color w:val="auto"/>
          <w:sz w:val="21"/>
          <w:szCs w:val="21"/>
          <w:highlight w:val="none"/>
          <w:lang w:val="en-US" w:eastAsia="zh-CN"/>
        </w:rPr>
        <w:t>东莞市横沥商务服务有限公司</w:t>
      </w:r>
      <w:r>
        <w:rPr>
          <w:rFonts w:hint="eastAsia" w:ascii="宋体" w:hAnsi="宋体" w:eastAsia="宋体"/>
          <w:color w:val="auto"/>
          <w:sz w:val="21"/>
          <w:szCs w:val="21"/>
          <w:highlight w:val="none"/>
        </w:rPr>
        <w:t>。</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投标人：响应招标并且符合招标文件规定资格条件和参加投标竞争的法人、其他组织或者自然人。</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法人：法人是依法在国内进行注册并具有民事权利能力和民事行为能力，依法独立享有民事权利和承担民事义务的组织。</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中标人：指经评标委员会评审推荐、采购人确认的获得本项目中标资格的投标人。</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widowControl w:val="0"/>
        <w:numPr>
          <w:ilvl w:val="1"/>
          <w:numId w:val="5"/>
        </w:numPr>
        <w:adjustRightInd/>
        <w:snapToGrid/>
        <w:spacing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w:t>
      </w:r>
      <w:r>
        <w:rPr>
          <w:rFonts w:hint="eastAsia" w:ascii="宋体" w:hAnsi="宋体"/>
          <w:color w:val="auto"/>
          <w:szCs w:val="21"/>
          <w:highlight w:val="none"/>
        </w:rPr>
        <w:t>评标委员会是依据相关规定组建的专门负责本次招标其评标工作的临时性机构。</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合同：指由本次招标所产生的合同或合约文件。</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公章：</w:t>
      </w:r>
      <w:r>
        <w:rPr>
          <w:rFonts w:ascii="宋体" w:hAnsi="宋体" w:eastAsia="宋体"/>
          <w:color w:val="auto"/>
          <w:sz w:val="21"/>
          <w:szCs w:val="21"/>
          <w:highlight w:val="none"/>
        </w:rPr>
        <w:t>公章是</w:t>
      </w:r>
      <w:r>
        <w:rPr>
          <w:rFonts w:ascii="宋体" w:hAnsi="宋体" w:eastAsia="宋体"/>
          <w:iCs/>
          <w:color w:val="auto"/>
          <w:sz w:val="21"/>
          <w:szCs w:val="21"/>
          <w:highlight w:val="none"/>
        </w:rPr>
        <w:t>指</w:t>
      </w:r>
      <w:r>
        <w:rPr>
          <w:rFonts w:hint="eastAsia" w:ascii="宋体" w:hAnsi="宋体" w:eastAsia="宋体"/>
          <w:iCs/>
          <w:color w:val="auto"/>
          <w:sz w:val="21"/>
          <w:szCs w:val="21"/>
          <w:highlight w:val="none"/>
        </w:rPr>
        <w:t>经过正规的法定程序并备案的法人公章</w:t>
      </w:r>
      <w:r>
        <w:rPr>
          <w:rFonts w:hint="eastAsia" w:ascii="宋体" w:hAnsi="宋体" w:eastAsia="宋体"/>
          <w:iCs/>
          <w:color w:val="auto"/>
          <w:sz w:val="21"/>
          <w:szCs w:val="21"/>
          <w:highlight w:val="none"/>
          <w:lang w:val="en-US" w:eastAsia="zh-CN"/>
        </w:rPr>
        <w:t>或</w:t>
      </w:r>
      <w:r>
        <w:rPr>
          <w:rFonts w:hint="eastAsia" w:ascii="宋体" w:hAnsi="宋体" w:eastAsia="宋体"/>
          <w:iCs/>
          <w:color w:val="auto"/>
          <w:sz w:val="21"/>
          <w:szCs w:val="21"/>
          <w:highlight w:val="none"/>
        </w:rPr>
        <w:t>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eastAsia="宋体"/>
          <w:color w:val="auto"/>
          <w:sz w:val="21"/>
          <w:szCs w:val="21"/>
          <w:highlight w:val="none"/>
        </w:rPr>
        <w:t>）</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时间</w:t>
      </w:r>
      <w:r>
        <w:rPr>
          <w:rFonts w:hint="eastAsia" w:ascii="宋体" w:hAnsi="宋体" w:eastAsia="宋体"/>
          <w:iCs/>
          <w:color w:val="auto"/>
          <w:sz w:val="21"/>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34" w:name="_Toc9710"/>
      <w:bookmarkStart w:id="35" w:name="_Toc2996"/>
      <w:bookmarkStart w:id="36" w:name="_Toc3780"/>
      <w:r>
        <w:rPr>
          <w:rFonts w:hint="eastAsia" w:ascii="宋体" w:hAnsi="宋体" w:eastAsia="宋体"/>
          <w:color w:val="auto"/>
          <w:sz w:val="21"/>
          <w:szCs w:val="21"/>
          <w:highlight w:val="none"/>
        </w:rPr>
        <w:t>3.货物和服务</w:t>
      </w:r>
      <w:bookmarkEnd w:id="34"/>
      <w:bookmarkEnd w:id="35"/>
      <w:bookmarkEnd w:id="36"/>
    </w:p>
    <w:p>
      <w:pPr>
        <w:pStyle w:val="34"/>
        <w:widowControl w:val="0"/>
        <w:numPr>
          <w:ilvl w:val="0"/>
          <w:numId w:val="5"/>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ascii="宋体" w:hAnsi="宋体" w:eastAsia="宋体"/>
          <w:color w:val="auto"/>
          <w:sz w:val="21"/>
          <w:szCs w:val="21"/>
          <w:highlight w:val="none"/>
        </w:rPr>
        <w:t>是指各种形态和种类的物品，包括原材料、燃料、设备、产品等</w:t>
      </w:r>
      <w:r>
        <w:rPr>
          <w:rFonts w:hint="eastAsia" w:ascii="宋体" w:hAnsi="宋体" w:eastAsia="宋体"/>
          <w:color w:val="auto"/>
          <w:sz w:val="21"/>
          <w:szCs w:val="21"/>
          <w:highlight w:val="none"/>
        </w:rPr>
        <w:t>。</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服务是指</w:t>
      </w:r>
      <w:r>
        <w:rPr>
          <w:rFonts w:ascii="宋体" w:hAnsi="宋体" w:eastAsia="宋体"/>
          <w:color w:val="auto"/>
          <w:sz w:val="21"/>
          <w:szCs w:val="21"/>
          <w:highlight w:val="none"/>
        </w:rPr>
        <w:t>除货物和工程以外的其他采购对象</w:t>
      </w:r>
      <w:r>
        <w:rPr>
          <w:rFonts w:hint="eastAsia" w:ascii="宋体" w:hAnsi="宋体" w:eastAsia="宋体"/>
          <w:color w:val="auto"/>
          <w:sz w:val="21"/>
          <w:szCs w:val="21"/>
          <w:highlight w:val="none"/>
        </w:rPr>
        <w:t>。</w:t>
      </w:r>
    </w:p>
    <w:p>
      <w:pPr>
        <w:rPr>
          <w:color w:val="auto"/>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37" w:name="_Toc12536"/>
      <w:bookmarkStart w:id="38" w:name="_Toc13909"/>
      <w:bookmarkStart w:id="39" w:name="_Toc15945"/>
      <w:r>
        <w:rPr>
          <w:rFonts w:hint="eastAsia" w:ascii="宋体" w:hAnsi="宋体" w:eastAsia="宋体"/>
          <w:color w:val="auto"/>
          <w:sz w:val="21"/>
          <w:szCs w:val="21"/>
          <w:highlight w:val="none"/>
        </w:rPr>
        <w:t>4.投标费用</w:t>
      </w:r>
      <w:bookmarkEnd w:id="37"/>
      <w:bookmarkEnd w:id="38"/>
      <w:bookmarkEnd w:id="39"/>
    </w:p>
    <w:p>
      <w:pPr>
        <w:pStyle w:val="34"/>
        <w:widowControl w:val="0"/>
        <w:numPr>
          <w:ilvl w:val="0"/>
          <w:numId w:val="5"/>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after="0" w:line="360" w:lineRule="exact"/>
        <w:jc w:val="both"/>
        <w:rPr>
          <w:rFonts w:ascii="宋体" w:hAnsi="宋体" w:eastAsia="宋体"/>
          <w:color w:val="auto"/>
          <w:sz w:val="21"/>
          <w:szCs w:val="21"/>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40" w:name="_Toc19094"/>
      <w:bookmarkStart w:id="41" w:name="_Toc19532"/>
      <w:bookmarkStart w:id="42" w:name="_Toc25040"/>
      <w:r>
        <w:rPr>
          <w:rFonts w:hint="eastAsia" w:ascii="宋体" w:hAnsi="宋体" w:eastAsia="宋体"/>
          <w:color w:val="auto"/>
          <w:sz w:val="21"/>
          <w:szCs w:val="21"/>
          <w:highlight w:val="none"/>
        </w:rPr>
        <w:t>5.知识产权</w:t>
      </w:r>
      <w:bookmarkEnd w:id="40"/>
      <w:bookmarkEnd w:id="41"/>
      <w:bookmarkEnd w:id="42"/>
    </w:p>
    <w:p>
      <w:pPr>
        <w:pStyle w:val="34"/>
        <w:widowControl w:val="0"/>
        <w:numPr>
          <w:ilvl w:val="0"/>
          <w:numId w:val="5"/>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采购人享有本项目实施过程中产生的知识成果及知识产权。</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采购货物为计算机办公设备时，投标人提供的产品必须是预装正版操作系统软件的计算机产品</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采购人有权拒绝接收使用非正版操作系统软件的计算机产品，一经发现，投标文件作无效处理，并上报相关监管部门</w:t>
      </w:r>
      <w:r>
        <w:rPr>
          <w:rFonts w:hint="eastAsia" w:ascii="宋体" w:hAnsi="宋体" w:eastAsia="宋体"/>
          <w:color w:val="auto"/>
          <w:sz w:val="21"/>
          <w:szCs w:val="21"/>
          <w:highlight w:val="none"/>
        </w:rPr>
        <w:t>。</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投标人提供的服务、货物经认定存在侵权行为的，其投标无效，并上报相关监管部门。</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43" w:name="_Toc8432"/>
      <w:bookmarkStart w:id="44" w:name="_Toc31885"/>
      <w:bookmarkStart w:id="45" w:name="_Toc21930"/>
      <w:r>
        <w:rPr>
          <w:rFonts w:hint="eastAsia" w:ascii="宋体" w:hAnsi="宋体" w:eastAsia="宋体"/>
          <w:color w:val="auto"/>
          <w:sz w:val="21"/>
          <w:szCs w:val="21"/>
          <w:highlight w:val="none"/>
        </w:rPr>
        <w:t>6.关于联合体投标</w:t>
      </w:r>
      <w:bookmarkEnd w:id="43"/>
      <w:bookmarkEnd w:id="44"/>
      <w:bookmarkEnd w:id="45"/>
    </w:p>
    <w:p>
      <w:pPr>
        <w:pStyle w:val="34"/>
        <w:widowControl w:val="0"/>
        <w:numPr>
          <w:ilvl w:val="0"/>
          <w:numId w:val="5"/>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对接受联合体投标的项目：两个以上的自然人、法人或者其他组织可以组成一个联合体，以一个投标人的身份共同参加采购。</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以联合体形式参与项目的供应商在领购招标文件时，应提供所有联合体组成成员的营业执照复印件，并加盖各联合体组成成员的公章。</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联合体各方均</w:t>
      </w:r>
      <w:r>
        <w:rPr>
          <w:rFonts w:hint="eastAsia" w:ascii="宋体" w:hAnsi="宋体"/>
          <w:color w:val="auto"/>
          <w:szCs w:val="21"/>
          <w:highlight w:val="none"/>
        </w:rPr>
        <w:t>应具有独立承担民事责任能力的法人或其他组织</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两个以上的自然人、法人或者其他组织组成一个联合体，以一个供应商的身份共同参加采购活动的，应当对所有联合体成员进行信用记录查询，联合体成员存在不良信用记录的，视同联合体存在不良信用记录。</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采购人根据采购项目的特殊要求规定投标人特定条件的，联合体各方中至少应当有一方符合采购人规定的特定条件。</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联合体各方之间应当签订共同投标协议并</w:t>
      </w:r>
      <w:r>
        <w:rPr>
          <w:rFonts w:ascii="宋体" w:hAnsi="宋体" w:eastAsia="宋体"/>
          <w:color w:val="auto"/>
          <w:sz w:val="21"/>
          <w:szCs w:val="21"/>
          <w:highlight w:val="none"/>
        </w:rPr>
        <w:t>在投标文件内提交</w:t>
      </w:r>
      <w:r>
        <w:rPr>
          <w:rFonts w:hint="eastAsia" w:ascii="宋体" w:hAnsi="宋体" w:eastAsia="宋体"/>
          <w:color w:val="auto"/>
          <w:sz w:val="21"/>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供应商为联合体的，可以由联合体中的任意一方交纳保证金，其交纳的保证金对联合体各方均具有约束力。</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联合体中有同类资质的投标人按照联合体分工承担相同工作的，应当按照资质等级较低的供应商确定资质等级。</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5"/>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牵头单位）</w:t>
      </w:r>
      <w:r>
        <w:rPr>
          <w:rFonts w:hint="eastAsia" w:ascii="宋体" w:hAnsi="宋体" w:eastAsia="宋体"/>
          <w:color w:val="auto"/>
          <w:sz w:val="21"/>
          <w:szCs w:val="21"/>
          <w:highlight w:val="none"/>
        </w:rPr>
        <w:t>情况评分。</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46" w:name="_Toc16571"/>
      <w:bookmarkStart w:id="47" w:name="_Toc32331"/>
      <w:bookmarkStart w:id="48" w:name="_Toc13811"/>
      <w:bookmarkStart w:id="49" w:name="_Toc17879"/>
      <w:r>
        <w:rPr>
          <w:rFonts w:hint="eastAsia" w:ascii="宋体" w:hAnsi="宋体" w:eastAsia="宋体"/>
          <w:color w:val="auto"/>
          <w:sz w:val="21"/>
          <w:szCs w:val="21"/>
          <w:highlight w:val="none"/>
        </w:rPr>
        <w:t>7.关于分支机构投标</w:t>
      </w:r>
      <w:bookmarkEnd w:id="46"/>
      <w:bookmarkEnd w:id="47"/>
      <w:bookmarkEnd w:id="48"/>
    </w:p>
    <w:p>
      <w:pPr>
        <w:pStyle w:val="34"/>
        <w:widowControl w:val="0"/>
        <w:numPr>
          <w:ilvl w:val="0"/>
          <w:numId w:val="5"/>
        </w:numPr>
        <w:adjustRightInd/>
        <w:snapToGrid/>
        <w:spacing w:after="0" w:line="360" w:lineRule="exact"/>
        <w:ind w:firstLineChars="0"/>
        <w:jc w:val="both"/>
        <w:rPr>
          <w:rFonts w:ascii="宋体" w:hAnsi="宋体" w:eastAsia="宋体"/>
          <w:vanish/>
          <w:color w:val="auto"/>
          <w:sz w:val="21"/>
          <w:szCs w:val="21"/>
          <w:highlight w:val="none"/>
        </w:rPr>
      </w:pPr>
      <w:bookmarkStart w:id="50" w:name="EB389f116341dd4693875bc7987e7327f3"/>
    </w:p>
    <w:p>
      <w:pPr>
        <w:widowControl w:val="0"/>
        <w:numPr>
          <w:ilvl w:val="1"/>
          <w:numId w:val="5"/>
        </w:numPr>
        <w:adjustRightInd/>
        <w:snapToGrid/>
        <w:spacing w:after="0"/>
        <w:jc w:val="both"/>
        <w:rPr>
          <w:rFonts w:ascii="宋体" w:hAnsi="宋体" w:eastAsia="宋体"/>
          <w:color w:val="auto"/>
          <w:sz w:val="21"/>
          <w:szCs w:val="21"/>
          <w:highlight w:val="none"/>
        </w:rPr>
      </w:pPr>
      <w:r>
        <w:rPr>
          <w:rFonts w:ascii="宋体" w:hAnsi="宋体" w:eastAsia="宋体"/>
          <w:color w:val="auto"/>
          <w:sz w:val="21"/>
          <w:szCs w:val="21"/>
          <w:highlight w:val="none"/>
        </w:rPr>
        <w:t>对可接受</w:t>
      </w:r>
      <w:r>
        <w:rPr>
          <w:rFonts w:hint="eastAsia" w:ascii="宋体" w:hAnsi="宋体" w:eastAsia="宋体"/>
          <w:color w:val="auto"/>
          <w:sz w:val="21"/>
          <w:szCs w:val="21"/>
          <w:highlight w:val="none"/>
        </w:rPr>
        <w:t>分支机构</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分公司）</w:t>
      </w:r>
      <w:r>
        <w:rPr>
          <w:rFonts w:ascii="宋体" w:hAnsi="宋体" w:eastAsia="宋体"/>
          <w:color w:val="auto"/>
          <w:sz w:val="21"/>
          <w:szCs w:val="21"/>
          <w:highlight w:val="none"/>
        </w:rPr>
        <w:t>投标的项目，</w:t>
      </w:r>
      <w:r>
        <w:rPr>
          <w:rFonts w:hint="eastAsia" w:ascii="宋体" w:hAnsi="宋体" w:eastAsia="宋体"/>
          <w:color w:val="auto"/>
          <w:sz w:val="21"/>
          <w:szCs w:val="21"/>
          <w:highlight w:val="none"/>
        </w:rPr>
        <w:t>分支机构</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分公司）</w:t>
      </w:r>
      <w:r>
        <w:rPr>
          <w:rFonts w:ascii="宋体" w:hAnsi="宋体" w:eastAsia="宋体"/>
          <w:color w:val="auto"/>
          <w:sz w:val="21"/>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51" w:name="_Toc27045"/>
      <w:bookmarkStart w:id="52" w:name="_Toc18115"/>
      <w:r>
        <w:rPr>
          <w:rFonts w:hint="eastAsia" w:ascii="宋体" w:hAnsi="宋体"/>
          <w:color w:val="auto"/>
          <w:highlight w:val="none"/>
          <w:lang w:val="en-US" w:eastAsia="zh-CN"/>
        </w:rPr>
        <w:t>第二章</w:t>
      </w:r>
      <w:r>
        <w:rPr>
          <w:rFonts w:hint="eastAsia" w:ascii="宋体" w:hAnsi="宋体" w:eastAsia="宋体"/>
          <w:color w:val="auto"/>
          <w:highlight w:val="none"/>
        </w:rPr>
        <w:t>招标文件</w:t>
      </w:r>
      <w:bookmarkEnd w:id="49"/>
      <w:bookmarkEnd w:id="51"/>
      <w:bookmarkEnd w:id="52"/>
    </w:p>
    <w:p>
      <w:pPr>
        <w:pStyle w:val="5"/>
        <w:widowControl w:val="0"/>
        <w:overflowPunct w:val="0"/>
        <w:spacing w:before="0" w:after="0" w:line="240" w:lineRule="auto"/>
        <w:rPr>
          <w:rFonts w:ascii="宋体" w:hAnsi="宋体" w:eastAsia="宋体"/>
          <w:color w:val="auto"/>
          <w:sz w:val="21"/>
          <w:szCs w:val="21"/>
          <w:highlight w:val="none"/>
        </w:rPr>
      </w:pPr>
      <w:bookmarkStart w:id="53" w:name="_Toc13494"/>
      <w:bookmarkStart w:id="54" w:name="_Toc1423"/>
      <w:bookmarkStart w:id="55" w:name="_Toc21771"/>
      <w:r>
        <w:rPr>
          <w:rFonts w:hint="eastAsia" w:ascii="宋体" w:hAnsi="宋体" w:eastAsia="宋体"/>
          <w:color w:val="auto"/>
          <w:sz w:val="21"/>
          <w:szCs w:val="21"/>
          <w:highlight w:val="none"/>
        </w:rPr>
        <w:t>8.招标文件的组成</w:t>
      </w:r>
      <w:bookmarkEnd w:id="53"/>
      <w:bookmarkEnd w:id="54"/>
      <w:bookmarkEnd w:id="55"/>
    </w:p>
    <w:p>
      <w:pPr>
        <w:pStyle w:val="34"/>
        <w:widowControl w:val="0"/>
        <w:numPr>
          <w:ilvl w:val="0"/>
          <w:numId w:val="5"/>
        </w:numPr>
        <w:adjustRightInd/>
        <w:snapToGrid/>
        <w:spacing w:after="0" w:line="360" w:lineRule="exact"/>
        <w:ind w:firstLineChars="0"/>
        <w:jc w:val="both"/>
        <w:rPr>
          <w:rFonts w:ascii="宋体" w:hAnsi="宋体" w:eastAsia="宋体"/>
          <w:vanish/>
          <w:color w:val="auto"/>
          <w:sz w:val="21"/>
          <w:szCs w:val="21"/>
          <w:highlight w:val="none"/>
        </w:rPr>
      </w:pP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（1）投标邀请书；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（2）投标资料表；</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（3）投标人须知；</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（4）用户需求书；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（5）合同文本参考格式；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（6）投标文件参考格式；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（7）在招标过程中由采购代理机构发出的澄清更正文件等。</w:t>
      </w:r>
    </w:p>
    <w:p>
      <w:pPr>
        <w:spacing w:after="0"/>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56" w:name="_Toc14217"/>
      <w:bookmarkStart w:id="57" w:name="_Toc7997"/>
      <w:bookmarkStart w:id="58" w:name="_Toc17274"/>
      <w:r>
        <w:rPr>
          <w:rFonts w:hint="eastAsia" w:ascii="宋体" w:hAnsi="宋体" w:eastAsia="宋体"/>
          <w:color w:val="auto"/>
          <w:sz w:val="21"/>
          <w:szCs w:val="21"/>
          <w:highlight w:val="none"/>
        </w:rPr>
        <w:t>9.招标文件的澄清或修改</w:t>
      </w:r>
      <w:bookmarkEnd w:id="56"/>
      <w:bookmarkEnd w:id="57"/>
      <w:bookmarkEnd w:id="58"/>
    </w:p>
    <w:p>
      <w:pPr>
        <w:pStyle w:val="34"/>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eastAsia="宋体"/>
          <w:color w:val="auto"/>
          <w:sz w:val="21"/>
          <w:szCs w:val="21"/>
          <w:highlight w:val="none"/>
        </w:rPr>
        <w:t>具有约束作用</w:t>
      </w:r>
      <w:r>
        <w:rPr>
          <w:rFonts w:hint="eastAsia" w:ascii="宋体" w:hAnsi="宋体" w:eastAsia="宋体"/>
          <w:color w:val="auto"/>
          <w:sz w:val="21"/>
          <w:szCs w:val="21"/>
          <w:highlight w:val="none"/>
        </w:rPr>
        <w:t>。</w:t>
      </w:r>
      <w:r>
        <w:rPr>
          <w:rFonts w:ascii="宋体" w:hAnsi="宋体" w:eastAsia="宋体"/>
          <w:color w:val="auto"/>
          <w:sz w:val="21"/>
          <w:szCs w:val="21"/>
          <w:highlight w:val="none"/>
        </w:rPr>
        <w:t>当招标文件、招标文件的澄清</w:t>
      </w:r>
      <w:r>
        <w:rPr>
          <w:rFonts w:hint="eastAsia" w:ascii="宋体" w:hAnsi="宋体" w:eastAsia="宋体"/>
          <w:color w:val="auto"/>
          <w:sz w:val="21"/>
          <w:szCs w:val="21"/>
          <w:highlight w:val="none"/>
        </w:rPr>
        <w:t>或</w:t>
      </w:r>
      <w:r>
        <w:rPr>
          <w:rFonts w:ascii="宋体" w:hAnsi="宋体" w:eastAsia="宋体"/>
          <w:color w:val="auto"/>
          <w:sz w:val="21"/>
          <w:szCs w:val="21"/>
          <w:highlight w:val="none"/>
        </w:rPr>
        <w:t>修改等在同一内容的表述上不一致时，以最后发出的书面文件</w:t>
      </w:r>
      <w:r>
        <w:rPr>
          <w:rFonts w:hint="eastAsia" w:ascii="宋体" w:hAnsi="宋体" w:eastAsia="宋体"/>
          <w:color w:val="auto"/>
          <w:sz w:val="21"/>
          <w:szCs w:val="21"/>
          <w:highlight w:val="none"/>
        </w:rPr>
        <w:t>及公告</w:t>
      </w:r>
      <w:r>
        <w:rPr>
          <w:rFonts w:ascii="宋体" w:hAnsi="宋体" w:eastAsia="宋体"/>
          <w:color w:val="auto"/>
          <w:sz w:val="21"/>
          <w:szCs w:val="21"/>
          <w:highlight w:val="none"/>
        </w:rPr>
        <w:t>为准。</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招标期间，投标人有义务上网查看，公告一经上网发布，即视为送达。因投标人未及时上网查看而造成的所有后果，由投标人自行承担。</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59" w:name="_Toc4773"/>
      <w:bookmarkStart w:id="60" w:name="_Toc16712"/>
      <w:bookmarkStart w:id="61" w:name="_Toc23726"/>
      <w:r>
        <w:rPr>
          <w:rFonts w:hint="eastAsia" w:ascii="宋体" w:hAnsi="宋体"/>
          <w:color w:val="auto"/>
          <w:highlight w:val="none"/>
          <w:lang w:val="en-US" w:eastAsia="zh-CN"/>
        </w:rPr>
        <w:t>第三章</w:t>
      </w:r>
      <w:r>
        <w:rPr>
          <w:rFonts w:hint="eastAsia" w:ascii="宋体" w:hAnsi="宋体" w:eastAsia="宋体"/>
          <w:color w:val="auto"/>
          <w:highlight w:val="none"/>
        </w:rPr>
        <w:t>投标文件的编制</w:t>
      </w:r>
      <w:bookmarkEnd w:id="59"/>
      <w:bookmarkEnd w:id="60"/>
      <w:bookmarkEnd w:id="61"/>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62" w:name="_Toc7434"/>
      <w:bookmarkStart w:id="63" w:name="_Toc28092"/>
      <w:bookmarkStart w:id="64" w:name="_Toc20623"/>
      <w:r>
        <w:rPr>
          <w:rFonts w:hint="eastAsia" w:ascii="宋体" w:hAnsi="宋体" w:eastAsia="宋体"/>
          <w:color w:val="auto"/>
          <w:sz w:val="21"/>
          <w:szCs w:val="21"/>
          <w:highlight w:val="none"/>
        </w:rPr>
        <w:t>10.投标文件的语言及度量衡单位</w:t>
      </w:r>
      <w:bookmarkEnd w:id="62"/>
      <w:bookmarkEnd w:id="63"/>
      <w:bookmarkEnd w:id="64"/>
    </w:p>
    <w:p>
      <w:pPr>
        <w:pStyle w:val="34"/>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除非招标文件在技术规格中另有规定，投标人在投标文件中及其与采购代理机构和采购人所有往来文件中的所有</w:t>
      </w:r>
      <w:r>
        <w:rPr>
          <w:rFonts w:ascii="宋体" w:hAnsi="宋体" w:eastAsia="宋体"/>
          <w:color w:val="auto"/>
          <w:sz w:val="21"/>
          <w:szCs w:val="21"/>
          <w:highlight w:val="none"/>
        </w:rPr>
        <w:t>计量单位</w:t>
      </w:r>
      <w:r>
        <w:rPr>
          <w:rFonts w:hint="eastAsia" w:ascii="宋体" w:hAnsi="宋体" w:eastAsia="宋体"/>
          <w:color w:val="auto"/>
          <w:sz w:val="21"/>
          <w:szCs w:val="21"/>
          <w:highlight w:val="none"/>
        </w:rPr>
        <w:t>均应采用中华人民共和国法定计量单位</w:t>
      </w:r>
      <w:r>
        <w:rPr>
          <w:rFonts w:ascii="宋体" w:hAnsi="宋体" w:eastAsia="宋体"/>
          <w:color w:val="auto"/>
          <w:sz w:val="21"/>
          <w:szCs w:val="21"/>
          <w:highlight w:val="none"/>
        </w:rPr>
        <w:t>。</w:t>
      </w:r>
    </w:p>
    <w:p>
      <w:pPr>
        <w:pageBreakBefore w:val="0"/>
        <w:widowControl w:val="0"/>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65" w:name="_Toc28866"/>
      <w:bookmarkStart w:id="66" w:name="_Toc7728"/>
      <w:bookmarkStart w:id="67" w:name="_Toc12145"/>
      <w:bookmarkStart w:id="68" w:name="_Toc307934854"/>
      <w:bookmarkStart w:id="69" w:name="_Toc303084256"/>
      <w:bookmarkStart w:id="70" w:name="_Toc382049103"/>
      <w:bookmarkStart w:id="71" w:name="_Toc18999"/>
      <w:r>
        <w:rPr>
          <w:rFonts w:hint="eastAsia" w:ascii="宋体" w:hAnsi="宋体" w:eastAsia="宋体"/>
          <w:color w:val="auto"/>
          <w:sz w:val="21"/>
          <w:szCs w:val="21"/>
          <w:highlight w:val="none"/>
        </w:rPr>
        <w:t>11.</w:t>
      </w:r>
      <w:r>
        <w:rPr>
          <w:rFonts w:ascii="宋体" w:hAnsi="宋体" w:eastAsia="宋体"/>
          <w:color w:val="auto"/>
          <w:sz w:val="21"/>
          <w:szCs w:val="21"/>
          <w:highlight w:val="none"/>
        </w:rPr>
        <w:t>投标文件的组成</w:t>
      </w:r>
      <w:bookmarkEnd w:id="65"/>
      <w:bookmarkEnd w:id="66"/>
      <w:bookmarkEnd w:id="67"/>
      <w:bookmarkEnd w:id="68"/>
      <w:bookmarkEnd w:id="69"/>
      <w:bookmarkEnd w:id="70"/>
      <w:bookmarkEnd w:id="71"/>
    </w:p>
    <w:p>
      <w:pPr>
        <w:pStyle w:val="34"/>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包括但不限于招标文件附件格式中要求提供的表格。</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lang w:val="en-US" w:eastAsia="zh-CN"/>
        </w:rPr>
        <w:t>投标</w:t>
      </w:r>
      <w:r>
        <w:rPr>
          <w:rFonts w:hint="eastAsia" w:ascii="宋体" w:hAnsi="宋体" w:eastAsia="宋体"/>
          <w:color w:val="auto"/>
          <w:sz w:val="21"/>
          <w:szCs w:val="21"/>
          <w:highlight w:val="none"/>
        </w:rPr>
        <w:t>文件须按顺序装订成册，并编制投标文件目录。除上述文件资料外投标人还须按投标人须知的要求制作“</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”作为投标文件的一部分，单独密封</w:t>
      </w:r>
      <w:r>
        <w:rPr>
          <w:rFonts w:hint="eastAsia" w:ascii="宋体" w:hAnsi="宋体" w:eastAsia="宋体"/>
          <w:color w:val="auto"/>
          <w:sz w:val="21"/>
          <w:szCs w:val="21"/>
          <w:highlight w:val="none"/>
          <w:lang w:val="en-US" w:eastAsia="zh-CN"/>
        </w:rPr>
        <w:t>提交</w:t>
      </w:r>
      <w:r>
        <w:rPr>
          <w:rFonts w:hint="eastAsia" w:ascii="宋体" w:hAnsi="宋体" w:eastAsia="宋体"/>
          <w:color w:val="auto"/>
          <w:sz w:val="21"/>
          <w:szCs w:val="21"/>
          <w:highlight w:val="none"/>
        </w:rPr>
        <w:t>。</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2" w:name="_Toc21747"/>
      <w:bookmarkStart w:id="73" w:name="_Toc3882"/>
      <w:bookmarkStart w:id="74" w:name="_Toc30189"/>
      <w:r>
        <w:rPr>
          <w:rFonts w:hint="eastAsia" w:ascii="宋体" w:hAnsi="宋体" w:eastAsia="宋体"/>
          <w:color w:val="auto"/>
          <w:sz w:val="21"/>
          <w:szCs w:val="21"/>
          <w:highlight w:val="none"/>
        </w:rPr>
        <w:t>12.投标文件编制</w:t>
      </w:r>
      <w:bookmarkEnd w:id="72"/>
      <w:bookmarkEnd w:id="73"/>
      <w:bookmarkEnd w:id="74"/>
    </w:p>
    <w:p>
      <w:pPr>
        <w:pStyle w:val="34"/>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bookmarkStart w:id="75" w:name="_Toc303084258"/>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投标人应按招标文件的规定以及附件要求的内容和格式完整地填写</w:t>
      </w:r>
      <w:r>
        <w:rPr>
          <w:rFonts w:ascii="宋体" w:hAnsi="宋体" w:eastAsia="宋体"/>
          <w:color w:val="auto"/>
          <w:sz w:val="21"/>
          <w:szCs w:val="21"/>
          <w:highlight w:val="none"/>
        </w:rPr>
        <w:t>（表格可以按同样格式扩展）</w:t>
      </w:r>
      <w:r>
        <w:rPr>
          <w:rFonts w:hint="eastAsia" w:ascii="宋体" w:hAnsi="宋体" w:eastAsia="宋体"/>
          <w:color w:val="auto"/>
          <w:sz w:val="21"/>
          <w:szCs w:val="21"/>
          <w:highlight w:val="none"/>
        </w:rPr>
        <w:t>和提供资料，投标人必须对投标文件所提供的全部材料的真实性承担法律责任，并无条件接受采购人或采购代理机构及采购监督管理部门等对其中任何资料进行核实的要求。</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因投标文件编制存在歧义对投标人产生负面影响的，投标人自行承担后果。</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投标单位名称与投标人公章不一致，若投标单位名称已进行变更，应在投标文件中提供相应的证明材料并加盖公章，否则投标文件无效。</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投标文件密封、标记及内容与本项目采购信息不符，导致无法分辨所投项目为本项目的，投标文件无效。</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投标文件若出现以下内容，经评标委员会认定有可能间接影响评审秩序</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评审公正性的</w:t>
      </w:r>
      <w:r>
        <w:rPr>
          <w:rFonts w:hint="eastAsia" w:ascii="宋体" w:hAnsi="宋体" w:eastAsia="宋体"/>
          <w:color w:val="auto"/>
          <w:sz w:val="21"/>
          <w:szCs w:val="21"/>
          <w:highlight w:val="none"/>
        </w:rPr>
        <w:t>，其投标无效：</w:t>
      </w:r>
    </w:p>
    <w:p>
      <w:pPr>
        <w:pStyle w:val="34"/>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（1）投标文件内出现无官方证明文件的行业地域排名或</w:t>
      </w:r>
      <w:r>
        <w:rPr>
          <w:rFonts w:ascii="宋体" w:hAnsi="宋体" w:eastAsia="宋体"/>
          <w:color w:val="auto"/>
          <w:sz w:val="21"/>
          <w:szCs w:val="21"/>
          <w:highlight w:val="none"/>
        </w:rPr>
        <w:t>使用“国家级”、“最高级”、“最佳”等用语</w:t>
      </w:r>
      <w:r>
        <w:rPr>
          <w:rFonts w:hint="eastAsia" w:ascii="宋体" w:hAnsi="宋体" w:eastAsia="宋体"/>
          <w:color w:val="auto"/>
          <w:sz w:val="21"/>
          <w:szCs w:val="21"/>
          <w:highlight w:val="none"/>
        </w:rPr>
        <w:t>字眼的。</w:t>
      </w:r>
    </w:p>
    <w:p>
      <w:pPr>
        <w:pStyle w:val="34"/>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（2）投标文件内出现恶意诋毁、</w:t>
      </w:r>
      <w:r>
        <w:rPr>
          <w:rFonts w:ascii="宋体" w:hAnsi="宋体" w:eastAsia="宋体"/>
          <w:color w:val="auto"/>
          <w:sz w:val="21"/>
          <w:szCs w:val="21"/>
          <w:highlight w:val="none"/>
        </w:rPr>
        <w:t>贬低其他生产经营者的商品或者服务</w:t>
      </w:r>
      <w:r>
        <w:rPr>
          <w:rFonts w:hint="eastAsia" w:ascii="宋体" w:hAnsi="宋体" w:eastAsia="宋体"/>
          <w:color w:val="auto"/>
          <w:sz w:val="21"/>
          <w:szCs w:val="21"/>
          <w:highlight w:val="none"/>
        </w:rPr>
        <w:t>的内容。</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有下列情形之一的，视为投标人串通投标，其投标无效：</w:t>
      </w:r>
    </w:p>
    <w:bookmarkEnd w:id="75"/>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（一）不同投标人的投标文件由同一单位或者个人编制；</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（二）不同投标人委托同一单位或者个人办理投标事宜；</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（三）不同投标人的投标文件载明的项目管理成员或者联系人员为同一人；</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（四）不同投标人的投标文件异常一致或者投标报价呈规律性差异；</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（五）不同投标人的投标文件相互混装；</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（六）不同投标人的投标保证金从同一单位或者个人的账户转出。</w:t>
      </w:r>
    </w:p>
    <w:p>
      <w:pPr>
        <w:widowControl w:val="0"/>
        <w:adjustRightInd/>
        <w:snapToGrid/>
        <w:spacing w:after="0" w:line="360" w:lineRule="exact"/>
        <w:jc w:val="both"/>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6" w:name="_Toc259"/>
      <w:bookmarkStart w:id="77" w:name="_Toc7847"/>
      <w:bookmarkStart w:id="78" w:name="_Toc17188"/>
      <w:r>
        <w:rPr>
          <w:rFonts w:hint="eastAsia" w:ascii="宋体" w:hAnsi="宋体" w:eastAsia="宋体"/>
          <w:color w:val="auto"/>
          <w:sz w:val="21"/>
          <w:szCs w:val="21"/>
          <w:highlight w:val="none"/>
        </w:rPr>
        <w:t>13.投标报价说明</w:t>
      </w:r>
      <w:bookmarkEnd w:id="76"/>
      <w:bookmarkEnd w:id="77"/>
      <w:bookmarkEnd w:id="78"/>
    </w:p>
    <w:p>
      <w:pPr>
        <w:pStyle w:val="34"/>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本次招标，投标人应按用户需求中的要求进行投标报价，少报无效。</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投标人所提供的货物或服务均以人民币（或相关费率）报价。</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投标报价应包含完成本次招标所有服务内容的费用，包含各种税务费及合同实施过程中的全部费用和售后服务费等。</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中标后开出的所有发票必须与中标人的名称一致。</w:t>
      </w:r>
    </w:p>
    <w:p>
      <w:pPr>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9" w:name="_Toc27724"/>
      <w:bookmarkStart w:id="80" w:name="_Toc16535"/>
      <w:bookmarkStart w:id="81" w:name="_Toc18911"/>
      <w:r>
        <w:rPr>
          <w:rFonts w:hint="eastAsia" w:ascii="宋体" w:hAnsi="宋体" w:eastAsia="宋体"/>
          <w:color w:val="auto"/>
          <w:sz w:val="21"/>
          <w:szCs w:val="21"/>
          <w:highlight w:val="none"/>
        </w:rPr>
        <w:t>14.投标人所提供的服务或货物的证明文件</w:t>
      </w:r>
      <w:bookmarkEnd w:id="79"/>
      <w:bookmarkEnd w:id="80"/>
      <w:bookmarkEnd w:id="81"/>
    </w:p>
    <w:p>
      <w:pPr>
        <w:pStyle w:val="34"/>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bookmarkStart w:id="82" w:name="_Hlt107925638"/>
      <w:bookmarkEnd w:id="82"/>
      <w:bookmarkStart w:id="83" w:name="_Hlt107925668"/>
      <w:bookmarkEnd w:id="83"/>
      <w:r>
        <w:rPr>
          <w:rFonts w:hint="eastAsia" w:ascii="宋体" w:hAnsi="宋体" w:eastAsia="宋体"/>
          <w:color w:val="auto"/>
          <w:sz w:val="21"/>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4"/>
        <w:pageBreakBefore w:val="0"/>
        <w:widowControl w:val="0"/>
        <w:kinsoku/>
        <w:wordWrap/>
        <w:topLinePunct w:val="0"/>
        <w:autoSpaceDE/>
        <w:autoSpaceDN/>
        <w:bidi w:val="0"/>
        <w:adjustRightInd/>
        <w:snapToGrid/>
        <w:spacing w:after="0" w:line="360" w:lineRule="auto"/>
        <w:ind w:left="425" w:firstLine="0" w:firstLineChars="0"/>
        <w:jc w:val="both"/>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84" w:name="_Toc19520"/>
      <w:bookmarkStart w:id="85" w:name="_Toc30815"/>
      <w:bookmarkStart w:id="86" w:name="_Toc22169"/>
      <w:r>
        <w:rPr>
          <w:rFonts w:hint="eastAsia" w:ascii="宋体" w:hAnsi="宋体" w:eastAsia="宋体"/>
          <w:color w:val="auto"/>
          <w:sz w:val="21"/>
          <w:szCs w:val="21"/>
          <w:highlight w:val="none"/>
        </w:rPr>
        <w:t>15.★投标有效期</w:t>
      </w:r>
      <w:bookmarkEnd w:id="84"/>
      <w:bookmarkEnd w:id="85"/>
      <w:bookmarkEnd w:id="86"/>
    </w:p>
    <w:p>
      <w:pPr>
        <w:pStyle w:val="34"/>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投标文件应根据投标人须知的规定在投标截止日后的90天内保持有效。</w:t>
      </w:r>
    </w:p>
    <w:p>
      <w:pPr>
        <w:pageBreakBefore w:val="0"/>
        <w:widowControl w:val="0"/>
        <w:kinsoku/>
        <w:wordWrap/>
        <w:topLinePunct w:val="0"/>
        <w:autoSpaceDE/>
        <w:autoSpaceDN/>
        <w:bidi w:val="0"/>
        <w:adjustRightInd/>
        <w:snapToGrid/>
        <w:spacing w:after="0" w:line="360" w:lineRule="auto"/>
        <w:ind w:left="567"/>
        <w:jc w:val="both"/>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87" w:name="_Toc12456"/>
      <w:bookmarkStart w:id="88" w:name="_Toc25817"/>
      <w:bookmarkStart w:id="89" w:name="_Toc30257"/>
      <w:r>
        <w:rPr>
          <w:rFonts w:hint="eastAsia" w:ascii="宋体" w:hAnsi="宋体" w:eastAsia="宋体"/>
          <w:color w:val="auto"/>
          <w:sz w:val="21"/>
          <w:szCs w:val="21"/>
          <w:highlight w:val="none"/>
        </w:rPr>
        <w:t>16.投标保证金</w:t>
      </w:r>
      <w:bookmarkEnd w:id="87"/>
      <w:bookmarkEnd w:id="88"/>
      <w:bookmarkEnd w:id="89"/>
    </w:p>
    <w:p>
      <w:pPr>
        <w:pStyle w:val="34"/>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bookmarkStart w:id="90" w:name="_Ref179619405"/>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投标保证金金额与招标文件要求金额保持一致（详见投标资料表）。</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投标保证金有效期与投标有效期保持一致。</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投标人应一次性缴交招标文件规定数额的投标保证金，投标人与交款人名称必须一致，非投标人缴纳的投标保证金无效。</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采用银行转账、电汇方式提交的,付至采购代理机构指定账户上。 (详见投标人资料表)</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担保。是指由担保机构为供应商交纳投标保证金向采购人或者采购代理机构提供的保证担保。供应商在投标有效期内撤回投标文件或中标后不签订采购合同的，由担保机构按照担保函的约定履行支付投标保证金的责任。（投标担保格式详见附件《采购投标担保函》）</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采用《采购投标担保函》提交的，应符合下列规定：</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①投标担保函有效期应与投标有效期一致；</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②投标担保金额应与本项目的投标保证金一致；</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保证金不接受现金方式（包括以存现方式）提交，未按要求提交投标保证金的将导致</w:t>
      </w:r>
      <w:r>
        <w:rPr>
          <w:rFonts w:hint="eastAsia" w:ascii="宋体" w:hAnsi="宋体"/>
          <w:color w:val="auto"/>
          <w:sz w:val="21"/>
          <w:szCs w:val="21"/>
          <w:highlight w:val="none"/>
          <w:lang w:val="en-US" w:eastAsia="zh-CN"/>
        </w:rPr>
        <w:t>投标文件无效</w:t>
      </w:r>
      <w:r>
        <w:rPr>
          <w:rFonts w:hint="eastAsia" w:ascii="宋体" w:hAnsi="宋体" w:eastAsia="宋体"/>
          <w:color w:val="auto"/>
          <w:sz w:val="21"/>
          <w:szCs w:val="21"/>
          <w:highlight w:val="none"/>
        </w:rPr>
        <w:t>。</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未中标的投标人的保证金在采购结果公示发出后5个工作日内退还，中标</w:t>
      </w:r>
      <w:r>
        <w:rPr>
          <w:rFonts w:hint="eastAsia" w:ascii="宋体" w:hAnsi="宋体"/>
          <w:color w:val="auto"/>
          <w:sz w:val="21"/>
          <w:szCs w:val="21"/>
          <w:highlight w:val="none"/>
          <w:lang w:val="en-US" w:eastAsia="zh-CN"/>
        </w:rPr>
        <w:t>的</w:t>
      </w:r>
      <w:r>
        <w:rPr>
          <w:rFonts w:hint="eastAsia" w:ascii="宋体" w:hAnsi="宋体" w:eastAsia="宋体"/>
          <w:color w:val="auto"/>
          <w:sz w:val="21"/>
          <w:szCs w:val="21"/>
          <w:highlight w:val="none"/>
        </w:rPr>
        <w:t>投标人的保证金在采购合同签订后5个工作日内退还。</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为方便退还未中标的投保人的保证金，投标人应制作《投标保证金汇入情况说明》随</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一并递交。</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有下列情形之一的，投标保证金将不予退还：</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（1）投标人在提交响应文件截止时间后撤回响应文件的；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（2）投标人在响应文件中提供虚假材料的；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（3）除因不可抗力或谈判文件、询价通知书认可的情形以外，中标单位不与采购人签订合同的；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（4）投标人与采购人、其他供应商或者采购代理机构恶意串通的；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（5）招标文件规定的其他情形。</w:t>
      </w:r>
    </w:p>
    <w:p>
      <w:pPr>
        <w:pageBreakBefore w:val="0"/>
        <w:kinsoku/>
        <w:wordWrap/>
        <w:topLinePunct w:val="0"/>
        <w:autoSpaceDE/>
        <w:autoSpaceDN/>
        <w:bidi w:val="0"/>
        <w:spacing w:line="360" w:lineRule="auto"/>
        <w:textAlignment w:val="auto"/>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91" w:name="_Toc3200"/>
      <w:bookmarkStart w:id="92" w:name="_Toc24109"/>
      <w:bookmarkStart w:id="93" w:name="_Toc31124"/>
      <w:r>
        <w:rPr>
          <w:rFonts w:hint="eastAsia" w:ascii="宋体" w:hAnsi="宋体"/>
          <w:color w:val="auto"/>
          <w:highlight w:val="none"/>
          <w:lang w:val="en-US" w:eastAsia="zh-CN"/>
        </w:rPr>
        <w:t>第四章</w:t>
      </w:r>
      <w:r>
        <w:rPr>
          <w:rFonts w:hint="eastAsia" w:ascii="宋体" w:hAnsi="宋体" w:eastAsia="宋体"/>
          <w:color w:val="auto"/>
          <w:highlight w:val="none"/>
        </w:rPr>
        <w:t>投标文件的递交</w:t>
      </w:r>
      <w:bookmarkEnd w:id="91"/>
      <w:bookmarkEnd w:id="92"/>
      <w:bookmarkEnd w:id="93"/>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94" w:name="_Toc303084264"/>
      <w:bookmarkStart w:id="95" w:name="_Toc29590"/>
      <w:bookmarkStart w:id="96" w:name="_Toc23678"/>
      <w:bookmarkStart w:id="97" w:name="_Toc24997"/>
      <w:bookmarkStart w:id="98" w:name="_Toc382049111"/>
      <w:bookmarkStart w:id="99" w:name="_Toc473"/>
      <w:r>
        <w:rPr>
          <w:rFonts w:hint="eastAsia" w:ascii="宋体" w:hAnsi="宋体" w:eastAsia="宋体"/>
          <w:color w:val="auto"/>
          <w:sz w:val="21"/>
          <w:szCs w:val="21"/>
          <w:highlight w:val="none"/>
        </w:rPr>
        <w:t>17.</w:t>
      </w:r>
      <w:r>
        <w:rPr>
          <w:rFonts w:ascii="宋体" w:hAnsi="宋体" w:eastAsia="宋体"/>
          <w:color w:val="auto"/>
          <w:sz w:val="21"/>
          <w:szCs w:val="21"/>
          <w:highlight w:val="none"/>
        </w:rPr>
        <w:t>投标文件的</w:t>
      </w:r>
      <w:r>
        <w:rPr>
          <w:rFonts w:hint="eastAsia" w:ascii="宋体" w:hAnsi="宋体" w:eastAsia="宋体"/>
          <w:color w:val="auto"/>
          <w:sz w:val="21"/>
          <w:szCs w:val="21"/>
          <w:highlight w:val="none"/>
        </w:rPr>
        <w:t>装订，签署，</w:t>
      </w:r>
      <w:r>
        <w:rPr>
          <w:rFonts w:ascii="宋体" w:hAnsi="宋体" w:eastAsia="宋体"/>
          <w:color w:val="auto"/>
          <w:sz w:val="21"/>
          <w:szCs w:val="21"/>
          <w:highlight w:val="none"/>
        </w:rPr>
        <w:t>密封和标记</w:t>
      </w:r>
      <w:bookmarkEnd w:id="94"/>
      <w:bookmarkEnd w:id="95"/>
      <w:bookmarkEnd w:id="96"/>
      <w:bookmarkEnd w:id="97"/>
      <w:bookmarkEnd w:id="98"/>
      <w:bookmarkEnd w:id="99"/>
    </w:p>
    <w:p>
      <w:pPr>
        <w:pStyle w:val="34"/>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为方便评标委员会对投标文件进行评审</w:t>
      </w:r>
      <w:r>
        <w:rPr>
          <w:rFonts w:ascii="宋体" w:hAnsi="宋体" w:eastAsia="宋体"/>
          <w:color w:val="auto"/>
          <w:sz w:val="21"/>
          <w:szCs w:val="21"/>
          <w:highlight w:val="none"/>
        </w:rPr>
        <w:t>，</w:t>
      </w:r>
      <w:r>
        <w:rPr>
          <w:rFonts w:hint="eastAsia" w:ascii="宋体" w:hAnsi="宋体" w:eastAsia="宋体"/>
          <w:color w:val="auto"/>
          <w:sz w:val="21"/>
          <w:szCs w:val="21"/>
          <w:highlight w:val="none"/>
        </w:rPr>
        <w:t>建议投标人对投标文件进行装订，价格文件、商务文件、技术文件可</w:t>
      </w:r>
      <w:r>
        <w:rPr>
          <w:rFonts w:hint="eastAsia" w:ascii="宋体" w:hAnsi="宋体" w:eastAsia="宋体"/>
          <w:color w:val="auto"/>
          <w:sz w:val="21"/>
          <w:szCs w:val="21"/>
          <w:highlight w:val="none"/>
          <w:lang w:val="en-US" w:eastAsia="zh-CN"/>
        </w:rPr>
        <w:t>合装订</w:t>
      </w:r>
      <w:r>
        <w:rPr>
          <w:rFonts w:hint="eastAsia" w:ascii="宋体" w:hAnsi="宋体" w:eastAsia="宋体"/>
          <w:color w:val="auto"/>
          <w:sz w:val="21"/>
          <w:szCs w:val="21"/>
          <w:highlight w:val="none"/>
        </w:rPr>
        <w:t>为一册，也可根据自身需要分册</w:t>
      </w:r>
      <w:r>
        <w:rPr>
          <w:rFonts w:hint="eastAsia" w:ascii="宋体" w:hAnsi="宋体" w:eastAsia="宋体"/>
          <w:color w:val="auto"/>
          <w:sz w:val="21"/>
          <w:szCs w:val="21"/>
          <w:highlight w:val="none"/>
          <w:lang w:val="en-US" w:eastAsia="zh-CN"/>
        </w:rPr>
        <w:t>装订，</w:t>
      </w:r>
      <w:r>
        <w:rPr>
          <w:rFonts w:ascii="宋体" w:hAnsi="宋体" w:eastAsia="宋体"/>
          <w:color w:val="auto"/>
          <w:sz w:val="21"/>
          <w:szCs w:val="21"/>
          <w:highlight w:val="none"/>
        </w:rPr>
        <w:t>对未经装订的投标文件可能发生的文件缺</w:t>
      </w:r>
      <w:r>
        <w:rPr>
          <w:rFonts w:hint="eastAsia" w:ascii="宋体" w:hAnsi="宋体" w:eastAsia="宋体"/>
          <w:color w:val="auto"/>
          <w:sz w:val="21"/>
          <w:szCs w:val="21"/>
          <w:highlight w:val="none"/>
        </w:rPr>
        <w:t>损</w:t>
      </w:r>
      <w:r>
        <w:rPr>
          <w:rFonts w:ascii="宋体" w:hAnsi="宋体" w:eastAsia="宋体"/>
          <w:color w:val="auto"/>
          <w:sz w:val="21"/>
          <w:szCs w:val="21"/>
          <w:highlight w:val="none"/>
        </w:rPr>
        <w:t>，由此产生的后果由投标人承担。</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投标文件</w:t>
      </w:r>
      <w:r>
        <w:rPr>
          <w:rFonts w:hint="eastAsia" w:ascii="宋体" w:hAnsi="宋体" w:eastAsia="宋体"/>
          <w:color w:val="auto"/>
          <w:sz w:val="21"/>
          <w:szCs w:val="21"/>
          <w:highlight w:val="none"/>
        </w:rPr>
        <w:t>正本均须用不褪色墨水书写或打印。投标文件的副本可采用投标文件的正本复印件，每套</w:t>
      </w:r>
      <w:r>
        <w:rPr>
          <w:rFonts w:ascii="宋体" w:hAnsi="宋体" w:eastAsia="宋体"/>
          <w:color w:val="auto"/>
          <w:sz w:val="21"/>
          <w:szCs w:val="21"/>
          <w:highlight w:val="none"/>
        </w:rPr>
        <w:t>投标文件</w:t>
      </w:r>
      <w:r>
        <w:rPr>
          <w:rFonts w:hint="eastAsia" w:ascii="宋体" w:hAnsi="宋体" w:eastAsia="宋体"/>
          <w:color w:val="auto"/>
          <w:sz w:val="21"/>
          <w:szCs w:val="21"/>
          <w:highlight w:val="none"/>
        </w:rPr>
        <w:t>应当标</w:t>
      </w:r>
      <w:r>
        <w:rPr>
          <w:rFonts w:ascii="宋体" w:hAnsi="宋体" w:eastAsia="宋体"/>
          <w:color w:val="auto"/>
          <w:sz w:val="21"/>
          <w:szCs w:val="21"/>
          <w:highlight w:val="none"/>
        </w:rPr>
        <w:t>明“正本”</w:t>
      </w:r>
      <w:r>
        <w:rPr>
          <w:rFonts w:hint="eastAsia" w:ascii="宋体" w:hAnsi="宋体" w:eastAsia="宋体"/>
          <w:color w:val="auto"/>
          <w:sz w:val="21"/>
          <w:szCs w:val="21"/>
          <w:highlight w:val="none"/>
        </w:rPr>
        <w:t>、</w:t>
      </w:r>
      <w:r>
        <w:rPr>
          <w:rFonts w:ascii="宋体" w:hAnsi="宋体" w:eastAsia="宋体"/>
          <w:color w:val="auto"/>
          <w:sz w:val="21"/>
          <w:szCs w:val="21"/>
          <w:highlight w:val="none"/>
        </w:rPr>
        <w:t>“副本”</w:t>
      </w:r>
      <w:r>
        <w:rPr>
          <w:rFonts w:hint="eastAsia" w:ascii="宋体" w:hAnsi="宋体" w:eastAsia="宋体"/>
          <w:color w:val="auto"/>
          <w:sz w:val="21"/>
          <w:szCs w:val="21"/>
          <w:highlight w:val="none"/>
        </w:rPr>
        <w:t>的字样</w:t>
      </w:r>
      <w:r>
        <w:rPr>
          <w:rFonts w:ascii="宋体" w:hAnsi="宋体" w:eastAsia="宋体"/>
          <w:color w:val="auto"/>
          <w:sz w:val="21"/>
          <w:szCs w:val="21"/>
          <w:highlight w:val="none"/>
        </w:rPr>
        <w:t>。</w:t>
      </w:r>
      <w:r>
        <w:rPr>
          <w:rFonts w:hint="eastAsia" w:ascii="宋体" w:hAnsi="宋体" w:eastAsia="宋体"/>
          <w:color w:val="auto"/>
          <w:sz w:val="21"/>
          <w:szCs w:val="21"/>
          <w:highlight w:val="none"/>
        </w:rPr>
        <w:t>投标文件的【正本】及所有【副本】的封面及骑缝均须加盖投标人公章（文件每页盖章等同于盖骑缝章）。若</w:t>
      </w:r>
      <w:r>
        <w:rPr>
          <w:rFonts w:ascii="宋体" w:hAnsi="宋体" w:eastAsia="宋体"/>
          <w:color w:val="auto"/>
          <w:sz w:val="21"/>
          <w:szCs w:val="21"/>
          <w:highlight w:val="none"/>
        </w:rPr>
        <w:t>正本</w:t>
      </w:r>
      <w:r>
        <w:rPr>
          <w:rFonts w:hint="eastAsia" w:ascii="宋体" w:hAnsi="宋体" w:eastAsia="宋体"/>
          <w:color w:val="auto"/>
          <w:sz w:val="21"/>
          <w:szCs w:val="21"/>
          <w:highlight w:val="none"/>
        </w:rPr>
        <w:t>与</w:t>
      </w:r>
      <w:r>
        <w:rPr>
          <w:rFonts w:ascii="宋体" w:hAnsi="宋体" w:eastAsia="宋体"/>
          <w:color w:val="auto"/>
          <w:sz w:val="21"/>
          <w:szCs w:val="21"/>
          <w:highlight w:val="none"/>
        </w:rPr>
        <w:t>副本</w:t>
      </w:r>
      <w:r>
        <w:rPr>
          <w:rFonts w:hint="eastAsia" w:ascii="宋体" w:hAnsi="宋体" w:eastAsia="宋体"/>
          <w:color w:val="auto"/>
          <w:sz w:val="21"/>
          <w:szCs w:val="21"/>
          <w:highlight w:val="none"/>
        </w:rPr>
        <w:t>不符，以</w:t>
      </w:r>
      <w:r>
        <w:rPr>
          <w:rFonts w:ascii="宋体" w:hAnsi="宋体" w:eastAsia="宋体"/>
          <w:color w:val="auto"/>
          <w:sz w:val="21"/>
          <w:szCs w:val="21"/>
          <w:highlight w:val="none"/>
        </w:rPr>
        <w:t>正本为准。</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联合体投标文件的【正本】及【副本】的封面及骑缝均须加盖所有联合体组成成员的公章。（文件每页盖章等同于盖骑缝章）</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电子文件内容包括：由投标人自行制作的与正本文件一致的所有文件。电子文件</w:t>
      </w:r>
      <w:r>
        <w:rPr>
          <w:rFonts w:hint="eastAsia" w:ascii="宋体" w:hAnsi="宋体" w:eastAsia="宋体"/>
          <w:color w:val="auto"/>
          <w:sz w:val="21"/>
          <w:szCs w:val="21"/>
          <w:highlight w:val="none"/>
        </w:rPr>
        <w:t>由</w:t>
      </w:r>
      <w:r>
        <w:rPr>
          <w:rFonts w:ascii="宋体" w:hAnsi="宋体" w:eastAsia="宋体"/>
          <w:color w:val="auto"/>
          <w:sz w:val="21"/>
          <w:szCs w:val="21"/>
          <w:highlight w:val="none"/>
        </w:rPr>
        <w:t>光盘</w:t>
      </w:r>
      <w:r>
        <w:rPr>
          <w:rFonts w:hint="eastAsia" w:ascii="宋体" w:hAnsi="宋体" w:eastAsia="宋体"/>
          <w:color w:val="auto"/>
          <w:sz w:val="21"/>
          <w:szCs w:val="21"/>
          <w:highlight w:val="none"/>
        </w:rPr>
        <w:t>或U盘</w:t>
      </w:r>
      <w:r>
        <w:rPr>
          <w:rFonts w:ascii="宋体" w:hAnsi="宋体" w:eastAsia="宋体"/>
          <w:color w:val="auto"/>
          <w:sz w:val="21"/>
          <w:szCs w:val="21"/>
          <w:highlight w:val="none"/>
        </w:rPr>
        <w:t>储存</w:t>
      </w:r>
      <w:r>
        <w:rPr>
          <w:rFonts w:hint="eastAsia" w:ascii="宋体" w:hAnsi="宋体" w:eastAsia="宋体"/>
          <w:color w:val="auto"/>
          <w:sz w:val="21"/>
          <w:szCs w:val="21"/>
          <w:highlight w:val="none"/>
        </w:rPr>
        <w:t>，并注明投标人名称及项目名称、采购项目编号，随投标文件一同密封提交。</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除投标人对错误处修改外，全套投标文件应无涂改或行间插字和增删。如有修改，修改处</w:t>
      </w:r>
      <w:r>
        <w:rPr>
          <w:rFonts w:hint="eastAsia" w:ascii="宋体" w:hAnsi="宋体" w:eastAsia="宋体"/>
          <w:color w:val="auto"/>
          <w:sz w:val="21"/>
          <w:szCs w:val="21"/>
          <w:highlight w:val="none"/>
        </w:rPr>
        <w:t>须由法定代表人或其正式授权代表在旁边签字及盖章</w:t>
      </w:r>
      <w:r>
        <w:rPr>
          <w:rFonts w:ascii="宋体" w:hAnsi="宋体" w:eastAsia="宋体"/>
          <w:color w:val="auto"/>
          <w:sz w:val="21"/>
          <w:szCs w:val="21"/>
          <w:highlight w:val="none"/>
        </w:rPr>
        <w:t>。</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为方便开标唱标，投标人应将</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和授权委托书单独密封提交，并在信封上标明“</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”字样。</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内还须包括并不限于：投标保证金支付凭证银行汇款底单（复印件加盖公章，原件随身携带，以备查核）和投标保证金汇入情况说明（加盖公章）。投标人的法定代表人参加投标时，须开具法定代表人证明书，按上述要求与</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一并密封提交。“</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”份数及签章等要求与投标文件正本相同（1份）。</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所有的信封均应注明： </w:t>
      </w:r>
    </w:p>
    <w:p>
      <w:pPr>
        <w:pageBreakBefore w:val="0"/>
        <w:widowControl w:val="0"/>
        <w:numPr>
          <w:ilvl w:val="0"/>
          <w:numId w:val="6"/>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收件人：</w:t>
      </w:r>
      <w:r>
        <w:rPr>
          <w:rFonts w:hint="eastAsia" w:ascii="宋体" w:hAnsi="宋体" w:eastAsia="宋体"/>
          <w:color w:val="auto"/>
          <w:sz w:val="21"/>
          <w:szCs w:val="21"/>
          <w:highlight w:val="none"/>
          <w:lang w:eastAsia="zh-CN"/>
        </w:rPr>
        <w:t>广东政通招标有限公司</w:t>
      </w:r>
    </w:p>
    <w:p>
      <w:pPr>
        <w:pageBreakBefore w:val="0"/>
        <w:widowControl w:val="0"/>
        <w:numPr>
          <w:ilvl w:val="0"/>
          <w:numId w:val="6"/>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投标单位名称：</w:t>
      </w:r>
    </w:p>
    <w:p>
      <w:pPr>
        <w:pageBreakBefore w:val="0"/>
        <w:widowControl w:val="0"/>
        <w:numPr>
          <w:ilvl w:val="0"/>
          <w:numId w:val="6"/>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p>
      <w:pPr>
        <w:pageBreakBefore w:val="0"/>
        <w:widowControl w:val="0"/>
        <w:numPr>
          <w:ilvl w:val="0"/>
          <w:numId w:val="6"/>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采购项目编号：</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采购代理机构将拒绝接收出现以下情况的投标文件：</w:t>
      </w:r>
    </w:p>
    <w:p>
      <w:pPr>
        <w:pageBreakBefore w:val="0"/>
        <w:widowControl w:val="0"/>
        <w:numPr>
          <w:ilvl w:val="0"/>
          <w:numId w:val="7"/>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采用透明包装进行密封或未进行密封的投标文件；</w:t>
      </w:r>
    </w:p>
    <w:p>
      <w:pPr>
        <w:pageBreakBefore w:val="0"/>
        <w:widowControl w:val="0"/>
        <w:numPr>
          <w:ilvl w:val="0"/>
          <w:numId w:val="7"/>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密封破损导致投标文件内容直接或间接泄露的投标文件；</w:t>
      </w:r>
    </w:p>
    <w:p>
      <w:pPr>
        <w:pageBreakBefore w:val="0"/>
        <w:widowControl w:val="0"/>
        <w:numPr>
          <w:ilvl w:val="0"/>
          <w:numId w:val="7"/>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密封信封上项目编号错误的投标文件；</w:t>
      </w:r>
    </w:p>
    <w:p>
      <w:pPr>
        <w:pageBreakBefore w:val="0"/>
        <w:widowControl w:val="0"/>
        <w:numPr>
          <w:ilvl w:val="0"/>
          <w:numId w:val="7"/>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未在规定时间内领购文件的投标人的投标文件；</w:t>
      </w:r>
    </w:p>
    <w:p>
      <w:pPr>
        <w:pageBreakBefore w:val="0"/>
        <w:widowControl w:val="0"/>
        <w:numPr>
          <w:ilvl w:val="0"/>
          <w:numId w:val="7"/>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项目名称出现严重歧义或未标注所投项目信息导致无法分辨所投项目为本项目的投标文件；</w:t>
      </w:r>
    </w:p>
    <w:p>
      <w:pPr>
        <w:pageBreakBefore w:val="0"/>
        <w:widowControl w:val="0"/>
        <w:numPr>
          <w:ilvl w:val="0"/>
          <w:numId w:val="7"/>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采用传真、电传的投标文件；</w:t>
      </w:r>
    </w:p>
    <w:p>
      <w:pPr>
        <w:pageBreakBefore w:val="0"/>
        <w:widowControl w:val="0"/>
        <w:numPr>
          <w:ilvl w:val="0"/>
          <w:numId w:val="7"/>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招标文件规定的其他情形。</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采购代理机构对所有投标文件的误投或提前启封概不负责。</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投标人同时参加几个包投标时必须按招标文件要求按包号分别制作投标文件，分别密封递交。</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递交的投标文件中所提供的通讯方式应保持联络畅通，因联系不上而导致的所有后果由投标人自行承担。</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0" w:name="_Toc8628"/>
      <w:bookmarkStart w:id="101" w:name="_Toc7473"/>
      <w:bookmarkStart w:id="102" w:name="_Toc17417"/>
      <w:r>
        <w:rPr>
          <w:rFonts w:hint="eastAsia" w:ascii="宋体" w:hAnsi="宋体" w:eastAsia="宋体"/>
          <w:color w:val="auto"/>
          <w:sz w:val="21"/>
          <w:szCs w:val="21"/>
          <w:highlight w:val="none"/>
        </w:rPr>
        <w:t>18.迟交的投标文件</w:t>
      </w:r>
      <w:bookmarkEnd w:id="100"/>
      <w:bookmarkEnd w:id="101"/>
      <w:bookmarkEnd w:id="102"/>
    </w:p>
    <w:p>
      <w:pPr>
        <w:pStyle w:val="34"/>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投标人在投标截止时间之后提交的投标文件，采购代理机构将拒绝接收</w:t>
      </w:r>
      <w:r>
        <w:rPr>
          <w:rFonts w:ascii="宋体" w:hAnsi="宋体" w:eastAsia="宋体"/>
          <w:color w:val="auto"/>
          <w:sz w:val="21"/>
          <w:szCs w:val="21"/>
          <w:highlight w:val="none"/>
        </w:rPr>
        <w:t>。</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有违反其他法律规定情形的，采购代理机构将拒绝接收。</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3" w:name="_Toc8526"/>
      <w:bookmarkStart w:id="104" w:name="_Toc13212"/>
      <w:bookmarkStart w:id="105" w:name="_Toc19649"/>
      <w:r>
        <w:rPr>
          <w:rFonts w:hint="eastAsia" w:ascii="宋体" w:hAnsi="宋体" w:eastAsia="宋体"/>
          <w:color w:val="auto"/>
          <w:sz w:val="21"/>
          <w:szCs w:val="21"/>
          <w:highlight w:val="none"/>
        </w:rPr>
        <w:t>19.投标样品（如需提交）</w:t>
      </w:r>
      <w:bookmarkEnd w:id="103"/>
      <w:bookmarkEnd w:id="104"/>
      <w:bookmarkEnd w:id="105"/>
    </w:p>
    <w:p>
      <w:pPr>
        <w:pStyle w:val="34"/>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如有必要，采购代理机构可以要求投标人提供本服务项目涉及的部分设备或产品样品，投标人在投标时应提交《样品清单》。</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为方便评标，投标人在提供样品时，应在所提供的样品表面显著位置标注投标人的名称、包号、样品名称、招标文件规定的服务或货物编号。</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6" w:name="_Toc303084265"/>
      <w:bookmarkStart w:id="107" w:name="_Toc382049112"/>
      <w:bookmarkStart w:id="108" w:name="_Toc7689"/>
      <w:bookmarkStart w:id="109" w:name="_Toc5900"/>
      <w:bookmarkStart w:id="110" w:name="_Toc23477"/>
      <w:bookmarkStart w:id="111" w:name="_Toc9777"/>
      <w:r>
        <w:rPr>
          <w:rFonts w:hint="eastAsia" w:ascii="宋体" w:hAnsi="宋体" w:eastAsia="宋体"/>
          <w:color w:val="auto"/>
          <w:sz w:val="21"/>
          <w:szCs w:val="21"/>
          <w:highlight w:val="none"/>
        </w:rPr>
        <w:t>20.投标截止期</w:t>
      </w:r>
      <w:bookmarkEnd w:id="106"/>
      <w:bookmarkEnd w:id="107"/>
      <w:bookmarkEnd w:id="108"/>
      <w:bookmarkEnd w:id="109"/>
      <w:bookmarkEnd w:id="110"/>
      <w:bookmarkEnd w:id="111"/>
    </w:p>
    <w:p>
      <w:pPr>
        <w:pStyle w:val="34"/>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投标人应在招标文件规定的截止日期和时间内，将投标文件送达到指定地点。</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可按本须知规定以</w:t>
      </w:r>
      <w:r>
        <w:rPr>
          <w:rFonts w:hint="eastAsia" w:ascii="宋体" w:hAnsi="宋体" w:eastAsia="宋体"/>
          <w:color w:val="auto"/>
          <w:sz w:val="21"/>
          <w:szCs w:val="21"/>
          <w:highlight w:val="none"/>
        </w:rPr>
        <w:t>澄清或</w:t>
      </w:r>
      <w:r>
        <w:rPr>
          <w:rFonts w:ascii="宋体" w:hAnsi="宋体" w:eastAsia="宋体"/>
          <w:color w:val="auto"/>
          <w:sz w:val="21"/>
          <w:szCs w:val="21"/>
          <w:highlight w:val="none"/>
        </w:rPr>
        <w:t>修改通知的方式，酌情延长</w:t>
      </w:r>
      <w:r>
        <w:rPr>
          <w:rFonts w:hint="eastAsia" w:ascii="宋体" w:hAnsi="宋体" w:eastAsia="宋体"/>
          <w:color w:val="auto"/>
          <w:sz w:val="21"/>
          <w:szCs w:val="21"/>
          <w:highlight w:val="none"/>
        </w:rPr>
        <w:t>递</w:t>
      </w:r>
      <w:r>
        <w:rPr>
          <w:rFonts w:ascii="宋体" w:hAnsi="宋体" w:eastAsia="宋体"/>
          <w:color w:val="auto"/>
          <w:sz w:val="21"/>
          <w:szCs w:val="21"/>
          <w:highlight w:val="none"/>
        </w:rPr>
        <w:t>交投标文件的截止时间。在此情况下，投标人的所有权利和义务以及投标人受制约的截止时间，均以延长后新的投标截止时间为准。</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12" w:name="_Toc11133"/>
      <w:bookmarkStart w:id="113" w:name="_Toc6003"/>
      <w:bookmarkStart w:id="114" w:name="_Toc15569"/>
      <w:r>
        <w:rPr>
          <w:rFonts w:hint="eastAsia" w:ascii="宋体" w:hAnsi="宋体" w:eastAsia="宋体"/>
          <w:color w:val="auto"/>
          <w:sz w:val="21"/>
          <w:szCs w:val="21"/>
          <w:highlight w:val="none"/>
        </w:rPr>
        <w:t>21.投标文件的补充、修改与撤回</w:t>
      </w:r>
      <w:bookmarkEnd w:id="112"/>
      <w:bookmarkEnd w:id="113"/>
      <w:bookmarkEnd w:id="114"/>
    </w:p>
    <w:p>
      <w:pPr>
        <w:pStyle w:val="34"/>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投标文件一经递交不予退还。</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在提交投标文件截止时间至投标有效期满之前，投标人不得撤回其投标，否则其投标保证金将不予退还。</w:t>
      </w:r>
    </w:p>
    <w:p>
      <w:pPr>
        <w:pStyle w:val="7"/>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115" w:name="_Toc29574"/>
      <w:bookmarkStart w:id="116" w:name="_Toc5049"/>
      <w:bookmarkStart w:id="117" w:name="_Toc23466"/>
      <w:r>
        <w:rPr>
          <w:rFonts w:hint="eastAsia" w:ascii="宋体" w:hAnsi="宋体"/>
          <w:color w:val="auto"/>
          <w:highlight w:val="none"/>
          <w:lang w:val="en-US" w:eastAsia="zh-CN"/>
        </w:rPr>
        <w:t>第五章</w:t>
      </w:r>
      <w:r>
        <w:rPr>
          <w:rFonts w:hint="eastAsia" w:ascii="宋体" w:hAnsi="宋体" w:eastAsia="宋体"/>
          <w:color w:val="auto"/>
          <w:highlight w:val="none"/>
        </w:rPr>
        <w:t>开标与评标</w:t>
      </w:r>
      <w:bookmarkEnd w:id="115"/>
      <w:bookmarkEnd w:id="116"/>
      <w:bookmarkEnd w:id="117"/>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18" w:name="_Toc27700"/>
      <w:bookmarkStart w:id="119" w:name="_Toc24251"/>
      <w:bookmarkStart w:id="120" w:name="_Toc28458"/>
      <w:r>
        <w:rPr>
          <w:rFonts w:hint="eastAsia" w:ascii="宋体" w:hAnsi="宋体" w:eastAsia="宋体"/>
          <w:color w:val="auto"/>
          <w:sz w:val="21"/>
          <w:szCs w:val="21"/>
          <w:highlight w:val="none"/>
        </w:rPr>
        <w:t>22.开标</w:t>
      </w:r>
      <w:bookmarkEnd w:id="118"/>
      <w:bookmarkEnd w:id="119"/>
      <w:bookmarkEnd w:id="120"/>
    </w:p>
    <w:p>
      <w:pPr>
        <w:pStyle w:val="34"/>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采购代理机构按</w:t>
      </w:r>
      <w:r>
        <w:rPr>
          <w:rFonts w:ascii="宋体" w:hAnsi="宋体" w:eastAsia="宋体"/>
          <w:color w:val="auto"/>
          <w:sz w:val="21"/>
          <w:szCs w:val="21"/>
          <w:highlight w:val="none"/>
        </w:rPr>
        <w:t>本</w:t>
      </w:r>
      <w:r>
        <w:rPr>
          <w:rFonts w:hint="eastAsia" w:ascii="宋体" w:hAnsi="宋体" w:eastAsia="宋体"/>
          <w:color w:val="auto"/>
          <w:sz w:val="21"/>
          <w:szCs w:val="21"/>
          <w:highlight w:val="none"/>
        </w:rPr>
        <w:t>招标文件</w:t>
      </w:r>
      <w:r>
        <w:rPr>
          <w:rFonts w:ascii="宋体" w:hAnsi="宋体" w:eastAsia="宋体"/>
          <w:color w:val="auto"/>
          <w:sz w:val="21"/>
          <w:szCs w:val="21"/>
          <w:highlight w:val="none"/>
        </w:rPr>
        <w:t>所规定的时间和地点公开开标，并邀请所有投标人</w:t>
      </w:r>
      <w:r>
        <w:rPr>
          <w:rFonts w:hint="eastAsia" w:ascii="宋体" w:hAnsi="宋体" w:eastAsia="宋体"/>
          <w:color w:val="auto"/>
          <w:sz w:val="21"/>
          <w:szCs w:val="21"/>
          <w:highlight w:val="none"/>
        </w:rPr>
        <w:t>代表</w:t>
      </w:r>
      <w:r>
        <w:rPr>
          <w:rFonts w:ascii="宋体" w:hAnsi="宋体" w:eastAsia="宋体"/>
          <w:color w:val="auto"/>
          <w:sz w:val="21"/>
          <w:szCs w:val="21"/>
          <w:highlight w:val="none"/>
        </w:rPr>
        <w:t>参加。</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开标程序：</w:t>
      </w:r>
    </w:p>
    <w:p>
      <w:pPr>
        <w:pageBreakBefore w:val="0"/>
        <w:widowControl w:val="0"/>
        <w:numPr>
          <w:ilvl w:val="2"/>
          <w:numId w:val="5"/>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开标</w:t>
      </w:r>
      <w:r>
        <w:rPr>
          <w:rFonts w:hint="eastAsia" w:ascii="宋体" w:hAnsi="宋体" w:eastAsia="宋体"/>
          <w:color w:val="auto"/>
          <w:sz w:val="21"/>
          <w:szCs w:val="21"/>
          <w:highlight w:val="none"/>
        </w:rPr>
        <w:t>会</w:t>
      </w:r>
      <w:r>
        <w:rPr>
          <w:rFonts w:ascii="宋体" w:hAnsi="宋体" w:eastAsia="宋体"/>
          <w:color w:val="auto"/>
          <w:sz w:val="21"/>
          <w:szCs w:val="21"/>
          <w:highlight w:val="none"/>
        </w:rPr>
        <w:t>由</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主持</w:t>
      </w:r>
      <w:r>
        <w:rPr>
          <w:rFonts w:hint="eastAsia" w:ascii="宋体" w:hAnsi="宋体" w:eastAsia="宋体"/>
          <w:color w:val="auto"/>
          <w:sz w:val="21"/>
          <w:szCs w:val="21"/>
          <w:highlight w:val="none"/>
        </w:rPr>
        <w:t>，投标人的法定代表人或其授权代表携带有效身份证明准时参加开标会并签名报到。</w:t>
      </w:r>
    </w:p>
    <w:p>
      <w:pPr>
        <w:pageBreakBefore w:val="0"/>
        <w:widowControl w:val="0"/>
        <w:numPr>
          <w:ilvl w:val="2"/>
          <w:numId w:val="5"/>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pageBreakBefore w:val="0"/>
        <w:widowControl w:val="0"/>
        <w:numPr>
          <w:ilvl w:val="2"/>
          <w:numId w:val="5"/>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投标人未参加开标的，视同认可开标结果。</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color w:val="auto"/>
          <w:sz w:val="21"/>
          <w:szCs w:val="21"/>
          <w:highlight w:val="none"/>
          <w:lang w:val="en-US" w:eastAsia="zh-CN"/>
        </w:rPr>
        <w:t>现场参与的</w:t>
      </w:r>
      <w:r>
        <w:rPr>
          <w:rFonts w:hint="eastAsia" w:ascii="宋体" w:hAnsi="宋体" w:eastAsia="宋体"/>
          <w:color w:val="auto"/>
          <w:sz w:val="21"/>
          <w:szCs w:val="21"/>
          <w:highlight w:val="none"/>
        </w:rPr>
        <w:t>投标人不足3家的，不得开标；</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开标过程应当由采购人或者采购代理机构负责记录，由参加开标的各投标人代表和相关工作人员签字确认。</w:t>
      </w:r>
    </w:p>
    <w:p>
      <w:pPr>
        <w:pageBreakBefore w:val="0"/>
        <w:widowControl w:val="0"/>
        <w:kinsoku/>
        <w:wordWrap/>
        <w:topLinePunct w:val="0"/>
        <w:autoSpaceDE/>
        <w:autoSpaceDN/>
        <w:bidi w:val="0"/>
        <w:adjustRightInd/>
        <w:snapToGrid/>
        <w:spacing w:after="0" w:line="360" w:lineRule="auto"/>
        <w:ind w:left="567"/>
        <w:jc w:val="both"/>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1" w:name="_Toc5524"/>
      <w:bookmarkStart w:id="122" w:name="_Toc4921"/>
      <w:bookmarkStart w:id="123" w:name="_Toc5974"/>
      <w:r>
        <w:rPr>
          <w:rFonts w:hint="eastAsia" w:ascii="宋体" w:hAnsi="宋体" w:eastAsia="宋体"/>
          <w:color w:val="auto"/>
          <w:sz w:val="21"/>
          <w:szCs w:val="21"/>
          <w:highlight w:val="none"/>
        </w:rPr>
        <w:t>23.评标委员会及评标方法</w:t>
      </w:r>
      <w:bookmarkEnd w:id="121"/>
      <w:bookmarkEnd w:id="122"/>
      <w:bookmarkEnd w:id="123"/>
    </w:p>
    <w:p>
      <w:pPr>
        <w:pStyle w:val="34"/>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评标委员会根据招标项目的特点进行组建，并负责评标工作。</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评审方法：本次招标的评审方法采用综合评分法。</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定标原则：在最大限度</w:t>
      </w:r>
      <w:r>
        <w:rPr>
          <w:rFonts w:ascii="宋体" w:hAnsi="宋体" w:eastAsia="宋体"/>
          <w:color w:val="auto"/>
          <w:sz w:val="21"/>
          <w:szCs w:val="21"/>
          <w:highlight w:val="none"/>
        </w:rPr>
        <w:t>满足招标文件</w:t>
      </w:r>
      <w:r>
        <w:rPr>
          <w:rFonts w:hint="eastAsia" w:ascii="宋体" w:hAnsi="宋体" w:eastAsia="宋体"/>
          <w:color w:val="auto"/>
          <w:sz w:val="21"/>
          <w:szCs w:val="21"/>
          <w:highlight w:val="none"/>
        </w:rPr>
        <w:t>实质性要求前提下，按照招标文件规定的各项评价因素进行量化打分，以评标总得分最高的投标人作为中标候选人或中标人。</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评标委员会对投标文件的评审内容，分为商务评议、技术评议和价格评议。评审流程包括符合性检查、澄清问题、比较与评价、推荐中标候选人或确定中标人、编写评标报告等步骤。</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通过资格性和符合性审查的有效</w:t>
      </w:r>
      <w:r>
        <w:rPr>
          <w:rFonts w:hint="eastAsia" w:ascii="宋体" w:hAnsi="宋体"/>
          <w:color w:val="auto"/>
          <w:sz w:val="21"/>
          <w:szCs w:val="21"/>
          <w:highlight w:val="none"/>
          <w:lang w:val="en-US" w:eastAsia="zh-CN"/>
        </w:rPr>
        <w:t>投标人</w:t>
      </w:r>
      <w:r>
        <w:rPr>
          <w:rFonts w:hint="eastAsia" w:ascii="宋体" w:hAnsi="宋体" w:eastAsia="宋体"/>
          <w:color w:val="auto"/>
          <w:sz w:val="21"/>
          <w:szCs w:val="21"/>
          <w:highlight w:val="none"/>
        </w:rPr>
        <w:t>方有资格提交最终报价及进入综合评审。</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4" w:name="_Toc15231"/>
      <w:bookmarkStart w:id="125" w:name="_Toc32730"/>
      <w:bookmarkStart w:id="126" w:name="_Toc26402"/>
      <w:r>
        <w:rPr>
          <w:rFonts w:hint="eastAsia" w:ascii="宋体" w:hAnsi="宋体" w:eastAsia="宋体"/>
          <w:color w:val="auto"/>
          <w:sz w:val="21"/>
          <w:szCs w:val="21"/>
          <w:highlight w:val="none"/>
        </w:rPr>
        <w:t>24.评审原则及评标过程的保密</w:t>
      </w:r>
      <w:bookmarkEnd w:id="124"/>
      <w:bookmarkEnd w:id="125"/>
      <w:bookmarkEnd w:id="126"/>
    </w:p>
    <w:p>
      <w:pPr>
        <w:pStyle w:val="34"/>
        <w:pageBreakBefore w:val="0"/>
        <w:widowControl w:val="0"/>
        <w:numPr>
          <w:ilvl w:val="0"/>
          <w:numId w:val="5"/>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评审的基本原则：</w:t>
      </w:r>
      <w:r>
        <w:rPr>
          <w:rFonts w:hint="eastAsia" w:ascii="宋体" w:hAnsi="宋体"/>
          <w:color w:val="auto"/>
          <w:szCs w:val="21"/>
          <w:highlight w:val="none"/>
        </w:rPr>
        <w:t>评标委员会将依据招标文件的规定，遵循“公开、公平、公正、择优、信用”的原则进行评审工作。</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招标</w:t>
      </w:r>
      <w:r>
        <w:rPr>
          <w:rFonts w:hint="eastAsia" w:ascii="宋体" w:hAnsi="宋体" w:eastAsia="宋体"/>
          <w:color w:val="auto"/>
          <w:sz w:val="21"/>
          <w:szCs w:val="21"/>
          <w:highlight w:val="none"/>
        </w:rPr>
        <w:t>文件中要求</w:t>
      </w:r>
      <w:r>
        <w:rPr>
          <w:rFonts w:hint="eastAsia" w:ascii="宋体" w:hAnsi="宋体" w:eastAsia="宋体"/>
          <w:color w:val="auto"/>
          <w:sz w:val="21"/>
          <w:szCs w:val="21"/>
          <w:highlight w:val="none"/>
          <w:lang w:val="en-US" w:eastAsia="zh-CN"/>
        </w:rPr>
        <w:t>投标人</w:t>
      </w:r>
      <w:r>
        <w:rPr>
          <w:rFonts w:hint="eastAsia" w:ascii="宋体" w:hAnsi="宋体" w:eastAsia="宋体"/>
          <w:color w:val="auto"/>
          <w:sz w:val="21"/>
          <w:szCs w:val="21"/>
          <w:highlight w:val="none"/>
        </w:rPr>
        <w:t>提供的相关资质证书证明材料因国家政策变动导致新旧证书名称不一致</w:t>
      </w:r>
      <w:r>
        <w:rPr>
          <w:rFonts w:hint="eastAsia" w:ascii="宋体" w:hAnsi="宋体" w:eastAsia="宋体"/>
          <w:color w:val="auto"/>
          <w:sz w:val="21"/>
          <w:szCs w:val="21"/>
          <w:highlight w:val="none"/>
          <w:lang w:val="en-US" w:eastAsia="zh-CN"/>
        </w:rPr>
        <w:t>的</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投标人</w:t>
      </w:r>
      <w:r>
        <w:rPr>
          <w:rFonts w:hint="eastAsia" w:ascii="宋体" w:hAnsi="宋体" w:eastAsia="宋体"/>
          <w:color w:val="auto"/>
          <w:sz w:val="21"/>
          <w:szCs w:val="21"/>
          <w:highlight w:val="none"/>
        </w:rPr>
        <w:t>提供新证书</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提供在有效期内的旧证书</w:t>
      </w:r>
      <w:r>
        <w:rPr>
          <w:rFonts w:hint="eastAsia" w:ascii="宋体" w:hAnsi="宋体" w:eastAsia="宋体"/>
          <w:color w:val="auto"/>
          <w:sz w:val="21"/>
          <w:szCs w:val="21"/>
          <w:highlight w:val="none"/>
          <w:lang w:val="en-US" w:eastAsia="zh-CN"/>
        </w:rPr>
        <w:t>经评审委员会认定后，均具有同等效力，</w:t>
      </w:r>
      <w:r>
        <w:rPr>
          <w:rFonts w:hint="eastAsia" w:ascii="宋体" w:hAnsi="宋体" w:eastAsia="宋体"/>
          <w:color w:val="auto"/>
          <w:sz w:val="21"/>
          <w:szCs w:val="21"/>
          <w:highlight w:val="none"/>
        </w:rPr>
        <w:t>给予同等认可。</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从公开开标到签订合同，凡与审查、澄清、评审和投标有关的资料以及定标意见相关的事项，均不得向投标人及与评标无关的其他人透露。</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任何单位和个人不得非法干预、影响评标的过程和结果。</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7" w:name="_Toc16745"/>
      <w:bookmarkStart w:id="128" w:name="_Toc3762"/>
      <w:bookmarkStart w:id="129" w:name="_Toc18436"/>
      <w:r>
        <w:rPr>
          <w:rFonts w:hint="eastAsia" w:ascii="宋体" w:hAnsi="宋体" w:eastAsia="宋体"/>
          <w:color w:val="auto"/>
          <w:sz w:val="21"/>
          <w:szCs w:val="21"/>
          <w:highlight w:val="none"/>
        </w:rPr>
        <w:t>25.投标文件的初审</w:t>
      </w:r>
      <w:bookmarkEnd w:id="127"/>
      <w:bookmarkEnd w:id="128"/>
      <w:bookmarkEnd w:id="129"/>
    </w:p>
    <w:p>
      <w:pPr>
        <w:pStyle w:val="34"/>
        <w:pageBreakBefore w:val="0"/>
        <w:widowControl w:val="0"/>
        <w:numPr>
          <w:ilvl w:val="0"/>
          <w:numId w:val="5"/>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highlight w:val="none"/>
        </w:rPr>
      </w:pPr>
      <w:r>
        <w:rPr>
          <w:rFonts w:hint="eastAsia" w:ascii="宋体" w:hAnsi="宋体" w:eastAsia="宋体"/>
          <w:color w:val="auto"/>
          <w:sz w:val="21"/>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eastAsia="宋体"/>
          <w:b/>
          <w:color w:val="auto"/>
          <w:sz w:val="21"/>
          <w:szCs w:val="21"/>
          <w:highlight w:val="none"/>
        </w:rPr>
        <w:t>资格性检查中发现下列情形之一的，其投标作无效处理：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1) 资格瑕疵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2) 投标保证金瑕疵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包括但不限于：①投标人未按招标文件要求提交投标保证金；②提交方式、提交时间、提交金额不符合招标文件要求；③投标保证金有效期不符合招标文件要求。</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eastAsia="宋体"/>
          <w:b/>
          <w:color w:val="auto"/>
          <w:sz w:val="21"/>
          <w:szCs w:val="21"/>
          <w:highlight w:val="none"/>
        </w:rPr>
        <w:t>发现下列情况之一的，其投标将作无效处理</w:t>
      </w:r>
      <w:r>
        <w:rPr>
          <w:rFonts w:hint="eastAsia" w:ascii="宋体" w:hAnsi="宋体" w:eastAsia="宋体"/>
          <w:color w:val="auto"/>
          <w:sz w:val="21"/>
          <w:szCs w:val="21"/>
          <w:highlight w:val="none"/>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b/>
          <w:color w:val="auto"/>
          <w:sz w:val="21"/>
          <w:szCs w:val="21"/>
          <w:highlight w:val="none"/>
        </w:rPr>
        <w:t>1) 投标文件的有效性、完整性瑕疵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2) 技术响应瑕疵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实质性条款（标记★）投标响应表</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未提供的</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⑥将一个包中的内容拆开投标的；⑦投标人对同一货物或服务投标时，投标方案不唯一；⑧明显不符合技术规格、技术标准要求的；⑨其他未实质性响应招标文件技术要求的。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3) 商务响应瑕疵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4）投标报价瑕疵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5）违规行为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6)法律法规及招标文件中规定的其它情形。</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根据项目情况，评标委员会有权决定招标文件中“可能导致废标”或“可能导致其投标被拒绝”等具体条款是否实施“废标”或“投标被拒绝”，但对同一条款的裁决应适用于每个投标人。</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对于投标文件中不构成实质性偏差的不正规、不一致或不规则，评标委员会可以接受，但这种接受不能损害或影响任何投标人的相对排序。</w:t>
      </w:r>
    </w:p>
    <w:p>
      <w:pPr>
        <w:pageBreakBefore w:val="0"/>
        <w:widowControl w:val="0"/>
        <w:numPr>
          <w:ilvl w:val="1"/>
          <w:numId w:val="5"/>
        </w:numPr>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0" w:name="_Toc27673"/>
      <w:bookmarkStart w:id="131" w:name="_Toc21742"/>
      <w:bookmarkStart w:id="132" w:name="_Toc29184"/>
      <w:r>
        <w:rPr>
          <w:rFonts w:hint="eastAsia" w:ascii="宋体" w:hAnsi="宋体" w:eastAsia="宋体"/>
          <w:color w:val="auto"/>
          <w:sz w:val="21"/>
          <w:szCs w:val="21"/>
          <w:highlight w:val="none"/>
        </w:rPr>
        <w:t>26.商务、技术、价格评审（具体评审项目详见投标资料表）</w:t>
      </w:r>
      <w:bookmarkEnd w:id="130"/>
      <w:bookmarkEnd w:id="131"/>
      <w:bookmarkEnd w:id="132"/>
    </w:p>
    <w:p>
      <w:pPr>
        <w:pStyle w:val="34"/>
        <w:pageBreakBefore w:val="0"/>
        <w:widowControl w:val="0"/>
        <w:numPr>
          <w:ilvl w:val="0"/>
          <w:numId w:val="5"/>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对通过符合性检查的投标人进行商务技术综合评议，针对投标文件对招标文件的响应情况对各个投标人进行商务和技术评分</w:t>
      </w:r>
      <w:r>
        <w:rPr>
          <w:rFonts w:hint="eastAsia" w:ascii="宋体" w:hAnsi="宋体" w:eastAsia="宋体"/>
          <w:color w:val="auto"/>
          <w:sz w:val="21"/>
          <w:szCs w:val="21"/>
          <w:highlight w:val="none"/>
        </w:rPr>
        <w:t xml:space="preserve">。 </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投标文件报价出现前后不一致的，评标委员会按照下列规定修正：</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投标文件中</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（报价表）内容与投标文件中相应内容不一致的，以</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（报价表）为准；</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大写金额和小写金额不一致的，以大写金额为准；</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单价金额小数点或者百分比有明显错位的，以</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的总价为准，并修改单价；</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总价金额与按单价汇总金额不一致的，以单价金额计算结果为准。</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同时出现两种以上不一致的，按照前款规定的顺序修正。修正后的报价按照经投标人确认后产生约束力，投标人不确认的，其投标无效。</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pageBreakBefore w:val="0"/>
        <w:widowControl w:val="0"/>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3" w:name="_Toc316375620"/>
      <w:bookmarkStart w:id="134" w:name="_Toc382049120"/>
      <w:bookmarkStart w:id="135" w:name="_Toc12115"/>
      <w:bookmarkStart w:id="136" w:name="_Toc20328"/>
      <w:bookmarkStart w:id="137" w:name="_Toc31141"/>
      <w:bookmarkStart w:id="138" w:name="_Toc22591"/>
      <w:r>
        <w:rPr>
          <w:rFonts w:hint="eastAsia" w:ascii="宋体" w:hAnsi="宋体" w:eastAsia="宋体"/>
          <w:color w:val="auto"/>
          <w:sz w:val="21"/>
          <w:szCs w:val="21"/>
          <w:highlight w:val="none"/>
        </w:rPr>
        <w:t>2</w:t>
      </w:r>
      <w:r>
        <w:rPr>
          <w:rFonts w:hint="eastAsia" w:ascii="宋体" w:hAnsi="宋体" w:eastAsia="宋体"/>
          <w:color w:val="auto"/>
          <w:sz w:val="21"/>
          <w:szCs w:val="21"/>
          <w:highlight w:val="none"/>
          <w:lang w:val="en-US" w:eastAsia="zh-CN"/>
        </w:rPr>
        <w:t>7</w:t>
      </w:r>
      <w:r>
        <w:rPr>
          <w:rFonts w:hint="eastAsia" w:ascii="宋体" w:hAnsi="宋体" w:eastAsia="宋体"/>
          <w:color w:val="auto"/>
          <w:sz w:val="21"/>
          <w:szCs w:val="21"/>
          <w:highlight w:val="none"/>
        </w:rPr>
        <w:t>.纪律和</w:t>
      </w:r>
      <w:r>
        <w:rPr>
          <w:rFonts w:ascii="宋体" w:hAnsi="宋体" w:eastAsia="宋体"/>
          <w:color w:val="auto"/>
          <w:sz w:val="21"/>
          <w:szCs w:val="21"/>
          <w:highlight w:val="none"/>
        </w:rPr>
        <w:t>保密</w:t>
      </w:r>
      <w:bookmarkEnd w:id="133"/>
      <w:r>
        <w:rPr>
          <w:rFonts w:hint="eastAsia" w:ascii="宋体" w:hAnsi="宋体" w:eastAsia="宋体"/>
          <w:color w:val="auto"/>
          <w:sz w:val="21"/>
          <w:szCs w:val="21"/>
          <w:highlight w:val="none"/>
        </w:rPr>
        <w:t>事项</w:t>
      </w:r>
      <w:bookmarkEnd w:id="134"/>
      <w:bookmarkEnd w:id="135"/>
      <w:bookmarkEnd w:id="136"/>
      <w:bookmarkEnd w:id="137"/>
      <w:bookmarkEnd w:id="138"/>
    </w:p>
    <w:p>
      <w:pPr>
        <w:pStyle w:val="34"/>
        <w:pageBreakBefore w:val="0"/>
        <w:widowControl w:val="0"/>
        <w:numPr>
          <w:ilvl w:val="0"/>
          <w:numId w:val="5"/>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投标人不得串通作弊，以不正当的手段妨碍、排挤其他投标人，扰乱招标市场，破坏公平竞争原则。否则将按相关法律规定严肃处理。</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139" w:name="_Toc5528"/>
      <w:bookmarkStart w:id="140" w:name="_Toc29310"/>
      <w:bookmarkStart w:id="141" w:name="_Toc12251"/>
      <w:r>
        <w:rPr>
          <w:rFonts w:hint="eastAsia" w:ascii="宋体" w:hAnsi="宋体"/>
          <w:color w:val="auto"/>
          <w:highlight w:val="none"/>
          <w:lang w:val="en-US" w:eastAsia="zh-CN"/>
        </w:rPr>
        <w:t>第六章</w:t>
      </w:r>
      <w:r>
        <w:rPr>
          <w:rFonts w:hint="eastAsia" w:ascii="宋体" w:hAnsi="宋体" w:eastAsia="宋体"/>
          <w:color w:val="auto"/>
          <w:highlight w:val="none"/>
        </w:rPr>
        <w:t>授予合同</w:t>
      </w:r>
      <w:bookmarkEnd w:id="139"/>
      <w:bookmarkEnd w:id="140"/>
      <w:bookmarkEnd w:id="141"/>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42" w:name="_Toc27817"/>
      <w:bookmarkStart w:id="143" w:name="_Toc17778"/>
      <w:bookmarkStart w:id="144" w:name="_Toc6696"/>
      <w:bookmarkStart w:id="145" w:name="_Toc508284011"/>
      <w:r>
        <w:rPr>
          <w:rFonts w:hint="eastAsia" w:ascii="宋体" w:hAnsi="宋体" w:eastAsia="宋体"/>
          <w:color w:val="auto"/>
          <w:sz w:val="21"/>
          <w:szCs w:val="21"/>
          <w:highlight w:val="none"/>
        </w:rPr>
        <w:t>2</w:t>
      </w:r>
      <w:r>
        <w:rPr>
          <w:rFonts w:hint="eastAsia" w:ascii="宋体" w:hAnsi="宋体" w:eastAsia="宋体"/>
          <w:color w:val="auto"/>
          <w:sz w:val="21"/>
          <w:szCs w:val="21"/>
          <w:highlight w:val="none"/>
          <w:lang w:val="en-US" w:eastAsia="zh-CN"/>
        </w:rPr>
        <w:t>8</w:t>
      </w:r>
      <w:r>
        <w:rPr>
          <w:rFonts w:hint="eastAsia" w:ascii="宋体" w:hAnsi="宋体" w:eastAsia="宋体"/>
          <w:color w:val="auto"/>
          <w:sz w:val="21"/>
          <w:szCs w:val="21"/>
          <w:highlight w:val="none"/>
        </w:rPr>
        <w:t>.</w:t>
      </w:r>
      <w:r>
        <w:rPr>
          <w:rFonts w:ascii="宋体" w:hAnsi="宋体" w:eastAsia="宋体"/>
          <w:color w:val="auto"/>
          <w:sz w:val="21"/>
          <w:szCs w:val="21"/>
          <w:highlight w:val="none"/>
        </w:rPr>
        <w:t>合同授予标准</w:t>
      </w:r>
      <w:bookmarkEnd w:id="142"/>
      <w:bookmarkEnd w:id="143"/>
      <w:bookmarkEnd w:id="144"/>
      <w:bookmarkEnd w:id="145"/>
    </w:p>
    <w:p>
      <w:pPr>
        <w:pStyle w:val="34"/>
        <w:pageBreakBefore w:val="0"/>
        <w:widowControl w:val="0"/>
        <w:numPr>
          <w:ilvl w:val="0"/>
          <w:numId w:val="5"/>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根据评标委员会的评审结果，采购人按照评审报告推荐的中标候选人中按顺序依法确定中标人</w:t>
      </w:r>
      <w:r>
        <w:rPr>
          <w:rFonts w:ascii="宋体" w:hAnsi="宋体" w:eastAsia="宋体"/>
          <w:color w:val="auto"/>
          <w:sz w:val="21"/>
          <w:szCs w:val="21"/>
          <w:highlight w:val="none"/>
        </w:rPr>
        <w:t>。</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46" w:name="_Toc508284013"/>
      <w:bookmarkStart w:id="147" w:name="_Toc23136"/>
      <w:bookmarkStart w:id="148" w:name="_Toc29283"/>
      <w:bookmarkStart w:id="149" w:name="_Toc12440"/>
      <w:r>
        <w:rPr>
          <w:rFonts w:hint="eastAsia" w:ascii="宋体" w:hAnsi="宋体" w:eastAsia="宋体"/>
          <w:color w:val="auto"/>
          <w:sz w:val="21"/>
          <w:szCs w:val="21"/>
          <w:highlight w:val="none"/>
          <w:lang w:val="en-US" w:eastAsia="zh-CN"/>
        </w:rPr>
        <w:t>29</w:t>
      </w:r>
      <w:r>
        <w:rPr>
          <w:rFonts w:hint="eastAsia" w:ascii="宋体" w:hAnsi="宋体" w:eastAsia="宋体"/>
          <w:color w:val="auto"/>
          <w:sz w:val="21"/>
          <w:szCs w:val="21"/>
          <w:highlight w:val="none"/>
        </w:rPr>
        <w:t>.发布采购结果</w:t>
      </w:r>
      <w:bookmarkEnd w:id="146"/>
      <w:bookmarkEnd w:id="147"/>
      <w:bookmarkEnd w:id="148"/>
      <w:bookmarkEnd w:id="149"/>
    </w:p>
    <w:p>
      <w:pPr>
        <w:pStyle w:val="34"/>
        <w:pageBreakBefore w:val="0"/>
        <w:widowControl w:val="0"/>
        <w:numPr>
          <w:ilvl w:val="0"/>
          <w:numId w:val="5"/>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评标委员会提出评标书面报告和推荐中标意见报采购人确认后，采购代理机构将在指定的信息发布媒体上发布公告。</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中标公告期限为1个工作日。</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结果公示发布后，中标单位应及时领取中标通知书。《中标通知书》是合同的一个组成部分，《中标通知书》对采购人和中标人均具有同等法律效力。</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中标人无正当理由不得放弃中标，因中标人放弃中标而对采购人造成的损失由放弃中标的中标人承担。</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原件核查</w:t>
      </w:r>
    </w:p>
    <w:p>
      <w:pPr>
        <w:pageBreakBefore w:val="0"/>
        <w:widowControl w:val="0"/>
        <w:numPr>
          <w:ilvl w:val="2"/>
          <w:numId w:val="5"/>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采购结果发布后，采购代理机构或采购人有权对中标单位进行原件核查，中标单位应在五个工作日内把相关原件递交至采购代理机构办公地址或采购人指定地址进行核查。</w:t>
      </w:r>
    </w:p>
    <w:p>
      <w:pPr>
        <w:pageBreakBefore w:val="0"/>
        <w:widowControl w:val="0"/>
        <w:numPr>
          <w:ilvl w:val="2"/>
          <w:numId w:val="5"/>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中标单位有下列情形之一的，取消中标资格：</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拒绝采购人或采购代理机构原件核查要求的；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未在规定时间内将原件递交到到采购代理机构办公地址或采购人指定地址进行核查的；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在规定时间内递交的原件数量、内容与采购人、采购代理机构要求不一致的；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因原件续期、更改等原因不能按时递交原件且未能在规定时间内提供相应部门开具的变更、续期等证明的；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经查原件，投标文件内容有造假行为的。</w:t>
      </w:r>
    </w:p>
    <w:p>
      <w:pPr>
        <w:pageBreakBefore w:val="0"/>
        <w:widowControl w:val="0"/>
        <w:numPr>
          <w:ilvl w:val="2"/>
          <w:numId w:val="5"/>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pageBreakBefore w:val="0"/>
        <w:widowControl w:val="0"/>
        <w:numPr>
          <w:ilvl w:val="2"/>
          <w:numId w:val="5"/>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投标人有下列情形之一的，投标文件作无效处理，其投标无效：</w:t>
      </w:r>
    </w:p>
    <w:p>
      <w:pPr>
        <w:pageBreakBefore w:val="0"/>
        <w:widowControl w:val="0"/>
        <w:numPr>
          <w:ilvl w:val="0"/>
          <w:numId w:val="9"/>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拒绝采购人或采购代理机构原件核查要求的；</w:t>
      </w:r>
    </w:p>
    <w:p>
      <w:pPr>
        <w:pageBreakBefore w:val="0"/>
        <w:widowControl w:val="0"/>
        <w:numPr>
          <w:ilvl w:val="0"/>
          <w:numId w:val="9"/>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未在规定时间内将原件递交到到采购代理机构办公地址或采购人指定地址进行核查的；</w:t>
      </w:r>
    </w:p>
    <w:p>
      <w:pPr>
        <w:pageBreakBefore w:val="0"/>
        <w:widowControl w:val="0"/>
        <w:numPr>
          <w:ilvl w:val="0"/>
          <w:numId w:val="9"/>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在规定时间内递交的原件数量、内容不符合采购人、采购代理机构要求的；</w:t>
      </w:r>
    </w:p>
    <w:p>
      <w:pPr>
        <w:pageBreakBefore w:val="0"/>
        <w:widowControl w:val="0"/>
        <w:numPr>
          <w:ilvl w:val="0"/>
          <w:numId w:val="9"/>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因原件续期、更改等原因不能按时递交原件且未能在规定时间内提供相应部门开具的变更、续期等证明的；</w:t>
      </w:r>
    </w:p>
    <w:p>
      <w:pPr>
        <w:pageBreakBefore w:val="0"/>
        <w:widowControl w:val="0"/>
        <w:numPr>
          <w:ilvl w:val="0"/>
          <w:numId w:val="9"/>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经查原件，投标文件内容有造假行为的。</w:t>
      </w:r>
    </w:p>
    <w:p>
      <w:pPr>
        <w:pageBreakBefore w:val="0"/>
        <w:widowControl w:val="0"/>
        <w:numPr>
          <w:ilvl w:val="2"/>
          <w:numId w:val="5"/>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若投标人出现虚假应标情况，投标文件作无效处理，其投标、中标无效。并根据相关法律上报相关监管部门。</w:t>
      </w:r>
    </w:p>
    <w:p>
      <w:pPr>
        <w:pageBreakBefore w:val="0"/>
        <w:widowControl w:val="0"/>
        <w:numPr>
          <w:ilvl w:val="2"/>
          <w:numId w:val="5"/>
        </w:numPr>
        <w:tabs>
          <w:tab w:val="left" w:pos="567"/>
          <w:tab w:val="left" w:pos="907"/>
          <w:tab w:val="clear" w:pos="794"/>
        </w:tabs>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rPr>
        <w:t>属于建办市函[2016]462号通知内的证件可不提供原件，仅提供带二维码原件的复印件即可。</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50" w:name="_Toc27279"/>
      <w:bookmarkStart w:id="151" w:name="_Toc22451"/>
      <w:bookmarkStart w:id="152" w:name="_Toc22262"/>
      <w:r>
        <w:rPr>
          <w:rFonts w:hint="eastAsia" w:ascii="宋体" w:hAnsi="宋体" w:eastAsia="宋体"/>
          <w:color w:val="auto"/>
          <w:sz w:val="21"/>
          <w:szCs w:val="21"/>
          <w:highlight w:val="none"/>
        </w:rPr>
        <w:t>3</w:t>
      </w:r>
      <w:r>
        <w:rPr>
          <w:rFonts w:hint="eastAsia" w:ascii="宋体" w:hAnsi="宋体" w:eastAsia="宋体"/>
          <w:color w:val="auto"/>
          <w:sz w:val="21"/>
          <w:szCs w:val="21"/>
          <w:highlight w:val="none"/>
          <w:lang w:val="en-US" w:eastAsia="zh-CN"/>
        </w:rPr>
        <w:t>0</w:t>
      </w:r>
      <w:r>
        <w:rPr>
          <w:rFonts w:hint="eastAsia" w:ascii="宋体" w:hAnsi="宋体" w:eastAsia="宋体"/>
          <w:color w:val="auto"/>
          <w:sz w:val="21"/>
          <w:szCs w:val="21"/>
          <w:highlight w:val="none"/>
        </w:rPr>
        <w:t>.合同的签订与履行</w:t>
      </w:r>
      <w:bookmarkEnd w:id="150"/>
      <w:bookmarkEnd w:id="151"/>
      <w:bookmarkEnd w:id="152"/>
    </w:p>
    <w:p>
      <w:pPr>
        <w:pStyle w:val="34"/>
        <w:pageBreakBefore w:val="0"/>
        <w:widowControl w:val="0"/>
        <w:numPr>
          <w:ilvl w:val="0"/>
          <w:numId w:val="5"/>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采购人与中标人应当根据合同的约定依法履行合同义务。</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采购合同的履行、违约责任和解决争议的方法等适用《中华人民共和国</w:t>
      </w:r>
      <w:r>
        <w:rPr>
          <w:rFonts w:hint="eastAsia" w:ascii="宋体" w:hAnsi="宋体" w:eastAsia="宋体"/>
          <w:color w:val="auto"/>
          <w:sz w:val="21"/>
          <w:szCs w:val="21"/>
          <w:highlight w:val="none"/>
          <w:lang w:eastAsia="zh-CN"/>
        </w:rPr>
        <w:t>民法典</w:t>
      </w:r>
      <w:r>
        <w:rPr>
          <w:rFonts w:hint="eastAsia" w:ascii="宋体" w:hAnsi="宋体" w:eastAsia="宋体"/>
          <w:color w:val="auto"/>
          <w:sz w:val="21"/>
          <w:szCs w:val="21"/>
          <w:highlight w:val="none"/>
        </w:rPr>
        <w:t>》。</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合同签订之日起2个工作日内，中标人应将所签订的合同副本（加盖公章）交至</w:t>
      </w:r>
      <w:r>
        <w:rPr>
          <w:rFonts w:hint="eastAsia" w:ascii="宋体" w:hAnsi="宋体" w:eastAsia="宋体"/>
          <w:b/>
          <w:color w:val="auto"/>
          <w:sz w:val="21"/>
          <w:szCs w:val="21"/>
          <w:highlight w:val="none"/>
          <w:lang w:eastAsia="zh-CN"/>
        </w:rPr>
        <w:t>广东政通招标有限公司</w:t>
      </w:r>
      <w:r>
        <w:rPr>
          <w:rFonts w:hint="eastAsia" w:ascii="宋体" w:hAnsi="宋体" w:eastAsia="宋体"/>
          <w:b/>
          <w:color w:val="auto"/>
          <w:sz w:val="21"/>
          <w:szCs w:val="21"/>
          <w:highlight w:val="none"/>
        </w:rPr>
        <w:t>归档。</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中标人拒绝与采购人签订合同的，采购人可以按照评审报告推荐的中标候选人名单排序，确定下一候选人为中标人，也可以重新开展采购活动。</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53" w:name="_Toc382049124"/>
      <w:bookmarkStart w:id="154" w:name="_Toc29009"/>
      <w:bookmarkStart w:id="155" w:name="_Toc2744"/>
      <w:bookmarkStart w:id="156" w:name="_Toc303084277"/>
      <w:bookmarkStart w:id="157" w:name="_Toc7405"/>
      <w:bookmarkStart w:id="158" w:name="_Toc25756"/>
      <w:r>
        <w:rPr>
          <w:rFonts w:hint="eastAsia" w:ascii="宋体" w:hAnsi="宋体" w:eastAsia="宋体"/>
          <w:color w:val="auto"/>
          <w:sz w:val="21"/>
          <w:szCs w:val="21"/>
          <w:highlight w:val="none"/>
        </w:rPr>
        <w:t>3</w:t>
      </w: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w:t>
      </w:r>
      <w:r>
        <w:rPr>
          <w:rFonts w:ascii="宋体" w:hAnsi="宋体" w:eastAsia="宋体"/>
          <w:color w:val="auto"/>
          <w:sz w:val="21"/>
          <w:szCs w:val="21"/>
          <w:highlight w:val="none"/>
        </w:rPr>
        <w:t>履约</w:t>
      </w:r>
      <w:r>
        <w:rPr>
          <w:rFonts w:hint="eastAsia" w:ascii="宋体" w:hAnsi="宋体" w:eastAsia="宋体"/>
          <w:color w:val="auto"/>
          <w:sz w:val="21"/>
          <w:szCs w:val="21"/>
          <w:highlight w:val="none"/>
        </w:rPr>
        <w:t>保证金</w:t>
      </w:r>
      <w:bookmarkEnd w:id="153"/>
      <w:bookmarkEnd w:id="154"/>
      <w:bookmarkEnd w:id="155"/>
      <w:bookmarkEnd w:id="156"/>
      <w:bookmarkEnd w:id="157"/>
      <w:bookmarkEnd w:id="158"/>
    </w:p>
    <w:p>
      <w:pPr>
        <w:pStyle w:val="34"/>
        <w:pageBreakBefore w:val="0"/>
        <w:widowControl w:val="0"/>
        <w:numPr>
          <w:ilvl w:val="0"/>
          <w:numId w:val="5"/>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采用保证金（银行转帐、电汇）方式：中标人必须保证资金在签订合同前到帐。履约保证金账户采购人另行通知，到期后无息退还。</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履约保函方式：履约担保。是指由担保机构为供应商交纳履约保证金向采购人或采购代理机构提供的保证担保。供应商未按采购合同履行约定义务的，由担保机构按照担保函约定履行支付履约保证金的责任。（投标担保格式详见附件《采购投标担保函》）</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中标人须将履约保证金的汇款凭证 (注明中标通知书或项目编号)或履约保函（采购人注明原件已收到并盖章）用A4纸复印一式四份并加盖中标人的公章送至采购代理机构。</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159" w:name="_Toc7360"/>
      <w:bookmarkStart w:id="160" w:name="_Toc13694"/>
      <w:bookmarkStart w:id="161" w:name="_Toc20699"/>
      <w:r>
        <w:rPr>
          <w:rFonts w:hint="eastAsia" w:ascii="宋体" w:hAnsi="宋体"/>
          <w:color w:val="auto"/>
          <w:highlight w:val="none"/>
          <w:lang w:val="en-US" w:eastAsia="zh-CN"/>
        </w:rPr>
        <w:t>第七章</w:t>
      </w:r>
      <w:r>
        <w:rPr>
          <w:rFonts w:hint="eastAsia" w:ascii="宋体" w:hAnsi="宋体" w:eastAsia="宋体"/>
          <w:color w:val="auto"/>
          <w:highlight w:val="none"/>
        </w:rPr>
        <w:t>询问或质疑</w:t>
      </w:r>
      <w:bookmarkEnd w:id="159"/>
      <w:bookmarkEnd w:id="160"/>
      <w:bookmarkEnd w:id="161"/>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62" w:name="_Toc22900"/>
      <w:bookmarkStart w:id="163" w:name="_Toc25498"/>
      <w:bookmarkStart w:id="164" w:name="_Toc17974"/>
      <w:r>
        <w:rPr>
          <w:rFonts w:hint="eastAsia" w:ascii="宋体" w:hAnsi="宋体" w:eastAsia="宋体"/>
          <w:color w:val="auto"/>
          <w:sz w:val="21"/>
          <w:szCs w:val="21"/>
          <w:highlight w:val="none"/>
        </w:rPr>
        <w:t>3</w:t>
      </w: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.询问</w:t>
      </w:r>
      <w:bookmarkEnd w:id="162"/>
      <w:bookmarkEnd w:id="163"/>
      <w:bookmarkEnd w:id="164"/>
    </w:p>
    <w:p>
      <w:pPr>
        <w:pStyle w:val="34"/>
        <w:pageBreakBefore w:val="0"/>
        <w:widowControl w:val="0"/>
        <w:numPr>
          <w:ilvl w:val="0"/>
          <w:numId w:val="5"/>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投标人对采购活动事项（招标文件、采购过程和采购结果）有疑问的，可以按规定向采购代理机构提出询问。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65" w:name="_Toc2767"/>
      <w:bookmarkStart w:id="166" w:name="_Toc8234"/>
      <w:bookmarkStart w:id="167" w:name="_Toc11264"/>
      <w:r>
        <w:rPr>
          <w:rFonts w:hint="eastAsia" w:ascii="宋体" w:hAnsi="宋体" w:eastAsia="宋体"/>
          <w:color w:val="auto"/>
          <w:sz w:val="21"/>
          <w:szCs w:val="21"/>
          <w:highlight w:val="none"/>
        </w:rPr>
        <w:t>3</w:t>
      </w: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.质疑</w:t>
      </w:r>
      <w:bookmarkEnd w:id="165"/>
      <w:bookmarkEnd w:id="166"/>
      <w:bookmarkEnd w:id="167"/>
    </w:p>
    <w:p>
      <w:pPr>
        <w:pStyle w:val="34"/>
        <w:pageBreakBefore w:val="0"/>
        <w:widowControl w:val="0"/>
        <w:numPr>
          <w:ilvl w:val="0"/>
          <w:numId w:val="5"/>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提出质疑的投标人应当是参与所质疑项目采购活动的供应商或是在规定的时间内已依法获取其可质疑的招标文件的潜在供应商。</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投标人在法定质疑期内须一次性提出针对同一采购程序环节的质疑，对同一采购程序环节的二次质疑采购代理机构不予受理。</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授权委托书应当载明代理人的姓名或者名称、代理事项、具体权限、期限和相关事项。</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投标人提出质疑应当提交质疑函和必要的证明材料（须注明法律依据），因缺少相关证明材料或证明材料存在不真实而导致的后果由投标人自行承担。</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不涉及对投标人利益造成损害的相关内容，不能作为质疑内容提交。</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投诉人在全国范围12个月内三次以上投诉查无实据的，由财政部门列入不良行为记录名单。</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投诉人有下列行为之一的，属于虚假、恶意投诉，由财政部门列入不良行为记录名单，禁止其1至3年内参加全国范围内的采购活动：</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（一）捏造事实;</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（二）提供虚假材料;</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（三）以非法手段取得证明材料。证据来源的合法性存在明显疑问，投诉人无法证明其取得方式合法的，视为以非法手段取得证明材料。</w:t>
      </w: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以联合体形式参加采购活动的，其质疑应当由组成联合体的所有投标人共同提出。</w:t>
      </w:r>
    </w:p>
    <w:p>
      <w:pPr>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168" w:name="_Toc24383"/>
      <w:bookmarkStart w:id="169" w:name="_Toc8919"/>
      <w:bookmarkStart w:id="170" w:name="_Toc5690"/>
      <w:r>
        <w:rPr>
          <w:rFonts w:hint="eastAsia" w:ascii="宋体" w:hAnsi="宋体"/>
          <w:color w:val="auto"/>
          <w:highlight w:val="none"/>
          <w:lang w:val="en-US" w:eastAsia="zh-CN"/>
        </w:rPr>
        <w:t>第八章</w:t>
      </w:r>
      <w:r>
        <w:rPr>
          <w:rFonts w:hint="eastAsia" w:ascii="宋体" w:hAnsi="宋体" w:eastAsia="宋体"/>
          <w:color w:val="auto"/>
          <w:highlight w:val="none"/>
        </w:rPr>
        <w:t>其他</w:t>
      </w:r>
      <w:bookmarkEnd w:id="168"/>
      <w:bookmarkEnd w:id="169"/>
      <w:bookmarkEnd w:id="170"/>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71" w:name="_Toc6548"/>
      <w:bookmarkStart w:id="172" w:name="_Toc21187"/>
      <w:bookmarkStart w:id="173" w:name="_Toc10082"/>
      <w:r>
        <w:rPr>
          <w:rFonts w:hint="eastAsia" w:ascii="宋体" w:hAnsi="宋体" w:eastAsia="宋体"/>
          <w:color w:val="auto"/>
          <w:sz w:val="21"/>
          <w:szCs w:val="21"/>
          <w:highlight w:val="none"/>
        </w:rPr>
        <w:t>3</w:t>
      </w:r>
      <w:r>
        <w:rPr>
          <w:rFonts w:hint="eastAsia" w:ascii="宋体" w:hAnsi="宋体" w:eastAsia="宋体"/>
          <w:color w:val="auto"/>
          <w:sz w:val="21"/>
          <w:szCs w:val="21"/>
          <w:highlight w:val="none"/>
          <w:lang w:val="en-US" w:eastAsia="zh-CN"/>
        </w:rPr>
        <w:t>4</w:t>
      </w:r>
      <w:r>
        <w:rPr>
          <w:rFonts w:hint="eastAsia" w:ascii="宋体" w:hAnsi="宋体" w:eastAsia="宋体"/>
          <w:color w:val="auto"/>
          <w:sz w:val="21"/>
          <w:szCs w:val="21"/>
          <w:highlight w:val="none"/>
        </w:rPr>
        <w:t>.招标文件的解释权</w:t>
      </w:r>
      <w:bookmarkEnd w:id="171"/>
      <w:bookmarkEnd w:id="172"/>
      <w:bookmarkEnd w:id="173"/>
    </w:p>
    <w:p>
      <w:pPr>
        <w:pStyle w:val="34"/>
        <w:pageBreakBefore w:val="0"/>
        <w:widowControl w:val="0"/>
        <w:numPr>
          <w:ilvl w:val="0"/>
          <w:numId w:val="5"/>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5"/>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招标文件版本号：</w:t>
      </w:r>
      <w:r>
        <w:rPr>
          <w:rFonts w:hint="eastAsia" w:ascii="宋体" w:hAnsi="宋体" w:eastAsia="宋体"/>
          <w:color w:val="auto"/>
          <w:sz w:val="21"/>
          <w:szCs w:val="21"/>
          <w:highlight w:val="none"/>
          <w:lang w:val="en-US" w:eastAsia="zh-CN"/>
        </w:rPr>
        <w:t>广东政通</w:t>
      </w:r>
      <w:r>
        <w:rPr>
          <w:rFonts w:hint="eastAsia" w:ascii="宋体" w:hAnsi="宋体" w:eastAsia="宋体"/>
          <w:color w:val="auto"/>
          <w:sz w:val="21"/>
          <w:szCs w:val="21"/>
          <w:highlight w:val="none"/>
        </w:rPr>
        <w:t>20</w:t>
      </w:r>
      <w:r>
        <w:rPr>
          <w:rFonts w:hint="eastAsia" w:ascii="宋体" w:hAnsi="宋体"/>
          <w:color w:val="auto"/>
          <w:sz w:val="21"/>
          <w:szCs w:val="21"/>
          <w:highlight w:val="none"/>
          <w:lang w:val="en-US" w:eastAsia="zh-CN"/>
        </w:rPr>
        <w:t>220406</w:t>
      </w:r>
      <w:r>
        <w:rPr>
          <w:rFonts w:hint="eastAsia" w:ascii="宋体" w:hAnsi="宋体" w:eastAsia="宋体"/>
          <w:color w:val="auto"/>
          <w:sz w:val="21"/>
          <w:szCs w:val="21"/>
          <w:highlight w:val="none"/>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rPr>
        <w:t>本招标文件是根据国家有关法律、法规以及采购管理有关规定和参照国际惯例编制，解释权属本采购代理机构。</w:t>
      </w:r>
    </w:p>
    <w:p>
      <w:pPr>
        <w:bidi w:val="0"/>
        <w:rPr>
          <w:rFonts w:hint="eastAsia"/>
          <w:color w:val="auto"/>
          <w:highlight w:val="none"/>
        </w:rPr>
      </w:pPr>
    </w:p>
    <w:bookmarkEnd w:id="20"/>
    <w:p>
      <w:pPr>
        <w:jc w:val="center"/>
        <w:rPr>
          <w:color w:val="auto"/>
          <w:highlight w:val="none"/>
        </w:rPr>
      </w:pPr>
      <w:r>
        <w:rPr>
          <w:rFonts w:hint="eastAsia"/>
          <w:color w:val="auto"/>
          <w:highlight w:val="none"/>
        </w:rPr>
        <w:br w:type="page"/>
      </w:r>
    </w:p>
    <w:p>
      <w:pPr>
        <w:pStyle w:val="3"/>
        <w:spacing w:before="0" w:after="0" w:line="240" w:lineRule="auto"/>
        <w:rPr>
          <w:rFonts w:hint="eastAsia"/>
          <w:color w:val="auto"/>
          <w:sz w:val="28"/>
          <w:szCs w:val="28"/>
          <w:highlight w:val="none"/>
        </w:rPr>
      </w:pPr>
      <w:bookmarkStart w:id="174" w:name="_Toc7011"/>
      <w:bookmarkStart w:id="175" w:name="_Toc31854"/>
      <w:bookmarkStart w:id="176" w:name="_Toc382"/>
      <w:r>
        <w:rPr>
          <w:rFonts w:hint="eastAsia"/>
          <w:color w:val="auto"/>
          <w:sz w:val="28"/>
          <w:szCs w:val="28"/>
          <w:highlight w:val="none"/>
        </w:rPr>
        <w:t>第</w:t>
      </w:r>
      <w:r>
        <w:rPr>
          <w:rFonts w:hint="eastAsia"/>
          <w:color w:val="auto"/>
          <w:sz w:val="28"/>
          <w:szCs w:val="28"/>
          <w:highlight w:val="none"/>
          <w:lang w:val="en-US" w:eastAsia="zh-CN"/>
        </w:rPr>
        <w:t>五</w:t>
      </w:r>
      <w:r>
        <w:rPr>
          <w:rFonts w:hint="eastAsia"/>
          <w:color w:val="auto"/>
          <w:sz w:val="28"/>
          <w:szCs w:val="28"/>
          <w:highlight w:val="none"/>
        </w:rPr>
        <w:t>部分 用户需求书</w:t>
      </w:r>
      <w:bookmarkEnd w:id="174"/>
      <w:bookmarkEnd w:id="175"/>
      <w:bookmarkEnd w:id="176"/>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highlight w:val="none"/>
          <w:lang w:val="en-US" w:eastAsia="zh-CN"/>
        </w:rPr>
      </w:pPr>
      <w:bookmarkStart w:id="177" w:name="_Toc1593"/>
      <w:bookmarkStart w:id="178" w:name="_Toc19316"/>
      <w:r>
        <w:rPr>
          <w:rFonts w:hint="eastAsia" w:ascii="宋体" w:hAnsi="宋体"/>
          <w:color w:val="auto"/>
          <w:highlight w:val="none"/>
          <w:lang w:val="en-US" w:eastAsia="zh-CN"/>
        </w:rPr>
        <w:t>第一章 商务需求书</w:t>
      </w:r>
      <w:bookmarkEnd w:id="177"/>
    </w:p>
    <w:tbl>
      <w:tblPr>
        <w:tblStyle w:val="23"/>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合格投标人</w:t>
            </w:r>
          </w:p>
        </w:tc>
        <w:tc>
          <w:tcPr>
            <w:tcW w:w="6466" w:type="dxa"/>
            <w:vAlign w:val="center"/>
          </w:tcPr>
          <w:p>
            <w:pPr>
              <w:pStyle w:val="34"/>
              <w:keepNext w:val="0"/>
              <w:keepLines w:val="0"/>
              <w:pageBreakBefore w:val="0"/>
              <w:widowControl/>
              <w:kinsoku/>
              <w:wordWrap/>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Cs/>
                <w:color w:val="auto"/>
                <w:kern w:val="44"/>
                <w:sz w:val="21"/>
                <w:szCs w:val="21"/>
                <w:highlight w:val="none"/>
              </w:rPr>
            </w:pPr>
            <w:r>
              <w:rPr>
                <w:rFonts w:hint="eastAsia" w:ascii="宋体" w:hAnsi="宋体" w:eastAsia="宋体" w:cs="宋体"/>
                <w:color w:val="auto"/>
                <w:kern w:val="0"/>
                <w:sz w:val="21"/>
                <w:szCs w:val="21"/>
                <w:highlight w:val="none"/>
                <w:lang w:val="en-US" w:eastAsia="zh-CN"/>
              </w:rPr>
              <w:t>详见“投标人资格要求”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2</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bCs/>
                <w:color w:val="auto"/>
                <w:kern w:val="44"/>
                <w:sz w:val="21"/>
                <w:szCs w:val="21"/>
                <w:highlight w:val="none"/>
              </w:rPr>
              <w:t>自合同签订之日起</w:t>
            </w:r>
            <w:r>
              <w:rPr>
                <w:rFonts w:hint="eastAsia" w:ascii="宋体" w:hAnsi="宋体" w:cs="宋体"/>
                <w:bCs/>
                <w:color w:val="auto"/>
                <w:kern w:val="44"/>
                <w:sz w:val="21"/>
                <w:szCs w:val="21"/>
                <w:highlight w:val="none"/>
                <w:lang w:val="en-US" w:eastAsia="zh-CN"/>
              </w:rPr>
              <w:t>一年</w:t>
            </w:r>
            <w:r>
              <w:rPr>
                <w:rFonts w:hint="eastAsia" w:ascii="宋体" w:hAnsi="宋体" w:eastAsia="宋体" w:cs="宋体"/>
                <w:bCs/>
                <w:color w:val="auto"/>
                <w:kern w:val="44"/>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03"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3</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6466" w:type="dxa"/>
            <w:vAlign w:val="center"/>
          </w:tcPr>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zh-CN" w:bidi="zh-CN"/>
              </w:rPr>
              <w:t>双方采取先送货后结款的方式，从第一次送货之日起，采购人每个月向</w:t>
            </w:r>
            <w:r>
              <w:rPr>
                <w:rFonts w:hint="eastAsia" w:ascii="宋体" w:hAnsi="宋体" w:eastAsia="宋体" w:cs="宋体"/>
                <w:color w:val="auto"/>
                <w:sz w:val="21"/>
                <w:szCs w:val="21"/>
                <w:highlight w:val="none"/>
                <w:lang w:val="en-US" w:bidi="zh-CN"/>
              </w:rPr>
              <w:t>中标人</w:t>
            </w:r>
            <w:r>
              <w:rPr>
                <w:rFonts w:hint="eastAsia" w:ascii="宋体" w:hAnsi="宋体" w:eastAsia="宋体" w:cs="宋体"/>
                <w:color w:val="auto"/>
                <w:sz w:val="21"/>
                <w:szCs w:val="21"/>
                <w:highlight w:val="none"/>
                <w:lang w:val="zh-CN" w:bidi="zh-CN"/>
              </w:rPr>
              <w:t>结清货款一次；双方应在合同有效期内每月5日前对好上期货款（遇节假日顺延）。</w:t>
            </w:r>
            <w:r>
              <w:rPr>
                <w:rFonts w:hint="eastAsia" w:ascii="宋体" w:hAnsi="宋体" w:eastAsia="宋体" w:cs="宋体"/>
                <w:color w:val="auto"/>
                <w:sz w:val="21"/>
                <w:szCs w:val="21"/>
                <w:highlight w:val="none"/>
                <w:lang w:val="en-US" w:bidi="zh-CN"/>
              </w:rPr>
              <w:t>中标人</w:t>
            </w:r>
            <w:r>
              <w:rPr>
                <w:rFonts w:hint="eastAsia" w:ascii="宋体" w:hAnsi="宋体" w:eastAsia="宋体" w:cs="宋体"/>
                <w:color w:val="auto"/>
                <w:sz w:val="21"/>
                <w:szCs w:val="21"/>
                <w:highlight w:val="none"/>
                <w:lang w:val="zh-CN" w:bidi="zh-CN"/>
              </w:rPr>
              <w:t>根据双方核对无误确认好的金额开具发票给采购人，采购人以转账方式将货款一次性全额转入成交供应商合同中书面指定的银行账户。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4</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5</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pPr>
              <w:widowControl w:val="0"/>
              <w:autoSpaceDE w:val="0"/>
              <w:autoSpaceDN w:val="0"/>
              <w:adjustRightInd/>
              <w:snapToGrid/>
              <w:spacing w:after="0" w:line="288"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★本项目采用下浮率报价，结算时统一采用以下方式计算费用：供货单价=（1-</w:t>
            </w:r>
            <w:r>
              <w:rPr>
                <w:rFonts w:hint="eastAsia" w:ascii="宋体" w:hAnsi="宋体" w:eastAsia="宋体" w:cs="宋体"/>
                <w:color w:val="auto"/>
                <w:sz w:val="21"/>
                <w:szCs w:val="21"/>
                <w:highlight w:val="none"/>
                <w:lang w:val="en-US" w:eastAsia="zh-CN"/>
              </w:rPr>
              <w:t>中标</w:t>
            </w:r>
            <w:r>
              <w:rPr>
                <w:rFonts w:hint="eastAsia" w:ascii="宋体" w:hAnsi="宋体" w:eastAsia="宋体" w:cs="宋体"/>
                <w:color w:val="auto"/>
                <w:sz w:val="21"/>
                <w:szCs w:val="21"/>
                <w:highlight w:val="none"/>
              </w:rPr>
              <w:t>下浮率）*基准价。</w:t>
            </w:r>
          </w:p>
          <w:p>
            <w:pPr>
              <w:widowControl w:val="0"/>
              <w:autoSpaceDE w:val="0"/>
              <w:autoSpaceDN w:val="0"/>
              <w:adjustRightInd/>
              <w:snapToGrid/>
              <w:spacing w:after="0" w:line="288"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基准价：原则上以东莞物价专栏(http://dgdp.dg.gov.cn/jggl/jgjc/gdsclzjgjcb/index.html)中《广东省城市居民食品零售价格监测表》（东莞市菜篮子价格监测日报表）最新公布本期价格作为基准价；若东莞物价专栏无采购人所需的相同品种，则采购人将对邻近市场（横沥市场、常平木伦市场、村尾市场）的市场零售价（精品零售价）进行抽样调查，对比相同品种的市场平均价格（则基准价=市场平均价=3个市场抽样价格之和÷3）。</w:t>
            </w:r>
          </w:p>
          <w:p>
            <w:pPr>
              <w:widowControl w:val="0"/>
              <w:autoSpaceDE w:val="0"/>
              <w:autoSpaceDN w:val="0"/>
              <w:adjustRightInd/>
              <w:snapToGrid/>
              <w:spacing w:after="0" w:line="288" w:lineRule="auto"/>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（3）临时委托采购：中标人必须按照采购人急需餐料物资品种、数量、送货时间、地点等在4小时内进行供货，若急需餐料物资不在供货物资清单表上，其供货价格采购人在2个工作日内给予复核。</w:t>
            </w:r>
          </w:p>
          <w:p>
            <w:pPr>
              <w:widowControl w:val="0"/>
              <w:autoSpaceDE w:val="0"/>
              <w:autoSpaceDN w:val="0"/>
              <w:adjustRightInd/>
              <w:snapToGrid/>
              <w:spacing w:after="0" w:line="288" w:lineRule="auto"/>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（4）定价周期：</w:t>
            </w:r>
          </w:p>
          <w:p>
            <w:pPr>
              <w:widowControl w:val="0"/>
              <w:autoSpaceDE w:val="0"/>
              <w:autoSpaceDN w:val="0"/>
              <w:adjustRightInd/>
              <w:snapToGrid/>
              <w:spacing w:after="0" w:line="288" w:lineRule="auto"/>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 A类（粮油干货类）每半月更新一次，中标人每月13日前、28日前提交下半月报价给采购人审核；</w:t>
            </w:r>
          </w:p>
          <w:p>
            <w:pPr>
              <w:widowControl w:val="0"/>
              <w:autoSpaceDE w:val="0"/>
              <w:autoSpaceDN w:val="0"/>
              <w:adjustRightInd/>
              <w:snapToGrid/>
              <w:spacing w:after="0" w:line="288" w:lineRule="auto"/>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 B类（肉类）每半月更新一次，中标人每月13日前、28日前提交下半月报价给采购人审核；</w:t>
            </w:r>
          </w:p>
          <w:p>
            <w:pPr>
              <w:widowControl w:val="0"/>
              <w:autoSpaceDE w:val="0"/>
              <w:autoSpaceDN w:val="0"/>
              <w:adjustRightInd/>
              <w:snapToGrid/>
              <w:spacing w:after="0" w:line="288" w:lineRule="auto"/>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 C类（蔬果类）价格每半月更新一次，中标人每月13日前、28日前提交下半月报价给采购人审核；</w:t>
            </w:r>
          </w:p>
          <w:p>
            <w:pPr>
              <w:widowControl w:val="0"/>
              <w:autoSpaceDE w:val="0"/>
              <w:autoSpaceDN w:val="0"/>
              <w:adjustRightInd/>
              <w:snapToGrid/>
              <w:spacing w:after="0" w:line="288" w:lineRule="auto"/>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（5）各类食品的单价以不得高于市场同等级同规格的市场零售价。</w:t>
            </w:r>
          </w:p>
          <w:p>
            <w:pPr>
              <w:widowControl w:val="0"/>
              <w:autoSpaceDE w:val="0"/>
              <w:autoSpaceDN w:val="0"/>
              <w:adjustRightInd/>
              <w:snapToGrid/>
              <w:spacing w:after="0" w:line="288" w:lineRule="auto"/>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（6）具体采购金额、数量以采购人实际需求为准。</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（7）本项目须预留金额用于扶贫农副产品购置。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验收要求</w:t>
            </w:r>
          </w:p>
        </w:tc>
        <w:tc>
          <w:tcPr>
            <w:tcW w:w="6466" w:type="dxa"/>
            <w:vAlign w:val="center"/>
          </w:tcPr>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A类（粮油干货类）</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1.粮食大米类</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 由正规厂家出厂、颜色品质纯正，米粒形均匀、整齐、重量大没有碎米和爆腰。</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 有清香味和光泽，无米糠和其它杂质、无虫害、无异味、无霉味，用手摸时滑爽、干燥。</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 符合食品卫生标准，无毒、无污染。</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2.食用油类</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 由正规厂家生产的植物油，非转基因类。</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 色泽纯正，透明度好。</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3.、调味品类</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 由正规厂家生产、颜色品质纯正。</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4.干货、杂货、副食品类</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4.1 必须选用符合国家食品卫生法规相关标准的商品，选用无毒、无害、无污染、可朔源的食品。掺假、掺杂食品坚决不能使用。</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4.2 副食品等级标准要相符，其包装盒或标签上须注明食品名称、生产厂家、厂址、生产日期、食品的主要原料成份和食品保质期等信息，注明不详或没有注明的商品不予验收。</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4.3 副食品表面外观新鲜、完整，无霉变异味，无砂粒杂质，无虫尸鼠粪等不洁卫生问题。</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5.米粉面粉类</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 米粉面粉类及其制品颜色品质要纯正，不掺假、掺杂。</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5.2 符合食品卫生标准，粉质细腻干爽无异物、无毒、无污染。</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5.3 制成品不能出现异味、霉变结块、虫尸鼠粪等不洁的卫生问题。</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上述货品必须符合国家食品卫生法规相关标准，符合采购人使用要求，货品必须保证有三分之二以上保质期（如货品有保质期）。</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B类（肉类）</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1.猪肉类</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 具有当天卫生监督部门发放的“动物检疫合格证明”，肉体印有检疫章。</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 表皮干爽、肌体结实、肉质紧密、肉色淡红新鲜，肥肉洁白而细腻。</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 外观检测无异味、无寄生虫、无粘液、无渗出液体、指压反弹迅速、具有猪肉自然气味。</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 运输设备具备恒温保鲜，存放容器保持清洁卫生，包装合理且材料无污染。</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2.牛肉类</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 具有当天卫生监督部门发放的“动物检疫合格证明”，外观检测新鲜肉质柔软有光泽、无腐臭变质异味、无寄生虫、无粘液、无渗出液体。</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 牛肉色泽棕红，脂肪呈淡黄色或深黄色，肉质坚硬，弹性足。</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2.3运输设备具备恒温保鲜，存放容器保持清洁卫生，包装合理且材料无污染。</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3.羊肉类</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 具有当天卫生监督部门发放的“动物检疫合格证明”。</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 羊肉色泽暗红，纤维细而软，肌间少脂肪。</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3.3运输设备具备恒温保鲜，存放容器保持清洁卫生，包装合理且材料无污染。</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4.水产品类</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4.1 必须鲜活。</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4.2 鲜鱼鳞片完整，有光泽无脱落，鳃口紧闭，眼球光亮透明，鱼鳃鲜红，鳍尾完整，确保新鲜。</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4.3 身体饱满结实，无腐烂异味，肉质紧密有弹性，无离骨脱刺现象。</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4.4 来源可靠放心，无毒、无害、无污染。</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5.三鸟类（屠杀好的）</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①具有当天卫生监督部门发放的“动物检疫合格证明”。</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②肉质新鲜柔软有光泽，质地紧密，脂肪呈白色或淡黄色，肉质细腻、无腐烂异味， 肉体结实，内脏清掏干净，肉质弹性足无明显渗出液体，总体无粘液。</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③运输设备具备</w:t>
            </w:r>
            <w:r>
              <w:rPr>
                <w:rFonts w:hint="eastAsia" w:ascii="宋体" w:hAnsi="宋体" w:eastAsia="宋体" w:cs="宋体"/>
                <w:color w:val="auto"/>
                <w:sz w:val="21"/>
                <w:szCs w:val="21"/>
                <w:highlight w:val="none"/>
                <w:lang w:eastAsia="zh-CN"/>
              </w:rPr>
              <w:t>恒温保鲜</w:t>
            </w:r>
            <w:r>
              <w:rPr>
                <w:rFonts w:hint="eastAsia" w:ascii="宋体" w:hAnsi="宋体" w:eastAsia="宋体" w:cs="宋体"/>
                <w:color w:val="auto"/>
                <w:sz w:val="21"/>
                <w:szCs w:val="21"/>
                <w:highlight w:val="none"/>
              </w:rPr>
              <w:t>，存放容器保持清洁卫生，包装合理，来源可靠放心，无毒、无害、无污染。</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6.零星冻品副食品类</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 必须选用符合国家食品卫生法规相关标准的商品，选用无毒、无害、无污染、可朔源的副食品。掺假、掺杂副食品坚决不能使用。</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6.2 食品等级标准要相符，其包装盒或标签上须注明食品名称，生产厂家、厂址、生产日期、食品的主要原料成份和食品保质期等信息，注明不详或没有注明的商品不予验收。</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6.3 冻肉类产品中间不能有过多冰块，重量必须和包装箱上标明的重量一致。</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6.4 奶制品色泽乳白，口味鲜香，包装完整，无破损，验收每批在保质期二分之一以上，符合国家规定的质量卫生标准。</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C类：蔬果类</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1.应保持较好的色泽和新鲜度。</w:t>
            </w:r>
          </w:p>
          <w:p>
            <w:p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2.符合国家食品卫生标准，蔬菜不得有黄叶；不得腐烂和泥沙等现象。</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3.无公害、农药残留不得超标，提供农药残留检测证明。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7</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8</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其他要求</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投标人应充分结合本招标文件上下文了解项目招标需求、采购文件未尽事宜，将在合同签订或项目执行过程中双方协商确定，供应商须无条件满足采购单位的合理要求。</w:t>
            </w:r>
          </w:p>
        </w:tc>
      </w:tr>
    </w:tbl>
    <w:p>
      <w:pPr>
        <w:bidi w:val="0"/>
        <w:rPr>
          <w:rFonts w:hint="eastAsia"/>
          <w:color w:val="auto"/>
          <w:highlight w:val="none"/>
          <w:lang w:val="en-US" w:eastAsia="zh-CN"/>
        </w:rPr>
      </w:pPr>
    </w:p>
    <w:p>
      <w:pPr>
        <w:pStyle w:val="7"/>
        <w:rPr>
          <w:rFonts w:hint="eastAsia"/>
          <w:color w:val="auto"/>
          <w:highlight w:val="none"/>
          <w:lang w:val="en-US" w:eastAsia="zh-CN"/>
        </w:rPr>
      </w:pPr>
    </w:p>
    <w:p>
      <w:pPr>
        <w:rPr>
          <w:rFonts w:hint="eastAsia"/>
          <w:color w:val="auto"/>
          <w:highlight w:val="none"/>
          <w:lang w:val="en-US" w:eastAsia="zh-CN"/>
        </w:rPr>
      </w:pPr>
    </w:p>
    <w:p>
      <w:pPr>
        <w:bidi w:val="0"/>
        <w:rPr>
          <w:rFonts w:hint="eastAsia"/>
          <w:color w:val="auto"/>
          <w:highlight w:val="none"/>
          <w:lang w:val="en-US" w:eastAsia="zh-CN"/>
        </w:rPr>
      </w:pPr>
    </w:p>
    <w:p>
      <w:pPr>
        <w:rPr>
          <w:rFonts w:hint="eastAsia"/>
          <w:color w:val="auto"/>
          <w:highlight w:val="none"/>
          <w:lang w:val="en-US" w:eastAsia="zh-CN"/>
        </w:rPr>
      </w:pPr>
    </w:p>
    <w:p>
      <w:pPr>
        <w:pStyle w:val="7"/>
        <w:rPr>
          <w:rFonts w:hint="eastAsia"/>
          <w:color w:val="auto"/>
          <w:highlight w:val="none"/>
          <w:lang w:val="en-US" w:eastAsia="zh-CN"/>
        </w:rPr>
      </w:pPr>
    </w:p>
    <w:p>
      <w:pPr>
        <w:rPr>
          <w:rFonts w:hint="eastAsia"/>
          <w:color w:val="auto"/>
          <w:highlight w:val="none"/>
          <w:lang w:val="en-US" w:eastAsia="zh-CN"/>
        </w:rPr>
      </w:pPr>
    </w:p>
    <w:p>
      <w:pPr>
        <w:pStyle w:val="7"/>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ascii="宋体" w:hAnsi="宋体" w:eastAsia="宋体"/>
          <w:b/>
          <w:color w:val="auto"/>
          <w:sz w:val="24"/>
          <w:highlight w:val="none"/>
        </w:rPr>
      </w:pPr>
      <w:r>
        <w:rPr>
          <w:rFonts w:hint="eastAsia" w:ascii="宋体" w:hAnsi="宋体"/>
          <w:color w:val="auto"/>
          <w:highlight w:val="none"/>
          <w:lang w:val="en-US" w:eastAsia="zh-CN"/>
        </w:rPr>
        <w:t>第二章 技术需求书</w:t>
      </w:r>
      <w:bookmarkEnd w:id="178"/>
    </w:p>
    <w:p>
      <w:pPr>
        <w:pStyle w:val="34"/>
        <w:numPr>
          <w:ilvl w:val="0"/>
          <w:numId w:val="0"/>
        </w:numPr>
        <w:spacing w:after="0" w:line="360" w:lineRule="auto"/>
        <w:ind w:leftChars="0"/>
        <w:outlineLvl w:val="3"/>
        <w:rPr>
          <w:rFonts w:ascii="宋体" w:hAnsi="宋体" w:eastAsia="宋体"/>
          <w:b/>
          <w:color w:val="auto"/>
          <w:sz w:val="24"/>
          <w:highlight w:val="none"/>
        </w:rPr>
      </w:pPr>
      <w:bookmarkStart w:id="179" w:name="_Toc24679"/>
      <w:bookmarkStart w:id="180" w:name="_Toc14462"/>
      <w:bookmarkStart w:id="181" w:name="_Toc31278"/>
      <w:bookmarkStart w:id="182" w:name="_Toc13112"/>
      <w:r>
        <w:rPr>
          <w:rFonts w:hint="eastAsia" w:ascii="宋体" w:hAnsi="宋体" w:eastAsia="宋体"/>
          <w:b/>
          <w:color w:val="auto"/>
          <w:sz w:val="24"/>
          <w:highlight w:val="none"/>
          <w:lang w:val="en-US" w:eastAsia="zh-CN"/>
        </w:rPr>
        <w:t>一、项目概况</w:t>
      </w:r>
    </w:p>
    <w:p>
      <w:pPr>
        <w:spacing w:after="0" w:line="360" w:lineRule="auto"/>
        <w:ind w:firstLine="420" w:firstLineChars="200"/>
        <w:rPr>
          <w:rFonts w:hint="eastAsia" w:hAnsi="宋体"/>
          <w:color w:val="auto"/>
          <w:kern w:val="2"/>
          <w:sz w:val="21"/>
          <w:szCs w:val="21"/>
          <w:highlight w:val="none"/>
          <w:lang w:val="en-US" w:eastAsia="zh-CN"/>
        </w:rPr>
      </w:pPr>
      <w:r>
        <w:rPr>
          <w:rFonts w:hint="eastAsia" w:ascii="宋体" w:hAnsi="宋体" w:eastAsia="宋体" w:cs="Times New Roman"/>
          <w:color w:val="auto"/>
          <w:sz w:val="21"/>
          <w:szCs w:val="21"/>
          <w:highlight w:val="none"/>
        </w:rPr>
        <w:t>为做好食堂规范管理工作，确保食品安全、卫生，拟对食品原材料等配送进行</w:t>
      </w:r>
      <w:r>
        <w:rPr>
          <w:rFonts w:hint="eastAsia" w:ascii="宋体" w:hAnsi="宋体" w:cs="Times New Roman"/>
          <w:color w:val="auto"/>
          <w:sz w:val="21"/>
          <w:szCs w:val="21"/>
          <w:highlight w:val="none"/>
          <w:lang w:val="en-US" w:eastAsia="zh-CN"/>
        </w:rPr>
        <w:t>公开招标</w:t>
      </w:r>
      <w:r>
        <w:rPr>
          <w:rFonts w:hint="eastAsia" w:ascii="宋体" w:hAnsi="宋体" w:eastAsia="宋体" w:cs="Times New Roman"/>
          <w:color w:val="auto"/>
          <w:sz w:val="21"/>
          <w:szCs w:val="21"/>
          <w:highlight w:val="none"/>
        </w:rPr>
        <w:t>确定</w:t>
      </w:r>
      <w:r>
        <w:rPr>
          <w:rFonts w:hint="eastAsia" w:ascii="宋体" w:hAnsi="宋体" w:cs="Times New Roman"/>
          <w:color w:val="auto"/>
          <w:sz w:val="21"/>
          <w:szCs w:val="21"/>
          <w:highlight w:val="none"/>
          <w:lang w:val="en-US" w:eastAsia="zh-CN"/>
        </w:rPr>
        <w:t>2</w:t>
      </w:r>
      <w:r>
        <w:rPr>
          <w:rFonts w:hint="eastAsia" w:ascii="宋体" w:hAnsi="宋体" w:eastAsia="宋体" w:cs="Times New Roman"/>
          <w:color w:val="auto"/>
          <w:sz w:val="21"/>
          <w:szCs w:val="21"/>
          <w:highlight w:val="none"/>
        </w:rPr>
        <w:t>家配送单位</w:t>
      </w:r>
      <w:r>
        <w:rPr>
          <w:rFonts w:hint="eastAsia" w:ascii="宋体" w:hAnsi="宋体" w:cs="Times New Roman"/>
          <w:color w:val="auto"/>
          <w:sz w:val="21"/>
          <w:szCs w:val="21"/>
          <w:highlight w:val="none"/>
          <w:lang w:eastAsia="zh-CN"/>
        </w:rPr>
        <w:t>，</w:t>
      </w:r>
      <w:r>
        <w:rPr>
          <w:rFonts w:hint="eastAsia" w:ascii="宋体" w:hAnsi="宋体" w:cs="Times New Roman"/>
          <w:color w:val="auto"/>
          <w:sz w:val="21"/>
          <w:szCs w:val="21"/>
          <w:highlight w:val="none"/>
          <w:lang w:val="en-US" w:eastAsia="zh-CN"/>
        </w:rPr>
        <w:t>分别为饭堂单数月食材配送服务和双数月食材配送服务</w:t>
      </w:r>
      <w:r>
        <w:rPr>
          <w:rFonts w:hint="eastAsia" w:ascii="宋体" w:hAnsi="宋体" w:cs="Times New Roman"/>
          <w:color w:val="auto"/>
          <w:sz w:val="21"/>
          <w:szCs w:val="21"/>
          <w:highlight w:val="none"/>
          <w:lang w:eastAsia="zh-CN"/>
        </w:rPr>
        <w:t>。</w:t>
      </w:r>
      <w:r>
        <w:rPr>
          <w:rFonts w:hint="eastAsia" w:hAnsi="宋体"/>
          <w:color w:val="auto"/>
          <w:kern w:val="2"/>
          <w:sz w:val="21"/>
          <w:szCs w:val="21"/>
          <w:highlight w:val="none"/>
          <w:lang w:val="en-US" w:eastAsia="zh-CN"/>
        </w:rPr>
        <w:t>经评标委员会按评审后得分由高到低顺序排列，综合得分排名第一、第二的投标人为本项目的中标人。其中：</w:t>
      </w:r>
    </w:p>
    <w:p>
      <w:pPr>
        <w:snapToGrid w:val="0"/>
        <w:spacing w:line="360" w:lineRule="auto"/>
        <w:ind w:firstLine="420" w:firstLineChars="200"/>
        <w:rPr>
          <w:rFonts w:hint="eastAsia" w:hAnsi="宋体"/>
          <w:color w:val="auto"/>
          <w:kern w:val="2"/>
          <w:sz w:val="21"/>
          <w:szCs w:val="21"/>
          <w:highlight w:val="none"/>
          <w:lang w:val="en-US" w:eastAsia="zh-CN"/>
        </w:rPr>
      </w:pPr>
      <w:r>
        <w:rPr>
          <w:rFonts w:hint="eastAsia" w:hAnsi="宋体"/>
          <w:color w:val="auto"/>
          <w:kern w:val="2"/>
          <w:sz w:val="21"/>
          <w:szCs w:val="21"/>
          <w:highlight w:val="none"/>
          <w:lang w:val="en-US" w:eastAsia="zh-CN"/>
        </w:rPr>
        <w:t>1、综合得分排名第一的中标人负责饭堂单数月食材配送服务。</w:t>
      </w:r>
    </w:p>
    <w:p>
      <w:pPr>
        <w:snapToGrid w:val="0"/>
        <w:spacing w:line="360" w:lineRule="auto"/>
        <w:ind w:firstLine="420" w:firstLineChars="200"/>
        <w:rPr>
          <w:color w:val="auto"/>
          <w:highlight w:val="none"/>
        </w:rPr>
      </w:pPr>
      <w:r>
        <w:rPr>
          <w:rFonts w:hint="eastAsia" w:hAnsi="宋体"/>
          <w:color w:val="auto"/>
          <w:kern w:val="2"/>
          <w:sz w:val="21"/>
          <w:szCs w:val="21"/>
          <w:highlight w:val="none"/>
          <w:lang w:val="en-US" w:eastAsia="zh-CN"/>
        </w:rPr>
        <w:t>2、综合得分排名第二的中标人负责饭堂</w:t>
      </w:r>
      <w:r>
        <w:rPr>
          <w:rFonts w:hint="eastAsia" w:ascii="宋体" w:hAnsi="宋体" w:cs="Times New Roman"/>
          <w:color w:val="auto"/>
          <w:sz w:val="21"/>
          <w:szCs w:val="21"/>
          <w:highlight w:val="none"/>
          <w:lang w:val="en-US" w:eastAsia="zh-CN"/>
        </w:rPr>
        <w:t>双数月食材配送服务。</w:t>
      </w:r>
    </w:p>
    <w:p>
      <w:pPr>
        <w:pStyle w:val="34"/>
        <w:numPr>
          <w:ilvl w:val="0"/>
          <w:numId w:val="0"/>
        </w:numPr>
        <w:spacing w:after="0" w:line="360" w:lineRule="auto"/>
        <w:ind w:leftChars="0"/>
        <w:outlineLvl w:val="3"/>
        <w:rPr>
          <w:rFonts w:hint="eastAsia" w:ascii="宋体" w:hAnsi="宋体" w:eastAsia="宋体" w:cs="Times New Roman"/>
          <w:b/>
          <w:color w:val="auto"/>
          <w:sz w:val="24"/>
          <w:highlight w:val="none"/>
          <w:lang w:val="en-US" w:eastAsia="zh-CN"/>
        </w:rPr>
      </w:pPr>
      <w:r>
        <w:rPr>
          <w:rFonts w:hint="eastAsia" w:ascii="宋体" w:hAnsi="宋体" w:eastAsia="宋体" w:cs="Times New Roman"/>
          <w:b/>
          <w:color w:val="auto"/>
          <w:sz w:val="24"/>
          <w:highlight w:val="none"/>
          <w:lang w:val="en-US" w:eastAsia="zh-CN"/>
        </w:rPr>
        <w:t>二、总体要求</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cs="Times New Roman"/>
          <w:color w:val="auto"/>
          <w:sz w:val="21"/>
          <w:szCs w:val="21"/>
          <w:highlight w:val="none"/>
          <w:lang w:eastAsia="zh-CN"/>
        </w:rPr>
        <w:t>本项目</w:t>
      </w:r>
      <w:r>
        <w:rPr>
          <w:rFonts w:hint="eastAsia" w:ascii="宋体" w:hAnsi="宋体" w:eastAsia="宋体" w:cs="Times New Roman"/>
          <w:color w:val="auto"/>
          <w:sz w:val="21"/>
          <w:szCs w:val="21"/>
          <w:highlight w:val="none"/>
        </w:rPr>
        <w:t>具体配送数量以实际发生的数量为准，采购人不承诺在入围有效期内授予入围单位实际采购品类，不承诺在入围有效期内的实际采购数量。投标人为采购人提供配送的品种包括</w:t>
      </w:r>
      <w:r>
        <w:rPr>
          <w:rFonts w:hint="eastAsia" w:ascii="宋体" w:hAnsi="宋体" w:eastAsia="宋体" w:cs="Times New Roman"/>
          <w:color w:val="auto"/>
          <w:sz w:val="21"/>
          <w:szCs w:val="21"/>
          <w:highlight w:val="none"/>
          <w:lang w:eastAsia="zh-CN"/>
        </w:rPr>
        <w:t>但不限于以下种类</w:t>
      </w:r>
      <w:r>
        <w:rPr>
          <w:rFonts w:hint="eastAsia" w:ascii="宋体" w:hAnsi="宋体" w:eastAsia="宋体" w:cs="Times New Roman"/>
          <w:color w:val="auto"/>
          <w:sz w:val="21"/>
          <w:szCs w:val="21"/>
          <w:highlight w:val="none"/>
        </w:rPr>
        <w:t>：肉类（猪肉类、牛肉类、冻品类、禽类、腊味类、咸水鱼类、海水鱼和海鲜类、淡水鱼类）、调配料、腌菜、干货及蛋品、蔬菜类、水果及食用菌类、点心、豆制品、面食类、粉面、大米类及食用油类等。</w:t>
      </w:r>
    </w:p>
    <w:p>
      <w:pPr>
        <w:pStyle w:val="34"/>
        <w:numPr>
          <w:ilvl w:val="0"/>
          <w:numId w:val="0"/>
        </w:numPr>
        <w:spacing w:after="0" w:line="360" w:lineRule="auto"/>
        <w:ind w:leftChars="0"/>
        <w:outlineLvl w:val="3"/>
        <w:rPr>
          <w:rFonts w:hint="eastAsia" w:ascii="宋体" w:hAnsi="宋体" w:eastAsia="宋体" w:cs="Times New Roman"/>
          <w:b/>
          <w:color w:val="auto"/>
          <w:sz w:val="24"/>
          <w:highlight w:val="none"/>
          <w:lang w:val="en-US" w:eastAsia="zh-CN"/>
        </w:rPr>
      </w:pPr>
      <w:r>
        <w:rPr>
          <w:rFonts w:hint="eastAsia" w:ascii="宋体" w:hAnsi="宋体" w:eastAsia="宋体" w:cs="Times New Roman"/>
          <w:b/>
          <w:color w:val="auto"/>
          <w:sz w:val="24"/>
          <w:highlight w:val="none"/>
          <w:lang w:val="en-US" w:eastAsia="zh-CN"/>
        </w:rPr>
        <w:t>三、具体要求</w:t>
      </w:r>
    </w:p>
    <w:p>
      <w:pPr>
        <w:spacing w:after="0" w:line="360" w:lineRule="auto"/>
        <w:ind w:firstLine="422" w:firstLineChars="200"/>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rPr>
        <w:t>（一）采购内容</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cs="Times New Roman"/>
          <w:color w:val="auto"/>
          <w:sz w:val="21"/>
          <w:szCs w:val="21"/>
          <w:highlight w:val="none"/>
          <w:lang w:eastAsia="zh-CN"/>
        </w:rPr>
        <w:t>本项目</w:t>
      </w:r>
      <w:r>
        <w:rPr>
          <w:rFonts w:hint="eastAsia" w:ascii="宋体" w:hAnsi="宋体" w:eastAsia="宋体" w:cs="Times New Roman"/>
          <w:color w:val="auto"/>
          <w:sz w:val="21"/>
          <w:szCs w:val="21"/>
          <w:highlight w:val="none"/>
        </w:rPr>
        <w:t>主要是为</w:t>
      </w:r>
      <w:r>
        <w:rPr>
          <w:rFonts w:hint="eastAsia" w:ascii="宋体" w:hAnsi="宋体" w:cs="Times New Roman"/>
          <w:color w:val="auto"/>
          <w:sz w:val="21"/>
          <w:szCs w:val="21"/>
          <w:highlight w:val="none"/>
          <w:lang w:eastAsia="zh-CN"/>
        </w:rPr>
        <w:t>东莞市横沥商务服务有限公司饭堂</w:t>
      </w:r>
      <w:r>
        <w:rPr>
          <w:rFonts w:hint="eastAsia" w:ascii="宋体" w:hAnsi="宋体" w:eastAsia="宋体" w:cs="Times New Roman"/>
          <w:color w:val="auto"/>
          <w:sz w:val="21"/>
          <w:szCs w:val="21"/>
          <w:highlight w:val="none"/>
        </w:rPr>
        <w:t>提食材配送服务，投标人根据自身能力进行投标，供货内容如下：</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A类：粮油干货类──大米、食用油、调味品、干货、杂货、副食品、米粉面粉类等食品材料；</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B类：肉类──新鲜猪肉、牛肉、羊肉、水产品、三鸟、零星冻品副食品类等食品材料；</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C类：蔬果类──蔬菜、菇菌等食品材料。</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注：投标人必须同时对以上三个类别的全部食品材料进行投标，否则其投标将被拒绝。</w:t>
      </w:r>
    </w:p>
    <w:p>
      <w:pPr>
        <w:spacing w:after="0" w:line="360" w:lineRule="auto"/>
        <w:ind w:firstLine="422" w:firstLineChars="200"/>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rPr>
        <w:t>（</w:t>
      </w:r>
      <w:r>
        <w:rPr>
          <w:rFonts w:hint="eastAsia" w:ascii="宋体" w:hAnsi="宋体" w:cs="Times New Roman"/>
          <w:b/>
          <w:bCs/>
          <w:color w:val="auto"/>
          <w:sz w:val="21"/>
          <w:szCs w:val="21"/>
          <w:highlight w:val="none"/>
          <w:lang w:val="en-US" w:eastAsia="zh-CN"/>
        </w:rPr>
        <w:t>二</w:t>
      </w:r>
      <w:r>
        <w:rPr>
          <w:rFonts w:hint="eastAsia" w:ascii="宋体" w:hAnsi="宋体" w:eastAsia="宋体" w:cs="Times New Roman"/>
          <w:b/>
          <w:bCs/>
          <w:color w:val="auto"/>
          <w:sz w:val="21"/>
          <w:szCs w:val="21"/>
          <w:highlight w:val="none"/>
        </w:rPr>
        <w:t>）供货地点</w:t>
      </w:r>
    </w:p>
    <w:p>
      <w:pPr>
        <w:spacing w:after="0" w:line="360" w:lineRule="auto"/>
        <w:ind w:firstLine="420" w:firstLineChars="200"/>
        <w:rPr>
          <w:rFonts w:hint="eastAsia" w:ascii="宋体" w:hAnsi="宋体" w:cs="Times New Roman"/>
          <w:color w:val="auto"/>
          <w:sz w:val="21"/>
          <w:szCs w:val="21"/>
          <w:highlight w:val="none"/>
          <w:lang w:val="en-US" w:eastAsia="zh-CN"/>
        </w:rPr>
      </w:pPr>
      <w:r>
        <w:rPr>
          <w:rFonts w:hint="eastAsia" w:ascii="宋体" w:hAnsi="宋体" w:cs="Times New Roman"/>
          <w:color w:val="auto"/>
          <w:sz w:val="21"/>
          <w:szCs w:val="21"/>
          <w:highlight w:val="none"/>
          <w:lang w:val="en-US" w:eastAsia="zh-CN"/>
        </w:rPr>
        <w:t>采购人指定地点。</w:t>
      </w:r>
    </w:p>
    <w:p>
      <w:pPr>
        <w:spacing w:after="0" w:line="360" w:lineRule="auto"/>
        <w:ind w:firstLine="422" w:firstLineChars="200"/>
        <w:rPr>
          <w:rFonts w:hint="eastAsia" w:ascii="宋体" w:hAnsi="宋体" w:eastAsia="宋体" w:cs="Times New Roman"/>
          <w:b/>
          <w:bCs/>
          <w:color w:val="auto"/>
          <w:sz w:val="21"/>
          <w:szCs w:val="21"/>
          <w:highlight w:val="none"/>
          <w:lang w:eastAsia="zh-CN"/>
        </w:rPr>
      </w:pPr>
      <w:r>
        <w:rPr>
          <w:rFonts w:hint="eastAsia" w:ascii="宋体" w:hAnsi="宋体" w:eastAsia="宋体" w:cs="Times New Roman"/>
          <w:b/>
          <w:bCs/>
          <w:color w:val="auto"/>
          <w:sz w:val="21"/>
          <w:szCs w:val="21"/>
          <w:highlight w:val="none"/>
        </w:rPr>
        <w:t>（</w:t>
      </w:r>
      <w:r>
        <w:rPr>
          <w:rFonts w:hint="eastAsia" w:ascii="宋体" w:hAnsi="宋体" w:cs="Times New Roman"/>
          <w:b/>
          <w:bCs/>
          <w:color w:val="auto"/>
          <w:sz w:val="21"/>
          <w:szCs w:val="21"/>
          <w:highlight w:val="none"/>
          <w:lang w:val="en-US" w:eastAsia="zh-CN"/>
        </w:rPr>
        <w:t>三</w:t>
      </w:r>
      <w:r>
        <w:rPr>
          <w:rFonts w:hint="eastAsia" w:ascii="宋体" w:hAnsi="宋体" w:eastAsia="宋体" w:cs="Times New Roman"/>
          <w:b/>
          <w:bCs/>
          <w:color w:val="auto"/>
          <w:sz w:val="21"/>
          <w:szCs w:val="21"/>
          <w:highlight w:val="none"/>
        </w:rPr>
        <w:t>）</w:t>
      </w:r>
      <w:r>
        <w:rPr>
          <w:rFonts w:hint="eastAsia" w:ascii="宋体" w:hAnsi="宋体" w:eastAsia="宋体" w:cs="Times New Roman"/>
          <w:b/>
          <w:bCs/>
          <w:color w:val="auto"/>
          <w:sz w:val="21"/>
          <w:szCs w:val="21"/>
          <w:highlight w:val="none"/>
          <w:lang w:eastAsia="zh-CN"/>
        </w:rPr>
        <w:t>其他要求</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1.中标人按照采购人提出的物品订货清单，不论数量多少，必须保证在规定的时间、地点送货。</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2.中标人对采购人提出的临时性服务要求应按采购人要求按时、按质、按量将货品送到指定地点。</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3.中标人提供的货品必须符合国家食品卫生法规相关标准，保质、保量，不合格的货品，中标人必须包退包换。</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4.中标人提供的货品必须出示真实有效的检验合格报告。</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4</w:t>
      </w:r>
      <w:r>
        <w:rPr>
          <w:rFonts w:hint="eastAsia" w:ascii="宋体" w:hAnsi="宋体" w:eastAsia="宋体" w:cs="Times New Roman"/>
          <w:color w:val="auto"/>
          <w:sz w:val="21"/>
          <w:szCs w:val="21"/>
          <w:highlight w:val="none"/>
        </w:rPr>
        <w:t>.1 粮油、干货、副食品、粉、面类等餐料按采购人要求定期提供有效检验合格报告；</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4</w:t>
      </w:r>
      <w:r>
        <w:rPr>
          <w:rFonts w:hint="eastAsia" w:ascii="宋体" w:hAnsi="宋体" w:eastAsia="宋体" w:cs="Times New Roman"/>
          <w:color w:val="auto"/>
          <w:sz w:val="21"/>
          <w:szCs w:val="21"/>
          <w:highlight w:val="none"/>
        </w:rPr>
        <w:t>.2 凡国家有明文规定的必须提供产品检验报告交饭堂存档，符合国家朔源制度规定。</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5</w:t>
      </w:r>
      <w:r>
        <w:rPr>
          <w:rFonts w:hint="eastAsia" w:ascii="宋体" w:hAnsi="宋体" w:eastAsia="宋体" w:cs="Times New Roman"/>
          <w:color w:val="auto"/>
          <w:sz w:val="21"/>
          <w:szCs w:val="21"/>
          <w:highlight w:val="none"/>
        </w:rPr>
        <w:t>.中标人每次送货应有相应的送货清单（盖有中标人的有效</w:t>
      </w:r>
      <w:r>
        <w:rPr>
          <w:rFonts w:hint="eastAsia" w:ascii="宋体" w:hAnsi="宋体" w:eastAsia="宋体" w:cs="Times New Roman"/>
          <w:color w:val="auto"/>
          <w:sz w:val="21"/>
          <w:szCs w:val="21"/>
          <w:highlight w:val="none"/>
          <w:lang w:val="en-US" w:eastAsia="zh-CN"/>
        </w:rPr>
        <w:t>送货</w:t>
      </w:r>
      <w:r>
        <w:rPr>
          <w:rFonts w:hint="eastAsia" w:ascii="宋体" w:hAnsi="宋体" w:eastAsia="宋体" w:cs="Times New Roman"/>
          <w:color w:val="auto"/>
          <w:sz w:val="21"/>
          <w:szCs w:val="21"/>
          <w:highlight w:val="none"/>
        </w:rPr>
        <w:t>章），且必须提供合法的进货单据。</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6</w:t>
      </w:r>
      <w:r>
        <w:rPr>
          <w:rFonts w:hint="eastAsia" w:ascii="宋体" w:hAnsi="宋体" w:eastAsia="宋体" w:cs="Times New Roman"/>
          <w:color w:val="auto"/>
          <w:sz w:val="21"/>
          <w:szCs w:val="21"/>
          <w:highlight w:val="none"/>
        </w:rPr>
        <w:t>.中标人提供的货品导致采购人有任何食物安全事件出现，由中标人承担全部责任及赔偿采购人一切损失，采购人保留法律追究权利。</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7</w:t>
      </w:r>
      <w:r>
        <w:rPr>
          <w:rFonts w:hint="eastAsia" w:ascii="宋体" w:hAnsi="宋体" w:eastAsia="宋体" w:cs="Times New Roman"/>
          <w:color w:val="auto"/>
          <w:sz w:val="21"/>
          <w:szCs w:val="21"/>
          <w:highlight w:val="none"/>
        </w:rPr>
        <w:t>.中标人应按照采购人指定时间内对下月供货价格进行签字确认。</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8</w:t>
      </w:r>
      <w:r>
        <w:rPr>
          <w:rFonts w:hint="eastAsia" w:ascii="宋体" w:hAnsi="宋体" w:eastAsia="宋体" w:cs="Times New Roman"/>
          <w:color w:val="auto"/>
          <w:sz w:val="21"/>
          <w:szCs w:val="21"/>
          <w:highlight w:val="none"/>
        </w:rPr>
        <w:t>.中标人的供货价应包含货品交给采购人之前的一切费用，包括运输费、储存费等，并承担送货途中的一切风险。</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9</w:t>
      </w:r>
      <w:r>
        <w:rPr>
          <w:rFonts w:hint="eastAsia" w:ascii="宋体" w:hAnsi="宋体" w:eastAsia="宋体" w:cs="Times New Roman"/>
          <w:color w:val="auto"/>
          <w:sz w:val="21"/>
          <w:szCs w:val="21"/>
          <w:highlight w:val="none"/>
        </w:rPr>
        <w:t>.未列入物资明细表内又需要购买的货品，其单价由双方以本用户需求书规定的定价原则确定供货价格。</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w:t>
      </w:r>
      <w:r>
        <w:rPr>
          <w:rFonts w:hint="eastAsia" w:ascii="宋体" w:hAnsi="宋体" w:eastAsia="宋体" w:cs="Times New Roman"/>
          <w:color w:val="auto"/>
          <w:sz w:val="21"/>
          <w:szCs w:val="21"/>
          <w:highlight w:val="none"/>
          <w:lang w:val="en-US" w:eastAsia="zh-CN"/>
        </w:rPr>
        <w:t>0</w:t>
      </w:r>
      <w:r>
        <w:rPr>
          <w:rFonts w:hint="eastAsia" w:ascii="宋体" w:hAnsi="宋体" w:eastAsia="宋体" w:cs="Times New Roman"/>
          <w:color w:val="auto"/>
          <w:sz w:val="21"/>
          <w:szCs w:val="21"/>
          <w:highlight w:val="none"/>
        </w:rPr>
        <w:t>.中标人进入采购人范围内必须遵守采购人有关规定，不得影响采购人的正常工作，由于中标人的过失造成采购人直接经济损失则要负全部责任及赔偿采购人一切损失。</w:t>
      </w:r>
    </w:p>
    <w:p>
      <w:pPr>
        <w:pStyle w:val="34"/>
        <w:numPr>
          <w:ilvl w:val="0"/>
          <w:numId w:val="0"/>
        </w:numPr>
        <w:spacing w:after="0" w:line="360" w:lineRule="auto"/>
        <w:ind w:leftChars="0"/>
        <w:outlineLvl w:val="3"/>
        <w:rPr>
          <w:rFonts w:hint="eastAsia" w:ascii="宋体" w:hAnsi="宋体" w:eastAsia="宋体" w:cs="Times New Roman"/>
          <w:b/>
          <w:color w:val="auto"/>
          <w:sz w:val="24"/>
          <w:highlight w:val="none"/>
          <w:lang w:val="en-US" w:eastAsia="zh-CN"/>
        </w:rPr>
      </w:pPr>
      <w:r>
        <w:rPr>
          <w:rFonts w:hint="eastAsia" w:ascii="宋体" w:hAnsi="宋体" w:eastAsia="宋体" w:cs="Times New Roman"/>
          <w:b/>
          <w:color w:val="auto"/>
          <w:sz w:val="24"/>
          <w:highlight w:val="none"/>
          <w:lang w:val="en-US" w:eastAsia="zh-CN"/>
        </w:rPr>
        <w:t>四、其他要求</w:t>
      </w:r>
    </w:p>
    <w:p>
      <w:pPr>
        <w:spacing w:after="0" w:line="360" w:lineRule="auto"/>
        <w:ind w:firstLine="420" w:firstLineChars="20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1</w:t>
      </w:r>
      <w:r>
        <w:rPr>
          <w:rFonts w:hint="eastAsia" w:ascii="宋体" w:hAnsi="宋体" w:eastAsia="宋体" w:cs="Times New Roman"/>
          <w:color w:val="auto"/>
          <w:sz w:val="21"/>
          <w:szCs w:val="21"/>
          <w:highlight w:val="none"/>
        </w:rPr>
        <w:t>、所有产品标准必须符合国家标准及相关规定。</w:t>
      </w:r>
    </w:p>
    <w:p>
      <w:pPr>
        <w:spacing w:after="0" w:line="360" w:lineRule="auto"/>
        <w:ind w:firstLine="420" w:firstLineChars="20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2</w:t>
      </w:r>
      <w:r>
        <w:rPr>
          <w:rFonts w:hint="eastAsia" w:ascii="宋体" w:hAnsi="宋体" w:eastAsia="宋体" w:cs="Times New Roman"/>
          <w:color w:val="auto"/>
          <w:sz w:val="21"/>
          <w:szCs w:val="21"/>
          <w:highlight w:val="none"/>
        </w:rPr>
        <w:t>、投标人应根据采购要求，在投标文件中提供切实可行的投标产品的质量保证和食品安全保障措施方案</w:t>
      </w:r>
      <w:r>
        <w:rPr>
          <w:rFonts w:hint="eastAsia" w:ascii="宋体" w:hAnsi="宋体" w:cs="Times New Roman"/>
          <w:color w:val="auto"/>
          <w:sz w:val="21"/>
          <w:szCs w:val="21"/>
          <w:highlight w:val="none"/>
          <w:lang w:eastAsia="zh-CN"/>
        </w:rPr>
        <w:t>、</w:t>
      </w:r>
      <w:r>
        <w:rPr>
          <w:rFonts w:hint="eastAsia" w:ascii="宋体" w:hAnsi="宋体" w:eastAsia="宋体" w:cs="Times New Roman"/>
          <w:color w:val="auto"/>
          <w:sz w:val="21"/>
          <w:szCs w:val="21"/>
          <w:highlight w:val="none"/>
        </w:rPr>
        <w:t>配送服务方案</w:t>
      </w:r>
      <w:r>
        <w:rPr>
          <w:rFonts w:hint="eastAsia" w:ascii="宋体" w:hAnsi="宋体" w:cs="Times New Roman"/>
          <w:color w:val="auto"/>
          <w:sz w:val="21"/>
          <w:szCs w:val="21"/>
          <w:highlight w:val="none"/>
          <w:lang w:eastAsia="zh-CN"/>
        </w:rPr>
        <w:t>、</w:t>
      </w:r>
      <w:r>
        <w:rPr>
          <w:rFonts w:hint="eastAsia" w:ascii="宋体" w:hAnsi="宋体" w:eastAsia="宋体" w:cs="Times New Roman"/>
          <w:color w:val="auto"/>
          <w:sz w:val="21"/>
          <w:szCs w:val="21"/>
          <w:highlight w:val="none"/>
        </w:rPr>
        <w:t>出现产品质量问题退换货方案</w:t>
      </w:r>
      <w:r>
        <w:rPr>
          <w:rFonts w:hint="eastAsia" w:ascii="宋体" w:hAnsi="宋体" w:cs="Times New Roman"/>
          <w:color w:val="auto"/>
          <w:sz w:val="21"/>
          <w:szCs w:val="21"/>
          <w:highlight w:val="none"/>
          <w:lang w:eastAsia="zh-CN"/>
        </w:rPr>
        <w:t>、</w:t>
      </w:r>
      <w:r>
        <w:rPr>
          <w:rFonts w:hint="eastAsia" w:ascii="宋体" w:hAnsi="宋体" w:eastAsia="宋体" w:cs="Times New Roman"/>
          <w:color w:val="auto"/>
          <w:sz w:val="21"/>
          <w:szCs w:val="21"/>
          <w:highlight w:val="none"/>
        </w:rPr>
        <w:t>突发事件的应急响应方案</w:t>
      </w:r>
      <w:r>
        <w:rPr>
          <w:rFonts w:hint="eastAsia" w:ascii="宋体" w:hAnsi="宋体" w:cs="Times New Roman"/>
          <w:color w:val="auto"/>
          <w:sz w:val="21"/>
          <w:szCs w:val="21"/>
          <w:highlight w:val="none"/>
          <w:lang w:val="en-US" w:eastAsia="zh-CN"/>
        </w:rPr>
        <w:t>等实施方案</w:t>
      </w:r>
      <w:r>
        <w:rPr>
          <w:rFonts w:hint="eastAsia" w:ascii="宋体" w:hAnsi="宋体" w:eastAsia="宋体" w:cs="Times New Roman"/>
          <w:color w:val="auto"/>
          <w:sz w:val="21"/>
          <w:szCs w:val="21"/>
          <w:highlight w:val="none"/>
        </w:rPr>
        <w:t>。</w:t>
      </w:r>
    </w:p>
    <w:p>
      <w:pPr>
        <w:spacing w:after="0" w:line="360" w:lineRule="auto"/>
        <w:ind w:firstLine="420" w:firstLineChars="20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3</w:t>
      </w:r>
      <w:r>
        <w:rPr>
          <w:rFonts w:hint="eastAsia" w:ascii="宋体" w:hAnsi="宋体" w:eastAsia="宋体" w:cs="Times New Roman"/>
          <w:color w:val="auto"/>
          <w:sz w:val="21"/>
          <w:szCs w:val="21"/>
          <w:highlight w:val="none"/>
        </w:rPr>
        <w:t>、中标单位在供货过程中必须采取足够的安全措施，确保</w:t>
      </w:r>
      <w:r>
        <w:rPr>
          <w:rFonts w:hint="eastAsia" w:ascii="宋体" w:hAnsi="宋体" w:eastAsia="宋体" w:cs="Times New Roman"/>
          <w:color w:val="auto"/>
          <w:sz w:val="21"/>
          <w:szCs w:val="21"/>
          <w:highlight w:val="none"/>
          <w:lang w:val="en-US" w:eastAsia="zh-CN"/>
        </w:rPr>
        <w:t>服务</w:t>
      </w:r>
      <w:r>
        <w:rPr>
          <w:rFonts w:hint="eastAsia" w:ascii="宋体" w:hAnsi="宋体" w:eastAsia="宋体" w:cs="Times New Roman"/>
          <w:color w:val="auto"/>
          <w:sz w:val="21"/>
          <w:szCs w:val="21"/>
          <w:highlight w:val="none"/>
        </w:rPr>
        <w:t>的安全，并自行负责相关安全责任。</w:t>
      </w:r>
    </w:p>
    <w:p>
      <w:pPr>
        <w:spacing w:after="0" w:line="360" w:lineRule="auto"/>
        <w:ind w:firstLine="420" w:firstLineChars="20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4</w:t>
      </w:r>
      <w:r>
        <w:rPr>
          <w:rFonts w:hint="eastAsia" w:ascii="宋体" w:hAnsi="宋体" w:eastAsia="宋体" w:cs="Times New Roman"/>
          <w:color w:val="auto"/>
          <w:sz w:val="21"/>
          <w:szCs w:val="21"/>
          <w:highlight w:val="none"/>
        </w:rPr>
        <w:t>、项目未尽事宜将在采购合同中另行约定，中标单位需无条件同意采购人基于为顺利完成</w:t>
      </w:r>
      <w:r>
        <w:rPr>
          <w:rFonts w:hint="eastAsia" w:ascii="宋体" w:hAnsi="宋体" w:cs="Times New Roman"/>
          <w:color w:val="auto"/>
          <w:sz w:val="21"/>
          <w:szCs w:val="21"/>
          <w:highlight w:val="none"/>
          <w:lang w:eastAsia="zh-CN"/>
        </w:rPr>
        <w:t>本项目</w:t>
      </w:r>
      <w:r>
        <w:rPr>
          <w:rFonts w:hint="eastAsia" w:ascii="宋体" w:hAnsi="宋体" w:eastAsia="宋体" w:cs="Times New Roman"/>
          <w:color w:val="auto"/>
          <w:sz w:val="21"/>
          <w:szCs w:val="21"/>
          <w:highlight w:val="none"/>
        </w:rPr>
        <w:t>所提出的各项合理要求。</w:t>
      </w:r>
    </w:p>
    <w:p>
      <w:pPr>
        <w:spacing w:after="0" w:line="360" w:lineRule="auto"/>
        <w:ind w:firstLine="420" w:firstLineChars="20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5</w:t>
      </w:r>
      <w:r>
        <w:rPr>
          <w:rFonts w:hint="eastAsia" w:ascii="宋体" w:hAnsi="宋体" w:eastAsia="宋体" w:cs="Times New Roman"/>
          <w:color w:val="auto"/>
          <w:sz w:val="21"/>
          <w:szCs w:val="21"/>
          <w:highlight w:val="none"/>
        </w:rPr>
        <w:t>、</w:t>
      </w:r>
      <w:r>
        <w:rPr>
          <w:rFonts w:hint="eastAsia" w:ascii="宋体" w:hAnsi="宋体" w:cs="Times New Roman"/>
          <w:color w:val="auto"/>
          <w:sz w:val="21"/>
          <w:szCs w:val="21"/>
          <w:highlight w:val="none"/>
          <w:lang w:val="en-US" w:eastAsia="zh-CN"/>
        </w:rPr>
        <w:t>采购内容</w:t>
      </w:r>
      <w:r>
        <w:rPr>
          <w:rFonts w:hint="eastAsia" w:ascii="宋体" w:hAnsi="宋体" w:eastAsia="宋体" w:cs="Times New Roman"/>
          <w:color w:val="auto"/>
          <w:sz w:val="21"/>
          <w:szCs w:val="21"/>
          <w:highlight w:val="none"/>
        </w:rPr>
        <w:t>为本次采购最低要求，各供应商可以自行优化供货计划，为</w:t>
      </w:r>
      <w:r>
        <w:rPr>
          <w:rFonts w:hint="eastAsia" w:ascii="宋体" w:hAnsi="宋体" w:cs="Times New Roman"/>
          <w:color w:val="auto"/>
          <w:sz w:val="21"/>
          <w:szCs w:val="21"/>
          <w:highlight w:val="none"/>
          <w:lang w:eastAsia="zh-CN"/>
        </w:rPr>
        <w:t>本项目</w:t>
      </w:r>
      <w:r>
        <w:rPr>
          <w:rFonts w:hint="eastAsia" w:ascii="宋体" w:hAnsi="宋体" w:eastAsia="宋体" w:cs="Times New Roman"/>
          <w:color w:val="auto"/>
          <w:sz w:val="21"/>
          <w:szCs w:val="21"/>
          <w:highlight w:val="none"/>
        </w:rPr>
        <w:t>设计最优投标方案。</w:t>
      </w:r>
    </w:p>
    <w:p>
      <w:pPr>
        <w:spacing w:after="0" w:line="360" w:lineRule="auto"/>
        <w:ind w:firstLine="422" w:firstLineChars="200"/>
        <w:rPr>
          <w:rFonts w:hint="eastAsia" w:ascii="宋体" w:hAnsi="宋体" w:eastAsia="宋体" w:cs="Times New Roman"/>
          <w:b/>
          <w:bCs/>
          <w:color w:val="auto"/>
          <w:sz w:val="21"/>
          <w:szCs w:val="21"/>
          <w:highlight w:val="none"/>
        </w:rPr>
      </w:pPr>
    </w:p>
    <w:p>
      <w:pPr>
        <w:spacing w:after="0" w:line="360" w:lineRule="auto"/>
        <w:ind w:firstLine="422" w:firstLineChars="200"/>
        <w:rPr>
          <w:rFonts w:ascii="宋体" w:hAnsi="宋体" w:eastAsia="宋体" w:cs="宋体"/>
          <w:b/>
          <w:bCs/>
          <w:color w:val="auto"/>
          <w:sz w:val="21"/>
          <w:szCs w:val="21"/>
          <w:highlight w:val="none"/>
        </w:rPr>
      </w:pPr>
      <w:r>
        <w:rPr>
          <w:rFonts w:hint="eastAsia" w:ascii="宋体" w:hAnsi="宋体" w:eastAsia="宋体" w:cs="Times New Roman"/>
          <w:b/>
          <w:bCs/>
          <w:color w:val="auto"/>
          <w:sz w:val="21"/>
          <w:szCs w:val="21"/>
          <w:highlight w:val="none"/>
        </w:rPr>
        <w:t>注：不满足招标文件中 “★”条款的投标文件将作无效投标处理。</w:t>
      </w:r>
    </w:p>
    <w:p>
      <w:pPr>
        <w:bidi w:val="0"/>
        <w:rPr>
          <w:rFonts w:hint="default"/>
          <w:color w:val="auto"/>
          <w:highlight w:val="none"/>
          <w:lang w:val="en-US" w:eastAsia="zh-CN"/>
        </w:rPr>
      </w:pPr>
    </w:p>
    <w:bookmarkEnd w:id="179"/>
    <w:bookmarkEnd w:id="180"/>
    <w:bookmarkEnd w:id="181"/>
    <w:bookmarkEnd w:id="182"/>
    <w:p>
      <w:pPr>
        <w:bidi w:val="0"/>
        <w:rPr>
          <w:rFonts w:hint="eastAsia"/>
          <w:color w:val="auto"/>
          <w:highlight w:val="none"/>
        </w:rPr>
      </w:pPr>
      <w:bookmarkStart w:id="183" w:name="_Toc12485"/>
      <w:bookmarkStart w:id="184" w:name="_Toc21448"/>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3"/>
        <w:spacing w:before="0" w:after="0" w:line="240" w:lineRule="auto"/>
        <w:rPr>
          <w:color w:val="auto"/>
          <w:sz w:val="28"/>
          <w:szCs w:val="28"/>
          <w:highlight w:val="none"/>
        </w:rPr>
      </w:pPr>
      <w:bookmarkStart w:id="185" w:name="_Toc12014"/>
      <w:r>
        <w:rPr>
          <w:rFonts w:hint="eastAsia"/>
          <w:color w:val="auto"/>
          <w:sz w:val="28"/>
          <w:szCs w:val="28"/>
          <w:highlight w:val="none"/>
        </w:rPr>
        <w:t>第</w:t>
      </w:r>
      <w:r>
        <w:rPr>
          <w:rFonts w:hint="eastAsia"/>
          <w:color w:val="auto"/>
          <w:sz w:val="28"/>
          <w:szCs w:val="28"/>
          <w:highlight w:val="none"/>
          <w:lang w:val="en-US" w:eastAsia="zh-CN"/>
        </w:rPr>
        <w:t>六</w:t>
      </w:r>
      <w:r>
        <w:rPr>
          <w:rFonts w:hint="eastAsia"/>
          <w:color w:val="auto"/>
          <w:sz w:val="28"/>
          <w:szCs w:val="28"/>
          <w:highlight w:val="none"/>
        </w:rPr>
        <w:t>部分 合同格式（仅供参考）</w:t>
      </w:r>
      <w:bookmarkEnd w:id="183"/>
      <w:bookmarkEnd w:id="184"/>
      <w:bookmarkEnd w:id="185"/>
      <w:bookmarkStart w:id="186" w:name="_Toc1534"/>
      <w:bookmarkStart w:id="187" w:name="_Toc13430"/>
      <w:bookmarkStart w:id="188" w:name="_Toc21155"/>
    </w:p>
    <w:p>
      <w:pPr>
        <w:pStyle w:val="4"/>
        <w:spacing w:before="0" w:after="0" w:line="240" w:lineRule="auto"/>
        <w:jc w:val="center"/>
        <w:rPr>
          <w:rFonts w:ascii="宋体" w:hAnsi="宋体" w:eastAsia="宋体" w:cs="宋体"/>
          <w:color w:val="auto"/>
          <w:highlight w:val="none"/>
        </w:rPr>
      </w:pPr>
      <w:bookmarkStart w:id="189" w:name="_Toc16730"/>
      <w:bookmarkStart w:id="190" w:name="_Toc19575"/>
      <w:bookmarkStart w:id="191" w:name="_Toc8880"/>
      <w:r>
        <w:rPr>
          <w:rFonts w:hint="eastAsia" w:ascii="宋体" w:hAnsi="宋体" w:eastAsia="宋体" w:cs="宋体"/>
          <w:color w:val="auto"/>
          <w:highlight w:val="none"/>
        </w:rPr>
        <w:t>合同格式</w:t>
      </w:r>
      <w:bookmarkEnd w:id="186"/>
      <w:bookmarkEnd w:id="187"/>
      <w:bookmarkEnd w:id="188"/>
      <w:bookmarkEnd w:id="189"/>
      <w:bookmarkEnd w:id="190"/>
      <w:bookmarkEnd w:id="191"/>
    </w:p>
    <w:p>
      <w:pPr>
        <w:spacing w:line="420" w:lineRule="atLeast"/>
        <w:ind w:right="560"/>
        <w:rPr>
          <w:rFonts w:ascii="宋体" w:hAnsi="宋体" w:eastAsia="宋体"/>
          <w:color w:val="auto"/>
          <w:sz w:val="21"/>
          <w:szCs w:val="21"/>
          <w:highlight w:val="none"/>
        </w:rPr>
      </w:pPr>
      <w:r>
        <w:rPr>
          <w:rFonts w:hint="eastAsia" w:ascii="宋体" w:hAnsi="宋体" w:eastAsia="宋体"/>
          <w:color w:val="auto"/>
          <w:sz w:val="21"/>
          <w:szCs w:val="21"/>
          <w:highlight w:val="none"/>
        </w:rPr>
        <w:t>合同编号：</w:t>
      </w:r>
    </w:p>
    <w:p>
      <w:pPr>
        <w:spacing w:line="420" w:lineRule="atLeast"/>
        <w:rPr>
          <w:rFonts w:ascii="宋体" w:hAnsi="宋体" w:eastAsia="宋体"/>
          <w:color w:val="auto"/>
          <w:sz w:val="21"/>
          <w:szCs w:val="21"/>
          <w:highlight w:val="none"/>
        </w:rPr>
      </w:pPr>
      <w:r>
        <w:rPr>
          <w:rFonts w:hint="eastAsia" w:ascii="宋体" w:hAnsi="宋体" w:eastAsia="宋体"/>
          <w:color w:val="auto"/>
          <w:sz w:val="21"/>
          <w:szCs w:val="21"/>
          <w:highlight w:val="none"/>
        </w:rPr>
        <w:t>甲方：</w:t>
      </w:r>
    </w:p>
    <w:p>
      <w:pPr>
        <w:spacing w:line="420" w:lineRule="atLeast"/>
        <w:rPr>
          <w:rFonts w:ascii="宋体" w:hAnsi="宋体" w:eastAsia="宋体"/>
          <w:color w:val="auto"/>
          <w:sz w:val="21"/>
          <w:szCs w:val="21"/>
          <w:highlight w:val="none"/>
        </w:rPr>
      </w:pPr>
      <w:r>
        <w:rPr>
          <w:rFonts w:hint="eastAsia" w:ascii="宋体" w:hAnsi="宋体" w:eastAsia="宋体"/>
          <w:color w:val="auto"/>
          <w:sz w:val="21"/>
          <w:szCs w:val="21"/>
          <w:highlight w:val="none"/>
        </w:rPr>
        <w:t>乙方：“ ”为中标单位</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受甲方委托，</w:t>
      </w:r>
      <w:r>
        <w:rPr>
          <w:rFonts w:hint="eastAsia" w:ascii="宋体" w:hAnsi="宋体" w:eastAsia="宋体"/>
          <w:color w:val="auto"/>
          <w:sz w:val="21"/>
          <w:szCs w:val="21"/>
          <w:highlight w:val="none"/>
          <w:u w:val="single"/>
        </w:rPr>
        <w:t xml:space="preserve">           (采购代理机构)</w:t>
      </w:r>
      <w:r>
        <w:rPr>
          <w:rFonts w:hint="eastAsia" w:ascii="宋体" w:hAnsi="宋体" w:eastAsia="宋体"/>
          <w:color w:val="auto"/>
          <w:sz w:val="21"/>
          <w:szCs w:val="21"/>
          <w:highlight w:val="none"/>
        </w:rPr>
        <w:t>组织对</w:t>
      </w:r>
      <w:r>
        <w:rPr>
          <w:rFonts w:hint="eastAsia" w:ascii="宋体" w:hAnsi="宋体" w:eastAsia="宋体"/>
          <w:color w:val="auto"/>
          <w:sz w:val="21"/>
          <w:szCs w:val="21"/>
          <w:highlight w:val="none"/>
          <w:u w:val="single"/>
        </w:rPr>
        <w:t xml:space="preserve">         （项目名称）</w:t>
      </w:r>
      <w:r>
        <w:rPr>
          <w:rFonts w:hint="eastAsia" w:ascii="宋体" w:hAnsi="宋体" w:eastAsia="宋体"/>
          <w:color w:val="auto"/>
          <w:sz w:val="21"/>
          <w:szCs w:val="21"/>
          <w:highlight w:val="none"/>
        </w:rPr>
        <w:t>采购项目（采购项目编号为）进行采购，于年月日通过公开招标，经评标委员会评定乙方为中标单位。为了保护甲、乙双方合法权益，根据</w:t>
      </w:r>
      <w:r>
        <w:rPr>
          <w:rFonts w:hint="eastAsia" w:ascii="宋体" w:hAnsi="宋体"/>
          <w:color w:val="auto"/>
          <w:sz w:val="21"/>
          <w:szCs w:val="21"/>
          <w:highlight w:val="none"/>
          <w:lang w:val="en-US" w:eastAsia="zh-CN"/>
        </w:rPr>
        <w:t>相关采购法律法规</w:t>
      </w:r>
      <w:r>
        <w:rPr>
          <w:rFonts w:hint="eastAsia" w:ascii="宋体" w:hAnsi="宋体" w:eastAsia="宋体"/>
          <w:color w:val="auto"/>
          <w:sz w:val="21"/>
          <w:szCs w:val="21"/>
          <w:highlight w:val="none"/>
        </w:rPr>
        <w:t>及其实施条例、《中华人民共和国</w:t>
      </w:r>
      <w:r>
        <w:rPr>
          <w:rFonts w:hint="eastAsia" w:eastAsia="宋体"/>
          <w:color w:val="auto"/>
          <w:highlight w:val="none"/>
          <w:lang w:val="en-US" w:eastAsia="zh-CN"/>
        </w:rPr>
        <w:t>民法典</w:t>
      </w:r>
      <w:r>
        <w:rPr>
          <w:rFonts w:hint="eastAsia" w:ascii="宋体" w:hAnsi="宋体" w:eastAsia="宋体"/>
          <w:color w:val="auto"/>
          <w:sz w:val="21"/>
          <w:szCs w:val="21"/>
          <w:highlight w:val="none"/>
        </w:rPr>
        <w:t>》，在平等自愿的基础上，按照下面的条款和条件，签署本合同。</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第一条 合同项目</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1、项目名称：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2、采购项目编号：                   。</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第二条 合同组成</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1、合同文件组成内容包括：本合同书 、中标通知书、投标文件（含澄清内容）、招标文件（含招标文件澄清通知）等。</w:t>
      </w:r>
    </w:p>
    <w:p>
      <w:pPr>
        <w:spacing w:after="0" w:line="360" w:lineRule="auto"/>
        <w:ind w:firstLine="422" w:firstLineChars="200"/>
        <w:rPr>
          <w:rFonts w:ascii="宋体" w:hAnsi="宋体" w:eastAsia="宋体"/>
          <w:b/>
          <w:color w:val="auto"/>
          <w:sz w:val="21"/>
          <w:szCs w:val="21"/>
          <w:highlight w:val="none"/>
        </w:rPr>
      </w:pPr>
      <w:bookmarkStart w:id="192" w:name="_Toc86481558"/>
      <w:r>
        <w:rPr>
          <w:rFonts w:hint="eastAsia" w:ascii="宋体" w:hAnsi="宋体" w:eastAsia="宋体"/>
          <w:b/>
          <w:color w:val="auto"/>
          <w:sz w:val="21"/>
          <w:szCs w:val="21"/>
          <w:highlight w:val="none"/>
        </w:rPr>
        <w:t>第三条 服务内容、标准及要求</w:t>
      </w:r>
    </w:p>
    <w:p>
      <w:pPr>
        <w:spacing w:after="0" w:line="360" w:lineRule="auto"/>
        <w:rPr>
          <w:rFonts w:ascii="宋体" w:hAnsi="宋体" w:eastAsia="宋体" w:cs="仿宋"/>
          <w:color w:val="auto"/>
          <w:sz w:val="21"/>
          <w:szCs w:val="21"/>
          <w:highlight w:val="none"/>
          <w:u w:val="single"/>
          <w:shd w:val="clear" w:color="auto" w:fill="FFFFFF"/>
        </w:rPr>
      </w:pPr>
      <w:r>
        <w:rPr>
          <w:rFonts w:hint="eastAsia" w:ascii="宋体" w:hAnsi="宋体" w:eastAsia="宋体" w:cs="仿宋"/>
          <w:color w:val="auto"/>
          <w:sz w:val="21"/>
          <w:szCs w:val="21"/>
          <w:highlight w:val="none"/>
          <w:shd w:val="clear" w:color="auto" w:fill="FFFFFF"/>
        </w:rPr>
        <w:t>1、采购内容：</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2、采购标准：</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3、采购要求：</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4、具体采购内容采购标准及要求以招标文件用户需求书及乙方投标文件承诺条款及方案为准。</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第四条 价格</w:t>
      </w:r>
    </w:p>
    <w:p>
      <w:pPr>
        <w:spacing w:after="0" w:line="360" w:lineRule="auto"/>
        <w:ind w:firstLine="420" w:firstLineChars="200"/>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2、合同总价：（人民币）大写 （¥）</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3、本合同价为固定不变价。</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第五条 服务期限及地点</w:t>
      </w:r>
    </w:p>
    <w:p>
      <w:pPr>
        <w:spacing w:after="0" w:line="360" w:lineRule="auto"/>
        <w:ind w:firstLine="495" w:firstLineChars="236"/>
        <w:rPr>
          <w:rFonts w:ascii="宋体" w:hAnsi="宋体" w:eastAsia="宋体"/>
          <w:color w:val="auto"/>
          <w:sz w:val="21"/>
          <w:szCs w:val="21"/>
          <w:highlight w:val="none"/>
        </w:rPr>
      </w:pPr>
      <w:r>
        <w:rPr>
          <w:rFonts w:hint="eastAsia" w:ascii="宋体" w:hAnsi="宋体" w:eastAsia="宋体"/>
          <w:color w:val="auto"/>
          <w:sz w:val="21"/>
          <w:szCs w:val="21"/>
          <w:highlight w:val="none"/>
        </w:rPr>
        <w:t>1、服务期：  年，合同生效之日自       年  月  日至     年  月  日止。</w:t>
      </w:r>
    </w:p>
    <w:p>
      <w:pPr>
        <w:spacing w:after="0" w:line="360" w:lineRule="auto"/>
        <w:ind w:firstLine="495" w:firstLineChars="236"/>
        <w:rPr>
          <w:rFonts w:ascii="宋体" w:hAnsi="宋体" w:eastAsia="宋体"/>
          <w:color w:val="auto"/>
          <w:sz w:val="21"/>
          <w:szCs w:val="21"/>
          <w:highlight w:val="none"/>
        </w:rPr>
      </w:pPr>
      <w:r>
        <w:rPr>
          <w:rFonts w:hint="eastAsia" w:ascii="宋体" w:hAnsi="宋体" w:eastAsia="宋体"/>
          <w:color w:val="auto"/>
          <w:sz w:val="21"/>
          <w:szCs w:val="21"/>
          <w:highlight w:val="none"/>
        </w:rPr>
        <w:t>2、服务地点：              或甲方指定地点。</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第六条 付款方式</w:t>
      </w:r>
    </w:p>
    <w:p>
      <w:pPr>
        <w:pStyle w:val="21"/>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pPr>
        <w:pStyle w:val="21"/>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w:t>
      </w:r>
      <w:r>
        <w:rPr>
          <w:rFonts w:hint="eastAsia" w:ascii="宋体" w:hAnsi="宋体"/>
          <w:color w:val="auto"/>
          <w:sz w:val="21"/>
          <w:szCs w:val="21"/>
          <w:highlight w:val="none"/>
          <w:lang w:val="en-US" w:eastAsia="zh-CN"/>
        </w:rPr>
        <w:t>甲方</w:t>
      </w:r>
      <w:r>
        <w:rPr>
          <w:rFonts w:hint="eastAsia" w:ascii="宋体" w:hAnsi="宋体"/>
          <w:color w:val="auto"/>
          <w:sz w:val="21"/>
          <w:szCs w:val="21"/>
          <w:highlight w:val="none"/>
        </w:rPr>
        <w:t>拨款，如因政策影响，拨款未能及时到位，乙方不得以此为由而不履行本合同规定的义务。否则，甲方按规定扣罚。如果乙方怠于或者拒绝提供资料或者办理手续的，则因此产生的付款迟延的责任全部由乙方承担。</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第七条 验收方式</w:t>
      </w:r>
    </w:p>
    <w:p>
      <w:pPr>
        <w:pStyle w:val="21"/>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21"/>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21"/>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第八条 税和关税</w:t>
      </w:r>
    </w:p>
    <w:p>
      <w:pPr>
        <w:pStyle w:val="21"/>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1、根据现行税法对甲方征收的与本合同有关的一切税费均应由甲方承担。</w:t>
      </w:r>
    </w:p>
    <w:p>
      <w:pPr>
        <w:pStyle w:val="21"/>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2、根据现行税法规定对乙方或其雇员征收的与本合同有关的一切税费应由乙方承担。</w:t>
      </w:r>
    </w:p>
    <w:p>
      <w:pPr>
        <w:pStyle w:val="21"/>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第九条 其它约定</w:t>
      </w:r>
    </w:p>
    <w:p>
      <w:pPr>
        <w:spacing w:after="0" w:line="360" w:lineRule="auto"/>
        <w:ind w:firstLine="420" w:firstLineChars="200"/>
        <w:rPr>
          <w:rFonts w:ascii="宋体" w:hAnsi="宋体" w:eastAsia="宋体"/>
          <w:color w:val="auto"/>
          <w:sz w:val="21"/>
          <w:szCs w:val="21"/>
          <w:highlight w:val="none"/>
        </w:rPr>
      </w:pPr>
      <w:r>
        <w:rPr>
          <w:rFonts w:ascii="宋体" w:hAnsi="宋体" w:eastAsia="宋体"/>
          <w:color w:val="auto"/>
          <w:sz w:val="21"/>
          <w:szCs w:val="21"/>
          <w:highlight w:val="none"/>
        </w:rPr>
        <w:t>1</w:t>
      </w:r>
      <w:r>
        <w:rPr>
          <w:rFonts w:hint="eastAsia" w:ascii="宋体" w:hAnsi="宋体" w:eastAsia="宋体"/>
          <w:color w:val="auto"/>
          <w:sz w:val="21"/>
          <w:szCs w:val="21"/>
          <w:highlight w:val="none"/>
        </w:rPr>
        <w:t>、严禁转包，未经甲方书面同意不得分包。</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2、乙方全部工作人员，须符合东莞市用工标准要求。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3、乙方服务人员进行服务期间的过失或故意行为，造成甲方经济损失的，由乙方负责赔偿。</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4、服务人员的劳动关系隶属乙方，乙方负责服务人员的工资、节假日和超时加班补助费、社会保险、住宿、伙食等。</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5、乙方负责本项目服务人员购买因意外身故或伤残和因意外事故住院治疗保险，并负责办理一切保险赔偿手续。</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第十条 违约责任</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1、合同双方任何一方不履行合同条款或不按合同约定履行条款的其它情况，均属违约，由违约方承担违约责任，赔偿因其违约造成的损失，并支付合同价款总额%的违约金。</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2、由于乙方的原因，导致双方签订的合同终止，乙方因此而遭受的损失，将由乙方独立承担，甲方对此不负任何责任，也不作任何赔偿。</w:t>
      </w:r>
    </w:p>
    <w:bookmarkEnd w:id="192"/>
    <w:p>
      <w:pPr>
        <w:spacing w:after="0" w:line="360" w:lineRule="auto"/>
        <w:ind w:firstLine="422" w:firstLineChars="200"/>
        <w:rPr>
          <w:rFonts w:ascii="宋体" w:hAnsi="宋体" w:eastAsia="宋体"/>
          <w:b/>
          <w:color w:val="auto"/>
          <w:sz w:val="21"/>
          <w:szCs w:val="21"/>
          <w:highlight w:val="none"/>
        </w:rPr>
      </w:pPr>
      <w:bookmarkStart w:id="193" w:name="_Toc86481570"/>
      <w:r>
        <w:rPr>
          <w:rFonts w:hint="eastAsia" w:ascii="宋体" w:hAnsi="宋体" w:eastAsia="宋体"/>
          <w:b/>
          <w:color w:val="auto"/>
          <w:sz w:val="21"/>
          <w:szCs w:val="21"/>
          <w:highlight w:val="none"/>
        </w:rPr>
        <w:t>第十一条 争议的解决</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1、凡与本合同有关而引起的一切争议，甲乙双方应首先通过友好协商解决，如经协商后仍不能达成协议时，任何一方可以向法院提出诉讼。</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2、本合同发生的诉讼管辖地为东莞市有管辖权的法院。</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3、在进行法院审理期间，除提交法院审理的事项外，合同其他部分仍继续履行。</w:t>
      </w:r>
    </w:p>
    <w:p>
      <w:pPr>
        <w:spacing w:after="0" w:line="360" w:lineRule="auto"/>
        <w:ind w:firstLine="420" w:firstLineChars="200"/>
        <w:rPr>
          <w:rFonts w:ascii="宋体" w:hAnsi="宋体" w:eastAsia="宋体" w:cs="仿宋"/>
          <w:color w:val="auto"/>
          <w:sz w:val="21"/>
          <w:szCs w:val="21"/>
          <w:highlight w:val="none"/>
          <w:shd w:val="clear" w:color="auto" w:fill="FFFFFF"/>
        </w:rPr>
      </w:pPr>
      <w:r>
        <w:rPr>
          <w:rFonts w:hint="eastAsia" w:ascii="宋体" w:hAnsi="宋体" w:eastAsia="宋体" w:cs="宋体"/>
          <w:color w:val="auto"/>
          <w:sz w:val="21"/>
          <w:szCs w:val="21"/>
          <w:highlight w:val="none"/>
        </w:rPr>
        <w:t>4、本合同按照中华人民共和国的法律进行解释</w:t>
      </w:r>
      <w:r>
        <w:rPr>
          <w:rFonts w:hint="eastAsia" w:ascii="宋体" w:hAnsi="宋体" w:eastAsia="宋体" w:cs="仿宋"/>
          <w:color w:val="auto"/>
          <w:sz w:val="21"/>
          <w:szCs w:val="21"/>
          <w:highlight w:val="none"/>
          <w:shd w:val="clear" w:color="auto" w:fill="FFFFFF"/>
        </w:rPr>
        <w:t>。</w:t>
      </w:r>
    </w:p>
    <w:p>
      <w:pPr>
        <w:spacing w:after="0" w:line="360" w:lineRule="auto"/>
        <w:ind w:firstLine="422" w:firstLineChars="200"/>
        <w:rPr>
          <w:rFonts w:ascii="宋体" w:hAnsi="宋体" w:eastAsia="宋体"/>
          <w:b/>
          <w:color w:val="auto"/>
          <w:sz w:val="21"/>
          <w:szCs w:val="21"/>
          <w:highlight w:val="none"/>
        </w:rPr>
      </w:pPr>
      <w:bookmarkStart w:id="194" w:name="_Toc86481569"/>
      <w:r>
        <w:rPr>
          <w:rFonts w:hint="eastAsia" w:ascii="宋体" w:hAnsi="宋体" w:eastAsia="宋体"/>
          <w:b/>
          <w:color w:val="auto"/>
          <w:sz w:val="21"/>
          <w:szCs w:val="21"/>
          <w:highlight w:val="none"/>
        </w:rPr>
        <w:t>第十二条 合同生效</w:t>
      </w:r>
      <w:bookmarkEnd w:id="194"/>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1、本合同由双方法定代表人或委托代理人签字盖章后立即生效，具有同等法律效力，合同有效期随服务期结束而自然终止。</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2、本合同一式    份，其中甲方    份、乙方    份，采购代理机构 壹 份（须在合同签订之日起7个工作日内递交）。</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第十三条 其它</w:t>
      </w:r>
      <w:bookmarkEnd w:id="193"/>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1、本合同未尽事宜，双方可签订补充合同，补充合同与所有附件均为合同的有效组成部分，与本合同具有同等法律效力。</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本合同合计   页A4纸张，缺页之合同为无效合同。</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甲方（盖章）：                      乙方（盖章）：</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法定代表(签字)：                   法定代表(签字)：</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地址：                             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                             电话：</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传真：</w:t>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传真：</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开户银行：</w:t>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 xml:space="preserve">                     开户银行：</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账号：                             账号：</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签约时间：</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签约地点：</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t>此仅为合同书样本，中标人需根据实际情况和甲方签订相应的合同！</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br w:type="page"/>
      </w:r>
    </w:p>
    <w:p>
      <w:pPr>
        <w:pStyle w:val="3"/>
        <w:spacing w:before="0" w:after="0" w:line="240" w:lineRule="auto"/>
        <w:rPr>
          <w:color w:val="auto"/>
          <w:sz w:val="28"/>
          <w:szCs w:val="28"/>
          <w:highlight w:val="none"/>
        </w:rPr>
      </w:pPr>
      <w:bookmarkStart w:id="195" w:name="_Toc1478"/>
      <w:bookmarkStart w:id="196" w:name="_Toc23749"/>
      <w:bookmarkStart w:id="197" w:name="_Toc31587"/>
      <w:r>
        <w:rPr>
          <w:rFonts w:hint="eastAsia"/>
          <w:color w:val="auto"/>
          <w:sz w:val="28"/>
          <w:szCs w:val="28"/>
          <w:highlight w:val="none"/>
        </w:rPr>
        <w:t>第</w:t>
      </w:r>
      <w:r>
        <w:rPr>
          <w:rFonts w:hint="eastAsia"/>
          <w:color w:val="auto"/>
          <w:sz w:val="28"/>
          <w:szCs w:val="28"/>
          <w:highlight w:val="none"/>
          <w:lang w:val="en-US" w:eastAsia="zh-CN"/>
        </w:rPr>
        <w:t>七</w:t>
      </w:r>
      <w:r>
        <w:rPr>
          <w:rFonts w:hint="eastAsia"/>
          <w:color w:val="auto"/>
          <w:sz w:val="28"/>
          <w:szCs w:val="28"/>
          <w:highlight w:val="none"/>
        </w:rPr>
        <w:t>部分  投标文件格式</w:t>
      </w:r>
      <w:bookmarkEnd w:id="195"/>
      <w:bookmarkEnd w:id="196"/>
      <w:bookmarkEnd w:id="197"/>
    </w:p>
    <w:p>
      <w:pPr>
        <w:rPr>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198" w:name="_Toc26830"/>
      <w:bookmarkStart w:id="199" w:name="_Toc5794"/>
      <w:bookmarkStart w:id="200" w:name="_Toc6790"/>
      <w:r>
        <w:rPr>
          <w:rFonts w:hint="eastAsia"/>
          <w:color w:val="auto"/>
          <w:highlight w:val="none"/>
        </w:rPr>
        <w:t>投标文件目录</w:t>
      </w:r>
      <w:bookmarkEnd w:id="198"/>
      <w:bookmarkEnd w:id="199"/>
      <w:bookmarkEnd w:id="200"/>
    </w:p>
    <w:p>
      <w:pPr>
        <w:jc w:val="center"/>
        <w:rPr>
          <w:rFonts w:ascii="黑体" w:eastAsia="黑体"/>
          <w:color w:val="auto"/>
          <w:sz w:val="32"/>
          <w:szCs w:val="32"/>
          <w:highlight w:val="none"/>
        </w:rPr>
      </w:pPr>
    </w:p>
    <w:p>
      <w:pPr>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格式自理。</w:t>
      </w: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01" w:name="_Toc25502"/>
      <w:bookmarkStart w:id="202" w:name="_Toc18893"/>
      <w:bookmarkStart w:id="203" w:name="_Toc5670"/>
      <w:r>
        <w:rPr>
          <w:rFonts w:hint="eastAsia"/>
          <w:color w:val="auto"/>
          <w:highlight w:val="none"/>
        </w:rPr>
        <w:t>评分标准索引表</w:t>
      </w:r>
      <w:bookmarkEnd w:id="201"/>
      <w:bookmarkEnd w:id="202"/>
      <w:bookmarkEnd w:id="203"/>
    </w:p>
    <w:p>
      <w:pPr>
        <w:adjustRightInd/>
        <w:snapToGrid/>
        <w:spacing w:line="276" w:lineRule="auto"/>
        <w:rPr>
          <w:rFonts w:ascii="宋体" w:hAnsi="宋体" w:eastAsia="宋体"/>
          <w:color w:val="auto"/>
          <w:sz w:val="21"/>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3"/>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54"/>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评分内容</w:t>
            </w:r>
          </w:p>
        </w:tc>
        <w:tc>
          <w:tcPr>
            <w:tcW w:w="5028" w:type="dxa"/>
            <w:noWrap w:val="0"/>
            <w:vAlign w:val="center"/>
          </w:tcPr>
          <w:p>
            <w:pPr>
              <w:pStyle w:val="54"/>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评分细则</w:t>
            </w:r>
          </w:p>
        </w:tc>
        <w:tc>
          <w:tcPr>
            <w:tcW w:w="2126" w:type="dxa"/>
            <w:noWrap w:val="0"/>
            <w:vAlign w:val="center"/>
          </w:tcPr>
          <w:p>
            <w:pPr>
              <w:pStyle w:val="54"/>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31"/>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highlight w:val="none"/>
              </w:rPr>
            </w:pPr>
          </w:p>
        </w:tc>
        <w:tc>
          <w:tcPr>
            <w:tcW w:w="5028" w:type="dxa"/>
            <w:noWrap w:val="0"/>
            <w:vAlign w:val="center"/>
          </w:tcPr>
          <w:p>
            <w:pPr>
              <w:pStyle w:val="31"/>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highlight w:val="none"/>
              </w:rPr>
            </w:pPr>
          </w:p>
        </w:tc>
        <w:tc>
          <w:tcPr>
            <w:tcW w:w="5028" w:type="dxa"/>
            <w:noWrap w:val="0"/>
            <w:vAlign w:val="center"/>
          </w:tcPr>
          <w:p>
            <w:pPr>
              <w:pStyle w:val="31"/>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highlight w:val="none"/>
              </w:rPr>
            </w:pPr>
          </w:p>
        </w:tc>
        <w:tc>
          <w:tcPr>
            <w:tcW w:w="5028" w:type="dxa"/>
            <w:noWrap w:val="0"/>
            <w:vAlign w:val="center"/>
          </w:tcPr>
          <w:p>
            <w:pPr>
              <w:pStyle w:val="31"/>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highlight w:val="none"/>
              </w:rPr>
            </w:pPr>
          </w:p>
        </w:tc>
        <w:tc>
          <w:tcPr>
            <w:tcW w:w="5028" w:type="dxa"/>
            <w:noWrap w:val="0"/>
            <w:vAlign w:val="center"/>
          </w:tcPr>
          <w:p>
            <w:pPr>
              <w:pStyle w:val="31"/>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highlight w:val="none"/>
              </w:rPr>
            </w:pPr>
          </w:p>
        </w:tc>
        <w:tc>
          <w:tcPr>
            <w:tcW w:w="5028" w:type="dxa"/>
            <w:noWrap w:val="0"/>
            <w:vAlign w:val="center"/>
          </w:tcPr>
          <w:p>
            <w:pPr>
              <w:pStyle w:val="31"/>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6"/>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highlight w:val="none"/>
              </w:rPr>
            </w:pPr>
          </w:p>
        </w:tc>
        <w:tc>
          <w:tcPr>
            <w:tcW w:w="5028" w:type="dxa"/>
            <w:noWrap w:val="0"/>
            <w:vAlign w:val="center"/>
          </w:tcPr>
          <w:p>
            <w:pPr>
              <w:pStyle w:val="31"/>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highlight w:val="none"/>
              </w:rPr>
            </w:pPr>
          </w:p>
        </w:tc>
        <w:tc>
          <w:tcPr>
            <w:tcW w:w="5028" w:type="dxa"/>
            <w:noWrap w:val="0"/>
            <w:vAlign w:val="center"/>
          </w:tcPr>
          <w:p>
            <w:pPr>
              <w:pStyle w:val="31"/>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highlight w:val="none"/>
              </w:rPr>
            </w:pPr>
          </w:p>
        </w:tc>
        <w:tc>
          <w:tcPr>
            <w:tcW w:w="5028" w:type="dxa"/>
            <w:noWrap w:val="0"/>
            <w:vAlign w:val="center"/>
          </w:tcPr>
          <w:p>
            <w:pPr>
              <w:pStyle w:val="31"/>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highlight w:val="none"/>
              </w:rPr>
            </w:pPr>
          </w:p>
        </w:tc>
        <w:tc>
          <w:tcPr>
            <w:tcW w:w="5028" w:type="dxa"/>
            <w:noWrap w:val="0"/>
            <w:vAlign w:val="center"/>
          </w:tcPr>
          <w:p>
            <w:pPr>
              <w:pStyle w:val="31"/>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highlight w:val="none"/>
              </w:rPr>
            </w:pPr>
          </w:p>
        </w:tc>
        <w:tc>
          <w:tcPr>
            <w:tcW w:w="5028" w:type="dxa"/>
            <w:noWrap w:val="0"/>
            <w:vAlign w:val="center"/>
          </w:tcPr>
          <w:p>
            <w:pPr>
              <w:pStyle w:val="31"/>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1"/>
              <w:jc w:val="both"/>
              <w:rPr>
                <w:rFonts w:hint="eastAsia" w:ascii="宋体" w:hAnsi="宋体" w:eastAsia="宋体" w:cs="宋体"/>
                <w:color w:val="auto"/>
                <w:sz w:val="21"/>
                <w:szCs w:val="21"/>
                <w:highlight w:val="none"/>
              </w:rPr>
            </w:pPr>
          </w:p>
        </w:tc>
        <w:tc>
          <w:tcPr>
            <w:tcW w:w="5028" w:type="dxa"/>
            <w:noWrap w:val="0"/>
            <w:vAlign w:val="center"/>
          </w:tcPr>
          <w:p>
            <w:pPr>
              <w:pStyle w:val="31"/>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numPr>
          <w:ilvl w:val="0"/>
          <w:numId w:val="10"/>
        </w:numPr>
        <w:rPr>
          <w:rFonts w:ascii="宋体" w:hAnsi="宋体" w:eastAsia="宋体"/>
          <w:color w:val="auto"/>
          <w:sz w:val="21"/>
          <w:szCs w:val="21"/>
          <w:highlight w:val="none"/>
        </w:rPr>
      </w:pPr>
      <w:r>
        <w:rPr>
          <w:rFonts w:hint="eastAsia" w:ascii="宋体" w:hAnsi="宋体" w:eastAsia="宋体"/>
          <w:color w:val="auto"/>
          <w:sz w:val="21"/>
          <w:szCs w:val="21"/>
          <w:highlight w:val="none"/>
        </w:rPr>
        <w:t>该表格为参考格式，投标人可按实际情况自行制订评分标准索引表。</w:t>
      </w:r>
    </w:p>
    <w:p>
      <w:pPr>
        <w:pStyle w:val="7"/>
        <w:spacing w:before="0"/>
        <w:ind w:left="0"/>
        <w:rPr>
          <w:color w:val="auto"/>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204" w:name="_Toc22080"/>
      <w:bookmarkStart w:id="205" w:name="_Toc8194"/>
      <w:bookmarkStart w:id="206" w:name="_Toc30640"/>
      <w:r>
        <w:rPr>
          <w:rFonts w:hint="eastAsia"/>
          <w:color w:val="auto"/>
          <w:highlight w:val="none"/>
          <w:lang w:val="en-US" w:eastAsia="zh-CN"/>
        </w:rPr>
        <w:t>第一章价格文件</w:t>
      </w:r>
      <w:bookmarkEnd w:id="204"/>
      <w:bookmarkEnd w:id="205"/>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07" w:name="_Toc19750"/>
      <w:bookmarkStart w:id="208" w:name="_Toc4168"/>
      <w:r>
        <w:rPr>
          <w:rFonts w:hint="eastAsia"/>
          <w:color w:val="auto"/>
          <w:highlight w:val="none"/>
          <w:lang w:val="en-US" w:eastAsia="zh-CN"/>
        </w:rPr>
        <w:t>一、唱标一览表</w:t>
      </w:r>
      <w:bookmarkEnd w:id="207"/>
      <w:bookmarkEnd w:id="208"/>
    </w:p>
    <w:p>
      <w:pPr>
        <w:spacing w:line="360" w:lineRule="auto"/>
        <w:rPr>
          <w:color w:val="auto"/>
          <w:highlight w:val="none"/>
        </w:rPr>
      </w:pPr>
    </w:p>
    <w:tbl>
      <w:tblPr>
        <w:tblStyle w:val="23"/>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投标</w:t>
            </w:r>
            <w:r>
              <w:rPr>
                <w:rFonts w:hint="eastAsia" w:ascii="宋体" w:hAnsi="宋体"/>
                <w:color w:val="auto"/>
                <w:sz w:val="21"/>
                <w:szCs w:val="21"/>
                <w:highlight w:val="none"/>
                <w:lang w:val="en-US" w:eastAsia="zh-CN"/>
              </w:rPr>
              <w:t>下浮率（%）</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pPr>
        <w:spacing w:after="0" w:line="360" w:lineRule="auto"/>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spacing w:after="0" w:line="360" w:lineRule="auto"/>
        <w:ind w:firstLine="359" w:firstLineChars="171"/>
        <w:rPr>
          <w:rFonts w:ascii="宋体" w:hAnsi="宋体" w:eastAsia="宋体"/>
          <w:color w:val="auto"/>
          <w:sz w:val="21"/>
          <w:szCs w:val="21"/>
          <w:highlight w:val="none"/>
        </w:rPr>
      </w:pPr>
    </w:p>
    <w:p>
      <w:pPr>
        <w:spacing w:after="0" w:line="360" w:lineRule="auto"/>
        <w:ind w:left="391" w:hanging="390" w:hangingChars="186"/>
        <w:rPr>
          <w:rFonts w:hint="eastAsia" w:ascii="宋体" w:hAnsi="宋体" w:eastAsia="宋体"/>
          <w:color w:val="auto"/>
          <w:sz w:val="21"/>
          <w:szCs w:val="21"/>
          <w:highlight w:val="none"/>
        </w:rPr>
      </w:pPr>
      <w:r>
        <w:rPr>
          <w:rFonts w:hint="eastAsia" w:ascii="宋体" w:hAnsi="宋体" w:eastAsia="宋体"/>
          <w:color w:val="auto"/>
          <w:sz w:val="21"/>
          <w:szCs w:val="21"/>
          <w:highlight w:val="none"/>
        </w:rPr>
        <w:t xml:space="preserve">       注：</w:t>
      </w:r>
    </w:p>
    <w:p>
      <w:pPr>
        <w:spacing w:after="0" w:line="360" w:lineRule="auto"/>
        <w:ind w:left="357" w:leftChars="170" w:firstLine="359" w:firstLineChars="171"/>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eastAsia="zh-CN"/>
        </w:rPr>
        <w:t>投标</w:t>
      </w:r>
      <w:r>
        <w:rPr>
          <w:rFonts w:hint="eastAsia" w:ascii="宋体" w:hAnsi="宋体" w:eastAsia="宋体"/>
          <w:color w:val="auto"/>
          <w:sz w:val="21"/>
          <w:szCs w:val="21"/>
          <w:highlight w:val="none"/>
          <w:lang w:eastAsia="zh-CN"/>
        </w:rPr>
        <w:t>下浮率</w:t>
      </w:r>
      <w:r>
        <w:rPr>
          <w:rFonts w:hint="eastAsia" w:ascii="宋体" w:hAnsi="宋体" w:eastAsia="宋体"/>
          <w:color w:val="auto"/>
          <w:sz w:val="21"/>
          <w:szCs w:val="21"/>
          <w:highlight w:val="none"/>
        </w:rPr>
        <w:t>栏须用大写和小写两种方式表示的</w:t>
      </w:r>
      <w:r>
        <w:rPr>
          <w:rFonts w:hint="eastAsia" w:ascii="宋体" w:hAnsi="宋体"/>
          <w:color w:val="auto"/>
          <w:sz w:val="21"/>
          <w:szCs w:val="21"/>
          <w:highlight w:val="none"/>
          <w:lang w:eastAsia="zh-CN"/>
        </w:rPr>
        <w:t>投标</w:t>
      </w:r>
      <w:r>
        <w:rPr>
          <w:rFonts w:hint="eastAsia" w:ascii="宋体" w:hAnsi="宋体" w:eastAsia="宋体"/>
          <w:color w:val="auto"/>
          <w:sz w:val="21"/>
          <w:szCs w:val="21"/>
          <w:highlight w:val="none"/>
          <w:lang w:eastAsia="zh-CN"/>
        </w:rPr>
        <w:t>下浮率</w:t>
      </w:r>
      <w:r>
        <w:rPr>
          <w:rFonts w:hint="eastAsia" w:ascii="宋体" w:hAnsi="宋体" w:eastAsia="宋体"/>
          <w:color w:val="auto"/>
          <w:sz w:val="21"/>
          <w:szCs w:val="21"/>
          <w:highlight w:val="none"/>
        </w:rPr>
        <w:t>，报价保留小数点后两位。</w:t>
      </w:r>
      <w:r>
        <w:rPr>
          <w:rFonts w:hint="eastAsia" w:ascii="宋体" w:hAnsi="宋体"/>
          <w:color w:val="auto"/>
          <w:sz w:val="21"/>
          <w:szCs w:val="21"/>
          <w:highlight w:val="none"/>
          <w:lang w:eastAsia="zh-CN"/>
        </w:rPr>
        <w:t>投标</w:t>
      </w:r>
      <w:r>
        <w:rPr>
          <w:rFonts w:hint="eastAsia" w:ascii="宋体" w:hAnsi="宋体" w:eastAsia="宋体"/>
          <w:color w:val="auto"/>
          <w:sz w:val="21"/>
          <w:szCs w:val="21"/>
          <w:highlight w:val="none"/>
          <w:lang w:eastAsia="zh-CN"/>
        </w:rPr>
        <w:t>下浮率</w:t>
      </w:r>
      <w:r>
        <w:rPr>
          <w:rFonts w:hint="eastAsia" w:ascii="宋体" w:hAnsi="宋体" w:eastAsia="宋体"/>
          <w:color w:val="auto"/>
          <w:sz w:val="21"/>
          <w:szCs w:val="21"/>
          <w:highlight w:val="none"/>
        </w:rPr>
        <w:t>大小写不一致，以大写为准。</w:t>
      </w:r>
      <w:r>
        <w:rPr>
          <w:rFonts w:hint="eastAsia" w:ascii="宋体" w:hAnsi="宋体"/>
          <w:color w:val="auto"/>
          <w:sz w:val="21"/>
          <w:szCs w:val="21"/>
          <w:highlight w:val="none"/>
          <w:lang w:eastAsia="zh-CN"/>
        </w:rPr>
        <w:t>投标</w:t>
      </w:r>
      <w:r>
        <w:rPr>
          <w:rFonts w:hint="eastAsia" w:ascii="宋体" w:hAnsi="宋体" w:eastAsia="宋体"/>
          <w:color w:val="auto"/>
          <w:sz w:val="21"/>
          <w:szCs w:val="21"/>
          <w:highlight w:val="none"/>
          <w:lang w:eastAsia="zh-CN"/>
        </w:rPr>
        <w:t>下浮率</w:t>
      </w:r>
      <w:r>
        <w:rPr>
          <w:rFonts w:hint="eastAsia" w:ascii="宋体" w:hAnsi="宋体" w:eastAsia="宋体"/>
          <w:color w:val="auto"/>
          <w:sz w:val="21"/>
          <w:szCs w:val="21"/>
          <w:highlight w:val="none"/>
        </w:rPr>
        <w:t>必须准确唯一且应包含</w:t>
      </w:r>
      <w:r>
        <w:rPr>
          <w:rFonts w:hint="eastAsia" w:ascii="宋体" w:hAnsi="宋体"/>
          <w:color w:val="auto"/>
          <w:sz w:val="21"/>
          <w:szCs w:val="21"/>
          <w:highlight w:val="none"/>
          <w:lang w:val="en-US" w:eastAsia="zh-CN"/>
        </w:rPr>
        <w:t>招标文件</w:t>
      </w:r>
      <w:r>
        <w:rPr>
          <w:rFonts w:hint="eastAsia" w:ascii="宋体" w:hAnsi="宋体" w:eastAsia="宋体"/>
          <w:color w:val="auto"/>
          <w:sz w:val="21"/>
          <w:szCs w:val="21"/>
          <w:highlight w:val="none"/>
        </w:rPr>
        <w:t>要求的所有费用。</w:t>
      </w:r>
    </w:p>
    <w:p>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w:t>
      </w:r>
      <w:r>
        <w:rPr>
          <w:rFonts w:hint="eastAsia" w:ascii="宋体" w:hAnsi="宋体"/>
          <w:color w:val="auto"/>
          <w:sz w:val="21"/>
          <w:szCs w:val="21"/>
          <w:highlight w:val="none"/>
          <w:lang w:val="en-US" w:eastAsia="zh-CN"/>
        </w:rPr>
        <w:t>投标人</w:t>
      </w:r>
      <w:r>
        <w:rPr>
          <w:rFonts w:hint="eastAsia" w:ascii="宋体" w:hAnsi="宋体" w:eastAsia="宋体"/>
          <w:color w:val="auto"/>
          <w:sz w:val="21"/>
          <w:szCs w:val="21"/>
          <w:highlight w:val="none"/>
        </w:rPr>
        <w:t>须知的规定密封标记并与《授权委托书》</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pPr>
        <w:spacing w:after="0" w:line="360" w:lineRule="auto"/>
        <w:ind w:left="357" w:leftChars="170" w:firstLine="359" w:firstLineChars="171"/>
        <w:rPr>
          <w:rFonts w:ascii="宋体" w:hAnsi="宋体" w:eastAsia="宋体"/>
          <w:color w:val="auto"/>
          <w:sz w:val="21"/>
          <w:szCs w:val="21"/>
          <w:highlight w:val="none"/>
        </w:rPr>
      </w:pPr>
    </w:p>
    <w:p>
      <w:pPr>
        <w:bidi w:val="0"/>
        <w:rPr>
          <w:rFonts w:hint="eastAsia"/>
          <w:color w:val="auto"/>
          <w:highlight w:val="none"/>
        </w:rPr>
      </w:pPr>
    </w:p>
    <w:p>
      <w:pPr>
        <w:pStyle w:val="7"/>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color w:val="auto"/>
          <w:highlight w:val="none"/>
        </w:rPr>
      </w:pPr>
    </w:p>
    <w:p>
      <w:pPr>
        <w:pStyle w:val="7"/>
        <w:rPr>
          <w:color w:val="auto"/>
          <w:highlight w:val="none"/>
        </w:rPr>
      </w:pPr>
    </w:p>
    <w:p>
      <w:pPr>
        <w:rPr>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09" w:name="_Toc31062"/>
      <w:bookmarkStart w:id="210" w:name="_Toc31172"/>
      <w:r>
        <w:rPr>
          <w:rFonts w:hint="eastAsia"/>
          <w:color w:val="auto"/>
          <w:highlight w:val="none"/>
          <w:lang w:val="en-US" w:eastAsia="zh-CN"/>
        </w:rPr>
        <w:t>二、报价明细表</w:t>
      </w:r>
      <w:bookmarkEnd w:id="209"/>
      <w:bookmarkEnd w:id="210"/>
    </w:p>
    <w:p>
      <w:pPr>
        <w:pStyle w:val="31"/>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单位：元</w:t>
      </w:r>
    </w:p>
    <w:tbl>
      <w:tblPr>
        <w:tblStyle w:val="23"/>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服务名称</w:t>
            </w:r>
          </w:p>
        </w:tc>
        <w:tc>
          <w:tcPr>
            <w:tcW w:w="2059"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规格型号</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服务内容</w:t>
            </w: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单价</w:t>
            </w:r>
          </w:p>
        </w:tc>
        <w:tc>
          <w:tcPr>
            <w:tcW w:w="1076"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r>
              <w:rPr>
                <w:rFonts w:hint="eastAsia" w:ascii="宋体" w:hAnsi="宋体" w:eastAsia="宋体"/>
                <w:color w:val="auto"/>
                <w:sz w:val="21"/>
                <w:szCs w:val="21"/>
                <w:highlight w:val="none"/>
              </w:rPr>
              <w:t>总价</w:t>
            </w:r>
          </w:p>
        </w:tc>
        <w:tc>
          <w:tcPr>
            <w:tcW w:w="2154" w:type="dxa"/>
            <w:gridSpan w:val="2"/>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bl>
    <w:p>
      <w:pPr>
        <w:rPr>
          <w:rFonts w:ascii="宋体" w:hAnsi="宋体" w:eastAsia="宋体" w:cs="宋体"/>
          <w:b/>
          <w:color w:val="auto"/>
          <w:sz w:val="21"/>
          <w:szCs w:val="21"/>
          <w:highlight w:val="none"/>
        </w:rPr>
      </w:pPr>
    </w:p>
    <w:p>
      <w:pPr>
        <w:bidi w:val="0"/>
        <w:rPr>
          <w:color w:val="auto"/>
          <w:highlight w:val="none"/>
        </w:rPr>
      </w:pP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rPr>
          <w:rFonts w:ascii="宋体" w:hAnsi="宋体" w:eastAsia="宋体" w:cs="宋体"/>
          <w:b/>
          <w:color w:val="auto"/>
          <w:sz w:val="21"/>
          <w:szCs w:val="21"/>
          <w:highlight w:val="none"/>
        </w:rPr>
      </w:pPr>
      <w:r>
        <w:rPr>
          <w:rFonts w:hint="eastAsia" w:ascii="宋体" w:hAnsi="宋体" w:eastAsia="宋体"/>
          <w:color w:val="auto"/>
          <w:sz w:val="21"/>
          <w:szCs w:val="21"/>
          <w:highlight w:val="none"/>
        </w:rPr>
        <w:t>日期：</w:t>
      </w:r>
    </w:p>
    <w:p>
      <w:pPr>
        <w:pStyle w:val="31"/>
        <w:rPr>
          <w:rFonts w:ascii="黑体" w:eastAsia="黑体"/>
          <w:color w:val="auto"/>
          <w:sz w:val="32"/>
          <w:szCs w:val="32"/>
          <w:highlight w:val="none"/>
        </w:rPr>
      </w:pPr>
    </w:p>
    <w:p>
      <w:pPr>
        <w:pStyle w:val="31"/>
        <w:rPr>
          <w:rFonts w:ascii="黑体" w:eastAsia="黑体"/>
          <w:color w:val="auto"/>
          <w:sz w:val="32"/>
          <w:szCs w:val="32"/>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11" w:name="_Toc23948"/>
      <w:bookmarkStart w:id="212" w:name="_Toc6471"/>
      <w:r>
        <w:rPr>
          <w:rFonts w:hint="eastAsia"/>
          <w:color w:val="auto"/>
          <w:highlight w:val="none"/>
          <w:lang w:val="en-US" w:eastAsia="zh-CN"/>
        </w:rPr>
        <w:t>第二章商务文件</w:t>
      </w:r>
      <w:bookmarkEnd w:id="211"/>
      <w:bookmarkEnd w:id="212"/>
    </w:p>
    <w:bookmarkEnd w:id="206"/>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3" w:name="_Toc1952"/>
      <w:bookmarkStart w:id="214" w:name="_Toc23787"/>
      <w:r>
        <w:rPr>
          <w:rFonts w:hint="eastAsia"/>
          <w:color w:val="auto"/>
          <w:highlight w:val="none"/>
          <w:lang w:val="en-US" w:eastAsia="zh-CN"/>
        </w:rPr>
        <w:t>一、投标函</w:t>
      </w:r>
      <w:bookmarkEnd w:id="213"/>
      <w:bookmarkEnd w:id="214"/>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spacing w:after="0" w:line="360" w:lineRule="auto"/>
        <w:rPr>
          <w:rFonts w:ascii="宋体" w:hAnsi="宋体" w:eastAsia="宋体"/>
          <w:color w:val="auto"/>
          <w:sz w:val="21"/>
          <w:szCs w:val="21"/>
          <w:highlight w:val="none"/>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highlight w:val="none"/>
        </w:rPr>
        <w:t>根据贵方为</w:t>
      </w:r>
      <w:r>
        <w:rPr>
          <w:rFonts w:hint="eastAsia" w:ascii="宋体" w:hAnsi="宋体" w:eastAsia="宋体"/>
          <w:color w:val="auto"/>
          <w:sz w:val="21"/>
          <w:szCs w:val="21"/>
          <w:highlight w:val="none"/>
          <w:u w:val="single"/>
        </w:rPr>
        <w:t>（项目名称）（采购项目编号）</w:t>
      </w:r>
      <w:r>
        <w:rPr>
          <w:rFonts w:hint="eastAsia" w:ascii="宋体" w:hAnsi="宋体" w:eastAsia="宋体"/>
          <w:color w:val="auto"/>
          <w:sz w:val="21"/>
          <w:szCs w:val="21"/>
          <w:highlight w:val="none"/>
        </w:rPr>
        <w:t>项目招标公告/招标邀请，签字代表</w:t>
      </w:r>
      <w:r>
        <w:rPr>
          <w:rFonts w:hint="eastAsia" w:ascii="宋体" w:hAnsi="宋体" w:eastAsia="宋体"/>
          <w:color w:val="auto"/>
          <w:sz w:val="21"/>
          <w:szCs w:val="21"/>
          <w:highlight w:val="none"/>
          <w:u w:val="single"/>
        </w:rPr>
        <w:t>（姓名、职务）</w:t>
      </w:r>
      <w:r>
        <w:rPr>
          <w:rFonts w:hint="eastAsia" w:ascii="宋体" w:hAnsi="宋体" w:eastAsia="宋体"/>
          <w:color w:val="auto"/>
          <w:sz w:val="21"/>
          <w:szCs w:val="21"/>
          <w:highlight w:val="none"/>
        </w:rPr>
        <w:t>经正式授权并代表投标人</w:t>
      </w:r>
      <w:r>
        <w:rPr>
          <w:rFonts w:hint="eastAsia" w:ascii="宋体" w:hAnsi="宋体" w:eastAsia="宋体"/>
          <w:color w:val="auto"/>
          <w:sz w:val="21"/>
          <w:szCs w:val="21"/>
          <w:highlight w:val="none"/>
          <w:u w:val="single"/>
        </w:rPr>
        <w:t>（投标人名称、地址）</w:t>
      </w:r>
      <w:r>
        <w:rPr>
          <w:rFonts w:hint="eastAsia" w:ascii="宋体" w:eastAsia="宋体" w:cs="宋体"/>
          <w:color w:val="auto"/>
          <w:sz w:val="22"/>
          <w:szCs w:val="22"/>
          <w:highlight w:val="none"/>
        </w:rPr>
        <w:t>进行有关本次投标的一切事宜。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highlight w:val="none"/>
        </w:rPr>
      </w:pPr>
      <w:r>
        <w:rPr>
          <w:rFonts w:hint="eastAsia" w:ascii="宋体" w:eastAsia="宋体" w:cs="宋体"/>
          <w:color w:val="auto"/>
          <w:sz w:val="22"/>
          <w:szCs w:val="22"/>
          <w:highlight w:val="none"/>
        </w:rPr>
        <w:t>在此提交的投标文件，正本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套，唱标信封及电子文件各1份。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lang w:val="en-US" w:eastAsia="zh-CN"/>
        </w:rPr>
        <w:t>已</w:t>
      </w:r>
      <w:r>
        <w:rPr>
          <w:rFonts w:hint="eastAsia" w:ascii="新宋体" w:hAnsi="新宋体" w:eastAsia="新宋体"/>
          <w:color w:val="auto"/>
          <w:sz w:val="22"/>
          <w:highlight w:val="none"/>
          <w:lang w:val="zh-CN"/>
        </w:rPr>
        <w:t>完全明白招标文件的所有条款要求，并重申以下几点：</w:t>
      </w:r>
    </w:p>
    <w:p>
      <w:pPr>
        <w:keepNext w:val="0"/>
        <w:keepLines w:val="0"/>
        <w:pageBreakBefore w:val="0"/>
        <w:widowControl w:val="0"/>
        <w:numPr>
          <w:ilvl w:val="0"/>
          <w:numId w:val="1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我方将按招标文件的规定履行合同责任和义务。 </w:t>
      </w:r>
    </w:p>
    <w:p>
      <w:pPr>
        <w:keepNext w:val="0"/>
        <w:keepLines w:val="0"/>
        <w:pageBreakBefore w:val="0"/>
        <w:widowControl w:val="0"/>
        <w:numPr>
          <w:ilvl w:val="0"/>
          <w:numId w:val="1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本投标有效期为自开标日起</w:t>
      </w:r>
      <w:r>
        <w:rPr>
          <w:rFonts w:hint="eastAsia" w:ascii="宋体" w:hAnsi="宋体" w:eastAsia="宋体"/>
          <w:color w:val="auto"/>
          <w:sz w:val="21"/>
          <w:szCs w:val="21"/>
          <w:highlight w:val="none"/>
          <w:u w:val="single"/>
        </w:rPr>
        <w:t>90</w:t>
      </w:r>
      <w:r>
        <w:rPr>
          <w:rFonts w:hint="eastAsia" w:ascii="宋体" w:hAnsi="宋体" w:eastAsia="宋体"/>
          <w:color w:val="auto"/>
          <w:sz w:val="21"/>
          <w:szCs w:val="21"/>
          <w:highlight w:val="none"/>
        </w:rPr>
        <w:t>个日历日。</w:t>
      </w:r>
    </w:p>
    <w:p>
      <w:pPr>
        <w:keepNext w:val="0"/>
        <w:keepLines w:val="0"/>
        <w:pageBreakBefore w:val="0"/>
        <w:widowControl w:val="0"/>
        <w:numPr>
          <w:ilvl w:val="0"/>
          <w:numId w:val="1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本公司同意按照贵公司可能提出的要求而提供与投标有关的任何其它数据、信息或资料。</w:t>
      </w:r>
    </w:p>
    <w:p>
      <w:pPr>
        <w:keepNext w:val="0"/>
        <w:keepLines w:val="0"/>
        <w:pageBreakBefore w:val="0"/>
        <w:widowControl w:val="0"/>
        <w:numPr>
          <w:ilvl w:val="0"/>
          <w:numId w:val="1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我方保证遵守投标人须知中关于没收投标保证金的规定。</w:t>
      </w:r>
    </w:p>
    <w:p>
      <w:pPr>
        <w:keepNext w:val="0"/>
        <w:keepLines w:val="0"/>
        <w:pageBreakBefore w:val="0"/>
        <w:widowControl w:val="0"/>
        <w:numPr>
          <w:ilvl w:val="0"/>
          <w:numId w:val="1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11"/>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本公司如果中标，将保证履行招标文件及其澄清、修改文件（如果有）中的全部责任和义务，按质、按量、按期完成《采购需求书》及《合同书》中的全部任务。</w:t>
      </w:r>
    </w:p>
    <w:p>
      <w:pPr>
        <w:keepNext w:val="0"/>
        <w:keepLines w:val="0"/>
        <w:pageBreakBefore w:val="0"/>
        <w:widowControl w:val="0"/>
        <w:numPr>
          <w:ilvl w:val="0"/>
          <w:numId w:val="1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与本投标有关的一切正式信函请寄：</w:t>
      </w:r>
    </w:p>
    <w:p>
      <w:pPr>
        <w:spacing w:after="0" w:line="360" w:lineRule="auto"/>
        <w:rPr>
          <w:rFonts w:hint="eastAsia" w:ascii="宋体" w:hAnsi="宋体" w:eastAsia="宋体"/>
          <w:color w:val="auto"/>
          <w:sz w:val="21"/>
          <w:szCs w:val="21"/>
          <w:highlight w:val="none"/>
        </w:rPr>
      </w:pPr>
    </w:p>
    <w:p>
      <w:pPr>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邮箱</w:t>
      </w:r>
      <w:r>
        <w:rPr>
          <w:rFonts w:hint="eastAsia" w:ascii="宋体" w:hAnsi="宋体" w:eastAsia="宋体"/>
          <w:color w:val="auto"/>
          <w:sz w:val="21"/>
          <w:szCs w:val="21"/>
          <w:highlight w:val="none"/>
        </w:rPr>
        <w:t>：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电话/移动电话：　　　　　　　　　　　　　　　</w:t>
      </w:r>
    </w:p>
    <w:p>
      <w:pPr>
        <w:spacing w:after="0" w:line="360" w:lineRule="auto"/>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 xml:space="preserve">投标人代表签字： </w:t>
      </w:r>
      <w:r>
        <w:rPr>
          <w:rFonts w:hint="eastAsia" w:ascii="宋体" w:hAnsi="宋体" w:eastAsia="宋体"/>
          <w:color w:val="auto"/>
          <w:sz w:val="21"/>
          <w:szCs w:val="21"/>
          <w:highlight w:val="none"/>
          <w:lang w:val="en-US" w:eastAsia="zh-CN"/>
        </w:rPr>
        <w:t xml:space="preserve">                   </w:t>
      </w:r>
    </w:p>
    <w:p>
      <w:pPr>
        <w:spacing w:after="0" w:line="360" w:lineRule="auto"/>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eastAsia="zh-CN"/>
        </w:rPr>
        <w:t>投标人名称（加盖公章）</w:t>
      </w:r>
      <w:r>
        <w:rPr>
          <w:rFonts w:hint="eastAsia" w:ascii="宋体" w:hAnsi="宋体" w:eastAsia="宋体"/>
          <w:color w:val="auto"/>
          <w:sz w:val="21"/>
          <w:szCs w:val="21"/>
          <w:highlight w:val="none"/>
        </w:rPr>
        <w:t xml:space="preserve">：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adjustRightInd/>
        <w:snapToGrid/>
        <w:spacing w:line="276" w:lineRule="auto"/>
        <w:rPr>
          <w:color w:val="auto"/>
          <w:highlight w:val="none"/>
        </w:rPr>
      </w:pPr>
      <w:r>
        <w:rPr>
          <w:color w:val="auto"/>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5" w:name="_Toc28616"/>
      <w:bookmarkStart w:id="216" w:name="_Toc15719"/>
      <w:r>
        <w:rPr>
          <w:rFonts w:hint="eastAsia"/>
          <w:color w:val="auto"/>
          <w:highlight w:val="none"/>
          <w:lang w:val="en-US" w:eastAsia="zh-CN"/>
        </w:rPr>
        <w:t>二、资格申明函</w:t>
      </w:r>
      <w:bookmarkEnd w:id="215"/>
      <w:bookmarkEnd w:id="216"/>
    </w:p>
    <w:p>
      <w:pPr>
        <w:pStyle w:val="37"/>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lang w:val="en-US" w:eastAsia="zh-CN"/>
        </w:rPr>
        <w:t>致</w:t>
      </w:r>
      <w:r>
        <w:rPr>
          <w:rFonts w:hint="eastAsia" w:ascii="宋体" w:eastAsia="宋体"/>
          <w:color w:val="auto"/>
          <w:sz w:val="21"/>
          <w:szCs w:val="21"/>
          <w:highlight w:val="none"/>
          <w:lang w:eastAsia="zh-CN"/>
        </w:rPr>
        <w:t>广东政通招标有限公司</w:t>
      </w:r>
      <w:r>
        <w:rPr>
          <w:rFonts w:hint="eastAsia" w:ascii="宋体" w:eastAsia="宋体"/>
          <w:color w:val="auto"/>
          <w:sz w:val="21"/>
          <w:szCs w:val="21"/>
          <w:highlight w:val="none"/>
        </w:rPr>
        <w:t>：</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我方</w:t>
      </w:r>
      <w:r>
        <w:rPr>
          <w:rFonts w:ascii="宋体" w:hAnsi="宋体" w:eastAsia="宋体"/>
          <w:color w:val="auto"/>
          <w:sz w:val="21"/>
          <w:szCs w:val="21"/>
          <w:highlight w:val="none"/>
        </w:rPr>
        <w:t>愿响应</w:t>
      </w:r>
      <w:r>
        <w:rPr>
          <w:rFonts w:hint="eastAsia" w:ascii="宋体" w:hAnsi="宋体" w:eastAsia="宋体"/>
          <w:color w:val="auto"/>
          <w:sz w:val="21"/>
          <w:szCs w:val="21"/>
          <w:highlight w:val="none"/>
        </w:rPr>
        <w:t>贵</w:t>
      </w:r>
      <w:r>
        <w:rPr>
          <w:rFonts w:ascii="宋体" w:hAnsi="宋体" w:eastAsia="宋体"/>
          <w:color w:val="auto"/>
          <w:sz w:val="21"/>
          <w:szCs w:val="21"/>
          <w:highlight w:val="none"/>
        </w:rPr>
        <w:t>方</w:t>
      </w:r>
      <w:r>
        <w:rPr>
          <w:rFonts w:hint="eastAsia" w:ascii="宋体" w:hAnsi="宋体" w:eastAsia="宋体"/>
          <w:color w:val="auto"/>
          <w:sz w:val="21"/>
          <w:szCs w:val="21"/>
          <w:highlight w:val="none"/>
        </w:rPr>
        <w:t>关于（项目名称）</w:t>
      </w:r>
      <w:r>
        <w:rPr>
          <w:rFonts w:ascii="宋体" w:hAnsi="宋体" w:eastAsia="宋体"/>
          <w:color w:val="auto"/>
          <w:sz w:val="21"/>
          <w:szCs w:val="21"/>
          <w:highlight w:val="none"/>
        </w:rPr>
        <w:t>（</w:t>
      </w:r>
      <w:r>
        <w:rPr>
          <w:rFonts w:hint="eastAsia" w:ascii="宋体" w:hAnsi="宋体" w:eastAsia="宋体"/>
          <w:color w:val="auto"/>
          <w:sz w:val="21"/>
          <w:szCs w:val="21"/>
          <w:highlight w:val="none"/>
        </w:rPr>
        <w:t>采购项目编号</w:t>
      </w:r>
      <w:r>
        <w:rPr>
          <w:rFonts w:ascii="宋体" w:hAnsi="宋体" w:eastAsia="宋体"/>
          <w:color w:val="auto"/>
          <w:sz w:val="21"/>
          <w:szCs w:val="21"/>
          <w:highlight w:val="none"/>
        </w:rPr>
        <w:t>）</w:t>
      </w:r>
      <w:r>
        <w:rPr>
          <w:rFonts w:hint="eastAsia" w:ascii="宋体" w:hAnsi="宋体" w:eastAsia="宋体"/>
          <w:color w:val="auto"/>
          <w:sz w:val="21"/>
          <w:szCs w:val="21"/>
          <w:highlight w:val="none"/>
        </w:rPr>
        <w:t>的</w:t>
      </w:r>
      <w:r>
        <w:rPr>
          <w:rFonts w:ascii="宋体" w:hAnsi="宋体" w:eastAsia="宋体"/>
          <w:color w:val="auto"/>
          <w:sz w:val="21"/>
          <w:szCs w:val="21"/>
          <w:highlight w:val="none"/>
        </w:rPr>
        <w:t>投标邀请，参与投标，提供用户需求书中规定的</w:t>
      </w:r>
      <w:r>
        <w:rPr>
          <w:rFonts w:hint="eastAsia" w:ascii="宋体" w:hAnsi="宋体" w:eastAsia="宋体"/>
          <w:color w:val="auto"/>
          <w:sz w:val="21"/>
          <w:szCs w:val="21"/>
          <w:highlight w:val="none"/>
        </w:rPr>
        <w:t>货物及相关服务</w:t>
      </w:r>
      <w:r>
        <w:rPr>
          <w:rFonts w:ascii="宋体" w:hAnsi="宋体" w:eastAsia="宋体"/>
          <w:color w:val="auto"/>
          <w:sz w:val="21"/>
          <w:szCs w:val="21"/>
          <w:highlight w:val="none"/>
        </w:rPr>
        <w:t>，并按招标文件要求提交所附资格文件且声明和保证如下：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lang w:val="en-US" w:eastAsia="zh-CN"/>
        </w:rPr>
        <w:t>1</w:t>
      </w:r>
      <w:r>
        <w:rPr>
          <w:rFonts w:hint="eastAsia" w:ascii="宋体" w:hAnsi="宋体"/>
          <w:color w:val="auto"/>
          <w:szCs w:val="21"/>
          <w:highlight w:val="none"/>
        </w:rPr>
        <w:t>、我方具备投标人邀请中所要求得资格条件，已清楚招标文件所有要求及有关规定；并承诺参加本次采购活动中，如有违法、违规、弄虚作假行为，所造成的损失、不良后果及法律责任，一律由我方承担；</w:t>
      </w:r>
    </w:p>
    <w:p>
      <w:pPr>
        <w:ind w:firstLine="420" w:firstLineChars="200"/>
        <w:rPr>
          <w:rFonts w:ascii="宋体" w:hAnsi="宋体"/>
          <w:color w:val="auto"/>
          <w:szCs w:val="21"/>
          <w:highlight w:val="none"/>
        </w:rPr>
      </w:pP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ascii="宋体" w:hAnsi="宋体"/>
          <w:color w:val="auto"/>
          <w:szCs w:val="21"/>
          <w:highlight w:val="none"/>
        </w:rPr>
        <w:t>我方依法注册，在法律上、财务上和运作上完全独立于（</w:t>
      </w:r>
      <w:r>
        <w:rPr>
          <w:rFonts w:hint="eastAsia" w:ascii="宋体" w:hAnsi="宋体"/>
          <w:color w:val="auto"/>
          <w:szCs w:val="21"/>
          <w:highlight w:val="none"/>
          <w:lang w:val="en-US" w:eastAsia="zh-CN"/>
        </w:rPr>
        <w:t>采购人</w:t>
      </w:r>
      <w:r>
        <w:rPr>
          <w:rFonts w:ascii="宋体" w:hAnsi="宋体"/>
          <w:color w:val="auto"/>
          <w:szCs w:val="21"/>
          <w:highlight w:val="none"/>
        </w:rPr>
        <w:t>名称）（</w:t>
      </w:r>
      <w:r>
        <w:rPr>
          <w:rFonts w:hint="eastAsia" w:ascii="宋体" w:hAnsi="宋体"/>
          <w:color w:val="auto"/>
          <w:szCs w:val="21"/>
          <w:highlight w:val="none"/>
          <w:lang w:val="en-US" w:eastAsia="zh-CN"/>
        </w:rPr>
        <w:t>采购人</w:t>
      </w:r>
      <w:r>
        <w:rPr>
          <w:rFonts w:ascii="宋体" w:hAnsi="宋体"/>
          <w:color w:val="auto"/>
          <w:szCs w:val="21"/>
          <w:highlight w:val="none"/>
        </w:rPr>
        <w:t>）及</w:t>
      </w:r>
      <w:r>
        <w:rPr>
          <w:rFonts w:hint="eastAsia" w:ascii="宋体" w:hAnsi="宋体"/>
          <w:color w:val="auto"/>
          <w:szCs w:val="21"/>
          <w:highlight w:val="none"/>
        </w:rPr>
        <w:t>广东政通招标有限公司</w:t>
      </w:r>
      <w:r>
        <w:rPr>
          <w:rFonts w:ascii="宋体" w:hAnsi="宋体"/>
          <w:color w:val="auto"/>
          <w:szCs w:val="21"/>
          <w:highlight w:val="none"/>
        </w:rPr>
        <w:t>（采购代理机构）</w:t>
      </w:r>
      <w:r>
        <w:rPr>
          <w:rFonts w:hint="eastAsia" w:ascii="宋体" w:hAnsi="宋体"/>
          <w:color w:val="auto"/>
          <w:szCs w:val="21"/>
          <w:highlight w:val="none"/>
        </w:rPr>
        <w:t>。</w:t>
      </w:r>
    </w:p>
    <w:p>
      <w:pPr>
        <w:pStyle w:val="37"/>
        <w:spacing w:line="500" w:lineRule="atLeast"/>
        <w:ind w:firstLine="3517" w:firstLineChars="1675"/>
        <w:rPr>
          <w:rFonts w:ascii="宋体" w:eastAsia="宋体"/>
          <w:color w:val="auto"/>
          <w:sz w:val="21"/>
          <w:szCs w:val="21"/>
          <w:highlight w:val="none"/>
        </w:rPr>
      </w:pPr>
    </w:p>
    <w:p>
      <w:pPr>
        <w:pStyle w:val="37"/>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jc w:val="both"/>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color w:val="auto"/>
          <w:highlight w:val="none"/>
        </w:rPr>
      </w:pPr>
    </w:p>
    <w:p>
      <w:pPr>
        <w:pStyle w:val="22"/>
        <w:rPr>
          <w:color w:val="auto"/>
          <w:highlight w:val="none"/>
        </w:rPr>
      </w:pPr>
    </w:p>
    <w:p>
      <w:pPr>
        <w:pStyle w:val="19"/>
        <w:rPr>
          <w:color w:val="auto"/>
          <w:highlight w:val="none"/>
        </w:rPr>
      </w:pPr>
    </w:p>
    <w:p>
      <w:pPr>
        <w:rPr>
          <w:color w:val="auto"/>
          <w:highlight w:val="none"/>
        </w:rPr>
      </w:pPr>
    </w:p>
    <w:p>
      <w:pPr>
        <w:pStyle w:val="7"/>
        <w:rPr>
          <w:color w:val="auto"/>
          <w:highlight w:val="none"/>
        </w:rPr>
      </w:pPr>
    </w:p>
    <w:p>
      <w:pPr>
        <w:rPr>
          <w:color w:val="auto"/>
          <w:highlight w:val="none"/>
        </w:rPr>
      </w:pPr>
      <w:bookmarkStart w:id="217" w:name="_Toc16412"/>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8" w:name="_Toc21273"/>
      <w:bookmarkStart w:id="219" w:name="_Toc32742"/>
      <w:r>
        <w:rPr>
          <w:rFonts w:hint="eastAsia"/>
          <w:color w:val="auto"/>
          <w:highlight w:val="none"/>
          <w:lang w:val="en-US" w:eastAsia="zh-CN"/>
        </w:rPr>
        <w:t>三、在参与采购活动前三年未有重大违法记录、没有不良信用记录的声明函</w:t>
      </w:r>
      <w:bookmarkEnd w:id="218"/>
      <w:bookmarkEnd w:id="219"/>
    </w:p>
    <w:p>
      <w:pPr>
        <w:spacing w:after="0" w:line="360" w:lineRule="auto"/>
        <w:ind w:firstLine="420" w:firstLineChars="200"/>
        <w:rPr>
          <w:rFonts w:ascii="宋体" w:hAnsi="宋体" w:eastAsia="宋体" w:cs="宋体"/>
          <w:color w:val="auto"/>
          <w:sz w:val="21"/>
          <w:szCs w:val="21"/>
          <w:highlight w:val="none"/>
        </w:rPr>
      </w:pP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w:t>
      </w:r>
      <w:r>
        <w:rPr>
          <w:rFonts w:hint="eastAsia" w:ascii="宋体" w:hAnsi="宋体" w:eastAsia="宋体" w:cs="宋体"/>
          <w:color w:val="auto"/>
          <w:sz w:val="21"/>
          <w:szCs w:val="21"/>
          <w:highlight w:val="none"/>
          <w:lang w:eastAsia="zh-CN"/>
        </w:rPr>
        <w:t>广东政通招标有限公司</w:t>
      </w:r>
      <w:r>
        <w:rPr>
          <w:rFonts w:hint="eastAsia" w:ascii="宋体" w:hAnsi="宋体" w:eastAsia="宋体" w:cs="宋体"/>
          <w:color w:val="auto"/>
          <w:sz w:val="21"/>
          <w:szCs w:val="21"/>
          <w:highlight w:val="none"/>
        </w:rPr>
        <w:t>：</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我公司郑重承诺：在参加“</w:t>
      </w:r>
      <w:r>
        <w:rPr>
          <w:rFonts w:hint="eastAsia" w:ascii="宋体" w:hAnsi="宋体" w:eastAsia="宋体" w:cs="宋体"/>
          <w:color w:val="auto"/>
          <w:sz w:val="21"/>
          <w:szCs w:val="21"/>
          <w:highlight w:val="none"/>
          <w:u w:val="single"/>
        </w:rPr>
        <w:t>（采购项目名称）</w:t>
      </w:r>
      <w:r>
        <w:rPr>
          <w:rFonts w:hint="eastAsia" w:ascii="宋体" w:hAnsi="宋体" w:eastAsia="宋体" w:cs="宋体"/>
          <w:color w:val="auto"/>
          <w:sz w:val="21"/>
          <w:szCs w:val="21"/>
          <w:highlight w:val="none"/>
        </w:rPr>
        <w:t>” （项目编号: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w:t>
      </w:r>
      <w:r>
        <w:rPr>
          <w:rFonts w:hint="eastAsia" w:ascii="宋体" w:hAnsi="宋体" w:cs="宋体"/>
          <w:color w:val="auto"/>
          <w:sz w:val="21"/>
          <w:szCs w:val="21"/>
          <w:highlight w:val="none"/>
          <w:lang w:eastAsia="zh-CN"/>
        </w:rPr>
        <w:t>税收违法黑名单</w:t>
      </w:r>
      <w:r>
        <w:rPr>
          <w:rFonts w:hint="eastAsia" w:ascii="宋体" w:hAnsi="宋体" w:eastAsia="宋体" w:cs="宋体"/>
          <w:color w:val="auto"/>
          <w:sz w:val="21"/>
          <w:szCs w:val="21"/>
          <w:highlight w:val="none"/>
        </w:rPr>
        <w:t>、政府采购严重违法失信行为记录名单。</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color w:val="auto"/>
          <w:sz w:val="21"/>
          <w:szCs w:val="21"/>
          <w:highlight w:val="none"/>
        </w:rPr>
      </w:pPr>
    </w:p>
    <w:p>
      <w:pPr>
        <w:spacing w:after="0" w:line="360" w:lineRule="auto"/>
        <w:rPr>
          <w:rFonts w:ascii="宋体" w:hAnsi="宋体" w:eastAsia="宋体" w:cs="宋体"/>
          <w:color w:val="auto"/>
          <w:sz w:val="21"/>
          <w:szCs w:val="21"/>
          <w:highlight w:val="none"/>
        </w:rPr>
      </w:pP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投标人名称（加盖公章）</w:t>
      </w:r>
      <w:r>
        <w:rPr>
          <w:rFonts w:hint="eastAsia" w:ascii="宋体" w:hAnsi="宋体" w:eastAsia="宋体" w:cs="宋体"/>
          <w:color w:val="auto"/>
          <w:sz w:val="21"/>
          <w:szCs w:val="21"/>
          <w:highlight w:val="none"/>
        </w:rPr>
        <w:t>：</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17"/>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0" w:name="_Toc13243"/>
      <w:bookmarkStart w:id="221" w:name="_Toc3894"/>
      <w:r>
        <w:rPr>
          <w:rFonts w:hint="eastAsia"/>
          <w:color w:val="auto"/>
          <w:highlight w:val="none"/>
          <w:lang w:val="en-US" w:eastAsia="zh-CN"/>
        </w:rPr>
        <w:t>四、法定代表人证明书</w:t>
      </w:r>
      <w:bookmarkEnd w:id="220"/>
      <w:bookmarkEnd w:id="221"/>
    </w:p>
    <w:p>
      <w:pPr>
        <w:pStyle w:val="37"/>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7"/>
        <w:spacing w:line="420" w:lineRule="atLeast"/>
        <w:ind w:firstLine="433"/>
        <w:rPr>
          <w:rFonts w:ascii="宋体" w:eastAsia="宋体"/>
          <w:color w:val="auto"/>
          <w:sz w:val="21"/>
          <w:szCs w:val="21"/>
          <w:highlight w:val="none"/>
        </w:rPr>
      </w:pPr>
    </w:p>
    <w:p>
      <w:pPr>
        <w:pStyle w:val="37"/>
        <w:spacing w:line="360" w:lineRule="auto"/>
        <w:ind w:firstLine="420" w:firstLineChars="200"/>
        <w:rPr>
          <w:rFonts w:hint="eastAsia"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特此证明。</w:t>
      </w:r>
    </w:p>
    <w:p>
      <w:pPr>
        <w:pStyle w:val="37"/>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ind w:firstLine="420" w:firstLineChars="200"/>
        <w:rPr>
          <w:rFonts w:ascii="宋体" w:hAnsi="宋体" w:eastAsia="宋体"/>
          <w:color w:val="auto"/>
          <w:sz w:val="21"/>
          <w:szCs w:val="21"/>
          <w:highlight w:val="none"/>
        </w:rPr>
      </w:pPr>
    </w:p>
    <w:p>
      <w:pPr>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w:t>
      </w:r>
      <w:r>
        <w:rPr>
          <w:rFonts w:hint="eastAsia" w:ascii="宋体" w:hAnsi="宋体" w:eastAsia="宋体"/>
          <w:color w:val="auto"/>
          <w:sz w:val="21"/>
          <w:szCs w:val="21"/>
          <w:highlight w:val="none"/>
        </w:rPr>
        <w:t>附法人代表身份证复印件。</w:t>
      </w:r>
    </w:p>
    <w:tbl>
      <w:tblPr>
        <w:tblStyle w:val="23"/>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7"/>
              <w:spacing w:line="460" w:lineRule="exact"/>
              <w:ind w:firstLine="0" w:firstLineChars="0"/>
              <w:jc w:val="center"/>
              <w:rPr>
                <w:rFonts w:ascii="宋体" w:eastAsia="宋体"/>
                <w:color w:val="auto"/>
                <w:sz w:val="22"/>
                <w:highlight w:val="none"/>
              </w:rPr>
            </w:pPr>
            <w:r>
              <w:rPr>
                <w:rFonts w:hint="eastAsia" w:ascii="宋体" w:hAnsi="宋体" w:eastAsia="宋体"/>
                <w:color w:val="auto"/>
                <w:sz w:val="21"/>
                <w:szCs w:val="21"/>
                <w:highlight w:val="none"/>
              </w:rPr>
              <w:t>法人代表身份证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2" w:name="_Toc5918"/>
      <w:bookmarkStart w:id="223" w:name="_Toc5626"/>
      <w:r>
        <w:rPr>
          <w:rFonts w:hint="eastAsia"/>
          <w:color w:val="auto"/>
          <w:highlight w:val="none"/>
          <w:lang w:val="en-US" w:eastAsia="zh-CN"/>
        </w:rPr>
        <w:t>五、法定代表人授权书</w:t>
      </w:r>
      <w:bookmarkEnd w:id="222"/>
      <w:bookmarkEnd w:id="223"/>
    </w:p>
    <w:p>
      <w:pPr>
        <w:pStyle w:val="37"/>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7"/>
        <w:spacing w:line="420" w:lineRule="atLeast"/>
        <w:ind w:firstLine="433"/>
        <w:rPr>
          <w:rFonts w:ascii="宋体" w:eastAsia="宋体"/>
          <w:color w:val="auto"/>
          <w:sz w:val="21"/>
          <w:szCs w:val="21"/>
          <w:highlight w:val="none"/>
        </w:rPr>
      </w:pP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本授权书声明：本人</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系</w:t>
      </w:r>
      <w:r>
        <w:rPr>
          <w:rFonts w:hint="eastAsia" w:ascii="宋体" w:hAnsi="宋体" w:eastAsia="宋体" w:cs="Times New Roman"/>
          <w:color w:val="auto"/>
          <w:sz w:val="21"/>
          <w:szCs w:val="21"/>
          <w:highlight w:val="none"/>
          <w:u w:val="single"/>
        </w:rPr>
        <w:t xml:space="preserve">     （投标人名称）    </w:t>
      </w:r>
      <w:r>
        <w:rPr>
          <w:rFonts w:hint="eastAsia" w:ascii="宋体" w:hAnsi="宋体" w:eastAsia="宋体" w:cs="Times New Roman"/>
          <w:color w:val="auto"/>
          <w:sz w:val="21"/>
          <w:szCs w:val="21"/>
          <w:highlight w:val="none"/>
        </w:rPr>
        <w:t>的法定代表人，现委托</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为我方合法代理人。代理人根据授权，以我方名义签署、澄清、说明、补正、递交、撤回、修改</w:t>
      </w:r>
      <w:r>
        <w:rPr>
          <w:rFonts w:hint="eastAsia" w:ascii="宋体" w:hAnsi="宋体" w:eastAsia="宋体" w:cs="Times New Roman"/>
          <w:color w:val="auto"/>
          <w:sz w:val="21"/>
          <w:szCs w:val="21"/>
          <w:highlight w:val="none"/>
          <w:u w:val="single"/>
        </w:rPr>
        <w:t xml:space="preserve"> （项目名称）</w:t>
      </w:r>
      <w:r>
        <w:rPr>
          <w:rFonts w:hint="eastAsia" w:ascii="宋体" w:hAnsi="宋体" w:eastAsia="宋体" w:cs="Times New Roman"/>
          <w:color w:val="auto"/>
          <w:sz w:val="21"/>
          <w:szCs w:val="21"/>
          <w:highlight w:val="none"/>
        </w:rPr>
        <w:t>（项目编号：</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）投标文件、签订合同和处理有关事宜，其法律后果由我方承担。</w:t>
      </w:r>
    </w:p>
    <w:p>
      <w:pPr>
        <w:spacing w:after="0" w:line="360" w:lineRule="auto"/>
        <w:ind w:firstLine="315" w:firstLineChars="15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本授权书于</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年</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月</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日签字生效，特此声明。</w:t>
      </w:r>
    </w:p>
    <w:p>
      <w:pPr>
        <w:pStyle w:val="37"/>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val="en-US" w:eastAsia="zh-CN"/>
        </w:rPr>
        <w:t>联系方式</w:t>
      </w:r>
      <w:r>
        <w:rPr>
          <w:rFonts w:hint="eastAsia"/>
          <w:color w:val="auto"/>
          <w:highlight w:val="none"/>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pStyle w:val="37"/>
        <w:spacing w:line="460" w:lineRule="exact"/>
        <w:ind w:firstLine="433"/>
        <w:rPr>
          <w:rFonts w:ascii="宋体" w:eastAsia="宋体"/>
          <w:color w:val="auto"/>
          <w:sz w:val="21"/>
          <w:szCs w:val="21"/>
          <w:highlight w:val="none"/>
        </w:rPr>
      </w:pPr>
    </w:p>
    <w:p>
      <w:pPr>
        <w:ind w:firstLine="420" w:firstLineChars="200"/>
        <w:rPr>
          <w:rFonts w:eastAsia="宋体"/>
          <w:color w:val="auto"/>
          <w:highlight w:val="none"/>
        </w:rPr>
      </w:pPr>
      <w:r>
        <w:rPr>
          <w:rFonts w:hint="eastAsia" w:ascii="宋体" w:hAnsi="宋体" w:eastAsia="宋体"/>
          <w:color w:val="auto"/>
          <w:sz w:val="21"/>
          <w:szCs w:val="21"/>
          <w:highlight w:val="none"/>
          <w:lang w:val="en-US" w:eastAsia="zh-CN"/>
        </w:rPr>
        <w:t>注：须附</w:t>
      </w:r>
      <w:r>
        <w:rPr>
          <w:rFonts w:hint="eastAsia" w:ascii="宋体" w:hAnsi="宋体" w:eastAsia="宋体"/>
          <w:color w:val="auto"/>
          <w:sz w:val="21"/>
          <w:szCs w:val="21"/>
          <w:highlight w:val="none"/>
        </w:rPr>
        <w:t>被授权人身份证复印件。</w:t>
      </w:r>
    </w:p>
    <w:tbl>
      <w:tblPr>
        <w:tblStyle w:val="23"/>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eastAsia="宋体"/>
                <w:color w:val="auto"/>
                <w:sz w:val="22"/>
                <w:highlight w:val="none"/>
              </w:rPr>
            </w:pPr>
            <w:bookmarkStart w:id="224" w:name="_Toc22486"/>
            <w:r>
              <w:rPr>
                <w:rFonts w:hint="eastAsia" w:ascii="宋体" w:hAnsi="宋体" w:eastAsia="宋体"/>
                <w:color w:val="auto"/>
                <w:sz w:val="21"/>
                <w:szCs w:val="21"/>
                <w:highlight w:val="none"/>
              </w:rPr>
              <w:t>被授权人身份证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adjustRightInd/>
        <w:snapToGrid/>
        <w:spacing w:line="276" w:lineRule="auto"/>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r>
        <w:rPr>
          <w:rFonts w:hint="eastAsia" w:asci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25" w:name="_Toc24013"/>
      <w:bookmarkStart w:id="226" w:name="_Toc18562"/>
      <w:r>
        <w:rPr>
          <w:rFonts w:hint="eastAsia"/>
          <w:color w:val="auto"/>
          <w:highlight w:val="none"/>
          <w:lang w:val="en-US" w:eastAsia="zh-CN"/>
        </w:rPr>
        <w:t>六、投标人基本情况说明</w:t>
      </w:r>
      <w:bookmarkEnd w:id="225"/>
      <w:bookmarkEnd w:id="226"/>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一、投标人基本情况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1、投标人名称：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5、投标人开户银行名称及账号：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7、投标人简介: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pStyle w:val="7"/>
        <w:rPr>
          <w:rFonts w:hint="eastAsia" w:ascii="宋体" w:hAnsi="宋体" w:eastAsia="宋体" w:cs="宋体"/>
          <w:b/>
          <w:color w:val="auto"/>
          <w:sz w:val="21"/>
          <w:szCs w:val="21"/>
          <w:highlight w:val="none"/>
        </w:rPr>
      </w:pPr>
    </w:p>
    <w:p>
      <w:pPr>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color w:val="auto"/>
          <w:highlight w:val="none"/>
        </w:rPr>
      </w:pPr>
      <w:bookmarkStart w:id="227" w:name="_Toc4926"/>
      <w:bookmarkStart w:id="228" w:name="_Toc5919"/>
      <w:bookmarkStart w:id="229" w:name="_Toc24210"/>
      <w:bookmarkStart w:id="230" w:name="_Toc29995"/>
      <w:bookmarkStart w:id="231" w:name="_Toc1511"/>
      <w:bookmarkStart w:id="232" w:name="_Toc17470"/>
      <w:bookmarkStart w:id="233" w:name="_Toc28067"/>
      <w:r>
        <w:rPr>
          <w:rFonts w:hint="eastAsia"/>
          <w:color w:val="auto"/>
          <w:highlight w:val="none"/>
          <w:lang w:val="en-US" w:eastAsia="zh-CN"/>
        </w:rPr>
        <w:t>七、</w:t>
      </w:r>
      <w:r>
        <w:rPr>
          <w:rFonts w:hint="eastAsia"/>
          <w:color w:val="auto"/>
          <w:highlight w:val="none"/>
        </w:rPr>
        <w:t>营业执照</w:t>
      </w:r>
      <w:bookmarkEnd w:id="227"/>
      <w:bookmarkEnd w:id="228"/>
      <w:bookmarkEnd w:id="229"/>
      <w:bookmarkEnd w:id="230"/>
      <w:bookmarkEnd w:id="231"/>
      <w:bookmarkEnd w:id="232"/>
      <w:bookmarkEnd w:id="233"/>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rPr>
      </w:pPr>
      <w:r>
        <w:rPr>
          <w:rFonts w:hint="eastAsia"/>
          <w:color w:val="auto"/>
          <w:highlight w:val="none"/>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224"/>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34" w:name="_Toc21638"/>
      <w:bookmarkStart w:id="235" w:name="_Toc29439"/>
      <w:r>
        <w:rPr>
          <w:rFonts w:hint="eastAsia"/>
          <w:color w:val="auto"/>
          <w:highlight w:val="none"/>
          <w:lang w:val="en-US" w:eastAsia="zh-CN"/>
        </w:rPr>
        <w:t>八、</w:t>
      </w:r>
      <w:r>
        <w:rPr>
          <w:rFonts w:hint="eastAsia"/>
          <w:color w:val="auto"/>
          <w:highlight w:val="none"/>
        </w:rPr>
        <w:t>特殊资格要求证明文件</w:t>
      </w:r>
      <w:bookmarkEnd w:id="234"/>
      <w:bookmarkEnd w:id="235"/>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若采购项目对供应商资格无特殊要求，可删除本格式。</w:t>
      </w: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36" w:name="_Toc23341"/>
      <w:bookmarkStart w:id="237" w:name="_Toc14263"/>
      <w:r>
        <w:rPr>
          <w:rFonts w:hint="eastAsia"/>
          <w:color w:val="auto"/>
          <w:highlight w:val="none"/>
          <w:lang w:val="en-US" w:eastAsia="zh-CN"/>
        </w:rPr>
        <w:t>九、</w:t>
      </w:r>
      <w:r>
        <w:rPr>
          <w:rFonts w:hint="eastAsia"/>
          <w:color w:val="auto"/>
          <w:highlight w:val="none"/>
        </w:rPr>
        <w:t>承诺书</w:t>
      </w:r>
      <w:bookmarkEnd w:id="236"/>
      <w:bookmarkEnd w:id="237"/>
    </w:p>
    <w:p>
      <w:pPr>
        <w:pStyle w:val="37"/>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7"/>
        <w:spacing w:line="420" w:lineRule="exact"/>
        <w:ind w:firstLine="455"/>
        <w:rPr>
          <w:rFonts w:hint="eastAsia" w:ascii="宋体" w:hAnsi="宋体" w:eastAsia="宋体" w:cs="宋体"/>
          <w:b w:val="0"/>
          <w:bCs w:val="0"/>
          <w:color w:val="auto"/>
          <w:sz w:val="21"/>
          <w:szCs w:val="21"/>
          <w:highlight w:val="none"/>
        </w:rPr>
      </w:pPr>
      <w:bookmarkStart w:id="238"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（项目名称）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238"/>
      <w:r>
        <w:rPr>
          <w:rFonts w:hint="eastAsia" w:ascii="宋体" w:hAnsi="宋体" w:eastAsia="宋体" w:cs="宋体"/>
          <w:b w:val="0"/>
          <w:bCs w:val="0"/>
          <w:color w:val="auto"/>
          <w:sz w:val="21"/>
          <w:szCs w:val="21"/>
          <w:highlight w:val="none"/>
        </w:rPr>
        <w:cr/>
      </w:r>
    </w:p>
    <w:p>
      <w:pPr>
        <w:pStyle w:val="37"/>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9" w:name="_Toc13653"/>
      <w:bookmarkStart w:id="240" w:name="_Toc13955"/>
      <w:r>
        <w:rPr>
          <w:rFonts w:hint="eastAsia"/>
          <w:color w:val="auto"/>
          <w:highlight w:val="none"/>
          <w:lang w:val="en-US" w:eastAsia="zh-CN"/>
        </w:rPr>
        <w:t>十、招标代理服务费承诺书</w:t>
      </w:r>
      <w:bookmarkEnd w:id="239"/>
      <w:bookmarkEnd w:id="240"/>
    </w:p>
    <w:p>
      <w:pPr>
        <w:pStyle w:val="37"/>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pStyle w:val="9"/>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我公司</w:t>
      </w:r>
      <w:r>
        <w:rPr>
          <w:rFonts w:hint="eastAsia" w:ascii="宋体" w:hAnsi="宋体" w:eastAsia="宋体" w:cs="宋体"/>
          <w:b w:val="0"/>
          <w:bCs w:val="0"/>
          <w:color w:val="auto"/>
          <w:sz w:val="21"/>
          <w:szCs w:val="21"/>
          <w:highlight w:val="none"/>
          <w:u w:val="single"/>
        </w:rPr>
        <w:t xml:space="preserve">   （投标人名称）   </w:t>
      </w:r>
      <w:r>
        <w:rPr>
          <w:rFonts w:hint="eastAsia" w:ascii="宋体" w:hAnsi="宋体" w:eastAsia="宋体" w:cs="宋体"/>
          <w:b w:val="0"/>
          <w:bCs w:val="0"/>
          <w:color w:val="auto"/>
          <w:sz w:val="21"/>
          <w:szCs w:val="21"/>
          <w:highlight w:val="none"/>
        </w:rPr>
        <w:t>在参加贵司进行的</w:t>
      </w:r>
      <w:r>
        <w:rPr>
          <w:rFonts w:hint="eastAsia" w:ascii="宋体" w:hAnsi="宋体" w:eastAsia="宋体" w:cs="宋体"/>
          <w:b w:val="0"/>
          <w:bCs w:val="0"/>
          <w:color w:val="auto"/>
          <w:sz w:val="21"/>
          <w:szCs w:val="21"/>
          <w:highlight w:val="none"/>
          <w:u w:val="single"/>
        </w:rPr>
        <w:t xml:space="preserve">   （项目名称）  （项目编号：      ）（包号：  ）</w:t>
      </w:r>
      <w:r>
        <w:rPr>
          <w:rFonts w:hint="eastAsia" w:ascii="宋体" w:hAnsi="宋体" w:eastAsia="宋体" w:cs="宋体"/>
          <w:b w:val="0"/>
          <w:bCs w:val="0"/>
          <w:color w:val="auto"/>
          <w:sz w:val="21"/>
          <w:szCs w:val="21"/>
          <w:highlight w:val="none"/>
        </w:rPr>
        <w:t>招标中如获中标，我公司承诺</w:t>
      </w:r>
      <w:r>
        <w:rPr>
          <w:rFonts w:hint="eastAsia" w:ascii="宋体" w:hAnsi="宋体" w:eastAsia="宋体" w:cs="宋体"/>
          <w:b w:val="0"/>
          <w:bCs w:val="0"/>
          <w:color w:val="auto"/>
          <w:sz w:val="21"/>
          <w:szCs w:val="21"/>
          <w:highlight w:val="none"/>
          <w:lang w:val="en-US" w:eastAsia="zh-CN"/>
        </w:rPr>
        <w:t>在</w:t>
      </w:r>
      <w:r>
        <w:rPr>
          <w:rFonts w:hint="eastAsia" w:ascii="宋体" w:hAnsi="宋体" w:eastAsia="宋体" w:cs="宋体"/>
          <w:b w:val="0"/>
          <w:bCs w:val="0"/>
          <w:color w:val="auto"/>
          <w:sz w:val="21"/>
          <w:szCs w:val="21"/>
          <w:highlight w:val="none"/>
        </w:rPr>
        <w:t>本项目“采购结果公告”发布之日起15日内，向贵司一次性交纳招标代理服务费。</w:t>
      </w:r>
    </w:p>
    <w:p>
      <w:pPr>
        <w:bidi w:val="0"/>
        <w:ind w:firstLine="420" w:firstLineChars="200"/>
        <w:rPr>
          <w:rFonts w:hint="eastAsia"/>
          <w:color w:val="auto"/>
          <w:highlight w:val="none"/>
          <w:lang w:eastAsia="zh-CN"/>
        </w:rPr>
      </w:pPr>
      <w:r>
        <w:rPr>
          <w:rFonts w:hint="eastAsia"/>
          <w:color w:val="auto"/>
          <w:highlight w:val="none"/>
        </w:rPr>
        <w:t>特此承诺</w:t>
      </w:r>
      <w:r>
        <w:rPr>
          <w:rFonts w:hint="eastAsia"/>
          <w:color w:val="auto"/>
          <w:highlight w:val="none"/>
          <w:lang w:eastAsia="zh-CN"/>
        </w:rPr>
        <w:t>。</w:t>
      </w:r>
    </w:p>
    <w:p>
      <w:pPr>
        <w:jc w:val="center"/>
        <w:rPr>
          <w:rFonts w:hint="eastAsia" w:ascii="宋体" w:hAnsi="宋体" w:eastAsia="宋体" w:cs="宋体"/>
          <w:b w:val="0"/>
          <w:bCs w:val="0"/>
          <w:color w:val="auto"/>
          <w:sz w:val="21"/>
          <w:szCs w:val="21"/>
          <w:highlight w:val="none"/>
        </w:rPr>
      </w:pPr>
    </w:p>
    <w:p>
      <w:pPr>
        <w:bidi w:val="0"/>
        <w:rPr>
          <w:rFonts w:hint="eastAsia"/>
          <w:color w:val="auto"/>
          <w:highlight w:val="none"/>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41" w:name="_Toc1975"/>
      <w:bookmarkStart w:id="242" w:name="_Toc12598"/>
      <w:r>
        <w:rPr>
          <w:rFonts w:hint="eastAsia"/>
          <w:color w:val="auto"/>
          <w:highlight w:val="none"/>
          <w:lang w:val="en-US" w:eastAsia="zh-CN"/>
        </w:rPr>
        <w:t>十一、</w:t>
      </w:r>
      <w:r>
        <w:rPr>
          <w:rFonts w:hint="eastAsia"/>
          <w:color w:val="auto"/>
          <w:highlight w:val="none"/>
        </w:rPr>
        <w:t>商务条款偏离表</w:t>
      </w:r>
      <w:bookmarkEnd w:id="241"/>
      <w:bookmarkEnd w:id="242"/>
    </w:p>
    <w:tbl>
      <w:tblPr>
        <w:tblStyle w:val="23"/>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59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商务条款</w:t>
            </w:r>
            <w:r>
              <w:rPr>
                <w:rFonts w:hint="eastAsia" w:ascii="宋体" w:hAnsi="宋体" w:eastAsia="宋体"/>
                <w:color w:val="auto"/>
                <w:sz w:val="21"/>
                <w:szCs w:val="21"/>
                <w:highlight w:val="none"/>
              </w:rPr>
              <w:t>名称</w:t>
            </w:r>
          </w:p>
        </w:tc>
        <w:tc>
          <w:tcPr>
            <w:tcW w:w="1755"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招标</w:t>
            </w:r>
            <w:r>
              <w:rPr>
                <w:rFonts w:hint="eastAsia" w:ascii="宋体" w:hAnsi="宋体" w:eastAsia="宋体"/>
                <w:color w:val="auto"/>
                <w:sz w:val="21"/>
                <w:szCs w:val="21"/>
                <w:highlight w:val="none"/>
                <w:lang w:val="en-US" w:eastAsia="zh-CN"/>
              </w:rPr>
              <w:t>文件</w:t>
            </w:r>
            <w:r>
              <w:rPr>
                <w:rFonts w:hint="eastAsia" w:ascii="宋体" w:hAnsi="宋体" w:eastAsia="宋体"/>
                <w:color w:val="auto"/>
                <w:sz w:val="21"/>
                <w:szCs w:val="21"/>
                <w:highlight w:val="none"/>
              </w:rPr>
              <w:t>要求</w:t>
            </w:r>
          </w:p>
        </w:tc>
        <w:tc>
          <w:tcPr>
            <w:tcW w:w="192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投标实际响应</w:t>
            </w:r>
          </w:p>
        </w:tc>
        <w:tc>
          <w:tcPr>
            <w:tcW w:w="1412" w:type="dxa"/>
            <w:tcBorders>
              <w:tl2br w:val="nil"/>
              <w:tr2bl w:val="nil"/>
            </w:tcBorders>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偏离</w:t>
            </w:r>
            <w:r>
              <w:rPr>
                <w:rFonts w:hint="eastAsia" w:ascii="宋体" w:hAnsi="宋体" w:eastAsia="宋体"/>
                <w:color w:val="auto"/>
                <w:sz w:val="21"/>
                <w:szCs w:val="21"/>
                <w:highlight w:val="none"/>
                <w:lang w:val="en-US" w:eastAsia="zh-CN"/>
              </w:rPr>
              <w:t>情况</w:t>
            </w:r>
          </w:p>
        </w:tc>
        <w:tc>
          <w:tcPr>
            <w:tcW w:w="867"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1、投标人应对照招标文件商务要求，在“偏离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”，逐条说明已对招标文件的商务内容做出了实质性的响应，并申明与招标文件的偏差和例外。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2、商务条款包括但不限于合格投标人资格、</w:t>
      </w:r>
      <w:r>
        <w:rPr>
          <w:rFonts w:hint="eastAsia" w:ascii="宋体" w:hAnsi="宋体" w:eastAsia="宋体"/>
          <w:color w:val="auto"/>
          <w:sz w:val="21"/>
          <w:szCs w:val="21"/>
          <w:highlight w:val="none"/>
          <w:lang w:val="en-US" w:eastAsia="zh-CN"/>
        </w:rPr>
        <w:t>合同期限、</w:t>
      </w:r>
      <w:r>
        <w:rPr>
          <w:rFonts w:hint="eastAsia" w:ascii="宋体" w:hAnsi="宋体" w:eastAsia="宋体"/>
          <w:color w:val="auto"/>
          <w:sz w:val="21"/>
          <w:szCs w:val="21"/>
          <w:highlight w:val="none"/>
        </w:rPr>
        <w:t>付款方式、</w:t>
      </w:r>
      <w:r>
        <w:rPr>
          <w:rFonts w:hint="eastAsia" w:ascii="宋体" w:hAnsi="宋体" w:eastAsia="宋体"/>
          <w:color w:val="auto"/>
          <w:sz w:val="21"/>
          <w:szCs w:val="21"/>
          <w:highlight w:val="none"/>
          <w:lang w:val="en-US" w:eastAsia="zh-CN"/>
        </w:rPr>
        <w:t>报价要求、</w:t>
      </w:r>
      <w:r>
        <w:rPr>
          <w:rFonts w:hint="eastAsia" w:ascii="宋体" w:hAnsi="宋体" w:eastAsia="宋体"/>
          <w:color w:val="auto"/>
          <w:sz w:val="21"/>
          <w:szCs w:val="21"/>
          <w:highlight w:val="none"/>
        </w:rPr>
        <w:t>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rFonts w:hint="eastAsia"/>
          <w:color w:val="auto"/>
          <w:highlight w:val="none"/>
        </w:rPr>
      </w:pPr>
      <w:r>
        <w:rPr>
          <w:color w:val="auto"/>
          <w:highlight w:val="none"/>
        </w:rPr>
        <w:br w:type="page"/>
      </w:r>
      <w:bookmarkStart w:id="243" w:name="_Toc32183"/>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44" w:name="_Toc25391"/>
      <w:bookmarkStart w:id="245" w:name="_Toc19276"/>
      <w:r>
        <w:rPr>
          <w:rFonts w:hint="eastAsia"/>
          <w:color w:val="auto"/>
          <w:highlight w:val="none"/>
          <w:lang w:val="en-US" w:eastAsia="zh-CN"/>
        </w:rPr>
        <w:t>十二、</w:t>
      </w:r>
      <w:r>
        <w:rPr>
          <w:rFonts w:hint="eastAsia"/>
          <w:color w:val="auto"/>
          <w:highlight w:val="none"/>
        </w:rPr>
        <w:t>业绩表</w:t>
      </w:r>
      <w:bookmarkEnd w:id="244"/>
      <w:bookmarkEnd w:id="245"/>
    </w:p>
    <w:tbl>
      <w:tblPr>
        <w:tblStyle w:val="23"/>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4"/>
        <w:spacing w:after="0"/>
        <w:rPr>
          <w:rFonts w:ascii="宋体" w:hAnsi="宋体" w:eastAsia="宋体"/>
          <w:color w:val="auto"/>
          <w:sz w:val="21"/>
          <w:szCs w:val="21"/>
          <w:highlight w:val="none"/>
        </w:rPr>
      </w:pPr>
    </w:p>
    <w:p>
      <w:pPr>
        <w:pStyle w:val="34"/>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须提供须提供证明资料，</w:t>
      </w:r>
      <w:r>
        <w:rPr>
          <w:rFonts w:hint="eastAsia" w:ascii="宋体" w:hAnsi="宋体" w:eastAsia="宋体"/>
          <w:color w:val="auto"/>
          <w:sz w:val="21"/>
          <w:szCs w:val="21"/>
          <w:highlight w:val="none"/>
        </w:rPr>
        <w:t>业绩表所列出的材料应为真实准确的，并应提供相关证明材料复印件加盖公章。</w:t>
      </w: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7"/>
        <w:rPr>
          <w:rFonts w:hint="eastAsia"/>
          <w:color w:val="auto"/>
          <w:highlight w:val="none"/>
        </w:rPr>
      </w:pPr>
    </w:p>
    <w:p>
      <w:pPr>
        <w:pStyle w:val="7"/>
        <w:ind w:left="0" w:leftChars="0" w:firstLine="0" w:firstLineChars="0"/>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highlight w:val="none"/>
        </w:rPr>
      </w:pPr>
      <w:bookmarkStart w:id="246" w:name="_Toc14688"/>
      <w:bookmarkStart w:id="247" w:name="_Toc20520"/>
      <w:r>
        <w:rPr>
          <w:rFonts w:hint="eastAsia"/>
          <w:color w:val="auto"/>
          <w:highlight w:val="none"/>
          <w:lang w:val="en-US" w:eastAsia="zh-CN"/>
        </w:rPr>
        <w:t>第三章技术文件</w:t>
      </w:r>
      <w:bookmarkEnd w:id="243"/>
      <w:bookmarkEnd w:id="246"/>
      <w:bookmarkEnd w:id="247"/>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48" w:name="_Toc7092"/>
      <w:bookmarkStart w:id="249" w:name="_Toc13097"/>
      <w:r>
        <w:rPr>
          <w:rFonts w:hint="eastAsia"/>
          <w:color w:val="auto"/>
          <w:highlight w:val="none"/>
          <w:lang w:val="en-US" w:eastAsia="zh-CN"/>
        </w:rPr>
        <w:t>一、</w:t>
      </w:r>
      <w:r>
        <w:rPr>
          <w:rFonts w:hint="eastAsia"/>
          <w:color w:val="auto"/>
          <w:highlight w:val="none"/>
        </w:rPr>
        <w:t>技术规格偏离表</w:t>
      </w:r>
      <w:bookmarkEnd w:id="248"/>
      <w:bookmarkEnd w:id="249"/>
    </w:p>
    <w:tbl>
      <w:tblPr>
        <w:tblStyle w:val="23"/>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23"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技术规格</w:t>
            </w:r>
          </w:p>
        </w:tc>
        <w:tc>
          <w:tcPr>
            <w:tcW w:w="1815"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w:t>
            </w:r>
            <w:r>
              <w:rPr>
                <w:rFonts w:hint="eastAsia" w:ascii="宋体" w:hAnsi="宋体" w:eastAsia="宋体" w:cs="宋体"/>
                <w:color w:val="auto"/>
                <w:sz w:val="21"/>
                <w:szCs w:val="21"/>
                <w:highlight w:val="none"/>
                <w:lang w:val="en-US" w:eastAsia="zh-CN"/>
              </w:rPr>
              <w:t>文件</w:t>
            </w:r>
            <w:r>
              <w:rPr>
                <w:rFonts w:hint="eastAsia" w:ascii="宋体" w:hAnsi="宋体" w:eastAsia="宋体" w:cs="宋体"/>
                <w:color w:val="auto"/>
                <w:sz w:val="21"/>
                <w:szCs w:val="21"/>
                <w:highlight w:val="none"/>
              </w:rPr>
              <w:t>要求</w:t>
            </w:r>
          </w:p>
        </w:tc>
        <w:tc>
          <w:tcPr>
            <w:tcW w:w="159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投标实际响应</w:t>
            </w:r>
          </w:p>
        </w:tc>
        <w:tc>
          <w:tcPr>
            <w:tcW w:w="1260" w:type="dxa"/>
            <w:tcBorders>
              <w:tl2br w:val="nil"/>
              <w:tr2bl w:val="nil"/>
            </w:tcBorders>
            <w:vAlign w:val="center"/>
          </w:tcPr>
          <w:p>
            <w:pPr>
              <w:spacing w:after="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偏离</w:t>
            </w:r>
            <w:r>
              <w:rPr>
                <w:rFonts w:hint="eastAsia" w:ascii="宋体" w:hAnsi="宋体" w:eastAsia="宋体" w:cs="宋体"/>
                <w:color w:val="auto"/>
                <w:sz w:val="21"/>
                <w:szCs w:val="21"/>
                <w:highlight w:val="none"/>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bl>
    <w:p>
      <w:pPr>
        <w:rPr>
          <w:rFonts w:ascii="宋体" w:hAnsi="宋体" w:eastAsia="宋体"/>
          <w:color w:val="auto"/>
          <w:sz w:val="21"/>
          <w:szCs w:val="21"/>
          <w:highlight w:val="none"/>
        </w:rPr>
      </w:pPr>
    </w:p>
    <w:p>
      <w:pPr>
        <w:bidi w:val="0"/>
        <w:rPr>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ind w:firstLine="178" w:firstLineChars="85"/>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注：投标人应对照招标文件</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”，逐条说明已对招标文件的</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内容做出了实质性的响应，并申明与招标文件的偏差和例外。</w:t>
      </w:r>
    </w:p>
    <w:p>
      <w:pPr>
        <w:rPr>
          <w:rFonts w:hint="eastAsia" w:ascii="宋体" w:hAnsi="宋体" w:eastAsia="宋体"/>
          <w:color w:val="auto"/>
          <w:sz w:val="21"/>
          <w:szCs w:val="21"/>
          <w:highlight w:val="none"/>
        </w:rPr>
      </w:pPr>
    </w:p>
    <w:p>
      <w:pPr>
        <w:rPr>
          <w:rFonts w:ascii="宋体" w:hAnsi="宋体" w:eastAsia="宋体"/>
          <w:color w:val="auto"/>
          <w:sz w:val="21"/>
          <w:szCs w:val="21"/>
          <w:highlight w:val="none"/>
        </w:rPr>
      </w:pPr>
    </w:p>
    <w:p>
      <w:pPr>
        <w:spacing w:after="0" w:line="360" w:lineRule="auto"/>
        <w:rPr>
          <w:rFonts w:ascii="宋体" w:hAnsi="宋体" w:eastAsia="宋体"/>
          <w:color w:val="auto"/>
          <w:sz w:val="21"/>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250" w:name="_Toc17691"/>
      <w:r>
        <w:rPr>
          <w:rFonts w:hint="eastAsia" w:ascii="宋体" w:hAnsi="宋体" w:eastAsia="宋体"/>
          <w:color w:val="auto"/>
          <w:sz w:val="21"/>
          <w:szCs w:val="21"/>
          <w:highlight w:val="none"/>
        </w:rPr>
        <w:br w:type="page"/>
      </w:r>
      <w:bookmarkEnd w:id="250"/>
      <w:bookmarkStart w:id="251" w:name="_Toc26078"/>
      <w:bookmarkStart w:id="252" w:name="_Toc18668"/>
      <w:bookmarkStart w:id="253" w:name="_Toc6080"/>
      <w:bookmarkStart w:id="254" w:name="_Toc4464"/>
      <w:bookmarkStart w:id="255" w:name="_Toc1274"/>
      <w:bookmarkStart w:id="256" w:name="_Toc4827"/>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57" w:name="_Toc13461"/>
      <w:bookmarkStart w:id="258" w:name="_Toc10734"/>
      <w:r>
        <w:rPr>
          <w:rFonts w:hint="eastAsia"/>
          <w:color w:val="auto"/>
          <w:highlight w:val="none"/>
          <w:lang w:val="en-US" w:eastAsia="zh-CN"/>
        </w:rPr>
        <w:t>二、</w:t>
      </w:r>
      <w:r>
        <w:rPr>
          <w:rFonts w:hint="eastAsia"/>
          <w:color w:val="auto"/>
          <w:highlight w:val="none"/>
        </w:rPr>
        <w:t>重要技术参数（▲）响应表</w:t>
      </w:r>
      <w:bookmarkEnd w:id="251"/>
      <w:bookmarkEnd w:id="252"/>
      <w:bookmarkEnd w:id="253"/>
      <w:bookmarkEnd w:id="254"/>
      <w:bookmarkEnd w:id="255"/>
      <w:bookmarkEnd w:id="256"/>
      <w:bookmarkEnd w:id="257"/>
      <w:bookmarkEnd w:id="258"/>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259" w:name="_Toc29560"/>
            <w:bookmarkStart w:id="260" w:name="_Toc29642"/>
            <w:bookmarkStart w:id="261" w:name="_Toc27079"/>
            <w:r>
              <w:rPr>
                <w:rFonts w:hint="eastAsia" w:ascii="宋体" w:hAnsi="宋体" w:eastAsia="宋体" w:cs="宋体"/>
                <w:b w:val="0"/>
                <w:bCs w:val="0"/>
                <w:color w:val="auto"/>
                <w:sz w:val="21"/>
                <w:szCs w:val="21"/>
                <w:highlight w:val="none"/>
                <w:lang w:val="en-US" w:eastAsia="zh-CN"/>
              </w:rPr>
              <w:t>序号</w:t>
            </w:r>
            <w:bookmarkEnd w:id="259"/>
            <w:bookmarkEnd w:id="260"/>
            <w:bookmarkEnd w:id="261"/>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262" w:name="_Toc21739"/>
            <w:bookmarkStart w:id="263" w:name="_Toc10045"/>
            <w:bookmarkStart w:id="264" w:name="_Toc27090"/>
            <w:bookmarkStart w:id="265" w:name="_Toc12049"/>
            <w:bookmarkStart w:id="266" w:name="_Toc26124"/>
            <w:bookmarkStart w:id="267" w:name="_Toc16872"/>
            <w:bookmarkStart w:id="268" w:name="_Toc22448"/>
            <w:bookmarkStart w:id="269" w:name="_Toc15903"/>
            <w:bookmarkStart w:id="270" w:name="_Toc14815"/>
            <w:bookmarkStart w:id="271" w:name="_Toc2700"/>
            <w:bookmarkStart w:id="272" w:name="_Toc15368"/>
            <w:bookmarkStart w:id="273" w:name="_Toc1016"/>
            <w:bookmarkStart w:id="274" w:name="_Toc4304"/>
            <w:bookmarkStart w:id="275" w:name="_Toc27442"/>
            <w:bookmarkStart w:id="276" w:name="_Toc21809"/>
            <w:bookmarkStart w:id="277" w:name="_Toc22879"/>
            <w:bookmarkStart w:id="278" w:name="_Toc8312"/>
            <w:bookmarkStart w:id="279" w:name="_Toc7333"/>
            <w:bookmarkStart w:id="280" w:name="_Toc8490"/>
            <w:bookmarkStart w:id="281" w:name="_Toc24662"/>
            <w:bookmarkStart w:id="282" w:name="_Toc19251"/>
            <w:bookmarkStart w:id="283" w:name="_Toc22917"/>
            <w:bookmarkStart w:id="284" w:name="_Toc32531"/>
            <w:r>
              <w:rPr>
                <w:rFonts w:hint="eastAsia" w:ascii="宋体" w:hAnsi="宋体" w:eastAsia="宋体" w:cs="宋体"/>
                <w:b w:val="0"/>
                <w:bCs w:val="0"/>
                <w:color w:val="auto"/>
                <w:sz w:val="21"/>
                <w:szCs w:val="21"/>
                <w:highlight w:val="none"/>
                <w:lang w:val="en-US" w:eastAsia="zh-CN"/>
              </w:rPr>
              <w:t>重要</w:t>
            </w:r>
            <w:r>
              <w:rPr>
                <w:rFonts w:hint="eastAsia" w:ascii="宋体" w:hAnsi="宋体" w:eastAsia="宋体" w:cs="宋体"/>
                <w:b w:val="0"/>
                <w:bCs w:val="0"/>
                <w:color w:val="auto"/>
                <w:sz w:val="21"/>
                <w:szCs w:val="21"/>
                <w:highlight w:val="none"/>
              </w:rPr>
              <w:t>技术参</w:t>
            </w:r>
            <w:r>
              <w:rPr>
                <w:rFonts w:hint="eastAsia" w:ascii="宋体" w:hAnsi="宋体" w:eastAsia="宋体" w:cs="宋体"/>
                <w:b w:val="0"/>
                <w:bCs w:val="0"/>
                <w:color w:val="auto"/>
                <w:sz w:val="21"/>
                <w:szCs w:val="21"/>
                <w:highlight w:val="none"/>
                <w:lang w:val="en-US" w:eastAsia="zh-CN"/>
              </w:rPr>
              <w:t>数评分条款</w:t>
            </w:r>
            <w:r>
              <w:rPr>
                <w:rFonts w:hint="eastAsia" w:ascii="宋体" w:hAnsi="宋体" w:eastAsia="宋体" w:cs="宋体"/>
                <w:b w:val="0"/>
                <w:bCs w:val="0"/>
                <w:color w:val="auto"/>
                <w:sz w:val="21"/>
                <w:szCs w:val="21"/>
                <w:highlight w:val="none"/>
              </w:rPr>
              <w:t>（▲）</w:t>
            </w:r>
            <w:bookmarkEnd w:id="262"/>
            <w:bookmarkEnd w:id="263"/>
            <w:bookmarkEnd w:id="264"/>
            <w:bookmarkEnd w:id="265"/>
            <w:bookmarkEnd w:id="266"/>
            <w:bookmarkEnd w:id="267"/>
            <w:bookmarkEnd w:id="268"/>
            <w:bookmarkEnd w:id="269"/>
            <w:bookmarkEnd w:id="270"/>
            <w:bookmarkEnd w:id="271"/>
            <w:bookmarkEnd w:id="272"/>
            <w:bookmarkEnd w:id="273"/>
            <w:bookmarkEnd w:id="274"/>
          </w:p>
          <w:bookmarkEnd w:id="275"/>
          <w:bookmarkEnd w:id="276"/>
          <w:bookmarkEnd w:id="277"/>
          <w:bookmarkEnd w:id="278"/>
          <w:bookmarkEnd w:id="279"/>
          <w:bookmarkEnd w:id="280"/>
          <w:bookmarkEnd w:id="281"/>
          <w:bookmarkEnd w:id="282"/>
          <w:bookmarkEnd w:id="283"/>
          <w:bookmarkEnd w:id="284"/>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285" w:name="_Toc22153"/>
            <w:bookmarkStart w:id="286" w:name="_Toc10122"/>
            <w:bookmarkStart w:id="287" w:name="_Toc2408"/>
            <w:r>
              <w:rPr>
                <w:rFonts w:hint="eastAsia" w:ascii="宋体" w:hAnsi="宋体" w:eastAsia="宋体" w:cs="宋体"/>
                <w:b w:val="0"/>
                <w:bCs w:val="0"/>
                <w:color w:val="auto"/>
                <w:kern w:val="0"/>
                <w:sz w:val="21"/>
                <w:szCs w:val="21"/>
                <w:highlight w:val="none"/>
              </w:rPr>
              <w:t>投标文件响应内容</w:t>
            </w:r>
            <w:bookmarkEnd w:id="285"/>
            <w:bookmarkEnd w:id="286"/>
            <w:bookmarkEnd w:id="287"/>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288" w:name="_Toc29838"/>
            <w:bookmarkStart w:id="289" w:name="_Toc16003"/>
            <w:bookmarkStart w:id="290" w:name="_Toc27285"/>
            <w:bookmarkStart w:id="291" w:name="_Toc3701"/>
            <w:bookmarkStart w:id="292" w:name="_Toc17642"/>
            <w:bookmarkStart w:id="293" w:name="_Toc1912"/>
            <w:bookmarkStart w:id="294" w:name="_Toc20820"/>
            <w:bookmarkStart w:id="295" w:name="_Toc17296"/>
            <w:bookmarkStart w:id="296" w:name="_Toc20139"/>
            <w:bookmarkStart w:id="297" w:name="_Toc27185"/>
            <w:bookmarkStart w:id="298" w:name="_Toc5992"/>
            <w:bookmarkStart w:id="299" w:name="_Toc5563"/>
            <w:bookmarkStart w:id="300" w:name="_Toc1330"/>
            <w:r>
              <w:rPr>
                <w:rFonts w:hint="eastAsia" w:ascii="宋体" w:hAnsi="宋体" w:eastAsia="宋体" w:cs="宋体"/>
                <w:b w:val="0"/>
                <w:bCs w:val="0"/>
                <w:color w:val="auto"/>
                <w:sz w:val="21"/>
                <w:szCs w:val="21"/>
                <w:highlight w:val="none"/>
                <w:lang w:val="en-US" w:eastAsia="zh-CN"/>
              </w:rPr>
              <w:t>说明</w:t>
            </w:r>
            <w:bookmarkEnd w:id="288"/>
            <w:bookmarkEnd w:id="289"/>
            <w:bookmarkEnd w:id="290"/>
          </w:p>
        </w:tc>
        <w:tc>
          <w:tcPr>
            <w:tcW w:w="1591"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01" w:name="_Toc19105"/>
            <w:bookmarkStart w:id="302" w:name="_Toc3520"/>
            <w:bookmarkStart w:id="303" w:name="_Toc857"/>
            <w:r>
              <w:rPr>
                <w:rFonts w:hint="eastAsia" w:ascii="宋体" w:hAnsi="宋体" w:eastAsia="宋体" w:cs="宋体"/>
                <w:b w:val="0"/>
                <w:bCs w:val="0"/>
                <w:color w:val="auto"/>
                <w:sz w:val="21"/>
                <w:szCs w:val="21"/>
                <w:highlight w:val="none"/>
              </w:rPr>
              <w:t>页码范围</w:t>
            </w:r>
            <w:bookmarkEnd w:id="291"/>
            <w:bookmarkEnd w:id="292"/>
            <w:bookmarkEnd w:id="293"/>
            <w:bookmarkEnd w:id="294"/>
            <w:bookmarkEnd w:id="295"/>
            <w:bookmarkEnd w:id="296"/>
            <w:bookmarkEnd w:id="297"/>
            <w:bookmarkEnd w:id="298"/>
            <w:bookmarkEnd w:id="299"/>
            <w:bookmarkEnd w:id="300"/>
            <w:bookmarkEnd w:id="301"/>
            <w:bookmarkEnd w:id="302"/>
            <w:bookmarkEnd w:id="303"/>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bl>
    <w:p>
      <w:pPr>
        <w:pStyle w:val="34"/>
        <w:spacing w:after="0" w:line="360" w:lineRule="auto"/>
        <w:rPr>
          <w:rFonts w:ascii="宋体" w:hAnsi="宋体" w:eastAsia="宋体"/>
          <w:color w:val="auto"/>
          <w:sz w:val="21"/>
          <w:szCs w:val="21"/>
          <w:highlight w:val="none"/>
        </w:rPr>
      </w:pPr>
    </w:p>
    <w:p>
      <w:pPr>
        <w:pStyle w:val="34"/>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pStyle w:val="34"/>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1、投标人</w:t>
      </w:r>
      <w:r>
        <w:rPr>
          <w:rFonts w:hint="eastAsia" w:ascii="宋体" w:hAnsi="宋体" w:eastAsia="宋体"/>
          <w:color w:val="auto"/>
          <w:sz w:val="21"/>
          <w:szCs w:val="21"/>
          <w:highlight w:val="none"/>
        </w:rPr>
        <w:t>应逐条对照招标文件重要评分条款，如实地说明投标响应情况。</w:t>
      </w:r>
    </w:p>
    <w:p>
      <w:pPr>
        <w:pStyle w:val="34"/>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若该重要技术参数（</w:t>
      </w:r>
      <w:r>
        <w:rPr>
          <w:rFonts w:hint="eastAsia" w:ascii="宋体" w:hAnsi="宋体" w:eastAsia="宋体" w:cs="Times New Roman"/>
          <w:color w:val="auto"/>
          <w:sz w:val="21"/>
          <w:szCs w:val="21"/>
          <w:highlight w:val="none"/>
        </w:rPr>
        <w:t>▲</w:t>
      </w:r>
      <w:r>
        <w:rPr>
          <w:rFonts w:hint="eastAsia" w:ascii="宋体" w:hAnsi="宋体" w:eastAsia="宋体"/>
          <w:color w:val="auto"/>
          <w:sz w:val="21"/>
          <w:szCs w:val="21"/>
          <w:highlight w:val="none"/>
        </w:rPr>
        <w:t>）规定提交相关证明材料的，供应商应当提供，并附于本格式后。未按要求提供或提供不符合要求的证明材料，视为不满足，按评分标准进行扣分处理。</w:t>
      </w:r>
    </w:p>
    <w:p>
      <w:pPr>
        <w:pStyle w:val="34"/>
        <w:spacing w:after="0" w:line="360" w:lineRule="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3、</w:t>
      </w:r>
      <w:r>
        <w:rPr>
          <w:rFonts w:hint="eastAsia" w:ascii="宋体" w:hAnsi="宋体" w:eastAsia="宋体"/>
          <w:b/>
          <w:bCs/>
          <w:color w:val="auto"/>
          <w:sz w:val="21"/>
          <w:szCs w:val="21"/>
          <w:highlight w:val="none"/>
        </w:rPr>
        <w:t>若招标文件未设定重要技术参数（</w:t>
      </w:r>
      <w:r>
        <w:rPr>
          <w:rFonts w:hint="eastAsia" w:ascii="宋体" w:hAnsi="宋体" w:eastAsia="宋体" w:cs="Times New Roman"/>
          <w:b/>
          <w:bCs/>
          <w:color w:val="auto"/>
          <w:sz w:val="21"/>
          <w:szCs w:val="21"/>
          <w:highlight w:val="none"/>
        </w:rPr>
        <w:t>▲</w:t>
      </w:r>
      <w:r>
        <w:rPr>
          <w:rFonts w:hint="eastAsia" w:ascii="宋体" w:hAnsi="宋体" w:eastAsia="宋体"/>
          <w:b/>
          <w:bCs/>
          <w:color w:val="auto"/>
          <w:sz w:val="21"/>
          <w:szCs w:val="21"/>
          <w:highlight w:val="none"/>
        </w:rPr>
        <w:t>）评分条款的，可删除本格式。</w:t>
      </w:r>
    </w:p>
    <w:p>
      <w:pPr>
        <w:pStyle w:val="34"/>
        <w:spacing w:after="0" w:line="360" w:lineRule="auto"/>
        <w:rPr>
          <w:rFonts w:ascii="宋体" w:hAnsi="宋体" w:eastAsia="宋体"/>
          <w:color w:val="auto"/>
          <w:sz w:val="21"/>
          <w:szCs w:val="21"/>
          <w:highlight w:val="none"/>
        </w:rPr>
      </w:pPr>
    </w:p>
    <w:p>
      <w:pPr>
        <w:pStyle w:val="34"/>
        <w:numPr>
          <w:ilvl w:val="0"/>
          <w:numId w:val="12"/>
        </w:numPr>
        <w:spacing w:after="0"/>
        <w:rPr>
          <w:rFonts w:ascii="黑体" w:eastAsia="黑体"/>
          <w:color w:val="auto"/>
          <w:sz w:val="32"/>
          <w:szCs w:val="32"/>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4" w:name="_Toc27139"/>
      <w:bookmarkStart w:id="305" w:name="_Toc19349"/>
      <w:r>
        <w:rPr>
          <w:rFonts w:hint="eastAsia"/>
          <w:color w:val="auto"/>
          <w:highlight w:val="none"/>
          <w:lang w:val="en-US" w:eastAsia="zh-CN"/>
        </w:rPr>
        <w:t>三、</w:t>
      </w:r>
      <w:r>
        <w:rPr>
          <w:rFonts w:hint="eastAsia"/>
          <w:color w:val="auto"/>
          <w:highlight w:val="none"/>
        </w:rPr>
        <w:t>实质性条款（标记★）投标响应表</w:t>
      </w:r>
      <w:bookmarkEnd w:id="304"/>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序号</w:t>
            </w: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招标文件实质性条款</w:t>
            </w: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投标文件响应内容</w:t>
            </w:r>
          </w:p>
        </w:tc>
        <w:tc>
          <w:tcPr>
            <w:tcW w:w="1180" w:type="dxa"/>
            <w:tcBorders>
              <w:tl2br w:val="nil"/>
              <w:tr2bl w:val="nil"/>
            </w:tcBorders>
            <w:noWrap w:val="0"/>
            <w:vAlign w:val="center"/>
          </w:tcPr>
          <w:p>
            <w:pPr>
              <w:widowControl/>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是否偏离</w:t>
            </w: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p>
    <w:p>
      <w:pPr>
        <w:bidi w:val="0"/>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bidi w:val="0"/>
        <w:rPr>
          <w:rFonts w:hint="eastAsia"/>
          <w:color w:val="auto"/>
          <w:highlight w:val="none"/>
          <w:lang w:val="en-US" w:eastAsia="zh-CN"/>
        </w:rPr>
      </w:pPr>
    </w:p>
    <w:p>
      <w:pPr>
        <w:bidi w:val="0"/>
        <w:rPr>
          <w:rFonts w:hint="eastAsia"/>
          <w:color w:val="auto"/>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highlight w:val="none"/>
        </w:rPr>
      </w:pPr>
      <w:r>
        <w:rPr>
          <w:rFonts w:hint="eastAsia"/>
          <w:color w:val="auto"/>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供应商应逐条对照招标文件实质性条款，如实地说明投标响应情况。不满足的按无效投标处理。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若该实质性条款规定提交相关证明材料的，供应商应当提供，并附于本格式后。未按要求提供或提供不符合要求的证明材料，视为不满足，按无效投标处理。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lang w:val="en-US" w:eastAsia="zh-CN"/>
        </w:rPr>
      </w:pPr>
      <w:r>
        <w:rPr>
          <w:rFonts w:hint="eastAsia"/>
          <w:color w:val="auto"/>
          <w:highlight w:val="none"/>
          <w:lang w:val="en-US" w:eastAsia="zh-CN"/>
        </w:rPr>
        <w:t>3、</w:t>
      </w:r>
      <w:r>
        <w:rPr>
          <w:rFonts w:hint="eastAsia"/>
          <w:color w:val="auto"/>
          <w:highlight w:val="none"/>
        </w:rPr>
        <w:t>若招标文件未设定实质性条款的，可删除本格式。</w:t>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6" w:name="_Toc21519"/>
      <w:r>
        <w:rPr>
          <w:rFonts w:hint="eastAsia"/>
          <w:color w:val="auto"/>
          <w:highlight w:val="none"/>
          <w:lang w:val="en-US" w:eastAsia="zh-CN"/>
        </w:rPr>
        <w:t>四、</w:t>
      </w:r>
      <w:r>
        <w:rPr>
          <w:rFonts w:hint="eastAsia"/>
          <w:color w:val="auto"/>
          <w:highlight w:val="none"/>
        </w:rPr>
        <w:t>项目</w:t>
      </w:r>
      <w:r>
        <w:rPr>
          <w:rFonts w:hint="eastAsia"/>
          <w:color w:val="auto"/>
          <w:highlight w:val="none"/>
          <w:lang w:val="en-US" w:eastAsia="zh-CN"/>
        </w:rPr>
        <w:t>技术</w:t>
      </w:r>
      <w:r>
        <w:rPr>
          <w:rFonts w:hint="eastAsia"/>
          <w:color w:val="auto"/>
          <w:highlight w:val="none"/>
        </w:rPr>
        <w:t>方案</w:t>
      </w:r>
      <w:bookmarkEnd w:id="305"/>
      <w:bookmarkEnd w:id="306"/>
    </w:p>
    <w:p>
      <w:pPr>
        <w:spacing w:after="0" w:line="360" w:lineRule="auto"/>
        <w:ind w:left="718" w:leftChars="200" w:hanging="298" w:hangingChars="142"/>
        <w:rPr>
          <w:rFonts w:ascii="宋体" w:hAnsi="宋体" w:eastAsia="宋体" w:cs="Times New Roman"/>
          <w:color w:val="auto"/>
          <w:sz w:val="21"/>
          <w:szCs w:val="21"/>
          <w:highlight w:val="none"/>
        </w:rPr>
      </w:pPr>
      <w:r>
        <w:rPr>
          <w:rFonts w:hint="eastAsia" w:ascii="宋体" w:hAnsi="宋体" w:eastAsia="宋体"/>
          <w:color w:val="auto"/>
          <w:sz w:val="21"/>
          <w:szCs w:val="21"/>
          <w:highlight w:val="none"/>
          <w:lang w:val="en-US" w:eastAsia="zh-CN"/>
        </w:rPr>
        <w:t>根据用户需求及技术评审要求</w:t>
      </w:r>
      <w:r>
        <w:rPr>
          <w:rFonts w:hint="eastAsia" w:ascii="宋体" w:hAnsi="宋体" w:eastAsia="宋体"/>
          <w:color w:val="auto"/>
          <w:sz w:val="21"/>
          <w:szCs w:val="21"/>
          <w:highlight w:val="none"/>
        </w:rPr>
        <w:t>自行编写。</w:t>
      </w: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07" w:name="_Toc26880"/>
      <w:bookmarkStart w:id="308" w:name="_Toc16328"/>
      <w:r>
        <w:rPr>
          <w:rFonts w:hint="eastAsia"/>
          <w:color w:val="auto"/>
          <w:highlight w:val="none"/>
          <w:lang w:val="en-US" w:eastAsia="zh-CN"/>
        </w:rPr>
        <w:t>五、项目负责人及团队成员资料表</w:t>
      </w:r>
      <w:bookmarkEnd w:id="307"/>
      <w:bookmarkEnd w:id="308"/>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如本项目不涉及</w:t>
      </w:r>
      <w:r>
        <w:rPr>
          <w:rFonts w:hint="eastAsia" w:ascii="宋体" w:hAnsi="宋体"/>
          <w:color w:val="auto"/>
          <w:sz w:val="21"/>
          <w:szCs w:val="21"/>
          <w:highlight w:val="none"/>
          <w:lang w:val="en-US" w:eastAsia="zh-CN"/>
        </w:rPr>
        <w:t>人员</w:t>
      </w:r>
      <w:r>
        <w:rPr>
          <w:rFonts w:hint="eastAsia" w:ascii="宋体" w:hAnsi="宋体" w:eastAsia="宋体"/>
          <w:color w:val="auto"/>
          <w:sz w:val="21"/>
          <w:szCs w:val="21"/>
          <w:highlight w:val="none"/>
        </w:rPr>
        <w:t>内容，则无需提供此表。</w:t>
      </w:r>
    </w:p>
    <w:p>
      <w:pPr>
        <w:ind w:firstLine="178" w:firstLineChars="85"/>
        <w:rPr>
          <w:rFonts w:hint="eastAsia" w:ascii="宋体" w:hAnsi="宋体" w:eastAsia="宋体"/>
          <w:color w:val="auto"/>
          <w:sz w:val="21"/>
          <w:szCs w:val="21"/>
          <w:highlight w:val="none"/>
        </w:rPr>
      </w:pPr>
    </w:p>
    <w:p>
      <w:pPr>
        <w:pStyle w:val="7"/>
        <w:rPr>
          <w:rFonts w:hint="eastAsia"/>
          <w:color w:val="auto"/>
          <w:highlight w:val="none"/>
        </w:rPr>
      </w:pP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309" w:name="_Toc26980"/>
      <w:bookmarkStart w:id="310" w:name="_Toc15431"/>
      <w:r>
        <w:rPr>
          <w:rFonts w:hint="eastAsia"/>
          <w:color w:val="auto"/>
          <w:highlight w:val="none"/>
          <w:lang w:val="en-US" w:eastAsia="zh-CN"/>
        </w:rPr>
        <w:t>六、投标货物明细一览表</w:t>
      </w:r>
      <w:bookmarkEnd w:id="309"/>
      <w:bookmarkEnd w:id="310"/>
    </w:p>
    <w:tbl>
      <w:tblPr>
        <w:tblStyle w:val="23"/>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序号</w:t>
            </w: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货物名称</w:t>
            </w: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品牌</w:t>
            </w: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货物型号</w:t>
            </w: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单位</w:t>
            </w:r>
          </w:p>
        </w:tc>
        <w:tc>
          <w:tcPr>
            <w:tcW w:w="738"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数量</w:t>
            </w:r>
          </w:p>
        </w:tc>
        <w:tc>
          <w:tcPr>
            <w:tcW w:w="1616"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技术参数</w:t>
            </w: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bl>
    <w:p>
      <w:pPr>
        <w:spacing w:after="0"/>
        <w:rPr>
          <w:color w:val="auto"/>
          <w:highlight w:val="none"/>
        </w:rPr>
      </w:pPr>
      <w:r>
        <w:rPr>
          <w:rFonts w:hint="eastAsia" w:ascii="宋体" w:hAnsi="宋体" w:eastAsia="宋体" w:cs="Times New Roman"/>
          <w:color w:val="auto"/>
          <w:sz w:val="21"/>
          <w:szCs w:val="21"/>
          <w:highlight w:val="none"/>
        </w:rPr>
        <w:t>注：</w:t>
      </w:r>
      <w:r>
        <w:rPr>
          <w:rFonts w:hint="eastAsia" w:ascii="宋体" w:hAnsi="宋体" w:eastAsia="宋体"/>
          <w:color w:val="auto"/>
          <w:sz w:val="21"/>
          <w:szCs w:val="21"/>
          <w:highlight w:val="none"/>
        </w:rPr>
        <w:t>如本项目不涉及此表内容，则无需提供此表。</w:t>
      </w:r>
    </w:p>
    <w:p>
      <w:pPr>
        <w:rPr>
          <w:rFonts w:hint="eastAsia" w:ascii="宋体" w:hAnsi="宋体" w:eastAsia="宋体" w:cs="Times New Roman"/>
          <w:color w:val="auto"/>
          <w:sz w:val="21"/>
          <w:szCs w:val="21"/>
          <w:highlight w:val="none"/>
        </w:rPr>
      </w:pPr>
    </w:p>
    <w:p>
      <w:pPr>
        <w:rPr>
          <w:rFonts w:hint="eastAsia" w:ascii="宋体" w:hAnsi="宋体" w:eastAsia="宋体" w:cs="Times New Roman"/>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s="Times New Roman"/>
          <w:color w:val="auto"/>
          <w:sz w:val="21"/>
          <w:szCs w:val="21"/>
          <w:highlight w:val="none"/>
        </w:rPr>
        <w:t>投标人盖章：</w:t>
      </w: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1" w:name="_Toc16710"/>
      <w:bookmarkStart w:id="312" w:name="_Toc21541"/>
      <w:r>
        <w:rPr>
          <w:rFonts w:hint="eastAsia"/>
          <w:color w:val="auto"/>
          <w:highlight w:val="none"/>
          <w:lang w:val="en-US" w:eastAsia="zh-CN"/>
        </w:rPr>
        <w:t>七、投标保证金汇入情况说明</w:t>
      </w:r>
      <w:bookmarkEnd w:id="311"/>
      <w:bookmarkEnd w:id="312"/>
    </w:p>
    <w:p>
      <w:pPr>
        <w:spacing w:after="0" w:line="48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本单位已按</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项目</w:t>
      </w:r>
      <w:r>
        <w:rPr>
          <w:rFonts w:hint="eastAsia" w:ascii="宋体" w:hAnsi="宋体"/>
          <w:color w:val="auto"/>
          <w:sz w:val="21"/>
          <w:szCs w:val="21"/>
          <w:highlight w:val="none"/>
          <w:lang w:val="en-US" w:eastAsia="zh-CN"/>
        </w:rPr>
        <w:t>名称）</w:t>
      </w:r>
      <w:r>
        <w:rPr>
          <w:rFonts w:hint="eastAsia" w:ascii="宋体" w:hAnsi="宋体" w:eastAsia="宋体"/>
          <w:color w:val="auto"/>
          <w:sz w:val="21"/>
          <w:szCs w:val="21"/>
          <w:highlight w:val="none"/>
        </w:rPr>
        <w:t>包</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（采购项目编号：</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）的招标文件要求，于</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月</w:t>
      </w: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日前以</w:t>
      </w:r>
      <w:r>
        <w:rPr>
          <w:rFonts w:hint="eastAsia" w:ascii="宋体" w:hAnsi="宋体" w:eastAsia="宋体"/>
          <w:color w:val="auto"/>
          <w:sz w:val="21"/>
          <w:szCs w:val="21"/>
          <w:highlight w:val="none"/>
          <w:u w:val="single"/>
        </w:rPr>
        <w:t xml:space="preserve">           （付款形式）</w:t>
      </w:r>
      <w:r>
        <w:rPr>
          <w:rFonts w:hint="eastAsia" w:ascii="宋体" w:hAnsi="宋体" w:eastAsia="宋体"/>
          <w:color w:val="auto"/>
          <w:sz w:val="21"/>
          <w:szCs w:val="21"/>
          <w:highlight w:val="none"/>
        </w:rPr>
        <w:t>方式汇入指定帐户（帐户名称：</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，帐号：</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,开户银行：</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本单位投标保证金的汇款情况：（详见附件－投标保证金进帐单）</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汇出时间：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月</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日；</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汇款金额：</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（大写）人民币（小写：￥</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元），</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汇款帐户名称：</w:t>
      </w:r>
      <w:r>
        <w:rPr>
          <w:rFonts w:hint="eastAsia" w:ascii="宋体" w:hAnsi="宋体" w:eastAsia="宋体"/>
          <w:color w:val="auto"/>
          <w:sz w:val="21"/>
          <w:szCs w:val="21"/>
          <w:highlight w:val="none"/>
          <w:u w:val="single"/>
        </w:rPr>
        <w:t xml:space="preserve">  （必须是投标时使用的帐户名）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帐        号：</w:t>
      </w:r>
      <w:r>
        <w:rPr>
          <w:rFonts w:hint="eastAsia" w:ascii="宋体" w:hAnsi="宋体" w:eastAsia="宋体"/>
          <w:color w:val="auto"/>
          <w:sz w:val="21"/>
          <w:szCs w:val="21"/>
          <w:highlight w:val="none"/>
          <w:u w:val="single"/>
        </w:rPr>
        <w:t xml:space="preserve">  （必须是投标时使用的帐号）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u w:val="single"/>
        </w:rPr>
      </w:pPr>
      <w:r>
        <w:rPr>
          <w:rFonts w:hint="eastAsia" w:ascii="宋体" w:hAnsi="宋体" w:eastAsia="宋体"/>
          <w:color w:val="auto"/>
          <w:sz w:val="21"/>
          <w:szCs w:val="21"/>
          <w:highlight w:val="none"/>
        </w:rPr>
        <w:t>开 户  银 行：</w:t>
      </w:r>
      <w:r>
        <w:rPr>
          <w:rFonts w:hint="eastAsia" w:ascii="宋体" w:hAnsi="宋体" w:eastAsia="宋体"/>
          <w:color w:val="auto"/>
          <w:sz w:val="21"/>
          <w:szCs w:val="21"/>
          <w:highlight w:val="none"/>
          <w:u w:val="single"/>
        </w:rPr>
        <w:t xml:space="preserve">  （      银行   分行  支行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本单位谨承诺上述资料是正确、真实的，如因上述证明与事实不符导致的一切损失，本单位保证承担赔偿等一切法律责任。</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投标保证金退回时，请按上述资料退回。</w:t>
      </w:r>
    </w:p>
    <w:p>
      <w:pPr>
        <w:spacing w:after="0" w:line="480" w:lineRule="auto"/>
        <w:ind w:right="844" w:rightChars="402"/>
        <w:jc w:val="right"/>
        <w:rPr>
          <w:rFonts w:ascii="宋体" w:hAnsi="宋体" w:eastAsia="宋体"/>
          <w:color w:val="auto"/>
          <w:sz w:val="21"/>
          <w:szCs w:val="21"/>
          <w:highlight w:val="none"/>
        </w:rPr>
      </w:pPr>
      <w:r>
        <w:rPr>
          <w:rFonts w:hint="eastAsia" w:ascii="宋体" w:hAnsi="宋体" w:eastAsia="宋体"/>
          <w:color w:val="auto"/>
          <w:sz w:val="21"/>
          <w:szCs w:val="21"/>
          <w:highlight w:val="none"/>
        </w:rPr>
        <w:t>（单位公章）</w:t>
      </w:r>
    </w:p>
    <w:p>
      <w:pPr>
        <w:spacing w:after="0" w:line="480" w:lineRule="auto"/>
        <w:ind w:right="628" w:rightChars="299"/>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年 月 日</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单位名称：</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单位地址：</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联系人：</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 xml:space="preserve">单位电话：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联系人手机：</w:t>
      </w:r>
    </w:p>
    <w:p>
      <w:pPr>
        <w:spacing w:after="0"/>
        <w:rPr>
          <w:rFonts w:ascii="宋体" w:hAnsi="宋体" w:eastAsia="宋体"/>
          <w:color w:val="auto"/>
          <w:sz w:val="21"/>
          <w:szCs w:val="21"/>
          <w:highlight w:val="none"/>
        </w:rPr>
      </w:pPr>
    </w:p>
    <w:p>
      <w:pPr>
        <w:spacing w:after="0" w:line="380" w:lineRule="exac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spacing w:after="0" w:line="380" w:lineRule="exac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附：我方投标保证金汇款凭证</w:t>
      </w:r>
    </w:p>
    <w:tbl>
      <w:tblPr>
        <w:tblStyle w:val="23"/>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316" w:type="dxa"/>
            <w:vAlign w:val="center"/>
          </w:tcPr>
          <w:p>
            <w:pPr>
              <w:tabs>
                <w:tab w:val="left" w:pos="3885"/>
              </w:tabs>
              <w:spacing w:line="360" w:lineRule="auto"/>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（粘贴汇款单或转账</w:t>
            </w:r>
            <w:r>
              <w:rPr>
                <w:rFonts w:ascii="宋体" w:hAnsi="宋体" w:eastAsia="宋体"/>
                <w:color w:val="auto"/>
                <w:sz w:val="21"/>
                <w:szCs w:val="21"/>
                <w:highlight w:val="none"/>
              </w:rPr>
              <w:t>凭证</w:t>
            </w:r>
            <w:r>
              <w:rPr>
                <w:rFonts w:hint="eastAsia" w:ascii="宋体" w:hAnsi="宋体" w:eastAsia="宋体"/>
                <w:color w:val="auto"/>
                <w:sz w:val="21"/>
                <w:szCs w:val="21"/>
                <w:highlight w:val="none"/>
              </w:rPr>
              <w:t>复印件，并在骑缝上加盖投标人公章，或是直接把转账</w:t>
            </w:r>
            <w:r>
              <w:rPr>
                <w:rFonts w:ascii="宋体" w:hAnsi="宋体" w:eastAsia="宋体"/>
                <w:color w:val="auto"/>
                <w:sz w:val="21"/>
                <w:szCs w:val="21"/>
                <w:highlight w:val="none"/>
              </w:rPr>
              <w:t>凭证</w:t>
            </w:r>
            <w:r>
              <w:rPr>
                <w:rFonts w:hint="eastAsia" w:ascii="宋体" w:hAnsi="宋体" w:eastAsia="宋体"/>
                <w:color w:val="auto"/>
                <w:sz w:val="21"/>
                <w:szCs w:val="21"/>
                <w:highlight w:val="none"/>
              </w:rPr>
              <w:t>复印到此张纸上）</w:t>
            </w:r>
          </w:p>
        </w:tc>
      </w:tr>
    </w:tbl>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注：</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lang w:val="en-US" w:eastAsia="zh-CN"/>
        </w:rPr>
        <w:t>1</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rPr>
        <w:t>此表既要装订在投标文件中，又要按投标人须知的规定与</w:t>
      </w:r>
      <w:r>
        <w:rPr>
          <w:rFonts w:hint="eastAsia" w:ascii="宋体" w:hAnsi="宋体" w:eastAsia="宋体"/>
          <w:b/>
          <w:bCs/>
          <w:color w:val="auto"/>
          <w:sz w:val="21"/>
          <w:szCs w:val="21"/>
          <w:highlight w:val="none"/>
          <w:lang w:eastAsia="zh-CN"/>
        </w:rPr>
        <w:t>唱标一览表</w:t>
      </w:r>
      <w:r>
        <w:rPr>
          <w:rFonts w:hint="eastAsia" w:ascii="宋体" w:hAnsi="宋体" w:eastAsia="宋体"/>
          <w:b/>
          <w:bCs/>
          <w:color w:val="auto"/>
          <w:sz w:val="21"/>
          <w:szCs w:val="21"/>
          <w:highlight w:val="none"/>
        </w:rPr>
        <w:t>、投标保证金汇款底单复印件及授权委托书一同密封装入</w:t>
      </w:r>
      <w:r>
        <w:rPr>
          <w:rFonts w:hint="eastAsia" w:ascii="宋体" w:hAnsi="宋体" w:eastAsia="宋体"/>
          <w:b/>
          <w:bCs/>
          <w:color w:val="auto"/>
          <w:sz w:val="21"/>
          <w:szCs w:val="21"/>
          <w:highlight w:val="none"/>
          <w:lang w:eastAsia="zh-CN"/>
        </w:rPr>
        <w:t>唱标文件</w:t>
      </w:r>
      <w:r>
        <w:rPr>
          <w:rFonts w:hint="eastAsia" w:ascii="宋体" w:hAnsi="宋体" w:eastAsia="宋体"/>
          <w:b/>
          <w:bCs/>
          <w:color w:val="auto"/>
          <w:sz w:val="21"/>
          <w:szCs w:val="21"/>
          <w:highlight w:val="none"/>
        </w:rPr>
        <w:t>，</w:t>
      </w:r>
      <w:r>
        <w:rPr>
          <w:rFonts w:hint="eastAsia" w:ascii="宋体" w:hAnsi="宋体" w:eastAsia="宋体"/>
          <w:b/>
          <w:bCs/>
          <w:color w:val="auto"/>
          <w:sz w:val="21"/>
          <w:szCs w:val="21"/>
          <w:highlight w:val="none"/>
          <w:lang w:eastAsia="zh-CN"/>
        </w:rPr>
        <w:t>唱标文件</w:t>
      </w:r>
      <w:r>
        <w:rPr>
          <w:rFonts w:hint="eastAsia" w:ascii="宋体" w:hAnsi="宋体" w:eastAsia="宋体"/>
          <w:b/>
          <w:bCs/>
          <w:color w:val="auto"/>
          <w:sz w:val="21"/>
          <w:szCs w:val="21"/>
          <w:highlight w:val="none"/>
        </w:rPr>
        <w:t>单独提交。</w:t>
      </w:r>
    </w:p>
    <w:p>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lang w:val="en-US" w:eastAsia="zh-CN"/>
        </w:rPr>
        <w:t>2</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rPr>
        <w:t>若投标人以投标担保函形式提交投标保证金，则无需在投标文件中提供此格式。</w:t>
      </w: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3" w:name="_Toc26855"/>
      <w:bookmarkStart w:id="314" w:name="_Toc24545"/>
      <w:r>
        <w:rPr>
          <w:rFonts w:hint="eastAsia"/>
          <w:color w:val="auto"/>
          <w:highlight w:val="none"/>
          <w:lang w:val="en-US" w:eastAsia="zh-CN"/>
        </w:rPr>
        <w:t>八、采购投标担保函</w:t>
      </w:r>
      <w:bookmarkEnd w:id="313"/>
      <w:bookmarkEnd w:id="314"/>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 编号：</w:t>
      </w: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（采购人或采购代理机构）：</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鉴于（以下简称“投标人”）拟参加编号为</w:t>
      </w:r>
      <w:r>
        <w:rPr>
          <w:rFonts w:hint="eastAsia" w:ascii="宋体" w:hAnsi="宋体" w:eastAsia="宋体" w:cs="宋体"/>
          <w:color w:val="auto"/>
          <w:sz w:val="21"/>
          <w:szCs w:val="21"/>
          <w:highlight w:val="none"/>
          <w:u w:val="single"/>
        </w:rPr>
        <w:t xml:space="preserve">            的</w:t>
      </w: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以下简称“本项目”）投标，根据本项目招标文件，供应商参加投标时应向你方交纳投标保证金，且可以投标担保函的形式交纳投标保证金。应供应商的申请，我方以保证的方式向你方提供如下投标保证金担保：</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spacing w:after="0" w:line="480" w:lineRule="auto"/>
        <w:ind w:firstLine="210" w:firstLineChars="1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（一）在投标人出现下列情形之一时，我方承担保证责任：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1．中标后投标人无正当理由不与采购人或者采购代理机构签订《采购合同》；</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2．招标文件规定的投标人应当缴纳保证金的其他情形。</w:t>
      </w:r>
    </w:p>
    <w:p>
      <w:pPr>
        <w:spacing w:after="0" w:line="480" w:lineRule="auto"/>
        <w:ind w:firstLine="210" w:firstLineChars="1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（二）我方承担保证责任的最高金额为人民币元（大写），即本项目的投标保证金金额。</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我方的保证期间为：自本保函生效之日起个月止。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1．你方要求我方承担保证责任的，应在本保函保证期间内向我方发出书面索赔通知。索赔通知应写明要求索赔的金额，支付款项应到达的账号，并附有证明投标人发生我方应承担保证责任情形的事实材料。</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2．我方在收到索赔通知及相关证明材料后，在</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个工作日内进行审查，符合应承担保证责任情形的，我方应按照你方的要求代投标人向你方支付投标保证金。</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2．我方按照本保函向你贵方履行了保证责任后，自我方向你贵方支付款项（支付款项从我方账户划出）之日起，保证责任终止。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3．按照法律法规的规定或出现我方保证责任终止的其它情形的，我方在本保函项下的保证责任亦终止。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1．依照法律规定或你方与投标人的另行约定，全部或者部分免除投标人投标保证金义务时，我方亦免除相应的保证责任。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2．因你方原因致使投标人发生本保函第一条第（一）款约定情形的，我方不承担保证责任。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3．因不可抗力造成投标人发生本保函第一条约定情形的，我方不承担保证责任。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4．你方或其他有权机关对招标文件进行任何澄清或修改，加重我方保证责任的，我方对加重部分不承担保证责任，但该澄清或修改经我方事先书面同意的除外。</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spacing w:after="0" w:line="480" w:lineRule="auto"/>
        <w:jc w:val="right"/>
        <w:rPr>
          <w:rFonts w:ascii="宋体" w:hAnsi="宋体" w:eastAsia="宋体" w:cs="宋体"/>
          <w:color w:val="auto"/>
          <w:sz w:val="21"/>
          <w:szCs w:val="21"/>
          <w:highlight w:val="none"/>
        </w:rPr>
      </w:pPr>
    </w:p>
    <w:p>
      <w:pPr>
        <w:spacing w:after="0" w:line="480" w:lineRule="auto"/>
        <w:jc w:val="righ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spacing w:after="0" w:line="480" w:lineRule="auto"/>
        <w:jc w:val="righ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spacing w:after="0"/>
        <w:rPr>
          <w:rFonts w:ascii="宋体" w:hAnsi="宋体" w:eastAsia="宋体"/>
          <w:color w:val="auto"/>
          <w:sz w:val="21"/>
          <w:szCs w:val="21"/>
          <w:highlight w:val="none"/>
        </w:rPr>
      </w:pPr>
    </w:p>
    <w:p>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（1）若投标人不以投标担保函形式提交投标保证金，则无需在投标文件中提供此格式。</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hint="eastAsia"/>
          <w:color w:val="auto"/>
          <w:highlight w:val="none"/>
        </w:rPr>
      </w:pPr>
      <w:r>
        <w:rPr>
          <w:rFonts w:hint="eastAsia" w:ascii="宋体" w:hAnsi="宋体" w:eastAsia="宋体"/>
          <w:b/>
          <w:bCs/>
          <w:color w:val="auto"/>
          <w:sz w:val="21"/>
          <w:szCs w:val="21"/>
          <w:highlight w:val="none"/>
        </w:rPr>
        <w:t>（2）若投标人以投标担保函形式提交投标保证金，则应将投标担保函原件交予采购代理机构。</w:t>
      </w:r>
    </w:p>
    <w:p>
      <w:pPr>
        <w:spacing w:after="0"/>
        <w:rPr>
          <w:rFonts w:ascii="黑体" w:eastAsia="黑体"/>
          <w:color w:val="auto"/>
          <w:sz w:val="30"/>
          <w:szCs w:val="30"/>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5" w:name="_Toc6961"/>
      <w:r>
        <w:rPr>
          <w:rFonts w:hint="eastAsia"/>
          <w:color w:val="auto"/>
          <w:highlight w:val="none"/>
          <w:lang w:val="en-US" w:eastAsia="zh-CN"/>
        </w:rPr>
        <w:t>九、采购履约担保函</w:t>
      </w:r>
      <w:bookmarkEnd w:id="315"/>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鉴于你方与（以下简称供应商）于年月日签定编号为   的《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1．将中标项目转让给他人，或者在投标文件中未说明，且未经采购招标机构人同意，将中标项目分包给他人的；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（1）此格式为履约担保函格式，无需在投标文件中提供此格式。</w:t>
      </w:r>
    </w:p>
    <w:p>
      <w:pPr>
        <w:pStyle w:val="7"/>
        <w:rPr>
          <w:color w:val="auto"/>
          <w:highlight w:val="none"/>
        </w:rPr>
      </w:pPr>
    </w:p>
    <w:p>
      <w:pPr>
        <w:bidi w:val="0"/>
        <w:rPr>
          <w:color w:val="auto"/>
          <w:highlight w:val="none"/>
        </w:rPr>
      </w:pPr>
      <w:r>
        <w:rPr>
          <w:color w:val="auto"/>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6" w:name="_Toc26772"/>
      <w:bookmarkStart w:id="317" w:name="_Toc26782"/>
      <w:r>
        <w:rPr>
          <w:rFonts w:hint="eastAsia"/>
          <w:color w:val="auto"/>
          <w:highlight w:val="none"/>
          <w:lang w:val="en-US" w:eastAsia="zh-CN"/>
        </w:rPr>
        <w:t>第四章唱标信封（单独封装）</w:t>
      </w:r>
      <w:bookmarkEnd w:id="316"/>
      <w:bookmarkEnd w:id="317"/>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（2）法人代表授权书</w:t>
      </w:r>
      <w:r>
        <w:rPr>
          <w:rFonts w:hint="eastAsia"/>
          <w:color w:val="auto"/>
          <w:highlight w:val="none"/>
          <w:lang w:val="en-US" w:eastAsia="zh-CN"/>
        </w:rPr>
        <w:t>及</w:t>
      </w:r>
      <w:r>
        <w:rPr>
          <w:rFonts w:hint="eastAsia"/>
          <w:color w:val="auto"/>
          <w:highlight w:val="none"/>
        </w:rPr>
        <w:t>被授权代表身份证（复印件加盖公章）；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lang w:val="en-US" w:eastAsia="zh-CN"/>
        </w:rPr>
      </w:pPr>
      <w:r>
        <w:rPr>
          <w:rFonts w:hint="eastAsia"/>
          <w:color w:val="auto"/>
          <w:highlight w:val="none"/>
        </w:rPr>
        <w:t>（</w:t>
      </w:r>
      <w:r>
        <w:rPr>
          <w:rFonts w:hint="eastAsia"/>
          <w:color w:val="auto"/>
          <w:highlight w:val="none"/>
          <w:lang w:val="en-US" w:eastAsia="zh-CN"/>
        </w:rPr>
        <w:t>3</w:t>
      </w:r>
      <w:r>
        <w:rPr>
          <w:rFonts w:hint="eastAsia"/>
          <w:color w:val="auto"/>
          <w:highlight w:val="none"/>
        </w:rPr>
        <w:t>）投标保证金汇入情况说明</w:t>
      </w:r>
      <w:r>
        <w:rPr>
          <w:rFonts w:hint="eastAsia"/>
          <w:color w:val="auto"/>
          <w:highlight w:val="none"/>
          <w:lang w:val="en-US" w:eastAsia="zh-CN"/>
        </w:rPr>
        <w:t>及</w:t>
      </w:r>
      <w:r>
        <w:rPr>
          <w:rFonts w:hint="eastAsia"/>
          <w:color w:val="auto"/>
          <w:highlight w:val="none"/>
        </w:rPr>
        <w:t>投标保证金汇款底单（复印件加盖公章）</w:t>
      </w:r>
      <w:r>
        <w:rPr>
          <w:rFonts w:hint="eastAsia"/>
          <w:color w:val="auto"/>
          <w:highlight w:val="none"/>
          <w:lang w:eastAsia="zh-CN"/>
        </w:rPr>
        <w:t>，</w:t>
      </w:r>
      <w:r>
        <w:rPr>
          <w:rFonts w:hint="eastAsia"/>
          <w:color w:val="auto"/>
          <w:highlight w:val="none"/>
          <w:lang w:val="en-US" w:eastAsia="zh-CN"/>
        </w:rPr>
        <w:t>或《采购投标担保函》复印件。</w:t>
      </w: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rFonts w:hint="eastAsia"/>
          <w:color w:val="auto"/>
          <w:highlight w:val="none"/>
        </w:rPr>
      </w:pPr>
      <w:bookmarkStart w:id="318" w:name="_Toc11182"/>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9" w:name="_Toc22736"/>
      <w:bookmarkStart w:id="320" w:name="_Toc2710"/>
      <w:r>
        <w:rPr>
          <w:rFonts w:hint="eastAsia"/>
          <w:color w:val="auto"/>
          <w:highlight w:val="none"/>
          <w:lang w:val="en-US" w:eastAsia="zh-CN"/>
        </w:rPr>
        <w:t>第五章联合体共同投标协议书（如有需要）</w:t>
      </w:r>
      <w:bookmarkEnd w:id="319"/>
      <w:bookmarkEnd w:id="320"/>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u w:val="single"/>
          <w:lang w:eastAsia="zh-CN"/>
        </w:rPr>
      </w:pPr>
      <w:r>
        <w:rPr>
          <w:rFonts w:hint="eastAsia" w:ascii="宋体" w:hAnsi="宋体" w:eastAsia="宋体" w:cs="宋体"/>
          <w:color w:val="auto"/>
          <w:kern w:val="0"/>
          <w:sz w:val="21"/>
          <w:szCs w:val="21"/>
          <w:highlight w:val="none"/>
          <w:u w:val="single"/>
        </w:rPr>
        <w:t>致：</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采购人</w:t>
      </w:r>
      <w:r>
        <w:rPr>
          <w:rFonts w:hint="eastAsia" w:ascii="宋体" w:hAnsi="宋体" w:eastAsia="宋体" w:cs="宋体"/>
          <w:color w:val="auto"/>
          <w:kern w:val="0"/>
          <w:sz w:val="21"/>
          <w:szCs w:val="21"/>
          <w:highlight w:val="none"/>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kern w:val="0"/>
          <w:sz w:val="21"/>
          <w:szCs w:val="21"/>
          <w:highlight w:val="none"/>
        </w:rPr>
        <w:t>共同组成一个联合体，</w:t>
      </w:r>
      <w:r>
        <w:rPr>
          <w:rFonts w:hint="eastAsia" w:ascii="宋体" w:hAnsi="宋体" w:eastAsia="宋体" w:cs="宋体"/>
          <w:color w:val="auto"/>
          <w:kern w:val="10"/>
          <w:sz w:val="21"/>
          <w:szCs w:val="21"/>
          <w:highlight w:val="none"/>
        </w:rPr>
        <w:t>以一个投标供应商的身份共同</w:t>
      </w:r>
      <w:r>
        <w:rPr>
          <w:rFonts w:hint="eastAsia" w:ascii="宋体" w:hAnsi="宋体" w:eastAsia="宋体" w:cs="宋体"/>
          <w:color w:val="auto"/>
          <w:kern w:val="0"/>
          <w:sz w:val="21"/>
          <w:szCs w:val="21"/>
          <w:highlight w:val="none"/>
        </w:rPr>
        <w:t>参加</w:t>
      </w:r>
      <w:r>
        <w:rPr>
          <w:rFonts w:hint="eastAsia" w:ascii="宋体" w:hAnsi="宋体" w:eastAsia="宋体" w:cs="宋体"/>
          <w:color w:val="auto"/>
          <w:kern w:val="0"/>
          <w:sz w:val="21"/>
          <w:szCs w:val="21"/>
          <w:highlight w:val="none"/>
          <w:u w:val="single"/>
        </w:rPr>
        <w:t>（采购项目名称）</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u w:val="single"/>
        </w:rPr>
        <w:t>（采购项目编号）</w:t>
      </w:r>
      <w:r>
        <w:rPr>
          <w:rFonts w:hint="eastAsia" w:ascii="宋体" w:hAnsi="宋体" w:eastAsia="宋体" w:cs="宋体"/>
          <w:color w:val="auto"/>
          <w:kern w:val="0"/>
          <w:sz w:val="21"/>
          <w:szCs w:val="21"/>
          <w:highlight w:val="none"/>
        </w:rPr>
        <w:t>的投标响应。</w:t>
      </w:r>
      <w:r>
        <w:rPr>
          <w:rFonts w:hint="eastAsia" w:ascii="宋体" w:hAnsi="宋体" w:eastAsia="宋体" w:cs="宋体"/>
          <w:color w:val="auto"/>
          <w:sz w:val="21"/>
          <w:szCs w:val="21"/>
          <w:highlight w:val="none"/>
        </w:rPr>
        <w:t>经协商一致，就本</w:t>
      </w:r>
      <w:r>
        <w:rPr>
          <w:rFonts w:hint="eastAsia" w:ascii="宋体" w:hAnsi="宋体" w:eastAsia="宋体" w:cs="宋体"/>
          <w:color w:val="auto"/>
          <w:kern w:val="10"/>
          <w:sz w:val="21"/>
          <w:szCs w:val="21"/>
          <w:highlight w:val="none"/>
        </w:rPr>
        <w:t>项目的投标响应和合同实施阶段的有关事务</w:t>
      </w:r>
      <w:r>
        <w:rPr>
          <w:rFonts w:hint="eastAsia" w:ascii="宋体" w:hAnsi="宋体" w:eastAsia="宋体" w:cs="宋体"/>
          <w:color w:val="auto"/>
          <w:kern w:val="0"/>
          <w:sz w:val="21"/>
          <w:szCs w:val="21"/>
          <w:highlight w:val="none"/>
        </w:rPr>
        <w:t>订立协议如下</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sz w:val="21"/>
          <w:szCs w:val="21"/>
          <w:highlight w:val="none"/>
        </w:rPr>
        <w:t>作为联合体成员，若中标、成交，联合体各方共同与采购人签订采购合同。其中</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是联合体牵头方，</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2.联合体投标工作由联合体共同负责，由联合体各方组成的响应小组具体实施。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（乙公司全称）承担本项目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5.联合体成员</w:t>
      </w:r>
      <w:r>
        <w:rPr>
          <w:rFonts w:hint="eastAsia" w:ascii="宋体" w:hAnsi="宋体" w:eastAsia="宋体" w:cs="宋体"/>
          <w:color w:val="auto"/>
          <w:sz w:val="21"/>
          <w:szCs w:val="21"/>
          <w:highlight w:val="none"/>
          <w:u w:val="single"/>
        </w:rPr>
        <w:t>　（公司全称）　</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u w:val="single"/>
        </w:rPr>
        <w:t>（请填写：小型、微型）</w:t>
      </w:r>
      <w:r>
        <w:rPr>
          <w:rFonts w:hint="eastAsia" w:ascii="宋体" w:hAnsi="宋体" w:eastAsia="宋体" w:cs="宋体"/>
          <w:color w:val="auto"/>
          <w:sz w:val="21"/>
          <w:szCs w:val="21"/>
          <w:highlight w:val="none"/>
        </w:rPr>
        <w:t>企业，将承担合同总金额</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五、</w:t>
      </w:r>
      <w:r>
        <w:rPr>
          <w:rFonts w:hint="eastAsia" w:ascii="宋体" w:hAnsi="宋体" w:eastAsia="宋体" w:cs="宋体"/>
          <w:color w:val="auto"/>
          <w:sz w:val="21"/>
          <w:szCs w:val="21"/>
          <w:highlight w:val="none"/>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六、本协议书一式</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份，随响应文件装订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份，联合体成员各</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甲公司全称：（盖章） </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乙公司全称：（盖章）</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w:t>
      </w:r>
      <w:r>
        <w:rPr>
          <w:rFonts w:hint="eastAsia" w:ascii="宋体" w:hAnsi="宋体" w:cs="宋体"/>
          <w:color w:val="auto"/>
          <w:sz w:val="21"/>
          <w:szCs w:val="21"/>
          <w:highlight w:val="none"/>
          <w:lang w:val="en-US" w:eastAsia="zh-CN"/>
        </w:rPr>
        <w:t>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p>
    <w:bookmarkEnd w:id="318"/>
    <w:p>
      <w:pPr>
        <w:pStyle w:val="7"/>
        <w:ind w:left="0" w:leftChars="0" w:firstLine="0" w:firstLineChars="0"/>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color w:val="auto"/>
          <w:highlight w:val="none"/>
        </w:rPr>
      </w:pP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质疑函制作说明：</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1.供应商提出质疑时，应提交质疑函和必要的证明材料。</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3.质疑供应商若对项目的某一分包进行质疑，质疑函中应列明具体分包号。</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4.质疑函的质疑事项应具体、明确，并有必要的事实依据和法律依据。</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5.质疑函的质疑请求应与质疑事项相关。</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6.质疑供应商为自然人的，质疑函应由本人签字；质疑供应商为法人或者其他组织的，质疑函应由法定代表人、主要负责人，或者其授权代表签字或者盖章，并加盖公章。</w:t>
      </w:r>
    </w:p>
    <w:p>
      <w:pPr>
        <w:pStyle w:val="7"/>
        <w:rPr>
          <w:color w:val="auto"/>
          <w:highlight w:val="none"/>
        </w:rPr>
      </w:pPr>
    </w:p>
    <w:p>
      <w:pPr>
        <w:spacing w:after="0" w:line="360" w:lineRule="auto"/>
        <w:rPr>
          <w:color w:val="auto"/>
          <w:highlight w:val="none"/>
        </w:rPr>
      </w:pPr>
    </w:p>
    <w:p>
      <w:pPr>
        <w:pStyle w:val="7"/>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spacing w:after="0"/>
        <w:jc w:val="both"/>
        <w:rPr>
          <w:rFonts w:hint="eastAsia" w:ascii="黑体" w:hAnsi="黑体" w:eastAsia="黑体" w:cs="黑体"/>
          <w:color w:val="auto"/>
          <w:sz w:val="36"/>
          <w:szCs w:val="36"/>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highlight w:val="none"/>
        </w:rPr>
      </w:pPr>
      <w:r>
        <w:rPr>
          <w:rFonts w:hint="eastAsia" w:ascii="黑体" w:hAnsi="黑体" w:eastAsia="黑体" w:cs="黑体"/>
          <w:color w:val="auto"/>
          <w:sz w:val="52"/>
          <w:szCs w:val="52"/>
          <w:highlight w:val="none"/>
        </w:rPr>
        <w:t>获取</w:t>
      </w:r>
      <w:r>
        <w:rPr>
          <w:rFonts w:hint="eastAsia" w:ascii="黑体" w:hAnsi="黑体" w:eastAsia="黑体" w:cs="黑体"/>
          <w:color w:val="auto"/>
          <w:sz w:val="52"/>
          <w:szCs w:val="52"/>
          <w:highlight w:val="none"/>
          <w:lang w:eastAsia="zh-CN"/>
        </w:rPr>
        <w:t>招标文件</w:t>
      </w:r>
      <w:r>
        <w:rPr>
          <w:rFonts w:hint="eastAsia" w:ascii="黑体" w:hAnsi="黑体" w:eastAsia="黑体" w:cs="黑体"/>
          <w:color w:val="auto"/>
          <w:sz w:val="52"/>
          <w:szCs w:val="52"/>
          <w:highlight w:val="none"/>
        </w:rPr>
        <w:t>登记表</w:t>
      </w:r>
    </w:p>
    <w:tbl>
      <w:tblPr>
        <w:tblStyle w:val="23"/>
        <w:tblW w:w="4998" w:type="pct"/>
        <w:tblInd w:w="0" w:type="dxa"/>
        <w:shd w:val="clear" w:color="auto" w:fill="auto"/>
        <w:tblLayout w:type="fixed"/>
        <w:tblCellMar>
          <w:top w:w="0" w:type="dxa"/>
          <w:left w:w="108" w:type="dxa"/>
          <w:bottom w:w="0" w:type="dxa"/>
          <w:right w:w="108" w:type="dxa"/>
        </w:tblCellMar>
      </w:tblPr>
      <w:tblGrid>
        <w:gridCol w:w="2769"/>
        <w:gridCol w:w="2355"/>
        <w:gridCol w:w="1016"/>
        <w:gridCol w:w="2379"/>
      </w:tblGrid>
      <w:tr>
        <w:tblPrEx>
          <w:shd w:val="clear" w:color="auto" w:fill="auto"/>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年    月    日    时    分</w:t>
            </w:r>
          </w:p>
        </w:tc>
      </w:tr>
      <w:tr>
        <w:tblPrEx>
          <w:shd w:val="clear" w:color="auto" w:fill="auto"/>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承诺:</w:t>
            </w:r>
          </w:p>
          <w:p>
            <w:pPr>
              <w:keepNext w:val="0"/>
              <w:keepLines w:val="0"/>
              <w:pageBreakBefore w:val="0"/>
              <w:widowControl/>
              <w:numPr>
                <w:ilvl w:val="0"/>
                <w:numId w:val="13"/>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本公司对招标文件的内容已经了解，并自愿购买该招标文件。</w:t>
            </w:r>
          </w:p>
          <w:p>
            <w:pPr>
              <w:keepNext w:val="0"/>
              <w:keepLines w:val="0"/>
              <w:pageBreakBefore w:val="0"/>
              <w:widowControl/>
              <w:numPr>
                <w:ilvl w:val="0"/>
                <w:numId w:val="13"/>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本公司对提供的所有资料的真实性、有效性承担责任。</w:t>
            </w:r>
          </w:p>
          <w:p>
            <w:pPr>
              <w:keepNext w:val="0"/>
              <w:keepLines w:val="0"/>
              <w:pageBreakBefore w:val="0"/>
              <w:widowControl/>
              <w:numPr>
                <w:ilvl w:val="0"/>
                <w:numId w:val="13"/>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 xml:space="preserve">招标文件领取人签名: </w:t>
            </w:r>
            <w:r>
              <w:rPr>
                <w:rFonts w:hint="eastAsia" w:ascii="宋体" w:hAnsi="宋体" w:eastAsia="宋体" w:cs="宋体"/>
                <w:i w:val="0"/>
                <w:iCs w:val="0"/>
                <w:color w:val="auto"/>
                <w:kern w:val="0"/>
                <w:sz w:val="28"/>
                <w:szCs w:val="28"/>
                <w:highlight w:val="none"/>
                <w:u w:val="single"/>
                <w:lang w:val="en-US" w:eastAsia="zh-CN" w:bidi="ar"/>
              </w:rPr>
              <w:t xml:space="preserve">     </w:t>
            </w:r>
            <w:r>
              <w:rPr>
                <w:rFonts w:hint="eastAsia" w:ascii="宋体" w:hAnsi="宋体" w:eastAsia="宋体" w:cs="宋体"/>
                <w:i w:val="0"/>
                <w:iCs w:val="0"/>
                <w:color w:val="auto"/>
                <w:kern w:val="0"/>
                <w:sz w:val="28"/>
                <w:szCs w:val="28"/>
                <w:highlight w:val="none"/>
                <w:u w:val="none"/>
                <w:vertAlign w:val="subscript"/>
                <w:lang w:val="en-US" w:eastAsia="zh-CN" w:bidi="ar"/>
              </w:rPr>
              <w:t xml:space="preserve"> </w:t>
            </w:r>
            <w:r>
              <w:rPr>
                <w:rFonts w:hint="eastAsia" w:ascii="宋体" w:hAnsi="宋体" w:eastAsia="宋体" w:cs="宋体"/>
                <w:i w:val="0"/>
                <w:iCs w:val="0"/>
                <w:color w:val="auto"/>
                <w:kern w:val="0"/>
                <w:sz w:val="28"/>
                <w:szCs w:val="28"/>
                <w:highlight w:val="none"/>
                <w:u w:val="none"/>
                <w:lang w:val="en-US" w:eastAsia="zh-CN" w:bidi="ar"/>
              </w:rPr>
              <w:t xml:space="preserve">              </w:t>
            </w:r>
            <w:r>
              <w:rPr>
                <w:rFonts w:hint="eastAsia" w:ascii="宋体" w:hAnsi="宋体" w:eastAsia="宋体" w:cs="宋体"/>
                <w:i w:val="0"/>
                <w:iCs w:val="0"/>
                <w:color w:val="auto"/>
                <w:kern w:val="0"/>
                <w:sz w:val="28"/>
                <w:szCs w:val="28"/>
                <w:highlight w:val="none"/>
                <w:u w:val="single"/>
                <w:lang w:val="en-US" w:eastAsia="zh-CN" w:bidi="ar"/>
              </w:rPr>
              <w:t xml:space="preserve">                </w:t>
            </w:r>
          </w:p>
        </w:tc>
      </w:tr>
      <w:tr>
        <w:tblPrEx>
          <w:shd w:val="clear" w:color="auto" w:fill="auto"/>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人民币</w:t>
            </w:r>
            <w:r>
              <w:rPr>
                <w:rFonts w:hint="eastAsia" w:ascii="宋体" w:hAnsi="宋体" w:cs="宋体"/>
                <w:i w:val="0"/>
                <w:iCs w:val="0"/>
                <w:color w:val="auto"/>
                <w:kern w:val="0"/>
                <w:sz w:val="28"/>
                <w:szCs w:val="28"/>
                <w:highlight w:val="none"/>
                <w:u w:val="none"/>
                <w:lang w:val="en-US" w:eastAsia="zh-CN" w:bidi="ar"/>
              </w:rPr>
              <w:t>300元</w:t>
            </w:r>
            <w:r>
              <w:rPr>
                <w:rFonts w:hint="eastAsia" w:ascii="宋体" w:hAnsi="宋体" w:eastAsia="宋体" w:cs="宋体"/>
                <w:i w:val="0"/>
                <w:iCs w:val="0"/>
                <w:color w:val="auto"/>
                <w:kern w:val="0"/>
                <w:sz w:val="28"/>
                <w:szCs w:val="28"/>
                <w:highlight w:val="none"/>
                <w:u w:val="none"/>
                <w:lang w:val="en-US" w:eastAsia="zh-CN" w:bidi="ar"/>
              </w:rPr>
              <w:t>/份</w:t>
            </w:r>
          </w:p>
        </w:tc>
      </w:tr>
    </w:tbl>
    <w:p>
      <w:pPr>
        <w:pStyle w:val="22"/>
        <w:ind w:left="0" w:leftChars="0" w:firstLine="0" w:firstLineChars="0"/>
        <w:rPr>
          <w:color w:val="auto"/>
          <w:highlight w:val="none"/>
        </w:rPr>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4847"/>
        <w:tab w:val="clear" w:pos="4153"/>
      </w:tabs>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F73DC5D7"/>
    <w:multiLevelType w:val="singleLevel"/>
    <w:tmpl w:val="F73DC5D7"/>
    <w:lvl w:ilvl="0" w:tentative="0">
      <w:start w:val="1"/>
      <w:numFmt w:val="decimal"/>
      <w:suff w:val="nothing"/>
      <w:lvlText w:val="（%1）"/>
      <w:lvlJc w:val="left"/>
    </w:lvl>
  </w:abstractNum>
  <w:abstractNum w:abstractNumId="4">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6">
    <w:nsid w:val="206CABF7"/>
    <w:multiLevelType w:val="singleLevel"/>
    <w:tmpl w:val="206CABF7"/>
    <w:lvl w:ilvl="0" w:tentative="0">
      <w:start w:val="1"/>
      <w:numFmt w:val="decimal"/>
      <w:suff w:val="nothing"/>
      <w:lvlText w:val="（%1）"/>
      <w:lvlJc w:val="left"/>
    </w:lvl>
  </w:abstractNum>
  <w:abstractNum w:abstractNumId="7">
    <w:nsid w:val="22532AD9"/>
    <w:multiLevelType w:val="singleLevel"/>
    <w:tmpl w:val="22532AD9"/>
    <w:lvl w:ilvl="0" w:tentative="0">
      <w:start w:val="1"/>
      <w:numFmt w:val="decimal"/>
      <w:lvlText w:val="%1)"/>
      <w:lvlJc w:val="left"/>
      <w:pPr>
        <w:tabs>
          <w:tab w:val="left" w:pos="312"/>
        </w:tabs>
      </w:pPr>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36C59FA"/>
    <w:multiLevelType w:val="singleLevel"/>
    <w:tmpl w:val="636C59FA"/>
    <w:lvl w:ilvl="0" w:tentative="0">
      <w:start w:val="1"/>
      <w:numFmt w:val="decimal"/>
      <w:lvlText w:val="%1)"/>
      <w:lvlJc w:val="left"/>
      <w:pPr>
        <w:tabs>
          <w:tab w:val="left" w:pos="312"/>
        </w:tabs>
      </w:pPr>
    </w:lvl>
  </w:abstractNum>
  <w:abstractNum w:abstractNumId="12">
    <w:nsid w:val="6E5CE7BD"/>
    <w:multiLevelType w:val="singleLevel"/>
    <w:tmpl w:val="6E5CE7BD"/>
    <w:lvl w:ilvl="0" w:tentative="0">
      <w:start w:val="1"/>
      <w:numFmt w:val="chineseCounting"/>
      <w:suff w:val="nothing"/>
      <w:lvlText w:val="%1、"/>
      <w:lvlJc w:val="left"/>
      <w:rPr>
        <w:rFonts w:hint="eastAsia"/>
      </w:rPr>
    </w:lvl>
  </w:abstractNum>
  <w:num w:numId="1">
    <w:abstractNumId w:val="12"/>
  </w:num>
  <w:num w:numId="2">
    <w:abstractNumId w:val="9"/>
  </w:num>
  <w:num w:numId="3">
    <w:abstractNumId w:val="7"/>
  </w:num>
  <w:num w:numId="4">
    <w:abstractNumId w:val="11"/>
  </w:num>
  <w:num w:numId="5">
    <w:abstractNumId w:val="5"/>
  </w:num>
  <w:num w:numId="6">
    <w:abstractNumId w:val="10"/>
  </w:num>
  <w:num w:numId="7">
    <w:abstractNumId w:val="6"/>
  </w:num>
  <w:num w:numId="8">
    <w:abstractNumId w:val="3"/>
  </w:num>
  <w:num w:numId="9">
    <w:abstractNumId w:val="1"/>
  </w:num>
  <w:num w:numId="10">
    <w:abstractNumId w:val="2"/>
  </w:num>
  <w:num w:numId="11">
    <w:abstractNumId w:val="4"/>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720"/>
  <w:drawingGridHorizontalSpacing w:val="110"/>
  <w:noPunctuationKerning w:val="1"/>
  <w:characterSpacingControl w:val="doNotCompress"/>
  <w:hdrShapeDefaults>
    <o:shapelayout v:ext="edit">
      <o:idmap v:ext="edit" data="1,3"/>
    </o:shapelayout>
  </w:hdrShapeDefaults>
  <w:footnotePr>
    <w:footnote w:id="0"/>
    <w:footnote w:id="1"/>
  </w:footnotePr>
  <w:endnotePr>
    <w:endnote w:id="0"/>
    <w:endnote w:id="1"/>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413"/>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858F8"/>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885DE6"/>
    <w:rsid w:val="01B40242"/>
    <w:rsid w:val="01B938AA"/>
    <w:rsid w:val="01E74B6E"/>
    <w:rsid w:val="02126CDB"/>
    <w:rsid w:val="021832B7"/>
    <w:rsid w:val="024E2E49"/>
    <w:rsid w:val="02A741FD"/>
    <w:rsid w:val="02C16E5D"/>
    <w:rsid w:val="02D964CF"/>
    <w:rsid w:val="0340787C"/>
    <w:rsid w:val="03707410"/>
    <w:rsid w:val="037F03E3"/>
    <w:rsid w:val="03A0770F"/>
    <w:rsid w:val="03A27BF9"/>
    <w:rsid w:val="03A448B8"/>
    <w:rsid w:val="03A4578A"/>
    <w:rsid w:val="03AD071E"/>
    <w:rsid w:val="03D10969"/>
    <w:rsid w:val="0494604F"/>
    <w:rsid w:val="04DF1036"/>
    <w:rsid w:val="050F6021"/>
    <w:rsid w:val="05A97DEC"/>
    <w:rsid w:val="05C81981"/>
    <w:rsid w:val="065A32ED"/>
    <w:rsid w:val="06BC41F2"/>
    <w:rsid w:val="06DF3DBD"/>
    <w:rsid w:val="070122F3"/>
    <w:rsid w:val="07197D08"/>
    <w:rsid w:val="071C2CFD"/>
    <w:rsid w:val="071E5C55"/>
    <w:rsid w:val="073A47CB"/>
    <w:rsid w:val="073F7319"/>
    <w:rsid w:val="07536A42"/>
    <w:rsid w:val="07595F41"/>
    <w:rsid w:val="07615EC0"/>
    <w:rsid w:val="077005AB"/>
    <w:rsid w:val="07893465"/>
    <w:rsid w:val="078F4581"/>
    <w:rsid w:val="07995C5E"/>
    <w:rsid w:val="07BE179A"/>
    <w:rsid w:val="07BF027F"/>
    <w:rsid w:val="08031A31"/>
    <w:rsid w:val="080A2859"/>
    <w:rsid w:val="081A5CC7"/>
    <w:rsid w:val="08A276E5"/>
    <w:rsid w:val="09061A75"/>
    <w:rsid w:val="09182241"/>
    <w:rsid w:val="09242E62"/>
    <w:rsid w:val="093C069F"/>
    <w:rsid w:val="09417888"/>
    <w:rsid w:val="09855177"/>
    <w:rsid w:val="09870F93"/>
    <w:rsid w:val="09D658E4"/>
    <w:rsid w:val="09F1637C"/>
    <w:rsid w:val="0A25628F"/>
    <w:rsid w:val="0AA534D5"/>
    <w:rsid w:val="0AA650EB"/>
    <w:rsid w:val="0AB8066A"/>
    <w:rsid w:val="0AF47339"/>
    <w:rsid w:val="0B22594B"/>
    <w:rsid w:val="0B797387"/>
    <w:rsid w:val="0B8B2381"/>
    <w:rsid w:val="0BC044BE"/>
    <w:rsid w:val="0BDF26F7"/>
    <w:rsid w:val="0C264099"/>
    <w:rsid w:val="0C2B4952"/>
    <w:rsid w:val="0C7B2220"/>
    <w:rsid w:val="0D890E47"/>
    <w:rsid w:val="0DC64A00"/>
    <w:rsid w:val="0DFC60BA"/>
    <w:rsid w:val="0E4249F1"/>
    <w:rsid w:val="0E7B4FF1"/>
    <w:rsid w:val="0F6C5A53"/>
    <w:rsid w:val="0F7C5FF6"/>
    <w:rsid w:val="0FC63FBD"/>
    <w:rsid w:val="100A0F53"/>
    <w:rsid w:val="106C564D"/>
    <w:rsid w:val="107B7B8F"/>
    <w:rsid w:val="107C67CE"/>
    <w:rsid w:val="1080523F"/>
    <w:rsid w:val="108F06C9"/>
    <w:rsid w:val="109D68CB"/>
    <w:rsid w:val="10A949B8"/>
    <w:rsid w:val="10C54639"/>
    <w:rsid w:val="11200D07"/>
    <w:rsid w:val="11DA73AF"/>
    <w:rsid w:val="11F62F4A"/>
    <w:rsid w:val="123346DD"/>
    <w:rsid w:val="1285542E"/>
    <w:rsid w:val="12C60D80"/>
    <w:rsid w:val="131867D4"/>
    <w:rsid w:val="131F7A3A"/>
    <w:rsid w:val="132645D0"/>
    <w:rsid w:val="13455ABC"/>
    <w:rsid w:val="1370322B"/>
    <w:rsid w:val="13767449"/>
    <w:rsid w:val="13B27845"/>
    <w:rsid w:val="13BE469F"/>
    <w:rsid w:val="13F87121"/>
    <w:rsid w:val="13F90428"/>
    <w:rsid w:val="141A03E1"/>
    <w:rsid w:val="143B2E0B"/>
    <w:rsid w:val="14672B11"/>
    <w:rsid w:val="14892735"/>
    <w:rsid w:val="14CC769D"/>
    <w:rsid w:val="157D38E3"/>
    <w:rsid w:val="15D359D7"/>
    <w:rsid w:val="15D81E0F"/>
    <w:rsid w:val="161771F3"/>
    <w:rsid w:val="16222D6D"/>
    <w:rsid w:val="163C77BE"/>
    <w:rsid w:val="16632F86"/>
    <w:rsid w:val="1679588C"/>
    <w:rsid w:val="16994962"/>
    <w:rsid w:val="16A71041"/>
    <w:rsid w:val="16AA24BF"/>
    <w:rsid w:val="16F72341"/>
    <w:rsid w:val="17071845"/>
    <w:rsid w:val="17680CAB"/>
    <w:rsid w:val="176E4128"/>
    <w:rsid w:val="1783371F"/>
    <w:rsid w:val="17E62B67"/>
    <w:rsid w:val="180C0192"/>
    <w:rsid w:val="180F4499"/>
    <w:rsid w:val="18221ECE"/>
    <w:rsid w:val="190B7894"/>
    <w:rsid w:val="19A2789F"/>
    <w:rsid w:val="1A460CF5"/>
    <w:rsid w:val="1A7F297D"/>
    <w:rsid w:val="1AA55BE0"/>
    <w:rsid w:val="1AB16AC1"/>
    <w:rsid w:val="1B034A52"/>
    <w:rsid w:val="1B1F34AD"/>
    <w:rsid w:val="1B8D5DC6"/>
    <w:rsid w:val="1BFE1D3B"/>
    <w:rsid w:val="1C2775EC"/>
    <w:rsid w:val="1C750ECE"/>
    <w:rsid w:val="1CA22168"/>
    <w:rsid w:val="1D0836D7"/>
    <w:rsid w:val="1D196139"/>
    <w:rsid w:val="1DB85900"/>
    <w:rsid w:val="1DF051AF"/>
    <w:rsid w:val="1E010AF7"/>
    <w:rsid w:val="1E0178EB"/>
    <w:rsid w:val="1E301173"/>
    <w:rsid w:val="1E38333E"/>
    <w:rsid w:val="1E5C7612"/>
    <w:rsid w:val="1EA40BB4"/>
    <w:rsid w:val="1F43381C"/>
    <w:rsid w:val="1F691E82"/>
    <w:rsid w:val="1FA4148D"/>
    <w:rsid w:val="20121621"/>
    <w:rsid w:val="201A421D"/>
    <w:rsid w:val="20341172"/>
    <w:rsid w:val="204E554F"/>
    <w:rsid w:val="20590035"/>
    <w:rsid w:val="20C35213"/>
    <w:rsid w:val="20FC799E"/>
    <w:rsid w:val="22154DDD"/>
    <w:rsid w:val="22213E42"/>
    <w:rsid w:val="22336873"/>
    <w:rsid w:val="23175889"/>
    <w:rsid w:val="238C2182"/>
    <w:rsid w:val="239015D1"/>
    <w:rsid w:val="23BB4E7D"/>
    <w:rsid w:val="23C172D6"/>
    <w:rsid w:val="23F04F64"/>
    <w:rsid w:val="23F72C32"/>
    <w:rsid w:val="247051F5"/>
    <w:rsid w:val="24814CBE"/>
    <w:rsid w:val="24AC168B"/>
    <w:rsid w:val="25004EF6"/>
    <w:rsid w:val="258C3BEC"/>
    <w:rsid w:val="25E576CC"/>
    <w:rsid w:val="260E3862"/>
    <w:rsid w:val="262569FC"/>
    <w:rsid w:val="26344C98"/>
    <w:rsid w:val="26F56CE2"/>
    <w:rsid w:val="27295937"/>
    <w:rsid w:val="27435D49"/>
    <w:rsid w:val="27A34F71"/>
    <w:rsid w:val="27B36A67"/>
    <w:rsid w:val="27EB0D9B"/>
    <w:rsid w:val="286602C8"/>
    <w:rsid w:val="28665C95"/>
    <w:rsid w:val="28A64522"/>
    <w:rsid w:val="28CC5B40"/>
    <w:rsid w:val="290B3EB9"/>
    <w:rsid w:val="291418C2"/>
    <w:rsid w:val="2950768C"/>
    <w:rsid w:val="29794227"/>
    <w:rsid w:val="297A5FC4"/>
    <w:rsid w:val="2A1113BC"/>
    <w:rsid w:val="2A8B79F9"/>
    <w:rsid w:val="2A8D4F8F"/>
    <w:rsid w:val="2A911082"/>
    <w:rsid w:val="2A917B34"/>
    <w:rsid w:val="2AE3766F"/>
    <w:rsid w:val="2B7E4054"/>
    <w:rsid w:val="2BE91804"/>
    <w:rsid w:val="2BEC2B5B"/>
    <w:rsid w:val="2BF22742"/>
    <w:rsid w:val="2C987C56"/>
    <w:rsid w:val="2CFF149A"/>
    <w:rsid w:val="2D1413BC"/>
    <w:rsid w:val="2D201865"/>
    <w:rsid w:val="2D4B5CEA"/>
    <w:rsid w:val="2D652658"/>
    <w:rsid w:val="2DC80C49"/>
    <w:rsid w:val="2DCA6355"/>
    <w:rsid w:val="2DF0699F"/>
    <w:rsid w:val="2E166748"/>
    <w:rsid w:val="2E556F01"/>
    <w:rsid w:val="2E8E20B4"/>
    <w:rsid w:val="2ED06066"/>
    <w:rsid w:val="2ED1223D"/>
    <w:rsid w:val="2EE470F7"/>
    <w:rsid w:val="2F000139"/>
    <w:rsid w:val="2F561B8A"/>
    <w:rsid w:val="2F9F42DC"/>
    <w:rsid w:val="2FE04319"/>
    <w:rsid w:val="2FF37AB3"/>
    <w:rsid w:val="308A038C"/>
    <w:rsid w:val="308C7755"/>
    <w:rsid w:val="30FF27D2"/>
    <w:rsid w:val="31170995"/>
    <w:rsid w:val="31264A30"/>
    <w:rsid w:val="31372D40"/>
    <w:rsid w:val="31884E67"/>
    <w:rsid w:val="31A0275E"/>
    <w:rsid w:val="31B7357A"/>
    <w:rsid w:val="31ED6B08"/>
    <w:rsid w:val="31F915C9"/>
    <w:rsid w:val="321449A9"/>
    <w:rsid w:val="32610CE6"/>
    <w:rsid w:val="32631A32"/>
    <w:rsid w:val="328464CE"/>
    <w:rsid w:val="32AB70C5"/>
    <w:rsid w:val="32AD56ED"/>
    <w:rsid w:val="32C83D5A"/>
    <w:rsid w:val="32DC33E0"/>
    <w:rsid w:val="335D0AF5"/>
    <w:rsid w:val="3370088C"/>
    <w:rsid w:val="33A3154A"/>
    <w:rsid w:val="33DC2F78"/>
    <w:rsid w:val="3428227C"/>
    <w:rsid w:val="35260F83"/>
    <w:rsid w:val="35602226"/>
    <w:rsid w:val="356B72E7"/>
    <w:rsid w:val="3572424F"/>
    <w:rsid w:val="357A56AB"/>
    <w:rsid w:val="35FC3844"/>
    <w:rsid w:val="366061FD"/>
    <w:rsid w:val="36723877"/>
    <w:rsid w:val="36794DEF"/>
    <w:rsid w:val="36AD519D"/>
    <w:rsid w:val="36B57705"/>
    <w:rsid w:val="374F1A0B"/>
    <w:rsid w:val="37A103ED"/>
    <w:rsid w:val="37EA5E6E"/>
    <w:rsid w:val="37F77C8B"/>
    <w:rsid w:val="37FF016F"/>
    <w:rsid w:val="38427C0B"/>
    <w:rsid w:val="387C5ABE"/>
    <w:rsid w:val="389B3A1E"/>
    <w:rsid w:val="389E0191"/>
    <w:rsid w:val="38EB6119"/>
    <w:rsid w:val="394C3792"/>
    <w:rsid w:val="39DE33DA"/>
    <w:rsid w:val="39FA5B4A"/>
    <w:rsid w:val="39FE0BE9"/>
    <w:rsid w:val="3A3C1AAF"/>
    <w:rsid w:val="3A424C25"/>
    <w:rsid w:val="3A4B7CC1"/>
    <w:rsid w:val="3A51228C"/>
    <w:rsid w:val="3A552E60"/>
    <w:rsid w:val="3A58524E"/>
    <w:rsid w:val="3A5D642F"/>
    <w:rsid w:val="3AB210FC"/>
    <w:rsid w:val="3ACE216B"/>
    <w:rsid w:val="3AD95C13"/>
    <w:rsid w:val="3B261E51"/>
    <w:rsid w:val="3B973F88"/>
    <w:rsid w:val="3BCD72F7"/>
    <w:rsid w:val="3BF267D2"/>
    <w:rsid w:val="3C414142"/>
    <w:rsid w:val="3C6C2B88"/>
    <w:rsid w:val="3CC34D7A"/>
    <w:rsid w:val="3CE114D9"/>
    <w:rsid w:val="3CF737A2"/>
    <w:rsid w:val="3CF7509A"/>
    <w:rsid w:val="3D10295A"/>
    <w:rsid w:val="3D3D4210"/>
    <w:rsid w:val="3E0572FD"/>
    <w:rsid w:val="3E1A5292"/>
    <w:rsid w:val="3E5A7FE7"/>
    <w:rsid w:val="3EC8179E"/>
    <w:rsid w:val="3EF66B2E"/>
    <w:rsid w:val="3F217914"/>
    <w:rsid w:val="3F942B76"/>
    <w:rsid w:val="3FD70BB0"/>
    <w:rsid w:val="3FFB55AC"/>
    <w:rsid w:val="401C5F9D"/>
    <w:rsid w:val="401C690C"/>
    <w:rsid w:val="401D7195"/>
    <w:rsid w:val="405F1BE4"/>
    <w:rsid w:val="40A51286"/>
    <w:rsid w:val="40CE3DC0"/>
    <w:rsid w:val="40D7455A"/>
    <w:rsid w:val="40E302F1"/>
    <w:rsid w:val="40E743E5"/>
    <w:rsid w:val="4110038E"/>
    <w:rsid w:val="41734CBA"/>
    <w:rsid w:val="41836C0B"/>
    <w:rsid w:val="41B51F6B"/>
    <w:rsid w:val="41C01B53"/>
    <w:rsid w:val="41DD7057"/>
    <w:rsid w:val="420F7A65"/>
    <w:rsid w:val="4216611A"/>
    <w:rsid w:val="423E300F"/>
    <w:rsid w:val="425656C8"/>
    <w:rsid w:val="4257273C"/>
    <w:rsid w:val="425D7213"/>
    <w:rsid w:val="42677B61"/>
    <w:rsid w:val="42756DB0"/>
    <w:rsid w:val="42B21AD2"/>
    <w:rsid w:val="42FD694D"/>
    <w:rsid w:val="434A6D8F"/>
    <w:rsid w:val="43D55863"/>
    <w:rsid w:val="43FA5777"/>
    <w:rsid w:val="44044D92"/>
    <w:rsid w:val="44134364"/>
    <w:rsid w:val="441C1611"/>
    <w:rsid w:val="443C440B"/>
    <w:rsid w:val="443F7DBF"/>
    <w:rsid w:val="44514F52"/>
    <w:rsid w:val="4470096F"/>
    <w:rsid w:val="448965CB"/>
    <w:rsid w:val="44B35566"/>
    <w:rsid w:val="44C5497E"/>
    <w:rsid w:val="44FA2D53"/>
    <w:rsid w:val="4571374F"/>
    <w:rsid w:val="458B1BB0"/>
    <w:rsid w:val="4611075B"/>
    <w:rsid w:val="46214818"/>
    <w:rsid w:val="467A0297"/>
    <w:rsid w:val="468B7125"/>
    <w:rsid w:val="46C4691F"/>
    <w:rsid w:val="47841568"/>
    <w:rsid w:val="479D1D34"/>
    <w:rsid w:val="47B609C0"/>
    <w:rsid w:val="47CF543E"/>
    <w:rsid w:val="482D31EA"/>
    <w:rsid w:val="485970A0"/>
    <w:rsid w:val="48847961"/>
    <w:rsid w:val="48A41906"/>
    <w:rsid w:val="48B65C71"/>
    <w:rsid w:val="48C525AA"/>
    <w:rsid w:val="48F303D7"/>
    <w:rsid w:val="492837FF"/>
    <w:rsid w:val="492E6A57"/>
    <w:rsid w:val="49385671"/>
    <w:rsid w:val="49B86103"/>
    <w:rsid w:val="49CD5977"/>
    <w:rsid w:val="4A0030EE"/>
    <w:rsid w:val="4AC36065"/>
    <w:rsid w:val="4B1926BD"/>
    <w:rsid w:val="4B560086"/>
    <w:rsid w:val="4B7501F5"/>
    <w:rsid w:val="4B8C2DEB"/>
    <w:rsid w:val="4BFA3C9F"/>
    <w:rsid w:val="4C0E3379"/>
    <w:rsid w:val="4C107F48"/>
    <w:rsid w:val="4C3277BC"/>
    <w:rsid w:val="4C686851"/>
    <w:rsid w:val="4CB25875"/>
    <w:rsid w:val="4CC353EB"/>
    <w:rsid w:val="4CEA1FD2"/>
    <w:rsid w:val="4CF36F3C"/>
    <w:rsid w:val="4CF428DD"/>
    <w:rsid w:val="4D4F67BA"/>
    <w:rsid w:val="4D603399"/>
    <w:rsid w:val="4D867EE1"/>
    <w:rsid w:val="4DBC4C65"/>
    <w:rsid w:val="4DF6568D"/>
    <w:rsid w:val="4E2E1A80"/>
    <w:rsid w:val="4E550010"/>
    <w:rsid w:val="4E5F14CB"/>
    <w:rsid w:val="4EBA5055"/>
    <w:rsid w:val="4F086370"/>
    <w:rsid w:val="4F3705F8"/>
    <w:rsid w:val="4F651D09"/>
    <w:rsid w:val="4FAC3540"/>
    <w:rsid w:val="4FBB12F4"/>
    <w:rsid w:val="4FCF1583"/>
    <w:rsid w:val="4FFA7625"/>
    <w:rsid w:val="501B0BF9"/>
    <w:rsid w:val="50547451"/>
    <w:rsid w:val="507D2599"/>
    <w:rsid w:val="5096229D"/>
    <w:rsid w:val="50B44FCE"/>
    <w:rsid w:val="50DC4184"/>
    <w:rsid w:val="51475B39"/>
    <w:rsid w:val="514C3EA7"/>
    <w:rsid w:val="519849E5"/>
    <w:rsid w:val="51B36892"/>
    <w:rsid w:val="52506DA7"/>
    <w:rsid w:val="526F57A8"/>
    <w:rsid w:val="533B2B84"/>
    <w:rsid w:val="537A7243"/>
    <w:rsid w:val="539C1B81"/>
    <w:rsid w:val="53AA6184"/>
    <w:rsid w:val="53AE750F"/>
    <w:rsid w:val="53CA212D"/>
    <w:rsid w:val="53EB0895"/>
    <w:rsid w:val="53F263AD"/>
    <w:rsid w:val="54693932"/>
    <w:rsid w:val="549A6BFA"/>
    <w:rsid w:val="54CA3D8B"/>
    <w:rsid w:val="54DA0AFD"/>
    <w:rsid w:val="54E72921"/>
    <w:rsid w:val="55806F07"/>
    <w:rsid w:val="55BF31A9"/>
    <w:rsid w:val="55FA2961"/>
    <w:rsid w:val="565E3E0E"/>
    <w:rsid w:val="565E7F4F"/>
    <w:rsid w:val="56775789"/>
    <w:rsid w:val="56857D06"/>
    <w:rsid w:val="56914056"/>
    <w:rsid w:val="569F0E63"/>
    <w:rsid w:val="56DB613D"/>
    <w:rsid w:val="56F5149D"/>
    <w:rsid w:val="573810DA"/>
    <w:rsid w:val="57FC2169"/>
    <w:rsid w:val="58096275"/>
    <w:rsid w:val="580E4560"/>
    <w:rsid w:val="581C04F1"/>
    <w:rsid w:val="582E6EF7"/>
    <w:rsid w:val="58434392"/>
    <w:rsid w:val="584E30E6"/>
    <w:rsid w:val="59014D02"/>
    <w:rsid w:val="597B384D"/>
    <w:rsid w:val="59996DA8"/>
    <w:rsid w:val="59AC3CE9"/>
    <w:rsid w:val="59C30F1B"/>
    <w:rsid w:val="5A0D5854"/>
    <w:rsid w:val="5A20156F"/>
    <w:rsid w:val="5A8E5D27"/>
    <w:rsid w:val="5A9847F3"/>
    <w:rsid w:val="5AC7121C"/>
    <w:rsid w:val="5AD90B8D"/>
    <w:rsid w:val="5AE12927"/>
    <w:rsid w:val="5B2243E9"/>
    <w:rsid w:val="5B4E1A44"/>
    <w:rsid w:val="5B666742"/>
    <w:rsid w:val="5B6919B0"/>
    <w:rsid w:val="5B873201"/>
    <w:rsid w:val="5B89551D"/>
    <w:rsid w:val="5B967767"/>
    <w:rsid w:val="5B9E55DE"/>
    <w:rsid w:val="5BD229A8"/>
    <w:rsid w:val="5C1D18D2"/>
    <w:rsid w:val="5C1D2403"/>
    <w:rsid w:val="5C286807"/>
    <w:rsid w:val="5C446BC8"/>
    <w:rsid w:val="5C4C687B"/>
    <w:rsid w:val="5C564D67"/>
    <w:rsid w:val="5C6413B5"/>
    <w:rsid w:val="5C7C2768"/>
    <w:rsid w:val="5CB23AE6"/>
    <w:rsid w:val="5CF55792"/>
    <w:rsid w:val="5CFD533A"/>
    <w:rsid w:val="5D893B14"/>
    <w:rsid w:val="5D9F3D30"/>
    <w:rsid w:val="5E2810D5"/>
    <w:rsid w:val="5E2B7D62"/>
    <w:rsid w:val="5E71411E"/>
    <w:rsid w:val="5EA06921"/>
    <w:rsid w:val="5EB6049E"/>
    <w:rsid w:val="5EBC56A2"/>
    <w:rsid w:val="5ED5006A"/>
    <w:rsid w:val="5F576E4B"/>
    <w:rsid w:val="5F5D4EDE"/>
    <w:rsid w:val="5F7A2C30"/>
    <w:rsid w:val="5FBE370A"/>
    <w:rsid w:val="60292845"/>
    <w:rsid w:val="60B16EF7"/>
    <w:rsid w:val="61027308"/>
    <w:rsid w:val="612E1A5D"/>
    <w:rsid w:val="61816046"/>
    <w:rsid w:val="62182687"/>
    <w:rsid w:val="623627B6"/>
    <w:rsid w:val="62391564"/>
    <w:rsid w:val="62816669"/>
    <w:rsid w:val="62BA0953"/>
    <w:rsid w:val="62D03A7C"/>
    <w:rsid w:val="62F16BCB"/>
    <w:rsid w:val="62F648FE"/>
    <w:rsid w:val="63341DB1"/>
    <w:rsid w:val="63447612"/>
    <w:rsid w:val="63907004"/>
    <w:rsid w:val="63A10995"/>
    <w:rsid w:val="63C23EFA"/>
    <w:rsid w:val="64255BC3"/>
    <w:rsid w:val="643A070A"/>
    <w:rsid w:val="644C573D"/>
    <w:rsid w:val="648667A7"/>
    <w:rsid w:val="64C00563"/>
    <w:rsid w:val="64DB383A"/>
    <w:rsid w:val="65032F85"/>
    <w:rsid w:val="65136B50"/>
    <w:rsid w:val="657E2A35"/>
    <w:rsid w:val="65A94E9D"/>
    <w:rsid w:val="65C60A92"/>
    <w:rsid w:val="662203DD"/>
    <w:rsid w:val="666B723B"/>
    <w:rsid w:val="6678045A"/>
    <w:rsid w:val="66DD6702"/>
    <w:rsid w:val="679406CB"/>
    <w:rsid w:val="67AB52F1"/>
    <w:rsid w:val="67C35C0B"/>
    <w:rsid w:val="681233D2"/>
    <w:rsid w:val="681D5EE5"/>
    <w:rsid w:val="68652AB3"/>
    <w:rsid w:val="6895578E"/>
    <w:rsid w:val="689F1926"/>
    <w:rsid w:val="68AD17BB"/>
    <w:rsid w:val="68D94D22"/>
    <w:rsid w:val="692B2E4A"/>
    <w:rsid w:val="694303FB"/>
    <w:rsid w:val="696A0B34"/>
    <w:rsid w:val="698D6A17"/>
    <w:rsid w:val="69A233E7"/>
    <w:rsid w:val="69EE3535"/>
    <w:rsid w:val="69F954C1"/>
    <w:rsid w:val="6A1A20CB"/>
    <w:rsid w:val="6A2031B6"/>
    <w:rsid w:val="6A440C53"/>
    <w:rsid w:val="6AC61F6F"/>
    <w:rsid w:val="6ADE74F0"/>
    <w:rsid w:val="6B1002C0"/>
    <w:rsid w:val="6B1F5CFA"/>
    <w:rsid w:val="6B723594"/>
    <w:rsid w:val="6B805156"/>
    <w:rsid w:val="6BD50977"/>
    <w:rsid w:val="6BD81195"/>
    <w:rsid w:val="6BEA2A9B"/>
    <w:rsid w:val="6C9C0875"/>
    <w:rsid w:val="6C9D1F03"/>
    <w:rsid w:val="6CAA3931"/>
    <w:rsid w:val="6D3933CA"/>
    <w:rsid w:val="6D7B61EC"/>
    <w:rsid w:val="6DC3266E"/>
    <w:rsid w:val="6DD049FF"/>
    <w:rsid w:val="6DED694C"/>
    <w:rsid w:val="6E09491E"/>
    <w:rsid w:val="6E0D3655"/>
    <w:rsid w:val="6E5D7B7F"/>
    <w:rsid w:val="6E5F4465"/>
    <w:rsid w:val="6E8C54DA"/>
    <w:rsid w:val="6E9C28B4"/>
    <w:rsid w:val="6EF10568"/>
    <w:rsid w:val="6EF11E03"/>
    <w:rsid w:val="6F111C62"/>
    <w:rsid w:val="6F2176E5"/>
    <w:rsid w:val="6F3053CA"/>
    <w:rsid w:val="6F592303"/>
    <w:rsid w:val="6F5F5B74"/>
    <w:rsid w:val="6F9B1C65"/>
    <w:rsid w:val="6FA41D2C"/>
    <w:rsid w:val="6FBA40D9"/>
    <w:rsid w:val="6FD47A25"/>
    <w:rsid w:val="6FF44026"/>
    <w:rsid w:val="6FFB146E"/>
    <w:rsid w:val="701A5C74"/>
    <w:rsid w:val="70230BCC"/>
    <w:rsid w:val="706516C3"/>
    <w:rsid w:val="70864A71"/>
    <w:rsid w:val="70896E68"/>
    <w:rsid w:val="714079A1"/>
    <w:rsid w:val="71434811"/>
    <w:rsid w:val="714556B4"/>
    <w:rsid w:val="715B60E9"/>
    <w:rsid w:val="71723BD4"/>
    <w:rsid w:val="71E96309"/>
    <w:rsid w:val="71EA1FED"/>
    <w:rsid w:val="72284A0C"/>
    <w:rsid w:val="72C16204"/>
    <w:rsid w:val="730313F6"/>
    <w:rsid w:val="731E1007"/>
    <w:rsid w:val="73370D24"/>
    <w:rsid w:val="7359268C"/>
    <w:rsid w:val="73797DFD"/>
    <w:rsid w:val="739503EB"/>
    <w:rsid w:val="73A05B28"/>
    <w:rsid w:val="73C07D69"/>
    <w:rsid w:val="749E2255"/>
    <w:rsid w:val="74B42AE4"/>
    <w:rsid w:val="750A429D"/>
    <w:rsid w:val="75167F59"/>
    <w:rsid w:val="754D77D2"/>
    <w:rsid w:val="755D38A7"/>
    <w:rsid w:val="755F5A0F"/>
    <w:rsid w:val="75614792"/>
    <w:rsid w:val="756E5849"/>
    <w:rsid w:val="75784473"/>
    <w:rsid w:val="757E044C"/>
    <w:rsid w:val="75977BC3"/>
    <w:rsid w:val="759C54AC"/>
    <w:rsid w:val="75B161B3"/>
    <w:rsid w:val="75E470E3"/>
    <w:rsid w:val="76690B0A"/>
    <w:rsid w:val="76736B32"/>
    <w:rsid w:val="76E3765E"/>
    <w:rsid w:val="76FC2AFA"/>
    <w:rsid w:val="773F0836"/>
    <w:rsid w:val="77653671"/>
    <w:rsid w:val="777D65C8"/>
    <w:rsid w:val="778546CC"/>
    <w:rsid w:val="77B56730"/>
    <w:rsid w:val="77C04A8B"/>
    <w:rsid w:val="77D85DB3"/>
    <w:rsid w:val="780252A0"/>
    <w:rsid w:val="78027772"/>
    <w:rsid w:val="78A50513"/>
    <w:rsid w:val="793B7339"/>
    <w:rsid w:val="796518DD"/>
    <w:rsid w:val="796E0C55"/>
    <w:rsid w:val="79AA0532"/>
    <w:rsid w:val="79C17E21"/>
    <w:rsid w:val="79F70999"/>
    <w:rsid w:val="79FE1DDD"/>
    <w:rsid w:val="7A075767"/>
    <w:rsid w:val="7A212062"/>
    <w:rsid w:val="7A282A11"/>
    <w:rsid w:val="7AB90FF6"/>
    <w:rsid w:val="7AC21562"/>
    <w:rsid w:val="7AD474A4"/>
    <w:rsid w:val="7B115232"/>
    <w:rsid w:val="7B416BDC"/>
    <w:rsid w:val="7B5350AD"/>
    <w:rsid w:val="7B6867EB"/>
    <w:rsid w:val="7B697C89"/>
    <w:rsid w:val="7B8D34C3"/>
    <w:rsid w:val="7B971D84"/>
    <w:rsid w:val="7BF32F03"/>
    <w:rsid w:val="7C1724A5"/>
    <w:rsid w:val="7C5E03C9"/>
    <w:rsid w:val="7C8E3CCF"/>
    <w:rsid w:val="7CA54112"/>
    <w:rsid w:val="7CD772C5"/>
    <w:rsid w:val="7CE50CE4"/>
    <w:rsid w:val="7D2177E3"/>
    <w:rsid w:val="7D2E5ABF"/>
    <w:rsid w:val="7D9E3C29"/>
    <w:rsid w:val="7E2142A2"/>
    <w:rsid w:val="7E4F5384"/>
    <w:rsid w:val="7E5A6DFA"/>
    <w:rsid w:val="7E7B0BF2"/>
    <w:rsid w:val="7E7C7A78"/>
    <w:rsid w:val="7E8D75B6"/>
    <w:rsid w:val="7EB2417D"/>
    <w:rsid w:val="7EE67601"/>
    <w:rsid w:val="7EF760EE"/>
    <w:rsid w:val="7F2A21E7"/>
    <w:rsid w:val="7F763FE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qFormat="1" w:unhideWhenUsed="0" w:uiPriority="0" w:semiHidden="0"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3"/>
    <w:unhideWhenUsed/>
    <w:qFormat/>
    <w:uiPriority w:val="9"/>
    <w:pPr>
      <w:keepNext/>
      <w:keepLines/>
      <w:spacing w:line="360" w:lineRule="auto"/>
      <w:outlineLvl w:val="2"/>
    </w:pPr>
    <w:rPr>
      <w:rFonts w:eastAsia="宋体"/>
      <w:b/>
      <w:bCs/>
      <w:sz w:val="28"/>
      <w:szCs w:val="32"/>
    </w:rPr>
  </w:style>
  <w:style w:type="paragraph" w:styleId="5">
    <w:name w:val="heading 4"/>
    <w:basedOn w:val="1"/>
    <w:next w:val="1"/>
    <w:link w:val="35"/>
    <w:unhideWhenUsed/>
    <w:qFormat/>
    <w:uiPriority w:val="9"/>
    <w:pPr>
      <w:keepNext/>
      <w:keepLines/>
      <w:spacing w:line="360" w:lineRule="auto"/>
      <w:outlineLvl w:val="3"/>
    </w:pPr>
    <w:rPr>
      <w:rFonts w:eastAsia="宋体" w:asciiTheme="majorAscii" w:hAnsiTheme="majorAscii" w:cstheme="majorBidi"/>
      <w:b/>
      <w:bCs/>
      <w:sz w:val="24"/>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style>
  <w:style w:type="paragraph" w:styleId="7">
    <w:name w:val="Body Text"/>
    <w:basedOn w:val="1"/>
    <w:next w:val="1"/>
    <w:qFormat/>
    <w:uiPriority w:val="1"/>
    <w:pPr>
      <w:spacing w:before="161"/>
      <w:ind w:left="120"/>
    </w:pPr>
    <w:rPr>
      <w:rFonts w:ascii="宋体" w:hAnsi="宋体" w:eastAsia="宋体" w:cs="宋体"/>
      <w:sz w:val="24"/>
      <w:lang w:val="zh-CN" w:bidi="zh-CN"/>
    </w:rPr>
  </w:style>
  <w:style w:type="paragraph" w:styleId="8">
    <w:name w:val="toc 3"/>
    <w:basedOn w:val="1"/>
    <w:next w:val="1"/>
    <w:unhideWhenUsed/>
    <w:qFormat/>
    <w:uiPriority w:val="39"/>
    <w:pPr>
      <w:tabs>
        <w:tab w:val="right" w:leader="dot" w:pos="8296"/>
      </w:tabs>
      <w:ind w:left="838" w:leftChars="381"/>
    </w:pPr>
    <w:rPr>
      <w:sz w:val="21"/>
      <w:szCs w:val="21"/>
    </w:rPr>
  </w:style>
  <w:style w:type="paragraph" w:styleId="9">
    <w:name w:val="Plain Text"/>
    <w:basedOn w:val="1"/>
    <w:link w:val="46"/>
    <w:qFormat/>
    <w:uiPriority w:val="0"/>
    <w:pPr>
      <w:widowControl w:val="0"/>
      <w:adjustRightInd/>
      <w:snapToGrid/>
      <w:spacing w:after="0"/>
      <w:jc w:val="both"/>
    </w:pPr>
    <w:rPr>
      <w:rFonts w:ascii="宋体" w:hAnsi="Courier New" w:eastAsia="宋体" w:cs="Times New Roman"/>
      <w:b/>
      <w:kern w:val="2"/>
      <w:sz w:val="21"/>
      <w:szCs w:val="20"/>
    </w:rPr>
  </w:style>
  <w:style w:type="paragraph" w:styleId="10">
    <w:name w:val="Body Text Indent 2"/>
    <w:basedOn w:val="1"/>
    <w:qFormat/>
    <w:uiPriority w:val="0"/>
    <w:pPr>
      <w:ind w:firstLine="539" w:firstLineChars="174"/>
    </w:pPr>
    <w:rPr>
      <w:rFonts w:ascii="仿宋_GB2312" w:eastAsia="仿宋_GB2312"/>
      <w:sz w:val="31"/>
    </w:rPr>
  </w:style>
  <w:style w:type="paragraph" w:styleId="11">
    <w:name w:val="Balloon Text"/>
    <w:basedOn w:val="1"/>
    <w:link w:val="49"/>
    <w:semiHidden/>
    <w:unhideWhenUsed/>
    <w:qFormat/>
    <w:uiPriority w:val="99"/>
    <w:pPr>
      <w:spacing w:after="0"/>
    </w:pPr>
    <w:rPr>
      <w:sz w:val="18"/>
      <w:szCs w:val="18"/>
    </w:rPr>
  </w:style>
  <w:style w:type="paragraph" w:styleId="12">
    <w:name w:val="footer"/>
    <w:basedOn w:val="1"/>
    <w:link w:val="48"/>
    <w:unhideWhenUsed/>
    <w:qFormat/>
    <w:uiPriority w:val="99"/>
    <w:pPr>
      <w:tabs>
        <w:tab w:val="center" w:pos="4153"/>
        <w:tab w:val="right" w:pos="8306"/>
      </w:tabs>
    </w:pPr>
    <w:rPr>
      <w:sz w:val="18"/>
      <w:szCs w:val="18"/>
    </w:rPr>
  </w:style>
  <w:style w:type="paragraph" w:styleId="13">
    <w:name w:val="header"/>
    <w:basedOn w:val="1"/>
    <w:link w:val="47"/>
    <w:unhideWhenUsed/>
    <w:qFormat/>
    <w:uiPriority w:val="99"/>
    <w:pPr>
      <w:pBdr>
        <w:bottom w:val="single" w:color="auto" w:sz="6" w:space="1"/>
      </w:pBdr>
      <w:tabs>
        <w:tab w:val="center" w:pos="4153"/>
        <w:tab w:val="right" w:pos="8306"/>
      </w:tabs>
      <w:jc w:val="center"/>
    </w:pPr>
    <w:rPr>
      <w:sz w:val="18"/>
      <w:szCs w:val="18"/>
    </w:rPr>
  </w:style>
  <w:style w:type="paragraph" w:styleId="14">
    <w:name w:val="toc 1"/>
    <w:basedOn w:val="1"/>
    <w:next w:val="1"/>
    <w:semiHidden/>
    <w:unhideWhenUsed/>
    <w:qFormat/>
    <w:uiPriority w:val="39"/>
  </w:style>
  <w:style w:type="paragraph" w:styleId="15">
    <w:name w:val="toc 4"/>
    <w:basedOn w:val="1"/>
    <w:next w:val="1"/>
    <w:unhideWhenUsed/>
    <w:qFormat/>
    <w:uiPriority w:val="39"/>
    <w:pPr>
      <w:tabs>
        <w:tab w:val="right" w:leader="dot" w:pos="8296"/>
      </w:tabs>
      <w:spacing w:after="120"/>
      <w:ind w:left="1320" w:leftChars="600"/>
    </w:pPr>
  </w:style>
  <w:style w:type="paragraph" w:styleId="16">
    <w:name w:val="index heading"/>
    <w:basedOn w:val="1"/>
    <w:next w:val="17"/>
    <w:qFormat/>
    <w:uiPriority w:val="0"/>
    <w:rPr>
      <w:rFonts w:ascii="Times New Roman" w:hAnsi="Times New Roman"/>
      <w:szCs w:val="20"/>
    </w:rPr>
  </w:style>
  <w:style w:type="paragraph" w:styleId="17">
    <w:name w:val="index 1"/>
    <w:basedOn w:val="1"/>
    <w:next w:val="1"/>
    <w:unhideWhenUsed/>
    <w:qFormat/>
    <w:uiPriority w:val="99"/>
  </w:style>
  <w:style w:type="paragraph" w:styleId="18">
    <w:name w:val="footnote text"/>
    <w:basedOn w:val="1"/>
    <w:semiHidden/>
    <w:unhideWhenUsed/>
    <w:qFormat/>
    <w:uiPriority w:val="99"/>
    <w:pPr>
      <w:snapToGrid w:val="0"/>
      <w:jc w:val="left"/>
    </w:pPr>
    <w:rPr>
      <w:sz w:val="18"/>
    </w:rPr>
  </w:style>
  <w:style w:type="paragraph" w:styleId="19">
    <w:name w:val="toc 6"/>
    <w:basedOn w:val="1"/>
    <w:next w:val="1"/>
    <w:qFormat/>
    <w:uiPriority w:val="0"/>
    <w:pPr>
      <w:ind w:left="1200"/>
    </w:pPr>
    <w:rPr>
      <w:rFonts w:ascii="Calibri" w:cs="Calibri"/>
      <w:sz w:val="18"/>
      <w:szCs w:val="18"/>
    </w:rPr>
  </w:style>
  <w:style w:type="paragraph" w:styleId="20">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1">
    <w:name w:val="Normal (Web)"/>
    <w:basedOn w:val="1"/>
    <w:link w:val="51"/>
    <w:qFormat/>
    <w:uiPriority w:val="0"/>
    <w:pPr>
      <w:widowControl w:val="0"/>
      <w:adjustRightInd/>
      <w:snapToGrid/>
      <w:spacing w:after="0"/>
      <w:jc w:val="both"/>
    </w:pPr>
    <w:rPr>
      <w:rFonts w:eastAsia="宋体" w:asciiTheme="minorHAnsi" w:hAnsiTheme="minorHAnsi"/>
      <w:kern w:val="2"/>
      <w:sz w:val="24"/>
      <w:szCs w:val="24"/>
    </w:rPr>
  </w:style>
  <w:style w:type="paragraph" w:styleId="22">
    <w:name w:val="Body Text First Indent"/>
    <w:basedOn w:val="7"/>
    <w:next w:val="19"/>
    <w:unhideWhenUsed/>
    <w:qFormat/>
    <w:uiPriority w:val="99"/>
    <w:pPr>
      <w:ind w:firstLine="420" w:firstLineChars="100"/>
    </w:pPr>
    <w:rPr>
      <w:rFonts w:ascii="Times New Roman" w:hAnsi="Times New Roman" w:cs="Times New Roman"/>
    </w:rPr>
  </w:style>
  <w:style w:type="table" w:styleId="24">
    <w:name w:val="Table Grid"/>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Emphasis"/>
    <w:basedOn w:val="25"/>
    <w:qFormat/>
    <w:uiPriority w:val="20"/>
    <w:rPr>
      <w:i/>
      <w:iCs/>
    </w:rPr>
  </w:style>
  <w:style w:type="character" w:styleId="27">
    <w:name w:val="Hyperlink"/>
    <w:qFormat/>
    <w:uiPriority w:val="99"/>
    <w:rPr>
      <w:rFonts w:hint="eastAsia" w:ascii="宋体" w:hAnsi="宋体" w:eastAsia="宋体" w:cs="宋体"/>
      <w:b/>
      <w:color w:val="0031C1"/>
      <w:kern w:val="0"/>
      <w:sz w:val="18"/>
      <w:szCs w:val="18"/>
      <w:u w:val="none"/>
      <w:lang w:eastAsia="en-US"/>
    </w:rPr>
  </w:style>
  <w:style w:type="character" w:styleId="28">
    <w:name w:val="annotation reference"/>
    <w:basedOn w:val="25"/>
    <w:semiHidden/>
    <w:unhideWhenUsed/>
    <w:qFormat/>
    <w:uiPriority w:val="99"/>
    <w:rPr>
      <w:sz w:val="21"/>
      <w:szCs w:val="21"/>
    </w:rPr>
  </w:style>
  <w:style w:type="character" w:styleId="29">
    <w:name w:val="footnote reference"/>
    <w:basedOn w:val="25"/>
    <w:semiHidden/>
    <w:unhideWhenUsed/>
    <w:qFormat/>
    <w:uiPriority w:val="99"/>
    <w:rPr>
      <w:vertAlign w:val="superscript"/>
    </w:rPr>
  </w:style>
  <w:style w:type="paragraph" w:customStyle="1" w:styleId="30">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1">
    <w:name w:val="表格文字"/>
    <w:basedOn w:val="1"/>
    <w:qFormat/>
    <w:uiPriority w:val="0"/>
    <w:pPr>
      <w:autoSpaceDE/>
      <w:autoSpaceDN/>
      <w:adjustRightInd/>
      <w:spacing w:before="25" w:after="25"/>
    </w:pPr>
    <w:rPr>
      <w:rFonts w:ascii="Times New Roman"/>
      <w:bCs/>
      <w:spacing w:val="10"/>
      <w:szCs w:val="20"/>
    </w:rPr>
  </w:style>
  <w:style w:type="character" w:customStyle="1" w:styleId="32">
    <w:name w:val="标题 2 Char"/>
    <w:basedOn w:val="25"/>
    <w:link w:val="3"/>
    <w:qFormat/>
    <w:uiPriority w:val="9"/>
    <w:rPr>
      <w:rFonts w:asciiTheme="majorHAnsi" w:hAnsiTheme="majorHAnsi" w:eastAsiaTheme="majorEastAsia" w:cstheme="majorBidi"/>
      <w:b/>
      <w:bCs/>
      <w:sz w:val="32"/>
      <w:szCs w:val="32"/>
    </w:rPr>
  </w:style>
  <w:style w:type="character" w:customStyle="1" w:styleId="33">
    <w:name w:val="标题 3 Char"/>
    <w:basedOn w:val="25"/>
    <w:link w:val="4"/>
    <w:qFormat/>
    <w:uiPriority w:val="9"/>
    <w:rPr>
      <w:rFonts w:ascii="Tahoma" w:hAnsi="Tahoma" w:eastAsia="宋体"/>
      <w:b/>
      <w:bCs/>
      <w:sz w:val="28"/>
      <w:szCs w:val="32"/>
    </w:rPr>
  </w:style>
  <w:style w:type="paragraph" w:styleId="34">
    <w:name w:val="List Paragraph"/>
    <w:basedOn w:val="1"/>
    <w:qFormat/>
    <w:uiPriority w:val="34"/>
    <w:pPr>
      <w:ind w:firstLine="420" w:firstLineChars="200"/>
    </w:pPr>
  </w:style>
  <w:style w:type="character" w:customStyle="1" w:styleId="35">
    <w:name w:val="标题 4 Char"/>
    <w:basedOn w:val="25"/>
    <w:link w:val="5"/>
    <w:qFormat/>
    <w:uiPriority w:val="9"/>
    <w:rPr>
      <w:rFonts w:eastAsia="宋体" w:asciiTheme="majorAscii" w:hAnsiTheme="majorAscii" w:cstheme="majorBidi"/>
      <w:b/>
      <w:bCs/>
      <w:sz w:val="24"/>
      <w:szCs w:val="28"/>
    </w:rPr>
  </w:style>
  <w:style w:type="character" w:customStyle="1" w:styleId="36">
    <w:name w:val="正文缩进2格 Char"/>
    <w:link w:val="37"/>
    <w:qFormat/>
    <w:uiPriority w:val="0"/>
    <w:rPr>
      <w:rFonts w:ascii="仿宋_GB2312" w:hAnsi="宋体" w:eastAsia="仿宋_GB2312"/>
      <w:kern w:val="2"/>
      <w:sz w:val="31"/>
    </w:rPr>
  </w:style>
  <w:style w:type="paragraph" w:customStyle="1" w:styleId="37">
    <w:name w:val="正文缩进2格"/>
    <w:basedOn w:val="1"/>
    <w:next w:val="1"/>
    <w:link w:val="36"/>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8">
    <w:name w:val="正文缩进4格"/>
    <w:basedOn w:val="37"/>
    <w:qFormat/>
    <w:uiPriority w:val="0"/>
    <w:pPr>
      <w:ind w:left="2" w:firstLine="538" w:firstLineChars="192"/>
    </w:pPr>
    <w:rPr>
      <w:color w:val="0000FF"/>
      <w:sz w:val="28"/>
    </w:rPr>
  </w:style>
  <w:style w:type="character" w:customStyle="1" w:styleId="39">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40">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41">
    <w:name w:val="标题1"/>
    <w:qFormat/>
    <w:uiPriority w:val="0"/>
    <w:rPr>
      <w:rFonts w:ascii="Times New Roman" w:hAnsi="Times New Roman" w:eastAsia="宋体" w:cs="Times New Roman"/>
      <w:b/>
      <w:kern w:val="0"/>
      <w:sz w:val="24"/>
      <w:szCs w:val="20"/>
      <w:lang w:eastAsia="en-US"/>
    </w:rPr>
  </w:style>
  <w:style w:type="character" w:customStyle="1" w:styleId="42">
    <w:name w:val="标题 3.1 Char"/>
    <w:link w:val="43"/>
    <w:qFormat/>
    <w:uiPriority w:val="0"/>
    <w:rPr>
      <w:rFonts w:ascii="宋体" w:hAnsi="宋体" w:eastAsia="宋体"/>
      <w:b/>
      <w:color w:val="FF0000"/>
      <w:kern w:val="2"/>
      <w:sz w:val="32"/>
    </w:rPr>
  </w:style>
  <w:style w:type="paragraph" w:customStyle="1" w:styleId="43">
    <w:name w:val="标题 3.1"/>
    <w:basedOn w:val="4"/>
    <w:link w:val="42"/>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4">
    <w:name w:val="样式 楷体_GB2312 小四"/>
    <w:qFormat/>
    <w:uiPriority w:val="0"/>
    <w:rPr>
      <w:rFonts w:ascii="楷体_GB2312" w:hAnsi="楷体_GB2312" w:eastAsia="仿宋_GB2312"/>
      <w:sz w:val="24"/>
    </w:rPr>
  </w:style>
  <w:style w:type="character" w:customStyle="1" w:styleId="45">
    <w:name w:val="纯文本 Char"/>
    <w:qFormat/>
    <w:uiPriority w:val="0"/>
    <w:rPr>
      <w:rFonts w:ascii="宋体" w:hAnsi="Courier New" w:eastAsia="宋体" w:cs="Times New Roman"/>
      <w:b/>
      <w:kern w:val="2"/>
      <w:sz w:val="21"/>
      <w:szCs w:val="20"/>
    </w:rPr>
  </w:style>
  <w:style w:type="character" w:customStyle="1" w:styleId="46">
    <w:name w:val="纯文本 Char1"/>
    <w:basedOn w:val="25"/>
    <w:link w:val="9"/>
    <w:semiHidden/>
    <w:qFormat/>
    <w:uiPriority w:val="99"/>
    <w:rPr>
      <w:rFonts w:ascii="宋体" w:hAnsi="Courier New" w:eastAsia="宋体" w:cs="Courier New"/>
      <w:sz w:val="21"/>
      <w:szCs w:val="21"/>
    </w:rPr>
  </w:style>
  <w:style w:type="character" w:customStyle="1" w:styleId="47">
    <w:name w:val="页眉 Char"/>
    <w:basedOn w:val="25"/>
    <w:link w:val="13"/>
    <w:qFormat/>
    <w:uiPriority w:val="99"/>
    <w:rPr>
      <w:rFonts w:ascii="Tahoma" w:hAnsi="Tahoma"/>
      <w:sz w:val="18"/>
      <w:szCs w:val="18"/>
    </w:rPr>
  </w:style>
  <w:style w:type="character" w:customStyle="1" w:styleId="48">
    <w:name w:val="页脚 Char"/>
    <w:basedOn w:val="25"/>
    <w:link w:val="12"/>
    <w:qFormat/>
    <w:uiPriority w:val="99"/>
    <w:rPr>
      <w:rFonts w:ascii="Tahoma" w:hAnsi="Tahoma"/>
      <w:sz w:val="18"/>
      <w:szCs w:val="18"/>
    </w:rPr>
  </w:style>
  <w:style w:type="character" w:customStyle="1" w:styleId="49">
    <w:name w:val="批注框文本 Char"/>
    <w:basedOn w:val="25"/>
    <w:link w:val="11"/>
    <w:semiHidden/>
    <w:qFormat/>
    <w:uiPriority w:val="99"/>
    <w:rPr>
      <w:rFonts w:ascii="Tahoma" w:hAnsi="Tahoma"/>
      <w:sz w:val="18"/>
      <w:szCs w:val="18"/>
    </w:rPr>
  </w:style>
  <w:style w:type="paragraph" w:customStyle="1" w:styleId="50">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51">
    <w:name w:val="普通(网站) Char"/>
    <w:link w:val="21"/>
    <w:qFormat/>
    <w:uiPriority w:val="0"/>
    <w:rPr>
      <w:rFonts w:eastAsia="宋体"/>
      <w:kern w:val="2"/>
      <w:sz w:val="24"/>
      <w:szCs w:val="24"/>
    </w:rPr>
  </w:style>
  <w:style w:type="paragraph" w:customStyle="1" w:styleId="52">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3">
    <w:name w:val="p141"/>
    <w:qFormat/>
    <w:uiPriority w:val="0"/>
    <w:rPr>
      <w:sz w:val="21"/>
      <w:szCs w:val="21"/>
    </w:rPr>
  </w:style>
  <w:style w:type="paragraph" w:customStyle="1" w:styleId="54">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5">
    <w:name w:val="正文无缩进"/>
    <w:basedOn w:val="37"/>
    <w:qFormat/>
    <w:uiPriority w:val="0"/>
    <w:pPr>
      <w:ind w:firstLine="0" w:firstLineChars="0"/>
    </w:pPr>
  </w:style>
  <w:style w:type="paragraph" w:customStyle="1" w:styleId="56">
    <w:name w:val="一级条标题"/>
    <w:basedOn w:val="57"/>
    <w:next w:val="58"/>
    <w:qFormat/>
    <w:uiPriority w:val="0"/>
    <w:pPr>
      <w:tabs>
        <w:tab w:val="left" w:pos="720"/>
      </w:tabs>
      <w:spacing w:beforeLines="0" w:afterLines="0"/>
      <w:outlineLvl w:val="2"/>
    </w:pPr>
  </w:style>
  <w:style w:type="paragraph" w:customStyle="1" w:styleId="57">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58">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73</Pages>
  <Words>30189</Words>
  <Characters>30978</Characters>
  <Lines>264</Lines>
  <Paragraphs>74</Paragraphs>
  <TotalTime>2</TotalTime>
  <ScaleCrop>false</ScaleCrop>
  <LinksUpToDate>false</LinksUpToDate>
  <CharactersWithSpaces>33278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Windowns</cp:lastModifiedBy>
  <cp:lastPrinted>2021-04-23T09:50:00Z</cp:lastPrinted>
  <dcterms:modified xsi:type="dcterms:W3CDTF">2023-11-02T07:14:50Z</dcterms:modified>
  <dc:subject>公开招标文件版本</dc:subject>
  <dc:title>公开招标文件版本</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A39D8B98285F4F339D030765F088CB04_13</vt:lpwstr>
  </property>
</Properties>
</file>