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9"/>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5"/>
        <w:ind w:firstLine="240"/>
        <w:rPr>
          <w:rFonts w:ascii="黑体" w:eastAsia="黑体"/>
          <w:color w:val="auto"/>
          <w:szCs w:val="21"/>
          <w:highlight w:val="none"/>
        </w:rPr>
      </w:pPr>
    </w:p>
    <w:p>
      <w:pPr>
        <w:pStyle w:val="25"/>
        <w:ind w:left="0" w:firstLine="0" w:firstLineChars="0"/>
        <w:rPr>
          <w:rFonts w:ascii="黑体" w:eastAsia="黑体"/>
          <w:color w:val="auto"/>
          <w:szCs w:val="21"/>
          <w:highlight w:val="none"/>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GDZT2023156C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石鼓居委会办公楼、水龙油画村、警务区及老人活动中心内保洁服务项目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东莞市塘厦镇石鼓股份经济联合社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2"/>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2"/>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2"/>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w:t>
      </w:r>
      <w:r>
        <w:rPr>
          <w:rFonts w:hint="eastAsia" w:ascii="宋体" w:hAnsi="宋体" w:eastAsia="宋体" w:cs="宋体"/>
          <w:b w:val="0"/>
          <w:bCs/>
          <w:color w:val="auto"/>
          <w:sz w:val="21"/>
          <w:szCs w:val="21"/>
          <w:highlight w:val="none"/>
        </w:rPr>
        <w:t>资格条件承诺函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东莞市塘厦镇石鼓股份经济联合社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石鼓居委会办公楼、水龙油画村、警务区及老人活动中心内保洁服务项目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GDZT2023156C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石鼓居委会办公楼、水龙油画村、警务区及老人活动中心内保洁服务项目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5475"/>
        <w:gridCol w:w="780"/>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28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6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91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283"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石鼓居委会办公楼、水龙油画村、警务区及老人活动中心内保洁服务项目</w:t>
            </w:r>
          </w:p>
        </w:tc>
        <w:tc>
          <w:tcPr>
            <w:tcW w:w="46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911"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lang w:val="en-US" w:eastAsia="zh-CN"/>
              </w:rPr>
              <w:t>894,256.92</w:t>
            </w:r>
            <w:r>
              <w:rPr>
                <w:rFonts w:hint="eastAsia" w:ascii="宋体" w:hAnsi="宋体"/>
                <w:b/>
                <w:bCs/>
                <w:color w:val="auto"/>
                <w:szCs w:val="21"/>
                <w:highlight w:val="none"/>
              </w:rPr>
              <w:t>元</w:t>
            </w:r>
          </w:p>
        </w:tc>
      </w:tr>
    </w:tbl>
    <w:p>
      <w:pPr>
        <w:pStyle w:val="9"/>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1.投标人应具备《中华人民共和国政府采购法》第二十二条规定的条件，提供下列材料：</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2）有依法缴纳税收和社会保障资金的良好记录：投标文件中提供《资格条件承诺函》。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3）具有良好的商业信誉和健全的财务会计制度：投标文件中提供《资格条件承诺函》。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4）履行合同所必需的设备和专业技术能力：投标文件中提供《资格条件承诺函》。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5）参加采购活动前3年内，在经营活动中没有重大违法记录：投标（响应）文件中提供《资格条件承诺函》。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.本项目特定的资格要求：</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1)供应商未被列入“信用中国”网站(www.creditchina.gov.cn)“记录失信被执行人或税收违法黑名单”记录名单； 不处于中国政府采购网(www.ccgp.gov.cn)“政府采购严重违法失信行为信息记录”中的禁止参加政府采购活动期间。 （以采购代理机构于投标（响应） 截止时间当天在“信用中国”网站（www.creditchina.gov.cn） 及中国政府采购网（http://www.ccgp.gov.cn/） 查询结果为准， 如相关失信记录已失效， 供应商需提供相关证明资料）。</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2)单位负责人为同一人或者存在直接控股、 管理关系的不同供应商，不得同时参加本采购项目（或采购包） 投标（响应）。 为本项目提供整体设计、 规范编制或者项目管理、 监理、 检测等服务的供应商， 不得再参与本项目投标（响应）。 投标（报价） 函相关承诺要求内容。</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22</w:t>
      </w:r>
      <w:r>
        <w:rPr>
          <w:rFonts w:hint="eastAsia" w:ascii="宋体" w:hAnsi="宋体"/>
          <w:bCs/>
          <w:color w:val="auto"/>
          <w:szCs w:val="21"/>
          <w:highlight w:val="none"/>
        </w:rPr>
        <w:t>日下午14：</w:t>
      </w:r>
      <w:r>
        <w:rPr>
          <w:rFonts w:hint="eastAsia" w:ascii="宋体" w:hAnsi="宋体"/>
          <w:bCs/>
          <w:color w:val="auto"/>
          <w:szCs w:val="21"/>
          <w:highlight w:val="none"/>
          <w:lang w:val="en-US" w:eastAsia="zh-CN"/>
        </w:rPr>
        <w:t>3</w:t>
      </w:r>
      <w:r>
        <w:rPr>
          <w:rFonts w:hint="eastAsia" w:ascii="宋体" w:hAnsi="宋体"/>
          <w:bCs/>
          <w:color w:val="auto"/>
          <w:szCs w:val="21"/>
          <w:highlight w:val="none"/>
        </w:rPr>
        <w:t>0～1</w:t>
      </w:r>
      <w:r>
        <w:rPr>
          <w:rFonts w:hint="eastAsia" w:ascii="宋体" w:hAnsi="宋体"/>
          <w:bCs/>
          <w:color w:val="auto"/>
          <w:szCs w:val="21"/>
          <w:highlight w:val="none"/>
          <w:lang w:val="en-US" w:eastAsia="zh-CN"/>
        </w:rPr>
        <w:t>5</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22</w:t>
      </w:r>
      <w:r>
        <w:rPr>
          <w:rFonts w:hint="eastAsia" w:ascii="宋体" w:hAnsi="宋体"/>
          <w:bCs/>
          <w:color w:val="auto"/>
          <w:szCs w:val="21"/>
          <w:highlight w:val="none"/>
        </w:rPr>
        <w:t>日下午1</w:t>
      </w:r>
      <w:r>
        <w:rPr>
          <w:rFonts w:hint="eastAsia" w:ascii="宋体" w:hAnsi="宋体"/>
          <w:bCs/>
          <w:color w:val="auto"/>
          <w:szCs w:val="21"/>
          <w:highlight w:val="none"/>
          <w:lang w:val="en-US" w:eastAsia="zh-CN"/>
        </w:rPr>
        <w:t>5</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广东省东莞市塘厦镇迎宾大道13号行政办事服务大楼2</w:t>
      </w:r>
      <w:r>
        <w:rPr>
          <w:rFonts w:hint="eastAsia" w:ascii="宋体" w:hAnsi="宋体"/>
          <w:color w:val="auto"/>
          <w:szCs w:val="21"/>
          <w:highlight w:val="none"/>
          <w:lang w:val="en-US" w:eastAsia="zh-CN"/>
        </w:rPr>
        <w:t>09</w:t>
      </w:r>
      <w:r>
        <w:rPr>
          <w:rFonts w:hint="eastAsia" w:ascii="宋体" w:hAnsi="宋体"/>
          <w:color w:val="auto"/>
          <w:szCs w:val="21"/>
          <w:highlight w:val="none"/>
        </w:rPr>
        <w:t>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黄先生</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东莞市塘厦镇</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0769-87726607</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hint="eastAsia"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pStyle w:val="3"/>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 w:val="21"/>
                <w:szCs w:val="21"/>
                <w:highlight w:val="none"/>
                <w:lang w:val="en-US" w:eastAsia="zh-CN"/>
              </w:rPr>
              <w:t>集体</w:t>
            </w:r>
            <w:r>
              <w:rPr>
                <w:rFonts w:hint="eastAsia" w:ascii="宋体" w:hAnsi="宋体" w:eastAsia="宋体"/>
                <w:color w:val="auto"/>
                <w:sz w:val="21"/>
                <w:szCs w:val="21"/>
                <w:highlight w:val="none"/>
              </w:rPr>
              <w:t>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9"/>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7" w:name="_Toc2479"/>
            <w:bookmarkStart w:id="18" w:name="_Toc30638"/>
            <w:bookmarkStart w:id="19" w:name="_Toc29685"/>
            <w:bookmarkStart w:id="20" w:name="_Toc14146"/>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要求且价格最低的</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报价为评标基准价，其价格分为满分。其他</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的价格分统一按照下列公式计算：</w:t>
            </w:r>
          </w:p>
          <w:p>
            <w:pPr>
              <w:pStyle w:val="40"/>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报价得分=(评标基准价／</w:t>
            </w:r>
            <w:r>
              <w:rPr>
                <w:rFonts w:hint="eastAsia" w:asci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30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51"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根据</w:t>
            </w:r>
            <w:r>
              <w:rPr>
                <w:rFonts w:hint="eastAsia" w:ascii="宋体" w:eastAsia="宋体" w:cs="宋体"/>
                <w:bCs/>
                <w:color w:val="auto"/>
                <w:sz w:val="21"/>
                <w:szCs w:val="21"/>
                <w:highlight w:val="none"/>
                <w:lang w:val="zh-CN"/>
              </w:rPr>
              <w:t>投标人</w:t>
            </w:r>
            <w:r>
              <w:rPr>
                <w:rFonts w:hint="eastAsia" w:ascii="宋体" w:hAnsi="宋体" w:eastAsia="宋体" w:cs="宋体"/>
                <w:bCs/>
                <w:color w:val="auto"/>
                <w:sz w:val="21"/>
                <w:szCs w:val="21"/>
                <w:highlight w:val="none"/>
                <w:lang w:val="en-US" w:eastAsia="zh-CN"/>
              </w:rPr>
              <w:t>具有的</w:t>
            </w:r>
            <w:r>
              <w:rPr>
                <w:rFonts w:hint="eastAsia" w:ascii="宋体" w:eastAsia="宋体" w:cs="宋体"/>
                <w:bCs/>
                <w:color w:val="auto"/>
                <w:sz w:val="21"/>
                <w:szCs w:val="21"/>
                <w:highlight w:val="none"/>
                <w:lang w:val="en-US" w:eastAsia="zh-CN"/>
              </w:rPr>
              <w:t>保洁（或环卫）服务类</w:t>
            </w:r>
            <w:r>
              <w:rPr>
                <w:rFonts w:hint="eastAsia" w:ascii="宋体" w:hAnsi="宋体" w:eastAsia="宋体" w:cs="宋体"/>
                <w:bCs/>
                <w:color w:val="auto"/>
                <w:sz w:val="21"/>
                <w:szCs w:val="21"/>
                <w:highlight w:val="none"/>
                <w:lang w:val="zh-CN"/>
              </w:rPr>
              <w:t>业绩</w:t>
            </w:r>
            <w:r>
              <w:rPr>
                <w:rFonts w:hint="eastAsia" w:ascii="宋体" w:hAns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24</w:t>
            </w:r>
            <w:r>
              <w:rPr>
                <w:rFonts w:hint="eastAsia" w:ascii="宋体" w:hAnsi="宋体" w:eastAsia="宋体" w:cs="宋体"/>
                <w:bCs/>
                <w:color w:val="auto"/>
                <w:sz w:val="21"/>
                <w:szCs w:val="21"/>
                <w:highlight w:val="none"/>
                <w:lang w:val="zh-CN"/>
              </w:rPr>
              <w:t>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zh-CN"/>
              </w:rPr>
              <w:t>注：须提供合同复印件加盖</w:t>
            </w:r>
            <w:r>
              <w:rPr>
                <w:rFonts w:hint="eastAsia" w:ascii="宋体" w:eastAsia="宋体" w:cs="宋体"/>
                <w:bCs/>
                <w:color w:val="auto"/>
                <w:sz w:val="21"/>
                <w:szCs w:val="21"/>
                <w:highlight w:val="none"/>
                <w:lang w:val="zh-CN"/>
              </w:rPr>
              <w:t>投标人</w:t>
            </w:r>
            <w:r>
              <w:rPr>
                <w:rFonts w:hint="eastAsia" w:ascii="宋体" w:hAnsi="宋体" w:eastAsia="宋体" w:cs="宋体"/>
                <w:bCs/>
                <w:color w:val="auto"/>
                <w:sz w:val="21"/>
                <w:szCs w:val="21"/>
                <w:highlight w:val="none"/>
                <w:lang w:val="zh-CN"/>
              </w:rPr>
              <w:t>公章，</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内到现场，得3分；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承诺在接到采购人通知后3小时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lang w:val="en-US" w:eastAsia="zh-CN"/>
              </w:rPr>
              <w:t>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rPr>
              <w:t>，不得分。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bCs/>
                <w:color w:val="auto"/>
                <w:sz w:val="21"/>
                <w:szCs w:val="21"/>
                <w:highlight w:val="none"/>
                <w:lang w:val="pt-BR"/>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60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对本项目用户需求书理解程度</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对本项目用户需求的理解程度，重点难点的分析进行评审：</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对用户需求理解非常透彻，对项目重点难点的理解十分到位，提出的重点难点有利于项目实施，完全满足或优于招标需求的，得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对用户需求理解比较透彻，符合项目实际情况，对项目重点难点的理解分析比较到位，提出的重点难点利于项目实施，满足招标需求的，得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对用户需求理解基本符合项目实际情况，对项目重点难点的理解分析基本到位，基本符合招标需求的，得1分；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总体服务方案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提供的总体服务方案（包括但不限于：服务内容，服务流程，管理服务方案等）进行综合评审：</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总体管理设想及策划具有科学性，服务方案非常符合实际，非常具体详细，可行性、科学性非常高，非常有利于项目实施的，得</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总体管理设想及策划具有科学性，服务方案比较符合实际，具体详细，可行性、科学性比较高，有利于项目实施的，得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总体管理设想及策划的科学性一般，服务方案基本实际，较具体详细，可行性、科学性一般，基本有利于项目实施的，得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总体管理设想及策划的科学性差，服务方案不太符合实际，不太具体详细，可行性、科学性较低，不利于项目实施的，得1分；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管理规章制度</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的人员管理、岗位责任、保洁员、垃圾收集员管理等各项制度的完整性、合理性进行评审：</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具有非常完整、合理的人员管理，岗位责任、保洁员、垃圾收集员管理等各项制度描述详细非常全面的，得10分；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具有比较完整、合理的人员管理，岗位责任、环卫保洁员、垃圾收集员管理等各项制度描述详细非常全面的，得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人员管理、岗位责任、保洁员、垃圾收集员管理等各项制度基本完整，描述基本合理的，得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人员管理、岗位责任、保洁员、垃圾收集员管理等各项制度简单，描述不够合理的，得1分；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培训方案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投标人根据本项目的特点，制定切实可行的培训计划，培训目标明确具体，培训方式灵活多样进行综合评审：</w:t>
            </w:r>
          </w:p>
          <w:p>
            <w:pPr>
              <w:pStyle w:val="40"/>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有具体的培训计划，培训目标明确、方式灵活多样的，得</w:t>
            </w:r>
            <w:r>
              <w:rPr>
                <w:rFonts w:hint="eastAsia" w:asci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分；</w:t>
            </w:r>
          </w:p>
          <w:p>
            <w:pPr>
              <w:pStyle w:val="40"/>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培训计划一般，培训目标明确、方式一般的，得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pStyle w:val="40"/>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有部分的培训计划，培训目标不明确、方式不灵活的，得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pStyle w:val="40"/>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应急预案和保障措施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所提供应急处置方案(包括不限于：对项目发生突发事件的处理、应急处理预案及保障措施等)进行评审：</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对项目发生突发事件的处理原则、流程、方法等的制定具有非常强的针对性和可操作性，应急处理预案及保障措施非常具体、可行的，得10分；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对项目发生突发事件的处理原则、流程、方法等的制定具有比较强的针对性和可操作性，应急处理预案及保障措施比较具体、可行的，得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对项目发生突发事件的处理原则、流程、方法等的制定的针对性和可操作性一般，应急处理预案及保障措施基本具体、可行的，得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对项目发生突发事件的处理原则、流程、方法等的制定的针对性弱、可操作性低，应急处理预案及保障措施不够具体、可行的，得1分；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质量保证措施方案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是否能根据本项目要求提供详细的服务质量方案保证目标及分期目标，并提供具体可行、详细的保证措施等进行综合评审：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eastAsia="宋体" w:cs="宋体"/>
                <w:bCs/>
                <w:color w:val="auto"/>
                <w:kern w:val="2"/>
                <w:sz w:val="21"/>
                <w:szCs w:val="21"/>
                <w:highlight w:val="none"/>
                <w:lang w:val="en-US" w:eastAsia="zh-CN"/>
              </w:rPr>
              <w:t>12</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eastAsia="宋体" w:cs="宋体"/>
                <w:bCs/>
                <w:color w:val="auto"/>
                <w:kern w:val="2"/>
                <w:sz w:val="21"/>
                <w:szCs w:val="21"/>
                <w:highlight w:val="none"/>
                <w:lang w:val="en-US" w:eastAsia="zh-CN"/>
              </w:rPr>
              <w:t>8</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eastAsia="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w:t>
            </w:r>
            <w:r>
              <w:rPr>
                <w:rFonts w:hint="eastAsia" w:ascii="宋体" w:hAnsi="宋体" w:cs="宋体"/>
                <w:b/>
                <w:color w:val="auto"/>
                <w:sz w:val="21"/>
                <w:szCs w:val="21"/>
                <w:highlight w:val="none"/>
                <w:lang w:eastAsia="zh-CN"/>
              </w:rPr>
              <w:t>投标</w:t>
            </w:r>
            <w:r>
              <w:rPr>
                <w:rFonts w:hint="eastAsia" w:ascii="宋体" w:hAnsi="宋体" w:eastAsia="宋体" w:cs="宋体"/>
                <w:b/>
                <w:color w:val="auto"/>
                <w:sz w:val="21"/>
                <w:szCs w:val="21"/>
                <w:highlight w:val="none"/>
              </w:rPr>
              <w:t>材料因模糊不清导致评标委员会无法清晰辨认进行评审的，视为无效材料。</w:t>
            </w:r>
          </w:p>
          <w:p>
            <w:pPr>
              <w:pStyle w:val="40"/>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公章，否则不得分。</w:t>
            </w:r>
          </w:p>
        </w:tc>
      </w:tr>
    </w:tbl>
    <w:p>
      <w:pPr>
        <w:pStyle w:val="9"/>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25"/>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18488"/>
      <w:bookmarkStart w:id="25" w:name="_Toc22847"/>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3400"/>
      <w:bookmarkStart w:id="28" w:name="_Toc21002"/>
      <w:bookmarkStart w:id="29" w:name="_Toc16848"/>
      <w:r>
        <w:rPr>
          <w:rFonts w:hint="eastAsia" w:ascii="宋体" w:hAnsi="宋体"/>
          <w:color w:val="auto"/>
          <w:sz w:val="21"/>
          <w:szCs w:val="21"/>
          <w:highlight w:val="none"/>
        </w:rPr>
        <w:t>2.</w:t>
      </w:r>
      <w:bookmarkStart w:id="30" w:name="_Toc382049092"/>
      <w:bookmarkStart w:id="31" w:name="_Toc303084246"/>
      <w:bookmarkStart w:id="32" w:name="_Toc1530"/>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7997"/>
      <w:bookmarkStart w:id="57" w:name="_Toc17274"/>
      <w:bookmarkStart w:id="58" w:name="_Toc14217"/>
      <w:r>
        <w:rPr>
          <w:rFonts w:hint="eastAsia" w:ascii="宋体" w:hAnsi="宋体"/>
          <w:color w:val="auto"/>
          <w:sz w:val="21"/>
          <w:szCs w:val="21"/>
          <w:highlight w:val="none"/>
        </w:rPr>
        <w:t>9.招标文件的澄清或修改</w:t>
      </w:r>
      <w:bookmarkEnd w:id="56"/>
      <w:bookmarkEnd w:id="57"/>
      <w:bookmarkEnd w:id="5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12145"/>
      <w:bookmarkStart w:id="66" w:name="_Toc382049103"/>
      <w:bookmarkStart w:id="67" w:name="_Toc18999"/>
      <w:bookmarkStart w:id="68" w:name="_Toc303084256"/>
      <w:bookmarkStart w:id="69" w:name="_Toc7728"/>
      <w:bookmarkStart w:id="70" w:name="_Toc28866"/>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0189"/>
      <w:bookmarkStart w:id="73" w:name="_Toc3882"/>
      <w:bookmarkStart w:id="74" w:name="_Toc21747"/>
      <w:r>
        <w:rPr>
          <w:rFonts w:hint="eastAsia" w:ascii="宋体" w:hAnsi="宋体"/>
          <w:color w:val="auto"/>
          <w:sz w:val="21"/>
          <w:szCs w:val="21"/>
          <w:highlight w:val="none"/>
        </w:rPr>
        <w:t>12.投标文件编制</w:t>
      </w:r>
      <w:bookmarkEnd w:id="72"/>
      <w:bookmarkEnd w:id="73"/>
      <w:bookmarkEnd w:id="74"/>
    </w:p>
    <w:p>
      <w:pPr>
        <w:pStyle w:val="37"/>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7"/>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22169"/>
      <w:bookmarkStart w:id="85" w:name="_Toc30815"/>
      <w:bookmarkStart w:id="86" w:name="_Toc19520"/>
      <w:r>
        <w:rPr>
          <w:rFonts w:hint="eastAsia" w:ascii="宋体" w:hAnsi="宋体"/>
          <w:color w:val="auto"/>
          <w:sz w:val="21"/>
          <w:szCs w:val="21"/>
          <w:highlight w:val="none"/>
        </w:rPr>
        <w:t>15.★投标有效期</w:t>
      </w:r>
      <w:bookmarkEnd w:id="84"/>
      <w:bookmarkEnd w:id="85"/>
      <w:bookmarkEnd w:id="8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7"/>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29590"/>
      <w:bookmarkStart w:id="95" w:name="_Toc382049111"/>
      <w:bookmarkStart w:id="96" w:name="_Toc473"/>
      <w:bookmarkStart w:id="97" w:name="_Toc23678"/>
      <w:bookmarkStart w:id="98" w:name="_Toc24997"/>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7689"/>
      <w:bookmarkStart w:id="107" w:name="_Toc5900"/>
      <w:bookmarkStart w:id="108" w:name="_Toc23477"/>
      <w:bookmarkStart w:id="109" w:name="_Toc382049112"/>
      <w:bookmarkStart w:id="110" w:name="_Toc9777"/>
      <w:bookmarkStart w:id="111" w:name="_Toc303084265"/>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5569"/>
      <w:bookmarkStart w:id="113" w:name="_Toc6003"/>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9"/>
        <w:rPr>
          <w:color w:val="auto"/>
          <w:highlight w:val="none"/>
        </w:rPr>
      </w:pPr>
    </w:p>
    <w:p>
      <w:pPr>
        <w:pStyle w:val="4"/>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974"/>
      <w:bookmarkStart w:id="122" w:name="_Toc552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17683"/>
      <w:bookmarkStart w:id="134" w:name="_Toc22192"/>
      <w:bookmarkStart w:id="135" w:name="_Toc7593"/>
      <w:r>
        <w:rPr>
          <w:rFonts w:hint="eastAsia" w:ascii="宋体" w:hAnsi="宋体"/>
          <w:color w:val="auto"/>
          <w:sz w:val="21"/>
          <w:szCs w:val="21"/>
          <w:highlight w:val="none"/>
        </w:rPr>
        <w:t>27.优惠政策</w:t>
      </w:r>
      <w:bookmarkEnd w:id="133"/>
      <w:bookmarkEnd w:id="134"/>
      <w:bookmarkEnd w:id="13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其他未列明行业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其他未列明行业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其他未列明行业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22591"/>
      <w:bookmarkStart w:id="138" w:name="_Toc12115"/>
      <w:bookmarkStart w:id="139" w:name="_Toc382049120"/>
      <w:bookmarkStart w:id="140" w:name="_Toc31141"/>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29310"/>
      <w:bookmarkStart w:id="143" w:name="_Toc5528"/>
      <w:bookmarkStart w:id="144" w:name="_Toc12251"/>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3136"/>
      <w:bookmarkStart w:id="150" w:name="_Toc12440"/>
      <w:bookmarkStart w:id="151" w:name="_Toc29283"/>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7405"/>
      <w:bookmarkStart w:id="157" w:name="_Toc382049124"/>
      <w:bookmarkStart w:id="158" w:name="_Toc29009"/>
      <w:bookmarkStart w:id="159" w:name="_Toc25756"/>
      <w:bookmarkStart w:id="160" w:name="_Toc303084277"/>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7360"/>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2900"/>
      <w:bookmarkStart w:id="166" w:name="_Toc25498"/>
      <w:bookmarkStart w:id="167" w:name="_Toc17974"/>
      <w:r>
        <w:rPr>
          <w:rFonts w:hint="eastAsia" w:ascii="宋体" w:hAnsi="宋体"/>
          <w:color w:val="auto"/>
          <w:sz w:val="21"/>
          <w:szCs w:val="21"/>
          <w:highlight w:val="none"/>
        </w:rPr>
        <w:t>33.询问</w:t>
      </w:r>
      <w:bookmarkEnd w:id="165"/>
      <w:bookmarkEnd w:id="166"/>
      <w:bookmarkEnd w:id="167"/>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5690"/>
      <w:bookmarkStart w:id="172" w:name="_Toc8919"/>
      <w:bookmarkStart w:id="173" w:name="_Toc24383"/>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82"/>
      <w:bookmarkStart w:id="178" w:name="_Toc7011"/>
      <w:bookmarkStart w:id="179" w:name="_Toc31854"/>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6"/>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369"/>
        <w:gridCol w:w="6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color w:val="auto"/>
                <w:szCs w:val="21"/>
                <w:highlight w:val="none"/>
                <w:lang w:val="en-US" w:eastAsia="zh-CN"/>
              </w:rPr>
              <w:t>服务期</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3年</w:t>
            </w:r>
            <w:r>
              <w:rPr>
                <w:rFonts w:hint="eastAsia" w:ascii="宋体" w:hAnsi="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1" w:type="pct"/>
            <w:vAlign w:val="center"/>
          </w:tcPr>
          <w:p>
            <w:pPr>
              <w:keepNext w:val="0"/>
              <w:keepLines w:val="0"/>
              <w:pageBreakBefore w:val="0"/>
              <w:widowControl w:val="0"/>
              <w:kinsoku/>
              <w:wordWrap/>
              <w:overflowPunct/>
              <w:topLinePunct w:val="0"/>
              <w:autoSpaceDE w:val="0"/>
              <w:autoSpaceDN w:val="0"/>
              <w:bidi w:val="0"/>
              <w:adjustRightInd/>
              <w:snapToGrid/>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bidi="zh-CN"/>
              </w:rPr>
              <w:t>服务期限内</w:t>
            </w:r>
            <w:r>
              <w:rPr>
                <w:rFonts w:hint="eastAsia" w:ascii="宋体" w:hAnsi="宋体" w:eastAsia="宋体" w:cs="宋体"/>
                <w:color w:val="auto"/>
                <w:sz w:val="21"/>
                <w:szCs w:val="21"/>
                <w:highlight w:val="none"/>
                <w:lang w:val="en-US" w:eastAsia="zh-CN" w:bidi="zh-CN"/>
              </w:rPr>
              <w:t>保洁</w:t>
            </w:r>
            <w:r>
              <w:rPr>
                <w:rFonts w:hint="eastAsia" w:ascii="宋体" w:hAnsi="宋体" w:eastAsia="宋体" w:cs="宋体"/>
                <w:color w:val="auto"/>
                <w:sz w:val="21"/>
                <w:szCs w:val="21"/>
                <w:highlight w:val="none"/>
                <w:lang w:val="zh-CN" w:bidi="zh-CN"/>
              </w:rPr>
              <w:t>工作费用按月结算（</w:t>
            </w:r>
            <w:r>
              <w:rPr>
                <w:rFonts w:hint="eastAsia" w:ascii="宋体" w:hAnsi="宋体" w:eastAsia="宋体" w:cs="宋体"/>
                <w:color w:val="auto"/>
                <w:sz w:val="21"/>
                <w:szCs w:val="21"/>
                <w:highlight w:val="none"/>
                <w:lang w:val="en-US" w:bidi="zh-CN"/>
              </w:rPr>
              <w:t>即每月保洁工作费用=合同总价</w:t>
            </w:r>
            <w:r>
              <w:rPr>
                <w:rFonts w:hint="default" w:ascii="宋体" w:hAnsi="宋体" w:eastAsia="宋体" w:cs="宋体"/>
                <w:color w:val="auto"/>
                <w:sz w:val="21"/>
                <w:szCs w:val="21"/>
                <w:highlight w:val="none"/>
                <w:lang w:val="en-US" w:bidi="zh-CN"/>
              </w:rPr>
              <w:t>÷</w:t>
            </w:r>
            <w:r>
              <w:rPr>
                <w:rFonts w:hint="eastAsia" w:ascii="宋体" w:hAnsi="宋体" w:cs="宋体"/>
                <w:color w:val="auto"/>
                <w:sz w:val="21"/>
                <w:szCs w:val="21"/>
                <w:highlight w:val="none"/>
                <w:lang w:val="en-US" w:bidi="zh-CN"/>
              </w:rPr>
              <w:t>36个月</w:t>
            </w:r>
            <w:r>
              <w:rPr>
                <w:rFonts w:hint="eastAsia" w:ascii="宋体" w:hAnsi="宋体" w:eastAsia="宋体" w:cs="宋体"/>
                <w:color w:val="auto"/>
                <w:sz w:val="21"/>
                <w:szCs w:val="21"/>
                <w:highlight w:val="none"/>
                <w:lang w:val="zh-CN" w:bidi="zh-CN"/>
              </w:rPr>
              <w:t>），</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须提供等额的正式发票给采购人</w:t>
            </w:r>
            <w:r>
              <w:rPr>
                <w:rFonts w:hint="eastAsia" w:ascii="宋体" w:hAnsi="宋体" w:eastAsia="宋体" w:cs="宋体"/>
                <w:color w:val="auto"/>
                <w:sz w:val="21"/>
                <w:szCs w:val="21"/>
                <w:highlight w:val="none"/>
                <w:lang w:val="zh-CN" w:bidi="zh-CN"/>
              </w:rPr>
              <w:t>，</w:t>
            </w:r>
            <w:r>
              <w:rPr>
                <w:rFonts w:hint="eastAsia" w:ascii="宋体" w:hAnsi="宋体" w:cs="宋体"/>
                <w:color w:val="auto"/>
                <w:sz w:val="21"/>
                <w:szCs w:val="21"/>
                <w:highlight w:val="none"/>
                <w:lang w:val="en-US" w:eastAsia="zh-CN"/>
              </w:rPr>
              <w:t>采购人收到发票后</w:t>
            </w:r>
            <w:r>
              <w:rPr>
                <w:rFonts w:hint="eastAsia" w:ascii="宋体" w:hAnsi="宋体" w:eastAsia="宋体" w:cs="宋体"/>
                <w:color w:val="auto"/>
                <w:sz w:val="21"/>
                <w:szCs w:val="21"/>
                <w:highlight w:val="none"/>
                <w:lang w:val="zh-CN" w:eastAsia="zh-CN"/>
              </w:rPr>
              <w:t>于次月支付上月的</w:t>
            </w:r>
            <w:r>
              <w:rPr>
                <w:rFonts w:hint="eastAsia" w:ascii="宋体" w:hAnsi="宋体" w:eastAsia="宋体" w:cs="宋体"/>
                <w:color w:val="auto"/>
                <w:sz w:val="21"/>
                <w:szCs w:val="21"/>
                <w:highlight w:val="none"/>
                <w:lang w:val="en-US" w:bidi="zh-CN"/>
              </w:rPr>
              <w:t>保洁工作费用</w:t>
            </w:r>
            <w:r>
              <w:rPr>
                <w:rFonts w:hint="eastAsia" w:ascii="宋体" w:hAnsi="宋体" w:eastAsia="宋体" w:cs="宋体"/>
                <w:color w:val="auto"/>
                <w:sz w:val="21"/>
                <w:szCs w:val="21"/>
                <w:highlight w:val="none"/>
                <w:lang w:val="zh-CN"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69"/>
              <w:keepNext w:val="0"/>
              <w:keepLines w:val="0"/>
              <w:pageBreakBefore w:val="0"/>
              <w:kinsoku/>
              <w:wordWrap/>
              <w:overflowPunct/>
              <w:topLinePunct w:val="0"/>
              <w:autoSpaceDE w:val="0"/>
              <w:autoSpaceDN w:val="0"/>
              <w:bidi w:val="0"/>
              <w:spacing w:line="360" w:lineRule="auto"/>
              <w:jc w:val="center"/>
              <w:textAlignment w:val="auto"/>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ascii="宋体" w:hAnsi="宋体" w:eastAsia="宋体"/>
                <w:color w:val="auto"/>
                <w:szCs w:val="21"/>
                <w:highlight w:val="none"/>
              </w:rPr>
              <w:t>其它要求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9"/>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4"/>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autoSpaceDE w:val="0"/>
        <w:autoSpaceDN w:val="0"/>
        <w:spacing w:line="360" w:lineRule="auto"/>
        <w:rPr>
          <w:rFonts w:hint="default" w:ascii="宋体" w:hAnsi="宋体" w:eastAsia="宋体" w:cs="宋体"/>
          <w:b/>
          <w:bCs/>
          <w:color w:val="auto"/>
          <w:kern w:val="0"/>
          <w:sz w:val="24"/>
          <w:szCs w:val="21"/>
          <w:highlight w:val="none"/>
          <w:lang w:val="en-US" w:eastAsia="zh-CN"/>
        </w:rPr>
      </w:pPr>
      <w:bookmarkStart w:id="182" w:name="_Toc24679"/>
      <w:bookmarkStart w:id="183" w:name="_Toc13112"/>
      <w:bookmarkStart w:id="184" w:name="_Toc31278"/>
      <w:bookmarkStart w:id="185" w:name="_Toc14462"/>
      <w:r>
        <w:rPr>
          <w:rFonts w:hint="eastAsia" w:ascii="宋体" w:hAnsi="宋体" w:eastAsia="宋体" w:cs="宋体"/>
          <w:b/>
          <w:bCs/>
          <w:color w:val="auto"/>
          <w:kern w:val="0"/>
          <w:sz w:val="24"/>
          <w:szCs w:val="21"/>
          <w:highlight w:val="none"/>
        </w:rPr>
        <w:t>一、</w:t>
      </w:r>
      <w:r>
        <w:rPr>
          <w:rFonts w:hint="eastAsia" w:ascii="宋体" w:hAnsi="宋体" w:cs="宋体"/>
          <w:b/>
          <w:bCs/>
          <w:color w:val="auto"/>
          <w:kern w:val="0"/>
          <w:sz w:val="24"/>
          <w:szCs w:val="21"/>
          <w:highlight w:val="none"/>
          <w:lang w:val="en-US" w:eastAsia="zh-CN"/>
        </w:rPr>
        <w:t>服务内容</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lang w:val="en-US" w:eastAsia="zh-CN"/>
        </w:rPr>
      </w:pPr>
      <w:r>
        <w:rPr>
          <w:rFonts w:hint="eastAsia" w:ascii="宋体" w:hAnsi="宋体" w:eastAsia="宋体" w:cs="Times New Roman"/>
          <w:color w:val="auto"/>
          <w:kern w:val="0"/>
          <w:sz w:val="21"/>
          <w:szCs w:val="21"/>
          <w:highlight w:val="none"/>
          <w:lang w:val="en-US" w:eastAsia="zh-CN"/>
        </w:rPr>
        <w:t>为了营造干净整洁有序的工作环境</w:t>
      </w:r>
      <w:r>
        <w:rPr>
          <w:rFonts w:hint="eastAsia" w:ascii="宋体" w:hAnsi="宋体" w:cs="Times New Roman"/>
          <w:color w:val="auto"/>
          <w:kern w:val="0"/>
          <w:sz w:val="21"/>
          <w:szCs w:val="21"/>
          <w:highlight w:val="none"/>
          <w:lang w:val="en-US" w:eastAsia="zh-CN"/>
        </w:rPr>
        <w:t>，现通过招标的方式选取一家单位承包</w:t>
      </w:r>
      <w:r>
        <w:rPr>
          <w:rFonts w:hint="eastAsia" w:ascii="宋体" w:hAnsi="宋体" w:eastAsia="宋体" w:cs="Times New Roman"/>
          <w:color w:val="auto"/>
          <w:kern w:val="0"/>
          <w:sz w:val="21"/>
          <w:szCs w:val="21"/>
          <w:highlight w:val="none"/>
          <w:lang w:val="en-US" w:eastAsia="zh-CN"/>
        </w:rPr>
        <w:t>石鼓居委会办公楼、水龙油画村、警务区及老人活动中心内所有保洁工作</w:t>
      </w:r>
      <w:r>
        <w:rPr>
          <w:rFonts w:hint="eastAsia" w:ascii="宋体" w:hAnsi="宋体" w:cs="Times New Roman"/>
          <w:color w:val="auto"/>
          <w:kern w:val="0"/>
          <w:sz w:val="21"/>
          <w:szCs w:val="21"/>
          <w:highlight w:val="none"/>
          <w:lang w:val="en-US" w:eastAsia="zh-CN"/>
        </w:rPr>
        <w:t>。</w:t>
      </w:r>
    </w:p>
    <w:p>
      <w:pPr>
        <w:keepNext w:val="0"/>
        <w:keepLines w:val="0"/>
        <w:pageBreakBefore w:val="0"/>
        <w:kinsoku/>
        <w:wordWrap/>
        <w:overflowPunct/>
        <w:topLinePunct w:val="0"/>
        <w:autoSpaceDE w:val="0"/>
        <w:autoSpaceDN w:val="0"/>
        <w:bidi w:val="0"/>
        <w:adjustRightInd/>
        <w:snapToGrid/>
        <w:spacing w:line="360" w:lineRule="auto"/>
        <w:jc w:val="left"/>
        <w:textAlignment w:val="auto"/>
        <w:rPr>
          <w:rFonts w:hint="default" w:ascii="宋体" w:hAnsi="宋体" w:eastAsia="宋体" w:cs="Times New Roman"/>
          <w:b/>
          <w:color w:val="auto"/>
          <w:kern w:val="0"/>
          <w:sz w:val="24"/>
          <w:szCs w:val="24"/>
          <w:highlight w:val="none"/>
          <w:lang w:val="en-US"/>
        </w:rPr>
      </w:pPr>
      <w:r>
        <w:rPr>
          <w:rFonts w:hint="eastAsia" w:ascii="宋体" w:hAnsi="宋体" w:cs="Times New Roman"/>
          <w:b/>
          <w:color w:val="auto"/>
          <w:kern w:val="0"/>
          <w:sz w:val="24"/>
          <w:szCs w:val="24"/>
          <w:highlight w:val="none"/>
          <w:lang w:val="en-US" w:eastAsia="zh-CN"/>
        </w:rPr>
        <w:t>二</w:t>
      </w:r>
      <w:r>
        <w:rPr>
          <w:rFonts w:hint="eastAsia" w:ascii="宋体" w:hAnsi="宋体" w:eastAsia="宋体" w:cs="Times New Roman"/>
          <w:b/>
          <w:color w:val="auto"/>
          <w:kern w:val="0"/>
          <w:sz w:val="24"/>
          <w:szCs w:val="24"/>
          <w:highlight w:val="none"/>
        </w:rPr>
        <w:t>、</w:t>
      </w:r>
      <w:r>
        <w:rPr>
          <w:rFonts w:hint="eastAsia" w:ascii="宋体" w:hAnsi="宋体" w:cs="Times New Roman"/>
          <w:b/>
          <w:color w:val="auto"/>
          <w:kern w:val="0"/>
          <w:sz w:val="24"/>
          <w:szCs w:val="24"/>
          <w:highlight w:val="none"/>
          <w:lang w:val="en-US" w:eastAsia="zh-CN"/>
        </w:rPr>
        <w:t>服务要求</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应根据</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数量和服务项目情况，配备专门的管理人员，负责</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的日常事务，协调处理</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与采购人之间的关系，向采购人提供政策法规方面的咨询。</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eastAsia="宋体" w:cs="Times New Roman"/>
          <w:color w:val="auto"/>
          <w:kern w:val="0"/>
          <w:sz w:val="21"/>
          <w:szCs w:val="21"/>
          <w:highlight w:val="none"/>
        </w:rPr>
        <w:t>采购人根据需求与</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签订单项服务合同，合同签订后采购人根据实际需要和岗位设置情况，以书面形式通知</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用工需求。</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须在收到采购人用工需求通知后15天内配齐符合采购人要求的</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，否则视为</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违约，采购人有权终止合同。</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eastAsia="宋体" w:cs="Times New Roman"/>
          <w:color w:val="auto"/>
          <w:kern w:val="0"/>
          <w:sz w:val="21"/>
          <w:szCs w:val="21"/>
          <w:highlight w:val="none"/>
        </w:rPr>
        <w:t>采购人可根据实际情况或需求，对</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的数量、岗位、资格条件等要求进行调整，</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必须服从且</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必须符合采购人的要求。</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需每月月底向采购人提供</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的工资发放、社保、住房公积金购买的材料等依据。</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eastAsia="宋体" w:cs="Times New Roman"/>
          <w:color w:val="auto"/>
          <w:kern w:val="0"/>
          <w:sz w:val="21"/>
          <w:szCs w:val="21"/>
          <w:highlight w:val="none"/>
        </w:rPr>
        <w:t>采购人有权要求调换不适合岗位要求的</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，调换</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如需经济补偿金等费用均由</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承担。在服务期间，未经采购人同意，</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不得随意更换</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因为调走、辞职或被</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辞退等原因导致</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不足的，</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必须在24小时内补充人员以满足采购人需要。而</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未能及时补齐符合项目要求的</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时，则视为</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主动违约，采购人有权单方面终止合同，并有权要求</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承担相应的违约责任。</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eastAsia="宋体" w:cs="Times New Roman"/>
          <w:color w:val="auto"/>
          <w:kern w:val="0"/>
          <w:sz w:val="21"/>
          <w:szCs w:val="21"/>
          <w:highlight w:val="none"/>
        </w:rPr>
        <w:t>由于</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工作失误的原因，造成</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的经济损失，所产生的损失及后果由</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承担。因</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蓄意破坏采购人现场设备设施、违反相关管理规定造成采购人损失的，一经查实，则视为</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严重违约，采购人有权单方面终止合同，责令</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赔偿损失，情节严重的依法追究其法律责任。</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应按照有关法律法规规定与</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订立书面劳动合同，为</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在工作所在地办理社会保险手续等，并根据采购人提供的</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考勤、考核、教育培训、奖惩等资料情况建立</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人事信息档案。对新招</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，应在规定时间内办齐所有用工手续，并提供包括但不限于</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档案表、花名册、身份证及学历证复印件等供采购人备案。</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应及时掌握国家和省有关劳动标准、劳动条件、工资福利、社会保险等方面的最新政策动态并知会采购人，积极配合采购人对新政策规定的组织实施。</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应按采购人要求，教育</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严格遵守采购人的规章制度和管理规范规程、忠于职守、文明礼貌、严格遵守劳动纪律、服从和执行采购人做出的工作安排和调度，接受采购人管理人员的检查监督。</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应负责</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的招聘/录用退工手续办理、薪酬管理、福利发放、相关保险和个税代扣代缴等，以及档案管理、计生关系管理、专业技术人员的职称申报、评定等。</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应教育、督促</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的</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不得以任何形式向他人提供或泄露采购人的商业秘密，保证采购人利益不受损失，对采购人各类客户的资料、业务数据等应按照采购人相关文件及工作要求执行保密工作。</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在提供服务期间获悉的采购人信息，</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负有保密义务。本保密义务不因服务合同的解除或终止而失效，直至保密信息被依法公开为止。</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lang w:eastAsia="zh-CN"/>
        </w:rPr>
      </w:pPr>
      <w:r>
        <w:rPr>
          <w:rFonts w:hint="eastAsia" w:ascii="宋体" w:hAnsi="宋体" w:eastAsia="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w:t>
      </w:r>
      <w:r>
        <w:rPr>
          <w:rFonts w:hint="eastAsia" w:ascii="宋体" w:hAnsi="宋体" w:cs="Times New Roman"/>
          <w:color w:val="auto"/>
          <w:kern w:val="0"/>
          <w:sz w:val="21"/>
          <w:szCs w:val="21"/>
          <w:highlight w:val="none"/>
          <w:lang w:val="en-US" w:eastAsia="zh-CN"/>
        </w:rPr>
        <w:t>对相应的保洁工作服务人员进行培训工作</w:t>
      </w:r>
      <w:r>
        <w:rPr>
          <w:rFonts w:hint="eastAsia" w:ascii="宋体" w:hAnsi="宋体" w:eastAsia="宋体" w:cs="Times New Roman"/>
          <w:color w:val="auto"/>
          <w:kern w:val="0"/>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lang w:eastAsia="zh-CN"/>
        </w:rPr>
      </w:pPr>
      <w:r>
        <w:rPr>
          <w:rFonts w:hint="eastAsia" w:ascii="宋体" w:hAnsi="宋体" w:eastAsia="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w:t>
      </w:r>
      <w:r>
        <w:rPr>
          <w:rFonts w:hint="eastAsia" w:ascii="宋体" w:hAnsi="宋体" w:eastAsia="宋体" w:cs="Times New Roman"/>
          <w:color w:val="auto"/>
          <w:kern w:val="0"/>
          <w:sz w:val="21"/>
          <w:szCs w:val="21"/>
          <w:highlight w:val="none"/>
          <w:lang w:val="en-US" w:eastAsia="zh-CN"/>
        </w:rPr>
        <w:t>具备</w:t>
      </w:r>
      <w:r>
        <w:rPr>
          <w:rFonts w:hint="eastAsia" w:ascii="宋体" w:hAnsi="宋体" w:eastAsia="宋体" w:cs="Times New Roman"/>
          <w:color w:val="auto"/>
          <w:kern w:val="0"/>
          <w:sz w:val="21"/>
          <w:szCs w:val="21"/>
          <w:highlight w:val="none"/>
        </w:rPr>
        <w:t>对项目发生突发事件的应急处理预案</w:t>
      </w:r>
      <w:r>
        <w:rPr>
          <w:rFonts w:hint="eastAsia" w:ascii="宋体" w:hAnsi="宋体" w:eastAsia="宋体" w:cs="宋体"/>
          <w:bCs/>
          <w:color w:val="auto"/>
          <w:sz w:val="21"/>
          <w:szCs w:val="21"/>
          <w:highlight w:val="none"/>
        </w:rPr>
        <w:t>及保障措施</w:t>
      </w:r>
      <w:r>
        <w:rPr>
          <w:rFonts w:hint="eastAsia" w:ascii="宋体" w:hAnsi="宋体" w:eastAsia="宋体" w:cs="Times New Roman"/>
          <w:color w:val="auto"/>
          <w:kern w:val="0"/>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须接受采购人对</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服务的质量检查，且须保证能随时接受行业主管部门的质量考核，并对采购人提出的服务质量改进建议予以及时响应和整改。</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的</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在提供服务期间发生重大疾病或事故的，由</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负责调查及处理，依法为</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办理工伤认定、伤残鉴定、工伤待遇申报、非工伤死亡待遇申报、意外伤害保险理赔等相关手续并依法承担相应责任，如因前列事故与相关</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发生纠纷或争议的，</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应自行妥善处理并承担责任，不得影响采购人服务项目业务的正常进行。如因此导致采购人损失的，</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需足额向采购人赔偿。</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须对其工作人员及</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在服务期内所发生的人身、财产安全和交通事故，及给采购人或其他第三方带来的人身、财产安全负责，采购人不承担任何责任。</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从采购人处领取的工作工具、设备和其他物品，由采购人负责登记管理，在</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不再继续提供服务时，由</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负责协助收回交还采购人。</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应当为</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提供必要的劳务保护用品。</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应定期向采购人通报服务项目的相关事项，如发生突发性事件，</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应及时向采购人通报。</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及其工作人员及</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在工作过程中发现存在安全隐患的，应及时向采购人上报，并做好相应预防工作。</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应负责</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经济赔偿的手续办理、负责处理</w:t>
      </w:r>
      <w:r>
        <w:rPr>
          <w:rFonts w:hint="eastAsia" w:ascii="宋体" w:hAnsi="宋体" w:eastAsia="宋体" w:cs="Times New Roman"/>
          <w:color w:val="auto"/>
          <w:kern w:val="0"/>
          <w:sz w:val="21"/>
          <w:szCs w:val="21"/>
          <w:highlight w:val="none"/>
          <w:lang w:eastAsia="zh-CN"/>
        </w:rPr>
        <w:t>人员</w:t>
      </w:r>
      <w:r>
        <w:rPr>
          <w:rFonts w:hint="eastAsia" w:ascii="宋体" w:hAnsi="宋体" w:eastAsia="宋体" w:cs="Times New Roman"/>
          <w:color w:val="auto"/>
          <w:kern w:val="0"/>
          <w:sz w:val="21"/>
          <w:szCs w:val="21"/>
          <w:highlight w:val="none"/>
        </w:rPr>
        <w:t>提出的劳动仲裁、诉讼、劳资纠纷等事宜，如因</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引起的劳资纠纷问题，影响采购人服务项目业务正常开展的，采购人有权另行聘请人员确保业务正常开展，因此而所产生的所有费用均由</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承担。</w:t>
      </w:r>
    </w:p>
    <w:p>
      <w:pPr>
        <w:spacing w:after="0" w:line="360" w:lineRule="auto"/>
        <w:ind w:firstLine="420" w:firstLineChars="200"/>
        <w:rPr>
          <w:rFonts w:hint="eastAsia" w:ascii="宋体" w:hAnsi="宋体" w:eastAsia="宋体" w:cs="Times New Roman"/>
          <w:color w:val="auto"/>
          <w:kern w:val="0"/>
          <w:sz w:val="21"/>
          <w:szCs w:val="21"/>
          <w:highlight w:val="none"/>
        </w:rPr>
      </w:pP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应当以自身的技术和劳动力完成服务项目业务的主要工作，未经采购人书面同意，</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不得将承包项目分包或转包，否则，视为</w:t>
      </w:r>
      <w:r>
        <w:rPr>
          <w:rFonts w:hint="eastAsia" w:ascii="宋体" w:hAnsi="宋体" w:cs="Times New Roman"/>
          <w:color w:val="auto"/>
          <w:kern w:val="0"/>
          <w:sz w:val="21"/>
          <w:szCs w:val="21"/>
          <w:highlight w:val="none"/>
          <w:lang w:eastAsia="zh-CN"/>
        </w:rPr>
        <w:t>中标人</w:t>
      </w:r>
      <w:r>
        <w:rPr>
          <w:rFonts w:hint="eastAsia" w:ascii="宋体" w:hAnsi="宋体" w:eastAsia="宋体" w:cs="Times New Roman"/>
          <w:color w:val="auto"/>
          <w:kern w:val="0"/>
          <w:sz w:val="21"/>
          <w:szCs w:val="21"/>
          <w:highlight w:val="none"/>
        </w:rPr>
        <w:t>违约，采购人有权解除服务合同。</w:t>
      </w:r>
    </w:p>
    <w:p>
      <w:pPr>
        <w:bidi w:val="0"/>
        <w:rPr>
          <w:rFonts w:hint="eastAsia"/>
          <w:color w:val="auto"/>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rPr>
          <w:color w:val="auto"/>
          <w:highlight w:val="none"/>
        </w:rPr>
      </w:pPr>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bookmarkEnd w:id="189"/>
    <w:bookmarkEnd w:id="190"/>
    <w:bookmarkEnd w:id="191"/>
    <w:p>
      <w:pPr>
        <w:ind w:firstLine="562" w:firstLineChars="200"/>
        <w:jc w:val="center"/>
        <w:rPr>
          <w:rFonts w:hint="eastAsia" w:ascii="宋体" w:hAnsi="宋体"/>
          <w:b/>
          <w:bCs/>
          <w:color w:val="auto"/>
          <w:sz w:val="28"/>
          <w:szCs w:val="28"/>
          <w:highlight w:val="none"/>
        </w:rPr>
      </w:pPr>
      <w:r>
        <w:rPr>
          <w:rFonts w:hint="eastAsia" w:ascii="宋体" w:hAnsi="宋体"/>
          <w:b/>
          <w:bCs/>
          <w:color w:val="auto"/>
          <w:sz w:val="28"/>
          <w:szCs w:val="28"/>
          <w:highlight w:val="none"/>
          <w:lang w:eastAsia="zh-CN"/>
        </w:rPr>
        <w:t>石鼓居委会办公楼、水龙油画村、警务区及老人活动中心内保洁服务项目</w:t>
      </w:r>
      <w:r>
        <w:rPr>
          <w:rFonts w:hint="eastAsia" w:ascii="宋体" w:hAnsi="宋体"/>
          <w:b/>
          <w:bCs/>
          <w:color w:val="auto"/>
          <w:sz w:val="28"/>
          <w:szCs w:val="28"/>
          <w:highlight w:val="none"/>
        </w:rPr>
        <w:t>承包合同</w:t>
      </w:r>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rPr>
          <w:rFonts w:hint="eastAsia" w:ascii="宋体" w:hAnsi="宋体"/>
          <w:color w:val="auto"/>
          <w:szCs w:val="21"/>
          <w:highlight w:val="none"/>
        </w:rPr>
      </w:pPr>
      <w:r>
        <w:rPr>
          <w:rFonts w:hint="eastAsia" w:ascii="宋体" w:hAnsi="宋体"/>
          <w:color w:val="auto"/>
          <w:szCs w:val="21"/>
          <w:highlight w:val="none"/>
        </w:rPr>
        <w:t>甲方：东莞市塘厦镇石鼓股份经济联合社</w:t>
      </w:r>
    </w:p>
    <w:p>
      <w:pPr>
        <w:spacing w:line="420" w:lineRule="atLeast"/>
        <w:rPr>
          <w:rFonts w:ascii="宋体" w:hAnsi="宋体"/>
          <w:color w:val="auto"/>
          <w:szCs w:val="21"/>
          <w:highlight w:val="none"/>
        </w:rPr>
      </w:pPr>
      <w:r>
        <w:rPr>
          <w:rFonts w:hint="eastAsia" w:ascii="宋体" w:hAnsi="宋体"/>
          <w:color w:val="auto"/>
          <w:szCs w:val="21"/>
          <w:highlight w:val="none"/>
        </w:rPr>
        <w:t xml:space="preserve">乙方：“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(采购代理机构)</w:t>
      </w:r>
      <w:r>
        <w:rPr>
          <w:rFonts w:hint="eastAsia" w:ascii="宋体" w:hAnsi="宋体"/>
          <w:color w:val="auto"/>
          <w:szCs w:val="21"/>
          <w:highlight w:val="none"/>
        </w:rPr>
        <w:t>组织对</w:t>
      </w:r>
      <w:r>
        <w:rPr>
          <w:rFonts w:hint="eastAsia" w:ascii="宋体" w:hAnsi="宋体"/>
          <w:color w:val="auto"/>
          <w:szCs w:val="21"/>
          <w:highlight w:val="none"/>
          <w:u w:val="single"/>
          <w:lang w:eastAsia="zh-CN"/>
        </w:rPr>
        <w:t>石鼓居委会办公楼、水龙油画村、警务区及老人活动中心内保洁服务项目</w:t>
      </w:r>
      <w:r>
        <w:rPr>
          <w:rFonts w:hint="eastAsia" w:ascii="宋体" w:hAnsi="宋体"/>
          <w:color w:val="auto"/>
          <w:szCs w:val="21"/>
          <w:highlight w:val="none"/>
        </w:rPr>
        <w:t>（采购项目编号为）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进行采购，于</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w:t>
      </w:r>
      <w:r>
        <w:rPr>
          <w:rFonts w:hint="eastAsia" w:ascii="宋体" w:hAnsi="宋体"/>
          <w:color w:val="auto"/>
          <w:szCs w:val="21"/>
          <w:highlight w:val="none"/>
          <w:u w:val="single"/>
          <w:lang w:eastAsia="zh-CN"/>
        </w:rPr>
        <w:t>石鼓居委会办公楼、水龙油画村、警务区及老人活动中心内保洁服务项目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2" w:name="_Toc86481558"/>
      <w:r>
        <w:rPr>
          <w:rFonts w:hint="eastAsia" w:ascii="宋体" w:hAnsi="宋体"/>
          <w:b/>
          <w:color w:val="auto"/>
          <w:szCs w:val="21"/>
          <w:highlight w:val="none"/>
        </w:rPr>
        <w:t>第三条 服务内容、标准及要求</w:t>
      </w:r>
    </w:p>
    <w:p>
      <w:pPr>
        <w:ind w:firstLine="420" w:firstLineChars="200"/>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olor w:val="auto"/>
          <w:szCs w:val="21"/>
          <w:highlight w:val="none"/>
          <w:u w:val="single"/>
        </w:rPr>
        <w:t>石鼓社区居委会办公楼</w:t>
      </w:r>
      <w:r>
        <w:rPr>
          <w:rFonts w:hint="eastAsia" w:ascii="宋体" w:hAnsi="宋体"/>
          <w:color w:val="auto"/>
          <w:szCs w:val="21"/>
          <w:highlight w:val="none"/>
          <w:u w:val="single"/>
          <w:lang w:eastAsia="zh-CN"/>
        </w:rPr>
        <w:t>、水龙油画村、警务区及老人活动中心内保洁</w:t>
      </w:r>
      <w:r>
        <w:rPr>
          <w:rFonts w:hint="eastAsia" w:ascii="宋体" w:hAnsi="宋体"/>
          <w:color w:val="auto"/>
          <w:szCs w:val="21"/>
          <w:highlight w:val="none"/>
          <w:u w:val="single"/>
        </w:rPr>
        <w:t>服务</w:t>
      </w:r>
      <w:r>
        <w:rPr>
          <w:rFonts w:hint="eastAsia" w:ascii="宋体" w:hAnsi="宋体" w:cs="仿宋"/>
          <w:color w:val="auto"/>
          <w:szCs w:val="21"/>
          <w:highlight w:val="none"/>
          <w:u w:val="single"/>
          <w:shd w:val="clear" w:color="auto" w:fill="FFFFFF"/>
        </w:rPr>
        <w:t xml:space="preserve"> 。</w:t>
      </w:r>
    </w:p>
    <w:p>
      <w:pPr>
        <w:pStyle w:val="23"/>
        <w:shd w:val="clear" w:color="auto" w:fill="FFFFFF"/>
        <w:spacing w:line="432" w:lineRule="auto"/>
        <w:ind w:firstLine="420" w:firstLineChars="200"/>
        <w:rPr>
          <w:rFonts w:hint="eastAsia" w:ascii="宋体" w:hAnsi="宋体" w:eastAsia="宋体" w:cstheme="minorBidi"/>
          <w:color w:val="auto"/>
          <w:kern w:val="0"/>
          <w:sz w:val="21"/>
          <w:szCs w:val="21"/>
          <w:highlight w:val="none"/>
          <w:u w:val="single"/>
          <w:lang w:val="en-US" w:eastAsia="zh-CN" w:bidi="ar-SA"/>
        </w:rPr>
      </w:pPr>
      <w:r>
        <w:rPr>
          <w:rFonts w:hint="eastAsia" w:ascii="宋体" w:hAnsi="宋体" w:eastAsia="宋体" w:cstheme="minorBidi"/>
          <w:color w:val="auto"/>
          <w:kern w:val="0"/>
          <w:sz w:val="21"/>
          <w:szCs w:val="21"/>
          <w:highlight w:val="none"/>
          <w:u w:val="single"/>
          <w:lang w:val="en-US" w:eastAsia="zh-CN" w:bidi="ar-SA"/>
        </w:rPr>
        <w:t>2、采购标准： (1)、乙方需在保洁区域设保洁专员进行随时性保洁,服务时间依据甲方需要双方协定。如需要特定服务人员不够,由乙方增派人员。( 2)、乙方日常保洁保养工作要做到:工作场地包含室内、室外所有硬底化地面，做到工作场地无杂物、无死角、楼梯走廊、窗台无尘土,卫生间无水、无污渍、无异味。(3)、乙方员工个人卫生要做到统一着装,佩带工作标志,无异形发型,无传染病。(4)、质量检验标准《办公楼清洁工作检验标准》(由乙方提供，甲方确认)。(5)、具体保洁保养要求严格执行本服务部文件《楼宇公共区域保养细则》(由乙方提供，甲方确认)。(6)、建立逐组检查</w:t>
      </w:r>
      <w:r>
        <w:rPr>
          <w:rFonts w:hint="eastAsia" w:ascii="宋体" w:hAnsi="宋体" w:eastAsia="宋体" w:cstheme="minorBidi"/>
          <w:color w:val="auto"/>
          <w:kern w:val="0"/>
          <w:sz w:val="21"/>
          <w:szCs w:val="21"/>
          <w:highlight w:val="none"/>
          <w:u w:val="single"/>
          <w:lang w:val="en-US" w:eastAsia="zh-CN" w:bidi="ar-SA"/>
        </w:rPr>
        <w:fldChar w:fldCharType="begin"/>
      </w:r>
      <w:r>
        <w:rPr>
          <w:rFonts w:hint="eastAsia" w:ascii="宋体" w:hAnsi="宋体" w:eastAsia="宋体" w:cstheme="minorBidi"/>
          <w:color w:val="auto"/>
          <w:kern w:val="0"/>
          <w:sz w:val="21"/>
          <w:szCs w:val="21"/>
          <w:highlight w:val="none"/>
          <w:u w:val="single"/>
          <w:lang w:val="en-US" w:eastAsia="zh-CN" w:bidi="ar-SA"/>
        </w:rPr>
        <w:instrText xml:space="preserve"> HYPERLINK "http://www.fdcew.com/hypx/List_177.html" \t "_blank" </w:instrText>
      </w:r>
      <w:r>
        <w:rPr>
          <w:rFonts w:hint="eastAsia" w:ascii="宋体" w:hAnsi="宋体" w:eastAsia="宋体" w:cstheme="minorBidi"/>
          <w:color w:val="auto"/>
          <w:kern w:val="0"/>
          <w:sz w:val="21"/>
          <w:szCs w:val="21"/>
          <w:highlight w:val="none"/>
          <w:u w:val="single"/>
          <w:lang w:val="en-US" w:eastAsia="zh-CN" w:bidi="ar-SA"/>
        </w:rPr>
        <w:fldChar w:fldCharType="separate"/>
      </w:r>
      <w:r>
        <w:rPr>
          <w:rFonts w:hint="eastAsia" w:ascii="宋体" w:hAnsi="宋体" w:eastAsia="宋体" w:cstheme="minorBidi"/>
          <w:color w:val="auto"/>
          <w:kern w:val="0"/>
          <w:sz w:val="21"/>
          <w:szCs w:val="21"/>
          <w:highlight w:val="none"/>
          <w:u w:val="single"/>
          <w:lang w:val="en-US" w:eastAsia="zh-CN" w:bidi="ar-SA"/>
        </w:rPr>
        <w:t>制度</w:t>
      </w:r>
      <w:r>
        <w:rPr>
          <w:rFonts w:hint="eastAsia" w:ascii="宋体" w:hAnsi="宋体" w:eastAsia="宋体" w:cstheme="minorBidi"/>
          <w:color w:val="auto"/>
          <w:kern w:val="0"/>
          <w:sz w:val="21"/>
          <w:szCs w:val="21"/>
          <w:highlight w:val="none"/>
          <w:u w:val="single"/>
          <w:lang w:val="en-US" w:eastAsia="zh-CN" w:bidi="ar-SA"/>
        </w:rPr>
        <w:fldChar w:fldCharType="end"/>
      </w:r>
      <w:r>
        <w:rPr>
          <w:rFonts w:hint="eastAsia" w:ascii="宋体" w:hAnsi="宋体" w:eastAsia="宋体" w:cstheme="minorBidi"/>
          <w:color w:val="auto"/>
          <w:kern w:val="0"/>
          <w:sz w:val="21"/>
          <w:szCs w:val="21"/>
          <w:highlight w:val="none"/>
          <w:u w:val="single"/>
          <w:lang w:val="en-US" w:eastAsia="zh-CN" w:bidi="ar-SA"/>
        </w:rPr>
        <w:t>,保洁员自查——班组长检查——管理人员重点抽查。 ( 7)、对在规定范围内之外的特殊要求乙方要积极配合解决。</w:t>
      </w:r>
    </w:p>
    <w:p>
      <w:pPr>
        <w:pStyle w:val="23"/>
        <w:shd w:val="clear" w:color="auto" w:fill="FFFFFF"/>
        <w:spacing w:line="432" w:lineRule="auto"/>
        <w:rPr>
          <w:rFonts w:hint="eastAsia" w:ascii="宋体" w:hAnsi="宋体" w:eastAsia="宋体" w:cstheme="minorBidi"/>
          <w:color w:val="auto"/>
          <w:kern w:val="0"/>
          <w:sz w:val="21"/>
          <w:szCs w:val="21"/>
          <w:highlight w:val="none"/>
          <w:u w:val="single"/>
          <w:lang w:val="en-US" w:eastAsia="zh-CN" w:bidi="ar-SA"/>
        </w:rPr>
      </w:pPr>
      <w:r>
        <w:rPr>
          <w:rFonts w:hint="eastAsia" w:ascii="宋体" w:hAnsi="宋体" w:eastAsia="宋体" w:cstheme="minorBidi"/>
          <w:color w:val="auto"/>
          <w:kern w:val="0"/>
          <w:sz w:val="21"/>
          <w:szCs w:val="21"/>
          <w:highlight w:val="none"/>
          <w:u w:val="single"/>
          <w:lang w:val="en-US" w:eastAsia="zh-CN" w:bidi="ar-SA"/>
        </w:rPr>
        <w:t>(8)、乙方员工在工作时间及上下班时间的安全问题或有意外问题,由乙方自行承担,与甲方无关。</w:t>
      </w:r>
    </w:p>
    <w:p>
      <w:pPr>
        <w:ind w:firstLine="420" w:firstLineChars="200"/>
        <w:rPr>
          <w:rFonts w:hint="eastAsia" w:ascii="ˎ̥" w:hAnsi="ˎ̥"/>
          <w:color w:val="auto"/>
          <w:sz w:val="21"/>
          <w:szCs w:val="21"/>
          <w:highlight w:val="none"/>
          <w:u w:val="single"/>
        </w:rPr>
      </w:pPr>
      <w:r>
        <w:rPr>
          <w:rFonts w:hint="eastAsia" w:ascii="宋体" w:hAnsi="宋体" w:cs="仿宋"/>
          <w:color w:val="auto"/>
          <w:szCs w:val="21"/>
          <w:highlight w:val="none"/>
          <w:shd w:val="clear" w:color="auto" w:fill="FFFFFF"/>
        </w:rPr>
        <w:t>3、采购要求：</w:t>
      </w:r>
      <w:r>
        <w:rPr>
          <w:rFonts w:ascii="ˎ̥" w:hAnsi="ˎ̥"/>
          <w:color w:val="auto"/>
          <w:highlight w:val="none"/>
        </w:rPr>
        <w:t>   </w:t>
      </w:r>
      <w:r>
        <w:rPr>
          <w:rFonts w:ascii="ˎ̥" w:hAnsi="ˎ̥"/>
          <w:color w:val="auto"/>
          <w:highlight w:val="none"/>
          <w:u w:val="single"/>
        </w:rPr>
        <w:t>日常保洁区域:</w:t>
      </w:r>
      <w:r>
        <w:rPr>
          <w:rFonts w:hint="eastAsia"/>
          <w:b w:val="0"/>
          <w:bCs w:val="0"/>
          <w:color w:val="auto"/>
          <w:sz w:val="21"/>
          <w:szCs w:val="21"/>
          <w:highlight w:val="none"/>
          <w:u w:val="single"/>
        </w:rPr>
        <w:t xml:space="preserve"> 石鼓社区居委会办公楼</w:t>
      </w:r>
      <w:r>
        <w:rPr>
          <w:rFonts w:hint="eastAsia"/>
          <w:b w:val="0"/>
          <w:bCs w:val="0"/>
          <w:color w:val="auto"/>
          <w:sz w:val="21"/>
          <w:szCs w:val="21"/>
          <w:highlight w:val="none"/>
          <w:u w:val="single"/>
          <w:lang w:eastAsia="zh-CN"/>
        </w:rPr>
        <w:t>、水龙油画村、警务区及老人活动中心内保洁。</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w:t>
      </w:r>
      <w:r>
        <w:rPr>
          <w:rFonts w:hint="eastAsia" w:ascii="宋体" w:hAnsi="宋体"/>
          <w:color w:val="auto"/>
          <w:szCs w:val="21"/>
          <w:highlight w:val="none"/>
          <w:lang w:val="en-US" w:eastAsia="zh-CN"/>
        </w:rPr>
        <w:t>3</w:t>
      </w:r>
      <w:r>
        <w:rPr>
          <w:rFonts w:hint="eastAsia" w:ascii="宋体" w:hAnsi="宋体"/>
          <w:color w:val="auto"/>
          <w:szCs w:val="21"/>
          <w:highlight w:val="none"/>
        </w:rPr>
        <w:t>年，合同生效之日自</w:t>
      </w:r>
      <w:r>
        <w:rPr>
          <w:rFonts w:hint="eastAsia" w:ascii="宋体" w:hAnsi="宋体"/>
          <w:color w:val="auto"/>
          <w:szCs w:val="21"/>
          <w:highlight w:val="none"/>
          <w:lang w:val="en-US" w:eastAsia="zh-CN"/>
        </w:rPr>
        <w:t>2023</w:t>
      </w:r>
      <w:r>
        <w:rPr>
          <w:rFonts w:hint="eastAsia" w:ascii="宋体" w:hAnsi="宋体"/>
          <w:color w:val="auto"/>
          <w:szCs w:val="21"/>
          <w:highlight w:val="none"/>
        </w:rPr>
        <w:t>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01</w:t>
      </w:r>
      <w:r>
        <w:rPr>
          <w:rFonts w:hint="eastAsia" w:ascii="宋体" w:hAnsi="宋体"/>
          <w:color w:val="auto"/>
          <w:szCs w:val="21"/>
          <w:highlight w:val="none"/>
        </w:rPr>
        <w:t>日至</w:t>
      </w:r>
      <w:r>
        <w:rPr>
          <w:rFonts w:hint="eastAsia" w:ascii="宋体" w:hAnsi="宋体"/>
          <w:color w:val="auto"/>
          <w:szCs w:val="21"/>
          <w:highlight w:val="none"/>
          <w:lang w:val="en-US" w:eastAsia="zh-CN"/>
        </w:rPr>
        <w:t>2026</w:t>
      </w:r>
      <w:r>
        <w:rPr>
          <w:rFonts w:hint="eastAsia" w:ascii="宋体" w:hAnsi="宋体"/>
          <w:color w:val="auto"/>
          <w:szCs w:val="21"/>
          <w:highlight w:val="none"/>
        </w:rPr>
        <w:t>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w:t>
      </w:r>
      <w:r>
        <w:rPr>
          <w:rFonts w:hint="eastAsia" w:ascii="宋体" w:hAnsi="宋体"/>
          <w:color w:val="auto"/>
          <w:szCs w:val="21"/>
          <w:highlight w:val="none"/>
          <w:u w:val="single"/>
        </w:rPr>
        <w:t>石鼓社区居委会办公楼</w:t>
      </w:r>
      <w:r>
        <w:rPr>
          <w:rFonts w:hint="eastAsia" w:ascii="宋体" w:hAnsi="宋体"/>
          <w:color w:val="auto"/>
          <w:szCs w:val="21"/>
          <w:highlight w:val="none"/>
          <w:u w:val="single"/>
          <w:lang w:eastAsia="zh-CN"/>
        </w:rPr>
        <w:t>、水龙油画村、警务区及老人活动中心</w:t>
      </w:r>
      <w:r>
        <w:rPr>
          <w:rFonts w:hint="eastAsia" w:ascii="宋体" w:hAnsi="宋体"/>
          <w:color w:val="auto"/>
          <w:szCs w:val="21"/>
          <w:highlight w:val="none"/>
        </w:rPr>
        <w:t>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w:t>
      </w:r>
      <w:r>
        <w:rPr>
          <w:rFonts w:hint="eastAsia" w:ascii="宋体" w:hAnsi="宋体"/>
          <w:color w:val="auto"/>
          <w:szCs w:val="21"/>
          <w:highlight w:val="none"/>
          <w:lang w:val="en-US" w:eastAsia="zh-CN"/>
        </w:rPr>
        <w:t>5</w:t>
      </w:r>
      <w:r>
        <w:rPr>
          <w:rFonts w:hint="eastAsia" w:ascii="宋体" w:hAnsi="宋体"/>
          <w:color w:val="auto"/>
          <w:szCs w:val="21"/>
          <w:highlight w:val="none"/>
        </w:rPr>
        <w:t>%的违约金。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2"/>
    <w:p>
      <w:pPr>
        <w:ind w:firstLine="422" w:firstLineChars="200"/>
        <w:rPr>
          <w:rFonts w:ascii="宋体" w:hAnsi="宋体"/>
          <w:b/>
          <w:color w:val="auto"/>
          <w:szCs w:val="21"/>
          <w:highlight w:val="none"/>
        </w:rPr>
      </w:pPr>
      <w:bookmarkStart w:id="193"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4" w:name="_Toc86481569"/>
      <w:r>
        <w:rPr>
          <w:rFonts w:hint="eastAsia" w:ascii="宋体" w:hAnsi="宋体"/>
          <w:b/>
          <w:color w:val="auto"/>
          <w:szCs w:val="21"/>
          <w:highlight w:val="none"/>
        </w:rPr>
        <w:t>第十二条 合同生效</w:t>
      </w:r>
      <w:bookmarkEnd w:id="194"/>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w:t>
      </w:r>
      <w:r>
        <w:rPr>
          <w:rFonts w:hint="eastAsia" w:ascii="宋体" w:hAnsi="宋体"/>
          <w:color w:val="auto"/>
          <w:szCs w:val="21"/>
          <w:highlight w:val="none"/>
          <w:lang w:eastAsia="zh-CN"/>
        </w:rPr>
        <w:t>一</w:t>
      </w:r>
      <w:r>
        <w:rPr>
          <w:rFonts w:hint="eastAsia" w:ascii="宋体" w:hAnsi="宋体"/>
          <w:color w:val="auto"/>
          <w:szCs w:val="21"/>
          <w:highlight w:val="none"/>
        </w:rPr>
        <w:t>式</w:t>
      </w:r>
      <w:r>
        <w:rPr>
          <w:rFonts w:hint="eastAsia" w:ascii="宋体" w:hAnsi="宋体"/>
          <w:color w:val="auto"/>
          <w:szCs w:val="21"/>
          <w:highlight w:val="none"/>
          <w:lang w:eastAsia="zh-CN"/>
        </w:rPr>
        <w:t>三</w:t>
      </w:r>
      <w:r>
        <w:rPr>
          <w:rFonts w:hint="eastAsia" w:ascii="宋体" w:hAnsi="宋体"/>
          <w:color w:val="auto"/>
          <w:szCs w:val="21"/>
          <w:highlight w:val="none"/>
        </w:rPr>
        <w:t>份，其中甲方</w:t>
      </w:r>
      <w:r>
        <w:rPr>
          <w:rFonts w:hint="eastAsia" w:ascii="宋体" w:hAnsi="宋体"/>
          <w:color w:val="auto"/>
          <w:szCs w:val="21"/>
          <w:highlight w:val="none"/>
          <w:lang w:eastAsia="zh-CN"/>
        </w:rPr>
        <w:t>一</w:t>
      </w:r>
      <w:r>
        <w:rPr>
          <w:rFonts w:hint="eastAsia" w:ascii="宋体" w:hAnsi="宋体"/>
          <w:color w:val="auto"/>
          <w:szCs w:val="21"/>
          <w:highlight w:val="none"/>
        </w:rPr>
        <w:t>份、乙方</w:t>
      </w:r>
      <w:r>
        <w:rPr>
          <w:rFonts w:hint="eastAsia" w:ascii="宋体" w:hAnsi="宋体"/>
          <w:color w:val="auto"/>
          <w:szCs w:val="21"/>
          <w:highlight w:val="none"/>
          <w:lang w:eastAsia="zh-CN"/>
        </w:rPr>
        <w:t>一</w:t>
      </w:r>
      <w:r>
        <w:rPr>
          <w:rFonts w:hint="eastAsia" w:ascii="宋体" w:hAnsi="宋体"/>
          <w:color w:val="auto"/>
          <w:szCs w:val="21"/>
          <w:highlight w:val="none"/>
        </w:rPr>
        <w:t>份，采购代理机构</w:t>
      </w:r>
      <w:r>
        <w:rPr>
          <w:rFonts w:hint="eastAsia" w:ascii="宋体" w:hAnsi="宋体"/>
          <w:color w:val="auto"/>
          <w:szCs w:val="21"/>
          <w:highlight w:val="none"/>
          <w:lang w:eastAsia="zh-CN"/>
        </w:rPr>
        <w:t>一</w:t>
      </w:r>
      <w:r>
        <w:rPr>
          <w:rFonts w:hint="eastAsia" w:ascii="宋体" w:hAnsi="宋体"/>
          <w:color w:val="auto"/>
          <w:szCs w:val="21"/>
          <w:highlight w:val="none"/>
        </w:rPr>
        <w:t>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3"/>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2、在执行本合同的过程中，所有经甲乙双方签署确认的文件（包括补充协议</w:t>
      </w:r>
      <w:r>
        <w:rPr>
          <w:rFonts w:hint="eastAsia" w:ascii="宋体" w:hAnsi="宋体"/>
          <w:color w:val="auto"/>
          <w:szCs w:val="21"/>
          <w:highlight w:val="none"/>
          <w:lang w:eastAsia="zh-CN"/>
        </w:rPr>
        <w:t>、</w:t>
      </w:r>
      <w:r>
        <w:rPr>
          <w:rFonts w:hint="eastAsia" w:ascii="宋体" w:hAnsi="宋体"/>
          <w:color w:val="auto"/>
          <w:szCs w:val="21"/>
          <w:highlight w:val="none"/>
        </w:rPr>
        <w:t>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9"/>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5" w:name="_Toc23749"/>
      <w:bookmarkStart w:id="196" w:name="_Toc1478"/>
      <w:bookmarkStart w:id="197" w:name="_Toc31587"/>
      <w:r>
        <w:rPr>
          <w:rFonts w:hint="eastAsia"/>
          <w:color w:val="auto"/>
          <w:sz w:val="28"/>
          <w:szCs w:val="28"/>
          <w:highlight w:val="none"/>
        </w:rPr>
        <w:t>第七部分  投标文件格式</w:t>
      </w:r>
      <w:bookmarkEnd w:id="195"/>
      <w:bookmarkEnd w:id="196"/>
      <w:bookmarkEnd w:id="197"/>
    </w:p>
    <w:p>
      <w:pPr>
        <w:rPr>
          <w:color w:val="auto"/>
          <w:highlight w:val="none"/>
        </w:rPr>
      </w:pPr>
    </w:p>
    <w:p>
      <w:pPr>
        <w:pStyle w:val="4"/>
        <w:rPr>
          <w:color w:val="auto"/>
          <w:highlight w:val="none"/>
        </w:rPr>
      </w:pPr>
      <w:bookmarkStart w:id="198" w:name="_Toc26830"/>
      <w:bookmarkStart w:id="199" w:name="_Toc5794"/>
      <w:bookmarkStart w:id="200" w:name="_Toc6790"/>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1" w:name="_Toc5670"/>
      <w:bookmarkStart w:id="202" w:name="_Toc25502"/>
      <w:bookmarkStart w:id="203" w:name="_Toc18893"/>
      <w:r>
        <w:rPr>
          <w:rFonts w:hint="eastAsia"/>
          <w:color w:val="auto"/>
          <w:highlight w:val="none"/>
        </w:rPr>
        <w:t>评分标准索引表</w:t>
      </w:r>
      <w:bookmarkEnd w:id="201"/>
      <w:bookmarkEnd w:id="202"/>
      <w:bookmarkEnd w:id="203"/>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4"/>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9"/>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4" w:name="_Toc8194"/>
      <w:bookmarkStart w:id="205" w:name="_Toc22080"/>
      <w:bookmarkStart w:id="206" w:name="_Toc30640"/>
      <w:r>
        <w:rPr>
          <w:rFonts w:hint="eastAsia"/>
          <w:color w:val="auto"/>
          <w:highlight w:val="none"/>
        </w:rPr>
        <w:t>第一章价格文件</w:t>
      </w:r>
      <w:bookmarkEnd w:id="204"/>
      <w:bookmarkEnd w:id="205"/>
    </w:p>
    <w:p>
      <w:pPr>
        <w:pStyle w:val="4"/>
        <w:jc w:val="center"/>
        <w:rPr>
          <w:color w:val="auto"/>
          <w:highlight w:val="none"/>
        </w:rPr>
      </w:pPr>
      <w:bookmarkStart w:id="207" w:name="_Toc19750"/>
      <w:bookmarkStart w:id="208" w:name="_Toc4168"/>
      <w:r>
        <w:rPr>
          <w:rFonts w:hint="eastAsia"/>
          <w:color w:val="auto"/>
          <w:highlight w:val="none"/>
        </w:rPr>
        <w:t>一、唱标一览表</w:t>
      </w:r>
      <w:bookmarkEnd w:id="207"/>
      <w:bookmarkEnd w:id="208"/>
    </w:p>
    <w:p>
      <w:pPr>
        <w:rPr>
          <w:color w:val="auto"/>
          <w:highlight w:val="none"/>
        </w:rPr>
      </w:pPr>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25"/>
        <w:rPr>
          <w:color w:val="auto"/>
          <w:highlight w:val="none"/>
        </w:rPr>
      </w:pPr>
    </w:p>
    <w:p>
      <w:pPr>
        <w:rPr>
          <w:color w:val="auto"/>
          <w:highlight w:val="none"/>
        </w:rPr>
      </w:pPr>
    </w:p>
    <w:p>
      <w:pPr>
        <w:pStyle w:val="4"/>
        <w:jc w:val="center"/>
        <w:rPr>
          <w:color w:val="auto"/>
          <w:highlight w:val="none"/>
        </w:rPr>
      </w:pPr>
      <w:bookmarkStart w:id="209" w:name="_Toc31172"/>
      <w:bookmarkStart w:id="210" w:name="_Toc31062"/>
      <w:r>
        <w:rPr>
          <w:rFonts w:hint="eastAsia"/>
          <w:color w:val="auto"/>
          <w:highlight w:val="none"/>
        </w:rPr>
        <w:t>二、报价明细表</w:t>
      </w:r>
      <w:bookmarkEnd w:id="209"/>
      <w:bookmarkEnd w:id="210"/>
    </w:p>
    <w:p>
      <w:pPr>
        <w:pStyle w:val="34"/>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4"/>
        <w:rPr>
          <w:rFonts w:ascii="黑体" w:eastAsia="黑体"/>
          <w:color w:val="auto"/>
          <w:sz w:val="32"/>
          <w:szCs w:val="32"/>
          <w:highlight w:val="none"/>
        </w:rPr>
      </w:pPr>
    </w:p>
    <w:p>
      <w:pPr>
        <w:pStyle w:val="34"/>
        <w:rPr>
          <w:rFonts w:ascii="黑体" w:eastAsia="黑体"/>
          <w:color w:val="auto"/>
          <w:sz w:val="32"/>
          <w:szCs w:val="32"/>
          <w:highlight w:val="none"/>
        </w:rPr>
      </w:pPr>
    </w:p>
    <w:p>
      <w:pPr>
        <w:pStyle w:val="4"/>
        <w:jc w:val="center"/>
        <w:rPr>
          <w:color w:val="auto"/>
          <w:highlight w:val="none"/>
        </w:rPr>
      </w:pPr>
      <w:bookmarkStart w:id="211" w:name="_Toc20974"/>
      <w:bookmarkStart w:id="212" w:name="_Toc23355"/>
      <w:r>
        <w:rPr>
          <w:rFonts w:hint="eastAsia"/>
          <w:color w:val="auto"/>
          <w:highlight w:val="none"/>
        </w:rPr>
        <w:t>三、小型或微型企业（货物/服务/承担的工程）明细表</w:t>
      </w:r>
      <w:bookmarkEnd w:id="211"/>
      <w:bookmarkEnd w:id="212"/>
    </w:p>
    <w:tbl>
      <w:tblPr>
        <w:tblStyle w:val="26"/>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7"/>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6"/>
          <w:rFonts w:hint="eastAsia" w:ascii="宋体" w:hAnsi="宋体" w:eastAsia="宋体" w:cs="宋体"/>
          <w:b/>
          <w:color w:val="auto"/>
          <w:sz w:val="21"/>
          <w:szCs w:val="21"/>
          <w:highlight w:val="none"/>
        </w:rPr>
        <w:t>；</w:t>
      </w:r>
    </w:p>
    <w:p>
      <w:pPr>
        <w:pStyle w:val="37"/>
        <w:ind w:firstLine="422"/>
        <w:rPr>
          <w:rFonts w:ascii="黑体" w:eastAsia="黑体"/>
          <w:color w:val="auto"/>
          <w:sz w:val="32"/>
          <w:szCs w:val="32"/>
          <w:highlight w:val="none"/>
        </w:rPr>
      </w:pPr>
      <w:r>
        <w:rPr>
          <w:rStyle w:val="46"/>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3" w:name="_Toc13970"/>
      <w:bookmarkStart w:id="214" w:name="_Toc16718"/>
      <w:r>
        <w:rPr>
          <w:rFonts w:hint="eastAsia"/>
          <w:color w:val="auto"/>
          <w:highlight w:val="none"/>
        </w:rPr>
        <w:t>四、节能产品或环境标志产品明细表</w:t>
      </w:r>
      <w:bookmarkEnd w:id="213"/>
      <w:bookmarkEnd w:id="214"/>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4"/>
        <w:rPr>
          <w:color w:val="auto"/>
          <w:highlight w:val="none"/>
        </w:rPr>
      </w:pPr>
    </w:p>
    <w:p>
      <w:pPr>
        <w:tabs>
          <w:tab w:val="left" w:pos="284"/>
        </w:tabs>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tabs>
          <w:tab w:val="left" w:pos="284"/>
        </w:tabs>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6"/>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5" w:name="_Toc10853"/>
      <w:bookmarkStart w:id="216" w:name="_Toc17482"/>
      <w:r>
        <w:rPr>
          <w:rFonts w:hint="eastAsia"/>
          <w:color w:val="auto"/>
          <w:highlight w:val="none"/>
        </w:rPr>
        <w:t>五、中小企业声明函</w:t>
      </w:r>
      <w:bookmarkEnd w:id="215"/>
      <w:bookmarkEnd w:id="216"/>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17" w:name="_Toc8560"/>
      <w:bookmarkStart w:id="218" w:name="_Toc7959"/>
      <w:r>
        <w:rPr>
          <w:rFonts w:hint="eastAsia"/>
          <w:color w:val="auto"/>
          <w:highlight w:val="none"/>
        </w:rPr>
        <w:t>六、残疾人福利性单位声明函</w:t>
      </w:r>
      <w:bookmarkEnd w:id="217"/>
      <w:bookmarkEnd w:id="218"/>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19" w:name="_Toc509479530"/>
      <w:bookmarkStart w:id="220" w:name="_Toc30277"/>
      <w:bookmarkStart w:id="221" w:name="_Toc20910"/>
      <w:bookmarkStart w:id="222" w:name="_Toc508960153"/>
      <w:bookmarkStart w:id="223" w:name="_Toc509927455"/>
      <w:bookmarkStart w:id="224" w:name="_Toc17761"/>
      <w:bookmarkStart w:id="225" w:name="_Toc508958703"/>
      <w:bookmarkStart w:id="226" w:name="_Toc509844825"/>
      <w:bookmarkStart w:id="227" w:name="_Toc30247"/>
      <w:bookmarkStart w:id="228" w:name="_Toc508898066"/>
      <w:bookmarkStart w:id="229" w:name="_Toc510171693"/>
      <w:bookmarkStart w:id="230" w:name="_Toc2297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19"/>
      <w:bookmarkEnd w:id="220"/>
      <w:bookmarkEnd w:id="221"/>
      <w:bookmarkEnd w:id="222"/>
      <w:bookmarkEnd w:id="223"/>
      <w:bookmarkEnd w:id="224"/>
      <w:bookmarkEnd w:id="225"/>
      <w:bookmarkEnd w:id="226"/>
      <w:bookmarkEnd w:id="227"/>
      <w:bookmarkEnd w:id="228"/>
      <w:bookmarkEnd w:id="229"/>
      <w:bookmarkEnd w:id="230"/>
    </w:p>
    <w:p>
      <w:pPr>
        <w:pStyle w:val="9"/>
        <w:rPr>
          <w:color w:val="auto"/>
          <w:highlight w:val="none"/>
        </w:rPr>
      </w:pPr>
    </w:p>
    <w:p>
      <w:pPr>
        <w:ind w:firstLine="420" w:firstLineChars="200"/>
        <w:rPr>
          <w:rFonts w:ascii="宋体" w:hAnsi="宋体"/>
          <w:color w:val="auto"/>
          <w:szCs w:val="21"/>
          <w:highlight w:val="none"/>
        </w:rPr>
      </w:pPr>
      <w:bookmarkStart w:id="231" w:name="_Toc26216"/>
      <w:bookmarkStart w:id="232" w:name="_Toc508960154"/>
      <w:bookmarkStart w:id="233" w:name="_Toc21053"/>
      <w:bookmarkStart w:id="234" w:name="_Toc510171694"/>
      <w:bookmarkStart w:id="235" w:name="_Toc28527"/>
      <w:bookmarkStart w:id="236" w:name="_Toc508898067"/>
      <w:bookmarkStart w:id="237" w:name="_Toc31520"/>
      <w:bookmarkStart w:id="238" w:name="_Toc508958704"/>
      <w:bookmarkStart w:id="239" w:name="_Toc509927456"/>
      <w:bookmarkStart w:id="240" w:name="_Toc5447"/>
      <w:bookmarkStart w:id="241" w:name="_Toc509844826"/>
      <w:bookmarkStart w:id="242"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1"/>
      <w:bookmarkEnd w:id="232"/>
      <w:bookmarkEnd w:id="233"/>
      <w:bookmarkEnd w:id="234"/>
      <w:bookmarkEnd w:id="235"/>
      <w:bookmarkEnd w:id="236"/>
      <w:bookmarkEnd w:id="237"/>
      <w:bookmarkEnd w:id="238"/>
      <w:bookmarkEnd w:id="239"/>
      <w:bookmarkEnd w:id="240"/>
      <w:bookmarkEnd w:id="241"/>
      <w:bookmarkEnd w:id="242"/>
    </w:p>
    <w:p>
      <w:pPr>
        <w:ind w:firstLine="420" w:firstLineChars="200"/>
        <w:rPr>
          <w:rFonts w:ascii="宋体" w:hAnsi="宋体"/>
          <w:color w:val="auto"/>
          <w:szCs w:val="21"/>
          <w:highlight w:val="none"/>
        </w:rPr>
      </w:pPr>
      <w:bookmarkStart w:id="243" w:name="_Toc28626"/>
      <w:bookmarkStart w:id="244" w:name="_Toc510171695"/>
      <w:bookmarkStart w:id="245" w:name="_Toc24848"/>
      <w:bookmarkStart w:id="246" w:name="_Toc509927457"/>
      <w:bookmarkStart w:id="247" w:name="_Toc508960155"/>
      <w:bookmarkStart w:id="248" w:name="_Toc508958705"/>
      <w:bookmarkStart w:id="249" w:name="_Toc28126"/>
      <w:bookmarkStart w:id="250" w:name="_Toc9148"/>
      <w:bookmarkStart w:id="251" w:name="_Toc509844827"/>
      <w:bookmarkStart w:id="252" w:name="_Toc14653"/>
      <w:bookmarkStart w:id="253" w:name="_Toc509479532"/>
      <w:bookmarkStart w:id="254" w:name="_Toc50889806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3"/>
      <w:bookmarkEnd w:id="244"/>
      <w:bookmarkEnd w:id="245"/>
      <w:bookmarkEnd w:id="246"/>
      <w:bookmarkEnd w:id="247"/>
      <w:bookmarkEnd w:id="248"/>
      <w:bookmarkEnd w:id="249"/>
      <w:bookmarkEnd w:id="250"/>
      <w:bookmarkEnd w:id="251"/>
      <w:bookmarkEnd w:id="252"/>
      <w:bookmarkEnd w:id="253"/>
      <w:bookmarkEnd w:id="254"/>
    </w:p>
    <w:p>
      <w:pPr>
        <w:ind w:firstLine="420" w:firstLineChars="200"/>
        <w:rPr>
          <w:rFonts w:ascii="宋体" w:hAnsi="宋体"/>
          <w:color w:val="auto"/>
          <w:szCs w:val="21"/>
          <w:highlight w:val="none"/>
        </w:rPr>
      </w:pPr>
      <w:bookmarkStart w:id="255" w:name="_Toc509844828"/>
      <w:bookmarkStart w:id="256" w:name="_Toc510171696"/>
      <w:bookmarkStart w:id="257" w:name="_Toc508960156"/>
      <w:bookmarkStart w:id="258" w:name="_Toc508898069"/>
      <w:bookmarkStart w:id="259" w:name="_Toc7858"/>
      <w:bookmarkStart w:id="260" w:name="_Toc28044"/>
      <w:bookmarkStart w:id="261" w:name="_Toc509479533"/>
      <w:bookmarkStart w:id="262" w:name="_Toc22981"/>
      <w:bookmarkStart w:id="263" w:name="_Toc9837"/>
      <w:bookmarkStart w:id="264" w:name="_Toc28686"/>
      <w:bookmarkStart w:id="265" w:name="_Toc509927458"/>
      <w:bookmarkStart w:id="266" w:name="_Toc50895870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5"/>
      <w:bookmarkEnd w:id="256"/>
      <w:bookmarkEnd w:id="257"/>
      <w:bookmarkEnd w:id="258"/>
      <w:bookmarkEnd w:id="259"/>
      <w:bookmarkEnd w:id="260"/>
      <w:bookmarkEnd w:id="261"/>
      <w:bookmarkEnd w:id="262"/>
      <w:bookmarkEnd w:id="263"/>
      <w:bookmarkEnd w:id="264"/>
      <w:bookmarkEnd w:id="265"/>
      <w:bookmarkEnd w:id="266"/>
    </w:p>
    <w:p>
      <w:pPr>
        <w:ind w:firstLine="420" w:firstLineChars="200"/>
        <w:rPr>
          <w:rFonts w:ascii="宋体" w:hAnsi="宋体"/>
          <w:color w:val="auto"/>
          <w:szCs w:val="21"/>
          <w:highlight w:val="none"/>
        </w:rPr>
      </w:pPr>
      <w:bookmarkStart w:id="267" w:name="_Toc508958707"/>
      <w:bookmarkStart w:id="268" w:name="_Toc509927459"/>
      <w:bookmarkStart w:id="269" w:name="_Toc509844829"/>
      <w:bookmarkStart w:id="270" w:name="_Toc509479534"/>
      <w:bookmarkStart w:id="271" w:name="_Toc508898070"/>
      <w:bookmarkStart w:id="272" w:name="_Toc18843"/>
      <w:bookmarkStart w:id="273" w:name="_Toc510171697"/>
      <w:bookmarkStart w:id="274" w:name="_Toc508960157"/>
      <w:bookmarkStart w:id="275"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67"/>
      <w:bookmarkEnd w:id="268"/>
      <w:bookmarkEnd w:id="269"/>
      <w:bookmarkEnd w:id="270"/>
      <w:bookmarkEnd w:id="271"/>
      <w:bookmarkEnd w:id="272"/>
      <w:bookmarkEnd w:id="273"/>
      <w:bookmarkEnd w:id="274"/>
      <w:bookmarkEnd w:id="275"/>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6" w:name="_Toc23948"/>
      <w:bookmarkStart w:id="277" w:name="_Toc6471"/>
      <w:r>
        <w:rPr>
          <w:rFonts w:hint="eastAsia"/>
          <w:color w:val="auto"/>
          <w:highlight w:val="none"/>
        </w:rPr>
        <w:t>第二章商务文件</w:t>
      </w:r>
      <w:bookmarkEnd w:id="276"/>
      <w:bookmarkEnd w:id="277"/>
    </w:p>
    <w:bookmarkEnd w:id="206"/>
    <w:p>
      <w:pPr>
        <w:pStyle w:val="4"/>
        <w:jc w:val="center"/>
        <w:rPr>
          <w:color w:val="auto"/>
          <w:highlight w:val="none"/>
        </w:rPr>
      </w:pPr>
      <w:bookmarkStart w:id="278" w:name="_Toc1952"/>
      <w:bookmarkStart w:id="279" w:name="_Toc23787"/>
      <w:r>
        <w:rPr>
          <w:rFonts w:hint="eastAsia"/>
          <w:color w:val="auto"/>
          <w:highlight w:val="none"/>
        </w:rPr>
        <w:t>一、投标函</w:t>
      </w:r>
      <w:bookmarkEnd w:id="278"/>
      <w:bookmarkEnd w:id="279"/>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0" w:name="_Toc28616"/>
      <w:bookmarkStart w:id="281" w:name="_Toc15719"/>
      <w:r>
        <w:rPr>
          <w:rFonts w:hint="eastAsia"/>
          <w:color w:val="auto"/>
          <w:highlight w:val="none"/>
        </w:rPr>
        <w:t>二、</w:t>
      </w:r>
      <w:bookmarkEnd w:id="280"/>
      <w:bookmarkEnd w:id="281"/>
      <w:r>
        <w:rPr>
          <w:rFonts w:hint="eastAsia"/>
          <w:color w:val="auto"/>
          <w:highlight w:val="none"/>
        </w:rPr>
        <w:t>资格条件承诺函</w:t>
      </w:r>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0"/>
        <w:spacing w:line="500" w:lineRule="atLeast"/>
        <w:ind w:firstLine="3517" w:firstLineChars="1675"/>
        <w:rPr>
          <w:rFonts w:ascii="宋体" w:eastAsia="宋体"/>
          <w:color w:val="auto"/>
          <w:sz w:val="21"/>
          <w:szCs w:val="21"/>
          <w:highlight w:val="none"/>
        </w:rPr>
      </w:pP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highlight w:val="none"/>
        </w:rPr>
      </w:pPr>
    </w:p>
    <w:p>
      <w:pPr>
        <w:rPr>
          <w:color w:val="auto"/>
          <w:highlight w:val="none"/>
        </w:rPr>
      </w:pPr>
      <w:bookmarkStart w:id="282" w:name="_Toc16412"/>
    </w:p>
    <w:p>
      <w:pPr>
        <w:pStyle w:val="4"/>
        <w:jc w:val="center"/>
        <w:rPr>
          <w:color w:val="auto"/>
          <w:highlight w:val="none"/>
        </w:rPr>
      </w:pPr>
      <w:bookmarkStart w:id="283" w:name="_Toc32742"/>
      <w:bookmarkStart w:id="284" w:name="_Toc21273"/>
      <w:r>
        <w:rPr>
          <w:rFonts w:hint="eastAsia"/>
          <w:color w:val="auto"/>
          <w:highlight w:val="none"/>
        </w:rPr>
        <w:t>三、在参与政府采购活动前三年未有重大违法记录、没有不良信用记录的声明函</w:t>
      </w:r>
      <w:bookmarkEnd w:id="283"/>
      <w:bookmarkEnd w:id="284"/>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2"/>
    </w:p>
    <w:p>
      <w:pPr>
        <w:pStyle w:val="4"/>
        <w:jc w:val="center"/>
        <w:rPr>
          <w:color w:val="auto"/>
          <w:highlight w:val="none"/>
        </w:rPr>
      </w:pPr>
      <w:bookmarkStart w:id="285" w:name="_Toc13243"/>
      <w:bookmarkStart w:id="286" w:name="_Toc3894"/>
      <w:r>
        <w:rPr>
          <w:rFonts w:hint="eastAsia"/>
          <w:color w:val="auto"/>
          <w:highlight w:val="none"/>
        </w:rPr>
        <w:t>四、法定代表人证明书</w:t>
      </w:r>
      <w:bookmarkEnd w:id="285"/>
      <w:bookmarkEnd w:id="286"/>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pStyle w:val="40"/>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0"/>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87" w:name="_Toc5626"/>
      <w:bookmarkStart w:id="288" w:name="_Toc5918"/>
      <w:r>
        <w:rPr>
          <w:rFonts w:hint="eastAsia"/>
          <w:color w:val="auto"/>
          <w:highlight w:val="none"/>
        </w:rPr>
        <w:t>五、法定代表人授权书</w:t>
      </w:r>
      <w:bookmarkEnd w:id="287"/>
      <w:bookmarkEnd w:id="288"/>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0"/>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89"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0" w:name="_Toc18562"/>
      <w:bookmarkStart w:id="291" w:name="_Toc24013"/>
      <w:r>
        <w:rPr>
          <w:rFonts w:hint="eastAsia"/>
          <w:color w:val="auto"/>
          <w:highlight w:val="none"/>
        </w:rPr>
        <w:t>六、投标人基本情况说明</w:t>
      </w:r>
      <w:bookmarkEnd w:id="290"/>
      <w:bookmarkEnd w:id="291"/>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9"/>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
        <w:jc w:val="center"/>
        <w:rPr>
          <w:color w:val="auto"/>
          <w:highlight w:val="none"/>
        </w:rPr>
      </w:pPr>
      <w:bookmarkStart w:id="292" w:name="_Toc1511"/>
      <w:bookmarkStart w:id="293" w:name="_Toc29995"/>
      <w:bookmarkStart w:id="294" w:name="_Toc17470"/>
      <w:bookmarkStart w:id="295" w:name="_Toc28067"/>
      <w:bookmarkStart w:id="296" w:name="_Toc5919"/>
      <w:bookmarkStart w:id="297" w:name="_Toc24210"/>
      <w:bookmarkStart w:id="298" w:name="_Toc4926"/>
      <w:r>
        <w:rPr>
          <w:rFonts w:hint="eastAsia"/>
          <w:color w:val="auto"/>
          <w:highlight w:val="none"/>
        </w:rPr>
        <w:t>七、营业执照</w:t>
      </w:r>
      <w:bookmarkEnd w:id="292"/>
      <w:bookmarkEnd w:id="293"/>
      <w:bookmarkEnd w:id="294"/>
      <w:bookmarkEnd w:id="295"/>
      <w:bookmarkEnd w:id="296"/>
      <w:bookmarkEnd w:id="297"/>
      <w:bookmarkEnd w:id="298"/>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89"/>
    <w:p>
      <w:pPr>
        <w:pStyle w:val="4"/>
        <w:jc w:val="center"/>
        <w:rPr>
          <w:color w:val="auto"/>
          <w:highlight w:val="none"/>
        </w:rPr>
      </w:pPr>
      <w:bookmarkStart w:id="299" w:name="_Toc29439"/>
      <w:bookmarkStart w:id="300" w:name="_Toc21638"/>
      <w:r>
        <w:rPr>
          <w:rFonts w:hint="eastAsia"/>
          <w:color w:val="auto"/>
          <w:highlight w:val="none"/>
        </w:rPr>
        <w:t>八、特殊资格要求证明文件</w:t>
      </w:r>
      <w:bookmarkEnd w:id="299"/>
      <w:bookmarkEnd w:id="300"/>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pStyle w:val="4"/>
        <w:jc w:val="center"/>
        <w:rPr>
          <w:color w:val="auto"/>
          <w:highlight w:val="none"/>
        </w:rPr>
      </w:pPr>
      <w:bookmarkStart w:id="301" w:name="_Toc23341"/>
      <w:bookmarkStart w:id="302" w:name="_Toc14263"/>
      <w:r>
        <w:rPr>
          <w:rFonts w:hint="eastAsia"/>
          <w:color w:val="auto"/>
          <w:highlight w:val="none"/>
        </w:rPr>
        <w:t>九、承诺书</w:t>
      </w:r>
      <w:bookmarkEnd w:id="301"/>
      <w:bookmarkEnd w:id="302"/>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0"/>
        <w:spacing w:line="420" w:lineRule="exact"/>
        <w:ind w:firstLine="433"/>
        <w:rPr>
          <w:rFonts w:ascii="宋体" w:eastAsia="宋体" w:cs="宋体"/>
          <w:color w:val="auto"/>
          <w:sz w:val="21"/>
          <w:szCs w:val="21"/>
          <w:highlight w:val="none"/>
        </w:rPr>
      </w:pPr>
      <w:bookmarkStart w:id="303"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3"/>
      <w:r>
        <w:rPr>
          <w:rFonts w:hint="eastAsia" w:ascii="宋体" w:eastAsia="宋体" w:cs="宋体"/>
          <w:color w:val="auto"/>
          <w:sz w:val="21"/>
          <w:szCs w:val="21"/>
          <w:highlight w:val="none"/>
        </w:rPr>
        <w:cr/>
      </w:r>
    </w:p>
    <w:p>
      <w:pPr>
        <w:pStyle w:val="40"/>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4" w:name="_Toc13653"/>
      <w:bookmarkStart w:id="305" w:name="_Toc13955"/>
      <w:r>
        <w:rPr>
          <w:rFonts w:hint="eastAsia"/>
          <w:color w:val="auto"/>
          <w:highlight w:val="none"/>
        </w:rPr>
        <w:t>十、招标代理服务费承诺书</w:t>
      </w:r>
      <w:bookmarkEnd w:id="304"/>
      <w:bookmarkEnd w:id="305"/>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1"/>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6" w:name="_Toc12598"/>
      <w:bookmarkStart w:id="307" w:name="_Toc1975"/>
      <w:r>
        <w:rPr>
          <w:rFonts w:hint="eastAsia"/>
          <w:color w:val="auto"/>
          <w:highlight w:val="none"/>
        </w:rPr>
        <w:t>十一、商务条款偏离表</w:t>
      </w:r>
      <w:bookmarkEnd w:id="306"/>
      <w:bookmarkEnd w:id="307"/>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08" w:name="_Toc32183"/>
    </w:p>
    <w:p>
      <w:pPr>
        <w:pStyle w:val="4"/>
        <w:jc w:val="center"/>
        <w:rPr>
          <w:color w:val="auto"/>
          <w:highlight w:val="none"/>
        </w:rPr>
      </w:pPr>
      <w:bookmarkStart w:id="309" w:name="_Toc19276"/>
      <w:bookmarkStart w:id="310" w:name="_Toc25391"/>
      <w:r>
        <w:rPr>
          <w:rFonts w:hint="eastAsia"/>
          <w:color w:val="auto"/>
          <w:highlight w:val="none"/>
        </w:rPr>
        <w:t>十二、业绩表</w:t>
      </w:r>
      <w:bookmarkEnd w:id="309"/>
      <w:bookmarkEnd w:id="310"/>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9"/>
        <w:ind w:left="0"/>
        <w:rPr>
          <w:color w:val="auto"/>
          <w:highlight w:val="none"/>
        </w:rPr>
      </w:pPr>
    </w:p>
    <w:p>
      <w:pPr>
        <w:pStyle w:val="4"/>
        <w:jc w:val="center"/>
        <w:rPr>
          <w:rFonts w:ascii="黑体" w:eastAsia="黑体"/>
          <w:color w:val="auto"/>
          <w:szCs w:val="28"/>
          <w:highlight w:val="none"/>
        </w:rPr>
      </w:pPr>
      <w:bookmarkStart w:id="311" w:name="_Toc20520"/>
      <w:bookmarkStart w:id="312" w:name="_Toc14688"/>
      <w:r>
        <w:rPr>
          <w:rFonts w:hint="eastAsia"/>
          <w:color w:val="auto"/>
          <w:highlight w:val="none"/>
        </w:rPr>
        <w:t>第三章技术文件</w:t>
      </w:r>
      <w:bookmarkEnd w:id="308"/>
      <w:bookmarkEnd w:id="311"/>
      <w:bookmarkEnd w:id="312"/>
    </w:p>
    <w:p>
      <w:pPr>
        <w:pStyle w:val="4"/>
        <w:jc w:val="center"/>
        <w:rPr>
          <w:color w:val="auto"/>
          <w:highlight w:val="none"/>
        </w:rPr>
      </w:pPr>
      <w:bookmarkStart w:id="313" w:name="_Toc13097"/>
      <w:bookmarkStart w:id="314" w:name="_Toc7092"/>
      <w:r>
        <w:rPr>
          <w:rFonts w:hint="eastAsia"/>
          <w:color w:val="auto"/>
          <w:highlight w:val="none"/>
        </w:rPr>
        <w:t>一、技术规格偏离表</w:t>
      </w:r>
      <w:bookmarkEnd w:id="313"/>
      <w:bookmarkEnd w:id="314"/>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5" w:name="_Toc17691"/>
      <w:r>
        <w:rPr>
          <w:rFonts w:hint="eastAsia" w:ascii="宋体" w:hAnsi="宋体"/>
          <w:color w:val="auto"/>
          <w:szCs w:val="21"/>
          <w:highlight w:val="none"/>
        </w:rPr>
        <w:br w:type="page"/>
      </w:r>
      <w:bookmarkEnd w:id="315"/>
      <w:bookmarkStart w:id="316" w:name="_Toc1274"/>
      <w:bookmarkStart w:id="317" w:name="_Toc4827"/>
      <w:bookmarkStart w:id="318" w:name="_Toc6080"/>
      <w:bookmarkStart w:id="319" w:name="_Toc26078"/>
      <w:bookmarkStart w:id="320" w:name="_Toc18668"/>
      <w:bookmarkStart w:id="321" w:name="_Toc4464"/>
    </w:p>
    <w:p>
      <w:pPr>
        <w:pStyle w:val="4"/>
        <w:jc w:val="center"/>
        <w:rPr>
          <w:color w:val="auto"/>
          <w:highlight w:val="none"/>
        </w:rPr>
      </w:pPr>
      <w:bookmarkStart w:id="322" w:name="_Toc13461"/>
      <w:bookmarkStart w:id="323" w:name="_Toc10734"/>
      <w:r>
        <w:rPr>
          <w:rFonts w:hint="eastAsia"/>
          <w:color w:val="auto"/>
          <w:highlight w:val="none"/>
        </w:rPr>
        <w:t>二、重要技术参数（▲）响应表</w:t>
      </w:r>
      <w:bookmarkEnd w:id="316"/>
      <w:bookmarkEnd w:id="317"/>
      <w:bookmarkEnd w:id="318"/>
      <w:bookmarkEnd w:id="319"/>
      <w:bookmarkEnd w:id="320"/>
      <w:bookmarkEnd w:id="321"/>
      <w:bookmarkEnd w:id="322"/>
      <w:bookmarkEnd w:id="323"/>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4" w:name="_Toc29560"/>
            <w:bookmarkStart w:id="325" w:name="_Toc27079"/>
            <w:bookmarkStart w:id="326" w:name="_Toc29642"/>
            <w:r>
              <w:rPr>
                <w:rFonts w:hint="eastAsia" w:ascii="宋体" w:hAnsi="宋体" w:cs="宋体"/>
                <w:b w:val="0"/>
                <w:bCs w:val="0"/>
                <w:color w:val="auto"/>
                <w:sz w:val="21"/>
                <w:szCs w:val="21"/>
                <w:highlight w:val="none"/>
              </w:rPr>
              <w:t>序号</w:t>
            </w:r>
            <w:bookmarkEnd w:id="324"/>
            <w:bookmarkEnd w:id="325"/>
            <w:bookmarkEnd w:id="326"/>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15368"/>
            <w:bookmarkStart w:id="328" w:name="_Toc4304"/>
            <w:bookmarkStart w:id="329" w:name="_Toc15903"/>
            <w:bookmarkStart w:id="330" w:name="_Toc10045"/>
            <w:bookmarkStart w:id="331" w:name="_Toc12049"/>
            <w:bookmarkStart w:id="332" w:name="_Toc22448"/>
            <w:bookmarkStart w:id="333" w:name="_Toc27090"/>
            <w:bookmarkStart w:id="334" w:name="_Toc14815"/>
            <w:bookmarkStart w:id="335" w:name="_Toc26124"/>
            <w:bookmarkStart w:id="336" w:name="_Toc1016"/>
            <w:bookmarkStart w:id="337" w:name="_Toc2700"/>
            <w:bookmarkStart w:id="338" w:name="_Toc16872"/>
            <w:bookmarkStart w:id="339" w:name="_Toc21739"/>
            <w:bookmarkStart w:id="340" w:name="_Toc8312"/>
            <w:bookmarkStart w:id="341" w:name="_Toc7333"/>
            <w:bookmarkStart w:id="342" w:name="_Toc8490"/>
            <w:bookmarkStart w:id="343" w:name="_Toc27442"/>
            <w:bookmarkStart w:id="344" w:name="_Toc22879"/>
            <w:bookmarkStart w:id="345" w:name="_Toc32531"/>
            <w:bookmarkStart w:id="346" w:name="_Toc19251"/>
            <w:bookmarkStart w:id="347" w:name="_Toc24662"/>
            <w:bookmarkStart w:id="348" w:name="_Toc21809"/>
            <w:bookmarkStart w:id="349" w:name="_Toc22917"/>
            <w:r>
              <w:rPr>
                <w:rFonts w:hint="eastAsia" w:ascii="宋体" w:hAnsi="宋体" w:cs="宋体"/>
                <w:b w:val="0"/>
                <w:bCs w:val="0"/>
                <w:color w:val="auto"/>
                <w:sz w:val="21"/>
                <w:szCs w:val="21"/>
                <w:highlight w:val="none"/>
              </w:rPr>
              <w:t>重要技术参数评分条款（▲）</w:t>
            </w:r>
            <w:bookmarkEnd w:id="327"/>
            <w:bookmarkEnd w:id="328"/>
            <w:bookmarkEnd w:id="329"/>
            <w:bookmarkEnd w:id="330"/>
            <w:bookmarkEnd w:id="331"/>
            <w:bookmarkEnd w:id="332"/>
            <w:bookmarkEnd w:id="333"/>
            <w:bookmarkEnd w:id="334"/>
            <w:bookmarkEnd w:id="335"/>
            <w:bookmarkEnd w:id="336"/>
            <w:bookmarkEnd w:id="337"/>
            <w:bookmarkEnd w:id="338"/>
            <w:bookmarkEnd w:id="339"/>
          </w:p>
          <w:bookmarkEnd w:id="340"/>
          <w:bookmarkEnd w:id="341"/>
          <w:bookmarkEnd w:id="342"/>
          <w:bookmarkEnd w:id="343"/>
          <w:bookmarkEnd w:id="344"/>
          <w:bookmarkEnd w:id="345"/>
          <w:bookmarkEnd w:id="346"/>
          <w:bookmarkEnd w:id="347"/>
          <w:bookmarkEnd w:id="348"/>
          <w:bookmarkEnd w:id="349"/>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0" w:name="_Toc2408"/>
            <w:bookmarkStart w:id="351" w:name="_Toc10122"/>
            <w:bookmarkStart w:id="352" w:name="_Toc22153"/>
            <w:r>
              <w:rPr>
                <w:rFonts w:hint="eastAsia" w:ascii="宋体" w:hAnsi="宋体" w:cs="宋体"/>
                <w:b w:val="0"/>
                <w:bCs w:val="0"/>
                <w:color w:val="auto"/>
                <w:sz w:val="21"/>
                <w:szCs w:val="21"/>
                <w:highlight w:val="none"/>
              </w:rPr>
              <w:t>投标文件响应内容</w:t>
            </w:r>
            <w:bookmarkEnd w:id="350"/>
            <w:bookmarkEnd w:id="351"/>
            <w:bookmarkEnd w:id="352"/>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7285"/>
            <w:bookmarkStart w:id="354" w:name="_Toc29838"/>
            <w:bookmarkStart w:id="355" w:name="_Toc16003"/>
            <w:bookmarkStart w:id="356" w:name="_Toc1912"/>
            <w:bookmarkStart w:id="357" w:name="_Toc17642"/>
            <w:bookmarkStart w:id="358" w:name="_Toc1330"/>
            <w:bookmarkStart w:id="359" w:name="_Toc27185"/>
            <w:bookmarkStart w:id="360" w:name="_Toc3701"/>
            <w:bookmarkStart w:id="361" w:name="_Toc20820"/>
            <w:bookmarkStart w:id="362" w:name="_Toc5992"/>
            <w:bookmarkStart w:id="363" w:name="_Toc17296"/>
            <w:bookmarkStart w:id="364" w:name="_Toc20139"/>
            <w:bookmarkStart w:id="365" w:name="_Toc5563"/>
            <w:r>
              <w:rPr>
                <w:rFonts w:hint="eastAsia" w:ascii="宋体" w:hAnsi="宋体" w:cs="宋体"/>
                <w:b w:val="0"/>
                <w:bCs w:val="0"/>
                <w:color w:val="auto"/>
                <w:sz w:val="21"/>
                <w:szCs w:val="21"/>
                <w:highlight w:val="none"/>
              </w:rPr>
              <w:t>说明</w:t>
            </w:r>
            <w:bookmarkEnd w:id="353"/>
            <w:bookmarkEnd w:id="354"/>
            <w:bookmarkEnd w:id="355"/>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6" w:name="_Toc3520"/>
            <w:bookmarkStart w:id="367" w:name="_Toc19105"/>
            <w:bookmarkStart w:id="368" w:name="_Toc857"/>
            <w:r>
              <w:rPr>
                <w:rFonts w:hint="eastAsia" w:ascii="宋体" w:hAnsi="宋体" w:cs="宋体"/>
                <w:b w:val="0"/>
                <w:bCs w:val="0"/>
                <w:color w:val="auto"/>
                <w:sz w:val="21"/>
                <w:szCs w:val="21"/>
                <w:highlight w:val="none"/>
              </w:rPr>
              <w:t>页码范围</w:t>
            </w:r>
            <w:bookmarkEnd w:id="356"/>
            <w:bookmarkEnd w:id="357"/>
            <w:bookmarkEnd w:id="358"/>
            <w:bookmarkEnd w:id="359"/>
            <w:bookmarkEnd w:id="360"/>
            <w:bookmarkEnd w:id="361"/>
            <w:bookmarkEnd w:id="362"/>
            <w:bookmarkEnd w:id="363"/>
            <w:bookmarkEnd w:id="364"/>
            <w:bookmarkEnd w:id="365"/>
            <w:bookmarkEnd w:id="366"/>
            <w:bookmarkEnd w:id="367"/>
            <w:bookmarkEnd w:id="36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w:t>
      </w:r>
    </w:p>
    <w:p>
      <w:pPr>
        <w:pStyle w:val="37"/>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7"/>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7"/>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7"/>
        <w:rPr>
          <w:rFonts w:ascii="宋体" w:hAnsi="宋体"/>
          <w:color w:val="auto"/>
          <w:szCs w:val="21"/>
          <w:highlight w:val="none"/>
        </w:rPr>
      </w:pPr>
    </w:p>
    <w:p>
      <w:pPr>
        <w:pStyle w:val="37"/>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69" w:name="_Toc27139"/>
      <w:bookmarkStart w:id="370" w:name="_Toc19349"/>
      <w:r>
        <w:rPr>
          <w:rFonts w:hint="eastAsia"/>
          <w:color w:val="auto"/>
          <w:highlight w:val="none"/>
        </w:rPr>
        <w:t>三、实质性条款（标记★）投标响应表</w:t>
      </w:r>
      <w:bookmarkEnd w:id="369"/>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1" w:name="_Toc21519"/>
      <w:r>
        <w:rPr>
          <w:rFonts w:hint="eastAsia"/>
          <w:color w:val="auto"/>
          <w:highlight w:val="none"/>
        </w:rPr>
        <w:t>四、项目技术方案</w:t>
      </w:r>
      <w:bookmarkEnd w:id="370"/>
      <w:bookmarkEnd w:id="371"/>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6880"/>
      <w:bookmarkStart w:id="373" w:name="_Toc16328"/>
      <w:r>
        <w:rPr>
          <w:rFonts w:hint="eastAsia"/>
          <w:color w:val="auto"/>
          <w:highlight w:val="none"/>
        </w:rPr>
        <w:t>五、项目负责人及团队成员资料表</w:t>
      </w:r>
      <w:bookmarkEnd w:id="372"/>
      <w:bookmarkEnd w:id="373"/>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9"/>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4" w:name="_Toc15431"/>
      <w:bookmarkStart w:id="375" w:name="_Toc26980"/>
      <w:r>
        <w:rPr>
          <w:rFonts w:hint="eastAsia"/>
          <w:color w:val="auto"/>
          <w:highlight w:val="none"/>
        </w:rPr>
        <w:t>六、投标货物明细一览表</w:t>
      </w:r>
      <w:bookmarkEnd w:id="374"/>
      <w:bookmarkEnd w:id="375"/>
    </w:p>
    <w:tbl>
      <w:tblPr>
        <w:tblStyle w:val="26"/>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6" w:name="_Toc6961"/>
      <w:r>
        <w:rPr>
          <w:rFonts w:hint="eastAsia"/>
          <w:color w:val="auto"/>
          <w:highlight w:val="none"/>
        </w:rPr>
        <w:t>七、政府采购履约担保函</w:t>
      </w:r>
      <w:bookmarkEnd w:id="376"/>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9"/>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77" w:name="_Toc26782"/>
      <w:bookmarkStart w:id="378" w:name="_Toc26772"/>
      <w:r>
        <w:rPr>
          <w:rFonts w:hint="eastAsia"/>
          <w:color w:val="auto"/>
          <w:highlight w:val="none"/>
        </w:rPr>
        <w:t>第四章唱标信封（单独封装）</w:t>
      </w:r>
      <w:bookmarkEnd w:id="377"/>
      <w:bookmarkEnd w:id="378"/>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79"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0" w:name="_Toc2710"/>
      <w:bookmarkStart w:id="381" w:name="_Toc22736"/>
      <w:bookmarkStart w:id="382" w:name="_GoBack"/>
      <w:bookmarkEnd w:id="382"/>
      <w:r>
        <w:rPr>
          <w:rFonts w:hint="eastAsia"/>
          <w:color w:val="auto"/>
          <w:highlight w:val="none"/>
        </w:rPr>
        <w:t>第五章联合体共同投标协议书（如有需要）</w:t>
      </w:r>
      <w:bookmarkEnd w:id="380"/>
      <w:bookmarkEnd w:id="381"/>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79"/>
    <w:p>
      <w:pPr>
        <w:pStyle w:val="9"/>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rPr>
          <w:color w:val="auto"/>
          <w:highlight w:val="none"/>
        </w:rPr>
      </w:pPr>
    </w:p>
    <w:p>
      <w:pPr>
        <w:pStyle w:val="9"/>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6"/>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5"/>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2"/>
        </w:rPr>
        <w:footnoteRef/>
      </w:r>
      <w:r>
        <w:t xml:space="preserve"> </w:t>
      </w:r>
      <w:r>
        <w:rPr>
          <w:rFonts w:hint="eastAsia"/>
        </w:rPr>
        <w:t>从业人员、营业人员、资产总额填报上一年度数据，无上一年度数据的新成立企业可不填报。</w:t>
      </w:r>
    </w:p>
  </w:footnote>
  <w:footnote w:id="1">
    <w:p>
      <w:pPr>
        <w:pStyle w:val="21"/>
      </w:pPr>
      <w:r>
        <w:rPr>
          <w:rStyle w:val="32"/>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07546D"/>
    <w:rsid w:val="018023CE"/>
    <w:rsid w:val="01881AD6"/>
    <w:rsid w:val="01B40242"/>
    <w:rsid w:val="01B938AA"/>
    <w:rsid w:val="01DA2B04"/>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5D410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6D2EF8"/>
    <w:rsid w:val="0B797387"/>
    <w:rsid w:val="0B8B2381"/>
    <w:rsid w:val="0BC044BE"/>
    <w:rsid w:val="0BDF26F7"/>
    <w:rsid w:val="0BE34502"/>
    <w:rsid w:val="0BF027CF"/>
    <w:rsid w:val="0C264099"/>
    <w:rsid w:val="0C2B4952"/>
    <w:rsid w:val="0C436DE4"/>
    <w:rsid w:val="0C700313"/>
    <w:rsid w:val="0C7B2220"/>
    <w:rsid w:val="0CB929D1"/>
    <w:rsid w:val="0D890E47"/>
    <w:rsid w:val="0DBD266C"/>
    <w:rsid w:val="0DC64A00"/>
    <w:rsid w:val="0DFC60BA"/>
    <w:rsid w:val="0E1243D2"/>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2C60D80"/>
    <w:rsid w:val="12E459D2"/>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4D40EDF"/>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4E0C8D"/>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373A50"/>
    <w:rsid w:val="22154DDD"/>
    <w:rsid w:val="22213E42"/>
    <w:rsid w:val="22336873"/>
    <w:rsid w:val="23175889"/>
    <w:rsid w:val="23675953"/>
    <w:rsid w:val="238C2182"/>
    <w:rsid w:val="239015D1"/>
    <w:rsid w:val="23BB4E7D"/>
    <w:rsid w:val="23C172D6"/>
    <w:rsid w:val="23F04F64"/>
    <w:rsid w:val="24270557"/>
    <w:rsid w:val="24814CBE"/>
    <w:rsid w:val="24A93807"/>
    <w:rsid w:val="24AC168B"/>
    <w:rsid w:val="258C3BEC"/>
    <w:rsid w:val="2594045D"/>
    <w:rsid w:val="25E576CC"/>
    <w:rsid w:val="260E3862"/>
    <w:rsid w:val="262569FC"/>
    <w:rsid w:val="26344C98"/>
    <w:rsid w:val="26F56CE2"/>
    <w:rsid w:val="271316D3"/>
    <w:rsid w:val="27435D49"/>
    <w:rsid w:val="279D7544"/>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9B3CAB"/>
    <w:rsid w:val="2AE3766F"/>
    <w:rsid w:val="2B242199"/>
    <w:rsid w:val="2B7E4054"/>
    <w:rsid w:val="2BE30049"/>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8E20B4"/>
    <w:rsid w:val="2EB9239F"/>
    <w:rsid w:val="2ED06066"/>
    <w:rsid w:val="2ED1223D"/>
    <w:rsid w:val="2EE470F7"/>
    <w:rsid w:val="2EF223E2"/>
    <w:rsid w:val="2F000139"/>
    <w:rsid w:val="2F111253"/>
    <w:rsid w:val="2F50269F"/>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975CF3"/>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1A771F"/>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A5578B"/>
    <w:rsid w:val="38EB6119"/>
    <w:rsid w:val="39DE33DA"/>
    <w:rsid w:val="39FA5B4A"/>
    <w:rsid w:val="39FE0BE9"/>
    <w:rsid w:val="3A3C1AAF"/>
    <w:rsid w:val="3A424C25"/>
    <w:rsid w:val="3A4B7CC1"/>
    <w:rsid w:val="3A51228C"/>
    <w:rsid w:val="3A552E60"/>
    <w:rsid w:val="3A5D642F"/>
    <w:rsid w:val="3AB210FC"/>
    <w:rsid w:val="3ACE216B"/>
    <w:rsid w:val="3AD95C13"/>
    <w:rsid w:val="3B261E51"/>
    <w:rsid w:val="3B6B78DE"/>
    <w:rsid w:val="3B973F88"/>
    <w:rsid w:val="3BCD72F7"/>
    <w:rsid w:val="3C414142"/>
    <w:rsid w:val="3CE114D9"/>
    <w:rsid w:val="3CF737A2"/>
    <w:rsid w:val="3CF7509A"/>
    <w:rsid w:val="3D10295A"/>
    <w:rsid w:val="3DD50400"/>
    <w:rsid w:val="3DED21B5"/>
    <w:rsid w:val="3E0572FD"/>
    <w:rsid w:val="3E1A5292"/>
    <w:rsid w:val="3E4127AD"/>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4554EB"/>
    <w:rsid w:val="41734CBA"/>
    <w:rsid w:val="41A971AF"/>
    <w:rsid w:val="41C01B53"/>
    <w:rsid w:val="41DD7057"/>
    <w:rsid w:val="420F7A65"/>
    <w:rsid w:val="4216611A"/>
    <w:rsid w:val="423E300F"/>
    <w:rsid w:val="425656C8"/>
    <w:rsid w:val="4257273C"/>
    <w:rsid w:val="425D7213"/>
    <w:rsid w:val="42677B61"/>
    <w:rsid w:val="42756DB0"/>
    <w:rsid w:val="42B21AD2"/>
    <w:rsid w:val="42EB15FB"/>
    <w:rsid w:val="42FD694D"/>
    <w:rsid w:val="434A6D8F"/>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5A16EE"/>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9D863C6"/>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893B14"/>
    <w:rsid w:val="5D9F3D30"/>
    <w:rsid w:val="5E2810D5"/>
    <w:rsid w:val="5E2B7D62"/>
    <w:rsid w:val="5E71411E"/>
    <w:rsid w:val="5EA06921"/>
    <w:rsid w:val="5ED5006A"/>
    <w:rsid w:val="5F576E4B"/>
    <w:rsid w:val="5F5D4EDE"/>
    <w:rsid w:val="5F7A2C30"/>
    <w:rsid w:val="5F7E5DBD"/>
    <w:rsid w:val="5FBE370A"/>
    <w:rsid w:val="5FF273D7"/>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1415D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2C6CAE"/>
    <w:rsid w:val="72C16204"/>
    <w:rsid w:val="730313F6"/>
    <w:rsid w:val="731E1007"/>
    <w:rsid w:val="73370D24"/>
    <w:rsid w:val="7359268C"/>
    <w:rsid w:val="73676C3F"/>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350E3"/>
    <w:rsid w:val="77653671"/>
    <w:rsid w:val="7782683F"/>
    <w:rsid w:val="778546CC"/>
    <w:rsid w:val="77B01880"/>
    <w:rsid w:val="77B56730"/>
    <w:rsid w:val="77C04A8B"/>
    <w:rsid w:val="77D85DB3"/>
    <w:rsid w:val="780252A0"/>
    <w:rsid w:val="78027772"/>
    <w:rsid w:val="78A50513"/>
    <w:rsid w:val="79082967"/>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BF4035E"/>
    <w:rsid w:val="7C1724A5"/>
    <w:rsid w:val="7C8E3CCF"/>
    <w:rsid w:val="7CA54112"/>
    <w:rsid w:val="7CE50CE4"/>
    <w:rsid w:val="7D2177E3"/>
    <w:rsid w:val="7D2E5ABF"/>
    <w:rsid w:val="7D9C4FB9"/>
    <w:rsid w:val="7DC82AB7"/>
    <w:rsid w:val="7DE64EB5"/>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outlineLvl w:val="2"/>
    </w:pPr>
    <w:rPr>
      <w:b/>
      <w:bCs/>
      <w:sz w:val="28"/>
      <w:szCs w:val="32"/>
    </w:rPr>
  </w:style>
  <w:style w:type="paragraph" w:styleId="5">
    <w:name w:val="heading 4"/>
    <w:basedOn w:val="1"/>
    <w:next w:val="1"/>
    <w:link w:val="38"/>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semiHidden/>
    <w:unhideWhenUsed/>
    <w:qFormat/>
    <w:uiPriority w:val="99"/>
  </w:style>
  <w:style w:type="paragraph" w:styleId="9">
    <w:name w:val="Body Text"/>
    <w:basedOn w:val="1"/>
    <w:next w:val="1"/>
    <w:qFormat/>
    <w:uiPriority w:val="1"/>
    <w:pPr>
      <w:spacing w:before="161"/>
      <w:ind w:left="120"/>
    </w:pPr>
    <w:rPr>
      <w:rFonts w:ascii="宋体" w:hAnsi="宋体" w:cs="宋体"/>
      <w:sz w:val="24"/>
      <w:lang w:val="zh-CN" w:bidi="zh-CN"/>
    </w:rPr>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8"/>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1"/>
    <w:semiHidden/>
    <w:unhideWhenUsed/>
    <w:qFormat/>
    <w:uiPriority w:val="99"/>
    <w:rPr>
      <w:sz w:val="18"/>
      <w:szCs w:val="18"/>
    </w:rPr>
  </w:style>
  <w:style w:type="paragraph" w:styleId="14">
    <w:name w:val="footer"/>
    <w:basedOn w:val="1"/>
    <w:link w:val="50"/>
    <w:unhideWhenUsed/>
    <w:qFormat/>
    <w:uiPriority w:val="99"/>
    <w:pPr>
      <w:tabs>
        <w:tab w:val="center" w:pos="4153"/>
        <w:tab w:val="right" w:pos="8306"/>
      </w:tabs>
    </w:pPr>
    <w:rPr>
      <w:sz w:val="18"/>
      <w:szCs w:val="18"/>
    </w:rPr>
  </w:style>
  <w:style w:type="paragraph" w:styleId="15">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3"/>
    <w:qFormat/>
    <w:uiPriority w:val="0"/>
    <w:pPr>
      <w:widowControl w:val="0"/>
      <w:adjustRightInd/>
      <w:snapToGrid/>
      <w:jc w:val="both"/>
    </w:pPr>
    <w:rPr>
      <w:rFonts w:asciiTheme="minorHAnsi" w:hAnsiTheme="minorHAnsi"/>
      <w:kern w:val="2"/>
      <w:sz w:val="24"/>
      <w:szCs w:val="24"/>
    </w:rPr>
  </w:style>
  <w:style w:type="paragraph" w:styleId="24">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5">
    <w:name w:val="Body Text First Indent"/>
    <w:basedOn w:val="9"/>
    <w:unhideWhenUsed/>
    <w:qFormat/>
    <w:uiPriority w:val="99"/>
    <w:pPr>
      <w:ind w:firstLine="420" w:firstLineChars="100"/>
    </w:pPr>
    <w:rPr>
      <w:rFonts w:ascii="Times New Roman" w:hAnsi="Times New Roman" w:cs="Times New Roman"/>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99"/>
    <w:rPr>
      <w:vertAlign w:val="superscript"/>
    </w:rPr>
  </w:style>
  <w:style w:type="paragraph" w:customStyle="1" w:styleId="33">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4">
    <w:name w:val="表格文字"/>
    <w:basedOn w:val="1"/>
    <w:qFormat/>
    <w:uiPriority w:val="0"/>
    <w:pPr>
      <w:adjustRightInd/>
      <w:spacing w:before="25" w:after="25"/>
    </w:pPr>
    <w:rPr>
      <w:rFonts w:ascii="Times New Roman"/>
      <w:bCs/>
      <w:spacing w:val="10"/>
      <w:szCs w:val="20"/>
    </w:rPr>
  </w:style>
  <w:style w:type="character" w:customStyle="1" w:styleId="35">
    <w:name w:val="标题 2 Char"/>
    <w:basedOn w:val="28"/>
    <w:link w:val="3"/>
    <w:qFormat/>
    <w:uiPriority w:val="9"/>
    <w:rPr>
      <w:rFonts w:asciiTheme="majorHAnsi" w:hAnsiTheme="majorHAnsi" w:eastAsiaTheme="majorEastAsia" w:cstheme="majorBidi"/>
      <w:b/>
      <w:bCs/>
      <w:sz w:val="32"/>
      <w:szCs w:val="32"/>
    </w:rPr>
  </w:style>
  <w:style w:type="character" w:customStyle="1" w:styleId="36">
    <w:name w:val="标题 3 Char"/>
    <w:basedOn w:val="28"/>
    <w:link w:val="4"/>
    <w:qFormat/>
    <w:uiPriority w:val="9"/>
    <w:rPr>
      <w:rFonts w:ascii="Tahoma" w:hAnsi="Tahoma" w:eastAsia="宋体"/>
      <w:b/>
      <w:bCs/>
      <w:sz w:val="28"/>
      <w:szCs w:val="32"/>
    </w:rPr>
  </w:style>
  <w:style w:type="paragraph" w:styleId="37">
    <w:name w:val="List Paragraph"/>
    <w:basedOn w:val="1"/>
    <w:qFormat/>
    <w:uiPriority w:val="34"/>
    <w:pPr>
      <w:ind w:firstLine="420" w:firstLineChars="200"/>
    </w:pPr>
  </w:style>
  <w:style w:type="character" w:customStyle="1" w:styleId="38">
    <w:name w:val="标题 4 Char"/>
    <w:basedOn w:val="28"/>
    <w:link w:val="5"/>
    <w:qFormat/>
    <w:uiPriority w:val="9"/>
    <w:rPr>
      <w:rFonts w:eastAsia="宋体" w:asciiTheme="majorHAnsi" w:hAnsiTheme="majorHAnsi" w:cstheme="majorBidi"/>
      <w:b/>
      <w:bCs/>
      <w:sz w:val="24"/>
      <w:szCs w:val="28"/>
    </w:rPr>
  </w:style>
  <w:style w:type="character" w:customStyle="1" w:styleId="39">
    <w:name w:val="正文缩进2格 Char"/>
    <w:link w:val="40"/>
    <w:qFormat/>
    <w:uiPriority w:val="0"/>
    <w:rPr>
      <w:rFonts w:ascii="仿宋_GB2312" w:hAnsi="宋体" w:eastAsia="仿宋_GB2312"/>
      <w:kern w:val="2"/>
      <w:sz w:val="31"/>
    </w:rPr>
  </w:style>
  <w:style w:type="paragraph" w:customStyle="1" w:styleId="40">
    <w:name w:val="正文缩进2格"/>
    <w:basedOn w:val="1"/>
    <w:next w:val="1"/>
    <w:link w:val="39"/>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1">
    <w:name w:val="正文缩进4格"/>
    <w:basedOn w:val="40"/>
    <w:qFormat/>
    <w:uiPriority w:val="0"/>
    <w:pPr>
      <w:ind w:left="2" w:firstLine="538" w:firstLineChars="192"/>
    </w:pPr>
    <w:rPr>
      <w:color w:val="0000FF"/>
      <w:sz w:val="28"/>
    </w:rPr>
  </w:style>
  <w:style w:type="character" w:customStyle="1" w:styleId="42">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3">
    <w:name w:val="标题1"/>
    <w:qFormat/>
    <w:uiPriority w:val="0"/>
    <w:rPr>
      <w:rFonts w:ascii="Times New Roman" w:hAnsi="Times New Roman" w:eastAsia="宋体" w:cs="Times New Roman"/>
      <w:b/>
      <w:kern w:val="0"/>
      <w:sz w:val="24"/>
      <w:szCs w:val="20"/>
      <w:lang w:eastAsia="en-US"/>
    </w:rPr>
  </w:style>
  <w:style w:type="character" w:customStyle="1" w:styleId="44">
    <w:name w:val="标题 3.1 Char"/>
    <w:link w:val="45"/>
    <w:qFormat/>
    <w:uiPriority w:val="0"/>
    <w:rPr>
      <w:rFonts w:ascii="宋体" w:hAnsi="宋体" w:eastAsia="宋体"/>
      <w:b/>
      <w:color w:val="FF0000"/>
      <w:kern w:val="2"/>
      <w:sz w:val="32"/>
    </w:rPr>
  </w:style>
  <w:style w:type="paragraph" w:customStyle="1" w:styleId="45">
    <w:name w:val="标题 3.1"/>
    <w:basedOn w:val="4"/>
    <w:link w:val="44"/>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6">
    <w:name w:val="样式 楷体_GB2312 小四"/>
    <w:qFormat/>
    <w:uiPriority w:val="0"/>
    <w:rPr>
      <w:rFonts w:ascii="楷体_GB2312" w:hAnsi="楷体_GB2312" w:eastAsia="仿宋_GB2312"/>
      <w:sz w:val="24"/>
    </w:rPr>
  </w:style>
  <w:style w:type="character" w:customStyle="1" w:styleId="47">
    <w:name w:val="纯文本 Char"/>
    <w:qFormat/>
    <w:uiPriority w:val="0"/>
    <w:rPr>
      <w:rFonts w:ascii="宋体" w:hAnsi="Courier New" w:eastAsia="宋体" w:cs="Times New Roman"/>
      <w:b/>
      <w:kern w:val="2"/>
      <w:sz w:val="21"/>
      <w:szCs w:val="20"/>
    </w:rPr>
  </w:style>
  <w:style w:type="character" w:customStyle="1" w:styleId="48">
    <w:name w:val="纯文本 Char1"/>
    <w:basedOn w:val="28"/>
    <w:link w:val="11"/>
    <w:semiHidden/>
    <w:qFormat/>
    <w:uiPriority w:val="99"/>
    <w:rPr>
      <w:rFonts w:ascii="宋体" w:hAnsi="Courier New" w:eastAsia="宋体" w:cs="Courier New"/>
      <w:sz w:val="21"/>
      <w:szCs w:val="21"/>
    </w:rPr>
  </w:style>
  <w:style w:type="character" w:customStyle="1" w:styleId="49">
    <w:name w:val="页眉 Char"/>
    <w:basedOn w:val="28"/>
    <w:link w:val="15"/>
    <w:qFormat/>
    <w:uiPriority w:val="99"/>
    <w:rPr>
      <w:rFonts w:ascii="Tahoma" w:hAnsi="Tahoma"/>
      <w:sz w:val="18"/>
      <w:szCs w:val="18"/>
    </w:rPr>
  </w:style>
  <w:style w:type="character" w:customStyle="1" w:styleId="50">
    <w:name w:val="页脚 Char"/>
    <w:basedOn w:val="28"/>
    <w:link w:val="14"/>
    <w:qFormat/>
    <w:uiPriority w:val="99"/>
    <w:rPr>
      <w:rFonts w:ascii="Tahoma" w:hAnsi="Tahoma"/>
      <w:sz w:val="18"/>
      <w:szCs w:val="18"/>
    </w:rPr>
  </w:style>
  <w:style w:type="character" w:customStyle="1" w:styleId="51">
    <w:name w:val="批注框文本 Char"/>
    <w:basedOn w:val="28"/>
    <w:link w:val="13"/>
    <w:semiHidden/>
    <w:qFormat/>
    <w:uiPriority w:val="99"/>
    <w:rPr>
      <w:rFonts w:ascii="Tahoma" w:hAnsi="Tahoma"/>
      <w:sz w:val="18"/>
      <w:szCs w:val="18"/>
    </w:rPr>
  </w:style>
  <w:style w:type="paragraph" w:customStyle="1" w:styleId="52">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3">
    <w:name w:val="普通(网站) Char"/>
    <w:link w:val="23"/>
    <w:qFormat/>
    <w:uiPriority w:val="0"/>
    <w:rPr>
      <w:rFonts w:eastAsia="宋体"/>
      <w:kern w:val="2"/>
      <w:sz w:val="24"/>
      <w:szCs w:val="24"/>
    </w:rPr>
  </w:style>
  <w:style w:type="paragraph" w:customStyle="1" w:styleId="54">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5">
    <w:name w:val="p141"/>
    <w:qFormat/>
    <w:uiPriority w:val="0"/>
    <w:rPr>
      <w:sz w:val="21"/>
      <w:szCs w:val="21"/>
    </w:rPr>
  </w:style>
  <w:style w:type="paragraph" w:customStyle="1" w:styleId="56">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7">
    <w:name w:val="正文无缩进"/>
    <w:basedOn w:val="40"/>
    <w:qFormat/>
    <w:uiPriority w:val="0"/>
    <w:pPr>
      <w:ind w:firstLine="0" w:firstLineChars="0"/>
    </w:pPr>
  </w:style>
  <w:style w:type="paragraph" w:customStyle="1" w:styleId="58">
    <w:name w:val="一级条标题"/>
    <w:basedOn w:val="59"/>
    <w:next w:val="60"/>
    <w:qFormat/>
    <w:uiPriority w:val="0"/>
    <w:pPr>
      <w:tabs>
        <w:tab w:val="left" w:pos="720"/>
      </w:tabs>
      <w:spacing w:beforeLines="0" w:afterLines="0"/>
      <w:outlineLvl w:val="2"/>
    </w:pPr>
  </w:style>
  <w:style w:type="paragraph" w:customStyle="1" w:styleId="59">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1">
    <w:name w:val="font212"/>
    <w:basedOn w:val="28"/>
    <w:qFormat/>
    <w:uiPriority w:val="0"/>
    <w:rPr>
      <w:rFonts w:ascii="宋体" w:hAnsi="宋体" w:eastAsia="宋体" w:cs="宋体"/>
      <w:color w:val="000000"/>
      <w:sz w:val="22"/>
      <w:szCs w:val="22"/>
      <w:u w:val="none"/>
    </w:rPr>
  </w:style>
  <w:style w:type="character" w:customStyle="1" w:styleId="62">
    <w:name w:val="font41"/>
    <w:basedOn w:val="28"/>
    <w:qFormat/>
    <w:uiPriority w:val="0"/>
    <w:rPr>
      <w:rFonts w:hint="eastAsia" w:ascii="宋体" w:hAnsi="宋体" w:eastAsia="宋体" w:cs="宋体"/>
      <w:color w:val="000000"/>
      <w:sz w:val="22"/>
      <w:szCs w:val="22"/>
      <w:u w:val="none"/>
    </w:rPr>
  </w:style>
  <w:style w:type="character" w:customStyle="1" w:styleId="63">
    <w:name w:val="font181"/>
    <w:basedOn w:val="28"/>
    <w:qFormat/>
    <w:uiPriority w:val="0"/>
    <w:rPr>
      <w:rFonts w:hint="default" w:ascii="Times New Roman" w:hAnsi="Times New Roman" w:cs="Times New Roman"/>
      <w:color w:val="000000"/>
      <w:sz w:val="22"/>
      <w:szCs w:val="22"/>
      <w:u w:val="none"/>
    </w:rPr>
  </w:style>
  <w:style w:type="character" w:customStyle="1" w:styleId="64">
    <w:name w:val="font221"/>
    <w:basedOn w:val="28"/>
    <w:qFormat/>
    <w:uiPriority w:val="0"/>
    <w:rPr>
      <w:rFonts w:hint="eastAsia" w:ascii="宋体" w:hAnsi="宋体" w:eastAsia="宋体" w:cs="宋体"/>
      <w:color w:val="000000"/>
      <w:sz w:val="22"/>
      <w:szCs w:val="22"/>
      <w:u w:val="none"/>
      <w:vertAlign w:val="superscript"/>
    </w:rPr>
  </w:style>
  <w:style w:type="character" w:customStyle="1" w:styleId="65">
    <w:name w:val="font161"/>
    <w:basedOn w:val="28"/>
    <w:qFormat/>
    <w:uiPriority w:val="0"/>
    <w:rPr>
      <w:rFonts w:hint="eastAsia" w:ascii="宋体" w:hAnsi="宋体" w:eastAsia="宋体" w:cs="宋体"/>
      <w:color w:val="000000"/>
      <w:sz w:val="22"/>
      <w:szCs w:val="22"/>
      <w:u w:val="none"/>
    </w:rPr>
  </w:style>
  <w:style w:type="character" w:customStyle="1" w:styleId="66">
    <w:name w:val="font131"/>
    <w:basedOn w:val="28"/>
    <w:qFormat/>
    <w:uiPriority w:val="0"/>
    <w:rPr>
      <w:rFonts w:hint="eastAsia" w:ascii="微软雅黑" w:hAnsi="微软雅黑" w:eastAsia="微软雅黑" w:cs="微软雅黑"/>
      <w:color w:val="000000"/>
      <w:sz w:val="22"/>
      <w:szCs w:val="22"/>
      <w:u w:val="none"/>
    </w:rPr>
  </w:style>
  <w:style w:type="paragraph" w:customStyle="1" w:styleId="67">
    <w:name w:val="*正文"/>
    <w:basedOn w:val="1"/>
    <w:qFormat/>
    <w:uiPriority w:val="0"/>
    <w:pPr>
      <w:spacing w:after="200"/>
      <w:ind w:firstLine="200"/>
    </w:pPr>
    <w:rPr>
      <w:rFonts w:ascii="宋体" w:hAnsi="宋体"/>
      <w:sz w:val="24"/>
      <w:szCs w:val="24"/>
    </w:rPr>
  </w:style>
  <w:style w:type="paragraph" w:customStyle="1" w:styleId="68">
    <w:name w:val="列出段落2"/>
    <w:basedOn w:val="1"/>
    <w:qFormat/>
    <w:uiPriority w:val="0"/>
    <w:pPr>
      <w:ind w:firstLine="420" w:firstLineChars="200"/>
    </w:pPr>
    <w:rPr>
      <w:rFonts w:ascii="Calibri" w:hAnsi="Calibri" w:cs="Times New Roman"/>
    </w:rPr>
  </w:style>
  <w:style w:type="paragraph" w:customStyle="1" w:styleId="69">
    <w:name w:val="Table Paragraph"/>
    <w:basedOn w:val="1"/>
    <w:qFormat/>
    <w:uiPriority w:val="1"/>
  </w:style>
  <w:style w:type="character" w:customStyle="1" w:styleId="70">
    <w:name w:val="font61"/>
    <w:basedOn w:val="28"/>
    <w:qFormat/>
    <w:uiPriority w:val="0"/>
    <w:rPr>
      <w:rFonts w:hint="eastAsia" w:ascii="宋体" w:hAnsi="宋体" w:eastAsia="宋体" w:cs="宋体"/>
      <w:color w:val="000000"/>
      <w:sz w:val="20"/>
      <w:szCs w:val="20"/>
      <w:u w:val="none"/>
    </w:rPr>
  </w:style>
  <w:style w:type="character" w:customStyle="1" w:styleId="71">
    <w:name w:val="font101"/>
    <w:basedOn w:val="28"/>
    <w:qFormat/>
    <w:uiPriority w:val="0"/>
    <w:rPr>
      <w:rFonts w:hint="eastAsia" w:ascii="宋体" w:hAnsi="宋体" w:eastAsia="宋体" w:cs="宋体"/>
      <w:color w:val="70AD47"/>
      <w:sz w:val="20"/>
      <w:szCs w:val="20"/>
      <w:u w:val="none"/>
    </w:rPr>
  </w:style>
  <w:style w:type="character" w:customStyle="1" w:styleId="72">
    <w:name w:val="font31"/>
    <w:basedOn w:val="28"/>
    <w:qFormat/>
    <w:uiPriority w:val="0"/>
    <w:rPr>
      <w:rFonts w:hint="eastAsia" w:ascii="宋体" w:hAnsi="宋体" w:eastAsia="宋体" w:cs="宋体"/>
      <w:color w:val="000000"/>
      <w:sz w:val="20"/>
      <w:szCs w:val="20"/>
      <w:u w:val="none"/>
    </w:rPr>
  </w:style>
  <w:style w:type="character" w:customStyle="1" w:styleId="73">
    <w:name w:val="font91"/>
    <w:basedOn w:val="28"/>
    <w:qFormat/>
    <w:uiPriority w:val="0"/>
    <w:rPr>
      <w:rFonts w:hint="eastAsia" w:ascii="宋体" w:hAnsi="宋体" w:eastAsia="宋体" w:cs="宋体"/>
      <w:color w:val="000000"/>
      <w:sz w:val="22"/>
      <w:szCs w:val="22"/>
      <w:u w:val="none"/>
    </w:rPr>
  </w:style>
  <w:style w:type="character" w:customStyle="1" w:styleId="74">
    <w:name w:val="font121"/>
    <w:basedOn w:val="2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79</Pages>
  <Words>32893</Words>
  <Characters>33741</Characters>
  <Lines>392</Lines>
  <Paragraphs>110</Paragraphs>
  <TotalTime>1</TotalTime>
  <ScaleCrop>false</ScaleCrop>
  <LinksUpToDate>false</LinksUpToDate>
  <CharactersWithSpaces>36075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2023-10-26T07:58:18Z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53C2B12B4E354D7F8E09C17FBF563936_13</vt:lpwstr>
  </property>
</Properties>
</file>