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color w:val="auto"/>
          <w:highlight w:val="none"/>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r>
        <w:rPr>
          <w:rFonts w:hint="eastAsia" w:eastAsia="宋体"/>
          <w:color w:val="auto"/>
          <w:highlight w:val="none"/>
          <w:lang w:eastAsia="zh-CN"/>
        </w:rPr>
        <w:drawing>
          <wp:anchor distT="0" distB="0" distL="114300" distR="114300" simplePos="0" relativeHeight="251659264" behindDoc="0" locked="0" layoutInCell="1" allowOverlap="1">
            <wp:simplePos x="0" y="0"/>
            <wp:positionH relativeFrom="column">
              <wp:posOffset>-1259205</wp:posOffset>
            </wp:positionH>
            <wp:positionV relativeFrom="paragraph">
              <wp:posOffset>-914400</wp:posOffset>
            </wp:positionV>
            <wp:extent cx="7571105" cy="10696575"/>
            <wp:effectExtent l="0" t="0" r="10795" b="9525"/>
            <wp:wrapSquare wrapText="bothSides"/>
            <wp:docPr id="8" name="图片 8" descr="169829053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8290534676"/>
                    <pic:cNvPicPr>
                      <a:picLocks noChangeAspect="1"/>
                    </pic:cNvPicPr>
                  </pic:nvPicPr>
                  <pic:blipFill>
                    <a:blip r:embed="rId17"/>
                    <a:stretch>
                      <a:fillRect/>
                    </a:stretch>
                  </pic:blipFill>
                  <pic:spPr>
                    <a:xfrm>
                      <a:off x="0" y="0"/>
                      <a:ext cx="7571105" cy="10696575"/>
                    </a:xfrm>
                    <a:prstGeom prst="rect">
                      <a:avLst/>
                    </a:prstGeom>
                  </pic:spPr>
                </pic:pic>
              </a:graphicData>
            </a:graphic>
          </wp:anchor>
        </w:drawing>
      </w:r>
    </w:p>
    <w:p>
      <w:pPr>
        <w:pStyle w:val="25"/>
        <w:ind w:left="0" w:leftChars="0"/>
        <w:rPr>
          <w:color w:val="auto"/>
          <w:sz w:val="40"/>
          <w:szCs w:val="40"/>
          <w:highlight w:val="none"/>
        </w:rPr>
      </w:pPr>
      <w:r>
        <w:rPr>
          <w:rFonts w:hint="eastAsia"/>
          <w:color w:val="auto"/>
          <w:sz w:val="40"/>
          <w:szCs w:val="40"/>
          <w:highlight w:val="none"/>
        </w:rPr>
        <w:t>目录</w:t>
      </w:r>
    </w:p>
    <w:p>
      <w:pPr>
        <w:pStyle w:val="25"/>
        <w:tabs>
          <w:tab w:val="right" w:leader="dot" w:pos="8306"/>
          <w:tab w:val="clear" w:pos="8296"/>
        </w:tabs>
        <w:ind w:left="0" w:leftChars="0"/>
        <w:rPr>
          <w:rFonts w:cs="宋体"/>
          <w:color w:val="auto"/>
          <w:sz w:val="21"/>
          <w:szCs w:val="21"/>
          <w:highlight w:val="none"/>
        </w:rPr>
      </w:pPr>
      <w:r>
        <w:rPr>
          <w:rFonts w:hint="eastAsia" w:cs="宋体"/>
          <w:color w:val="auto"/>
          <w:sz w:val="21"/>
          <w:szCs w:val="21"/>
          <w:highlight w:val="none"/>
        </w:rPr>
        <w:fldChar w:fldCharType="begin"/>
      </w:r>
      <w:r>
        <w:rPr>
          <w:rFonts w:hint="eastAsia" w:cs="宋体"/>
          <w:color w:val="auto"/>
          <w:sz w:val="21"/>
          <w:szCs w:val="21"/>
          <w:highlight w:val="none"/>
        </w:rPr>
        <w:instrText xml:space="preserve"> TOC \o "1-4" \h \z \u </w:instrText>
      </w:r>
      <w:r>
        <w:rPr>
          <w:rFonts w:hint="eastAsia" w:cs="宋体"/>
          <w:color w:val="auto"/>
          <w:sz w:val="21"/>
          <w:szCs w:val="21"/>
          <w:highlight w:val="none"/>
        </w:rPr>
        <w:fldChar w:fldCharType="separate"/>
      </w:r>
      <w:r>
        <w:rPr>
          <w:color w:val="auto"/>
          <w:highlight w:val="none"/>
        </w:rPr>
        <w:fldChar w:fldCharType="begin"/>
      </w:r>
      <w:r>
        <w:rPr>
          <w:color w:val="auto"/>
          <w:highlight w:val="none"/>
        </w:rPr>
        <w:instrText xml:space="preserve"> HYPERLINK \l "_Toc21044" </w:instrText>
      </w:r>
      <w:r>
        <w:rPr>
          <w:color w:val="auto"/>
          <w:highlight w:val="none"/>
        </w:rPr>
        <w:fldChar w:fldCharType="separate"/>
      </w:r>
      <w:r>
        <w:rPr>
          <w:rFonts w:hint="eastAsia" w:cs="宋体"/>
          <w:color w:val="auto"/>
          <w:sz w:val="21"/>
          <w:szCs w:val="21"/>
          <w:highlight w:val="none"/>
        </w:rPr>
        <w:t>第一部分投标邀请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_Toc21044 \h </w:instrText>
      </w:r>
      <w:r>
        <w:rPr>
          <w:rFonts w:hint="eastAsia" w:cs="宋体"/>
          <w:color w:val="auto"/>
          <w:sz w:val="21"/>
          <w:szCs w:val="21"/>
          <w:highlight w:val="none"/>
        </w:rPr>
        <w:fldChar w:fldCharType="separate"/>
      </w:r>
      <w:r>
        <w:rPr>
          <w:rFonts w:hint="eastAsia" w:cs="宋体"/>
          <w:color w:val="auto"/>
          <w:sz w:val="21"/>
          <w:szCs w:val="21"/>
          <w:highlight w:val="none"/>
        </w:rPr>
        <w:t>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"_Toc8950" </w:instrText>
      </w:r>
      <w:r>
        <w:rPr>
          <w:color w:val="auto"/>
          <w:highlight w:val="none"/>
        </w:rPr>
        <w:fldChar w:fldCharType="separate"/>
      </w:r>
      <w:r>
        <w:rPr>
          <w:rFonts w:hint="eastAsia" w:cs="宋体"/>
          <w:color w:val="auto"/>
          <w:sz w:val="21"/>
          <w:szCs w:val="21"/>
          <w:highlight w:val="none"/>
        </w:rPr>
        <w:t>投标邀请书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_Toc8950 \h </w:instrText>
      </w:r>
      <w:r>
        <w:rPr>
          <w:rFonts w:hint="eastAsia" w:cs="宋体"/>
          <w:color w:val="auto"/>
          <w:sz w:val="21"/>
          <w:szCs w:val="21"/>
          <w:highlight w:val="none"/>
        </w:rPr>
        <w:fldChar w:fldCharType="separate"/>
      </w:r>
      <w:r>
        <w:rPr>
          <w:rFonts w:hint="eastAsia" w:cs="宋体"/>
          <w:color w:val="auto"/>
          <w:sz w:val="21"/>
          <w:szCs w:val="21"/>
          <w:highlight w:val="none"/>
        </w:rPr>
        <w:t>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"_Toc20564" </w:instrText>
      </w:r>
      <w:r>
        <w:rPr>
          <w:color w:val="auto"/>
          <w:highlight w:val="none"/>
        </w:rPr>
        <w:fldChar w:fldCharType="separate"/>
      </w:r>
      <w:r>
        <w:rPr>
          <w:rFonts w:hint="eastAsia" w:cs="宋体"/>
          <w:color w:val="auto"/>
          <w:sz w:val="21"/>
          <w:szCs w:val="21"/>
          <w:highlight w:val="none"/>
        </w:rPr>
        <w:t>第二部分相关资料表格</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_Toc20564 \h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"_Toc14333" </w:instrText>
      </w:r>
      <w:r>
        <w:rPr>
          <w:color w:val="auto"/>
          <w:highlight w:val="none"/>
        </w:rPr>
        <w:fldChar w:fldCharType="separate"/>
      </w:r>
      <w:r>
        <w:rPr>
          <w:rFonts w:hint="eastAsia" w:cs="宋体"/>
          <w:color w:val="auto"/>
          <w:sz w:val="21"/>
          <w:szCs w:val="21"/>
          <w:highlight w:val="none"/>
        </w:rPr>
        <w:t>附表一：投标资料表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_Toc14333 \h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"_Toc1445" </w:instrText>
      </w:r>
      <w:r>
        <w:rPr>
          <w:color w:val="auto"/>
          <w:highlight w:val="none"/>
        </w:rPr>
        <w:fldChar w:fldCharType="separate"/>
      </w:r>
      <w:r>
        <w:rPr>
          <w:rFonts w:hint="eastAsia" w:cs="宋体"/>
          <w:color w:val="auto"/>
          <w:sz w:val="21"/>
          <w:szCs w:val="21"/>
          <w:highlight w:val="none"/>
        </w:rPr>
        <w:t>附表二：评标办法</w:t>
      </w:r>
      <w:r>
        <w:rPr>
          <w:rFonts w:hint="eastAsia" w:cs="宋体"/>
          <w:color w:val="auto"/>
          <w:sz w:val="21"/>
          <w:szCs w:val="21"/>
          <w:highlight w:val="none"/>
        </w:rPr>
        <w:tab/>
      </w:r>
      <w:r>
        <w:rPr>
          <w:rFonts w:hint="eastAsia" w:cs="宋体"/>
          <w:color w:val="auto"/>
          <w:sz w:val="21"/>
          <w:szCs w:val="21"/>
          <w:highlight w:val="none"/>
        </w:rPr>
        <w:t>1</w:t>
      </w:r>
      <w:r>
        <w:rPr>
          <w:rFonts w:hint="eastAsia" w:cs="宋体"/>
          <w:color w:val="auto"/>
          <w:sz w:val="21"/>
          <w:szCs w:val="21"/>
          <w:highlight w:val="none"/>
        </w:rPr>
        <w:fldChar w:fldCharType="end"/>
      </w:r>
      <w:r>
        <w:rPr>
          <w:rFonts w:hint="eastAsia" w:cs="宋体"/>
          <w:color w:val="auto"/>
          <w:sz w:val="21"/>
          <w:szCs w:val="21"/>
          <w:highlight w:val="none"/>
        </w:rPr>
        <w:t>2</w:t>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"_Toc21237" </w:instrText>
      </w:r>
      <w:r>
        <w:rPr>
          <w:color w:val="auto"/>
          <w:highlight w:val="none"/>
        </w:rPr>
        <w:fldChar w:fldCharType="separate"/>
      </w:r>
      <w:r>
        <w:rPr>
          <w:rFonts w:hint="eastAsia" w:cs="宋体"/>
          <w:color w:val="auto"/>
          <w:sz w:val="21"/>
          <w:szCs w:val="21"/>
          <w:highlight w:val="none"/>
        </w:rPr>
        <w:t>第三部分用户需求书</w:t>
      </w:r>
      <w:r>
        <w:rPr>
          <w:rFonts w:hint="eastAsia" w:cs="宋体"/>
          <w:color w:val="auto"/>
          <w:sz w:val="21"/>
          <w:szCs w:val="21"/>
          <w:highlight w:val="none"/>
        </w:rPr>
        <w:tab/>
      </w:r>
      <w:r>
        <w:rPr>
          <w:rFonts w:hint="eastAsia" w:cs="宋体"/>
          <w:color w:val="auto"/>
          <w:sz w:val="21"/>
          <w:szCs w:val="21"/>
          <w:highlight w:val="none"/>
        </w:rPr>
        <w:t>1</w:t>
      </w:r>
      <w:r>
        <w:rPr>
          <w:rFonts w:hint="eastAsia" w:cs="宋体"/>
          <w:color w:val="auto"/>
          <w:sz w:val="21"/>
          <w:szCs w:val="21"/>
          <w:highlight w:val="none"/>
        </w:rPr>
        <w:fldChar w:fldCharType="end"/>
      </w:r>
      <w:r>
        <w:rPr>
          <w:rFonts w:hint="eastAsia" w:cs="宋体"/>
          <w:color w:val="auto"/>
          <w:sz w:val="21"/>
          <w:szCs w:val="21"/>
          <w:highlight w:val="none"/>
        </w:rPr>
        <w:t>3</w:t>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"_Toc31595" </w:instrText>
      </w:r>
      <w:r>
        <w:rPr>
          <w:color w:val="auto"/>
          <w:highlight w:val="none"/>
        </w:rPr>
        <w:fldChar w:fldCharType="separate"/>
      </w:r>
      <w:r>
        <w:rPr>
          <w:rFonts w:hint="eastAsia" w:cs="宋体"/>
          <w:color w:val="auto"/>
          <w:sz w:val="21"/>
          <w:szCs w:val="21"/>
          <w:highlight w:val="none"/>
        </w:rPr>
        <w:t>第四部分投标人须知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_Toc31595 \h </w:instrText>
      </w:r>
      <w:r>
        <w:rPr>
          <w:rFonts w:hint="eastAsia" w:cs="宋体"/>
          <w:color w:val="auto"/>
          <w:sz w:val="21"/>
          <w:szCs w:val="21"/>
          <w:highlight w:val="none"/>
        </w:rPr>
        <w:fldChar w:fldCharType="separate"/>
      </w:r>
      <w:r>
        <w:rPr>
          <w:rFonts w:hint="eastAsia" w:cs="宋体"/>
          <w:color w:val="auto"/>
          <w:sz w:val="21"/>
          <w:szCs w:val="21"/>
          <w:highlight w:val="none"/>
        </w:rPr>
        <w:t>22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"_Toc25201" </w:instrText>
      </w:r>
      <w:r>
        <w:rPr>
          <w:color w:val="auto"/>
          <w:highlight w:val="none"/>
        </w:rPr>
        <w:fldChar w:fldCharType="separate"/>
      </w:r>
      <w:r>
        <w:rPr>
          <w:rFonts w:cs="宋体"/>
          <w:color w:val="auto"/>
          <w:sz w:val="21"/>
          <w:szCs w:val="21"/>
          <w:highlight w:val="none"/>
        </w:rPr>
        <w:t xml:space="preserve">一、 </w:t>
      </w:r>
      <w:r>
        <w:rPr>
          <w:rFonts w:hint="eastAsia" w:cs="宋体"/>
          <w:color w:val="auto"/>
          <w:sz w:val="21"/>
          <w:szCs w:val="21"/>
          <w:highlight w:val="none"/>
        </w:rPr>
        <w:t>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_Toc25201 \h </w:instrText>
      </w:r>
      <w:r>
        <w:rPr>
          <w:rFonts w:hint="eastAsia" w:cs="宋体"/>
          <w:color w:val="auto"/>
          <w:sz w:val="21"/>
          <w:szCs w:val="21"/>
          <w:highlight w:val="none"/>
        </w:rPr>
        <w:fldChar w:fldCharType="separate"/>
      </w:r>
      <w:r>
        <w:rPr>
          <w:rFonts w:hint="eastAsia" w:cs="宋体"/>
          <w:color w:val="auto"/>
          <w:sz w:val="21"/>
          <w:szCs w:val="21"/>
          <w:highlight w:val="none"/>
        </w:rPr>
        <w:t>23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"_Toc18690" </w:instrText>
      </w:r>
      <w:r>
        <w:rPr>
          <w:color w:val="auto"/>
          <w:highlight w:val="none"/>
        </w:rPr>
        <w:fldChar w:fldCharType="separate"/>
      </w:r>
      <w:r>
        <w:rPr>
          <w:rFonts w:cs="宋体"/>
          <w:color w:val="auto"/>
          <w:sz w:val="21"/>
          <w:szCs w:val="21"/>
          <w:highlight w:val="none"/>
        </w:rPr>
        <w:t xml:space="preserve">1. </w:t>
      </w:r>
      <w:r>
        <w:rPr>
          <w:rFonts w:hint="eastAsia" w:cs="宋体"/>
          <w:color w:val="auto"/>
          <w:sz w:val="21"/>
          <w:szCs w:val="21"/>
          <w:highlight w:val="none"/>
        </w:rPr>
        <w:t>适用范围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_Toc18690 \h </w:instrText>
      </w:r>
      <w:r>
        <w:rPr>
          <w:rFonts w:hint="eastAsia" w:cs="宋体"/>
          <w:color w:val="auto"/>
          <w:sz w:val="21"/>
          <w:szCs w:val="21"/>
          <w:highlight w:val="none"/>
        </w:rPr>
        <w:fldChar w:fldCharType="separate"/>
      </w:r>
      <w:r>
        <w:rPr>
          <w:rFonts w:hint="eastAsia" w:cs="宋体"/>
          <w:color w:val="auto"/>
          <w:sz w:val="21"/>
          <w:szCs w:val="21"/>
          <w:highlight w:val="none"/>
        </w:rPr>
        <w:t>23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"_Toc28435" </w:instrText>
      </w:r>
      <w:r>
        <w:rPr>
          <w:color w:val="auto"/>
          <w:highlight w:val="none"/>
        </w:rPr>
        <w:fldChar w:fldCharType="separate"/>
      </w:r>
      <w:r>
        <w:rPr>
          <w:rFonts w:cs="宋体"/>
          <w:color w:val="auto"/>
          <w:sz w:val="21"/>
          <w:szCs w:val="21"/>
          <w:highlight w:val="none"/>
        </w:rPr>
        <w:t xml:space="preserve">2. </w:t>
      </w:r>
      <w:r>
        <w:rPr>
          <w:rFonts w:hint="eastAsia" w:cs="宋体"/>
          <w:color w:val="auto"/>
          <w:sz w:val="21"/>
          <w:szCs w:val="21"/>
          <w:highlight w:val="none"/>
        </w:rPr>
        <w:t>定义</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_Toc28435 \h </w:instrText>
      </w:r>
      <w:r>
        <w:rPr>
          <w:rFonts w:hint="eastAsia" w:cs="宋体"/>
          <w:color w:val="auto"/>
          <w:sz w:val="21"/>
          <w:szCs w:val="21"/>
          <w:highlight w:val="none"/>
        </w:rPr>
        <w:fldChar w:fldCharType="separate"/>
      </w:r>
      <w:r>
        <w:rPr>
          <w:rFonts w:hint="eastAsia" w:cs="宋体"/>
          <w:color w:val="auto"/>
          <w:sz w:val="21"/>
          <w:szCs w:val="21"/>
          <w:highlight w:val="none"/>
        </w:rPr>
        <w:t>23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"_Toc10625" </w:instrText>
      </w:r>
      <w:r>
        <w:rPr>
          <w:color w:val="auto"/>
          <w:highlight w:val="none"/>
        </w:rPr>
        <w:fldChar w:fldCharType="separate"/>
      </w:r>
      <w:r>
        <w:rPr>
          <w:rFonts w:cs="宋体"/>
          <w:color w:val="auto"/>
          <w:sz w:val="21"/>
          <w:szCs w:val="21"/>
          <w:highlight w:val="none"/>
        </w:rPr>
        <w:t xml:space="preserve">3. </w:t>
      </w:r>
      <w:r>
        <w:rPr>
          <w:rFonts w:hint="eastAsia" w:cs="宋体"/>
          <w:color w:val="auto"/>
          <w:sz w:val="21"/>
          <w:szCs w:val="21"/>
          <w:highlight w:val="none"/>
        </w:rPr>
        <w:t>货物和服务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_Toc10625 \h </w:instrText>
      </w:r>
      <w:r>
        <w:rPr>
          <w:rFonts w:hint="eastAsia" w:cs="宋体"/>
          <w:color w:val="auto"/>
          <w:sz w:val="21"/>
          <w:szCs w:val="21"/>
          <w:highlight w:val="none"/>
        </w:rPr>
        <w:fldChar w:fldCharType="separate"/>
      </w:r>
      <w:r>
        <w:rPr>
          <w:rFonts w:hint="eastAsia" w:cs="宋体"/>
          <w:color w:val="auto"/>
          <w:sz w:val="21"/>
          <w:szCs w:val="21"/>
          <w:highlight w:val="none"/>
        </w:rPr>
        <w:t>23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"_Toc1673" </w:instrText>
      </w:r>
      <w:r>
        <w:rPr>
          <w:color w:val="auto"/>
          <w:highlight w:val="none"/>
        </w:rPr>
        <w:fldChar w:fldCharType="separate"/>
      </w:r>
      <w:r>
        <w:rPr>
          <w:rFonts w:cs="宋体"/>
          <w:color w:val="auto"/>
          <w:sz w:val="21"/>
          <w:szCs w:val="21"/>
          <w:highlight w:val="none"/>
        </w:rPr>
        <w:t xml:space="preserve">4. </w:t>
      </w:r>
      <w:r>
        <w:rPr>
          <w:rFonts w:hint="eastAsia" w:cs="宋体"/>
          <w:color w:val="auto"/>
          <w:sz w:val="21"/>
          <w:szCs w:val="21"/>
          <w:highlight w:val="none"/>
        </w:rPr>
        <w:t>投标费用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_Toc1673 \h </w:instrText>
      </w:r>
      <w:r>
        <w:rPr>
          <w:rFonts w:hint="eastAsia" w:cs="宋体"/>
          <w:color w:val="auto"/>
          <w:sz w:val="21"/>
          <w:szCs w:val="21"/>
          <w:highlight w:val="none"/>
        </w:rPr>
        <w:fldChar w:fldCharType="separate"/>
      </w:r>
      <w:r>
        <w:rPr>
          <w:rFonts w:hint="eastAsia" w:cs="宋体"/>
          <w:color w:val="auto"/>
          <w:sz w:val="21"/>
          <w:szCs w:val="21"/>
          <w:highlight w:val="none"/>
        </w:rPr>
        <w:t>23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"_Toc21477" </w:instrText>
      </w:r>
      <w:r>
        <w:rPr>
          <w:color w:val="auto"/>
          <w:highlight w:val="none"/>
        </w:rPr>
        <w:fldChar w:fldCharType="separate"/>
      </w:r>
      <w:r>
        <w:rPr>
          <w:rFonts w:cs="宋体"/>
          <w:color w:val="auto"/>
          <w:sz w:val="21"/>
          <w:szCs w:val="21"/>
          <w:highlight w:val="none"/>
        </w:rPr>
        <w:t xml:space="preserve">5. </w:t>
      </w:r>
      <w:r>
        <w:rPr>
          <w:rFonts w:hint="eastAsia" w:cs="宋体"/>
          <w:color w:val="auto"/>
          <w:sz w:val="21"/>
          <w:szCs w:val="21"/>
          <w:highlight w:val="none"/>
        </w:rPr>
        <w:t>知识产权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_Toc21477 \h </w:instrText>
      </w:r>
      <w:r>
        <w:rPr>
          <w:rFonts w:hint="eastAsia" w:cs="宋体"/>
          <w:color w:val="auto"/>
          <w:sz w:val="21"/>
          <w:szCs w:val="21"/>
          <w:highlight w:val="none"/>
        </w:rPr>
        <w:fldChar w:fldCharType="separate"/>
      </w:r>
      <w:r>
        <w:rPr>
          <w:rFonts w:hint="eastAsia" w:cs="宋体"/>
          <w:color w:val="auto"/>
          <w:sz w:val="21"/>
          <w:szCs w:val="21"/>
          <w:highlight w:val="none"/>
        </w:rPr>
        <w:t>24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"_Toc25122" </w:instrText>
      </w:r>
      <w:r>
        <w:rPr>
          <w:color w:val="auto"/>
          <w:highlight w:val="none"/>
        </w:rPr>
        <w:fldChar w:fldCharType="separate"/>
      </w:r>
      <w:r>
        <w:rPr>
          <w:rFonts w:cs="宋体"/>
          <w:color w:val="auto"/>
          <w:sz w:val="21"/>
          <w:szCs w:val="21"/>
          <w:highlight w:val="none"/>
        </w:rPr>
        <w:t xml:space="preserve">6. </w:t>
      </w:r>
      <w:r>
        <w:rPr>
          <w:rFonts w:hint="eastAsia" w:cs="宋体"/>
          <w:color w:val="auto"/>
          <w:sz w:val="21"/>
          <w:szCs w:val="21"/>
          <w:highlight w:val="none"/>
        </w:rPr>
        <w:t>关于联合体投标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_Toc25122 \h </w:instrText>
      </w:r>
      <w:r>
        <w:rPr>
          <w:rFonts w:hint="eastAsia" w:cs="宋体"/>
          <w:color w:val="auto"/>
          <w:sz w:val="21"/>
          <w:szCs w:val="21"/>
          <w:highlight w:val="none"/>
        </w:rPr>
        <w:fldChar w:fldCharType="separate"/>
      </w:r>
      <w:r>
        <w:rPr>
          <w:rFonts w:hint="eastAsia" w:cs="宋体"/>
          <w:color w:val="auto"/>
          <w:sz w:val="21"/>
          <w:szCs w:val="21"/>
          <w:highlight w:val="none"/>
        </w:rPr>
        <w:t>24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"_Toc10603" </w:instrText>
      </w:r>
      <w:r>
        <w:rPr>
          <w:color w:val="auto"/>
          <w:highlight w:val="none"/>
        </w:rPr>
        <w:fldChar w:fldCharType="separate"/>
      </w:r>
      <w:r>
        <w:rPr>
          <w:rFonts w:cs="宋体"/>
          <w:color w:val="auto"/>
          <w:sz w:val="21"/>
          <w:szCs w:val="21"/>
          <w:highlight w:val="none"/>
        </w:rPr>
        <w:t xml:space="preserve">7. </w:t>
      </w:r>
      <w:r>
        <w:rPr>
          <w:rFonts w:hint="eastAsia" w:cs="宋体"/>
          <w:color w:val="auto"/>
          <w:sz w:val="21"/>
          <w:szCs w:val="21"/>
          <w:highlight w:val="none"/>
        </w:rPr>
        <w:t>关于分支机构投标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_Toc10603 \h </w:instrText>
      </w:r>
      <w:r>
        <w:rPr>
          <w:rFonts w:hint="eastAsia" w:cs="宋体"/>
          <w:color w:val="auto"/>
          <w:sz w:val="21"/>
          <w:szCs w:val="21"/>
          <w:highlight w:val="none"/>
        </w:rPr>
        <w:fldChar w:fldCharType="separate"/>
      </w:r>
      <w:r>
        <w:rPr>
          <w:rFonts w:hint="eastAsia" w:cs="宋体"/>
          <w:color w:val="auto"/>
          <w:sz w:val="21"/>
          <w:szCs w:val="21"/>
          <w:highlight w:val="none"/>
        </w:rPr>
        <w:t>25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"_Toc16068" </w:instrText>
      </w:r>
      <w:r>
        <w:rPr>
          <w:color w:val="auto"/>
          <w:highlight w:val="none"/>
        </w:rPr>
        <w:fldChar w:fldCharType="separate"/>
      </w:r>
      <w:r>
        <w:rPr>
          <w:rFonts w:cs="宋体"/>
          <w:color w:val="auto"/>
          <w:sz w:val="21"/>
          <w:szCs w:val="21"/>
          <w:highlight w:val="none"/>
        </w:rPr>
        <w:t xml:space="preserve">8. </w:t>
      </w:r>
      <w:r>
        <w:rPr>
          <w:rFonts w:hint="eastAsia" w:cs="宋体"/>
          <w:color w:val="auto"/>
          <w:sz w:val="21"/>
          <w:szCs w:val="21"/>
          <w:highlight w:val="none"/>
        </w:rPr>
        <w:t>踏勘现场</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_Toc16068 \h </w:instrText>
      </w:r>
      <w:r>
        <w:rPr>
          <w:rFonts w:hint="eastAsia" w:cs="宋体"/>
          <w:color w:val="auto"/>
          <w:sz w:val="21"/>
          <w:szCs w:val="21"/>
          <w:highlight w:val="none"/>
        </w:rPr>
        <w:fldChar w:fldCharType="separate"/>
      </w:r>
      <w:r>
        <w:rPr>
          <w:rFonts w:hint="eastAsia" w:cs="宋体"/>
          <w:color w:val="auto"/>
          <w:sz w:val="21"/>
          <w:szCs w:val="21"/>
          <w:highlight w:val="none"/>
        </w:rPr>
        <w:t>25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"_Toc14732" </w:instrText>
      </w:r>
      <w:r>
        <w:rPr>
          <w:color w:val="auto"/>
          <w:highlight w:val="none"/>
        </w:rPr>
        <w:fldChar w:fldCharType="separate"/>
      </w:r>
      <w:r>
        <w:rPr>
          <w:rFonts w:cs="宋体"/>
          <w:color w:val="auto"/>
          <w:sz w:val="21"/>
          <w:szCs w:val="21"/>
          <w:highlight w:val="none"/>
        </w:rPr>
        <w:t xml:space="preserve">二、 </w:t>
      </w:r>
      <w:r>
        <w:rPr>
          <w:rFonts w:hint="eastAsia" w:cs="宋体"/>
          <w:color w:val="auto"/>
          <w:sz w:val="21"/>
          <w:szCs w:val="21"/>
          <w:highlight w:val="none"/>
        </w:rPr>
        <w:t>采购文件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_Toc14732 \h </w:instrText>
      </w:r>
      <w:r>
        <w:rPr>
          <w:rFonts w:hint="eastAsia" w:cs="宋体"/>
          <w:color w:val="auto"/>
          <w:sz w:val="21"/>
          <w:szCs w:val="21"/>
          <w:highlight w:val="none"/>
        </w:rPr>
        <w:fldChar w:fldCharType="separate"/>
      </w:r>
      <w:r>
        <w:rPr>
          <w:rFonts w:hint="eastAsia" w:cs="宋体"/>
          <w:color w:val="auto"/>
          <w:sz w:val="21"/>
          <w:szCs w:val="21"/>
          <w:highlight w:val="none"/>
        </w:rPr>
        <w:t>25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"_Toc25451" </w:instrText>
      </w:r>
      <w:r>
        <w:rPr>
          <w:color w:val="auto"/>
          <w:highlight w:val="none"/>
        </w:rPr>
        <w:fldChar w:fldCharType="separate"/>
      </w:r>
      <w:r>
        <w:rPr>
          <w:rFonts w:cs="宋体"/>
          <w:color w:val="auto"/>
          <w:sz w:val="21"/>
          <w:szCs w:val="21"/>
          <w:highlight w:val="none"/>
        </w:rPr>
        <w:t xml:space="preserve">9. </w:t>
      </w:r>
      <w:r>
        <w:rPr>
          <w:rFonts w:hint="eastAsia" w:cs="宋体"/>
          <w:color w:val="auto"/>
          <w:sz w:val="21"/>
          <w:szCs w:val="21"/>
          <w:highlight w:val="none"/>
        </w:rPr>
        <w:t>采购文件的组成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_Toc25451 \h </w:instrText>
      </w:r>
      <w:r>
        <w:rPr>
          <w:rFonts w:hint="eastAsia" w:cs="宋体"/>
          <w:color w:val="auto"/>
          <w:sz w:val="21"/>
          <w:szCs w:val="21"/>
          <w:highlight w:val="none"/>
        </w:rPr>
        <w:fldChar w:fldCharType="separate"/>
      </w:r>
      <w:r>
        <w:rPr>
          <w:rFonts w:hint="eastAsia" w:cs="宋体"/>
          <w:color w:val="auto"/>
          <w:sz w:val="21"/>
          <w:szCs w:val="21"/>
          <w:highlight w:val="none"/>
        </w:rPr>
        <w:t>25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"_Toc30490" </w:instrText>
      </w:r>
      <w:r>
        <w:rPr>
          <w:color w:val="auto"/>
          <w:highlight w:val="none"/>
        </w:rPr>
        <w:fldChar w:fldCharType="separate"/>
      </w:r>
      <w:r>
        <w:rPr>
          <w:rFonts w:cs="宋体"/>
          <w:color w:val="auto"/>
          <w:sz w:val="21"/>
          <w:szCs w:val="21"/>
          <w:highlight w:val="none"/>
        </w:rPr>
        <w:t xml:space="preserve">10. </w:t>
      </w:r>
      <w:r>
        <w:rPr>
          <w:rFonts w:hint="eastAsia" w:cs="宋体"/>
          <w:color w:val="auto"/>
          <w:sz w:val="21"/>
          <w:szCs w:val="21"/>
          <w:highlight w:val="none"/>
        </w:rPr>
        <w:t>采购文件的澄清或修改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_Toc30490 \h </w:instrText>
      </w:r>
      <w:r>
        <w:rPr>
          <w:rFonts w:hint="eastAsia" w:cs="宋体"/>
          <w:color w:val="auto"/>
          <w:sz w:val="21"/>
          <w:szCs w:val="21"/>
          <w:highlight w:val="none"/>
        </w:rPr>
        <w:fldChar w:fldCharType="separate"/>
      </w:r>
      <w:r>
        <w:rPr>
          <w:rFonts w:hint="eastAsia" w:cs="宋体"/>
          <w:color w:val="auto"/>
          <w:sz w:val="21"/>
          <w:szCs w:val="21"/>
          <w:highlight w:val="none"/>
        </w:rPr>
        <w:t>25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"_Toc10333" </w:instrText>
      </w:r>
      <w:r>
        <w:rPr>
          <w:color w:val="auto"/>
          <w:highlight w:val="none"/>
        </w:rPr>
        <w:fldChar w:fldCharType="separate"/>
      </w:r>
      <w:r>
        <w:rPr>
          <w:rFonts w:cs="宋体"/>
          <w:color w:val="auto"/>
          <w:sz w:val="21"/>
          <w:szCs w:val="21"/>
          <w:highlight w:val="none"/>
        </w:rPr>
        <w:t xml:space="preserve">三、 </w:t>
      </w:r>
      <w:r>
        <w:rPr>
          <w:rFonts w:hint="eastAsia" w:cs="宋体"/>
          <w:color w:val="auto"/>
          <w:sz w:val="21"/>
          <w:szCs w:val="21"/>
          <w:highlight w:val="none"/>
        </w:rPr>
        <w:t>投标文件的编制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_Toc10333 \h </w:instrText>
      </w:r>
      <w:r>
        <w:rPr>
          <w:rFonts w:hint="eastAsia" w:cs="宋体"/>
          <w:color w:val="auto"/>
          <w:sz w:val="21"/>
          <w:szCs w:val="21"/>
          <w:highlight w:val="none"/>
        </w:rPr>
        <w:fldChar w:fldCharType="separate"/>
      </w:r>
      <w:r>
        <w:rPr>
          <w:rFonts w:hint="eastAsia" w:cs="宋体"/>
          <w:color w:val="auto"/>
          <w:sz w:val="21"/>
          <w:szCs w:val="21"/>
          <w:highlight w:val="none"/>
        </w:rPr>
        <w:t>26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"_Toc12048" </w:instrText>
      </w:r>
      <w:r>
        <w:rPr>
          <w:color w:val="auto"/>
          <w:highlight w:val="none"/>
        </w:rPr>
        <w:fldChar w:fldCharType="separate"/>
      </w:r>
      <w:r>
        <w:rPr>
          <w:rFonts w:cs="宋体"/>
          <w:color w:val="auto"/>
          <w:sz w:val="21"/>
          <w:szCs w:val="21"/>
          <w:highlight w:val="none"/>
        </w:rPr>
        <w:t xml:space="preserve">11. </w:t>
      </w:r>
      <w:r>
        <w:rPr>
          <w:rFonts w:hint="eastAsia" w:cs="宋体"/>
          <w:color w:val="auto"/>
          <w:sz w:val="21"/>
          <w:szCs w:val="21"/>
          <w:highlight w:val="none"/>
        </w:rPr>
        <w:t>投标文件的语言及度量衡单位</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_Toc12048 \h </w:instrText>
      </w:r>
      <w:r>
        <w:rPr>
          <w:rFonts w:hint="eastAsia" w:cs="宋体"/>
          <w:color w:val="auto"/>
          <w:sz w:val="21"/>
          <w:szCs w:val="21"/>
          <w:highlight w:val="none"/>
        </w:rPr>
        <w:fldChar w:fldCharType="separate"/>
      </w:r>
      <w:r>
        <w:rPr>
          <w:rFonts w:hint="eastAsia" w:cs="宋体"/>
          <w:color w:val="auto"/>
          <w:sz w:val="21"/>
          <w:szCs w:val="21"/>
          <w:highlight w:val="none"/>
        </w:rPr>
        <w:t>26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"_Toc27953" </w:instrText>
      </w:r>
      <w:r>
        <w:rPr>
          <w:color w:val="auto"/>
          <w:highlight w:val="none"/>
        </w:rPr>
        <w:fldChar w:fldCharType="separate"/>
      </w:r>
      <w:r>
        <w:rPr>
          <w:rFonts w:cs="宋体"/>
          <w:color w:val="auto"/>
          <w:sz w:val="21"/>
          <w:szCs w:val="21"/>
          <w:highlight w:val="none"/>
        </w:rPr>
        <w:t xml:space="preserve">12. </w:t>
      </w:r>
      <w:r>
        <w:rPr>
          <w:rFonts w:hint="eastAsia" w:cs="宋体"/>
          <w:color w:val="auto"/>
          <w:sz w:val="21"/>
          <w:szCs w:val="21"/>
          <w:highlight w:val="none"/>
        </w:rPr>
        <w:t>投标文件的组成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_Toc27953 \h </w:instrText>
      </w:r>
      <w:r>
        <w:rPr>
          <w:rFonts w:hint="eastAsia" w:cs="宋体"/>
          <w:color w:val="auto"/>
          <w:sz w:val="21"/>
          <w:szCs w:val="21"/>
          <w:highlight w:val="none"/>
        </w:rPr>
        <w:fldChar w:fldCharType="separate"/>
      </w:r>
      <w:r>
        <w:rPr>
          <w:rFonts w:hint="eastAsia" w:cs="宋体"/>
          <w:color w:val="auto"/>
          <w:sz w:val="21"/>
          <w:szCs w:val="21"/>
          <w:highlight w:val="none"/>
        </w:rPr>
        <w:t>26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"_Toc5904" </w:instrText>
      </w:r>
      <w:r>
        <w:rPr>
          <w:color w:val="auto"/>
          <w:highlight w:val="none"/>
        </w:rPr>
        <w:fldChar w:fldCharType="separate"/>
      </w:r>
      <w:r>
        <w:rPr>
          <w:rFonts w:cs="宋体"/>
          <w:color w:val="auto"/>
          <w:sz w:val="21"/>
          <w:szCs w:val="21"/>
          <w:highlight w:val="none"/>
        </w:rPr>
        <w:t xml:space="preserve">13. </w:t>
      </w:r>
      <w:r>
        <w:rPr>
          <w:rFonts w:hint="eastAsia" w:cs="宋体"/>
          <w:color w:val="auto"/>
          <w:sz w:val="21"/>
          <w:szCs w:val="21"/>
          <w:highlight w:val="none"/>
        </w:rPr>
        <w:t>投标文件编制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_Toc5904 \h </w:instrText>
      </w:r>
      <w:r>
        <w:rPr>
          <w:rFonts w:hint="eastAsia" w:cs="宋体"/>
          <w:color w:val="auto"/>
          <w:sz w:val="21"/>
          <w:szCs w:val="21"/>
          <w:highlight w:val="none"/>
        </w:rPr>
        <w:fldChar w:fldCharType="separate"/>
      </w:r>
      <w:r>
        <w:rPr>
          <w:rFonts w:hint="eastAsia" w:cs="宋体"/>
          <w:color w:val="auto"/>
          <w:sz w:val="21"/>
          <w:szCs w:val="21"/>
          <w:highlight w:val="none"/>
        </w:rPr>
        <w:t>26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"_Toc7134" </w:instrText>
      </w:r>
      <w:r>
        <w:rPr>
          <w:color w:val="auto"/>
          <w:highlight w:val="none"/>
        </w:rPr>
        <w:fldChar w:fldCharType="separate"/>
      </w:r>
      <w:r>
        <w:rPr>
          <w:rFonts w:cs="宋体"/>
          <w:color w:val="auto"/>
          <w:sz w:val="21"/>
          <w:szCs w:val="21"/>
          <w:highlight w:val="none"/>
        </w:rPr>
        <w:t xml:space="preserve">14. </w:t>
      </w:r>
      <w:r>
        <w:rPr>
          <w:rFonts w:hint="eastAsia" w:cs="宋体"/>
          <w:color w:val="auto"/>
          <w:sz w:val="21"/>
          <w:szCs w:val="21"/>
          <w:highlight w:val="none"/>
        </w:rPr>
        <w:t>投标报价说明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_Toc7134 \h </w:instrText>
      </w:r>
      <w:r>
        <w:rPr>
          <w:rFonts w:hint="eastAsia" w:cs="宋体"/>
          <w:color w:val="auto"/>
          <w:sz w:val="21"/>
          <w:szCs w:val="21"/>
          <w:highlight w:val="none"/>
        </w:rPr>
        <w:fldChar w:fldCharType="separate"/>
      </w:r>
      <w:r>
        <w:rPr>
          <w:rFonts w:hint="eastAsia" w:cs="宋体"/>
          <w:color w:val="auto"/>
          <w:sz w:val="21"/>
          <w:szCs w:val="21"/>
          <w:highlight w:val="none"/>
        </w:rPr>
        <w:t>27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"_Toc14501" </w:instrText>
      </w:r>
      <w:r>
        <w:rPr>
          <w:color w:val="auto"/>
          <w:highlight w:val="none"/>
        </w:rPr>
        <w:fldChar w:fldCharType="separate"/>
      </w:r>
      <w:r>
        <w:rPr>
          <w:rFonts w:cs="宋体"/>
          <w:color w:val="auto"/>
          <w:sz w:val="21"/>
          <w:szCs w:val="21"/>
          <w:highlight w:val="none"/>
        </w:rPr>
        <w:t xml:space="preserve">15. </w:t>
      </w:r>
      <w:r>
        <w:rPr>
          <w:rFonts w:hint="eastAsia" w:cs="宋体"/>
          <w:color w:val="auto"/>
          <w:sz w:val="21"/>
          <w:szCs w:val="21"/>
          <w:highlight w:val="none"/>
        </w:rPr>
        <w:t>投标人所提供的服务或货物的证明文件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_Toc14501 \h </w:instrText>
      </w:r>
      <w:r>
        <w:rPr>
          <w:rFonts w:hint="eastAsia" w:cs="宋体"/>
          <w:color w:val="auto"/>
          <w:sz w:val="21"/>
          <w:szCs w:val="21"/>
          <w:highlight w:val="none"/>
        </w:rPr>
        <w:fldChar w:fldCharType="separate"/>
      </w:r>
      <w:r>
        <w:rPr>
          <w:rFonts w:hint="eastAsia" w:cs="宋体"/>
          <w:color w:val="auto"/>
          <w:sz w:val="21"/>
          <w:szCs w:val="21"/>
          <w:highlight w:val="none"/>
        </w:rPr>
        <w:t>27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"_Toc2409" </w:instrText>
      </w:r>
      <w:r>
        <w:rPr>
          <w:color w:val="auto"/>
          <w:highlight w:val="none"/>
        </w:rPr>
        <w:fldChar w:fldCharType="separate"/>
      </w:r>
      <w:r>
        <w:rPr>
          <w:rFonts w:cs="宋体"/>
          <w:color w:val="auto"/>
          <w:sz w:val="21"/>
          <w:szCs w:val="21"/>
          <w:highlight w:val="none"/>
        </w:rPr>
        <w:t xml:space="preserve">16. </w:t>
      </w:r>
      <w:r>
        <w:rPr>
          <w:rFonts w:hint="eastAsia" w:cs="宋体"/>
          <w:color w:val="auto"/>
          <w:sz w:val="21"/>
          <w:szCs w:val="21"/>
          <w:highlight w:val="none"/>
        </w:rPr>
        <w:t>投标有效期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_Toc2409 \h </w:instrText>
      </w:r>
      <w:r>
        <w:rPr>
          <w:rFonts w:hint="eastAsia" w:cs="宋体"/>
          <w:color w:val="auto"/>
          <w:sz w:val="21"/>
          <w:szCs w:val="21"/>
          <w:highlight w:val="none"/>
        </w:rPr>
        <w:fldChar w:fldCharType="separate"/>
      </w:r>
      <w:r>
        <w:rPr>
          <w:rFonts w:hint="eastAsia" w:cs="宋体"/>
          <w:color w:val="auto"/>
          <w:sz w:val="21"/>
          <w:szCs w:val="21"/>
          <w:highlight w:val="none"/>
        </w:rPr>
        <w:t>28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"_Toc26564" </w:instrText>
      </w:r>
      <w:r>
        <w:rPr>
          <w:color w:val="auto"/>
          <w:highlight w:val="none"/>
        </w:rPr>
        <w:fldChar w:fldCharType="separate"/>
      </w:r>
      <w:r>
        <w:rPr>
          <w:rFonts w:cs="宋体"/>
          <w:color w:val="auto"/>
          <w:sz w:val="21"/>
          <w:szCs w:val="21"/>
          <w:highlight w:val="none"/>
        </w:rPr>
        <w:t xml:space="preserve">17. </w:t>
      </w:r>
      <w:r>
        <w:rPr>
          <w:rFonts w:hint="eastAsia" w:cs="宋体"/>
          <w:color w:val="auto"/>
          <w:sz w:val="21"/>
          <w:szCs w:val="21"/>
          <w:highlight w:val="none"/>
        </w:rPr>
        <w:t>★投标保证金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_Toc26564 \h </w:instrText>
      </w:r>
      <w:r>
        <w:rPr>
          <w:rFonts w:hint="eastAsia" w:cs="宋体"/>
          <w:color w:val="auto"/>
          <w:sz w:val="21"/>
          <w:szCs w:val="21"/>
          <w:highlight w:val="none"/>
        </w:rPr>
        <w:fldChar w:fldCharType="separate"/>
      </w:r>
      <w:r>
        <w:rPr>
          <w:rFonts w:hint="eastAsia" w:cs="宋体"/>
          <w:color w:val="auto"/>
          <w:sz w:val="21"/>
          <w:szCs w:val="21"/>
          <w:highlight w:val="none"/>
        </w:rPr>
        <w:t>28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"_Toc18672" </w:instrText>
      </w:r>
      <w:r>
        <w:rPr>
          <w:color w:val="auto"/>
          <w:highlight w:val="none"/>
        </w:rPr>
        <w:fldChar w:fldCharType="separate"/>
      </w:r>
      <w:r>
        <w:rPr>
          <w:rFonts w:cs="宋体"/>
          <w:color w:val="auto"/>
          <w:sz w:val="21"/>
          <w:szCs w:val="21"/>
          <w:highlight w:val="none"/>
        </w:rPr>
        <w:t xml:space="preserve">四、 </w:t>
      </w:r>
      <w:r>
        <w:rPr>
          <w:rFonts w:hint="eastAsia" w:cs="宋体"/>
          <w:color w:val="auto"/>
          <w:sz w:val="21"/>
          <w:szCs w:val="21"/>
          <w:highlight w:val="none"/>
        </w:rPr>
        <w:t>投标文件的递交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_Toc18672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"_Toc9759" </w:instrText>
      </w:r>
      <w:r>
        <w:rPr>
          <w:color w:val="auto"/>
          <w:highlight w:val="none"/>
        </w:rPr>
        <w:fldChar w:fldCharType="separate"/>
      </w:r>
      <w:r>
        <w:rPr>
          <w:rFonts w:cs="宋体"/>
          <w:color w:val="auto"/>
          <w:sz w:val="21"/>
          <w:szCs w:val="21"/>
          <w:highlight w:val="none"/>
        </w:rPr>
        <w:t xml:space="preserve">18. </w:t>
      </w:r>
      <w:r>
        <w:rPr>
          <w:rFonts w:hint="eastAsia" w:cs="宋体"/>
          <w:color w:val="auto"/>
          <w:sz w:val="21"/>
          <w:szCs w:val="21"/>
          <w:highlight w:val="none"/>
        </w:rPr>
        <w:t>投标文件的装订，签署，密封和标记</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_Toc9759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"_Toc27686" </w:instrText>
      </w:r>
      <w:r>
        <w:rPr>
          <w:color w:val="auto"/>
          <w:highlight w:val="none"/>
        </w:rPr>
        <w:fldChar w:fldCharType="separate"/>
      </w:r>
      <w:r>
        <w:rPr>
          <w:rFonts w:cs="宋体"/>
          <w:color w:val="auto"/>
          <w:sz w:val="21"/>
          <w:szCs w:val="21"/>
          <w:highlight w:val="none"/>
        </w:rPr>
        <w:t xml:space="preserve">19. </w:t>
      </w:r>
      <w:r>
        <w:rPr>
          <w:rFonts w:hint="eastAsia" w:cs="宋体"/>
          <w:color w:val="auto"/>
          <w:sz w:val="21"/>
          <w:szCs w:val="21"/>
          <w:highlight w:val="none"/>
        </w:rPr>
        <w:t>迟交的投标文件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_Toc27686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"_Toc8776" </w:instrText>
      </w:r>
      <w:r>
        <w:rPr>
          <w:color w:val="auto"/>
          <w:highlight w:val="none"/>
        </w:rPr>
        <w:fldChar w:fldCharType="separate"/>
      </w:r>
      <w:r>
        <w:rPr>
          <w:rFonts w:cs="宋体"/>
          <w:color w:val="auto"/>
          <w:sz w:val="21"/>
          <w:szCs w:val="21"/>
          <w:highlight w:val="none"/>
        </w:rPr>
        <w:t xml:space="preserve">20. </w:t>
      </w:r>
      <w:r>
        <w:rPr>
          <w:rFonts w:hint="eastAsia" w:cs="宋体"/>
          <w:color w:val="auto"/>
          <w:sz w:val="21"/>
          <w:szCs w:val="21"/>
          <w:highlight w:val="none"/>
        </w:rPr>
        <w:t>投标样品（如需提交）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_Toc8776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"_Toc17522" </w:instrText>
      </w:r>
      <w:r>
        <w:rPr>
          <w:color w:val="auto"/>
          <w:highlight w:val="none"/>
        </w:rPr>
        <w:fldChar w:fldCharType="separate"/>
      </w:r>
      <w:r>
        <w:rPr>
          <w:rFonts w:cs="宋体"/>
          <w:color w:val="auto"/>
          <w:sz w:val="21"/>
          <w:szCs w:val="21"/>
          <w:highlight w:val="none"/>
        </w:rPr>
        <w:t xml:space="preserve">21. </w:t>
      </w:r>
      <w:r>
        <w:rPr>
          <w:rFonts w:hint="eastAsia" w:cs="宋体"/>
          <w:color w:val="auto"/>
          <w:sz w:val="21"/>
          <w:szCs w:val="21"/>
          <w:highlight w:val="none"/>
        </w:rPr>
        <w:t>投标截止期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_Toc17522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"_Toc14518" </w:instrText>
      </w:r>
      <w:r>
        <w:rPr>
          <w:color w:val="auto"/>
          <w:highlight w:val="none"/>
        </w:rPr>
        <w:fldChar w:fldCharType="separate"/>
      </w:r>
      <w:r>
        <w:rPr>
          <w:rFonts w:cs="宋体"/>
          <w:color w:val="auto"/>
          <w:sz w:val="21"/>
          <w:szCs w:val="21"/>
          <w:highlight w:val="none"/>
        </w:rPr>
        <w:t xml:space="preserve">22. </w:t>
      </w:r>
      <w:r>
        <w:rPr>
          <w:rFonts w:hint="eastAsia" w:cs="宋体"/>
          <w:color w:val="auto"/>
          <w:sz w:val="21"/>
          <w:szCs w:val="21"/>
          <w:highlight w:val="none"/>
        </w:rPr>
        <w:t>投标文件的补充、修改与撤回</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_Toc14518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"_Toc4693" </w:instrText>
      </w:r>
      <w:r>
        <w:rPr>
          <w:color w:val="auto"/>
          <w:highlight w:val="none"/>
        </w:rPr>
        <w:fldChar w:fldCharType="separate"/>
      </w:r>
      <w:r>
        <w:rPr>
          <w:rFonts w:cs="宋体"/>
          <w:color w:val="auto"/>
          <w:sz w:val="21"/>
          <w:szCs w:val="21"/>
          <w:highlight w:val="none"/>
        </w:rPr>
        <w:t xml:space="preserve">五、 </w:t>
      </w:r>
      <w:r>
        <w:rPr>
          <w:rFonts w:hint="eastAsia" w:cs="宋体"/>
          <w:color w:val="auto"/>
          <w:sz w:val="21"/>
          <w:szCs w:val="21"/>
          <w:highlight w:val="none"/>
        </w:rPr>
        <w:t>开标与评标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_Toc4693 \h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"_Toc20009" </w:instrText>
      </w:r>
      <w:r>
        <w:rPr>
          <w:color w:val="auto"/>
          <w:highlight w:val="none"/>
        </w:rPr>
        <w:fldChar w:fldCharType="separate"/>
      </w:r>
      <w:r>
        <w:rPr>
          <w:rFonts w:cs="宋体"/>
          <w:color w:val="auto"/>
          <w:sz w:val="21"/>
          <w:szCs w:val="21"/>
          <w:highlight w:val="none"/>
        </w:rPr>
        <w:t xml:space="preserve">23. </w:t>
      </w:r>
      <w:r>
        <w:rPr>
          <w:rFonts w:hint="eastAsia" w:cs="宋体"/>
          <w:color w:val="auto"/>
          <w:sz w:val="21"/>
          <w:szCs w:val="21"/>
          <w:highlight w:val="none"/>
        </w:rPr>
        <w:t>开标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_Toc20009 \h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"_Toc15560" </w:instrText>
      </w:r>
      <w:r>
        <w:rPr>
          <w:color w:val="auto"/>
          <w:highlight w:val="none"/>
        </w:rPr>
        <w:fldChar w:fldCharType="separate"/>
      </w:r>
      <w:r>
        <w:rPr>
          <w:rFonts w:cs="宋体"/>
          <w:color w:val="auto"/>
          <w:sz w:val="21"/>
          <w:szCs w:val="21"/>
          <w:highlight w:val="none"/>
        </w:rPr>
        <w:t xml:space="preserve">24. </w:t>
      </w:r>
      <w:r>
        <w:rPr>
          <w:rFonts w:hint="eastAsia" w:cs="宋体"/>
          <w:color w:val="auto"/>
          <w:sz w:val="21"/>
          <w:szCs w:val="21"/>
          <w:highlight w:val="none"/>
        </w:rPr>
        <w:t>评标委员会及评标方法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_Toc15560 \h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cs="宋体"/>
          <w:color w:val="auto"/>
          <w:sz w:val="21"/>
          <w:szCs w:val="21"/>
          <w:highlight w:val="none"/>
        </w:rPr>
        <w:t xml:space="preserve">25. </w:t>
      </w:r>
      <w:r>
        <w:rPr>
          <w:rFonts w:hint="eastAsia" w:cs="宋体"/>
          <w:color w:val="auto"/>
          <w:sz w:val="21"/>
          <w:szCs w:val="21"/>
          <w:highlight w:val="none"/>
        </w:rPr>
        <w:t>评审原则及评标过程的保密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_Toc22022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"_Toc14506" </w:instrText>
      </w:r>
      <w:r>
        <w:rPr>
          <w:color w:val="auto"/>
          <w:highlight w:val="none"/>
        </w:rPr>
        <w:fldChar w:fldCharType="separate"/>
      </w:r>
      <w:r>
        <w:rPr>
          <w:rFonts w:cs="宋体"/>
          <w:color w:val="auto"/>
          <w:sz w:val="21"/>
          <w:szCs w:val="21"/>
          <w:highlight w:val="none"/>
        </w:rPr>
        <w:t xml:space="preserve">26. </w:t>
      </w:r>
      <w:r>
        <w:rPr>
          <w:rFonts w:hint="eastAsia" w:cs="宋体"/>
          <w:color w:val="auto"/>
          <w:sz w:val="21"/>
          <w:szCs w:val="21"/>
          <w:highlight w:val="none"/>
        </w:rPr>
        <w:t>评标程序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_Toc14506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"_Toc11415" </w:instrText>
      </w:r>
      <w:r>
        <w:rPr>
          <w:color w:val="auto"/>
          <w:highlight w:val="none"/>
        </w:rPr>
        <w:fldChar w:fldCharType="separate"/>
      </w:r>
      <w:r>
        <w:rPr>
          <w:rFonts w:cs="宋体"/>
          <w:color w:val="auto"/>
          <w:sz w:val="21"/>
          <w:szCs w:val="21"/>
          <w:highlight w:val="none"/>
        </w:rPr>
        <w:t xml:space="preserve">27. </w:t>
      </w:r>
      <w:r>
        <w:rPr>
          <w:rFonts w:hint="eastAsia" w:cs="宋体"/>
          <w:color w:val="auto"/>
          <w:sz w:val="21"/>
          <w:szCs w:val="21"/>
          <w:highlight w:val="none"/>
        </w:rPr>
        <w:t>商务、技术、价格评审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_Toc11415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"_Toc18550" </w:instrText>
      </w:r>
      <w:r>
        <w:rPr>
          <w:color w:val="auto"/>
          <w:highlight w:val="none"/>
        </w:rPr>
        <w:fldChar w:fldCharType="separate"/>
      </w:r>
      <w:r>
        <w:rPr>
          <w:rFonts w:cs="宋体"/>
          <w:color w:val="auto"/>
          <w:sz w:val="21"/>
          <w:szCs w:val="21"/>
          <w:highlight w:val="none"/>
        </w:rPr>
        <w:t xml:space="preserve">28. </w:t>
      </w:r>
      <w:r>
        <w:rPr>
          <w:rFonts w:hint="eastAsia" w:cs="宋体"/>
          <w:color w:val="auto"/>
          <w:sz w:val="21"/>
          <w:szCs w:val="21"/>
          <w:highlight w:val="none"/>
        </w:rPr>
        <w:t>纪律和保密事项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_Toc18550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"_Toc27738" </w:instrText>
      </w:r>
      <w:r>
        <w:rPr>
          <w:color w:val="auto"/>
          <w:highlight w:val="none"/>
        </w:rPr>
        <w:fldChar w:fldCharType="separate"/>
      </w:r>
      <w:r>
        <w:rPr>
          <w:rFonts w:cs="宋体"/>
          <w:color w:val="auto"/>
          <w:sz w:val="21"/>
          <w:szCs w:val="21"/>
          <w:highlight w:val="none"/>
        </w:rPr>
        <w:t xml:space="preserve">六、 </w:t>
      </w:r>
      <w:r>
        <w:rPr>
          <w:rFonts w:hint="eastAsia" w:cs="宋体"/>
          <w:color w:val="auto"/>
          <w:sz w:val="21"/>
          <w:szCs w:val="21"/>
          <w:highlight w:val="none"/>
        </w:rPr>
        <w:t>授予合同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_Toc27738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"_Toc16090" </w:instrText>
      </w:r>
      <w:r>
        <w:rPr>
          <w:color w:val="auto"/>
          <w:highlight w:val="none"/>
        </w:rPr>
        <w:fldChar w:fldCharType="separate"/>
      </w:r>
      <w:r>
        <w:rPr>
          <w:rFonts w:cs="宋体"/>
          <w:color w:val="auto"/>
          <w:sz w:val="21"/>
          <w:szCs w:val="21"/>
          <w:highlight w:val="none"/>
        </w:rPr>
        <w:t xml:space="preserve">29. </w:t>
      </w:r>
      <w:r>
        <w:rPr>
          <w:rFonts w:hint="eastAsia" w:cs="宋体"/>
          <w:color w:val="auto"/>
          <w:sz w:val="21"/>
          <w:szCs w:val="21"/>
          <w:highlight w:val="none"/>
        </w:rPr>
        <w:t>合同授予标准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_Toc16090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"_Toc24261" </w:instrText>
      </w:r>
      <w:r>
        <w:rPr>
          <w:color w:val="auto"/>
          <w:highlight w:val="none"/>
        </w:rPr>
        <w:fldChar w:fldCharType="separate"/>
      </w:r>
      <w:r>
        <w:rPr>
          <w:rFonts w:cs="宋体"/>
          <w:color w:val="auto"/>
          <w:sz w:val="21"/>
          <w:szCs w:val="21"/>
          <w:highlight w:val="none"/>
        </w:rPr>
        <w:t xml:space="preserve">30. </w:t>
      </w:r>
      <w:r>
        <w:rPr>
          <w:rFonts w:hint="eastAsia" w:cs="宋体"/>
          <w:color w:val="auto"/>
          <w:sz w:val="21"/>
          <w:szCs w:val="21"/>
          <w:highlight w:val="none"/>
        </w:rPr>
        <w:t>发布中标结果</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_Toc24261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"_Toc749" </w:instrText>
      </w:r>
      <w:r>
        <w:rPr>
          <w:color w:val="auto"/>
          <w:highlight w:val="none"/>
        </w:rPr>
        <w:fldChar w:fldCharType="separate"/>
      </w:r>
      <w:r>
        <w:rPr>
          <w:rFonts w:cs="宋体"/>
          <w:color w:val="auto"/>
          <w:sz w:val="21"/>
          <w:szCs w:val="21"/>
          <w:highlight w:val="none"/>
        </w:rPr>
        <w:t xml:space="preserve">31. </w:t>
      </w:r>
      <w:r>
        <w:rPr>
          <w:rFonts w:hint="eastAsia" w:cs="宋体"/>
          <w:color w:val="auto"/>
          <w:sz w:val="21"/>
          <w:szCs w:val="21"/>
          <w:highlight w:val="none"/>
        </w:rPr>
        <w:t>资格后审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_Toc749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"_Toc27689" </w:instrText>
      </w:r>
      <w:r>
        <w:rPr>
          <w:color w:val="auto"/>
          <w:highlight w:val="none"/>
        </w:rPr>
        <w:fldChar w:fldCharType="separate"/>
      </w:r>
      <w:r>
        <w:rPr>
          <w:rFonts w:cs="宋体"/>
          <w:color w:val="auto"/>
          <w:sz w:val="21"/>
          <w:szCs w:val="21"/>
          <w:highlight w:val="none"/>
        </w:rPr>
        <w:t xml:space="preserve">32. </w:t>
      </w:r>
      <w:r>
        <w:rPr>
          <w:rFonts w:hint="eastAsia" w:cs="宋体"/>
          <w:color w:val="auto"/>
          <w:sz w:val="21"/>
          <w:szCs w:val="21"/>
          <w:highlight w:val="none"/>
        </w:rPr>
        <w:t>合同的签订与履行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_Toc27689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"_Toc19211" </w:instrText>
      </w:r>
      <w:r>
        <w:rPr>
          <w:color w:val="auto"/>
          <w:highlight w:val="none"/>
        </w:rPr>
        <w:fldChar w:fldCharType="separate"/>
      </w:r>
      <w:r>
        <w:rPr>
          <w:rFonts w:cs="宋体"/>
          <w:color w:val="auto"/>
          <w:sz w:val="21"/>
          <w:szCs w:val="21"/>
          <w:highlight w:val="none"/>
        </w:rPr>
        <w:t xml:space="preserve">33. </w:t>
      </w:r>
      <w:r>
        <w:rPr>
          <w:rFonts w:hint="eastAsia" w:cs="宋体"/>
          <w:color w:val="auto"/>
          <w:sz w:val="21"/>
          <w:szCs w:val="21"/>
          <w:highlight w:val="none"/>
        </w:rPr>
        <w:t>履约担保</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_Toc19211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"_Toc19347" </w:instrText>
      </w:r>
      <w:r>
        <w:rPr>
          <w:color w:val="auto"/>
          <w:highlight w:val="none"/>
        </w:rPr>
        <w:fldChar w:fldCharType="separate"/>
      </w:r>
      <w:r>
        <w:rPr>
          <w:rFonts w:cs="宋体"/>
          <w:color w:val="auto"/>
          <w:sz w:val="21"/>
          <w:szCs w:val="21"/>
          <w:highlight w:val="none"/>
        </w:rPr>
        <w:t xml:space="preserve">34. </w:t>
      </w:r>
      <w:r>
        <w:rPr>
          <w:rFonts w:hint="eastAsia" w:cs="宋体"/>
          <w:color w:val="auto"/>
          <w:sz w:val="21"/>
          <w:szCs w:val="21"/>
          <w:highlight w:val="none"/>
        </w:rPr>
        <w:t>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_Toc19347 \h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"_Toc27556" </w:instrText>
      </w:r>
      <w:r>
        <w:rPr>
          <w:color w:val="auto"/>
          <w:highlight w:val="none"/>
        </w:rPr>
        <w:fldChar w:fldCharType="separate"/>
      </w:r>
      <w:r>
        <w:rPr>
          <w:rFonts w:cs="宋体"/>
          <w:color w:val="auto"/>
          <w:sz w:val="21"/>
          <w:szCs w:val="21"/>
          <w:highlight w:val="none"/>
        </w:rPr>
        <w:t xml:space="preserve">七、 </w:t>
      </w:r>
      <w:r>
        <w:rPr>
          <w:rFonts w:hint="eastAsia" w:cs="宋体"/>
          <w:color w:val="auto"/>
          <w:sz w:val="21"/>
          <w:szCs w:val="21"/>
          <w:highlight w:val="none"/>
        </w:rPr>
        <w:t>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_Toc27556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"_Toc31457" </w:instrText>
      </w:r>
      <w:r>
        <w:rPr>
          <w:color w:val="auto"/>
          <w:highlight w:val="none"/>
        </w:rPr>
        <w:fldChar w:fldCharType="separate"/>
      </w:r>
      <w:r>
        <w:rPr>
          <w:rFonts w:cs="宋体"/>
          <w:color w:val="auto"/>
          <w:sz w:val="21"/>
          <w:szCs w:val="21"/>
          <w:highlight w:val="none"/>
        </w:rPr>
        <w:t xml:space="preserve">35. </w:t>
      </w:r>
      <w:r>
        <w:rPr>
          <w:rFonts w:hint="eastAsia" w:cs="宋体"/>
          <w:color w:val="auto"/>
          <w:sz w:val="21"/>
          <w:szCs w:val="21"/>
          <w:highlight w:val="none"/>
        </w:rPr>
        <w:t>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_Toc31457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"_Toc16776" </w:instrText>
      </w:r>
      <w:r>
        <w:rPr>
          <w:color w:val="auto"/>
          <w:highlight w:val="none"/>
        </w:rPr>
        <w:fldChar w:fldCharType="separate"/>
      </w:r>
      <w:r>
        <w:rPr>
          <w:rFonts w:cs="宋体"/>
          <w:color w:val="auto"/>
          <w:sz w:val="21"/>
          <w:szCs w:val="21"/>
          <w:highlight w:val="none"/>
        </w:rPr>
        <w:t xml:space="preserve">八、 </w:t>
      </w:r>
      <w:r>
        <w:rPr>
          <w:rFonts w:hint="eastAsia" w:cs="宋体"/>
          <w:color w:val="auto"/>
          <w:sz w:val="21"/>
          <w:szCs w:val="21"/>
          <w:highlight w:val="none"/>
        </w:rPr>
        <w:t>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_Toc16776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"_Toc2155" </w:instrText>
      </w:r>
      <w:r>
        <w:rPr>
          <w:color w:val="auto"/>
          <w:highlight w:val="none"/>
        </w:rPr>
        <w:fldChar w:fldCharType="separate"/>
      </w:r>
      <w:r>
        <w:rPr>
          <w:rFonts w:cs="宋体"/>
          <w:color w:val="auto"/>
          <w:sz w:val="21"/>
          <w:szCs w:val="21"/>
          <w:highlight w:val="none"/>
        </w:rPr>
        <w:t xml:space="preserve">36. </w:t>
      </w:r>
      <w:r>
        <w:rPr>
          <w:rFonts w:hint="eastAsia" w:cs="宋体"/>
          <w:color w:val="auto"/>
          <w:sz w:val="21"/>
          <w:szCs w:val="21"/>
          <w:highlight w:val="none"/>
        </w:rPr>
        <w:t>采购文件的解释权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_Toc2155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"_Toc15211" </w:instrText>
      </w:r>
      <w:r>
        <w:rPr>
          <w:color w:val="auto"/>
          <w:highlight w:val="none"/>
        </w:rPr>
        <w:fldChar w:fldCharType="separate"/>
      </w:r>
      <w:r>
        <w:rPr>
          <w:rFonts w:hint="eastAsia" w:cs="宋体"/>
          <w:color w:val="auto"/>
          <w:sz w:val="21"/>
          <w:szCs w:val="21"/>
          <w:highlight w:val="none"/>
        </w:rPr>
        <w:t>第五部分  合同条款格式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_Toc15211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"_Toc17124" </w:instrText>
      </w:r>
      <w:r>
        <w:rPr>
          <w:color w:val="auto"/>
          <w:highlight w:val="none"/>
        </w:rPr>
        <w:fldChar w:fldCharType="separate"/>
      </w:r>
      <w:r>
        <w:rPr>
          <w:rFonts w:hint="eastAsia" w:cs="宋体"/>
          <w:color w:val="auto"/>
          <w:sz w:val="21"/>
          <w:szCs w:val="21"/>
          <w:highlight w:val="none"/>
        </w:rPr>
        <w:t>第六部分附件－投标文件格式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_Toc17124 \h </w:instrText>
      </w:r>
      <w:r>
        <w:rPr>
          <w:rFonts w:hint="eastAsia" w:cs="宋体"/>
          <w:color w:val="auto"/>
          <w:sz w:val="21"/>
          <w:szCs w:val="21"/>
          <w:highlight w:val="none"/>
        </w:rPr>
        <w:fldChar w:fldCharType="separate"/>
      </w:r>
      <w:r>
        <w:rPr>
          <w:rFonts w:hint="eastAsia" w:cs="宋体"/>
          <w:color w:val="auto"/>
          <w:sz w:val="21"/>
          <w:szCs w:val="21"/>
          <w:highlight w:val="none"/>
        </w:rPr>
        <w:t>60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"_Toc25786" </w:instrText>
      </w:r>
      <w:r>
        <w:rPr>
          <w:color w:val="auto"/>
          <w:highlight w:val="none"/>
        </w:rPr>
        <w:fldChar w:fldCharType="separate"/>
      </w:r>
      <w:r>
        <w:rPr>
          <w:rFonts w:hint="eastAsia" w:cs="宋体"/>
          <w:color w:val="auto"/>
          <w:sz w:val="21"/>
          <w:szCs w:val="21"/>
          <w:highlight w:val="none"/>
        </w:rPr>
        <w:t>投标文件目录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_Toc25786 \h </w:instrText>
      </w:r>
      <w:r>
        <w:rPr>
          <w:rFonts w:hint="eastAsia" w:cs="宋体"/>
          <w:color w:val="auto"/>
          <w:sz w:val="21"/>
          <w:szCs w:val="21"/>
          <w:highlight w:val="none"/>
        </w:rPr>
        <w:fldChar w:fldCharType="separate"/>
      </w:r>
      <w:r>
        <w:rPr>
          <w:rFonts w:hint="eastAsia" w:cs="宋体"/>
          <w:color w:val="auto"/>
          <w:sz w:val="21"/>
          <w:szCs w:val="21"/>
          <w:highlight w:val="none"/>
        </w:rPr>
        <w:t>60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"_Toc18792" </w:instrText>
      </w:r>
      <w:r>
        <w:rPr>
          <w:color w:val="auto"/>
          <w:highlight w:val="none"/>
        </w:rPr>
        <w:fldChar w:fldCharType="separate"/>
      </w:r>
      <w:r>
        <w:rPr>
          <w:rFonts w:hint="eastAsia" w:cs="宋体"/>
          <w:color w:val="auto"/>
          <w:sz w:val="21"/>
          <w:szCs w:val="21"/>
          <w:highlight w:val="none"/>
        </w:rPr>
        <w:t>附件1.评分标准索引表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_Toc18792 \h </w:instrText>
      </w:r>
      <w:r>
        <w:rPr>
          <w:rFonts w:hint="eastAsia" w:cs="宋体"/>
          <w:color w:val="auto"/>
          <w:sz w:val="21"/>
          <w:szCs w:val="21"/>
          <w:highlight w:val="none"/>
        </w:rPr>
        <w:fldChar w:fldCharType="separate"/>
      </w:r>
      <w:r>
        <w:rPr>
          <w:rFonts w:hint="eastAsia" w:cs="宋体"/>
          <w:color w:val="auto"/>
          <w:sz w:val="21"/>
          <w:szCs w:val="21"/>
          <w:highlight w:val="none"/>
        </w:rPr>
        <w:t>61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"_Toc9213" </w:instrText>
      </w:r>
      <w:r>
        <w:rPr>
          <w:color w:val="auto"/>
          <w:highlight w:val="none"/>
        </w:rPr>
        <w:fldChar w:fldCharType="separate"/>
      </w:r>
      <w:r>
        <w:rPr>
          <w:rFonts w:hint="eastAsia" w:cs="宋体"/>
          <w:color w:val="auto"/>
          <w:sz w:val="21"/>
          <w:szCs w:val="21"/>
          <w:highlight w:val="none"/>
        </w:rPr>
        <w:t>价格文件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_Toc9213 \h </w:instrText>
      </w:r>
      <w:r>
        <w:rPr>
          <w:rFonts w:hint="eastAsia" w:cs="宋体"/>
          <w:color w:val="auto"/>
          <w:sz w:val="21"/>
          <w:szCs w:val="21"/>
          <w:highlight w:val="none"/>
        </w:rPr>
        <w:fldChar w:fldCharType="separate"/>
      </w:r>
      <w:r>
        <w:rPr>
          <w:rFonts w:hint="eastAsia" w:cs="宋体"/>
          <w:color w:val="auto"/>
          <w:sz w:val="21"/>
          <w:szCs w:val="21"/>
          <w:highlight w:val="none"/>
        </w:rPr>
        <w:t>62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"_Toc1232" </w:instrText>
      </w:r>
      <w:r>
        <w:rPr>
          <w:color w:val="auto"/>
          <w:highlight w:val="none"/>
        </w:rPr>
        <w:fldChar w:fldCharType="separate"/>
      </w:r>
      <w:r>
        <w:rPr>
          <w:rFonts w:hint="eastAsia" w:cs="宋体"/>
          <w:color w:val="auto"/>
          <w:sz w:val="21"/>
          <w:szCs w:val="21"/>
          <w:highlight w:val="none"/>
        </w:rPr>
        <w:t>附件2.开标一览表格式</w:t>
      </w:r>
      <w:r>
        <w:rPr>
          <w:rFonts w:hint="eastAsia"/>
          <w:color w:val="auto"/>
          <w:sz w:val="21"/>
          <w:szCs w:val="21"/>
          <w:highlight w:val="none"/>
        </w:rPr>
        <w:t>（适用于A包）</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_Toc1232 \h </w:instrText>
      </w:r>
      <w:r>
        <w:rPr>
          <w:rFonts w:hint="eastAsia" w:cs="宋体"/>
          <w:color w:val="auto"/>
          <w:sz w:val="21"/>
          <w:szCs w:val="21"/>
          <w:highlight w:val="none"/>
        </w:rPr>
        <w:fldChar w:fldCharType="separate"/>
      </w:r>
      <w:r>
        <w:rPr>
          <w:rFonts w:hint="eastAsia" w:cs="宋体"/>
          <w:color w:val="auto"/>
          <w:sz w:val="21"/>
          <w:szCs w:val="21"/>
          <w:highlight w:val="none"/>
        </w:rPr>
        <w:t>63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"_Toc12628" </w:instrText>
      </w:r>
      <w:r>
        <w:rPr>
          <w:color w:val="auto"/>
          <w:highlight w:val="none"/>
        </w:rPr>
        <w:fldChar w:fldCharType="separate"/>
      </w:r>
      <w:r>
        <w:rPr>
          <w:rFonts w:hint="eastAsia" w:cs="宋体"/>
          <w:color w:val="auto"/>
          <w:sz w:val="21"/>
          <w:szCs w:val="21"/>
          <w:highlight w:val="none"/>
        </w:rPr>
        <w:t>附件3.</w:t>
      </w:r>
      <w:r>
        <w:rPr>
          <w:rFonts w:hint="eastAsia"/>
          <w:color w:val="auto"/>
          <w:sz w:val="21"/>
          <w:szCs w:val="21"/>
          <w:highlight w:val="none"/>
        </w:rPr>
        <w:t>开标一览表格式（适用于B包）</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_Toc12628 \h </w:instrText>
      </w:r>
      <w:r>
        <w:rPr>
          <w:rFonts w:hint="eastAsia" w:cs="宋体"/>
          <w:color w:val="auto"/>
          <w:sz w:val="21"/>
          <w:szCs w:val="21"/>
          <w:highlight w:val="none"/>
        </w:rPr>
        <w:fldChar w:fldCharType="separate"/>
      </w:r>
      <w:r>
        <w:rPr>
          <w:rFonts w:hint="eastAsia" w:cs="宋体"/>
          <w:color w:val="auto"/>
          <w:sz w:val="21"/>
          <w:szCs w:val="21"/>
          <w:highlight w:val="none"/>
        </w:rPr>
        <w:t>65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"_Toc7358" </w:instrText>
      </w:r>
      <w:r>
        <w:rPr>
          <w:color w:val="auto"/>
          <w:highlight w:val="none"/>
        </w:rPr>
        <w:fldChar w:fldCharType="separate"/>
      </w:r>
      <w:r>
        <w:rPr>
          <w:rFonts w:hint="eastAsia" w:cs="宋体"/>
          <w:color w:val="auto"/>
          <w:sz w:val="21"/>
          <w:szCs w:val="21"/>
          <w:highlight w:val="none"/>
        </w:rPr>
        <w:t>商务文件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_Toc7358 \h </w:instrText>
      </w:r>
      <w:r>
        <w:rPr>
          <w:rFonts w:hint="eastAsia" w:cs="宋体"/>
          <w:color w:val="auto"/>
          <w:sz w:val="21"/>
          <w:szCs w:val="21"/>
          <w:highlight w:val="none"/>
        </w:rPr>
        <w:fldChar w:fldCharType="separate"/>
      </w:r>
      <w:r>
        <w:rPr>
          <w:rFonts w:hint="eastAsia" w:cs="宋体"/>
          <w:color w:val="auto"/>
          <w:sz w:val="21"/>
          <w:szCs w:val="21"/>
          <w:highlight w:val="none"/>
        </w:rPr>
        <w:t>67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"_Toc11732" </w:instrText>
      </w:r>
      <w:r>
        <w:rPr>
          <w:color w:val="auto"/>
          <w:highlight w:val="none"/>
        </w:rPr>
        <w:fldChar w:fldCharType="separate"/>
      </w:r>
      <w:r>
        <w:rPr>
          <w:rFonts w:hint="eastAsia" w:cs="宋体"/>
          <w:color w:val="auto"/>
          <w:sz w:val="21"/>
          <w:szCs w:val="21"/>
          <w:highlight w:val="none"/>
        </w:rPr>
        <w:t>附件4.投标书格式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_Toc11732 \h </w:instrText>
      </w:r>
      <w:r>
        <w:rPr>
          <w:rFonts w:hint="eastAsia" w:cs="宋体"/>
          <w:color w:val="auto"/>
          <w:sz w:val="21"/>
          <w:szCs w:val="21"/>
          <w:highlight w:val="none"/>
        </w:rPr>
        <w:fldChar w:fldCharType="separate"/>
      </w:r>
      <w:r>
        <w:rPr>
          <w:rFonts w:hint="eastAsia" w:cs="宋体"/>
          <w:color w:val="auto"/>
          <w:sz w:val="21"/>
          <w:szCs w:val="21"/>
          <w:highlight w:val="none"/>
        </w:rPr>
        <w:t>68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"_Toc19972" </w:instrText>
      </w:r>
      <w:r>
        <w:rPr>
          <w:color w:val="auto"/>
          <w:highlight w:val="none"/>
        </w:rPr>
        <w:fldChar w:fldCharType="separate"/>
      </w:r>
      <w:r>
        <w:rPr>
          <w:rFonts w:hint="eastAsia" w:cs="宋体"/>
          <w:color w:val="auto"/>
          <w:sz w:val="21"/>
          <w:szCs w:val="21"/>
          <w:highlight w:val="none"/>
        </w:rPr>
        <w:t>附件5. 法定代表人证明书格式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_Toc19972 \h </w:instrText>
      </w:r>
      <w:r>
        <w:rPr>
          <w:rFonts w:hint="eastAsia" w:cs="宋体"/>
          <w:color w:val="auto"/>
          <w:sz w:val="21"/>
          <w:szCs w:val="21"/>
          <w:highlight w:val="none"/>
        </w:rPr>
        <w:fldChar w:fldCharType="separate"/>
      </w:r>
      <w:r>
        <w:rPr>
          <w:rFonts w:hint="eastAsia" w:cs="宋体"/>
          <w:color w:val="auto"/>
          <w:sz w:val="21"/>
          <w:szCs w:val="21"/>
          <w:highlight w:val="none"/>
        </w:rPr>
        <w:t>68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"_Toc19149" </w:instrText>
      </w:r>
      <w:r>
        <w:rPr>
          <w:color w:val="auto"/>
          <w:highlight w:val="none"/>
        </w:rPr>
        <w:fldChar w:fldCharType="separate"/>
      </w:r>
      <w:r>
        <w:rPr>
          <w:rFonts w:hint="eastAsia" w:cs="宋体"/>
          <w:color w:val="auto"/>
          <w:sz w:val="21"/>
          <w:szCs w:val="21"/>
          <w:highlight w:val="none"/>
        </w:rPr>
        <w:t>附件6.法定代表人授权书格式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_Toc19149 \h </w:instrText>
      </w:r>
      <w:r>
        <w:rPr>
          <w:rFonts w:hint="eastAsia" w:cs="宋体"/>
          <w:color w:val="auto"/>
          <w:sz w:val="21"/>
          <w:szCs w:val="21"/>
          <w:highlight w:val="none"/>
        </w:rPr>
        <w:fldChar w:fldCharType="separate"/>
      </w:r>
      <w:r>
        <w:rPr>
          <w:rFonts w:hint="eastAsia" w:cs="宋体"/>
          <w:color w:val="auto"/>
          <w:sz w:val="21"/>
          <w:szCs w:val="21"/>
          <w:highlight w:val="none"/>
        </w:rPr>
        <w:t>70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"_Toc30038" </w:instrText>
      </w:r>
      <w:r>
        <w:rPr>
          <w:color w:val="auto"/>
          <w:highlight w:val="none"/>
        </w:rPr>
        <w:fldChar w:fldCharType="separate"/>
      </w:r>
      <w:r>
        <w:rPr>
          <w:rFonts w:hint="eastAsia" w:cs="宋体"/>
          <w:color w:val="auto"/>
          <w:sz w:val="21"/>
          <w:szCs w:val="21"/>
          <w:highlight w:val="none"/>
        </w:rPr>
        <w:t>附件7.资格申明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_Toc30038 \h </w:instrText>
      </w:r>
      <w:r>
        <w:rPr>
          <w:rFonts w:hint="eastAsia" w:cs="宋体"/>
          <w:color w:val="auto"/>
          <w:sz w:val="21"/>
          <w:szCs w:val="21"/>
          <w:highlight w:val="none"/>
        </w:rPr>
        <w:fldChar w:fldCharType="separate"/>
      </w:r>
      <w:r>
        <w:rPr>
          <w:rFonts w:hint="eastAsia" w:cs="宋体"/>
          <w:color w:val="auto"/>
          <w:sz w:val="21"/>
          <w:szCs w:val="21"/>
          <w:highlight w:val="none"/>
        </w:rPr>
        <w:t>71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"_Toc10305" </w:instrText>
      </w:r>
      <w:r>
        <w:rPr>
          <w:color w:val="auto"/>
          <w:highlight w:val="none"/>
        </w:rPr>
        <w:fldChar w:fldCharType="separate"/>
      </w:r>
      <w:r>
        <w:rPr>
          <w:rFonts w:hint="eastAsia" w:cs="宋体"/>
          <w:color w:val="auto"/>
          <w:sz w:val="21"/>
          <w:szCs w:val="21"/>
          <w:highlight w:val="none"/>
        </w:rPr>
        <w:t>附件8.营业执照</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_Toc10305 \h </w:instrText>
      </w:r>
      <w:r>
        <w:rPr>
          <w:rFonts w:hint="eastAsia" w:cs="宋体"/>
          <w:color w:val="auto"/>
          <w:sz w:val="21"/>
          <w:szCs w:val="21"/>
          <w:highlight w:val="none"/>
        </w:rPr>
        <w:fldChar w:fldCharType="separate"/>
      </w:r>
      <w:r>
        <w:rPr>
          <w:rFonts w:hint="eastAsia" w:cs="宋体"/>
          <w:color w:val="auto"/>
          <w:sz w:val="21"/>
          <w:szCs w:val="21"/>
          <w:highlight w:val="none"/>
        </w:rPr>
        <w:t>72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"_Toc30816" </w:instrText>
      </w:r>
      <w:r>
        <w:rPr>
          <w:color w:val="auto"/>
          <w:highlight w:val="none"/>
        </w:rPr>
        <w:fldChar w:fldCharType="separate"/>
      </w:r>
      <w:r>
        <w:rPr>
          <w:rFonts w:hint="eastAsia" w:cs="宋体"/>
          <w:color w:val="auto"/>
          <w:sz w:val="21"/>
          <w:szCs w:val="21"/>
          <w:highlight w:val="none"/>
        </w:rPr>
        <w:t>附件9.相关资质证明文件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_Toc30816 \h </w:instrText>
      </w:r>
      <w:r>
        <w:rPr>
          <w:rFonts w:hint="eastAsia" w:cs="宋体"/>
          <w:color w:val="auto"/>
          <w:sz w:val="21"/>
          <w:szCs w:val="21"/>
          <w:highlight w:val="none"/>
        </w:rPr>
        <w:fldChar w:fldCharType="separate"/>
      </w:r>
      <w:r>
        <w:rPr>
          <w:rFonts w:hint="eastAsia" w:cs="宋体"/>
          <w:color w:val="auto"/>
          <w:sz w:val="21"/>
          <w:szCs w:val="21"/>
          <w:highlight w:val="none"/>
        </w:rPr>
        <w:t>73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"_Toc3091" </w:instrText>
      </w:r>
      <w:r>
        <w:rPr>
          <w:color w:val="auto"/>
          <w:highlight w:val="none"/>
        </w:rPr>
        <w:fldChar w:fldCharType="separate"/>
      </w:r>
      <w:r>
        <w:rPr>
          <w:rFonts w:hint="eastAsia" w:cs="宋体"/>
          <w:color w:val="auto"/>
          <w:sz w:val="21"/>
          <w:szCs w:val="21"/>
          <w:highlight w:val="none"/>
        </w:rPr>
        <w:t>附件10.在经营活动中没有重大违法记录的书面声明格式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_Toc3091 \h </w:instrText>
      </w:r>
      <w:r>
        <w:rPr>
          <w:rFonts w:hint="eastAsia" w:cs="宋体"/>
          <w:color w:val="auto"/>
          <w:sz w:val="21"/>
          <w:szCs w:val="21"/>
          <w:highlight w:val="none"/>
        </w:rPr>
        <w:fldChar w:fldCharType="separate"/>
      </w:r>
      <w:r>
        <w:rPr>
          <w:rFonts w:hint="eastAsia" w:cs="宋体"/>
          <w:color w:val="auto"/>
          <w:sz w:val="21"/>
          <w:szCs w:val="21"/>
          <w:highlight w:val="none"/>
        </w:rPr>
        <w:t>74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"_Toc18616" </w:instrText>
      </w:r>
      <w:r>
        <w:rPr>
          <w:color w:val="auto"/>
          <w:highlight w:val="none"/>
        </w:rPr>
        <w:fldChar w:fldCharType="separate"/>
      </w:r>
      <w:r>
        <w:rPr>
          <w:rFonts w:hint="eastAsia" w:cs="宋体"/>
          <w:color w:val="auto"/>
          <w:sz w:val="21"/>
          <w:szCs w:val="21"/>
          <w:highlight w:val="none"/>
        </w:rPr>
        <w:t>附件11.承诺书格式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_Toc18616 \h </w:instrText>
      </w:r>
      <w:r>
        <w:rPr>
          <w:rFonts w:hint="eastAsia" w:cs="宋体"/>
          <w:color w:val="auto"/>
          <w:sz w:val="21"/>
          <w:szCs w:val="21"/>
          <w:highlight w:val="none"/>
        </w:rPr>
        <w:fldChar w:fldCharType="separate"/>
      </w:r>
      <w:r>
        <w:rPr>
          <w:rFonts w:hint="eastAsia" w:cs="宋体"/>
          <w:color w:val="auto"/>
          <w:sz w:val="21"/>
          <w:szCs w:val="21"/>
          <w:highlight w:val="none"/>
        </w:rPr>
        <w:t>75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"_Toc24507" </w:instrText>
      </w:r>
      <w:r>
        <w:rPr>
          <w:color w:val="auto"/>
          <w:highlight w:val="none"/>
        </w:rPr>
        <w:fldChar w:fldCharType="separate"/>
      </w:r>
      <w:r>
        <w:rPr>
          <w:rFonts w:hint="eastAsia" w:cs="宋体"/>
          <w:color w:val="auto"/>
          <w:sz w:val="21"/>
          <w:szCs w:val="21"/>
          <w:highlight w:val="none"/>
        </w:rPr>
        <w:t>附件12.商务需求条款偏离表格式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_Toc24507 \h </w:instrText>
      </w:r>
      <w:r>
        <w:rPr>
          <w:rFonts w:hint="eastAsia" w:cs="宋体"/>
          <w:color w:val="auto"/>
          <w:sz w:val="21"/>
          <w:szCs w:val="21"/>
          <w:highlight w:val="none"/>
        </w:rPr>
        <w:fldChar w:fldCharType="separate"/>
      </w:r>
      <w:r>
        <w:rPr>
          <w:rFonts w:hint="eastAsia" w:cs="宋体"/>
          <w:color w:val="auto"/>
          <w:sz w:val="21"/>
          <w:szCs w:val="21"/>
          <w:highlight w:val="none"/>
        </w:rPr>
        <w:t>76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"_Toc22347" </w:instrText>
      </w:r>
      <w:r>
        <w:rPr>
          <w:color w:val="auto"/>
          <w:highlight w:val="none"/>
        </w:rPr>
        <w:fldChar w:fldCharType="separate"/>
      </w:r>
      <w:r>
        <w:rPr>
          <w:rFonts w:hint="eastAsia" w:cs="宋体"/>
          <w:color w:val="auto"/>
          <w:sz w:val="21"/>
          <w:szCs w:val="21"/>
          <w:highlight w:val="none"/>
        </w:rPr>
        <w:t>附件13.业绩表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_Toc22347 \h </w:instrText>
      </w:r>
      <w:r>
        <w:rPr>
          <w:rFonts w:hint="eastAsia" w:cs="宋体"/>
          <w:color w:val="auto"/>
          <w:sz w:val="21"/>
          <w:szCs w:val="21"/>
          <w:highlight w:val="none"/>
        </w:rPr>
        <w:fldChar w:fldCharType="separate"/>
      </w:r>
      <w:r>
        <w:rPr>
          <w:rFonts w:hint="eastAsia" w:cs="宋体"/>
          <w:color w:val="auto"/>
          <w:sz w:val="21"/>
          <w:szCs w:val="21"/>
          <w:highlight w:val="none"/>
        </w:rPr>
        <w:t>77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"_Toc4222" </w:instrText>
      </w:r>
      <w:r>
        <w:rPr>
          <w:color w:val="auto"/>
          <w:highlight w:val="none"/>
        </w:rPr>
        <w:fldChar w:fldCharType="separate"/>
      </w:r>
      <w:r>
        <w:rPr>
          <w:rFonts w:hint="eastAsia" w:cs="宋体"/>
          <w:color w:val="auto"/>
          <w:sz w:val="21"/>
          <w:szCs w:val="21"/>
          <w:highlight w:val="none"/>
        </w:rPr>
        <w:t>附件14.联合体协议书（如有）</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_Toc4222 \h </w:instrText>
      </w:r>
      <w:r>
        <w:rPr>
          <w:rFonts w:hint="eastAsia" w:cs="宋体"/>
          <w:color w:val="auto"/>
          <w:sz w:val="21"/>
          <w:szCs w:val="21"/>
          <w:highlight w:val="none"/>
        </w:rPr>
        <w:fldChar w:fldCharType="separate"/>
      </w:r>
      <w:r>
        <w:rPr>
          <w:rFonts w:hint="eastAsia" w:cs="宋体"/>
          <w:color w:val="auto"/>
          <w:sz w:val="21"/>
          <w:szCs w:val="21"/>
          <w:highlight w:val="none"/>
        </w:rPr>
        <w:t>78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"_Toc17454" </w:instrText>
      </w:r>
      <w:r>
        <w:rPr>
          <w:color w:val="auto"/>
          <w:highlight w:val="none"/>
        </w:rPr>
        <w:fldChar w:fldCharType="separate"/>
      </w:r>
      <w:r>
        <w:rPr>
          <w:rFonts w:hint="eastAsia" w:cs="宋体"/>
          <w:color w:val="auto"/>
          <w:sz w:val="21"/>
          <w:szCs w:val="21"/>
          <w:highlight w:val="none"/>
        </w:rPr>
        <w:t>技术文件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_Toc17454 \h </w:instrText>
      </w:r>
      <w:r>
        <w:rPr>
          <w:rFonts w:hint="eastAsia" w:cs="宋体"/>
          <w:color w:val="auto"/>
          <w:sz w:val="21"/>
          <w:szCs w:val="21"/>
          <w:highlight w:val="none"/>
        </w:rPr>
        <w:fldChar w:fldCharType="separate"/>
      </w:r>
      <w:r>
        <w:rPr>
          <w:rFonts w:hint="eastAsia" w:cs="宋体"/>
          <w:color w:val="auto"/>
          <w:sz w:val="21"/>
          <w:szCs w:val="21"/>
          <w:highlight w:val="none"/>
        </w:rPr>
        <w:t>80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"_Toc3704" </w:instrText>
      </w:r>
      <w:r>
        <w:rPr>
          <w:color w:val="auto"/>
          <w:highlight w:val="none"/>
        </w:rPr>
        <w:fldChar w:fldCharType="separate"/>
      </w:r>
      <w:r>
        <w:rPr>
          <w:rFonts w:hint="eastAsia" w:cs="宋体"/>
          <w:color w:val="auto"/>
          <w:sz w:val="21"/>
          <w:szCs w:val="21"/>
          <w:highlight w:val="none"/>
        </w:rPr>
        <w:t>附件15. 技术规格偏离表格式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_Toc3704 \h </w:instrText>
      </w:r>
      <w:r>
        <w:rPr>
          <w:rFonts w:hint="eastAsia" w:cs="宋体"/>
          <w:color w:val="auto"/>
          <w:sz w:val="21"/>
          <w:szCs w:val="21"/>
          <w:highlight w:val="none"/>
        </w:rPr>
        <w:fldChar w:fldCharType="separate"/>
      </w:r>
      <w:r>
        <w:rPr>
          <w:rFonts w:hint="eastAsia" w:cs="宋体"/>
          <w:color w:val="auto"/>
          <w:sz w:val="21"/>
          <w:szCs w:val="21"/>
          <w:highlight w:val="none"/>
        </w:rPr>
        <w:t>81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"_Toc13819" </w:instrText>
      </w:r>
      <w:r>
        <w:rPr>
          <w:color w:val="auto"/>
          <w:highlight w:val="none"/>
        </w:rPr>
        <w:fldChar w:fldCharType="separate"/>
      </w:r>
      <w:r>
        <w:rPr>
          <w:rFonts w:hint="eastAsia" w:cs="宋体"/>
          <w:color w:val="auto"/>
          <w:sz w:val="21"/>
          <w:szCs w:val="21"/>
          <w:highlight w:val="none"/>
        </w:rPr>
        <w:t>附件16.项目实施方案格式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_Toc13819 \h </w:instrText>
      </w:r>
      <w:r>
        <w:rPr>
          <w:rFonts w:hint="eastAsia" w:cs="宋体"/>
          <w:color w:val="auto"/>
          <w:sz w:val="21"/>
          <w:szCs w:val="21"/>
          <w:highlight w:val="none"/>
        </w:rPr>
        <w:fldChar w:fldCharType="separate"/>
      </w:r>
      <w:r>
        <w:rPr>
          <w:rFonts w:hint="eastAsia" w:cs="宋体"/>
          <w:color w:val="auto"/>
          <w:sz w:val="21"/>
          <w:szCs w:val="21"/>
          <w:highlight w:val="none"/>
        </w:rPr>
        <w:t>82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"_Toc23846" </w:instrText>
      </w:r>
      <w:r>
        <w:rPr>
          <w:color w:val="auto"/>
          <w:highlight w:val="none"/>
        </w:rPr>
        <w:fldChar w:fldCharType="separate"/>
      </w:r>
      <w:r>
        <w:rPr>
          <w:rFonts w:hint="eastAsia" w:cs="宋体"/>
          <w:color w:val="auto"/>
          <w:sz w:val="21"/>
          <w:szCs w:val="21"/>
          <w:highlight w:val="none"/>
        </w:rPr>
        <w:t>附件17.实施本项目的有关人员资料表格式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_Toc23846 \h </w:instrText>
      </w:r>
      <w:r>
        <w:rPr>
          <w:rFonts w:hint="eastAsia" w:cs="宋体"/>
          <w:color w:val="auto"/>
          <w:sz w:val="21"/>
          <w:szCs w:val="21"/>
          <w:highlight w:val="none"/>
        </w:rPr>
        <w:fldChar w:fldCharType="separate"/>
      </w:r>
      <w:r>
        <w:rPr>
          <w:rFonts w:hint="eastAsia" w:cs="宋体"/>
          <w:color w:val="auto"/>
          <w:sz w:val="21"/>
          <w:szCs w:val="21"/>
          <w:highlight w:val="none"/>
        </w:rPr>
        <w:t>83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"_Toc15162" </w:instrText>
      </w:r>
      <w:r>
        <w:rPr>
          <w:color w:val="auto"/>
          <w:highlight w:val="none"/>
        </w:rPr>
        <w:fldChar w:fldCharType="separate"/>
      </w:r>
      <w:r>
        <w:rPr>
          <w:rFonts w:hint="eastAsia" w:cs="宋体"/>
          <w:color w:val="auto"/>
          <w:sz w:val="21"/>
          <w:szCs w:val="21"/>
          <w:highlight w:val="none"/>
        </w:rPr>
        <w:t>附件18.投标保证金汇入情况说明格式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_Toc15162 \h </w:instrText>
      </w:r>
      <w:r>
        <w:rPr>
          <w:rFonts w:hint="eastAsia" w:cs="宋体"/>
          <w:color w:val="auto"/>
          <w:sz w:val="21"/>
          <w:szCs w:val="21"/>
          <w:highlight w:val="none"/>
        </w:rPr>
        <w:fldChar w:fldCharType="separate"/>
      </w:r>
      <w:r>
        <w:rPr>
          <w:rFonts w:hint="eastAsia" w:cs="宋体"/>
          <w:color w:val="auto"/>
          <w:sz w:val="21"/>
          <w:szCs w:val="21"/>
          <w:highlight w:val="none"/>
        </w:rPr>
        <w:t>84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"_Toc2801" </w:instrText>
      </w:r>
      <w:r>
        <w:rPr>
          <w:color w:val="auto"/>
          <w:highlight w:val="none"/>
        </w:rPr>
        <w:fldChar w:fldCharType="separate"/>
      </w:r>
      <w:r>
        <w:rPr>
          <w:rFonts w:hint="eastAsia" w:cs="宋体"/>
          <w:color w:val="auto"/>
          <w:sz w:val="21"/>
          <w:szCs w:val="21"/>
          <w:highlight w:val="none"/>
        </w:rPr>
        <w:t>附件19.不可撤销履约保函</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_Toc2801 \h </w:instrText>
      </w:r>
      <w:r>
        <w:rPr>
          <w:rFonts w:hint="eastAsia" w:cs="宋体"/>
          <w:color w:val="auto"/>
          <w:sz w:val="21"/>
          <w:szCs w:val="21"/>
          <w:highlight w:val="none"/>
        </w:rPr>
        <w:fldChar w:fldCharType="separate"/>
      </w:r>
      <w:r>
        <w:rPr>
          <w:rFonts w:hint="eastAsia" w:cs="宋体"/>
          <w:color w:val="auto"/>
          <w:sz w:val="21"/>
          <w:szCs w:val="21"/>
          <w:highlight w:val="none"/>
        </w:rPr>
        <w:t>86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"_Toc29098" </w:instrText>
      </w:r>
      <w:r>
        <w:rPr>
          <w:color w:val="auto"/>
          <w:highlight w:val="none"/>
        </w:rPr>
        <w:fldChar w:fldCharType="separate"/>
      </w:r>
      <w:r>
        <w:rPr>
          <w:rFonts w:hint="eastAsia" w:cs="宋体"/>
          <w:color w:val="auto"/>
          <w:sz w:val="21"/>
          <w:szCs w:val="21"/>
          <w:highlight w:val="none"/>
        </w:rPr>
        <w:t>附件20.预付款保函（适用于预付款支付）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_Toc29098 \h </w:instrText>
      </w:r>
      <w:r>
        <w:rPr>
          <w:rFonts w:hint="eastAsia" w:cs="宋体"/>
          <w:color w:val="auto"/>
          <w:sz w:val="21"/>
          <w:szCs w:val="21"/>
          <w:highlight w:val="none"/>
        </w:rPr>
        <w:fldChar w:fldCharType="separate"/>
      </w:r>
      <w:r>
        <w:rPr>
          <w:rFonts w:hint="eastAsia" w:cs="宋体"/>
          <w:color w:val="auto"/>
          <w:sz w:val="21"/>
          <w:szCs w:val="21"/>
          <w:highlight w:val="none"/>
        </w:rPr>
        <w:t>87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"_Toc16601" </w:instrText>
      </w:r>
      <w:r>
        <w:rPr>
          <w:color w:val="auto"/>
          <w:highlight w:val="none"/>
        </w:rPr>
        <w:fldChar w:fldCharType="separate"/>
      </w:r>
      <w:r>
        <w:rPr>
          <w:rFonts w:hint="eastAsia" w:cs="宋体"/>
          <w:color w:val="auto"/>
          <w:sz w:val="21"/>
          <w:szCs w:val="21"/>
          <w:highlight w:val="none"/>
        </w:rPr>
        <w:t>唱标信封</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_Toc16601 \h </w:instrText>
      </w:r>
      <w:r>
        <w:rPr>
          <w:rFonts w:hint="eastAsia" w:cs="宋体"/>
          <w:color w:val="auto"/>
          <w:sz w:val="21"/>
          <w:szCs w:val="21"/>
          <w:highlight w:val="none"/>
        </w:rPr>
        <w:fldChar w:fldCharType="separate"/>
      </w:r>
      <w:r>
        <w:rPr>
          <w:rFonts w:hint="eastAsia" w:cs="宋体"/>
          <w:color w:val="auto"/>
          <w:sz w:val="21"/>
          <w:szCs w:val="21"/>
          <w:highlight w:val="none"/>
        </w:rPr>
        <w:t>88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"_Toc31340" </w:instrText>
      </w:r>
      <w:r>
        <w:rPr>
          <w:color w:val="auto"/>
          <w:highlight w:val="none"/>
        </w:rPr>
        <w:fldChar w:fldCharType="separate"/>
      </w:r>
      <w:r>
        <w:rPr>
          <w:rFonts w:hint="eastAsia" w:cs="宋体"/>
          <w:color w:val="auto"/>
          <w:sz w:val="21"/>
          <w:szCs w:val="21"/>
          <w:highlight w:val="none"/>
        </w:rPr>
        <w:t>附件21.唱标信封内装（内容务必与投标文件正本一致）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_Toc31340 \h </w:instrText>
      </w:r>
      <w:r>
        <w:rPr>
          <w:rFonts w:hint="eastAsia" w:cs="宋体"/>
          <w:color w:val="auto"/>
          <w:sz w:val="21"/>
          <w:szCs w:val="21"/>
          <w:highlight w:val="none"/>
        </w:rPr>
        <w:fldChar w:fldCharType="separate"/>
      </w:r>
      <w:r>
        <w:rPr>
          <w:rFonts w:hint="eastAsia" w:cs="宋体"/>
          <w:color w:val="auto"/>
          <w:sz w:val="21"/>
          <w:szCs w:val="21"/>
          <w:highlight w:val="none"/>
        </w:rPr>
        <w:t>89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rFonts w:hint="eastAsia" w:cs="宋体"/>
          <w:color w:val="auto"/>
          <w:sz w:val="21"/>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bookmarkStart w:id="202" w:name="_GoBack"/>
      <w:bookmarkEnd w:id="202"/>
    </w:p>
    <w:p>
      <w:pPr>
        <w:pStyle w:val="4"/>
        <w:spacing w:before="0" w:after="0" w:line="240" w:lineRule="auto"/>
        <w:rPr>
          <w:color w:val="auto"/>
          <w:sz w:val="28"/>
          <w:szCs w:val="28"/>
          <w:highlight w:val="none"/>
        </w:rPr>
      </w:pPr>
      <w:bookmarkStart w:id="0" w:name="_Toc21044"/>
      <w:r>
        <w:rPr>
          <w:rFonts w:hint="eastAsia"/>
          <w:color w:val="auto"/>
          <w:sz w:val="28"/>
          <w:szCs w:val="28"/>
          <w:highlight w:val="none"/>
        </w:rPr>
        <w:t>第一部分投标邀请</w:t>
      </w:r>
      <w:bookmarkEnd w:id="0"/>
    </w:p>
    <w:p>
      <w:pPr>
        <w:pStyle w:val="5"/>
        <w:spacing w:before="0" w:after="0" w:line="360" w:lineRule="auto"/>
        <w:jc w:val="center"/>
        <w:rPr>
          <w:rFonts w:ascii="宋体" w:hAnsi="宋体" w:cs="宋体"/>
          <w:color w:val="auto"/>
          <w:highlight w:val="none"/>
        </w:rPr>
      </w:pPr>
      <w:bookmarkStart w:id="1" w:name="_Toc8950"/>
      <w:r>
        <w:rPr>
          <w:rFonts w:hint="eastAsia" w:ascii="宋体" w:hAnsi="宋体" w:cs="宋体"/>
          <w:color w:val="auto"/>
          <w:highlight w:val="none"/>
        </w:rPr>
        <w:t>投标邀请书</w:t>
      </w:r>
      <w:bookmarkEnd w:id="1"/>
    </w:p>
    <w:p>
      <w:pPr>
        <w:ind w:firstLine="422" w:firstLineChars="200"/>
        <w:rPr>
          <w:rFonts w:ascii="宋体" w:hAnsi="宋体"/>
          <w:color w:val="auto"/>
          <w:szCs w:val="21"/>
          <w:highlight w:val="none"/>
        </w:rPr>
      </w:pPr>
      <w:r>
        <w:rPr>
          <w:rFonts w:hint="eastAsia" w:ascii="宋体" w:hAnsi="宋体"/>
          <w:b/>
          <w:bCs/>
          <w:color w:val="auto"/>
          <w:szCs w:val="21"/>
          <w:highlight w:val="none"/>
          <w:u w:val="singl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rPr>
        <w:t>东莞市东实城市环境服务有限公司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城服公司2023年度车辆设备租赁采购项目（重新采购）</w:t>
      </w:r>
      <w:r>
        <w:rPr>
          <w:rFonts w:hint="eastAsia" w:ascii="宋体" w:hAnsi="宋体"/>
          <w:color w:val="auto"/>
          <w:szCs w:val="21"/>
          <w:highlight w:val="none"/>
        </w:rPr>
        <w:t>（项目编号：</w:t>
      </w:r>
      <w:r>
        <w:rPr>
          <w:rFonts w:hint="eastAsia" w:ascii="宋体" w:hAnsi="宋体"/>
          <w:b/>
          <w:bCs/>
          <w:color w:val="auto"/>
          <w:szCs w:val="21"/>
          <w:highlight w:val="none"/>
        </w:rPr>
        <w:t>DSCF-ZL-03-02-007（2023）</w:t>
      </w:r>
      <w:r>
        <w:rPr>
          <w:rFonts w:hint="eastAsia" w:ascii="宋体" w:hAnsi="宋体"/>
          <w:color w:val="auto"/>
          <w:szCs w:val="21"/>
          <w:highlight w:val="none"/>
        </w:rPr>
        <w:t>）</w:t>
      </w:r>
      <w:r>
        <w:rPr>
          <w:rFonts w:hint="eastAsia" w:ascii="宋体" w:hAnsi="宋体" w:cs="Times New Roman"/>
          <w:color w:val="auto"/>
          <w:szCs w:val="21"/>
          <w:highlight w:val="none"/>
        </w:rPr>
        <w:t>进行国内公开采购</w:t>
      </w:r>
      <w:r>
        <w:rPr>
          <w:rFonts w:hint="eastAsia" w:ascii="宋体" w:hAnsi="宋体"/>
          <w:color w:val="auto"/>
          <w:szCs w:val="21"/>
          <w:highlight w:val="none"/>
        </w:rPr>
        <w:t>，欢迎符合采购文件要求的国内投标人参加投标</w:t>
      </w:r>
      <w:r>
        <w:rPr>
          <w:rFonts w:ascii="宋体" w:hAnsi="宋体"/>
          <w:color w:val="auto"/>
          <w:szCs w:val="21"/>
          <w:highlight w:val="none"/>
        </w:rPr>
        <w:t>。有关事项如下：</w:t>
      </w:r>
    </w:p>
    <w:p>
      <w:pPr>
        <w:ind w:firstLine="413" w:firstLineChars="196"/>
        <w:rPr>
          <w:rFonts w:ascii="宋体" w:hAnsi="宋体"/>
          <w:b/>
          <w:color w:val="auto"/>
          <w:szCs w:val="21"/>
          <w:highlight w:val="none"/>
        </w:rPr>
      </w:pPr>
    </w:p>
    <w:p>
      <w:pPr>
        <w:ind w:firstLine="413"/>
        <w:rPr>
          <w:rFonts w:ascii="宋体" w:hAnsi="宋体"/>
          <w:b/>
          <w:color w:val="auto"/>
          <w:szCs w:val="21"/>
          <w:highlight w:val="none"/>
        </w:rPr>
      </w:pPr>
      <w:r>
        <w:rPr>
          <w:rFonts w:hint="eastAsia" w:ascii="宋体" w:hAnsi="宋体"/>
          <w:b/>
          <w:color w:val="auto"/>
          <w:szCs w:val="21"/>
          <w:highlight w:val="none"/>
        </w:rPr>
        <w:t>一、采购项目概况</w:t>
      </w:r>
    </w:p>
    <w:p>
      <w:pPr>
        <w:ind w:firstLine="420" w:firstLineChars="200"/>
        <w:rPr>
          <w:color w:val="auto"/>
          <w:highlight w:val="none"/>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b/>
          <w:color w:val="auto"/>
          <w:szCs w:val="21"/>
          <w:highlight w:val="none"/>
          <w:u w:val="single"/>
          <w:lang w:eastAsia="zh-CN"/>
        </w:rPr>
        <w:t>城服公司2023年度车辆设备租赁采购项目（重新采购）</w:t>
      </w:r>
    </w:p>
    <w:tbl>
      <w:tblPr>
        <w:tblStyle w:val="32"/>
        <w:tblW w:w="44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52"/>
        <w:gridCol w:w="1789"/>
        <w:gridCol w:w="1024"/>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38" w:type="pct"/>
            <w:vAlign w:val="center"/>
          </w:tcPr>
          <w:p>
            <w:pPr>
              <w:jc w:val="center"/>
              <w:rPr>
                <w:rFonts w:ascii="宋体" w:hAnsi="宋体"/>
                <w:color w:val="auto"/>
                <w:szCs w:val="21"/>
                <w:highlight w:val="none"/>
              </w:rPr>
            </w:pPr>
            <w:r>
              <w:rPr>
                <w:rFonts w:hint="eastAsia" w:ascii="宋体" w:hAnsi="宋体"/>
                <w:color w:val="auto"/>
                <w:szCs w:val="21"/>
                <w:highlight w:val="none"/>
              </w:rPr>
              <w:t>包号</w:t>
            </w:r>
          </w:p>
        </w:tc>
        <w:tc>
          <w:tcPr>
            <w:tcW w:w="1218" w:type="pct"/>
            <w:vAlign w:val="center"/>
          </w:tcPr>
          <w:p>
            <w:pPr>
              <w:jc w:val="center"/>
              <w:rPr>
                <w:rFonts w:ascii="宋体" w:hAnsi="宋体"/>
                <w:color w:val="auto"/>
                <w:szCs w:val="21"/>
                <w:highlight w:val="none"/>
              </w:rPr>
            </w:pPr>
            <w:r>
              <w:rPr>
                <w:rFonts w:hint="eastAsia" w:ascii="宋体" w:hAnsi="宋体"/>
                <w:color w:val="auto"/>
                <w:szCs w:val="21"/>
                <w:highlight w:val="none"/>
              </w:rPr>
              <w:t>项目采购内容</w:t>
            </w:r>
          </w:p>
        </w:tc>
        <w:tc>
          <w:tcPr>
            <w:tcW w:w="1176" w:type="pct"/>
            <w:vAlign w:val="center"/>
          </w:tcPr>
          <w:p>
            <w:pPr>
              <w:jc w:val="center"/>
              <w:rPr>
                <w:rFonts w:ascii="宋体" w:hAnsi="宋体"/>
                <w:color w:val="auto"/>
                <w:szCs w:val="21"/>
                <w:highlight w:val="none"/>
              </w:rPr>
            </w:pPr>
            <w:r>
              <w:rPr>
                <w:rFonts w:hint="eastAsia" w:ascii="宋体" w:hAnsi="宋体"/>
                <w:color w:val="auto"/>
                <w:szCs w:val="21"/>
                <w:highlight w:val="none"/>
              </w:rPr>
              <w:t>车辆设备租赁预算</w:t>
            </w:r>
          </w:p>
        </w:tc>
        <w:tc>
          <w:tcPr>
            <w:tcW w:w="673" w:type="pct"/>
            <w:vAlign w:val="center"/>
          </w:tcPr>
          <w:p>
            <w:pPr>
              <w:jc w:val="center"/>
              <w:rPr>
                <w:rFonts w:ascii="宋体" w:hAnsi="宋体"/>
                <w:color w:val="auto"/>
                <w:szCs w:val="21"/>
                <w:highlight w:val="none"/>
              </w:rPr>
            </w:pPr>
            <w:r>
              <w:rPr>
                <w:rFonts w:hint="eastAsia" w:ascii="宋体" w:hAnsi="宋体"/>
                <w:color w:val="auto"/>
                <w:szCs w:val="21"/>
                <w:highlight w:val="none"/>
              </w:rPr>
              <w:t>入围单位数量</w:t>
            </w:r>
          </w:p>
        </w:tc>
        <w:tc>
          <w:tcPr>
            <w:tcW w:w="1393" w:type="pct"/>
            <w:vAlign w:val="center"/>
          </w:tcPr>
          <w:p>
            <w:pPr>
              <w:jc w:val="center"/>
              <w:rPr>
                <w:rFonts w:ascii="宋体" w:hAnsi="宋体"/>
                <w:color w:val="auto"/>
                <w:szCs w:val="21"/>
                <w:highlight w:val="none"/>
              </w:rPr>
            </w:pPr>
            <w:r>
              <w:rPr>
                <w:rFonts w:hint="eastAsia" w:ascii="宋体" w:hAnsi="宋体"/>
                <w:color w:val="auto"/>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38"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A</w:t>
            </w:r>
          </w:p>
        </w:tc>
        <w:tc>
          <w:tcPr>
            <w:tcW w:w="1218" w:type="pct"/>
            <w:vAlign w:val="center"/>
          </w:tcPr>
          <w:p>
            <w:pPr>
              <w:jc w:val="center"/>
              <w:rPr>
                <w:rFonts w:ascii="宋体" w:hAnsi="宋体"/>
                <w:color w:val="auto"/>
                <w:szCs w:val="21"/>
                <w:highlight w:val="none"/>
              </w:rPr>
            </w:pPr>
            <w:r>
              <w:rPr>
                <w:rFonts w:hint="eastAsia" w:ascii="宋体" w:hAnsi="宋体"/>
                <w:color w:val="auto"/>
                <w:szCs w:val="21"/>
                <w:highlight w:val="none"/>
              </w:rPr>
              <w:t>城服公司工程车辆设备租赁</w:t>
            </w:r>
          </w:p>
        </w:tc>
        <w:tc>
          <w:tcPr>
            <w:tcW w:w="1176" w:type="pct"/>
            <w:vAlign w:val="center"/>
          </w:tcPr>
          <w:p>
            <w:pPr>
              <w:jc w:val="center"/>
              <w:rPr>
                <w:rFonts w:ascii="宋体" w:hAnsi="宋体"/>
                <w:color w:val="auto"/>
                <w:szCs w:val="21"/>
                <w:highlight w:val="none"/>
              </w:rPr>
            </w:pPr>
            <w:r>
              <w:rPr>
                <w:rFonts w:hint="eastAsia" w:ascii="宋体" w:hAnsi="宋体"/>
                <w:b/>
                <w:color w:val="auto"/>
                <w:szCs w:val="21"/>
                <w:highlight w:val="none"/>
                <w:u w:val="single"/>
              </w:rPr>
              <w:t>1,000,000.00元</w:t>
            </w:r>
          </w:p>
        </w:tc>
        <w:tc>
          <w:tcPr>
            <w:tcW w:w="673" w:type="pct"/>
            <w:vAlign w:val="center"/>
          </w:tcPr>
          <w:p>
            <w:pPr>
              <w:jc w:val="center"/>
              <w:rPr>
                <w:rFonts w:ascii="宋体" w:hAnsi="宋体"/>
                <w:color w:val="auto"/>
                <w:szCs w:val="21"/>
                <w:highlight w:val="none"/>
              </w:rPr>
            </w:pPr>
            <w:r>
              <w:rPr>
                <w:rFonts w:hint="eastAsia" w:ascii="宋体" w:hAnsi="宋体"/>
                <w:color w:val="auto"/>
                <w:szCs w:val="21"/>
                <w:highlight w:val="none"/>
              </w:rPr>
              <w:t>不限</w:t>
            </w:r>
          </w:p>
        </w:tc>
        <w:tc>
          <w:tcPr>
            <w:tcW w:w="1393" w:type="pct"/>
            <w:vAlign w:val="center"/>
          </w:tcPr>
          <w:p>
            <w:pPr>
              <w:jc w:val="both"/>
              <w:rPr>
                <w:rFonts w:ascii="宋体" w:hAnsi="宋体"/>
                <w:color w:val="auto"/>
                <w:szCs w:val="21"/>
                <w:highlight w:val="none"/>
              </w:rPr>
            </w:pPr>
            <w:r>
              <w:rPr>
                <w:color w:val="auto"/>
                <w:highlight w:val="none"/>
              </w:rPr>
              <w:t>自合同签订之日起一年或累计租赁费用达到项目包组合</w:t>
            </w:r>
            <w:r>
              <w:rPr>
                <w:rFonts w:hint="eastAsia"/>
                <w:color w:val="auto"/>
                <w:highlight w:val="none"/>
              </w:rPr>
              <w:t>预算</w:t>
            </w:r>
            <w:r>
              <w:rPr>
                <w:color w:val="auto"/>
                <w:highlight w:val="none"/>
              </w:rPr>
              <w:t>，以先到者为准。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38" w:type="pct"/>
            <w:vAlign w:val="center"/>
          </w:tcPr>
          <w:p>
            <w:pPr>
              <w:adjustRightInd/>
              <w:snapToGrid/>
              <w:spacing w:line="240" w:lineRule="auto"/>
              <w:jc w:val="center"/>
              <w:rPr>
                <w:rFonts w:ascii="宋体" w:hAnsi="宋体"/>
                <w:color w:val="auto"/>
                <w:szCs w:val="21"/>
                <w:highlight w:val="none"/>
              </w:rPr>
            </w:pPr>
            <w:r>
              <w:rPr>
                <w:rFonts w:hint="eastAsia" w:ascii="宋体" w:hAnsi="宋体"/>
                <w:color w:val="auto"/>
                <w:szCs w:val="21"/>
                <w:highlight w:val="none"/>
              </w:rPr>
              <w:t>B</w:t>
            </w:r>
          </w:p>
        </w:tc>
        <w:tc>
          <w:tcPr>
            <w:tcW w:w="1218" w:type="pct"/>
            <w:vAlign w:val="center"/>
          </w:tcPr>
          <w:p>
            <w:pPr>
              <w:jc w:val="center"/>
              <w:rPr>
                <w:rFonts w:ascii="宋体" w:hAnsi="宋体"/>
                <w:color w:val="auto"/>
                <w:szCs w:val="21"/>
                <w:highlight w:val="none"/>
              </w:rPr>
            </w:pPr>
            <w:r>
              <w:rPr>
                <w:rFonts w:hint="eastAsia" w:ascii="宋体" w:hAnsi="宋体"/>
                <w:color w:val="auto"/>
                <w:szCs w:val="21"/>
                <w:highlight w:val="none"/>
              </w:rPr>
              <w:t>城服公司环卫保洁车辆设备租赁</w:t>
            </w:r>
          </w:p>
        </w:tc>
        <w:tc>
          <w:tcPr>
            <w:tcW w:w="1176" w:type="pct"/>
            <w:vAlign w:val="center"/>
          </w:tcPr>
          <w:p>
            <w:pPr>
              <w:jc w:val="center"/>
              <w:rPr>
                <w:rFonts w:ascii="宋体" w:hAnsi="宋体"/>
                <w:color w:val="auto"/>
                <w:szCs w:val="21"/>
                <w:highlight w:val="none"/>
              </w:rPr>
            </w:pPr>
            <w:r>
              <w:rPr>
                <w:rFonts w:hint="eastAsia" w:ascii="宋体" w:hAnsi="宋体"/>
                <w:b/>
                <w:color w:val="auto"/>
                <w:szCs w:val="21"/>
                <w:highlight w:val="none"/>
                <w:u w:val="single"/>
              </w:rPr>
              <w:t>5,200,000.00元</w:t>
            </w:r>
          </w:p>
        </w:tc>
        <w:tc>
          <w:tcPr>
            <w:tcW w:w="673" w:type="pct"/>
            <w:vAlign w:val="center"/>
          </w:tcPr>
          <w:p>
            <w:pPr>
              <w:jc w:val="center"/>
              <w:rPr>
                <w:rFonts w:ascii="宋体" w:hAnsi="宋体"/>
                <w:color w:val="auto"/>
                <w:szCs w:val="21"/>
                <w:highlight w:val="none"/>
              </w:rPr>
            </w:pPr>
            <w:r>
              <w:rPr>
                <w:rFonts w:hint="eastAsia" w:ascii="宋体" w:hAnsi="宋体"/>
                <w:color w:val="auto"/>
                <w:szCs w:val="21"/>
                <w:highlight w:val="none"/>
              </w:rPr>
              <w:t>不限</w:t>
            </w:r>
          </w:p>
        </w:tc>
        <w:tc>
          <w:tcPr>
            <w:tcW w:w="1393" w:type="pct"/>
            <w:vAlign w:val="center"/>
          </w:tcPr>
          <w:p>
            <w:pPr>
              <w:jc w:val="both"/>
              <w:rPr>
                <w:rFonts w:ascii="宋体" w:hAnsi="宋体"/>
                <w:color w:val="auto"/>
                <w:szCs w:val="21"/>
                <w:highlight w:val="none"/>
              </w:rPr>
            </w:pPr>
            <w:r>
              <w:rPr>
                <w:color w:val="auto"/>
                <w:highlight w:val="none"/>
              </w:rPr>
              <w:t>自合同签订之日起一年或累计租赁费用达到项目包组合</w:t>
            </w:r>
            <w:r>
              <w:rPr>
                <w:rFonts w:hint="eastAsia"/>
                <w:color w:val="auto"/>
                <w:highlight w:val="none"/>
              </w:rPr>
              <w:t>预算</w:t>
            </w:r>
            <w:r>
              <w:rPr>
                <w:color w:val="auto"/>
                <w:highlight w:val="none"/>
              </w:rPr>
              <w:t>，以先到者为准。</w:t>
            </w:r>
          </w:p>
        </w:tc>
      </w:tr>
    </w:tbl>
    <w:p>
      <w:pPr>
        <w:ind w:firstLine="420" w:firstLineChars="200"/>
        <w:rPr>
          <w:rFonts w:ascii="宋体" w:hAnsi="宋体"/>
          <w:color w:val="auto"/>
          <w:szCs w:val="21"/>
          <w:highlight w:val="none"/>
        </w:rPr>
      </w:pPr>
      <w:r>
        <w:rPr>
          <w:rFonts w:hint="eastAsia" w:ascii="宋体" w:hAnsi="宋体"/>
          <w:color w:val="auto"/>
          <w:szCs w:val="21"/>
          <w:highlight w:val="none"/>
        </w:rPr>
        <w:t>2、项目需求</w:t>
      </w:r>
    </w:p>
    <w:p>
      <w:pPr>
        <w:ind w:firstLine="420" w:firstLineChars="200"/>
        <w:rPr>
          <w:rFonts w:ascii="宋体" w:hAnsi="宋体"/>
          <w:color w:val="auto"/>
          <w:szCs w:val="21"/>
          <w:highlight w:val="none"/>
        </w:rPr>
      </w:pPr>
      <w:r>
        <w:rPr>
          <w:rFonts w:hint="eastAsia" w:ascii="宋体" w:hAnsi="宋体"/>
          <w:color w:val="auto"/>
          <w:szCs w:val="21"/>
          <w:highlight w:val="none"/>
        </w:rPr>
        <w:t>详细内容请参阅采购文件第三部分《用户需求书》。</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color w:val="auto"/>
          <w:highlight w:val="none"/>
        </w:rPr>
        <w:t>投</w:t>
      </w:r>
      <w:r>
        <w:rPr>
          <w:rFonts w:hint="eastAsia" w:ascii="宋体" w:hAnsi="宋体"/>
          <w:color w:val="auto"/>
          <w:szCs w:val="21"/>
          <w:highlight w:val="none"/>
        </w:rPr>
        <w:t>标人须为在中华人民共和国境内登记注册的法人或其他组织。【提供《营业执照》复印件（加盖公章）或《事业单位法人证书》复印件（加盖公章）】；</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（3）投标人的单位负责人为同一人或者存在直接控股、管理关系的不同投标人，不得参加同一合同项下的采购活动（提供承诺函，格式自拟）；</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税收违法黑名单</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p>
      <w:pPr>
        <w:ind w:firstLine="420" w:firstLineChars="200"/>
        <w:rPr>
          <w:rFonts w:hint="eastAsia" w:ascii="宋体" w:hAnsi="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）未被列入东实环境及下属企业相关领域黑名单。【以东实环境及下属企业最新文件执行。】</w:t>
      </w:r>
    </w:p>
    <w:p>
      <w:pPr>
        <w:ind w:firstLine="420" w:firstLineChars="200"/>
        <w:rPr>
          <w:rFonts w:ascii="宋体" w:hAnsi="宋体"/>
          <w:color w:val="auto"/>
          <w:szCs w:val="21"/>
          <w:highlight w:val="none"/>
        </w:rPr>
      </w:pPr>
      <w:r>
        <w:rPr>
          <w:rFonts w:hint="eastAsia" w:ascii="宋体" w:hAnsi="宋体"/>
          <w:color w:val="auto"/>
          <w:szCs w:val="21"/>
          <w:highlight w:val="none"/>
        </w:rPr>
        <w:t>2、其他要求</w:t>
      </w:r>
    </w:p>
    <w:p>
      <w:pPr>
        <w:ind w:firstLine="420" w:firstLineChars="200"/>
        <w:rPr>
          <w:rFonts w:ascii="宋体" w:hAnsi="宋体"/>
          <w:color w:val="auto"/>
          <w:szCs w:val="21"/>
          <w:highlight w:val="none"/>
        </w:rPr>
      </w:pPr>
      <w:r>
        <w:rPr>
          <w:rFonts w:hint="eastAsia" w:ascii="宋体" w:hAnsi="宋体"/>
          <w:color w:val="auto"/>
          <w:szCs w:val="21"/>
          <w:highlight w:val="none"/>
        </w:rPr>
        <w:t>（1）本项目不接受联合体投标；</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w:t>
      </w:r>
      <w:r>
        <w:rPr>
          <w:rFonts w:hint="eastAsia" w:ascii="宋体" w:hAnsi="宋体"/>
          <w:b/>
          <w:bCs/>
          <w:color w:val="auto"/>
          <w:szCs w:val="21"/>
          <w:highlight w:val="none"/>
        </w:rPr>
        <w:t>A包：</w:t>
      </w:r>
      <w:r>
        <w:rPr>
          <w:rFonts w:hint="eastAsia" w:ascii="宋体" w:hAnsi="宋体"/>
          <w:color w:val="auto"/>
          <w:szCs w:val="21"/>
          <w:highlight w:val="none"/>
        </w:rPr>
        <w:t>投标人须</w:t>
      </w:r>
      <w:r>
        <w:rPr>
          <w:rFonts w:hint="eastAsia" w:ascii="宋体" w:hAnsi="宋体"/>
          <w:color w:val="auto"/>
          <w:szCs w:val="21"/>
          <w:highlight w:val="none"/>
          <w:lang w:val="en-US" w:eastAsia="zh-CN"/>
        </w:rPr>
        <w:t>提供</w:t>
      </w:r>
      <w:r>
        <w:rPr>
          <w:rFonts w:hint="eastAsia" w:ascii="宋体" w:hAnsi="宋体"/>
          <w:color w:val="auto"/>
          <w:szCs w:val="21"/>
          <w:highlight w:val="none"/>
        </w:rPr>
        <w:t>本项目《工程车辆设备租赁清单》中</w:t>
      </w:r>
      <w:r>
        <w:rPr>
          <w:rFonts w:hint="eastAsia" w:ascii="宋体" w:hAnsi="宋体"/>
          <w:color w:val="auto"/>
          <w:szCs w:val="21"/>
          <w:highlight w:val="none"/>
          <w:lang w:val="en-US" w:eastAsia="zh-CN"/>
        </w:rPr>
        <w:t>自有的</w:t>
      </w:r>
      <w:r>
        <w:rPr>
          <w:rFonts w:hint="eastAsia" w:ascii="宋体" w:hAnsi="宋体"/>
          <w:color w:val="auto"/>
          <w:szCs w:val="21"/>
          <w:highlight w:val="none"/>
        </w:rPr>
        <w:t>任意一项（或以上）</w:t>
      </w:r>
      <w:r>
        <w:rPr>
          <w:rFonts w:hint="eastAsia" w:ascii="宋体" w:hAnsi="宋体"/>
          <w:color w:val="auto"/>
          <w:szCs w:val="21"/>
          <w:highlight w:val="none"/>
          <w:lang w:val="en-US" w:eastAsia="zh-CN"/>
        </w:rPr>
        <w:t>车辆的车牌照片及行驶证复印件</w:t>
      </w:r>
      <w:r>
        <w:rPr>
          <w:rFonts w:hint="eastAsia" w:ascii="宋体" w:hAnsi="宋体"/>
          <w:color w:val="auto"/>
          <w:szCs w:val="21"/>
          <w:highlight w:val="none"/>
        </w:rPr>
        <w:t>并加盖投标人公章。</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注：车牌照片的车牌号须与行驶证上的车牌号保持一致</w:t>
      </w:r>
      <w:r>
        <w:rPr>
          <w:rFonts w:hint="eastAsia" w:ascii="宋体" w:hAnsi="宋体"/>
          <w:color w:val="auto"/>
          <w:szCs w:val="21"/>
          <w:highlight w:val="none"/>
          <w:lang w:eastAsia="zh-CN"/>
        </w:rPr>
        <w:t>）</w:t>
      </w:r>
    </w:p>
    <w:p>
      <w:pPr>
        <w:ind w:firstLine="413" w:firstLineChars="196"/>
        <w:rPr>
          <w:rFonts w:hint="eastAsia" w:ascii="宋体" w:hAnsi="宋体"/>
          <w:color w:val="auto"/>
          <w:szCs w:val="21"/>
          <w:highlight w:val="none"/>
        </w:rPr>
      </w:pPr>
      <w:r>
        <w:rPr>
          <w:rFonts w:hint="eastAsia" w:ascii="宋体" w:hAnsi="宋体"/>
          <w:b/>
          <w:bCs/>
          <w:color w:val="auto"/>
          <w:szCs w:val="21"/>
          <w:highlight w:val="none"/>
        </w:rPr>
        <w:t>B包：</w:t>
      </w:r>
      <w:r>
        <w:rPr>
          <w:rFonts w:hint="eastAsia" w:ascii="宋体" w:hAnsi="宋体"/>
          <w:color w:val="auto"/>
          <w:szCs w:val="21"/>
          <w:highlight w:val="none"/>
        </w:rPr>
        <w:t>投标人须</w:t>
      </w:r>
      <w:r>
        <w:rPr>
          <w:rFonts w:hint="eastAsia" w:ascii="宋体" w:hAnsi="宋体"/>
          <w:color w:val="auto"/>
          <w:szCs w:val="21"/>
          <w:highlight w:val="none"/>
          <w:lang w:val="en-US" w:eastAsia="zh-CN"/>
        </w:rPr>
        <w:t>提供</w:t>
      </w:r>
      <w:r>
        <w:rPr>
          <w:rFonts w:hint="eastAsia" w:ascii="宋体" w:hAnsi="宋体"/>
          <w:color w:val="auto"/>
          <w:szCs w:val="21"/>
          <w:highlight w:val="none"/>
        </w:rPr>
        <w:t>本项目《环卫车辆设备清单》中</w:t>
      </w:r>
      <w:r>
        <w:rPr>
          <w:rFonts w:hint="eastAsia" w:ascii="宋体" w:hAnsi="宋体"/>
          <w:color w:val="auto"/>
          <w:szCs w:val="21"/>
          <w:highlight w:val="none"/>
          <w:lang w:val="en-US" w:eastAsia="zh-CN"/>
        </w:rPr>
        <w:t>自有的</w:t>
      </w:r>
      <w:r>
        <w:rPr>
          <w:rFonts w:hint="eastAsia" w:ascii="宋体" w:hAnsi="宋体"/>
          <w:color w:val="auto"/>
          <w:szCs w:val="21"/>
          <w:highlight w:val="none"/>
        </w:rPr>
        <w:t>任意一项（或以上）</w:t>
      </w:r>
      <w:r>
        <w:rPr>
          <w:rFonts w:hint="eastAsia" w:ascii="宋体" w:hAnsi="宋体"/>
          <w:color w:val="auto"/>
          <w:szCs w:val="21"/>
          <w:highlight w:val="none"/>
          <w:lang w:val="en-US" w:eastAsia="zh-CN"/>
        </w:rPr>
        <w:t>车辆的车牌照片及行驶证复印件</w:t>
      </w:r>
      <w:r>
        <w:rPr>
          <w:rFonts w:hint="eastAsia" w:ascii="宋体" w:hAnsi="宋体"/>
          <w:color w:val="auto"/>
          <w:szCs w:val="21"/>
          <w:highlight w:val="none"/>
        </w:rPr>
        <w:t>并加盖投标人公章。</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注：车牌照片的车牌号须与行驶证上的车牌号保持一致</w:t>
      </w:r>
      <w:r>
        <w:rPr>
          <w:rFonts w:hint="eastAsia" w:ascii="宋体" w:hAnsi="宋体"/>
          <w:color w:val="auto"/>
          <w:szCs w:val="21"/>
          <w:highlight w:val="none"/>
          <w:lang w:eastAsia="zh-CN"/>
        </w:rPr>
        <w:t>）</w:t>
      </w:r>
    </w:p>
    <w:p>
      <w:pPr>
        <w:ind w:firstLine="413" w:firstLineChars="196"/>
        <w:rPr>
          <w:rFonts w:ascii="宋体" w:hAnsi="宋体"/>
          <w:b/>
          <w:color w:val="auto"/>
          <w:szCs w:val="21"/>
          <w:highlight w:val="none"/>
        </w:rPr>
      </w:pPr>
      <w:r>
        <w:rPr>
          <w:rFonts w:hint="eastAsia" w:ascii="宋体" w:hAnsi="宋体"/>
          <w:b/>
          <w:color w:val="auto"/>
          <w:szCs w:val="21"/>
          <w:highlight w:val="none"/>
        </w:rPr>
        <w:t>三、获取采购文件方式及要求：</w:t>
      </w:r>
    </w:p>
    <w:p>
      <w:pPr>
        <w:wordWrap w:val="0"/>
        <w:ind w:firstLine="420" w:firstLineChars="200"/>
        <w:rPr>
          <w:rFonts w:ascii="宋体" w:hAnsi="宋体" w:cs="宋体"/>
          <w:color w:val="auto"/>
          <w:szCs w:val="21"/>
          <w:highlight w:val="none"/>
        </w:rPr>
      </w:pPr>
      <w:r>
        <w:rPr>
          <w:rFonts w:ascii="宋体" w:hAnsi="宋体" w:cs="宋体"/>
          <w:color w:val="auto"/>
          <w:szCs w:val="21"/>
          <w:highlight w:val="none"/>
        </w:rPr>
        <w:t>1、采购文件下载地址：</w:t>
      </w:r>
      <w:r>
        <w:rPr>
          <w:rFonts w:hint="eastAsia" w:ascii="宋体" w:hAnsi="宋体" w:cs="宋体"/>
          <w:color w:val="auto"/>
          <w:szCs w:val="21"/>
          <w:highlight w:val="none"/>
          <w:u w:val="single"/>
        </w:rPr>
        <w:t>中国招标投标公共服务平台（http://www.cebpubservice.com/）、</w:t>
      </w:r>
      <w:r>
        <w:rPr>
          <w:rFonts w:hint="eastAsia" w:ascii="宋体" w:hAnsi="宋体" w:cs="宋体"/>
          <w:color w:val="auto"/>
          <w:szCs w:val="21"/>
          <w:highlight w:val="none"/>
          <w:u w:val="single"/>
          <w:lang w:eastAsia="zh-CN"/>
        </w:rPr>
        <w:t>广东省公共资源交易平台（https://ygp.gdzwfw.gov.cn）</w:t>
      </w:r>
      <w:r>
        <w:rPr>
          <w:rFonts w:hint="eastAsia" w:ascii="宋体" w:hAnsi="宋体" w:cs="宋体"/>
          <w:color w:val="auto"/>
          <w:szCs w:val="21"/>
          <w:highlight w:val="none"/>
          <w:u w:val="single"/>
        </w:rPr>
        <w:t>、东莞实业投资控股集团有限公司-招标采购栏目（http://www.dgsy.com.cn/）、广东东实环境股份有限公司（http://www.dshuanbao.com.cn/）、广东政通招标有限公司官网（http://www.zttendering.com/）</w:t>
      </w:r>
      <w:r>
        <w:rPr>
          <w:rFonts w:hint="eastAsia" w:ascii="宋体" w:hAnsi="宋体" w:cs="宋体"/>
          <w:color w:val="auto"/>
          <w:szCs w:val="21"/>
          <w:highlight w:val="none"/>
        </w:rPr>
        <w:t>。不进行实名登记报名。</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2、采购文件下载时间：2023年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27</w:t>
      </w:r>
      <w:r>
        <w:rPr>
          <w:rFonts w:hint="eastAsia" w:ascii="宋体" w:hAnsi="宋体" w:cs="宋体"/>
          <w:color w:val="auto"/>
          <w:szCs w:val="21"/>
          <w:highlight w:val="none"/>
        </w:rPr>
        <w:t>日至2023年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16</w:t>
      </w:r>
      <w:r>
        <w:rPr>
          <w:rFonts w:hint="eastAsia" w:ascii="宋体" w:hAnsi="宋体" w:cs="宋体"/>
          <w:color w:val="auto"/>
          <w:szCs w:val="21"/>
          <w:highlight w:val="none"/>
        </w:rPr>
        <w:t>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3、获取采购文件时间：2023年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27</w:t>
      </w:r>
      <w:r>
        <w:rPr>
          <w:rFonts w:hint="eastAsia" w:ascii="宋体" w:hAnsi="宋体" w:cs="宋体"/>
          <w:color w:val="auto"/>
          <w:szCs w:val="21"/>
          <w:highlight w:val="none"/>
        </w:rPr>
        <w:t>日至2023年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16</w:t>
      </w:r>
      <w:r>
        <w:rPr>
          <w:rFonts w:hint="eastAsia" w:ascii="宋体" w:hAnsi="宋体" w:cs="宋体"/>
          <w:color w:val="auto"/>
          <w:szCs w:val="21"/>
          <w:highlight w:val="none"/>
        </w:rPr>
        <w:t>日（节假日除外），上午8：30～12：00，下午14：00～17：30（北京时间）。</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四、投标文件的递交</w:t>
      </w:r>
    </w:p>
    <w:p>
      <w:pPr>
        <w:ind w:firstLine="420" w:firstLineChars="200"/>
        <w:rPr>
          <w:rFonts w:ascii="宋体" w:hAnsi="宋体"/>
          <w:color w:val="auto"/>
          <w:szCs w:val="21"/>
          <w:highlight w:val="none"/>
        </w:rPr>
      </w:pPr>
      <w:r>
        <w:rPr>
          <w:rFonts w:hint="eastAsia" w:ascii="宋体" w:hAnsi="宋体"/>
          <w:color w:val="auto"/>
          <w:szCs w:val="21"/>
          <w:highlight w:val="none"/>
        </w:rPr>
        <w:t>1、递交投标文件时间：</w:t>
      </w:r>
      <w:r>
        <w:rPr>
          <w:rFonts w:hint="eastAsia" w:ascii="宋体" w:hAnsi="宋体" w:cs="宋体"/>
          <w:color w:val="auto"/>
          <w:szCs w:val="21"/>
          <w:highlight w:val="none"/>
        </w:rPr>
        <w:t>2023年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17</w:t>
      </w:r>
      <w:r>
        <w:rPr>
          <w:rFonts w:hint="eastAsia" w:ascii="宋体" w:hAnsi="宋体" w:cs="宋体"/>
          <w:color w:val="auto"/>
          <w:szCs w:val="21"/>
          <w:highlight w:val="none"/>
        </w:rPr>
        <w:t>日（</w:t>
      </w:r>
      <w:r>
        <w:rPr>
          <w:rFonts w:hint="eastAsia" w:ascii="宋体" w:hAnsi="宋体"/>
          <w:color w:val="auto"/>
          <w:szCs w:val="21"/>
          <w:highlight w:val="none"/>
        </w:rPr>
        <w:t>北京时间）0</w:t>
      </w:r>
      <w:r>
        <w:rPr>
          <w:rFonts w:hint="eastAsia" w:ascii="宋体" w:hAnsi="宋体"/>
          <w:color w:val="auto"/>
          <w:szCs w:val="21"/>
          <w:highlight w:val="none"/>
          <w:u w:val="single"/>
        </w:rPr>
        <w:t>9</w:t>
      </w:r>
      <w:r>
        <w:rPr>
          <w:rFonts w:hint="eastAsia" w:ascii="宋体" w:hAnsi="宋体"/>
          <w:color w:val="auto"/>
          <w:szCs w:val="21"/>
          <w:highlight w:val="none"/>
        </w:rPr>
        <w:t>:</w:t>
      </w:r>
      <w:r>
        <w:rPr>
          <w:rFonts w:hint="eastAsia" w:ascii="宋体" w:hAnsi="宋体"/>
          <w:color w:val="auto"/>
          <w:szCs w:val="21"/>
          <w:highlight w:val="none"/>
          <w:u w:val="single"/>
        </w:rPr>
        <w:t>00</w:t>
      </w:r>
      <w:r>
        <w:rPr>
          <w:rFonts w:ascii="宋体" w:hAnsi="宋体"/>
          <w:color w:val="auto"/>
          <w:szCs w:val="21"/>
          <w:highlight w:val="none"/>
        </w:rPr>
        <w:t>-</w:t>
      </w:r>
      <w:r>
        <w:rPr>
          <w:rFonts w:hint="eastAsia" w:ascii="宋体" w:hAnsi="宋体"/>
          <w:color w:val="auto"/>
          <w:szCs w:val="21"/>
          <w:highlight w:val="none"/>
          <w:u w:val="single"/>
        </w:rPr>
        <w:t>09</w:t>
      </w:r>
      <w:r>
        <w:rPr>
          <w:rFonts w:hint="eastAsia" w:ascii="宋体" w:hAnsi="宋体"/>
          <w:color w:val="auto"/>
          <w:szCs w:val="21"/>
          <w:highlight w:val="none"/>
        </w:rPr>
        <w:t>:</w:t>
      </w:r>
      <w:r>
        <w:rPr>
          <w:rFonts w:hint="eastAsia" w:ascii="宋体" w:hAnsi="宋体"/>
          <w:color w:val="auto"/>
          <w:szCs w:val="21"/>
          <w:highlight w:val="none"/>
          <w:u w:val="single"/>
        </w:rPr>
        <w:t>30</w:t>
      </w:r>
      <w:r>
        <w:rPr>
          <w:rFonts w:hint="eastAsia" w:ascii="宋体" w:hAnsi="宋体"/>
          <w:color w:val="auto"/>
          <w:szCs w:val="21"/>
          <w:highlight w:val="none"/>
        </w:rPr>
        <w:t>。</w:t>
      </w:r>
    </w:p>
    <w:p>
      <w:pPr>
        <w:ind w:firstLine="420" w:firstLineChars="200"/>
        <w:rPr>
          <w:rFonts w:ascii="宋体" w:hAnsi="宋体"/>
          <w:b/>
          <w:color w:val="auto"/>
          <w:szCs w:val="21"/>
          <w:highlight w:val="none"/>
        </w:rPr>
      </w:pPr>
      <w:r>
        <w:rPr>
          <w:rFonts w:hint="eastAsia" w:ascii="宋体" w:hAnsi="宋体"/>
          <w:color w:val="auto"/>
          <w:szCs w:val="21"/>
          <w:highlight w:val="none"/>
        </w:rPr>
        <w:t>2、递交投标文件</w:t>
      </w:r>
      <w:r>
        <w:rPr>
          <w:rFonts w:ascii="宋体" w:hAnsi="宋体"/>
          <w:color w:val="auto"/>
          <w:szCs w:val="21"/>
          <w:highlight w:val="none"/>
        </w:rPr>
        <w:t>截止</w:t>
      </w:r>
      <w:r>
        <w:rPr>
          <w:rFonts w:hint="eastAsia" w:ascii="宋体" w:hAnsi="宋体"/>
          <w:color w:val="auto"/>
          <w:szCs w:val="21"/>
          <w:highlight w:val="none"/>
        </w:rPr>
        <w:t>及开标时间：</w:t>
      </w:r>
      <w:r>
        <w:rPr>
          <w:rFonts w:hint="eastAsia" w:ascii="宋体" w:hAnsi="宋体" w:cs="宋体"/>
          <w:color w:val="auto"/>
          <w:szCs w:val="21"/>
          <w:highlight w:val="none"/>
        </w:rPr>
        <w:t>2023年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17</w:t>
      </w:r>
      <w:r>
        <w:rPr>
          <w:rFonts w:hint="eastAsia" w:ascii="宋体" w:hAnsi="宋体" w:cs="宋体"/>
          <w:color w:val="auto"/>
          <w:szCs w:val="21"/>
          <w:highlight w:val="none"/>
        </w:rPr>
        <w:t>日</w:t>
      </w:r>
      <w:r>
        <w:rPr>
          <w:rFonts w:hint="eastAsia" w:ascii="宋体" w:hAnsi="宋体"/>
          <w:color w:val="auto"/>
          <w:szCs w:val="21"/>
          <w:highlight w:val="none"/>
          <w:u w:val="single"/>
        </w:rPr>
        <w:t>09</w:t>
      </w:r>
      <w:r>
        <w:rPr>
          <w:rFonts w:hint="eastAsia" w:ascii="宋体" w:hAnsi="宋体"/>
          <w:color w:val="auto"/>
          <w:szCs w:val="21"/>
          <w:highlight w:val="none"/>
        </w:rPr>
        <w:t>:</w:t>
      </w:r>
      <w:r>
        <w:rPr>
          <w:rFonts w:hint="eastAsia" w:ascii="宋体" w:hAnsi="宋体"/>
          <w:color w:val="auto"/>
          <w:szCs w:val="21"/>
          <w:highlight w:val="none"/>
          <w:u w:val="single"/>
        </w:rPr>
        <w:t>30</w:t>
      </w:r>
      <w:r>
        <w:rPr>
          <w:rFonts w:hint="eastAsia" w:ascii="宋体" w:hAnsi="宋体"/>
          <w:color w:val="auto"/>
          <w:szCs w:val="21"/>
          <w:highlight w:val="none"/>
        </w:rPr>
        <w:t>（北京时间），所有投标文件应于截止时间之前递交，迟交或以电报、传真形式的投标文件将拒绝接收。</w:t>
      </w:r>
    </w:p>
    <w:p>
      <w:pPr>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开标地点</w:t>
      </w:r>
      <w:r>
        <w:rPr>
          <w:rFonts w:hint="eastAsia" w:ascii="宋体" w:hAnsi="宋体"/>
          <w:color w:val="auto"/>
          <w:szCs w:val="21"/>
          <w:highlight w:val="none"/>
          <w:u w:val="single"/>
        </w:rPr>
        <w:t>：东莞市南城区西平社区宏伟三路45号东莞市公共资源交易中心开标</w:t>
      </w: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5</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室。</w:t>
      </w:r>
    </w:p>
    <w:p>
      <w:pPr>
        <w:ind w:firstLine="411" w:firstLineChars="196"/>
        <w:rPr>
          <w:rFonts w:ascii="宋体" w:hAnsi="宋体"/>
          <w:bCs/>
          <w:color w:val="auto"/>
          <w:szCs w:val="21"/>
          <w:highlight w:val="none"/>
        </w:rPr>
      </w:pPr>
      <w:r>
        <w:rPr>
          <w:rFonts w:hint="eastAsia" w:ascii="宋体" w:hAnsi="宋体"/>
          <w:bCs/>
          <w:color w:val="auto"/>
          <w:szCs w:val="21"/>
          <w:highlight w:val="none"/>
        </w:rPr>
        <w:t>4、开标事宜：</w:t>
      </w:r>
      <w:r>
        <w:rPr>
          <w:rFonts w:hint="eastAsia" w:ascii="宋体" w:hAnsi="宋体"/>
          <w:b/>
          <w:bCs/>
          <w:color w:val="auto"/>
          <w:szCs w:val="21"/>
          <w:highlight w:val="none"/>
        </w:rPr>
        <w:t>届时请投标人的法定代表人或其授权代表务必携带有效身份证明出席开标会</w:t>
      </w:r>
      <w:r>
        <w:rPr>
          <w:rFonts w:hint="eastAsia" w:ascii="宋体" w:hAnsi="宋体"/>
          <w:bCs/>
          <w:color w:val="auto"/>
          <w:szCs w:val="21"/>
          <w:highlight w:val="none"/>
        </w:rPr>
        <w:t>。</w:t>
      </w:r>
    </w:p>
    <w:p>
      <w:pPr>
        <w:pStyle w:val="40"/>
        <w:spacing w:line="360" w:lineRule="auto"/>
        <w:rPr>
          <w:color w:val="auto"/>
          <w:sz w:val="21"/>
          <w:szCs w:val="21"/>
          <w:highlight w:val="none"/>
        </w:rPr>
      </w:pPr>
      <w:r>
        <w:rPr>
          <w:rFonts w:hint="eastAsia"/>
          <w:color w:val="auto"/>
          <w:sz w:val="21"/>
          <w:szCs w:val="21"/>
          <w:highlight w:val="none"/>
        </w:rPr>
        <w:t>5、出现以下情形时，采购代理机构不予接收投标（响应）文件：</w:t>
      </w:r>
    </w:p>
    <w:p>
      <w:pPr>
        <w:pStyle w:val="40"/>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（1）逾期送达或者未送达指定地点的；</w:t>
      </w:r>
    </w:p>
    <w:p>
      <w:pPr>
        <w:pStyle w:val="40"/>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（2）未按采购文件要求密封的。</w:t>
      </w:r>
    </w:p>
    <w:p>
      <w:pPr>
        <w:pStyle w:val="40"/>
        <w:ind w:firstLine="400"/>
        <w:rPr>
          <w:color w:val="auto"/>
          <w:highlight w:val="none"/>
        </w:rPr>
      </w:pPr>
    </w:p>
    <w:p>
      <w:pPr>
        <w:pStyle w:val="40"/>
        <w:ind w:firstLine="422"/>
        <w:rPr>
          <w:rFonts w:ascii="宋体" w:hAnsi="宋体" w:eastAsia="宋体" w:cstheme="minorBidi"/>
          <w:b/>
          <w:color w:val="auto"/>
          <w:sz w:val="21"/>
          <w:szCs w:val="21"/>
          <w:highlight w:val="none"/>
        </w:rPr>
      </w:pPr>
      <w:r>
        <w:rPr>
          <w:rFonts w:hint="eastAsia" w:ascii="宋体" w:hAnsi="宋体" w:eastAsia="宋体" w:cstheme="minorBidi"/>
          <w:b/>
          <w:color w:val="auto"/>
          <w:sz w:val="21"/>
          <w:szCs w:val="21"/>
          <w:highlight w:val="none"/>
        </w:rPr>
        <w:t>五</w:t>
      </w:r>
      <w:r>
        <w:rPr>
          <w:rFonts w:ascii="宋体" w:hAnsi="宋体" w:eastAsia="宋体" w:cstheme="minorBidi"/>
          <w:b/>
          <w:color w:val="auto"/>
          <w:sz w:val="21"/>
          <w:szCs w:val="21"/>
          <w:highlight w:val="none"/>
        </w:rPr>
        <w:t>、发布公告的媒介</w:t>
      </w:r>
    </w:p>
    <w:p>
      <w:pPr>
        <w:pStyle w:val="4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pPr>
        <w:pStyle w:val="4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中国招标投标公共服务平台（http://www.cebpubservice.com/）、</w:t>
      </w:r>
      <w:r>
        <w:rPr>
          <w:rFonts w:hint="eastAsia" w:ascii="宋体" w:hAnsi="宋体" w:eastAsia="宋体" w:cs="宋体"/>
          <w:color w:val="auto"/>
          <w:sz w:val="21"/>
          <w:szCs w:val="21"/>
          <w:highlight w:val="none"/>
          <w:u w:val="single"/>
          <w:lang w:eastAsia="zh-CN"/>
        </w:rPr>
        <w:t>广东省公共资源交易平台（https://ygp.gdzwfw.gov.cn）</w:t>
      </w:r>
      <w:r>
        <w:rPr>
          <w:rFonts w:hint="eastAsia" w:ascii="宋体" w:hAnsi="宋体" w:eastAsia="宋体" w:cs="宋体"/>
          <w:color w:val="auto"/>
          <w:sz w:val="21"/>
          <w:szCs w:val="21"/>
          <w:highlight w:val="none"/>
          <w:u w:val="single"/>
        </w:rPr>
        <w:t>、东莞实业投资控股集团有限公司-招标采购栏目（http://www.dgsy.com.cn/）、广东东实环境股份有限公司（http://www.dshuanbao.com.cn/）、广东政通招标有限公司官网（http://www.zttendering.com/）</w:t>
      </w:r>
      <w:r>
        <w:rPr>
          <w:rFonts w:hint="eastAsia" w:ascii="宋体" w:hAnsi="宋体" w:eastAsia="宋体" w:cs="宋体"/>
          <w:color w:val="auto"/>
          <w:sz w:val="21"/>
          <w:szCs w:val="21"/>
          <w:highlight w:val="none"/>
        </w:rPr>
        <w:t>。</w:t>
      </w:r>
    </w:p>
    <w:p>
      <w:pPr>
        <w:pStyle w:val="40"/>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pPr>
        <w:pStyle w:val="40"/>
        <w:spacing w:line="360" w:lineRule="auto"/>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东莞实业投资控股集团有限公司-招标采购栏目（http://www.dgsy.com.cn/）。</w:t>
      </w: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ascii="宋体" w:hAnsi="宋体"/>
          <w:color w:val="auto"/>
          <w:szCs w:val="21"/>
          <w:highlight w:val="none"/>
        </w:rPr>
      </w:pPr>
      <w:r>
        <w:rPr>
          <w:rFonts w:hint="eastAsia" w:ascii="宋体" w:hAnsi="宋体"/>
          <w:color w:val="auto"/>
          <w:szCs w:val="21"/>
          <w:highlight w:val="none"/>
        </w:rPr>
        <w:t>采购人名称：东莞市东实城市环境服务有限公司</w:t>
      </w:r>
    </w:p>
    <w:p>
      <w:pPr>
        <w:ind w:firstLine="420" w:firstLineChars="200"/>
        <w:rPr>
          <w:rFonts w:ascii="宋体" w:hAnsi="宋体"/>
          <w:color w:val="auto"/>
          <w:szCs w:val="21"/>
          <w:highlight w:val="none"/>
        </w:rPr>
      </w:pPr>
      <w:r>
        <w:rPr>
          <w:rFonts w:hint="eastAsia" w:ascii="宋体" w:hAnsi="宋体"/>
          <w:color w:val="auto"/>
          <w:szCs w:val="21"/>
          <w:highlight w:val="none"/>
        </w:rPr>
        <w:t>采购人地址：广东省东莞市麻涌镇海心沙路1号。</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联系人：曾工</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李工</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联系电话：0769-39028727</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采购代理机构地址：东莞市南城街道鸿福路199号（市民服务中心）411室  </w:t>
      </w:r>
    </w:p>
    <w:p>
      <w:pPr>
        <w:ind w:firstLine="420" w:firstLineChars="200"/>
        <w:rPr>
          <w:rFonts w:ascii="宋体" w:hAnsi="宋体"/>
          <w:color w:val="auto"/>
          <w:szCs w:val="21"/>
          <w:highlight w:val="none"/>
        </w:rPr>
      </w:pPr>
      <w:r>
        <w:rPr>
          <w:rFonts w:hint="eastAsia" w:ascii="宋体" w:hAnsi="宋体"/>
          <w:color w:val="auto"/>
          <w:szCs w:val="21"/>
          <w:highlight w:val="none"/>
        </w:rPr>
        <w:t>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联系电话：0769-22881803 </w:t>
      </w:r>
    </w:p>
    <w:p>
      <w:pPr>
        <w:ind w:firstLine="420" w:firstLineChars="200"/>
        <w:rPr>
          <w:color w:val="auto"/>
          <w:highlight w:val="none"/>
        </w:rPr>
      </w:pPr>
      <w:r>
        <w:rPr>
          <w:rFonts w:hint="eastAsia" w:ascii="宋体" w:hAnsi="宋体"/>
          <w:color w:val="auto"/>
          <w:szCs w:val="21"/>
          <w:highlight w:val="none"/>
        </w:rPr>
        <w:t xml:space="preserve">电子邮件：471539976@qq.com </w:t>
      </w:r>
    </w:p>
    <w:p>
      <w:pPr>
        <w:ind w:firstLine="420" w:firstLineChars="200"/>
        <w:rPr>
          <w:color w:val="auto"/>
          <w:highlight w:val="none"/>
        </w:rPr>
      </w:pPr>
    </w:p>
    <w:p>
      <w:pPr>
        <w:ind w:right="752" w:rightChars="358"/>
        <w:jc w:val="right"/>
        <w:rPr>
          <w:color w:val="auto"/>
          <w:highlight w:val="none"/>
        </w:rPr>
      </w:pPr>
      <w:r>
        <w:rPr>
          <w:rFonts w:hint="eastAsia" w:ascii="宋体" w:hAnsi="宋体"/>
          <w:color w:val="auto"/>
          <w:szCs w:val="21"/>
          <w:highlight w:val="none"/>
        </w:rPr>
        <w:t>东莞市东实城市环境服务有限公司</w:t>
      </w: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wordWrap w:val="0"/>
        <w:ind w:right="752" w:rightChars="358"/>
        <w:jc w:val="right"/>
        <w:rPr>
          <w:rFonts w:ascii="宋体" w:hAnsi="宋体" w:cs="宋体"/>
          <w:color w:val="auto"/>
          <w:szCs w:val="21"/>
          <w:highlight w:val="none"/>
        </w:rPr>
      </w:pPr>
      <w:r>
        <w:rPr>
          <w:rFonts w:hint="eastAsia" w:ascii="宋体" w:hAnsi="宋体" w:cs="宋体"/>
          <w:color w:val="auto"/>
          <w:szCs w:val="21"/>
          <w:highlight w:val="none"/>
        </w:rPr>
        <w:t>2023年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27</w:t>
      </w:r>
      <w:r>
        <w:rPr>
          <w:rFonts w:hint="eastAsia" w:ascii="宋体" w:hAnsi="宋体" w:cs="宋体"/>
          <w:color w:val="auto"/>
          <w:szCs w:val="21"/>
          <w:highlight w:val="none"/>
        </w:rPr>
        <w:t>日</w:t>
      </w:r>
    </w:p>
    <w:p>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2" w:name="_Toc20564"/>
      <w:r>
        <w:rPr>
          <w:rFonts w:hint="eastAsia"/>
          <w:color w:val="auto"/>
          <w:sz w:val="28"/>
          <w:szCs w:val="28"/>
          <w:highlight w:val="none"/>
        </w:rPr>
        <w:t>第二部分相关资料表格</w:t>
      </w:r>
      <w:bookmarkEnd w:id="2"/>
    </w:p>
    <w:p>
      <w:pPr>
        <w:pStyle w:val="5"/>
        <w:spacing w:before="0" w:after="0" w:line="240" w:lineRule="auto"/>
        <w:jc w:val="center"/>
        <w:rPr>
          <w:rFonts w:ascii="宋体" w:hAnsi="宋体" w:cs="宋体"/>
          <w:color w:val="auto"/>
          <w:sz w:val="24"/>
          <w:szCs w:val="24"/>
          <w:highlight w:val="none"/>
        </w:rPr>
      </w:pPr>
      <w:bookmarkStart w:id="3" w:name="_Toc14333"/>
      <w:r>
        <w:rPr>
          <w:rFonts w:hint="eastAsia" w:ascii="宋体" w:hAnsi="宋体" w:cs="宋体"/>
          <w:color w:val="auto"/>
          <w:sz w:val="24"/>
          <w:szCs w:val="24"/>
          <w:highlight w:val="none"/>
        </w:rPr>
        <w:t>附表一：投标资料表</w:t>
      </w:r>
      <w:bookmarkEnd w:id="3"/>
    </w:p>
    <w:tbl>
      <w:tblPr>
        <w:tblStyle w:val="32"/>
        <w:tblW w:w="8410" w:type="dxa"/>
        <w:tblInd w:w="-2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1861"/>
        <w:gridCol w:w="567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2"/>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最高限价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详见需求清单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发包方式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autoSpaceDE w:val="0"/>
              <w:autoSpaceDN w:val="0"/>
              <w:rPr>
                <w:rFonts w:ascii="宋体" w:hAnsi="宋体" w:cs="宋体"/>
                <w:color w:val="auto"/>
                <w:szCs w:val="21"/>
                <w:highlight w:val="none"/>
              </w:rPr>
            </w:pPr>
            <w:r>
              <w:rPr>
                <w:rFonts w:hint="eastAsia" w:ascii="宋体" w:hAnsi="宋体" w:cs="宋体"/>
                <w:color w:val="auto"/>
                <w:szCs w:val="21"/>
                <w:highlight w:val="none"/>
              </w:rPr>
              <w:t>□固定总价包干</w:t>
            </w:r>
          </w:p>
          <w:p>
            <w:pPr>
              <w:autoSpaceDE w:val="0"/>
              <w:autoSpaceDN w:val="0"/>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固定单价暂定总价包干</w:t>
            </w:r>
          </w:p>
          <w:p>
            <w:pPr>
              <w:rPr>
                <w:rFonts w:ascii="宋体" w:hAnsi="宋体"/>
                <w:b/>
                <w:bCs/>
                <w:color w:val="auto"/>
                <w:szCs w:val="21"/>
                <w:highlight w:val="none"/>
              </w:rPr>
            </w:pPr>
            <w:r>
              <w:rPr>
                <w:rFonts w:hint="eastAsia" w:ascii="宋体" w:hAnsi="宋体" w:cs="宋体"/>
                <w:color w:val="auto"/>
                <w:szCs w:val="21"/>
                <w:highlight w:val="none"/>
              </w:rPr>
              <w:t>■固定单价</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投标人如无法响应采购人车辆清单中的全部车型，可对能</w:t>
            </w:r>
            <w:r>
              <w:rPr>
                <w:rFonts w:hint="eastAsia" w:ascii="宋体" w:hAnsi="宋体" w:cs="宋体"/>
                <w:color w:val="auto"/>
                <w:szCs w:val="21"/>
                <w:highlight w:val="none"/>
                <w:u w:val="single"/>
                <w:lang w:eastAsia="zh-CN"/>
              </w:rPr>
              <w:t>响应</w:t>
            </w:r>
            <w:r>
              <w:rPr>
                <w:rFonts w:hint="eastAsia" w:ascii="宋体" w:hAnsi="宋体" w:cs="宋体"/>
                <w:color w:val="auto"/>
                <w:szCs w:val="21"/>
                <w:highlight w:val="none"/>
                <w:u w:val="single"/>
                <w:lang w:val="en-US" w:eastAsia="zh-CN"/>
              </w:rPr>
              <w:t>的部分进行报价</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是否接受联合体投标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pStyle w:val="43"/>
              <w:ind w:firstLine="0" w:firstLineChars="0"/>
              <w:rPr>
                <w:rFonts w:ascii="宋体" w:hAnsi="宋体" w:cs="宋体"/>
                <w:color w:val="auto"/>
                <w:szCs w:val="21"/>
                <w:highlight w:val="none"/>
              </w:rPr>
            </w:pPr>
            <w:r>
              <w:rPr>
                <w:rFonts w:hint="eastAsia" w:ascii="宋体" w:hAnsi="宋体" w:cs="宋体"/>
                <w:color w:val="auto"/>
                <w:szCs w:val="21"/>
                <w:highlight w:val="none"/>
              </w:rPr>
              <w:t>□是，</w:t>
            </w:r>
            <w:r>
              <w:rPr>
                <w:rFonts w:hint="eastAsia" w:ascii="宋体" w:hAnsi="宋体"/>
                <w:color w:val="auto"/>
                <w:szCs w:val="21"/>
                <w:highlight w:val="none"/>
              </w:rPr>
              <w:t>联合体投标的，应满足下列要求：</w:t>
            </w:r>
            <w:r>
              <w:rPr>
                <w:rFonts w:ascii="宋体" w:hAnsi="宋体"/>
                <w:color w:val="auto"/>
                <w:szCs w:val="21"/>
                <w:highlight w:val="none"/>
                <w:u w:val="single"/>
              </w:rPr>
              <w:t xml:space="preserve"> </w:t>
            </w:r>
            <w:r>
              <w:rPr>
                <w:rFonts w:hint="eastAsia" w:ascii="宋体" w:hAnsi="宋体"/>
                <w:color w:val="auto"/>
                <w:szCs w:val="21"/>
                <w:highlight w:val="none"/>
                <w:u w:val="single"/>
              </w:rPr>
              <w:t>/</w:t>
            </w:r>
            <w:r>
              <w:rPr>
                <w:rFonts w:ascii="宋体" w:hAnsi="宋体"/>
                <w:color w:val="auto"/>
                <w:szCs w:val="21"/>
                <w:highlight w:val="none"/>
                <w:u w:val="single"/>
              </w:rPr>
              <w:t xml:space="preserve"> </w:t>
            </w:r>
            <w:r>
              <w:rPr>
                <w:rFonts w:hint="eastAsia" w:ascii="宋体" w:hAnsi="宋体" w:cs="宋体"/>
                <w:color w:val="auto"/>
                <w:szCs w:val="21"/>
                <w:highlight w:val="none"/>
              </w:rPr>
              <w:t>；</w:t>
            </w:r>
          </w:p>
          <w:p>
            <w:pPr>
              <w:rPr>
                <w:rFonts w:ascii="宋体" w:hAnsi="宋体"/>
                <w:b/>
                <w:bCs/>
                <w:color w:val="auto"/>
                <w:szCs w:val="21"/>
                <w:highlight w:val="none"/>
              </w:rPr>
            </w:pPr>
            <w:r>
              <w:rPr>
                <w:rFonts w:hint="eastAsia" w:ascii="宋体" w:hAnsi="宋体" w:cs="宋体"/>
                <w:color w:val="auto"/>
                <w:szCs w:val="21"/>
                <w:highlight w:val="none"/>
              </w:rPr>
              <w:t>■否；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资金来源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color w:val="auto"/>
                <w:szCs w:val="21"/>
                <w:highlight w:val="none"/>
                <w:u w:val="single"/>
              </w:rPr>
              <w:t>企业自筹资金。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Cs/>
                <w:color w:val="auto"/>
                <w:szCs w:val="21"/>
                <w:highlight w:val="none"/>
              </w:rPr>
            </w:pPr>
            <w:r>
              <w:rPr>
                <w:rFonts w:hint="eastAsia" w:ascii="宋体" w:hAnsi="宋体" w:cs="宋体"/>
                <w:color w:val="auto"/>
                <w:szCs w:val="21"/>
                <w:highlight w:val="none"/>
              </w:rPr>
              <w:t>■</w:t>
            </w:r>
            <w:r>
              <w:rPr>
                <w:rFonts w:hint="eastAsia" w:ascii="宋体" w:hAnsi="宋体"/>
                <w:bCs/>
                <w:color w:val="auto"/>
                <w:szCs w:val="21"/>
                <w:highlight w:val="none"/>
              </w:rPr>
              <w:t>不组织 。</w:t>
            </w:r>
          </w:p>
          <w:p>
            <w:pPr>
              <w:rPr>
                <w:rFonts w:ascii="宋体" w:hAnsi="宋体"/>
                <w:bCs/>
                <w:color w:val="auto"/>
                <w:szCs w:val="21"/>
                <w:highlight w:val="none"/>
              </w:rPr>
            </w:pP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 </w:t>
            </w:r>
            <w:r>
              <w:rPr>
                <w:rFonts w:hint="eastAsia" w:ascii="宋体" w:hAnsi="宋体"/>
                <w:bCs/>
                <w:color w:val="auto"/>
                <w:szCs w:val="21"/>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详见投标人须知。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2"/>
            <w:tcBorders>
              <w:tl2br w:val="nil"/>
              <w:tr2bl w:val="nil"/>
            </w:tcBorders>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注：本次重新采购须重新汇入投标保证金</w:t>
            </w:r>
            <w:r>
              <w:rPr>
                <w:rFonts w:hint="eastAsia" w:ascii="宋体" w:hAnsi="宋体"/>
                <w:b/>
                <w:color w:val="auto"/>
                <w:szCs w:val="21"/>
                <w:highlight w:val="non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（1）A包（城服公司工程车辆设备租赁）：投标保证金金额：人民币</w:t>
            </w:r>
            <w:r>
              <w:rPr>
                <w:rFonts w:hint="eastAsia" w:ascii="宋体" w:hAnsi="宋体"/>
                <w:b/>
                <w:bCs/>
                <w:color w:val="auto"/>
                <w:szCs w:val="21"/>
                <w:highlight w:val="none"/>
              </w:rPr>
              <w:t>贰万</w:t>
            </w:r>
            <w:r>
              <w:rPr>
                <w:rFonts w:hint="eastAsia" w:ascii="宋体" w:hAnsi="宋体"/>
                <w:color w:val="auto"/>
                <w:szCs w:val="21"/>
                <w:highlight w:val="none"/>
              </w:rPr>
              <w:t>元整（¥20,000.00）。</w:t>
            </w:r>
          </w:p>
          <w:p>
            <w:pPr>
              <w:ind w:firstLine="420" w:firstLineChars="200"/>
              <w:jc w:val="both"/>
              <w:rPr>
                <w:rFonts w:ascii="宋体" w:hAnsi="宋体"/>
                <w:color w:val="auto"/>
                <w:szCs w:val="21"/>
                <w:highlight w:val="none"/>
              </w:rPr>
            </w:pPr>
            <w:r>
              <w:rPr>
                <w:rFonts w:hint="eastAsia" w:ascii="宋体" w:hAnsi="宋体"/>
                <w:color w:val="auto"/>
                <w:szCs w:val="21"/>
                <w:highlight w:val="none"/>
              </w:rPr>
              <w:t>B包（城服公司环卫保洁车辆设备租赁）：投标保证金金额：人民币</w:t>
            </w:r>
            <w:r>
              <w:rPr>
                <w:rFonts w:hint="eastAsia" w:ascii="宋体" w:hAnsi="宋体"/>
                <w:b/>
                <w:bCs/>
                <w:color w:val="auto"/>
                <w:szCs w:val="21"/>
                <w:highlight w:val="none"/>
              </w:rPr>
              <w:t>壹拾万</w:t>
            </w:r>
            <w:r>
              <w:rPr>
                <w:rFonts w:hint="eastAsia" w:ascii="宋体" w:hAnsi="宋体"/>
                <w:color w:val="auto"/>
                <w:szCs w:val="21"/>
                <w:highlight w:val="none"/>
              </w:rPr>
              <w:t>元整（¥100,000.00）。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273"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tabs>
                <w:tab w:val="left" w:pos="567"/>
              </w:tabs>
              <w:jc w:val="both"/>
              <w:rPr>
                <w:rFonts w:hAnsi="宋体"/>
                <w:color w:val="auto"/>
                <w:kern w:val="2"/>
                <w:szCs w:val="21"/>
                <w:highlight w:val="none"/>
                <w:lang w:val="zh-CN"/>
              </w:rPr>
            </w:pPr>
            <w:r>
              <w:rPr>
                <w:rFonts w:hint="eastAsia" w:ascii="宋体" w:hAnsi="宋体"/>
                <w:color w:val="auto"/>
                <w:szCs w:val="21"/>
                <w:highlight w:val="none"/>
              </w:rPr>
              <w:t>（2）</w:t>
            </w:r>
            <w:r>
              <w:rPr>
                <w:rFonts w:hint="eastAsia" w:hAnsi="宋体"/>
                <w:color w:val="auto"/>
                <w:kern w:val="2"/>
                <w:szCs w:val="21"/>
                <w:highlight w:val="none"/>
                <w:lang w:val="zh-CN"/>
              </w:rPr>
              <w:t>投标保证金采用转</w:t>
            </w:r>
            <w:r>
              <w:rPr>
                <w:rFonts w:hint="eastAsia" w:hAnsi="宋体"/>
                <w:color w:val="auto"/>
                <w:kern w:val="2"/>
                <w:szCs w:val="21"/>
                <w:highlight w:val="none"/>
              </w:rPr>
              <w:t>账</w:t>
            </w:r>
            <w:r>
              <w:rPr>
                <w:rFonts w:hint="eastAsia" w:hAnsi="宋体"/>
                <w:color w:val="auto"/>
                <w:kern w:val="2"/>
                <w:szCs w:val="21"/>
                <w:highlight w:val="none"/>
                <w:lang w:val="zh-CN"/>
              </w:rPr>
              <w:t>、电汇方式（不接受第三方机构出具的担保函形式）提交，应符合以下要求：采用银行转账、电汇方式提交的，保证金汇入以下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pPr>
              <w:tabs>
                <w:tab w:val="left" w:pos="567"/>
              </w:tabs>
              <w:ind w:left="567" w:hanging="567"/>
              <w:jc w:val="both"/>
              <w:rPr>
                <w:rFonts w:hAnsi="宋体"/>
                <w:color w:val="auto"/>
                <w:kern w:val="2"/>
                <w:szCs w:val="21"/>
                <w:highlight w:val="none"/>
                <w:lang w:val="zh-CN"/>
              </w:rPr>
            </w:pPr>
            <w:r>
              <w:rPr>
                <w:rFonts w:hint="eastAsia" w:hAnsi="宋体"/>
                <w:color w:val="auto"/>
                <w:kern w:val="2"/>
                <w:szCs w:val="21"/>
                <w:highlight w:val="none"/>
                <w:lang w:val="zh-CN"/>
              </w:rPr>
              <w:t>投标保证金专用账户如下：</w:t>
            </w:r>
          </w:p>
          <w:p>
            <w:pPr>
              <w:tabs>
                <w:tab w:val="left" w:pos="567"/>
              </w:tabs>
              <w:ind w:firstLine="422" w:firstLineChars="200"/>
              <w:jc w:val="both"/>
              <w:rPr>
                <w:rFonts w:ascii="宋体" w:hAnsi="宋体" w:cs="宋体"/>
                <w:b/>
                <w:color w:val="auto"/>
                <w:szCs w:val="21"/>
                <w:highlight w:val="none"/>
                <w:u w:val="single"/>
              </w:rPr>
            </w:pPr>
            <w:r>
              <w:rPr>
                <w:rFonts w:hint="eastAsia" w:ascii="宋体" w:hAnsi="宋体" w:cs="宋体"/>
                <w:b/>
                <w:color w:val="auto"/>
                <w:szCs w:val="21"/>
                <w:highlight w:val="none"/>
                <w:u w:val="single"/>
              </w:rPr>
              <w:t>账户名称：广东东实环境股份有限公司</w:t>
            </w:r>
          </w:p>
          <w:p>
            <w:pPr>
              <w:tabs>
                <w:tab w:val="left" w:pos="567"/>
              </w:tabs>
              <w:ind w:firstLine="422" w:firstLineChars="200"/>
              <w:jc w:val="both"/>
              <w:rPr>
                <w:rFonts w:ascii="宋体" w:hAnsi="宋体" w:cs="宋体"/>
                <w:b/>
                <w:color w:val="auto"/>
                <w:szCs w:val="21"/>
                <w:highlight w:val="none"/>
                <w:u w:val="single"/>
              </w:rPr>
            </w:pPr>
            <w:r>
              <w:rPr>
                <w:rFonts w:hint="eastAsia" w:ascii="宋体" w:hAnsi="宋体" w:cs="宋体"/>
                <w:b/>
                <w:color w:val="auto"/>
                <w:szCs w:val="21"/>
                <w:highlight w:val="none"/>
                <w:u w:val="single"/>
              </w:rPr>
              <w:t>开户银行：东莞农村商业银行中心支行</w:t>
            </w:r>
          </w:p>
          <w:p>
            <w:pPr>
              <w:tabs>
                <w:tab w:val="left" w:pos="567"/>
              </w:tabs>
              <w:ind w:firstLine="422" w:firstLineChars="200"/>
              <w:jc w:val="both"/>
              <w:rPr>
                <w:rFonts w:ascii="宋体" w:hAnsi="宋体" w:cs="宋体"/>
                <w:b/>
                <w:color w:val="auto"/>
                <w:szCs w:val="21"/>
                <w:highlight w:val="none"/>
                <w:u w:val="single"/>
              </w:rPr>
            </w:pPr>
            <w:r>
              <w:rPr>
                <w:rFonts w:hint="eastAsia" w:ascii="宋体" w:hAnsi="宋体" w:cs="宋体"/>
                <w:b/>
                <w:color w:val="auto"/>
                <w:szCs w:val="21"/>
                <w:highlight w:val="none"/>
                <w:u w:val="single"/>
              </w:rPr>
              <w:t>银行账号：380010190010009298</w:t>
            </w:r>
          </w:p>
          <w:p>
            <w:pPr>
              <w:tabs>
                <w:tab w:val="left" w:pos="567"/>
              </w:tabs>
              <w:ind w:firstLine="422" w:firstLineChars="200"/>
              <w:jc w:val="both"/>
              <w:rPr>
                <w:rFonts w:ascii="宋体" w:hAnsi="宋体"/>
                <w:b/>
                <w:color w:val="auto"/>
                <w:szCs w:val="21"/>
                <w:highlight w:val="none"/>
              </w:rPr>
            </w:pPr>
            <w:r>
              <w:rPr>
                <w:rFonts w:hint="eastAsia" w:hAnsi="宋体" w:cs="宋体"/>
                <w:b/>
                <w:color w:val="auto"/>
                <w:szCs w:val="21"/>
                <w:highlight w:val="none"/>
              </w:rPr>
              <w:t>（注：各投标人在转</w:t>
            </w:r>
            <w:r>
              <w:rPr>
                <w:rFonts w:hint="eastAsia" w:ascii="宋体" w:hAnsi="宋体" w:cs="宋体"/>
                <w:b/>
                <w:color w:val="auto"/>
                <w:szCs w:val="21"/>
                <w:highlight w:val="none"/>
                <w:u w:val="single"/>
              </w:rPr>
              <w:t>账</w:t>
            </w:r>
            <w:r>
              <w:rPr>
                <w:rFonts w:hint="eastAsia" w:hAnsi="宋体" w:cs="宋体"/>
                <w:b/>
                <w:color w:val="auto"/>
                <w:szCs w:val="21"/>
                <w:highlight w:val="none"/>
              </w:rPr>
              <w:t>或电汇时须在用途栏上备注项目编号，及项目名称，如有字数限制项目名称可简写。）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2"/>
            <w:tcBorders>
              <w:tl2br w:val="nil"/>
              <w:tr2bl w:val="nil"/>
            </w:tcBorders>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）未中标的投标人的保证金应当在中标通知书发出后退还，中标</w:t>
            </w:r>
            <w:r>
              <w:rPr>
                <w:rFonts w:hint="eastAsia" w:ascii="宋体" w:hAnsi="宋体"/>
                <w:color w:val="auto"/>
                <w:szCs w:val="21"/>
                <w:highlight w:val="none"/>
              </w:rPr>
              <w:t>的</w:t>
            </w:r>
            <w:r>
              <w:rPr>
                <w:rFonts w:hint="eastAsia" w:ascii="宋体" w:hAnsi="宋体"/>
                <w:color w:val="auto"/>
                <w:szCs w:val="21"/>
                <w:highlight w:val="none"/>
                <w:lang w:val="zh-CN"/>
              </w:rPr>
              <w:t>投标人的保证金应当在采购合同签订</w:t>
            </w:r>
            <w:r>
              <w:rPr>
                <w:rFonts w:hint="eastAsia" w:ascii="宋体" w:hAnsi="宋体"/>
                <w:color w:val="auto"/>
                <w:szCs w:val="21"/>
                <w:highlight w:val="none"/>
              </w:rPr>
              <w:t>并提交履约担保</w:t>
            </w:r>
            <w:r>
              <w:rPr>
                <w:rFonts w:hint="eastAsia" w:ascii="宋体" w:hAnsi="宋体"/>
                <w:color w:val="auto"/>
                <w:szCs w:val="21"/>
                <w:highlight w:val="none"/>
                <w:lang w:val="zh-CN"/>
              </w:rPr>
              <w:t>后退还。</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）为方便退还未中标的投标人的保证金，投标人应制作《投标保证金汇入情况说明》随唱标信封一并递交。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投标人应提交以下投标文件（投标文件由价格文件、商务文件、技术文件三部分组成；价格文件、商务文件、技术文件分别单独装订成册；具体编制和封装要求详见第四部分投标人须知）（注：投标人同时对A、B两个包号进行投标的，投标文件须分开单独编制、装订和封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186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567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186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唱标信封</w:t>
            </w:r>
          </w:p>
        </w:tc>
        <w:tc>
          <w:tcPr>
            <w:tcW w:w="567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186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567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7"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186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5671" w:type="dxa"/>
            <w:tcBorders>
              <w:tl2br w:val="nil"/>
              <w:tr2bl w:val="nil"/>
            </w:tcBorders>
            <w:vAlign w:val="center"/>
          </w:tcPr>
          <w:p>
            <w:pPr>
              <w:jc w:val="center"/>
              <w:rPr>
                <w:rFonts w:ascii="宋体" w:hAnsi="宋体"/>
                <w:b/>
                <w:color w:val="auto"/>
                <w:szCs w:val="21"/>
                <w:highlight w:val="none"/>
              </w:rPr>
            </w:pPr>
            <w:r>
              <w:rPr>
                <w:rFonts w:hint="eastAsia" w:ascii="宋体" w:hAnsi="宋体" w:cs="宋体"/>
                <w:b/>
                <w:bCs/>
                <w:color w:val="auto"/>
                <w:szCs w:val="21"/>
                <w:highlight w:val="none"/>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1861" w:type="dxa"/>
            <w:vMerge w:val="restart"/>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567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1861" w:type="dxa"/>
            <w:vMerge w:val="continue"/>
            <w:tcBorders>
              <w:tl2br w:val="nil"/>
              <w:tr2bl w:val="nil"/>
            </w:tcBorders>
            <w:vAlign w:val="center"/>
          </w:tcPr>
          <w:p>
            <w:pPr>
              <w:jc w:val="center"/>
              <w:rPr>
                <w:rFonts w:ascii="宋体" w:hAnsi="宋体"/>
                <w:b/>
                <w:color w:val="auto"/>
                <w:szCs w:val="21"/>
                <w:highlight w:val="none"/>
              </w:rPr>
            </w:pPr>
          </w:p>
        </w:tc>
        <w:tc>
          <w:tcPr>
            <w:tcW w:w="5671" w:type="dxa"/>
            <w:tcBorders>
              <w:tl2br w:val="nil"/>
              <w:tr2bl w:val="nil"/>
            </w:tcBorders>
            <w:vAlign w:val="center"/>
          </w:tcPr>
          <w:p>
            <w:pPr>
              <w:jc w:val="center"/>
              <w:rPr>
                <w:rFonts w:ascii="宋体" w:hAnsi="宋体"/>
                <w:b/>
                <w:color w:val="auto"/>
                <w:szCs w:val="21"/>
                <w:highlight w:val="none"/>
              </w:rPr>
            </w:pPr>
            <w:r>
              <w:rPr>
                <w:rFonts w:hint="eastAsia" w:ascii="宋体" w:hAnsi="宋体" w:cs="Times New Roman"/>
                <w:b/>
                <w:color w:val="auto"/>
                <w:szCs w:val="21"/>
                <w:highlight w:val="none"/>
              </w:rPr>
              <w:t>U盘，须含盖章版PDF投标文件和WORD版投标文件各一版，文字采用WORD文档，计算表格采用 EXCEL文档。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详见附表二。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b/>
                <w:color w:val="auto"/>
                <w:szCs w:val="21"/>
                <w:highlight w:val="none"/>
              </w:rPr>
              <w:t>评标委员会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评标委员会成员共</w:t>
            </w:r>
            <w:r>
              <w:rPr>
                <w:rFonts w:hint="eastAsia" w:ascii="宋体" w:hAnsi="宋体"/>
                <w:color w:val="auto"/>
                <w:szCs w:val="21"/>
                <w:highlight w:val="none"/>
                <w:u w:val="single"/>
              </w:rPr>
              <w:t>5</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评标委员会由采购人代表和评审专家组成，其中评审专家不得少于成员总数的三分之二。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748" w:hRule="atLeast"/>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2"/>
            <w:tcBorders>
              <w:tl2br w:val="nil"/>
              <w:tr2bl w:val="nil"/>
            </w:tcBorders>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履约担保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continue"/>
            <w:tcBorders>
              <w:tl2br w:val="nil"/>
              <w:tr2bl w:val="nil"/>
            </w:tcBorders>
            <w:vAlign w:val="center"/>
          </w:tcPr>
          <w:p>
            <w:pPr>
              <w:jc w:val="center"/>
              <w:rPr>
                <w:rFonts w:hint="eastAsia" w:ascii="宋体" w:hAnsi="宋体"/>
                <w:color w:val="auto"/>
                <w:szCs w:val="21"/>
                <w:highlight w:val="none"/>
              </w:rPr>
            </w:pPr>
          </w:p>
        </w:tc>
        <w:tc>
          <w:tcPr>
            <w:tcW w:w="7532" w:type="dxa"/>
            <w:gridSpan w:val="2"/>
            <w:tcBorders>
              <w:tl2br w:val="nil"/>
              <w:tr2bl w:val="nil"/>
            </w:tcBorders>
            <w:shd w:val="clear" w:color="auto" w:fill="auto"/>
            <w:vAlign w:val="center"/>
          </w:tcPr>
          <w:p>
            <w:pPr>
              <w:jc w:val="both"/>
              <w:rPr>
                <w:rFonts w:hint="default" w:ascii="宋体" w:hAnsi="宋体" w:eastAsia="宋体"/>
                <w:b/>
                <w:color w:val="auto"/>
                <w:szCs w:val="21"/>
                <w:highlight w:val="none"/>
                <w:lang w:val="en-US" w:eastAsia="zh-CN"/>
              </w:rPr>
            </w:pPr>
            <w:r>
              <w:rPr>
                <w:rFonts w:hint="eastAsia" w:ascii="宋体" w:hAnsi="宋体"/>
                <w:b/>
                <w:color w:val="auto"/>
                <w:szCs w:val="21"/>
                <w:highlight w:val="none"/>
                <w:lang w:val="en-US" w:eastAsia="zh-CN"/>
              </w:rPr>
              <w:t>A包</w:t>
            </w:r>
            <w:r>
              <w:rPr>
                <w:rFonts w:hint="eastAsia" w:ascii="宋体" w:hAnsi="宋体"/>
                <w:color w:val="auto"/>
                <w:szCs w:val="21"/>
                <w:highlight w:val="none"/>
              </w:rPr>
              <w:t>（城服公司工程车辆设备租赁）：履约担保金额为：人民币</w:t>
            </w:r>
            <w:r>
              <w:rPr>
                <w:rFonts w:hint="eastAsia" w:ascii="宋体" w:hAnsi="宋体"/>
                <w:b/>
                <w:bCs/>
                <w:color w:val="auto"/>
                <w:szCs w:val="21"/>
                <w:highlight w:val="none"/>
                <w:lang w:val="en-US" w:eastAsia="zh-CN"/>
              </w:rPr>
              <w:t>伍仟元整</w:t>
            </w:r>
            <w:r>
              <w:rPr>
                <w:rFonts w:hint="eastAsia" w:ascii="宋体" w:hAnsi="宋体"/>
                <w:color w:val="auto"/>
                <w:szCs w:val="21"/>
                <w:highlight w:val="none"/>
              </w:rPr>
              <w:t>（¥5,000.00）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continue"/>
            <w:tcBorders>
              <w:tl2br w:val="nil"/>
              <w:tr2bl w:val="nil"/>
            </w:tcBorders>
            <w:vAlign w:val="center"/>
          </w:tcPr>
          <w:p>
            <w:pPr>
              <w:jc w:val="center"/>
              <w:rPr>
                <w:rFonts w:hint="eastAsia" w:ascii="宋体" w:hAnsi="宋体"/>
                <w:color w:val="auto"/>
                <w:szCs w:val="21"/>
                <w:highlight w:val="none"/>
              </w:rPr>
            </w:pPr>
          </w:p>
        </w:tc>
        <w:tc>
          <w:tcPr>
            <w:tcW w:w="7532" w:type="dxa"/>
            <w:gridSpan w:val="2"/>
            <w:tcBorders>
              <w:tl2br w:val="nil"/>
              <w:tr2bl w:val="nil"/>
            </w:tcBorders>
            <w:shd w:val="clear" w:color="auto" w:fill="auto"/>
            <w:vAlign w:val="center"/>
          </w:tcPr>
          <w:p>
            <w:pPr>
              <w:jc w:val="both"/>
              <w:rPr>
                <w:rFonts w:hint="eastAsia" w:ascii="宋体" w:hAnsi="宋体"/>
                <w:b/>
                <w:color w:val="auto"/>
                <w:szCs w:val="21"/>
                <w:highlight w:val="none"/>
                <w:lang w:val="en-US" w:eastAsia="zh-CN"/>
              </w:rPr>
            </w:pPr>
            <w:r>
              <w:rPr>
                <w:rFonts w:hint="eastAsia" w:ascii="宋体" w:hAnsi="宋体"/>
                <w:b/>
                <w:bCs/>
                <w:color w:val="auto"/>
                <w:szCs w:val="21"/>
                <w:highlight w:val="none"/>
              </w:rPr>
              <w:t>B包</w:t>
            </w:r>
            <w:r>
              <w:rPr>
                <w:rFonts w:hint="eastAsia" w:ascii="宋体" w:hAnsi="宋体"/>
                <w:color w:val="auto"/>
                <w:szCs w:val="21"/>
                <w:highlight w:val="none"/>
              </w:rPr>
              <w:t>（城服公司环卫保洁车辆设备租赁）：履约担保金额为：人民币</w:t>
            </w:r>
            <w:r>
              <w:rPr>
                <w:rFonts w:hint="eastAsia" w:ascii="宋体" w:hAnsi="宋体"/>
                <w:b/>
                <w:bCs/>
                <w:color w:val="auto"/>
                <w:szCs w:val="21"/>
                <w:highlight w:val="none"/>
                <w:lang w:val="en-US" w:eastAsia="zh-CN"/>
              </w:rPr>
              <w:t>壹</w:t>
            </w:r>
            <w:r>
              <w:rPr>
                <w:rFonts w:hint="eastAsia" w:ascii="宋体" w:hAnsi="宋体"/>
                <w:b/>
                <w:bCs/>
                <w:color w:val="auto"/>
                <w:szCs w:val="21"/>
                <w:highlight w:val="none"/>
              </w:rPr>
              <w:t>万</w:t>
            </w:r>
            <w:r>
              <w:rPr>
                <w:rFonts w:hint="eastAsia" w:ascii="宋体" w:hAnsi="宋体"/>
                <w:color w:val="auto"/>
                <w:szCs w:val="21"/>
                <w:highlight w:val="none"/>
              </w:rPr>
              <w:t>元整（¥</w:t>
            </w:r>
            <w:r>
              <w:rPr>
                <w:rFonts w:hint="eastAsia" w:ascii="宋体" w:hAnsi="宋体"/>
                <w:color w:val="auto"/>
                <w:szCs w:val="21"/>
                <w:highlight w:val="none"/>
                <w:lang w:val="en-US" w:eastAsia="zh-CN"/>
              </w:rPr>
              <w:t>1</w:t>
            </w:r>
            <w:r>
              <w:rPr>
                <w:rFonts w:hint="eastAsia" w:ascii="宋体" w:hAnsi="宋体"/>
                <w:color w:val="auto"/>
                <w:szCs w:val="21"/>
                <w:highlight w:val="none"/>
              </w:rPr>
              <w:t>0,000.00）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shd w:val="clear" w:color="auto" w:fill="auto"/>
            <w:vAlign w:val="center"/>
          </w:tcPr>
          <w:p>
            <w:pPr>
              <w:jc w:val="both"/>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履约担保方式：履约保证金转账或银行保函。</w:t>
            </w:r>
          </w:p>
          <w:p>
            <w:pPr>
              <w:jc w:val="both"/>
              <w:rPr>
                <w:rFonts w:ascii="宋体" w:hAnsi="宋体"/>
                <w:color w:val="auto"/>
                <w:szCs w:val="21"/>
                <w:highlight w:val="none"/>
              </w:rPr>
            </w:pPr>
            <w:r>
              <w:rPr>
                <w:rFonts w:hint="eastAsia" w:ascii="宋体" w:hAnsi="宋体"/>
                <w:color w:val="auto"/>
                <w:szCs w:val="21"/>
                <w:highlight w:val="none"/>
              </w:rPr>
              <w:t>3.中标人在采购（合同签署）之日起七个作日内提交履约担保，如果中标人提交的履约保函的有效期先于合同要求的履约保函有效期到达，中标人应在原提交的履约保函有效期满前15天，无条件办理保函延期手续。否则，视为中标人违约，采购人有权没收履约担保。</w:t>
            </w:r>
          </w:p>
          <w:p>
            <w:pPr>
              <w:jc w:val="both"/>
              <w:rPr>
                <w:rFonts w:ascii="宋体" w:hAnsi="宋体"/>
                <w:color w:val="auto"/>
                <w:szCs w:val="21"/>
                <w:highlight w:val="none"/>
              </w:rPr>
            </w:pPr>
            <w:r>
              <w:rPr>
                <w:rFonts w:hint="eastAsia" w:ascii="宋体" w:hAnsi="宋体"/>
                <w:color w:val="auto"/>
                <w:szCs w:val="21"/>
                <w:highlight w:val="none"/>
              </w:rPr>
              <w:t>4.履约担保期限从合同签订之日起至项目完成并双方结算完毕后，经双方签字</w:t>
            </w:r>
            <w:r>
              <w:rPr>
                <w:rFonts w:hint="eastAsia" w:ascii="宋体" w:hAnsi="宋体"/>
                <w:color w:val="auto"/>
                <w:szCs w:val="21"/>
                <w:highlight w:val="none"/>
                <w:u w:val="single"/>
              </w:rPr>
              <w:t xml:space="preserve"> 7</w:t>
            </w:r>
            <w:r>
              <w:rPr>
                <w:rFonts w:hint="eastAsia" w:ascii="宋体" w:hAnsi="宋体"/>
                <w:color w:val="auto"/>
                <w:szCs w:val="21"/>
                <w:highlight w:val="none"/>
              </w:rPr>
              <w:t>天内保持有效。</w:t>
            </w:r>
          </w:p>
          <w:p>
            <w:pPr>
              <w:jc w:val="both"/>
              <w:rPr>
                <w:rFonts w:ascii="宋体" w:hAnsi="宋体"/>
                <w:color w:val="auto"/>
                <w:szCs w:val="21"/>
                <w:highlight w:val="none"/>
              </w:rPr>
            </w:pPr>
            <w:r>
              <w:rPr>
                <w:rFonts w:hint="eastAsia" w:ascii="宋体" w:hAnsi="宋体"/>
                <w:color w:val="auto"/>
                <w:szCs w:val="21"/>
                <w:highlight w:val="none"/>
              </w:rPr>
              <w:t>5、履约担保要求：</w:t>
            </w:r>
          </w:p>
          <w:p>
            <w:pPr>
              <w:jc w:val="both"/>
              <w:rPr>
                <w:rFonts w:ascii="宋体" w:hAnsi="宋体"/>
                <w:color w:val="auto"/>
                <w:szCs w:val="21"/>
                <w:highlight w:val="none"/>
              </w:rPr>
            </w:pPr>
            <w:r>
              <w:rPr>
                <w:rFonts w:hint="eastAsia" w:ascii="宋体" w:hAnsi="宋体"/>
                <w:color w:val="auto"/>
                <w:szCs w:val="21"/>
                <w:highlight w:val="none"/>
              </w:rPr>
              <w:t>（1）履约保函。如果中标人的履约担保是以银行保函形式提供的，则该银行保函应：</w:t>
            </w:r>
          </w:p>
          <w:p>
            <w:pPr>
              <w:jc w:val="both"/>
              <w:rPr>
                <w:rFonts w:ascii="宋体" w:hAnsi="宋体"/>
                <w:color w:val="auto"/>
                <w:szCs w:val="21"/>
                <w:highlight w:val="none"/>
              </w:rPr>
            </w:pPr>
            <w:r>
              <w:rPr>
                <w:rFonts w:hint="eastAsia" w:ascii="宋体" w:hAnsi="宋体"/>
                <w:color w:val="auto"/>
                <w:szCs w:val="21"/>
                <w:highlight w:val="none"/>
              </w:rPr>
              <w:t>①保函应由银行支行或以上银行机构开具，非东莞市行政区内的银行开具的保函要由银行所在地公证部门出具的公证书。</w:t>
            </w:r>
          </w:p>
          <w:p>
            <w:pPr>
              <w:jc w:val="both"/>
              <w:rPr>
                <w:rFonts w:ascii="宋体" w:hAnsi="宋体"/>
                <w:color w:val="auto"/>
                <w:szCs w:val="21"/>
                <w:highlight w:val="none"/>
              </w:rPr>
            </w:pPr>
            <w:r>
              <w:rPr>
                <w:rFonts w:hint="eastAsia" w:ascii="宋体" w:hAnsi="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jc w:val="both"/>
              <w:rPr>
                <w:rFonts w:ascii="宋体" w:hAnsi="宋体"/>
                <w:color w:val="auto"/>
                <w:szCs w:val="21"/>
                <w:highlight w:val="none"/>
              </w:rPr>
            </w:pPr>
            <w:r>
              <w:rPr>
                <w:rFonts w:hint="eastAsia" w:ascii="宋体" w:hAnsi="宋体"/>
                <w:color w:val="auto"/>
                <w:szCs w:val="21"/>
                <w:highlight w:val="none"/>
              </w:rPr>
              <w:t>③履约保函必须打印，手写、涂改无效。</w:t>
            </w:r>
          </w:p>
          <w:p>
            <w:pPr>
              <w:jc w:val="both"/>
              <w:rPr>
                <w:rFonts w:ascii="宋体" w:hAnsi="宋体"/>
                <w:color w:val="auto"/>
                <w:szCs w:val="21"/>
                <w:highlight w:val="none"/>
              </w:rPr>
            </w:pPr>
            <w:r>
              <w:rPr>
                <w:rFonts w:hint="eastAsia" w:ascii="宋体" w:hAnsi="宋体"/>
                <w:color w:val="auto"/>
                <w:szCs w:val="21"/>
                <w:highlight w:val="none"/>
              </w:rPr>
              <w:t>（2）履约保证金。可采用银行转账方式提交，但不可以采用现金、电汇、银行汇票等方式提交。中标人必须保证履约保证金以中标人名称在签订合同前提交至采购人指定账户。</w:t>
            </w:r>
          </w:p>
          <w:p>
            <w:pPr>
              <w:jc w:val="both"/>
              <w:rPr>
                <w:rFonts w:ascii="宋体" w:hAnsi="宋体"/>
                <w:color w:val="auto"/>
                <w:szCs w:val="21"/>
                <w:highlight w:val="none"/>
              </w:rPr>
            </w:pPr>
            <w:r>
              <w:rPr>
                <w:rFonts w:hint="eastAsia" w:ascii="宋体" w:hAnsi="宋体"/>
                <w:color w:val="auto"/>
                <w:szCs w:val="21"/>
                <w:highlight w:val="none"/>
              </w:rPr>
              <w:t>（3）若中标人不能按本采购文件的规定提交履约担保的，采购人将有权有权解除合同，并要求中标人向采购人支付违约金5万元（采购人可以按照评标委员会提出的中标候选人名单排序依次确定其他中标候选人为中标人，也可以重新采购），投标保证金不予退还，给采购人造成的损失如果超过投标保证金数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（4）为取得履约担保所需的费用，由中标人承担；如履约担保时间延长的，延长费用由中标人承担。</w:t>
            </w:r>
          </w:p>
          <w:p>
            <w:pPr>
              <w:jc w:val="both"/>
              <w:rPr>
                <w:rFonts w:ascii="宋体" w:hAnsi="宋体"/>
                <w:color w:val="auto"/>
                <w:szCs w:val="21"/>
                <w:highlight w:val="none"/>
              </w:rPr>
            </w:pPr>
            <w:r>
              <w:rPr>
                <w:rFonts w:hint="eastAsia" w:ascii="宋体" w:hAnsi="宋体"/>
                <w:color w:val="auto"/>
                <w:szCs w:val="21"/>
                <w:highlight w:val="none"/>
              </w:rPr>
              <w:t>（5）若中标人在合同履行过程中出现项目质量事故、服务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（6）下列任何情况发生时，采购人有权行使担保权利</w:t>
            </w:r>
            <w:r>
              <w:rPr>
                <w:rFonts w:hint="eastAsia"/>
                <w:color w:val="auto"/>
                <w:highlight w:val="none"/>
              </w:rPr>
              <w:t>，</w:t>
            </w:r>
            <w:r>
              <w:rPr>
                <w:rFonts w:hint="eastAsia" w:ascii="宋体" w:hAnsi="宋体"/>
                <w:color w:val="auto"/>
                <w:szCs w:val="21"/>
                <w:highlight w:val="none"/>
              </w:rPr>
              <w:t>立即没收其履约担保，若造成损失超过履约担保的，还应当对超过部分予以赔偿：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①中标人将本项目转让给他人，或者在投标文件中未说明，且未经采购人同意，将中标项目分包给他人的；</w:t>
            </w:r>
          </w:p>
          <w:p>
            <w:pPr>
              <w:jc w:val="both"/>
              <w:rPr>
                <w:rFonts w:ascii="宋体" w:hAnsi="宋体"/>
                <w:color w:val="auto"/>
                <w:szCs w:val="21"/>
                <w:highlight w:val="none"/>
              </w:rPr>
            </w:pPr>
            <w:r>
              <w:rPr>
                <w:rFonts w:hint="eastAsia" w:ascii="宋体" w:hAnsi="宋体"/>
                <w:color w:val="auto"/>
                <w:szCs w:val="21"/>
                <w:highlight w:val="none"/>
              </w:rPr>
              <w:t>②中标人在履行采购合同期间，违反有关法律法规的规定及合同约定的条款，损害了采购人的利益。</w:t>
            </w:r>
          </w:p>
          <w:p>
            <w:pPr>
              <w:jc w:val="both"/>
              <w:rPr>
                <w:rFonts w:ascii="宋体" w:hAnsi="宋体"/>
                <w:b/>
                <w:color w:val="auto"/>
                <w:szCs w:val="21"/>
                <w:highlight w:val="none"/>
              </w:rPr>
            </w:pPr>
            <w:r>
              <w:rPr>
                <w:rFonts w:hint="eastAsia" w:ascii="宋体" w:hAnsi="宋体"/>
                <w:color w:val="auto"/>
                <w:szCs w:val="21"/>
                <w:highlight w:val="none"/>
              </w:rPr>
              <w:t>（7）在项目完成且双方结算完毕后，中标人向采购人提交退回履约担保的申请，采购人在收到退款资料并核对无误后的三十个日历日内将扣罚后剩余部分一次性无息退还。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widowControl w:val="0"/>
              <w:tabs>
                <w:tab w:val="left" w:pos="907"/>
              </w:tabs>
              <w:adjustRightInd/>
              <w:snapToGrid/>
              <w:spacing w:line="360" w:lineRule="exact"/>
              <w:jc w:val="both"/>
              <w:rPr>
                <w:color w:val="auto"/>
                <w:highlight w:val="none"/>
              </w:rPr>
            </w:pPr>
            <w:r>
              <w:rPr>
                <w:rFonts w:hint="eastAsia" w:ascii="宋体" w:hAnsi="宋体"/>
                <w:color w:val="auto"/>
                <w:szCs w:val="21"/>
                <w:highlight w:val="none"/>
                <w:lang w:val="en-US" w:eastAsia="zh-CN"/>
              </w:rPr>
              <w:t>本项目中标服务费由采购人</w:t>
            </w:r>
            <w:r>
              <w:rPr>
                <w:rFonts w:hint="eastAsia" w:ascii="宋体" w:hAnsi="宋体"/>
                <w:color w:val="auto"/>
                <w:szCs w:val="21"/>
                <w:highlight w:val="none"/>
              </w:rPr>
              <w:t>支付。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3"/>
            <w:tcBorders>
              <w:tl2br w:val="nil"/>
              <w:tr2bl w:val="nil"/>
            </w:tcBorders>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注：本表关于要采购项目的具体资料，是对投标人须知的具体补充和修改，如有矛盾，应以本资料表为准。不满足采购文件中 “★”条款的投标文件将作无效投标处理。</w:t>
            </w:r>
          </w:p>
        </w:tc>
      </w:tr>
    </w:tbl>
    <w:p>
      <w:pPr>
        <w:jc w:val="center"/>
        <w:rPr>
          <w:color w:val="auto"/>
          <w:highlight w:val="none"/>
        </w:rPr>
      </w:pPr>
      <w:r>
        <w:rPr>
          <w:rFonts w:hint="eastAsia"/>
          <w:color w:val="auto"/>
          <w:highlight w:val="none"/>
        </w:rPr>
        <w:br w:type="page"/>
      </w:r>
    </w:p>
    <w:p>
      <w:pPr>
        <w:pStyle w:val="5"/>
        <w:spacing w:before="0" w:after="0" w:line="240" w:lineRule="auto"/>
        <w:jc w:val="center"/>
        <w:rPr>
          <w:rFonts w:ascii="宋体" w:hAnsi="宋体" w:cs="宋体"/>
          <w:color w:val="auto"/>
          <w:sz w:val="24"/>
          <w:szCs w:val="24"/>
          <w:highlight w:val="none"/>
        </w:rPr>
      </w:pPr>
      <w:bookmarkStart w:id="4" w:name="_Toc9572"/>
      <w:bookmarkStart w:id="5" w:name="_Toc21237"/>
      <w:r>
        <w:rPr>
          <w:rFonts w:hint="eastAsia" w:ascii="宋体" w:hAnsi="宋体" w:cs="宋体"/>
          <w:color w:val="auto"/>
          <w:sz w:val="24"/>
          <w:szCs w:val="24"/>
          <w:highlight w:val="none"/>
        </w:rPr>
        <w:t>附表二：</w:t>
      </w:r>
      <w:bookmarkEnd w:id="4"/>
      <w:r>
        <w:rPr>
          <w:rFonts w:hint="eastAsia" w:ascii="宋体" w:hAnsi="宋体" w:cs="宋体"/>
          <w:color w:val="auto"/>
          <w:sz w:val="24"/>
          <w:szCs w:val="24"/>
          <w:highlight w:val="none"/>
        </w:rPr>
        <w:t>评标方法（适用于A包和B包）</w:t>
      </w:r>
    </w:p>
    <w:p>
      <w:pPr>
        <w:ind w:firstLine="422" w:firstLineChars="200"/>
        <w:rPr>
          <w:b/>
          <w:bCs/>
          <w:color w:val="auto"/>
          <w:highlight w:val="none"/>
        </w:rPr>
      </w:pPr>
    </w:p>
    <w:tbl>
      <w:tblPr>
        <w:tblStyle w:val="33"/>
        <w:tblW w:w="0" w:type="auto"/>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1" w:type="dxa"/>
          </w:tcPr>
          <w:p>
            <w:pPr>
              <w:ind w:firstLine="422" w:firstLineChars="200"/>
              <w:jc w:val="center"/>
              <w:rPr>
                <w:b/>
                <w:bCs/>
                <w:color w:val="auto"/>
                <w:highlight w:val="none"/>
              </w:rPr>
            </w:pPr>
            <w:r>
              <w:rPr>
                <w:rFonts w:hint="eastAsia"/>
                <w:b/>
                <w:bCs/>
                <w:color w:val="auto"/>
                <w:highlight w:val="none"/>
              </w:rPr>
              <w:t>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341" w:type="dxa"/>
          </w:tcPr>
          <w:p>
            <w:pPr>
              <w:ind w:firstLine="422" w:firstLineChars="200"/>
              <w:rPr>
                <w:b/>
                <w:bCs/>
                <w:color w:val="auto"/>
                <w:highlight w:val="none"/>
              </w:rPr>
            </w:pPr>
            <w:r>
              <w:rPr>
                <w:rFonts w:hint="eastAsia" w:ascii="宋体" w:hAnsi="宋体" w:cs="宋体"/>
                <w:b/>
                <w:bCs/>
                <w:color w:val="auto"/>
                <w:szCs w:val="21"/>
                <w:highlight w:val="none"/>
              </w:rPr>
              <w:t>通过本项目资格性审查及符合性审查的</w:t>
            </w:r>
            <w:r>
              <w:rPr>
                <w:rFonts w:hint="eastAsia" w:ascii="宋体" w:hAnsi="宋体"/>
                <w:b/>
                <w:bCs/>
                <w:color w:val="auto"/>
                <w:szCs w:val="21"/>
                <w:highlight w:val="none"/>
              </w:rPr>
              <w:t xml:space="preserve">投标人均作为本项目中标候选人，纳入供应商协议库。 </w:t>
            </w:r>
          </w:p>
        </w:tc>
      </w:tr>
    </w:tbl>
    <w:p>
      <w:pPr>
        <w:widowControl w:val="0"/>
        <w:numPr>
          <w:ilvl w:val="255"/>
          <w:numId w:val="0"/>
        </w:numPr>
        <w:overflowPunct w:val="0"/>
        <w:rPr>
          <w:rFonts w:ascii="宋体" w:hAnsi="宋体" w:cs="宋体"/>
          <w:b/>
          <w:bCs/>
          <w:color w:val="auto"/>
          <w:szCs w:val="21"/>
          <w:highlight w:val="none"/>
        </w:rPr>
      </w:pPr>
      <w:r>
        <w:rPr>
          <w:rFonts w:hint="eastAsia" w:ascii="宋体" w:hAnsi="宋体" w:cs="宋体"/>
          <w:b/>
          <w:bCs/>
          <w:color w:val="auto"/>
          <w:szCs w:val="21"/>
          <w:highlight w:val="none"/>
        </w:rPr>
        <w:t>1、资格性检查：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公开采购项目开标结束后，采购人或者采购代理机构按《资格性审查表》将依法对投标人的资格进行审查。投标人必须严格按照《资格性审查表》的评审内容的要求如实提供证明材料并应加盖投标人公章，对缺漏或不符合项将直接导致无效投标。合格投标人不足3家的，不得评标。</w:t>
      </w:r>
    </w:p>
    <w:p>
      <w:pPr>
        <w:jc w:val="center"/>
        <w:rPr>
          <w:b/>
          <w:bCs/>
          <w:color w:val="auto"/>
          <w:highlight w:val="none"/>
        </w:rPr>
      </w:pPr>
      <w:r>
        <w:rPr>
          <w:b/>
          <w:bCs/>
          <w:color w:val="auto"/>
          <w:highlight w:val="none"/>
        </w:rPr>
        <w:t>《资格性审查表》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7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2"/>
              </w:numPr>
              <w:tabs>
                <w:tab w:val="left" w:pos="176"/>
                <w:tab w:val="left" w:pos="612"/>
              </w:tabs>
              <w:jc w:val="center"/>
              <w:rPr>
                <w:rFonts w:ascii="宋体" w:hAnsi="宋体" w:cs="宋体"/>
                <w:color w:val="auto"/>
                <w:szCs w:val="21"/>
                <w:highlight w:val="none"/>
              </w:rPr>
            </w:pP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color w:val="auto"/>
                <w:highlight w:val="none"/>
              </w:rPr>
              <w:t>投</w:t>
            </w:r>
            <w:r>
              <w:rPr>
                <w:rFonts w:hint="eastAsia" w:ascii="宋体" w:hAnsi="宋体"/>
                <w:color w:val="auto"/>
                <w:szCs w:val="21"/>
                <w:highlight w:val="none"/>
              </w:rPr>
              <w:t>标人须为在中华人民共和国境内登记注册的法人或其他组织。【提供《营业执照》复印件（加盖公章）或《事业单位法人证书》复印件（加盖公章）或其他主体证书复印件（加盖公章）】；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2"/>
              </w:numPr>
              <w:tabs>
                <w:tab w:val="left" w:pos="176"/>
                <w:tab w:val="left" w:pos="612"/>
              </w:tabs>
              <w:jc w:val="center"/>
              <w:rPr>
                <w:rFonts w:ascii="宋体" w:hAnsi="宋体" w:cs="宋体"/>
                <w:color w:val="auto"/>
                <w:szCs w:val="21"/>
                <w:highlight w:val="none"/>
              </w:rPr>
            </w:pP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ascii="宋体" w:hAnsi="宋体"/>
                <w:color w:val="auto"/>
                <w:szCs w:val="21"/>
                <w:highlight w:val="none"/>
              </w:rPr>
              <w:t>参加采购活动前三年内，在经营活动中没有重大违法记录（须提供书面声明）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2"/>
              </w:numPr>
              <w:tabs>
                <w:tab w:val="left" w:pos="176"/>
                <w:tab w:val="left" w:pos="612"/>
              </w:tabs>
              <w:jc w:val="center"/>
              <w:rPr>
                <w:rFonts w:ascii="宋体" w:hAnsi="宋体" w:cs="宋体"/>
                <w:color w:val="auto"/>
                <w:szCs w:val="21"/>
                <w:highlight w:val="none"/>
              </w:rPr>
            </w:pP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ascii="宋体" w:hAnsi="宋体"/>
                <w:color w:val="auto"/>
                <w:szCs w:val="21"/>
                <w:highlight w:val="none"/>
              </w:rPr>
              <w:t>投标人的单位负责人为同一人或者存在直接控股、管理关系的不同投标人，不得参加同一合同项下的采购活动（提供承诺函，格式自拟）；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2"/>
              </w:numPr>
              <w:tabs>
                <w:tab w:val="left" w:pos="176"/>
                <w:tab w:val="left" w:pos="612"/>
              </w:tabs>
              <w:jc w:val="center"/>
              <w:rPr>
                <w:rFonts w:ascii="宋体" w:hAnsi="宋体" w:cs="宋体"/>
                <w:color w:val="auto"/>
                <w:szCs w:val="21"/>
                <w:highlight w:val="none"/>
              </w:rPr>
            </w:pP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ascii="宋体" w:hAnsi="宋体"/>
                <w:color w:val="auto"/>
                <w:szCs w:val="21"/>
                <w:highlight w:val="none"/>
              </w:rPr>
              <w:t>未被列入“信用中国”网站(www.creditchina.gov.cn )“记录失信被执行人或</w:t>
            </w:r>
            <w:r>
              <w:rPr>
                <w:rFonts w:hint="eastAsia"/>
                <w:color w:val="auto"/>
                <w:highlight w:val="none"/>
              </w:rPr>
              <w:t>税收违法黑名单</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2"/>
              </w:numPr>
              <w:tabs>
                <w:tab w:val="left" w:pos="176"/>
                <w:tab w:val="left" w:pos="612"/>
              </w:tabs>
              <w:jc w:val="center"/>
              <w:rPr>
                <w:rFonts w:ascii="宋体" w:hAnsi="宋体" w:cs="宋体"/>
                <w:color w:val="auto"/>
                <w:szCs w:val="21"/>
                <w:highlight w:val="none"/>
              </w:rPr>
            </w:pP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hint="eastAsia" w:ascii="宋体" w:hAnsi="宋体"/>
                <w:color w:val="auto"/>
                <w:szCs w:val="21"/>
                <w:highlight w:val="none"/>
              </w:rPr>
            </w:pPr>
            <w:r>
              <w:rPr>
                <w:rFonts w:hint="eastAsia" w:ascii="宋体" w:hAnsi="宋体"/>
                <w:color w:val="auto"/>
                <w:szCs w:val="21"/>
                <w:highlight w:val="none"/>
                <w:lang w:eastAsia="zh-CN"/>
              </w:rPr>
              <w:t>未被列入东实环境及下属企业相关领域黑名单。【以东实环境及下属企业最新文件执行。】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2"/>
              </w:numPr>
              <w:tabs>
                <w:tab w:val="left" w:pos="176"/>
                <w:tab w:val="left" w:pos="612"/>
              </w:tabs>
              <w:jc w:val="center"/>
              <w:rPr>
                <w:rFonts w:ascii="宋体" w:hAnsi="宋体" w:cs="宋体"/>
                <w:color w:val="auto"/>
                <w:szCs w:val="21"/>
                <w:highlight w:val="none"/>
              </w:rPr>
            </w:pP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olor w:val="auto"/>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2"/>
              </w:numPr>
              <w:tabs>
                <w:tab w:val="left" w:pos="176"/>
                <w:tab w:val="left" w:pos="612"/>
              </w:tabs>
              <w:jc w:val="center"/>
              <w:rPr>
                <w:rFonts w:ascii="宋体" w:hAnsi="宋体" w:cs="宋体"/>
                <w:color w:val="auto"/>
                <w:szCs w:val="21"/>
                <w:highlight w:val="none"/>
              </w:rPr>
            </w:pP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jc w:val="both"/>
              <w:rPr>
                <w:rFonts w:ascii="宋体" w:hAnsi="宋体"/>
                <w:color w:val="auto"/>
                <w:szCs w:val="21"/>
                <w:highlight w:val="none"/>
              </w:rPr>
            </w:pPr>
            <w:r>
              <w:rPr>
                <w:rFonts w:hint="eastAsia" w:ascii="宋体" w:hAnsi="宋体"/>
                <w:b/>
                <w:bCs/>
                <w:color w:val="auto"/>
                <w:szCs w:val="21"/>
                <w:highlight w:val="none"/>
              </w:rPr>
              <w:t>A包</w:t>
            </w:r>
            <w:r>
              <w:rPr>
                <w:rFonts w:hint="eastAsia" w:ascii="宋体" w:hAnsi="宋体"/>
                <w:color w:val="auto"/>
                <w:szCs w:val="21"/>
                <w:highlight w:val="none"/>
              </w:rPr>
              <w:t>（城服公司工程车辆设备租赁）：</w:t>
            </w:r>
            <w:r>
              <w:rPr>
                <w:rFonts w:hint="eastAsia" w:ascii="宋体" w:hAnsi="宋体"/>
                <w:color w:val="auto"/>
                <w:szCs w:val="21"/>
                <w:highlight w:val="none"/>
                <w:lang w:eastAsia="zh-CN"/>
              </w:rPr>
              <w:t>投标人须提供本项目《工程车辆设备租赁清单》中</w:t>
            </w:r>
            <w:r>
              <w:rPr>
                <w:rFonts w:hint="eastAsia" w:ascii="宋体" w:hAnsi="宋体"/>
                <w:color w:val="auto"/>
                <w:szCs w:val="21"/>
                <w:highlight w:val="none"/>
                <w:lang w:val="en-US" w:eastAsia="zh-CN"/>
              </w:rPr>
              <w:t>自有</w:t>
            </w:r>
            <w:r>
              <w:rPr>
                <w:rFonts w:hint="eastAsia" w:ascii="宋体" w:hAnsi="宋体"/>
                <w:color w:val="auto"/>
                <w:szCs w:val="21"/>
                <w:highlight w:val="none"/>
                <w:lang w:eastAsia="zh-CN"/>
              </w:rPr>
              <w:t>的任意一项（或以上）车辆的车牌照片及行驶证复印件并加盖投标人公章</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注：车牌照片的车牌号须与行驶证上的车牌号保持一致</w:t>
            </w:r>
            <w:r>
              <w:rPr>
                <w:rFonts w:hint="eastAsia" w:ascii="宋体" w:hAnsi="宋体"/>
                <w:color w:val="auto"/>
                <w:szCs w:val="21"/>
                <w:highlight w:val="none"/>
                <w:lang w:eastAsia="zh-CN"/>
              </w:rPr>
              <w:t>）</w:t>
            </w:r>
          </w:p>
          <w:p>
            <w:pPr>
              <w:rPr>
                <w:rFonts w:ascii="宋体" w:hAnsi="宋体"/>
                <w:b/>
                <w:color w:val="auto"/>
                <w:szCs w:val="21"/>
                <w:highlight w:val="none"/>
              </w:rPr>
            </w:pPr>
            <w:r>
              <w:rPr>
                <w:rFonts w:hint="eastAsia" w:ascii="宋体" w:hAnsi="宋体"/>
                <w:b/>
                <w:bCs/>
                <w:color w:val="auto"/>
                <w:szCs w:val="21"/>
                <w:highlight w:val="none"/>
              </w:rPr>
              <w:t>B包</w:t>
            </w:r>
            <w:r>
              <w:rPr>
                <w:rFonts w:hint="eastAsia" w:ascii="宋体" w:hAnsi="宋体"/>
                <w:color w:val="auto"/>
                <w:szCs w:val="21"/>
                <w:highlight w:val="none"/>
              </w:rPr>
              <w:t>（城服公司环卫保洁车辆设备租赁）</w:t>
            </w:r>
            <w:r>
              <w:rPr>
                <w:rFonts w:hint="eastAsia" w:ascii="宋体" w:hAnsi="宋体"/>
                <w:b/>
                <w:bCs/>
                <w:color w:val="auto"/>
                <w:szCs w:val="21"/>
                <w:highlight w:val="none"/>
              </w:rPr>
              <w:t>：</w:t>
            </w:r>
            <w:r>
              <w:rPr>
                <w:rFonts w:hint="eastAsia" w:ascii="宋体" w:hAnsi="宋体"/>
                <w:color w:val="auto"/>
                <w:szCs w:val="21"/>
                <w:highlight w:val="none"/>
                <w:lang w:eastAsia="zh-CN"/>
              </w:rPr>
              <w:t>投标人须提供本项目《环卫车辆设备清单》中</w:t>
            </w:r>
            <w:r>
              <w:rPr>
                <w:rFonts w:hint="eastAsia" w:ascii="宋体" w:hAnsi="宋体"/>
                <w:color w:val="auto"/>
                <w:szCs w:val="21"/>
                <w:highlight w:val="none"/>
                <w:lang w:val="en-US" w:eastAsia="zh-CN"/>
              </w:rPr>
              <w:t>自有的</w:t>
            </w:r>
            <w:r>
              <w:rPr>
                <w:rFonts w:hint="eastAsia" w:ascii="宋体" w:hAnsi="宋体"/>
                <w:color w:val="auto"/>
                <w:szCs w:val="21"/>
                <w:highlight w:val="none"/>
                <w:lang w:eastAsia="zh-CN"/>
              </w:rPr>
              <w:t>任意一项（或以上）车辆的车牌照片及行驶证复印件并加盖投标人公章</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注：车牌照片的车牌号须与行驶证上的车牌号保持一致</w:t>
            </w:r>
            <w:r>
              <w:rPr>
                <w:rFonts w:hint="eastAsia" w:ascii="宋体" w:hAnsi="宋体"/>
                <w:color w:val="auto"/>
                <w:szCs w:val="21"/>
                <w:highlight w:val="none"/>
                <w:lang w:eastAsia="zh-CN"/>
              </w:rPr>
              <w:t>）</w:t>
            </w:r>
          </w:p>
        </w:tc>
      </w:tr>
    </w:tbl>
    <w:p>
      <w:pPr>
        <w:widowControl w:val="0"/>
        <w:numPr>
          <w:ilvl w:val="255"/>
          <w:numId w:val="0"/>
        </w:numPr>
        <w:overflowPunct w:val="0"/>
        <w:rPr>
          <w:rFonts w:ascii="宋体" w:hAnsi="宋体" w:cs="宋体"/>
          <w:b/>
          <w:bCs/>
          <w:color w:val="auto"/>
          <w:szCs w:val="21"/>
          <w:highlight w:val="none"/>
        </w:rPr>
      </w:pPr>
      <w:r>
        <w:rPr>
          <w:rFonts w:hint="eastAsia" w:ascii="宋体" w:hAnsi="宋体" w:cs="宋体"/>
          <w:b/>
          <w:bCs/>
          <w:color w:val="auto"/>
          <w:szCs w:val="21"/>
          <w:highlight w:val="none"/>
        </w:rPr>
        <w:t>2、符合性检查：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将对符合资格的投标人的投标文件按《符合性审查表》进行符合性审查，以确定其是否满足采购文件的实质性要求。投标人必须严格按照《符合性审查表》的评审内容的要求如实提供证明材料并应加盖投标人公章，对缺漏或不符合项将直接导致无效投标。</w:t>
      </w:r>
    </w:p>
    <w:p>
      <w:pPr>
        <w:pStyle w:val="11"/>
        <w:jc w:val="center"/>
        <w:rPr>
          <w:rFonts w:ascii="Tahoma" w:hAnsi="Tahoma" w:cstheme="minorBidi"/>
          <w:b/>
          <w:bCs/>
          <w:color w:val="auto"/>
          <w:sz w:val="21"/>
          <w:highlight w:val="none"/>
          <w:lang w:val="en-US" w:bidi="ar-SA"/>
        </w:rPr>
      </w:pPr>
      <w:r>
        <w:rPr>
          <w:rFonts w:hint="eastAsia" w:ascii="Tahoma" w:hAnsi="Tahoma" w:cstheme="minorBidi"/>
          <w:b/>
          <w:bCs/>
          <w:color w:val="auto"/>
          <w:sz w:val="21"/>
          <w:highlight w:val="none"/>
          <w:lang w:val="en-US" w:bidi="ar-SA"/>
        </w:rPr>
        <w:t>《符合性审查表》</w:t>
      </w:r>
    </w:p>
    <w:tbl>
      <w:tblPr>
        <w:tblStyle w:val="32"/>
        <w:tblW w:w="4999" w:type="pct"/>
        <w:jc w:val="center"/>
        <w:tblLayout w:type="autofit"/>
        <w:tblCellMar>
          <w:top w:w="15" w:type="dxa"/>
          <w:left w:w="15" w:type="dxa"/>
          <w:bottom w:w="15" w:type="dxa"/>
          <w:right w:w="15" w:type="dxa"/>
        </w:tblCellMar>
      </w:tblPr>
      <w:tblGrid>
        <w:gridCol w:w="705"/>
        <w:gridCol w:w="7629"/>
      </w:tblGrid>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评 审 内 容</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投标人按照采购文件要求提交投标保证金；</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投标文件按照采购文件要求签署盖章；</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投标单价未超出采购预算或最高限价；</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4</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投标文件未含有采购人不能接受的附加条件；</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5</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法律、法规和采购文件规定的其他无效情形。</w:t>
            </w:r>
          </w:p>
        </w:tc>
      </w:tr>
    </w:tbl>
    <w:p>
      <w:pPr>
        <w:widowControl w:val="0"/>
        <w:overflowPunct w:val="0"/>
        <w:ind w:firstLine="420" w:firstLineChars="200"/>
        <w:rPr>
          <w:rFonts w:ascii="宋体" w:hAnsi="宋体"/>
          <w:color w:val="auto"/>
          <w:szCs w:val="21"/>
          <w:highlight w:val="none"/>
        </w:rPr>
      </w:pPr>
      <w:r>
        <w:rPr>
          <w:rFonts w:hint="eastAsia" w:ascii="宋体" w:hAnsi="宋体"/>
          <w:color w:val="auto"/>
          <w:szCs w:val="21"/>
          <w:highlight w:val="none"/>
        </w:rPr>
        <w:t>注：以上资格性检查、符合性检查中带有不合格分项的投标文件，将作无效标处理。经评标委员会确认的无效投标文件，采购人和采购代理机构将予以拒绝，并且不允许通过修正或撤消其不符合要求的差异，使之成为具有符合性的投标文件。经评标委员会符合性审查确认具有有效投标文件的投标人不足三家时将重新组织采购。</w:t>
      </w:r>
    </w:p>
    <w:p>
      <w:pPr>
        <w:rPr>
          <w:color w:val="auto"/>
          <w:sz w:val="28"/>
          <w:szCs w:val="28"/>
          <w:highlight w:val="none"/>
        </w:rPr>
      </w:pPr>
      <w:r>
        <w:rPr>
          <w:rFonts w:hint="eastAsia"/>
          <w:color w:val="auto"/>
          <w:sz w:val="28"/>
          <w:szCs w:val="28"/>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第三部分用户需求书</w:t>
      </w:r>
      <w:bookmarkEnd w:id="5"/>
    </w:p>
    <w:p>
      <w:pPr>
        <w:pStyle w:val="5"/>
        <w:spacing w:before="0" w:after="0" w:line="360" w:lineRule="auto"/>
        <w:jc w:val="center"/>
        <w:rPr>
          <w:rFonts w:ascii="宋体" w:hAnsi="宋体"/>
          <w:color w:val="auto"/>
          <w:highlight w:val="none"/>
        </w:rPr>
      </w:pPr>
      <w:bookmarkStart w:id="6" w:name="_Toc1593"/>
      <w:bookmarkStart w:id="7" w:name="_Toc15266"/>
      <w:bookmarkStart w:id="8" w:name="_Toc24679"/>
      <w:bookmarkStart w:id="9" w:name="_Toc308786492"/>
      <w:bookmarkStart w:id="10" w:name="_Toc14462"/>
      <w:bookmarkStart w:id="11" w:name="_Toc13112"/>
      <w:bookmarkStart w:id="12" w:name="_Toc31278"/>
      <w:r>
        <w:rPr>
          <w:rFonts w:hint="eastAsia" w:ascii="宋体" w:hAnsi="宋体"/>
          <w:color w:val="auto"/>
          <w:highlight w:val="none"/>
        </w:rPr>
        <w:t>A包：</w:t>
      </w:r>
      <w:r>
        <w:rPr>
          <w:rFonts w:hint="eastAsia" w:ascii="宋体" w:hAnsi="宋体"/>
          <w:color w:val="auto"/>
          <w:szCs w:val="21"/>
          <w:highlight w:val="none"/>
        </w:rPr>
        <w:t>城服公司工程车辆设备租赁</w:t>
      </w:r>
    </w:p>
    <w:p>
      <w:pPr>
        <w:pStyle w:val="5"/>
        <w:spacing w:before="0" w:after="0" w:line="360" w:lineRule="auto"/>
        <w:jc w:val="center"/>
        <w:rPr>
          <w:rFonts w:ascii="宋体" w:hAnsi="宋体"/>
          <w:color w:val="auto"/>
          <w:highlight w:val="none"/>
        </w:rPr>
      </w:pPr>
      <w:r>
        <w:rPr>
          <w:rFonts w:hint="eastAsia" w:ascii="宋体" w:hAnsi="宋体"/>
          <w:color w:val="auto"/>
          <w:highlight w:val="none"/>
        </w:rPr>
        <w:t>一、商务需求书</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471"/>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372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3723" w:type="pct"/>
            <w:vAlign w:val="center"/>
          </w:tcPr>
          <w:p>
            <w:pPr>
              <w:pStyle w:val="43"/>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服务期</w:t>
            </w:r>
          </w:p>
        </w:tc>
        <w:tc>
          <w:tcPr>
            <w:tcW w:w="3723" w:type="pct"/>
            <w:vAlign w:val="center"/>
          </w:tcPr>
          <w:p>
            <w:pPr>
              <w:numPr>
                <w:ilvl w:val="255"/>
                <w:numId w:val="0"/>
              </w:numPr>
              <w:ind w:firstLine="420" w:firstLineChars="200"/>
              <w:rPr>
                <w:color w:val="auto"/>
                <w:highlight w:val="none"/>
              </w:rPr>
            </w:pPr>
            <w:r>
              <w:rPr>
                <w:rFonts w:hint="eastAsia" w:ascii="宋体" w:hAnsi="宋体" w:cs="宋体"/>
                <w:color w:val="auto"/>
                <w:szCs w:val="21"/>
                <w:highlight w:val="none"/>
              </w:rPr>
              <w:t>1、本项目以签订年度协议的方式进行，</w:t>
            </w:r>
            <w:r>
              <w:rPr>
                <w:rFonts w:ascii="宋体" w:hAnsi="宋体" w:cs="宋体"/>
                <w:color w:val="auto"/>
                <w:szCs w:val="21"/>
                <w:highlight w:val="none"/>
              </w:rPr>
              <w:t>合同执行期以预算金额</w:t>
            </w:r>
            <w:r>
              <w:rPr>
                <w:rFonts w:hint="eastAsia" w:ascii="宋体" w:hAnsi="宋体" w:cs="宋体"/>
                <w:color w:val="auto"/>
                <w:szCs w:val="21"/>
                <w:highlight w:val="none"/>
                <w:lang w:val="en-US" w:eastAsia="zh-CN"/>
              </w:rPr>
              <w:t>或</w:t>
            </w:r>
            <w:r>
              <w:rPr>
                <w:rFonts w:ascii="宋体" w:hAnsi="宋体" w:cs="宋体"/>
                <w:color w:val="auto"/>
                <w:szCs w:val="21"/>
                <w:highlight w:val="none"/>
              </w:rPr>
              <w:t>服务期（一年）先到者为限，即服务期满或包组预算金额用尽，合同终止。</w:t>
            </w:r>
          </w:p>
          <w:p>
            <w:pPr>
              <w:pStyle w:val="40"/>
              <w:spacing w:line="360" w:lineRule="auto"/>
              <w:rPr>
                <w:rFonts w:ascii="宋体" w:hAnsi="宋体" w:cs="宋体"/>
                <w:color w:val="auto"/>
                <w:szCs w:val="21"/>
                <w:highlight w:val="none"/>
              </w:rPr>
            </w:pPr>
            <w:r>
              <w:rPr>
                <w:rFonts w:ascii="宋体" w:hAnsi="宋体" w:eastAsia="宋体" w:cs="宋体"/>
                <w:color w:val="auto"/>
                <w:sz w:val="21"/>
                <w:szCs w:val="21"/>
                <w:highlight w:val="none"/>
              </w:rPr>
              <w:t>2</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采购人和中标人签订合同后，实际租赁车型</w:t>
            </w:r>
            <w:r>
              <w:rPr>
                <w:rFonts w:hint="eastAsia" w:ascii="宋体" w:hAnsi="宋体" w:eastAsia="宋体" w:cs="宋体"/>
                <w:color w:val="auto"/>
                <w:sz w:val="21"/>
                <w:szCs w:val="21"/>
                <w:highlight w:val="none"/>
              </w:rPr>
              <w:t>、时间、</w:t>
            </w:r>
            <w:r>
              <w:rPr>
                <w:rFonts w:ascii="宋体" w:hAnsi="宋体" w:eastAsia="宋体" w:cs="宋体"/>
                <w:color w:val="auto"/>
                <w:sz w:val="21"/>
                <w:szCs w:val="21"/>
                <w:highlight w:val="none"/>
              </w:rPr>
              <w:t>数量</w:t>
            </w:r>
            <w:r>
              <w:rPr>
                <w:rFonts w:hint="eastAsia" w:ascii="宋体" w:hAnsi="宋体" w:eastAsia="宋体" w:cs="宋体"/>
                <w:color w:val="auto"/>
                <w:sz w:val="21"/>
                <w:szCs w:val="21"/>
                <w:highlight w:val="none"/>
              </w:rPr>
              <w:t>和使用地点</w:t>
            </w:r>
            <w:r>
              <w:rPr>
                <w:rFonts w:ascii="宋体" w:hAnsi="宋体" w:eastAsia="宋体" w:cs="宋体"/>
                <w:color w:val="auto"/>
                <w:sz w:val="21"/>
                <w:szCs w:val="21"/>
                <w:highlight w:val="none"/>
              </w:rPr>
              <w:t>由采购人根据工作需要调配确定。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交货期</w:t>
            </w:r>
          </w:p>
        </w:tc>
        <w:tc>
          <w:tcPr>
            <w:tcW w:w="3723" w:type="pct"/>
            <w:vAlign w:val="center"/>
          </w:tcPr>
          <w:p>
            <w:pPr>
              <w:pStyle w:val="11"/>
              <w:spacing w:before="0"/>
              <w:ind w:left="0" w:firstLine="420" w:firstLineChars="200"/>
              <w:rPr>
                <w:color w:val="auto"/>
                <w:szCs w:val="21"/>
                <w:highlight w:val="none"/>
                <w:lang w:val="en-US"/>
              </w:rPr>
            </w:pPr>
            <w:r>
              <w:rPr>
                <w:rFonts w:hint="eastAsia"/>
                <w:color w:val="auto"/>
                <w:sz w:val="21"/>
                <w:szCs w:val="21"/>
                <w:highlight w:val="none"/>
                <w:lang w:val="en-US"/>
              </w:rPr>
              <w:t>签订合同后，中标人每次收到采购人书面正式进场通知起：应急情况下2小时内进场，正常情况下24小时进场，每次使用期限以每次进场需求为准。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3723" w:type="pct"/>
            <w:vAlign w:val="center"/>
          </w:tcPr>
          <w:p>
            <w:pPr>
              <w:ind w:firstLine="420" w:firstLineChars="200"/>
              <w:rPr>
                <w:color w:val="auto"/>
                <w:highlight w:val="none"/>
              </w:rPr>
            </w:pPr>
            <w:r>
              <w:rPr>
                <w:rFonts w:hint="eastAsia"/>
                <w:color w:val="auto"/>
                <w:highlight w:val="none"/>
              </w:rPr>
              <w:t>1、每次下单后，中标人出具</w:t>
            </w:r>
            <w:r>
              <w:rPr>
                <w:rFonts w:hint="eastAsia"/>
                <w:color w:val="auto"/>
                <w:highlight w:val="none"/>
                <w:lang w:val="en-US" w:eastAsia="zh-CN"/>
              </w:rPr>
              <w:t>该单</w:t>
            </w:r>
            <w:r>
              <w:rPr>
                <w:rFonts w:hint="eastAsia"/>
                <w:color w:val="auto"/>
                <w:highlight w:val="none"/>
              </w:rPr>
              <w:t>租</w:t>
            </w:r>
            <w:r>
              <w:rPr>
                <w:rFonts w:hint="eastAsia"/>
                <w:color w:val="auto"/>
                <w:highlight w:val="none"/>
                <w:lang w:val="en-US" w:eastAsia="zh-CN"/>
              </w:rPr>
              <w:t>金</w:t>
            </w:r>
            <w:r>
              <w:rPr>
                <w:rFonts w:hint="eastAsia"/>
                <w:color w:val="auto"/>
                <w:highlight w:val="none"/>
              </w:rPr>
              <w:t>的等额增值税专用发票及请款资料，采购人收到资料后三十个日历日内支付该单车辆租</w:t>
            </w:r>
            <w:r>
              <w:rPr>
                <w:rFonts w:hint="eastAsia"/>
                <w:color w:val="auto"/>
                <w:highlight w:val="none"/>
                <w:lang w:val="en-US" w:eastAsia="zh-CN"/>
              </w:rPr>
              <w:t>金</w:t>
            </w:r>
            <w:r>
              <w:rPr>
                <w:rFonts w:hint="eastAsia"/>
                <w:color w:val="auto"/>
                <w:highlight w:val="none"/>
              </w:rPr>
              <w:t>的20%；</w:t>
            </w:r>
          </w:p>
          <w:p>
            <w:pPr>
              <w:ind w:firstLine="420" w:firstLineChars="200"/>
              <w:rPr>
                <w:color w:val="auto"/>
                <w:highlight w:val="none"/>
              </w:rPr>
            </w:pPr>
            <w:r>
              <w:rPr>
                <w:rFonts w:hint="eastAsia"/>
                <w:color w:val="auto"/>
                <w:highlight w:val="none"/>
              </w:rPr>
              <w:t>每次使用车期满后，中标人出具</w:t>
            </w:r>
            <w:r>
              <w:rPr>
                <w:rFonts w:hint="eastAsia"/>
                <w:color w:val="auto"/>
                <w:highlight w:val="none"/>
                <w:lang w:val="en-US" w:eastAsia="zh-CN"/>
              </w:rPr>
              <w:t>该单租金</w:t>
            </w:r>
            <w:r>
              <w:rPr>
                <w:rFonts w:hint="eastAsia"/>
                <w:color w:val="auto"/>
                <w:highlight w:val="none"/>
              </w:rPr>
              <w:t>的等额增值税专用发票及请款资料，采购人收到资料后三十个日历日内支付该单租</w:t>
            </w:r>
            <w:r>
              <w:rPr>
                <w:rFonts w:hint="eastAsia"/>
                <w:color w:val="auto"/>
                <w:highlight w:val="none"/>
                <w:lang w:val="en-US" w:eastAsia="zh-CN"/>
              </w:rPr>
              <w:t>金的</w:t>
            </w:r>
            <w:r>
              <w:rPr>
                <w:rFonts w:hint="eastAsia"/>
                <w:color w:val="auto"/>
                <w:highlight w:val="none"/>
              </w:rPr>
              <w:t>全部</w:t>
            </w:r>
            <w:r>
              <w:rPr>
                <w:rFonts w:hint="eastAsia"/>
                <w:color w:val="auto"/>
                <w:highlight w:val="none"/>
                <w:lang w:val="en-US" w:eastAsia="zh-CN"/>
              </w:rPr>
              <w:t>余款</w:t>
            </w:r>
            <w:r>
              <w:rPr>
                <w:rFonts w:hint="eastAsia"/>
                <w:color w:val="auto"/>
                <w:highlight w:val="none"/>
              </w:rPr>
              <w:t>；</w:t>
            </w:r>
          </w:p>
          <w:p>
            <w:pPr>
              <w:ind w:firstLine="420" w:firstLineChars="200"/>
              <w:rPr>
                <w:color w:val="auto"/>
                <w:highlight w:val="none"/>
              </w:rPr>
            </w:pPr>
            <w:r>
              <w:rPr>
                <w:rFonts w:hint="eastAsia"/>
                <w:color w:val="auto"/>
                <w:highlight w:val="none"/>
              </w:rPr>
              <w:t>2、履约担保返还申请时间为本项目服务期结束验收合格，收到中标人申请资料并核对无误后30个日历日内，采购人将扣罚后剩余的履约保证金一次性无息退回。</w:t>
            </w:r>
          </w:p>
          <w:p>
            <w:pPr>
              <w:ind w:firstLine="420" w:firstLineChars="200"/>
              <w:rPr>
                <w:color w:val="auto"/>
                <w:highlight w:val="none"/>
              </w:rPr>
            </w:pPr>
            <w:r>
              <w:rPr>
                <w:rFonts w:hint="eastAsia" w:ascii="宋体" w:hAnsi="宋体" w:cs="宋体"/>
                <w:color w:val="auto"/>
                <w:szCs w:val="21"/>
                <w:highlight w:val="none"/>
              </w:rPr>
              <w:t>注：若中标人未能提交符合要求的发票、有效请款资料的，采购人有权拒绝付款，无需承担任何违约责任。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项目地点</w:t>
            </w:r>
          </w:p>
        </w:tc>
        <w:tc>
          <w:tcPr>
            <w:tcW w:w="3723" w:type="pct"/>
            <w:vAlign w:val="center"/>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3723" w:type="pct"/>
            <w:vAlign w:val="center"/>
          </w:tcPr>
          <w:p>
            <w:pPr>
              <w:tabs>
                <w:tab w:val="left" w:pos="320"/>
              </w:tabs>
              <w:ind w:firstLine="420" w:firstLineChars="200"/>
              <w:rPr>
                <w:rFonts w:ascii="宋体" w:hAnsi="宋体" w:cs="宋体"/>
                <w:color w:val="auto"/>
                <w:szCs w:val="21"/>
                <w:highlight w:val="none"/>
              </w:rPr>
            </w:pPr>
            <w:r>
              <w:rPr>
                <w:rFonts w:hint="eastAsia" w:ascii="宋体" w:hAnsi="宋体" w:cs="宋体"/>
                <w:color w:val="auto"/>
                <w:szCs w:val="21"/>
                <w:highlight w:val="none"/>
              </w:rPr>
              <w:t>1、本项目采用含税固定单价的报价方式，投标人台班报价不得高于台班限价。</w:t>
            </w:r>
          </w:p>
          <w:p>
            <w:pPr>
              <w:tabs>
                <w:tab w:val="left" w:pos="320"/>
              </w:tabs>
              <w:ind w:firstLine="420" w:firstLineChars="200"/>
              <w:rPr>
                <w:rFonts w:ascii="宋体" w:hAnsi="宋体" w:cs="宋体"/>
                <w:color w:val="auto"/>
                <w:szCs w:val="21"/>
                <w:highlight w:val="none"/>
              </w:rPr>
            </w:pPr>
            <w:r>
              <w:rPr>
                <w:rFonts w:hint="eastAsia" w:ascii="宋体" w:hAnsi="宋体" w:cs="宋体"/>
                <w:color w:val="auto"/>
                <w:szCs w:val="21"/>
                <w:highlight w:val="none"/>
              </w:rPr>
              <w:t>2、本项目报价费用包含车辆本身所涉及的所有费用，如司机劳动报酬、司机食宿、燃料费、停车费、路桥费、装卸费、年票、车船税、车辆年审费、保险费、税费、洗车费、维修保养费、交通违章罚款事故、公路基金、道路规划费、交通运管费、公共事业附加费及发票税金等，采购人不再另行支付。8小时/台班，1年内台班费用不变，如有超出8小时，超出部分计算方式为台班价格/8小时*实际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派单方式</w:t>
            </w:r>
          </w:p>
        </w:tc>
        <w:tc>
          <w:tcPr>
            <w:tcW w:w="3723" w:type="pct"/>
            <w:vAlign w:val="center"/>
          </w:tcPr>
          <w:p>
            <w:pPr>
              <w:tabs>
                <w:tab w:val="center" w:pos="3125"/>
              </w:tabs>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在满足项目用车供货时间节点需求和用车数量需求的前提下，由采购员组织招采小组按台班价从低到高原则分派。</w:t>
            </w:r>
          </w:p>
          <w:p>
            <w:pPr>
              <w:tabs>
                <w:tab w:val="center" w:pos="3125"/>
              </w:tabs>
              <w:spacing w:line="240" w:lineRule="auto"/>
              <w:ind w:firstLine="420" w:firstLineChars="200"/>
              <w:rPr>
                <w:rFonts w:ascii="宋体" w:hAnsi="宋体" w:cs="宋体"/>
                <w:color w:val="auto"/>
                <w:szCs w:val="21"/>
                <w:highlight w:val="none"/>
              </w:rPr>
            </w:pPr>
            <w:r>
              <w:rPr>
                <w:rFonts w:hint="eastAsia" w:ascii="宋体" w:hAnsi="宋体" w:eastAsia="宋体" w:cs="宋体"/>
                <w:color w:val="auto"/>
                <w:kern w:val="0"/>
                <w:sz w:val="21"/>
                <w:szCs w:val="21"/>
                <w:highlight w:val="none"/>
                <w:lang w:val="en-US" w:eastAsia="zh-CN"/>
              </w:rPr>
              <w:t>注：投标人必须按投标清单进行派单响应，如未及时响应提供租赁服务的，采购人将登记并进行年度评价考核，作为下个年度合作依据。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3723" w:type="pct"/>
            <w:vAlign w:val="center"/>
          </w:tcPr>
          <w:p>
            <w:pPr>
              <w:tabs>
                <w:tab w:val="center" w:pos="3125"/>
              </w:tabs>
              <w:ind w:firstLine="420" w:firstLineChars="200"/>
              <w:rPr>
                <w:rFonts w:ascii="宋体" w:hAnsi="宋体" w:cs="宋体"/>
                <w:color w:val="auto"/>
                <w:szCs w:val="21"/>
                <w:highlight w:val="none"/>
              </w:rPr>
            </w:pPr>
            <w:r>
              <w:rPr>
                <w:rFonts w:hint="eastAsia" w:ascii="宋体" w:hAnsi="宋体" w:cs="宋体"/>
                <w:color w:val="auto"/>
                <w:szCs w:val="21"/>
                <w:highlight w:val="none"/>
              </w:rPr>
              <w:t>自开标之日起90天。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1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863"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3723" w:type="pct"/>
            <w:vAlign w:val="center"/>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pPr>
        <w:pStyle w:val="5"/>
        <w:spacing w:before="0" w:after="0" w:line="360" w:lineRule="auto"/>
        <w:jc w:val="center"/>
        <w:rPr>
          <w:rFonts w:ascii="宋体" w:hAnsi="宋体"/>
          <w:color w:val="auto"/>
          <w:highlight w:val="none"/>
        </w:rPr>
      </w:pPr>
      <w:r>
        <w:rPr>
          <w:rFonts w:hint="eastAsia" w:ascii="宋体" w:hAnsi="宋体"/>
          <w:color w:val="auto"/>
          <w:highlight w:val="none"/>
        </w:rPr>
        <w:t>二、技术需求书</w:t>
      </w:r>
    </w:p>
    <w:tbl>
      <w:tblPr>
        <w:tblStyle w:val="32"/>
        <w:tblW w:w="4998"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906"/>
        <w:gridCol w:w="1132"/>
        <w:gridCol w:w="6481"/>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序号</w:t>
            </w:r>
          </w:p>
        </w:tc>
        <w:tc>
          <w:tcPr>
            <w:tcW w:w="664"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名称</w:t>
            </w:r>
          </w:p>
        </w:tc>
        <w:tc>
          <w:tcPr>
            <w:tcW w:w="380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技术参数/要求</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vMerge w:val="restart"/>
            <w:tcBorders>
              <w:top w:val="nil"/>
              <w:left w:val="single" w:color="000000" w:sz="4" w:space="0"/>
              <w:right w:val="single" w:color="000000" w:sz="4" w:space="0"/>
            </w:tcBorders>
            <w:vAlign w:val="center"/>
          </w:tcPr>
          <w:p>
            <w:pPr>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1</w:t>
            </w:r>
          </w:p>
        </w:tc>
        <w:tc>
          <w:tcPr>
            <w:tcW w:w="664" w:type="pct"/>
            <w:vMerge w:val="restart"/>
            <w:tcBorders>
              <w:top w:val="nil"/>
              <w:left w:val="single" w:color="000000" w:sz="4" w:space="0"/>
              <w:right w:val="single" w:color="000000" w:sz="4" w:space="0"/>
            </w:tcBorders>
            <w:vAlign w:val="center"/>
          </w:tcPr>
          <w:p>
            <w:pPr>
              <w:jc w:val="center"/>
              <w:rPr>
                <w:rFonts w:ascii="宋体" w:hAnsi="宋体" w:cs="宋体"/>
                <w:b w:val="0"/>
                <w:bCs w:val="0"/>
                <w:color w:val="auto"/>
                <w:szCs w:val="21"/>
                <w:highlight w:val="none"/>
              </w:rPr>
            </w:pPr>
            <w:r>
              <w:rPr>
                <w:rFonts w:hint="eastAsia" w:ascii="宋体" w:hAnsi="宋体" w:cs="宋体"/>
                <w:b w:val="0"/>
                <w:bCs w:val="0"/>
                <w:color w:val="auto"/>
                <w:szCs w:val="21"/>
                <w:highlight w:val="none"/>
              </w:rPr>
              <w:t>租赁要求</w:t>
            </w:r>
          </w:p>
        </w:tc>
        <w:tc>
          <w:tcPr>
            <w:tcW w:w="38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中标人负责提供车辆及指派司机驾驶员，承担司机劳动报酬。</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c>
          <w:tcPr>
            <w:tcW w:w="532"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中标人所提供的车辆必须为中标人自有或合法租赁的车辆，并且具备在东莞市任何区域、任意时段合法行驶的资格。</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如对车型有参数要求，须检查机动车登记证相关参数是否符合要求，如机动车登记证无要求参数则提供其他有效证明。高空作业车，铲车、轮式挖掘机、升降机、汽车吊司机需要特种设备操作证，要求提供（级别、证书等），未列明需按国家标准要求执行：中标人必须保证车辆证件齐全、性能良好、来源合法，符合国家有关车辆行驶的法规要求，并具有有效的车辆证件牌照等。</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32" w:type="pct"/>
            <w:vMerge w:val="restart"/>
            <w:tcBorders>
              <w:left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664" w:type="pct"/>
            <w:vMerge w:val="restart"/>
            <w:tcBorders>
              <w:left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val="0"/>
                <w:bCs w:val="0"/>
                <w:color w:val="auto"/>
                <w:szCs w:val="21"/>
                <w:highlight w:val="none"/>
              </w:rPr>
              <w:t>车辆要求</w:t>
            </w:r>
          </w:p>
        </w:tc>
        <w:tc>
          <w:tcPr>
            <w:tcW w:w="3803" w:type="pct"/>
            <w:vMerge w:val="restart"/>
            <w:tcBorders>
              <w:top w:val="nil"/>
              <w:left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中标人提供的各类型车辆须满足采购需求，所提供的运营车辆须来源合法，证照齐全，手续完备。（供车时提供相关有效权属证照或租赁合同（含有效的车辆权照等）、行驶证等材料的盖章复印件或扫描件）</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32" w:type="pct"/>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3803" w:type="pct"/>
            <w:vMerge w:val="continue"/>
            <w:tcBorders>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c>
          <w:tcPr>
            <w:tcW w:w="532" w:type="pct"/>
            <w:vMerge w:val="restart"/>
            <w:tcBorders>
              <w:top w:val="nil"/>
              <w:left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664" w:type="pct"/>
            <w:vMerge w:val="restart"/>
            <w:tcBorders>
              <w:top w:val="nil"/>
              <w:left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val="0"/>
                <w:color w:val="auto"/>
                <w:szCs w:val="21"/>
                <w:highlight w:val="none"/>
              </w:rPr>
              <w:t>司机要求</w:t>
            </w:r>
          </w:p>
        </w:tc>
        <w:tc>
          <w:tcPr>
            <w:tcW w:w="3803" w:type="pct"/>
            <w:tcBorders>
              <w:top w:val="nil"/>
              <w:left w:val="single" w:color="000000" w:sz="4" w:space="0"/>
              <w:bottom w:val="single" w:color="000000" w:sz="4" w:space="0"/>
              <w:right w:val="single" w:color="000000" w:sz="4" w:space="0"/>
            </w:tcBorders>
            <w:vAlign w:val="center"/>
          </w:tcPr>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1.驾驶员必须为中标人的签约员工，持证上岗并具备5年以上驾驶经验</w:t>
            </w:r>
            <w:r>
              <w:rPr>
                <w:rFonts w:hint="eastAsia" w:ascii="宋体" w:hAnsi="宋体" w:cs="宋体"/>
                <w:color w:val="auto"/>
                <w:szCs w:val="21"/>
                <w:highlight w:val="none"/>
                <w:lang w:eastAsia="zh-CN"/>
              </w:rPr>
              <w:t>。</w:t>
            </w:r>
          </w:p>
          <w:p>
            <w:pPr>
              <w:rPr>
                <w:rFonts w:ascii="宋体" w:hAnsi="宋体" w:cs="宋体"/>
                <w:color w:val="auto"/>
                <w:szCs w:val="21"/>
                <w:highlight w:val="none"/>
              </w:rPr>
            </w:pPr>
            <w:r>
              <w:rPr>
                <w:rFonts w:hint="eastAsia" w:ascii="宋体" w:hAnsi="宋体" w:cs="宋体"/>
                <w:color w:val="auto"/>
                <w:szCs w:val="21"/>
                <w:highlight w:val="none"/>
              </w:rPr>
              <w:t>2.驾驶员必须服从采购人的管理，安全、文明驾驶。若采购人对驾驶员服务质量不满意，中标人须按照采购人的要求更换合格的驾驶员。</w:t>
            </w:r>
          </w:p>
          <w:p>
            <w:pPr>
              <w:rPr>
                <w:rFonts w:ascii="宋体" w:hAnsi="宋体" w:cs="宋体"/>
                <w:color w:val="auto"/>
                <w:szCs w:val="21"/>
                <w:highlight w:val="none"/>
              </w:rPr>
            </w:pPr>
            <w:r>
              <w:rPr>
                <w:rFonts w:hint="eastAsia" w:ascii="宋体" w:hAnsi="宋体" w:cs="宋体"/>
                <w:color w:val="auto"/>
                <w:szCs w:val="21"/>
                <w:highlight w:val="none"/>
              </w:rPr>
              <w:t>3.中标人必须有完善的车辆管理及安全管理制度，有一支较高职业素</w:t>
            </w:r>
            <w:r>
              <w:rPr>
                <w:rFonts w:hint="eastAsia" w:ascii="宋体" w:hAnsi="宋体" w:cs="宋体"/>
                <w:color w:val="auto"/>
                <w:szCs w:val="21"/>
                <w:highlight w:val="none"/>
                <w:lang w:val="en-US" w:eastAsia="zh-CN"/>
              </w:rPr>
              <w:t>质</w:t>
            </w:r>
            <w:r>
              <w:rPr>
                <w:rFonts w:hint="eastAsia" w:ascii="宋体" w:hAnsi="宋体" w:cs="宋体"/>
                <w:color w:val="auto"/>
                <w:szCs w:val="21"/>
                <w:highlight w:val="none"/>
              </w:rPr>
              <w:t>和驾驶技能的驾驶员队伍，能做到遵章守法，执行管理制度，自觉对车辆进行日常检查和保养工作。</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numPr>
                <w:ilvl w:val="255"/>
                <w:numId w:val="0"/>
              </w:numPr>
              <w:rPr>
                <w:rFonts w:ascii="宋体" w:hAnsi="宋体" w:cs="宋体"/>
                <w:color w:val="auto"/>
                <w:szCs w:val="21"/>
                <w:highlight w:val="none"/>
              </w:rPr>
            </w:pPr>
            <w:r>
              <w:rPr>
                <w:rFonts w:hint="eastAsia" w:ascii="宋体" w:hAnsi="宋体" w:cs="宋体"/>
                <w:color w:val="auto"/>
                <w:szCs w:val="21"/>
                <w:highlight w:val="none"/>
              </w:rPr>
              <w:t>车辆到达采购人项目地点后，双方共同进行验车并对驾驶员证件资料进行备案，中标人提供的车辆如发生故障，司机不得继续使用故障车辆，及时告知采购人，并须在2小时内完成修复，如未能及时修复需告知采购人，并更换同等功能条件车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numPr>
                <w:ilvl w:val="255"/>
                <w:numId w:val="0"/>
              </w:numPr>
              <w:rPr>
                <w:rFonts w:ascii="宋体" w:hAnsi="宋体" w:cs="宋体"/>
                <w:color w:val="auto"/>
                <w:szCs w:val="21"/>
                <w:highlight w:val="none"/>
              </w:rPr>
            </w:pPr>
            <w:r>
              <w:rPr>
                <w:rFonts w:hint="eastAsia" w:ascii="宋体" w:hAnsi="宋体" w:cs="宋体"/>
                <w:color w:val="auto"/>
                <w:szCs w:val="21"/>
                <w:highlight w:val="none"/>
              </w:rPr>
              <w:t>中标人提供的车辆驾驶员需购买意外保险和雇主责任保险（赔付金额不低于100万），对自身人生安全负责；特种车辆驾驶员必须持证上岗，服从采购人现场负责人工作安排，严格按照采购人要求按时出勤并高效工作，工作期间正确佩戴劳保用品，如需配备安全帽、反光衣等由</w:t>
            </w: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rPr>
              <w:t>人自备，严禁酒后驾驶、无证驾驶、疲劳驾驶等违法行为，做到每日用车前对特种车辆进行日常检测，确保正常使用。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right w:val="single" w:color="000000" w:sz="4" w:space="0"/>
            </w:tcBorders>
            <w:vAlign w:val="center"/>
          </w:tcPr>
          <w:p>
            <w:pP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numPr>
                <w:ilvl w:val="255"/>
                <w:numId w:val="0"/>
              </w:numPr>
              <w:spacing w:line="240" w:lineRule="auto"/>
              <w:rPr>
                <w:rFonts w:ascii="宋体" w:hAnsi="宋体" w:cs="宋体"/>
                <w:color w:val="auto"/>
                <w:szCs w:val="21"/>
                <w:highlight w:val="none"/>
              </w:rPr>
            </w:pPr>
            <w:r>
              <w:rPr>
                <w:rFonts w:hint="eastAsia" w:ascii="宋体" w:hAnsi="宋体" w:cs="宋体"/>
                <w:color w:val="auto"/>
                <w:szCs w:val="21"/>
                <w:highlight w:val="none"/>
              </w:rPr>
              <w:t>如因驾驶员操作不当或无证驾驶等违法行为导致意外发生，由中标人全权负责，采购人有权解除服务关系或更换特种车辆驾驶员，并保留追究中标人责任的权利。</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right w:val="single" w:color="000000" w:sz="4" w:space="0"/>
            </w:tcBorders>
            <w:vAlign w:val="center"/>
          </w:tcPr>
          <w:p>
            <w:pP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numPr>
                <w:ilvl w:val="255"/>
                <w:numId w:val="0"/>
              </w:numPr>
              <w:spacing w:line="240" w:lineRule="auto"/>
              <w:rPr>
                <w:rFonts w:ascii="宋体" w:hAnsi="宋体" w:cs="宋体"/>
                <w:color w:val="auto"/>
                <w:szCs w:val="21"/>
                <w:highlight w:val="none"/>
              </w:rPr>
            </w:pPr>
            <w:r>
              <w:rPr>
                <w:rFonts w:hint="eastAsia" w:ascii="宋体" w:hAnsi="宋体" w:cs="宋体"/>
                <w:color w:val="auto"/>
                <w:szCs w:val="21"/>
                <w:highlight w:val="none"/>
              </w:rPr>
              <w:t>中标人对车辆负保管责任，如发生被盗、抢、骗及毁损报废、扣押、罚没等，均由中标人负责。如对采购人造成损失的，中标人须按要求赔偿。</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c>
          <w:tcPr>
            <w:tcW w:w="532" w:type="pct"/>
            <w:vMerge w:val="continue"/>
            <w:tcBorders>
              <w:left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right w:val="single" w:color="000000" w:sz="4" w:space="0"/>
            </w:tcBorders>
            <w:vAlign w:val="center"/>
          </w:tcPr>
          <w:p>
            <w:pP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numPr>
                <w:ilvl w:val="255"/>
                <w:numId w:val="0"/>
              </w:numPr>
              <w:spacing w:line="240" w:lineRule="auto"/>
              <w:rPr>
                <w:rFonts w:ascii="宋体" w:hAnsi="宋体" w:cs="宋体"/>
                <w:color w:val="auto"/>
                <w:szCs w:val="21"/>
                <w:highlight w:val="none"/>
              </w:rPr>
            </w:pPr>
            <w:r>
              <w:rPr>
                <w:rFonts w:hint="eastAsia" w:ascii="宋体" w:hAnsi="宋体" w:cs="宋体"/>
                <w:color w:val="auto"/>
                <w:szCs w:val="21"/>
                <w:highlight w:val="none"/>
              </w:rPr>
              <w:t>中标人要加强安全管理，若发生交通安全事故、行政处罚或超载超重等行为，由中标人负责承担一切处罚责任，采购人不承担任何处罚责任。</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664" w:type="pct"/>
            <w:vMerge w:val="continue"/>
            <w:tcBorders>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p>
        </w:tc>
        <w:tc>
          <w:tcPr>
            <w:tcW w:w="3803" w:type="pct"/>
            <w:tcBorders>
              <w:top w:val="nil"/>
              <w:left w:val="single" w:color="000000" w:sz="4" w:space="0"/>
              <w:bottom w:val="single" w:color="000000" w:sz="4" w:space="0"/>
              <w:right w:val="single" w:color="000000" w:sz="4" w:space="0"/>
            </w:tcBorders>
            <w:vAlign w:val="center"/>
          </w:tcPr>
          <w:p>
            <w:pPr>
              <w:numPr>
                <w:ilvl w:val="255"/>
                <w:numId w:val="0"/>
              </w:numPr>
              <w:spacing w:line="240" w:lineRule="auto"/>
              <w:rPr>
                <w:rFonts w:ascii="宋体" w:hAnsi="宋体" w:cs="宋体"/>
                <w:color w:val="auto"/>
                <w:szCs w:val="21"/>
                <w:highlight w:val="none"/>
              </w:rPr>
            </w:pPr>
            <w:r>
              <w:rPr>
                <w:rFonts w:hint="eastAsia" w:ascii="宋体" w:hAnsi="宋体" w:cs="宋体"/>
                <w:color w:val="auto"/>
                <w:szCs w:val="21"/>
                <w:highlight w:val="none"/>
              </w:rPr>
              <w:t>中标人需听从采购人现场管理，如因现场作业不规范问题导致采购人公众形象受损的，由中标人承担一切损失。</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tcBorders>
              <w:top w:val="nil"/>
              <w:left w:val="single" w:color="000000" w:sz="4" w:space="0"/>
              <w:bottom w:val="single" w:color="auto"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664" w:type="pct"/>
            <w:tcBorders>
              <w:top w:val="nil"/>
              <w:left w:val="single" w:color="000000" w:sz="4" w:space="0"/>
              <w:bottom w:val="single" w:color="auto"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val="0"/>
                <w:bCs w:val="0"/>
                <w:color w:val="auto"/>
                <w:szCs w:val="21"/>
                <w:highlight w:val="none"/>
              </w:rPr>
              <w:t>保险要求</w:t>
            </w:r>
          </w:p>
        </w:tc>
        <w:tc>
          <w:tcPr>
            <w:tcW w:w="3803" w:type="pct"/>
            <w:tcBorders>
              <w:top w:val="nil"/>
              <w:left w:val="single" w:color="000000" w:sz="4" w:space="0"/>
              <w:bottom w:val="single" w:color="auto"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中标人根据采购需求所提供车辆须购买交强险、商业保险，包括但不限于车辆交强险、车损险、第三者100万（或以上）加不计免赔、车上人员责任险等常规车辆保险。</w:t>
            </w:r>
          </w:p>
          <w:p>
            <w:pPr>
              <w:rPr>
                <w:rFonts w:ascii="宋体" w:hAnsi="宋体" w:cs="宋体"/>
                <w:color w:val="auto"/>
                <w:szCs w:val="21"/>
                <w:highlight w:val="none"/>
              </w:rPr>
            </w:pPr>
            <w:r>
              <w:rPr>
                <w:rFonts w:hint="eastAsia" w:ascii="宋体" w:hAnsi="宋体" w:cs="宋体"/>
                <w:color w:val="auto"/>
                <w:szCs w:val="21"/>
                <w:highlight w:val="none"/>
              </w:rPr>
              <w:t>（供车时需提供购买保险的凭据或相关材料以证明。）</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53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snapToGrid/>
              <w:rPr>
                <w:rFonts w:ascii="宋体" w:hAnsi="宋体" w:cs="宋体"/>
                <w:color w:val="auto"/>
                <w:szCs w:val="21"/>
                <w:highlight w:val="none"/>
              </w:rPr>
            </w:pPr>
            <w:r>
              <w:rPr>
                <w:rFonts w:hint="eastAsia" w:ascii="宋体" w:hAnsi="宋体" w:cs="宋体"/>
                <w:b w:val="0"/>
                <w:bCs w:val="0"/>
                <w:color w:val="auto"/>
                <w:szCs w:val="21"/>
                <w:highlight w:val="none"/>
              </w:rPr>
              <w:t>其他要求</w:t>
            </w:r>
          </w:p>
        </w:tc>
        <w:tc>
          <w:tcPr>
            <w:tcW w:w="3803" w:type="pct"/>
            <w:tcBorders>
              <w:top w:val="single" w:color="auto" w:sz="4" w:space="0"/>
              <w:left w:val="single" w:color="auto" w:sz="4" w:space="0"/>
              <w:bottom w:val="single" w:color="auto" w:sz="4" w:space="0"/>
              <w:right w:val="single" w:color="auto" w:sz="4" w:space="0"/>
            </w:tcBorders>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租赁期内的车辆可用于采购人投标使用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3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snapToGrid/>
              <w:rPr>
                <w:rFonts w:ascii="宋体" w:hAnsi="宋体" w:cs="宋体"/>
                <w:color w:val="auto"/>
                <w:szCs w:val="21"/>
                <w:highlight w:val="none"/>
              </w:rPr>
            </w:pPr>
            <w:r>
              <w:rPr>
                <w:rFonts w:hint="eastAsia" w:ascii="宋体" w:hAnsi="宋体" w:cs="宋体"/>
                <w:b w:val="0"/>
                <w:bCs w:val="0"/>
                <w:color w:val="auto"/>
                <w:szCs w:val="21"/>
                <w:highlight w:val="none"/>
              </w:rPr>
              <w:t>售后服务</w:t>
            </w:r>
          </w:p>
        </w:tc>
        <w:tc>
          <w:tcPr>
            <w:tcW w:w="3803" w:type="pct"/>
            <w:tcBorders>
              <w:top w:val="single" w:color="auto" w:sz="4" w:space="0"/>
              <w:left w:val="single" w:color="auto" w:sz="4" w:space="0"/>
              <w:bottom w:val="single" w:color="auto" w:sz="4" w:space="0"/>
              <w:right w:val="single" w:color="auto" w:sz="4" w:space="0"/>
            </w:tcBorders>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小时内响应（响应时间、更换要求及相关服务）</w:t>
            </w:r>
          </w:p>
        </w:tc>
      </w:tr>
    </w:tbl>
    <w:p>
      <w:pPr>
        <w:pStyle w:val="5"/>
        <w:numPr>
          <w:ilvl w:val="0"/>
          <w:numId w:val="3"/>
        </w:numPr>
        <w:spacing w:before="0" w:after="0" w:line="360" w:lineRule="auto"/>
        <w:jc w:val="center"/>
        <w:rPr>
          <w:rFonts w:ascii="宋体" w:hAnsi="宋体"/>
          <w:color w:val="auto"/>
          <w:highlight w:val="none"/>
        </w:rPr>
      </w:pPr>
      <w:r>
        <w:rPr>
          <w:rFonts w:hint="eastAsia" w:ascii="宋体" w:hAnsi="宋体"/>
          <w:color w:val="auto"/>
          <w:highlight w:val="none"/>
        </w:rPr>
        <w:t>租赁清单</w:t>
      </w:r>
    </w:p>
    <w:tbl>
      <w:tblPr>
        <w:tblStyle w:val="32"/>
        <w:tblW w:w="5000" w:type="pct"/>
        <w:tblInd w:w="0" w:type="dxa"/>
        <w:tblLayout w:type="fixed"/>
        <w:tblCellMar>
          <w:top w:w="0" w:type="dxa"/>
          <w:left w:w="108" w:type="dxa"/>
          <w:bottom w:w="0" w:type="dxa"/>
          <w:right w:w="108" w:type="dxa"/>
        </w:tblCellMar>
      </w:tblPr>
      <w:tblGrid>
        <w:gridCol w:w="1091"/>
        <w:gridCol w:w="2724"/>
        <w:gridCol w:w="864"/>
        <w:gridCol w:w="820"/>
        <w:gridCol w:w="661"/>
        <w:gridCol w:w="1440"/>
        <w:gridCol w:w="922"/>
      </w:tblGrid>
      <w:tr>
        <w:tblPrEx>
          <w:tblCellMar>
            <w:top w:w="0" w:type="dxa"/>
            <w:left w:w="108" w:type="dxa"/>
            <w:bottom w:w="0" w:type="dxa"/>
            <w:right w:w="108" w:type="dxa"/>
          </w:tblCellMar>
        </w:tblPrEx>
        <w:trPr>
          <w:trHeight w:val="623" w:hRule="atLeast"/>
        </w:trPr>
        <w:tc>
          <w:tcPr>
            <w:tcW w:w="5000" w:type="pct"/>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lang w:bidi="ar"/>
              </w:rPr>
            </w:pPr>
            <w:r>
              <w:rPr>
                <w:rFonts w:hint="eastAsia" w:ascii="宋体" w:hAnsi="宋体" w:cs="宋体"/>
                <w:b/>
                <w:bCs/>
                <w:color w:val="auto"/>
                <w:szCs w:val="21"/>
                <w:highlight w:val="none"/>
                <w:lang w:bidi="ar"/>
              </w:rPr>
              <w:t>工程车辆及设备清单</w:t>
            </w:r>
          </w:p>
        </w:tc>
      </w:tr>
      <w:tr>
        <w:tblPrEx>
          <w:tblCellMar>
            <w:top w:w="0" w:type="dxa"/>
            <w:left w:w="108" w:type="dxa"/>
            <w:bottom w:w="0" w:type="dxa"/>
            <w:right w:w="108" w:type="dxa"/>
          </w:tblCellMar>
        </w:tblPrEx>
        <w:trPr>
          <w:trHeight w:val="360"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名称</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参数</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lang w:bidi="ar"/>
              </w:rPr>
              <w:t>类型</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单位</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数量</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lang w:bidi="ar"/>
              </w:rPr>
            </w:pPr>
            <w:r>
              <w:rPr>
                <w:rFonts w:hint="eastAsia" w:ascii="宋体" w:hAnsi="宋体" w:cs="宋体"/>
                <w:color w:val="auto"/>
                <w:szCs w:val="21"/>
                <w:highlight w:val="none"/>
                <w:lang w:bidi="ar"/>
              </w:rPr>
              <w:t>含税台班最高限价（元）</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lang w:bidi="ar"/>
              </w:rPr>
            </w:pPr>
            <w:r>
              <w:rPr>
                <w:rFonts w:hint="eastAsia" w:ascii="宋体" w:hAnsi="宋体" w:cs="宋体"/>
                <w:color w:val="auto"/>
                <w:szCs w:val="21"/>
                <w:highlight w:val="none"/>
                <w:lang w:bidi="ar"/>
              </w:rPr>
              <w:t>备注</w:t>
            </w:r>
          </w:p>
        </w:tc>
      </w:tr>
      <w:tr>
        <w:tblPrEx>
          <w:tblCellMar>
            <w:top w:w="0" w:type="dxa"/>
            <w:left w:w="108" w:type="dxa"/>
            <w:bottom w:w="0" w:type="dxa"/>
            <w:right w:w="108" w:type="dxa"/>
          </w:tblCellMar>
        </w:tblPrEx>
        <w:trPr>
          <w:trHeight w:val="285" w:hRule="atLeast"/>
        </w:trPr>
        <w:tc>
          <w:tcPr>
            <w:tcW w:w="640" w:type="pct"/>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高空作业车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举升高度≥16m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 xml:space="preserve">1697.00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举升高度≥32m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2086.00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平板自卸车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总质量≥4495kg，护栏加高40cm。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1243.33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清淤车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3100.00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防撞车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总质量≥9200kg，100k。</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1643.33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铲车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总质量≥6吨</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1580.00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轮式挖掘机</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6吨级，斗容量约0.3方。</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1630.00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12吨级，斗容量约0.5方。</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2251.67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20吨级，斗容量约0.8方。</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2743.33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履带式</w:t>
            </w: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随车吊</w:t>
            </w:r>
          </w:p>
        </w:tc>
        <w:tc>
          <w:tcPr>
            <w:tcW w:w="159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8吨，工作半径≥14m，举升高度≥16m。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 xml:space="preserve">2355.00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汽车吊</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额定起重量≥80000kg，臂长≥30m。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 xml:space="preserve">6200.00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1140" w:hRule="atLeast"/>
        </w:trPr>
        <w:tc>
          <w:tcPr>
            <w:tcW w:w="64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升降机（移动式电动液压剪叉小型升降机）</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最大高度≥12m，平台载重≥300kg</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 xml:space="preserve">715.00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color w:val="auto"/>
                <w:highlight w:val="none"/>
              </w:rPr>
            </w:pPr>
            <w:r>
              <w:rPr>
                <w:color w:val="auto"/>
                <w:highlight w:val="none"/>
                <w:lang w:bidi="ar"/>
              </w:rPr>
              <w:t>不带司机</w:t>
            </w:r>
          </w:p>
          <w:p>
            <w:pPr>
              <w:pStyle w:val="11"/>
              <w:rPr>
                <w:rFonts w:ascii="Tahoma" w:hAnsi="Tahoma" w:cstheme="minorBidi"/>
                <w:color w:val="auto"/>
                <w:sz w:val="21"/>
                <w:highlight w:val="none"/>
                <w:lang w:val="en-US" w:bidi="ar"/>
              </w:rPr>
            </w:pPr>
          </w:p>
        </w:tc>
      </w:tr>
      <w:tr>
        <w:tblPrEx>
          <w:tblCellMar>
            <w:top w:w="0" w:type="dxa"/>
            <w:left w:w="108" w:type="dxa"/>
            <w:bottom w:w="0" w:type="dxa"/>
            <w:right w:w="108" w:type="dxa"/>
          </w:tblCellMar>
        </w:tblPrEx>
        <w:trPr>
          <w:trHeight w:val="570"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工程土方车</w:t>
            </w:r>
          </w:p>
        </w:tc>
        <w:tc>
          <w:tcPr>
            <w:tcW w:w="159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轮胎：前四后八，容量≥13方，带电动蓬,可进市区</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2350.00 </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bl>
    <w:p>
      <w:pPr>
        <w:numPr>
          <w:ilvl w:val="255"/>
          <w:numId w:val="0"/>
        </w:numPr>
        <w:rPr>
          <w:color w:val="auto"/>
          <w:highlight w:val="none"/>
        </w:rPr>
      </w:pPr>
    </w:p>
    <w:p>
      <w:pPr>
        <w:pStyle w:val="13"/>
        <w:ind w:firstLine="422" w:firstLineChars="200"/>
        <w:rPr>
          <w:b/>
          <w:bCs/>
          <w:color w:val="auto"/>
          <w:highlight w:val="none"/>
        </w:rPr>
      </w:pPr>
      <w:r>
        <w:rPr>
          <w:rFonts w:hint="eastAsia" w:ascii="宋体" w:hAnsi="宋体"/>
          <w:b/>
          <w:bCs/>
          <w:color w:val="auto"/>
          <w:szCs w:val="21"/>
          <w:highlight w:val="none"/>
        </w:rPr>
        <w:t>注：不满足采购文件中 “★”条款的投标文件将作无效投标处理。</w:t>
      </w:r>
    </w:p>
    <w:p>
      <w:pPr>
        <w:rPr>
          <w:rFonts w:ascii="宋体" w:hAnsi="宋体"/>
          <w:color w:val="auto"/>
          <w:highlight w:val="none"/>
        </w:rPr>
      </w:pPr>
    </w:p>
    <w:p>
      <w:pPr>
        <w:pStyle w:val="11"/>
        <w:rPr>
          <w:color w:val="auto"/>
          <w:highlight w:val="none"/>
          <w:lang w:val="en-US"/>
        </w:rPr>
      </w:pPr>
    </w:p>
    <w:p>
      <w:pPr>
        <w:pStyle w:val="30"/>
        <w:ind w:firstLine="240"/>
        <w:rPr>
          <w:color w:val="auto"/>
          <w:highlight w:val="none"/>
          <w:lang w:val="en-US"/>
        </w:rPr>
      </w:pPr>
    </w:p>
    <w:p>
      <w:pPr>
        <w:pStyle w:val="31"/>
        <w:ind w:firstLine="420"/>
        <w:rPr>
          <w:rFonts w:ascii="宋体" w:hAnsi="宋体"/>
          <w:color w:val="auto"/>
          <w:highlight w:val="none"/>
        </w:rPr>
      </w:pPr>
    </w:p>
    <w:p>
      <w:pPr>
        <w:rPr>
          <w:rFonts w:ascii="宋体" w:hAnsi="宋体"/>
          <w:color w:val="auto"/>
          <w:highlight w:val="none"/>
        </w:rPr>
      </w:pPr>
    </w:p>
    <w:p>
      <w:pPr>
        <w:pStyle w:val="5"/>
        <w:spacing w:before="0" w:after="0" w:line="360" w:lineRule="auto"/>
        <w:jc w:val="center"/>
        <w:rPr>
          <w:rFonts w:ascii="宋体" w:hAnsi="宋体"/>
          <w:color w:val="auto"/>
          <w:szCs w:val="21"/>
          <w:highlight w:val="none"/>
        </w:rPr>
      </w:pPr>
      <w:r>
        <w:rPr>
          <w:rFonts w:hint="eastAsia" w:ascii="宋体" w:hAnsi="宋体"/>
          <w:color w:val="auto"/>
          <w:highlight w:val="none"/>
        </w:rPr>
        <w:t>B包：</w:t>
      </w:r>
      <w:r>
        <w:rPr>
          <w:rFonts w:hint="eastAsia" w:ascii="宋体" w:hAnsi="宋体"/>
          <w:color w:val="auto"/>
          <w:szCs w:val="21"/>
          <w:highlight w:val="none"/>
        </w:rPr>
        <w:t>城服公司环卫保洁车辆设备租赁</w:t>
      </w:r>
    </w:p>
    <w:p>
      <w:pPr>
        <w:pStyle w:val="5"/>
        <w:spacing w:before="0" w:after="0" w:line="360" w:lineRule="auto"/>
        <w:jc w:val="center"/>
        <w:rPr>
          <w:rFonts w:ascii="宋体" w:hAnsi="宋体"/>
          <w:color w:val="auto"/>
          <w:highlight w:val="none"/>
        </w:rPr>
      </w:pPr>
      <w:r>
        <w:rPr>
          <w:rFonts w:hint="eastAsia" w:ascii="宋体" w:hAnsi="宋体"/>
          <w:color w:val="auto"/>
          <w:szCs w:val="21"/>
          <w:highlight w:val="none"/>
        </w:rPr>
        <w:t>一、</w:t>
      </w:r>
      <w:r>
        <w:rPr>
          <w:rFonts w:hint="eastAsia" w:ascii="宋体" w:hAnsi="宋体"/>
          <w:color w:val="auto"/>
          <w:highlight w:val="none"/>
        </w:rPr>
        <w:t>商务需求书</w:t>
      </w:r>
      <w:bookmarkEnd w:id="6"/>
      <w:bookmarkEnd w:id="7"/>
    </w:p>
    <w:tbl>
      <w:tblPr>
        <w:tblStyle w:val="3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53"/>
        <w:gridCol w:w="66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61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614" w:type="dxa"/>
            <w:vAlign w:val="center"/>
          </w:tcPr>
          <w:p>
            <w:pPr>
              <w:pStyle w:val="43"/>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服务期</w:t>
            </w:r>
          </w:p>
        </w:tc>
        <w:tc>
          <w:tcPr>
            <w:tcW w:w="6614" w:type="dxa"/>
            <w:vAlign w:val="center"/>
          </w:tcPr>
          <w:p>
            <w:pPr>
              <w:numPr>
                <w:ilvl w:val="-1"/>
                <w:numId w:val="0"/>
              </w:numPr>
              <w:ind w:firstLine="420" w:firstLineChars="200"/>
              <w:rPr>
                <w:rFonts w:eastAsia="宋体"/>
                <w:color w:val="auto"/>
                <w:highlight w:val="none"/>
              </w:rPr>
            </w:pPr>
            <w:r>
              <w:rPr>
                <w:rFonts w:hint="default" w:eastAsia="宋体"/>
                <w:color w:val="auto"/>
                <w:highlight w:val="none"/>
              </w:rPr>
              <w:t>1、本项目以签订年度协议的方式进行，</w:t>
            </w:r>
            <w:r>
              <w:rPr>
                <w:rFonts w:eastAsia="宋体"/>
                <w:color w:val="auto"/>
                <w:highlight w:val="none"/>
              </w:rPr>
              <w:t>合同执行期以预算金额</w:t>
            </w:r>
            <w:r>
              <w:rPr>
                <w:rFonts w:hint="default" w:eastAsia="宋体"/>
                <w:color w:val="auto"/>
                <w:highlight w:val="none"/>
                <w:lang w:val="en-US" w:eastAsia="zh-CN"/>
              </w:rPr>
              <w:t>或</w:t>
            </w:r>
            <w:r>
              <w:rPr>
                <w:rFonts w:eastAsia="宋体"/>
                <w:color w:val="auto"/>
                <w:highlight w:val="none"/>
              </w:rPr>
              <w:t>服务期（一年）先到者为限，即服务期满或包组预算金额用尽，合同终止。</w:t>
            </w:r>
          </w:p>
          <w:p>
            <w:pPr>
              <w:numPr>
                <w:ilvl w:val="0"/>
                <w:numId w:val="0"/>
              </w:numPr>
              <w:ind w:firstLine="420" w:firstLineChars="200"/>
              <w:rPr>
                <w:rFonts w:hint="default" w:eastAsia="宋体"/>
                <w:color w:val="auto"/>
                <w:highlight w:val="none"/>
              </w:rPr>
            </w:pPr>
            <w:r>
              <w:rPr>
                <w:rFonts w:hint="default" w:eastAsia="宋体"/>
                <w:color w:val="auto"/>
                <w:highlight w:val="none"/>
              </w:rPr>
              <w:t>2、</w:t>
            </w:r>
            <w:r>
              <w:rPr>
                <w:rFonts w:eastAsia="宋体"/>
                <w:color w:val="auto"/>
                <w:highlight w:val="none"/>
              </w:rPr>
              <w:t>采购人和中标人签订合同后，实际租赁车型</w:t>
            </w:r>
            <w:r>
              <w:rPr>
                <w:rFonts w:hint="default" w:eastAsia="宋体"/>
                <w:color w:val="auto"/>
                <w:highlight w:val="none"/>
              </w:rPr>
              <w:t>、时间、</w:t>
            </w:r>
            <w:r>
              <w:rPr>
                <w:rFonts w:eastAsia="宋体"/>
                <w:color w:val="auto"/>
                <w:highlight w:val="none"/>
              </w:rPr>
              <w:t>数量</w:t>
            </w:r>
            <w:r>
              <w:rPr>
                <w:rFonts w:hint="default" w:eastAsia="宋体"/>
                <w:color w:val="auto"/>
                <w:highlight w:val="none"/>
              </w:rPr>
              <w:t>和使用地点</w:t>
            </w:r>
            <w:r>
              <w:rPr>
                <w:rFonts w:eastAsia="宋体"/>
                <w:color w:val="auto"/>
                <w:highlight w:val="none"/>
              </w:rPr>
              <w:t>由采购人根据工作需要调配确定</w:t>
            </w:r>
            <w:r>
              <w:rPr>
                <w:rFonts w:hint="default" w:eastAsia="宋体"/>
                <w:color w:val="auto"/>
                <w:highlight w:val="none"/>
              </w:rPr>
              <w:t>，</w:t>
            </w:r>
            <w:r>
              <w:rPr>
                <w:rFonts w:eastAsia="宋体"/>
                <w:color w:val="auto"/>
                <w:highlight w:val="none"/>
              </w:rPr>
              <w:t>1年内租赁含税价格不变，每单次租赁期不少于1个月</w:t>
            </w:r>
            <w:r>
              <w:rPr>
                <w:rFonts w:hint="default" w:eastAsia="宋体"/>
                <w:color w:val="auto"/>
                <w:highlight w:val="none"/>
              </w:rPr>
              <w:t>，超出整月的费用计算方式：应付租金=月租金/30*实际租赁天数。</w:t>
            </w:r>
          </w:p>
          <w:p>
            <w:pPr>
              <w:ind w:firstLine="420" w:firstLineChars="200"/>
              <w:rPr>
                <w:color w:val="auto"/>
                <w:highlight w:val="none"/>
              </w:rPr>
            </w:pPr>
            <w:r>
              <w:rPr>
                <w:rFonts w:hint="default" w:ascii="宋体" w:hAnsi="宋体" w:eastAsia="宋体" w:cs="宋体"/>
                <w:color w:val="auto"/>
                <w:sz w:val="21"/>
                <w:szCs w:val="21"/>
                <w:highlight w:val="none"/>
                <w:lang w:val="en-US" w:eastAsia="zh-CN"/>
              </w:rPr>
              <w:t>3、每次</w:t>
            </w:r>
            <w:r>
              <w:rPr>
                <w:rFonts w:hint="default" w:ascii="宋体" w:hAnsi="宋体" w:eastAsia="宋体" w:cs="宋体"/>
                <w:color w:val="auto"/>
                <w:sz w:val="21"/>
                <w:szCs w:val="21"/>
                <w:highlight w:val="none"/>
              </w:rPr>
              <w:t>车辆到达</w:t>
            </w:r>
            <w:r>
              <w:rPr>
                <w:rFonts w:hint="default" w:ascii="宋体" w:hAnsi="宋体" w:eastAsia="宋体" w:cs="宋体"/>
                <w:color w:val="auto"/>
                <w:sz w:val="21"/>
                <w:szCs w:val="21"/>
                <w:highlight w:val="none"/>
                <w:lang w:val="en-US" w:eastAsia="zh-CN"/>
              </w:rPr>
              <w:t>采购人</w:t>
            </w:r>
            <w:r>
              <w:rPr>
                <w:rFonts w:hint="default" w:ascii="宋体" w:hAnsi="宋体" w:eastAsia="宋体" w:cs="宋体"/>
                <w:color w:val="auto"/>
                <w:sz w:val="21"/>
                <w:szCs w:val="21"/>
                <w:highlight w:val="none"/>
              </w:rPr>
              <w:t>项目地点后，双方共同进行验车、查验车辆有效证件，满油进出，</w:t>
            </w:r>
            <w:r>
              <w:rPr>
                <w:rFonts w:hint="default" w:ascii="宋体" w:hAnsi="宋体" w:eastAsia="宋体" w:cs="宋体"/>
                <w:color w:val="auto"/>
                <w:sz w:val="21"/>
                <w:szCs w:val="21"/>
                <w:highlight w:val="none"/>
                <w:lang w:val="en-US" w:eastAsia="zh-CN"/>
              </w:rPr>
              <w:t>单次租赁期一个月的</w:t>
            </w:r>
            <w:r>
              <w:rPr>
                <w:rFonts w:hint="default" w:ascii="宋体" w:hAnsi="宋体" w:eastAsia="宋体" w:cs="宋体"/>
                <w:color w:val="auto"/>
                <w:sz w:val="21"/>
                <w:szCs w:val="21"/>
                <w:highlight w:val="none"/>
              </w:rPr>
              <w:t>试用期</w:t>
            </w:r>
            <w:r>
              <w:rPr>
                <w:rFonts w:hint="default" w:ascii="宋体" w:hAnsi="宋体" w:eastAsia="宋体" w:cs="宋体"/>
                <w:color w:val="auto"/>
                <w:sz w:val="21"/>
                <w:szCs w:val="21"/>
                <w:highlight w:val="none"/>
                <w:lang w:val="en-US" w:eastAsia="zh-CN"/>
              </w:rPr>
              <w:t>三天，一个月以上三个月以下</w:t>
            </w:r>
            <w:r>
              <w:rPr>
                <w:rFonts w:hint="default" w:ascii="宋体" w:hAnsi="宋体" w:eastAsia="宋体" w:cs="宋体"/>
                <w:color w:val="auto"/>
                <w:sz w:val="21"/>
                <w:szCs w:val="21"/>
                <w:highlight w:val="none"/>
              </w:rPr>
              <w:t>试用期</w:t>
            </w:r>
            <w:r>
              <w:rPr>
                <w:rFonts w:hint="default" w:ascii="宋体" w:hAnsi="宋体" w:eastAsia="宋体" w:cs="宋体"/>
                <w:color w:val="auto"/>
                <w:sz w:val="21"/>
                <w:szCs w:val="21"/>
                <w:highlight w:val="none"/>
                <w:lang w:val="en-US" w:eastAsia="zh-CN"/>
              </w:rPr>
              <w:t>五天，单次租期三个月以上的</w:t>
            </w:r>
            <w:r>
              <w:rPr>
                <w:rFonts w:hint="default" w:ascii="宋体" w:hAnsi="宋体" w:eastAsia="宋体" w:cs="宋体"/>
                <w:color w:val="auto"/>
                <w:sz w:val="21"/>
                <w:szCs w:val="21"/>
                <w:highlight w:val="none"/>
              </w:rPr>
              <w:t>试用期</w:t>
            </w:r>
            <w:r>
              <w:rPr>
                <w:rFonts w:hint="default" w:ascii="宋体" w:hAnsi="宋体" w:eastAsia="宋体" w:cs="宋体"/>
                <w:color w:val="auto"/>
                <w:sz w:val="21"/>
                <w:szCs w:val="21"/>
                <w:highlight w:val="none"/>
                <w:lang w:val="en-US" w:eastAsia="zh-CN"/>
              </w:rPr>
              <w:t>7天</w:t>
            </w:r>
            <w:r>
              <w:rPr>
                <w:rFonts w:hint="default" w:ascii="宋体" w:hAnsi="宋体" w:eastAsia="宋体" w:cs="宋体"/>
                <w:color w:val="auto"/>
                <w:sz w:val="21"/>
                <w:szCs w:val="21"/>
                <w:highlight w:val="none"/>
              </w:rPr>
              <w:t>，试用期内如有问题，</w:t>
            </w:r>
            <w:r>
              <w:rPr>
                <w:rFonts w:hint="default" w:ascii="宋体" w:hAnsi="宋体" w:eastAsia="宋体" w:cs="宋体"/>
                <w:color w:val="auto"/>
                <w:sz w:val="21"/>
                <w:szCs w:val="21"/>
                <w:highlight w:val="none"/>
                <w:lang w:val="en-US" w:eastAsia="zh-CN"/>
              </w:rPr>
              <w:t>采购人</w:t>
            </w:r>
            <w:r>
              <w:rPr>
                <w:rFonts w:hint="default" w:ascii="宋体" w:hAnsi="宋体" w:eastAsia="宋体" w:cs="宋体"/>
                <w:color w:val="auto"/>
                <w:sz w:val="21"/>
                <w:szCs w:val="21"/>
                <w:highlight w:val="none"/>
              </w:rPr>
              <w:t>有权让</w:t>
            </w:r>
            <w:r>
              <w:rPr>
                <w:rFonts w:hint="default" w:ascii="宋体" w:hAnsi="宋体" w:eastAsia="宋体" w:cs="宋体"/>
                <w:color w:val="auto"/>
                <w:sz w:val="21"/>
                <w:szCs w:val="21"/>
                <w:highlight w:val="none"/>
                <w:lang w:val="en-US" w:eastAsia="zh-CN"/>
              </w:rPr>
              <w:t>中标人</w:t>
            </w:r>
            <w:r>
              <w:rPr>
                <w:rFonts w:hint="default" w:ascii="宋体" w:hAnsi="宋体" w:eastAsia="宋体" w:cs="宋体"/>
                <w:color w:val="auto"/>
                <w:sz w:val="21"/>
                <w:szCs w:val="21"/>
                <w:highlight w:val="none"/>
              </w:rPr>
              <w:t>24小时内维修好或更换其他完好车辆给</w:t>
            </w:r>
            <w:r>
              <w:rPr>
                <w:rFonts w:hint="default" w:ascii="宋体" w:hAnsi="宋体" w:eastAsia="宋体" w:cs="宋体"/>
                <w:color w:val="auto"/>
                <w:sz w:val="21"/>
                <w:szCs w:val="21"/>
                <w:highlight w:val="none"/>
                <w:lang w:val="en-US" w:eastAsia="zh-CN"/>
              </w:rPr>
              <w:t>采购人</w:t>
            </w:r>
            <w:r>
              <w:rPr>
                <w:rFonts w:hint="default" w:ascii="宋体" w:hAnsi="宋体" w:eastAsia="宋体" w:cs="宋体"/>
                <w:color w:val="auto"/>
                <w:sz w:val="21"/>
                <w:szCs w:val="21"/>
                <w:highlight w:val="none"/>
              </w:rPr>
              <w:t>使用，试用期满车辆无任何问题后双方签署车辆交接验收单。租赁期满后，若</w:t>
            </w:r>
            <w:r>
              <w:rPr>
                <w:rFonts w:hint="default" w:ascii="宋体" w:hAnsi="宋体" w:eastAsia="宋体" w:cs="宋体"/>
                <w:color w:val="auto"/>
                <w:sz w:val="21"/>
                <w:szCs w:val="21"/>
                <w:highlight w:val="none"/>
                <w:lang w:val="en-US" w:eastAsia="zh-CN"/>
              </w:rPr>
              <w:t>采购人</w:t>
            </w:r>
            <w:r>
              <w:rPr>
                <w:rFonts w:hint="default" w:ascii="宋体" w:hAnsi="宋体" w:eastAsia="宋体" w:cs="宋体"/>
                <w:color w:val="auto"/>
                <w:sz w:val="21"/>
                <w:szCs w:val="21"/>
                <w:highlight w:val="none"/>
              </w:rPr>
              <w:t>需要续租，须在合同到期前15天书面通知</w:t>
            </w:r>
            <w:r>
              <w:rPr>
                <w:rFonts w:hint="default" w:ascii="宋体" w:hAnsi="宋体" w:eastAsia="宋体" w:cs="宋体"/>
                <w:color w:val="auto"/>
                <w:sz w:val="21"/>
                <w:szCs w:val="21"/>
                <w:highlight w:val="none"/>
                <w:lang w:val="en-US" w:eastAsia="zh-CN"/>
              </w:rPr>
              <w:t>中标人</w:t>
            </w:r>
            <w:r>
              <w:rPr>
                <w:rFonts w:hint="default" w:ascii="宋体" w:hAnsi="宋体" w:eastAsia="宋体" w:cs="宋体"/>
                <w:color w:val="auto"/>
                <w:sz w:val="21"/>
                <w:szCs w:val="21"/>
                <w:highlight w:val="none"/>
              </w:rPr>
              <w:t>，经双方协商办理相关的续签手续，方可继续使用车辆。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交货期</w:t>
            </w:r>
          </w:p>
        </w:tc>
        <w:tc>
          <w:tcPr>
            <w:tcW w:w="6614" w:type="dxa"/>
            <w:vAlign w:val="center"/>
          </w:tcPr>
          <w:p>
            <w:pPr>
              <w:rPr>
                <w:rFonts w:ascii="宋体" w:hAnsi="宋体" w:cs="宋体"/>
                <w:color w:val="auto"/>
                <w:szCs w:val="21"/>
                <w:highlight w:val="none"/>
              </w:rPr>
            </w:pPr>
            <w:r>
              <w:rPr>
                <w:rFonts w:ascii="宋体" w:hAnsi="宋体" w:cs="宋体"/>
                <w:color w:val="auto"/>
                <w:szCs w:val="21"/>
                <w:highlight w:val="none"/>
              </w:rPr>
              <w:t>签订合同后，</w:t>
            </w:r>
            <w:r>
              <w:rPr>
                <w:rFonts w:hint="eastAsia" w:ascii="宋体" w:hAnsi="宋体" w:cs="宋体"/>
                <w:color w:val="auto"/>
                <w:szCs w:val="21"/>
                <w:highlight w:val="none"/>
              </w:rPr>
              <w:t>中标人</w:t>
            </w:r>
            <w:r>
              <w:rPr>
                <w:rFonts w:ascii="宋体" w:hAnsi="宋体" w:cs="宋体"/>
                <w:color w:val="auto"/>
                <w:szCs w:val="21"/>
                <w:highlight w:val="none"/>
              </w:rPr>
              <w:t>每次收到采购人正式进场的书面通知起：环卫车辆5个日历日内进场，每单次租赁期满后，若采购人需要续租，在约定到期前3天书面通知</w:t>
            </w:r>
            <w:r>
              <w:rPr>
                <w:rFonts w:hint="eastAsia" w:ascii="宋体" w:hAnsi="宋体" w:cs="宋体"/>
                <w:color w:val="auto"/>
                <w:szCs w:val="21"/>
                <w:highlight w:val="none"/>
              </w:rPr>
              <w:t>中标人</w:t>
            </w:r>
            <w:r>
              <w:rPr>
                <w:rFonts w:ascii="宋体" w:hAnsi="宋体" w:cs="宋体"/>
                <w:color w:val="auto"/>
                <w:szCs w:val="21"/>
                <w:highlight w:val="none"/>
              </w:rPr>
              <w:t>，经双方协商办理相关的续签手续</w:t>
            </w:r>
            <w:r>
              <w:rPr>
                <w:rFonts w:hint="eastAsia" w:ascii="宋体" w:hAnsi="宋体" w:cs="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614" w:type="dxa"/>
            <w:vAlign w:val="center"/>
          </w:tcPr>
          <w:p>
            <w:pPr>
              <w:snapToGrid/>
              <w:rPr>
                <w:rFonts w:ascii="宋体" w:hAnsi="宋体" w:cs="宋体"/>
                <w:color w:val="auto"/>
                <w:sz w:val="24"/>
                <w:szCs w:val="24"/>
                <w:highlight w:val="none"/>
              </w:rPr>
            </w:pPr>
            <w:r>
              <w:rPr>
                <w:rFonts w:hint="eastAsia"/>
                <w:color w:val="auto"/>
                <w:highlight w:val="none"/>
              </w:rPr>
              <w:t>1、每次下单后，中标人出具等额增值税专用发票及请款资料，</w:t>
            </w:r>
            <w:r>
              <w:rPr>
                <w:rFonts w:hint="eastAsia" w:eastAsia="宋体"/>
                <w:color w:val="auto"/>
                <w:highlight w:val="none"/>
              </w:rPr>
              <w:t>采购人</w:t>
            </w:r>
            <w:r>
              <w:rPr>
                <w:rFonts w:hint="eastAsia" w:eastAsia="宋体"/>
                <w:color w:val="auto"/>
                <w:highlight w:val="none"/>
                <w:lang w:val="en-US" w:eastAsia="zh-CN"/>
              </w:rPr>
              <w:t>收到</w:t>
            </w:r>
            <w:r>
              <w:rPr>
                <w:rFonts w:hint="eastAsia" w:ascii="Tahoma" w:hAnsi="Tahoma" w:eastAsia="宋体" w:cstheme="minorBidi"/>
                <w:color w:val="auto"/>
                <w:sz w:val="21"/>
                <w:szCs w:val="22"/>
                <w:highlight w:val="none"/>
              </w:rPr>
              <w:t>前述材料</w:t>
            </w:r>
            <w:r>
              <w:rPr>
                <w:rFonts w:hint="eastAsia" w:ascii="Tahoma" w:hAnsi="Tahoma" w:eastAsia="宋体" w:cstheme="minorBidi"/>
                <w:color w:val="auto"/>
                <w:sz w:val="21"/>
                <w:szCs w:val="22"/>
                <w:highlight w:val="none"/>
                <w:lang w:val="en-US" w:eastAsia="zh-CN"/>
              </w:rPr>
              <w:t>并核对无误后</w:t>
            </w:r>
            <w:r>
              <w:rPr>
                <w:rFonts w:hint="eastAsia" w:ascii="Tahoma" w:hAnsi="Tahoma" w:eastAsia="宋体" w:cstheme="minorBidi"/>
                <w:color w:val="auto"/>
                <w:sz w:val="21"/>
                <w:szCs w:val="22"/>
                <w:highlight w:val="none"/>
              </w:rPr>
              <w:t>三十个日历日内向中标人支付</w:t>
            </w:r>
            <w:r>
              <w:rPr>
                <w:rFonts w:hint="eastAsia" w:eastAsia="宋体"/>
                <w:color w:val="auto"/>
                <w:highlight w:val="none"/>
                <w:lang w:val="en-US" w:eastAsia="zh-CN"/>
              </w:rPr>
              <w:t>该单租金总额</w:t>
            </w:r>
            <w:r>
              <w:rPr>
                <w:rFonts w:hint="eastAsia" w:ascii="Tahoma" w:hAnsi="Tahoma" w:eastAsia="宋体" w:cstheme="minorBidi"/>
                <w:color w:val="auto"/>
                <w:sz w:val="21"/>
                <w:szCs w:val="22"/>
                <w:highlight w:val="none"/>
              </w:rPr>
              <w:t>的20%作为定金；</w:t>
            </w:r>
          </w:p>
          <w:p>
            <w:pPr>
              <w:rPr>
                <w:color w:val="auto"/>
                <w:highlight w:val="none"/>
              </w:rPr>
            </w:pPr>
            <w:r>
              <w:rPr>
                <w:rFonts w:hint="eastAsia"/>
                <w:color w:val="auto"/>
                <w:highlight w:val="none"/>
              </w:rPr>
              <w:t>2、</w:t>
            </w:r>
            <w:r>
              <w:rPr>
                <w:rFonts w:hint="eastAsia"/>
                <w:color w:val="auto"/>
                <w:highlight w:val="none"/>
                <w:lang w:val="en-US" w:eastAsia="zh-CN"/>
              </w:rPr>
              <w:t>车辆进场后的租金的结算应先抵扣预付款，预付款抵扣完毕的次月起，双方应于每月</w:t>
            </w:r>
            <w:r>
              <w:rPr>
                <w:rFonts w:hint="eastAsia"/>
                <w:color w:val="auto"/>
                <w:highlight w:val="none"/>
              </w:rPr>
              <w:t>5</w:t>
            </w:r>
            <w:r>
              <w:rPr>
                <w:rFonts w:hint="eastAsia"/>
                <w:color w:val="auto"/>
                <w:highlight w:val="none"/>
                <w:lang w:val="en-US" w:eastAsia="zh-CN"/>
              </w:rPr>
              <w:t>号前核对上月应付租金，中标人应</w:t>
            </w:r>
            <w:r>
              <w:rPr>
                <w:rFonts w:hint="eastAsia"/>
                <w:color w:val="auto"/>
                <w:highlight w:val="none"/>
              </w:rPr>
              <w:t>出具等额增值税专用发票及请款资料，采购人收到资料后三十个日历日内支付</w:t>
            </w:r>
            <w:r>
              <w:rPr>
                <w:rFonts w:hint="eastAsia"/>
                <w:color w:val="auto"/>
                <w:highlight w:val="none"/>
                <w:lang w:val="en-US" w:eastAsia="zh-CN"/>
              </w:rPr>
              <w:t>上月</w:t>
            </w:r>
            <w:r>
              <w:rPr>
                <w:rFonts w:hint="eastAsia"/>
                <w:color w:val="auto"/>
                <w:highlight w:val="none"/>
              </w:rPr>
              <w:t>车辆租</w:t>
            </w:r>
            <w:r>
              <w:rPr>
                <w:rFonts w:hint="eastAsia"/>
                <w:color w:val="auto"/>
                <w:highlight w:val="none"/>
                <w:lang w:val="en-US" w:eastAsia="zh-CN"/>
              </w:rPr>
              <w:t>金</w:t>
            </w:r>
            <w:r>
              <w:rPr>
                <w:rFonts w:hint="eastAsia"/>
                <w:color w:val="auto"/>
                <w:highlight w:val="none"/>
                <w:lang w:eastAsia="zh-CN"/>
              </w:rPr>
              <w:t>。</w:t>
            </w:r>
          </w:p>
          <w:p>
            <w:pPr>
              <w:rPr>
                <w:color w:val="auto"/>
                <w:highlight w:val="none"/>
              </w:rPr>
            </w:pPr>
            <w:r>
              <w:rPr>
                <w:rFonts w:hint="eastAsia"/>
                <w:color w:val="auto"/>
                <w:highlight w:val="none"/>
                <w:lang w:val="en-US" w:eastAsia="zh-CN"/>
              </w:rPr>
              <w:t>3</w:t>
            </w:r>
            <w:r>
              <w:rPr>
                <w:rFonts w:hint="eastAsia"/>
                <w:color w:val="auto"/>
                <w:highlight w:val="none"/>
              </w:rPr>
              <w:t>、履约担保返还申请时间为本项目服务期结束验收合格并结算完毕后，收到中标人申请资料并核对无误后30个日历日内，采购人将扣罚后剩余的履约保证金一次性无息退回。</w:t>
            </w:r>
          </w:p>
          <w:p>
            <w:pPr>
              <w:rPr>
                <w:color w:val="auto"/>
                <w:highlight w:val="none"/>
              </w:rPr>
            </w:pPr>
            <w:r>
              <w:rPr>
                <w:rFonts w:hint="eastAsia" w:ascii="宋体" w:hAnsi="宋体" w:cs="宋体"/>
                <w:color w:val="auto"/>
                <w:szCs w:val="21"/>
                <w:highlight w:val="none"/>
              </w:rPr>
              <w:t>注：若中标人未能提交符合要求的发票、有效请款资料的，采购人有权拒绝付款，无需承担任何违约责任。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项目地点</w:t>
            </w:r>
          </w:p>
        </w:tc>
        <w:tc>
          <w:tcPr>
            <w:tcW w:w="6614" w:type="dxa"/>
            <w:vAlign w:val="center"/>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353"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报价要求</w:t>
            </w:r>
          </w:p>
        </w:tc>
        <w:tc>
          <w:tcPr>
            <w:tcW w:w="6614" w:type="dxa"/>
            <w:vAlign w:val="center"/>
          </w:tcPr>
          <w:p>
            <w:pPr>
              <w:numPr>
                <w:ilvl w:val="-1"/>
                <w:numId w:val="0"/>
              </w:num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1、本项目采用含税固定单价的报价方式，报价不得高出限价。</w:t>
            </w:r>
          </w:p>
          <w:p>
            <w:pPr>
              <w:numPr>
                <w:ilvl w:val="-1"/>
                <w:numId w:val="0"/>
              </w:num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2、按月报价（元/台/月），以实际租赁时间为准，报价需包含车辆租赁费、税费、保险费、运费、装卸费、年审、服务费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路桥费</w:t>
            </w:r>
            <w:r>
              <w:rPr>
                <w:rFonts w:hint="eastAsia" w:ascii="宋体" w:hAnsi="宋体" w:eastAsia="宋体" w:cs="宋体"/>
                <w:color w:val="auto"/>
                <w:szCs w:val="21"/>
                <w:highlight w:val="none"/>
              </w:rPr>
              <w:t>等一切为满足项目实施可能产生的费用，结算时不做调整。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车辆保险</w:t>
            </w:r>
          </w:p>
        </w:tc>
        <w:tc>
          <w:tcPr>
            <w:tcW w:w="6614" w:type="dxa"/>
            <w:vAlign w:val="center"/>
          </w:tcPr>
          <w:p>
            <w:pPr>
              <w:pStyle w:val="10"/>
              <w:ind w:firstLine="420" w:firstLineChars="200"/>
              <w:rPr>
                <w:rFonts w:ascii="宋体" w:hAnsi="宋体" w:cs="宋体"/>
                <w:color w:val="auto"/>
                <w:szCs w:val="21"/>
                <w:highlight w:val="none"/>
              </w:rPr>
            </w:pPr>
            <w:r>
              <w:rPr>
                <w:rFonts w:hint="eastAsia" w:ascii="宋体" w:hAnsi="宋体" w:cs="宋体"/>
                <w:color w:val="auto"/>
                <w:szCs w:val="21"/>
                <w:highlight w:val="none"/>
              </w:rPr>
              <w:t>车辆需有商业保险，包括但不限于车辆交强险、车损险、第三者100万（或以上）加不计免赔、车上人员责任险，采购人不承担任何费用。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派单方式</w:t>
            </w:r>
          </w:p>
        </w:tc>
        <w:tc>
          <w:tcPr>
            <w:tcW w:w="6614" w:type="dxa"/>
            <w:vAlign w:val="center"/>
          </w:tcPr>
          <w:p>
            <w:pPr>
              <w:tabs>
                <w:tab w:val="center" w:pos="3125"/>
              </w:tabs>
              <w:ind w:firstLine="420" w:firstLineChars="200"/>
              <w:rPr>
                <w:rFonts w:ascii="宋体" w:hAnsi="宋体" w:cs="宋体"/>
                <w:color w:val="auto"/>
                <w:szCs w:val="21"/>
                <w:highlight w:val="none"/>
              </w:rPr>
            </w:pPr>
            <w:r>
              <w:rPr>
                <w:rFonts w:hint="eastAsia" w:ascii="宋体" w:hAnsi="宋体" w:cs="宋体"/>
                <w:color w:val="auto"/>
                <w:szCs w:val="21"/>
                <w:highlight w:val="none"/>
              </w:rPr>
              <w:t>在满足项目用车供货时间节点需求和用车数量需求的前提下，由采购员组织招采小组按每辆租赁用车单价从低到高原则分派。</w:t>
            </w:r>
          </w:p>
          <w:p>
            <w:pPr>
              <w:tabs>
                <w:tab w:val="center" w:pos="3125"/>
              </w:tabs>
              <w:ind w:firstLine="420" w:firstLineChars="200"/>
              <w:rPr>
                <w:rFonts w:ascii="宋体" w:hAnsi="宋体" w:cs="宋体"/>
                <w:color w:val="auto"/>
                <w:szCs w:val="21"/>
                <w:highlight w:val="none"/>
              </w:rPr>
            </w:pPr>
            <w:r>
              <w:rPr>
                <w:rFonts w:hint="eastAsia" w:ascii="宋体" w:hAnsi="宋体" w:eastAsia="宋体" w:cs="宋体"/>
                <w:color w:val="auto"/>
                <w:kern w:val="0"/>
                <w:sz w:val="21"/>
                <w:szCs w:val="21"/>
                <w:highlight w:val="none"/>
                <w:lang w:val="en-US" w:eastAsia="zh-CN"/>
              </w:rPr>
              <w:t>注：投标人必须按投标清单进行派单响应，如未及时响应提供租赁服务的，采购人将登记并进行年度评价考核，作为下个年度合作依据。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614" w:type="dxa"/>
            <w:vAlign w:val="center"/>
          </w:tcPr>
          <w:p>
            <w:pPr>
              <w:tabs>
                <w:tab w:val="center" w:pos="3125"/>
              </w:tabs>
              <w:ind w:firstLine="420" w:firstLineChars="200"/>
              <w:rPr>
                <w:rFonts w:ascii="宋体" w:hAnsi="宋体" w:cs="宋体"/>
                <w:color w:val="auto"/>
                <w:szCs w:val="21"/>
                <w:highlight w:val="none"/>
              </w:rPr>
            </w:pPr>
            <w:r>
              <w:rPr>
                <w:rFonts w:hint="eastAsia" w:ascii="宋体" w:hAnsi="宋体" w:cs="宋体"/>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35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614" w:type="dxa"/>
            <w:vAlign w:val="center"/>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pPr>
        <w:jc w:val="center"/>
        <w:rPr>
          <w:color w:val="auto"/>
          <w:highlight w:val="none"/>
        </w:rPr>
      </w:pPr>
    </w:p>
    <w:p>
      <w:pPr>
        <w:pStyle w:val="5"/>
        <w:spacing w:before="0" w:after="0" w:line="360" w:lineRule="auto"/>
        <w:jc w:val="center"/>
        <w:rPr>
          <w:rFonts w:ascii="宋体" w:hAnsi="宋体"/>
          <w:color w:val="auto"/>
          <w:highlight w:val="none"/>
        </w:rPr>
      </w:pPr>
      <w:r>
        <w:rPr>
          <w:rFonts w:hint="eastAsia" w:ascii="宋体" w:hAnsi="宋体"/>
          <w:color w:val="auto"/>
          <w:highlight w:val="none"/>
        </w:rPr>
        <w:t>二、技术需求书</w:t>
      </w:r>
    </w:p>
    <w:p>
      <w:pPr>
        <w:widowControl w:val="0"/>
        <w:jc w:val="both"/>
        <w:rPr>
          <w:rFonts w:ascii="宋体" w:hAnsi="宋体" w:cs="宋体"/>
          <w:b/>
          <w:bCs/>
          <w:color w:val="auto"/>
          <w:szCs w:val="21"/>
          <w:highlight w:val="none"/>
        </w:rPr>
      </w:pPr>
      <w:r>
        <w:rPr>
          <w:rFonts w:hint="eastAsia" w:ascii="宋体" w:hAnsi="宋体" w:cs="宋体"/>
          <w:b/>
          <w:bCs/>
          <w:color w:val="auto"/>
          <w:szCs w:val="21"/>
          <w:highlight w:val="none"/>
        </w:rPr>
        <w:t>一、技术要求</w:t>
      </w:r>
    </w:p>
    <w:tbl>
      <w:tblPr>
        <w:tblStyle w:val="32"/>
        <w:tblW w:w="4998"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88"/>
        <w:gridCol w:w="1420"/>
        <w:gridCol w:w="6311"/>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序号</w:t>
            </w:r>
          </w:p>
        </w:tc>
        <w:tc>
          <w:tcPr>
            <w:tcW w:w="83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名称</w:t>
            </w:r>
          </w:p>
        </w:tc>
        <w:tc>
          <w:tcPr>
            <w:tcW w:w="3703"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b/>
                <w:color w:val="auto"/>
                <w:szCs w:val="21"/>
                <w:highlight w:val="none"/>
              </w:rPr>
              <w:t>技术参数/要求</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83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使用路线</w:t>
            </w:r>
          </w:p>
        </w:tc>
        <w:tc>
          <w:tcPr>
            <w:tcW w:w="37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采购人可根据项目实际需要，适时调整行车线路、停靠点、执行时间、班次。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83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证照要求</w:t>
            </w:r>
          </w:p>
        </w:tc>
        <w:tc>
          <w:tcPr>
            <w:tcW w:w="37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中标人提供的各类型车辆须满足采购需求，所提供的运营车辆须来源合法，证照齐全，手续完备。（供车时提供相关有效权属证照或租赁合同（含有效的车辆权照等）、行驶证等材料的盖章复印件或扫描件）</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83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车辆要求</w:t>
            </w:r>
          </w:p>
        </w:tc>
        <w:tc>
          <w:tcPr>
            <w:tcW w:w="37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中标人提供的租赁车辆运行状况良好，机动车行驶证的注册日期必须是201</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年1月1日之后或总里程不超过16万公里 (勾臂车、后压车总里程不超过21万公里)，垃圾压缩箱出厂日期不得超过3年（2020年1月1日启算）。车辆满油进出，车辆外观、车厢座椅及车内设施需整洁卫生。</w:t>
            </w:r>
          </w:p>
          <w:p>
            <w:pPr>
              <w:rPr>
                <w:rFonts w:ascii="宋体" w:hAnsi="宋体" w:cs="宋体"/>
                <w:color w:val="auto"/>
                <w:szCs w:val="21"/>
                <w:highlight w:val="none"/>
              </w:rPr>
            </w:pPr>
            <w:r>
              <w:rPr>
                <w:rFonts w:hint="eastAsia" w:ascii="宋体" w:hAnsi="宋体" w:cs="宋体"/>
                <w:color w:val="auto"/>
                <w:szCs w:val="21"/>
                <w:highlight w:val="none"/>
              </w:rPr>
              <w:t>符合国家规定安全环保等要求，配备停车指示标志、逃生锤、灭火器、急救箱等安全设备，必要时按照规定安装具有行驶记录功能的卫星定位装置。</w:t>
            </w:r>
            <w:r>
              <w:rPr>
                <w:rFonts w:hint="eastAsia" w:ascii="宋体" w:hAnsi="宋体" w:cs="宋体"/>
                <w:bCs/>
                <w:color w:val="auto"/>
                <w:szCs w:val="21"/>
                <w:highlight w:val="none"/>
              </w:rPr>
              <w:t>座椅、空调功能正常无故障，安全性能良好，并符合公安部门及交委的相关要求。</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833" w:type="pc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37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如对车型有参数要求，须检查机动车登记证相关参数是否符合要求，如机动车登记证无要求参数则提供其他有效证明</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restart"/>
            <w:tcBorders>
              <w:top w:val="nil"/>
              <w:left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833" w:type="pct"/>
            <w:vMerge w:val="restart"/>
            <w:tcBorders>
              <w:top w:val="nil"/>
              <w:left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保险要求</w:t>
            </w:r>
          </w:p>
        </w:tc>
        <w:tc>
          <w:tcPr>
            <w:tcW w:w="37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中标人根据采购需求所提供车辆须购买交强险、商业保险，包括但不限于车辆交强险、车损险、第三者100万（或以上）加不计免赔、车上人员责任险等常规车辆保险，</w:t>
            </w:r>
          </w:p>
          <w:p>
            <w:pPr>
              <w:rPr>
                <w:rFonts w:ascii="宋体" w:hAnsi="宋体" w:cs="宋体"/>
                <w:color w:val="auto"/>
                <w:szCs w:val="21"/>
                <w:highlight w:val="none"/>
              </w:rPr>
            </w:pPr>
            <w:r>
              <w:rPr>
                <w:rFonts w:hint="eastAsia" w:ascii="宋体" w:hAnsi="宋体" w:cs="宋体"/>
                <w:color w:val="auto"/>
                <w:szCs w:val="21"/>
                <w:highlight w:val="none"/>
              </w:rPr>
              <w:t>（供车时需提供购买保险的凭据或相关材料以证明。）</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833" w:type="pct"/>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p>
        </w:tc>
        <w:tc>
          <w:tcPr>
            <w:tcW w:w="37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上述保险、不计免赔服务仅免除保险范围内的有关损失，但不免除如因采购人违法违规、事故等导致车辆被扣而产生的停运损失。</w:t>
            </w:r>
          </w:p>
          <w:p>
            <w:pPr>
              <w:rPr>
                <w:rFonts w:ascii="宋体" w:hAnsi="宋体" w:cs="宋体"/>
                <w:color w:val="auto"/>
                <w:szCs w:val="21"/>
                <w:highlight w:val="none"/>
              </w:rPr>
            </w:pPr>
            <w:r>
              <w:rPr>
                <w:rFonts w:hint="eastAsia" w:ascii="宋体" w:hAnsi="宋体" w:cs="宋体"/>
                <w:color w:val="auto"/>
                <w:szCs w:val="21"/>
                <w:highlight w:val="none"/>
              </w:rPr>
              <w:t>如发生车损或其它保险事故，中标人负责承担保险公司免赔额及保险责任内的全部损失，采购人负责保险公司免赔额及保险责任外的损失，中标人有负责处理事故和办理保险索赔的义务。</w:t>
            </w:r>
          </w:p>
          <w:p>
            <w:pPr>
              <w:rPr>
                <w:rFonts w:ascii="宋体" w:hAnsi="宋体" w:cs="宋体"/>
                <w:color w:val="auto"/>
                <w:szCs w:val="21"/>
                <w:highlight w:val="none"/>
              </w:rPr>
            </w:pPr>
            <w:r>
              <w:rPr>
                <w:rFonts w:hint="eastAsia" w:ascii="宋体" w:hAnsi="宋体" w:cs="宋体"/>
                <w:color w:val="auto"/>
                <w:szCs w:val="21"/>
                <w:highlight w:val="none"/>
              </w:rPr>
              <w:t>如发生交通事故或其它保险事故，采购人应通知中标人处理。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restar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833" w:type="pct"/>
            <w:vMerge w:val="restart"/>
            <w:tcBorders>
              <w:top w:val="nil"/>
              <w:left w:val="single" w:color="000000" w:sz="4" w:space="0"/>
              <w:bottom w:val="single" w:color="000000" w:sz="4" w:space="0"/>
              <w:right w:val="single" w:color="000000"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备用车保障</w:t>
            </w:r>
          </w:p>
        </w:tc>
        <w:tc>
          <w:tcPr>
            <w:tcW w:w="3703" w:type="pct"/>
            <w:tcBorders>
              <w:top w:val="nil"/>
              <w:left w:val="single" w:color="000000" w:sz="4" w:space="0"/>
              <w:bottom w:val="single" w:color="000000"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车辆在作业途中发生交通事故或车辆机械故障时，中标人应及时安排车辆转接。</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continue"/>
            <w:tcBorders>
              <w:top w:val="nil"/>
              <w:left w:val="single" w:color="000000" w:sz="4" w:space="0"/>
              <w:bottom w:val="single" w:color="auto" w:sz="4" w:space="0"/>
              <w:right w:val="single" w:color="000000" w:sz="4" w:space="0"/>
            </w:tcBorders>
            <w:vAlign w:val="center"/>
          </w:tcPr>
          <w:p>
            <w:pPr>
              <w:jc w:val="center"/>
              <w:rPr>
                <w:rFonts w:ascii="宋体" w:hAnsi="宋体" w:cs="宋体"/>
                <w:color w:val="auto"/>
                <w:szCs w:val="21"/>
                <w:highlight w:val="none"/>
              </w:rPr>
            </w:pPr>
          </w:p>
        </w:tc>
        <w:tc>
          <w:tcPr>
            <w:tcW w:w="833" w:type="pct"/>
            <w:vMerge w:val="continue"/>
            <w:tcBorders>
              <w:top w:val="nil"/>
              <w:left w:val="single" w:color="000000" w:sz="4" w:space="0"/>
              <w:bottom w:val="single" w:color="auto" w:sz="4" w:space="0"/>
              <w:right w:val="single" w:color="000000" w:sz="4" w:space="0"/>
            </w:tcBorders>
            <w:vAlign w:val="center"/>
          </w:tcPr>
          <w:p>
            <w:pPr>
              <w:jc w:val="center"/>
              <w:rPr>
                <w:rFonts w:ascii="宋体" w:hAnsi="宋体" w:cs="宋体"/>
                <w:color w:val="auto"/>
                <w:szCs w:val="21"/>
                <w:highlight w:val="none"/>
              </w:rPr>
            </w:pPr>
          </w:p>
        </w:tc>
        <w:tc>
          <w:tcPr>
            <w:tcW w:w="3703" w:type="pct"/>
            <w:tcBorders>
              <w:top w:val="nil"/>
              <w:left w:val="single" w:color="000000" w:sz="4" w:space="0"/>
              <w:bottom w:val="single" w:color="auto" w:sz="4" w:space="0"/>
              <w:right w:val="single" w:color="000000"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服务车辆在使用期间如确需维修、保养、年审、接受定期检审或其他双方认可的合理因素而造成需要暂停运作业，中标人应调派同等条件的车辆供采购人使用，不得提供报废车或其他车辆问题车辆。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833" w:type="pct"/>
            <w:tcBorders>
              <w:top w:val="single" w:color="auto" w:sz="4" w:space="0"/>
              <w:left w:val="single" w:color="auto" w:sz="4" w:space="0"/>
              <w:bottom w:val="single" w:color="auto" w:sz="4" w:space="0"/>
              <w:right w:val="single" w:color="auto" w:sz="4" w:space="0"/>
            </w:tcBorders>
            <w:vAlign w:val="center"/>
          </w:tcPr>
          <w:p>
            <w:pPr>
              <w:numPr>
                <w:ilvl w:val="255"/>
                <w:numId w:val="0"/>
              </w:numPr>
              <w:adjustRightInd/>
              <w:snapToGrid/>
              <w:jc w:val="center"/>
              <w:rPr>
                <w:rFonts w:ascii="宋体" w:hAnsi="宋体" w:cs="宋体"/>
                <w:color w:val="auto"/>
                <w:szCs w:val="21"/>
                <w:highlight w:val="none"/>
              </w:rPr>
            </w:pPr>
            <w:r>
              <w:rPr>
                <w:rFonts w:hint="eastAsia" w:ascii="宋体" w:hAnsi="宋体" w:cs="宋体"/>
                <w:color w:val="auto"/>
                <w:szCs w:val="21"/>
                <w:highlight w:val="none"/>
              </w:rPr>
              <w:t>交车验车要求</w:t>
            </w:r>
          </w:p>
          <w:p>
            <w:pPr>
              <w:jc w:val="center"/>
              <w:rPr>
                <w:rFonts w:ascii="宋体" w:hAnsi="宋体" w:cs="宋体"/>
                <w:color w:val="auto"/>
                <w:szCs w:val="21"/>
                <w:highlight w:val="none"/>
              </w:rPr>
            </w:pPr>
          </w:p>
        </w:tc>
        <w:tc>
          <w:tcPr>
            <w:tcW w:w="3703" w:type="pct"/>
            <w:tcBorders>
              <w:top w:val="single" w:color="auto" w:sz="4" w:space="0"/>
              <w:left w:val="single" w:color="auto" w:sz="4" w:space="0"/>
              <w:bottom w:val="single" w:color="auto" w:sz="4" w:space="0"/>
              <w:right w:val="single" w:color="auto" w:sz="4" w:space="0"/>
            </w:tcBorders>
            <w:vAlign w:val="center"/>
          </w:tcPr>
          <w:p>
            <w:pPr>
              <w:numPr>
                <w:ilvl w:val="255"/>
                <w:numId w:val="0"/>
              </w:numPr>
              <w:adjustRightInd/>
              <w:snapToGrid/>
              <w:rPr>
                <w:rFonts w:ascii="宋体" w:hAnsi="宋体" w:cs="宋体"/>
                <w:color w:val="auto"/>
                <w:szCs w:val="21"/>
                <w:highlight w:val="none"/>
              </w:rPr>
            </w:pPr>
            <w:r>
              <w:rPr>
                <w:rFonts w:hint="eastAsia" w:ascii="宋体" w:hAnsi="宋体" w:cs="宋体"/>
                <w:color w:val="auto"/>
                <w:szCs w:val="21"/>
                <w:highlight w:val="none"/>
              </w:rPr>
              <w:t>（1）底盘没有油污，无漏油情况，无凹陷等异常。</w:t>
            </w:r>
          </w:p>
          <w:p>
            <w:pPr>
              <w:numPr>
                <w:ilvl w:val="255"/>
                <w:numId w:val="0"/>
              </w:numPr>
              <w:adjustRightInd/>
              <w:snapToGrid/>
              <w:rPr>
                <w:rFonts w:ascii="宋体" w:hAnsi="宋体" w:cs="宋体"/>
                <w:color w:val="auto"/>
                <w:szCs w:val="21"/>
                <w:highlight w:val="none"/>
              </w:rPr>
            </w:pPr>
            <w:r>
              <w:rPr>
                <w:rFonts w:hint="eastAsia" w:ascii="宋体" w:hAnsi="宋体" w:cs="宋体"/>
                <w:color w:val="auto"/>
                <w:szCs w:val="21"/>
                <w:highlight w:val="none"/>
              </w:rPr>
              <w:t>（2）前梁与转向连接的地方无出现断裂或重新焊接痕迹。</w:t>
            </w:r>
          </w:p>
          <w:p>
            <w:pPr>
              <w:numPr>
                <w:ilvl w:val="255"/>
                <w:numId w:val="0"/>
              </w:numPr>
              <w:adjustRightInd/>
              <w:snapToGrid/>
              <w:rPr>
                <w:rFonts w:ascii="宋体" w:hAnsi="宋体" w:cs="宋体"/>
                <w:color w:val="auto"/>
                <w:szCs w:val="21"/>
                <w:highlight w:val="none"/>
              </w:rPr>
            </w:pPr>
            <w:r>
              <w:rPr>
                <w:rFonts w:hint="eastAsia" w:ascii="宋体" w:hAnsi="宋体" w:cs="宋体"/>
                <w:color w:val="auto"/>
                <w:szCs w:val="21"/>
                <w:highlight w:val="none"/>
              </w:rPr>
              <w:t>（3）发动机舱内，线束无腐蚀、老化现象。</w:t>
            </w:r>
          </w:p>
          <w:p>
            <w:pPr>
              <w:numPr>
                <w:ilvl w:val="255"/>
                <w:numId w:val="0"/>
              </w:numPr>
              <w:adjustRightInd/>
              <w:snapToGrid/>
              <w:rPr>
                <w:rFonts w:ascii="宋体" w:hAnsi="宋体" w:cs="宋体"/>
                <w:color w:val="auto"/>
                <w:szCs w:val="21"/>
                <w:highlight w:val="none"/>
              </w:rPr>
            </w:pPr>
            <w:r>
              <w:rPr>
                <w:rFonts w:hint="eastAsia" w:ascii="宋体" w:hAnsi="宋体" w:cs="宋体"/>
                <w:color w:val="auto"/>
                <w:szCs w:val="21"/>
                <w:highlight w:val="none"/>
              </w:rPr>
              <w:t>（4）引擎盖上的螺丝、水箱支架上的螺丝、车门上连接的螺丝无更换痕迹。</w:t>
            </w:r>
          </w:p>
          <w:p>
            <w:pPr>
              <w:numPr>
                <w:ilvl w:val="255"/>
                <w:numId w:val="0"/>
              </w:numPr>
              <w:adjustRightInd/>
              <w:snapToGrid/>
              <w:rPr>
                <w:rFonts w:ascii="宋体" w:hAnsi="宋体" w:cs="宋体"/>
                <w:color w:val="auto"/>
                <w:szCs w:val="21"/>
                <w:highlight w:val="none"/>
              </w:rPr>
            </w:pPr>
            <w:r>
              <w:rPr>
                <w:rFonts w:hint="eastAsia" w:ascii="宋体" w:hAnsi="宋体" w:cs="宋体"/>
                <w:color w:val="auto"/>
                <w:szCs w:val="21"/>
                <w:highlight w:val="none"/>
              </w:rPr>
              <w:t>（5）检查行驶证上牌日期是否符合要求。</w:t>
            </w:r>
          </w:p>
          <w:p>
            <w:pPr>
              <w:adjustRightInd/>
              <w:snapToGrid/>
              <w:rPr>
                <w:rFonts w:ascii="宋体" w:hAnsi="宋体" w:cs="宋体"/>
                <w:color w:val="auto"/>
                <w:szCs w:val="21"/>
                <w:highlight w:val="none"/>
              </w:rPr>
            </w:pPr>
            <w:r>
              <w:rPr>
                <w:rFonts w:hint="eastAsia" w:ascii="宋体" w:hAnsi="宋体" w:cs="宋体"/>
                <w:color w:val="auto"/>
                <w:szCs w:val="21"/>
                <w:highlight w:val="none"/>
              </w:rPr>
              <w:t>（6）检查机动车登记证参数是否符合要求，如机动车登记证无要求参数则提供其他有效证明。</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833" w:type="pct"/>
            <w:vMerge w:val="restart"/>
            <w:tcBorders>
              <w:top w:val="single" w:color="auto" w:sz="4" w:space="0"/>
              <w:left w:val="single" w:color="auto" w:sz="4" w:space="0"/>
              <w:right w:val="single" w:color="auto" w:sz="4" w:space="0"/>
            </w:tcBorders>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其他要求</w:t>
            </w:r>
          </w:p>
        </w:tc>
        <w:tc>
          <w:tcPr>
            <w:tcW w:w="3703" w:type="pct"/>
            <w:tcBorders>
              <w:top w:val="single" w:color="auto" w:sz="4" w:space="0"/>
              <w:left w:val="single" w:color="auto" w:sz="4" w:space="0"/>
              <w:bottom w:val="single" w:color="auto" w:sz="4" w:space="0"/>
              <w:right w:val="single" w:color="auto" w:sz="4" w:space="0"/>
            </w:tcBorders>
            <w:vAlign w:val="center"/>
          </w:tcPr>
          <w:p>
            <w:pPr>
              <w:widowControl w:val="0"/>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租赁期内的车辆可用于采购人投标使用，设备进场需在显眼的展示区域包括但不限于车身周围、车尾处贴相应标识，具体以采购人要求为准。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continue"/>
            <w:tcBorders>
              <w:left w:val="single" w:color="auto" w:sz="4" w:space="0"/>
              <w:right w:val="single" w:color="auto" w:sz="4" w:space="0"/>
            </w:tcBorders>
            <w:vAlign w:val="center"/>
          </w:tcPr>
          <w:p>
            <w:pPr>
              <w:jc w:val="center"/>
              <w:rPr>
                <w:rFonts w:ascii="宋体" w:hAnsi="宋体" w:cs="宋体"/>
                <w:color w:val="auto"/>
                <w:szCs w:val="21"/>
                <w:highlight w:val="none"/>
              </w:rPr>
            </w:pPr>
          </w:p>
        </w:tc>
        <w:tc>
          <w:tcPr>
            <w:tcW w:w="833" w:type="pct"/>
            <w:vMerge w:val="continue"/>
            <w:tcBorders>
              <w:left w:val="single" w:color="auto" w:sz="4" w:space="0"/>
              <w:right w:val="single" w:color="auto" w:sz="4" w:space="0"/>
            </w:tcBorders>
            <w:vAlign w:val="center"/>
          </w:tcPr>
          <w:p>
            <w:pPr>
              <w:adjustRightInd/>
              <w:snapToGrid/>
              <w:rPr>
                <w:rFonts w:ascii="宋体" w:hAnsi="宋体" w:cs="宋体"/>
                <w:color w:val="auto"/>
                <w:szCs w:val="21"/>
                <w:highlight w:val="none"/>
              </w:rPr>
            </w:pPr>
          </w:p>
        </w:tc>
        <w:tc>
          <w:tcPr>
            <w:tcW w:w="3703" w:type="pct"/>
            <w:tcBorders>
              <w:top w:val="single" w:color="auto" w:sz="4" w:space="0"/>
              <w:left w:val="single" w:color="auto" w:sz="4" w:space="0"/>
              <w:bottom w:val="single" w:color="auto" w:sz="4" w:space="0"/>
              <w:right w:val="single" w:color="auto" w:sz="4" w:space="0"/>
            </w:tcBorders>
            <w:vAlign w:val="center"/>
          </w:tcPr>
          <w:p>
            <w:pPr>
              <w:widowControl w:val="0"/>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租赁车辆品牌为：</w:t>
            </w:r>
            <w:r>
              <w:rPr>
                <w:rFonts w:hint="eastAsia" w:ascii="宋体" w:hAnsi="宋体" w:cs="宋体"/>
                <w:color w:val="auto"/>
                <w:szCs w:val="21"/>
                <w:highlight w:val="none"/>
                <w:lang w:bidi="ar"/>
              </w:rPr>
              <w:t>中联、福龙马、宇通、徐工、东风等。</w:t>
            </w:r>
            <w:r>
              <w:rPr>
                <w:rFonts w:hint="eastAsia" w:ascii="宋体" w:hAnsi="宋体" w:cs="宋体"/>
                <w:b w:val="0"/>
                <w:bCs w:val="0"/>
                <w:color w:val="auto"/>
                <w:szCs w:val="21"/>
                <w:highlight w:val="none"/>
              </w:rPr>
              <w:t>注：或同级别品牌，最终由采购人认可确定。</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continue"/>
            <w:tcBorders>
              <w:left w:val="single" w:color="auto" w:sz="4" w:space="0"/>
              <w:right w:val="single" w:color="auto" w:sz="4" w:space="0"/>
            </w:tcBorders>
            <w:vAlign w:val="center"/>
          </w:tcPr>
          <w:p>
            <w:pPr>
              <w:jc w:val="center"/>
              <w:rPr>
                <w:rFonts w:ascii="宋体" w:hAnsi="宋体" w:cs="宋体"/>
                <w:color w:val="auto"/>
                <w:szCs w:val="21"/>
                <w:highlight w:val="none"/>
              </w:rPr>
            </w:pPr>
          </w:p>
        </w:tc>
        <w:tc>
          <w:tcPr>
            <w:tcW w:w="833" w:type="pct"/>
            <w:vMerge w:val="continue"/>
            <w:tcBorders>
              <w:left w:val="single" w:color="auto" w:sz="4" w:space="0"/>
              <w:right w:val="single" w:color="auto" w:sz="4" w:space="0"/>
            </w:tcBorders>
            <w:vAlign w:val="center"/>
          </w:tcPr>
          <w:p>
            <w:pPr>
              <w:adjustRightInd/>
              <w:snapToGrid/>
              <w:rPr>
                <w:rFonts w:ascii="宋体" w:hAnsi="宋体" w:cs="宋体"/>
                <w:color w:val="auto"/>
                <w:szCs w:val="21"/>
                <w:highlight w:val="none"/>
              </w:rPr>
            </w:pPr>
          </w:p>
        </w:tc>
        <w:tc>
          <w:tcPr>
            <w:tcW w:w="3703" w:type="pct"/>
            <w:tcBorders>
              <w:top w:val="single" w:color="auto" w:sz="4" w:space="0"/>
              <w:left w:val="single" w:color="auto" w:sz="4" w:space="0"/>
              <w:bottom w:val="single" w:color="auto" w:sz="4" w:space="0"/>
              <w:right w:val="single" w:color="auto" w:sz="4" w:space="0"/>
            </w:tcBorders>
            <w:vAlign w:val="center"/>
          </w:tcPr>
          <w:p>
            <w:pPr>
              <w:widowControl w:val="0"/>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中标人进出场时，需文明行车，如因不规范问题导致采购人社会公众形象受损，中标人承担一切责任。</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vMerge w:val="continue"/>
            <w:tcBorders>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c>
          <w:tcPr>
            <w:tcW w:w="833" w:type="pct"/>
            <w:vMerge w:val="continue"/>
            <w:tcBorders>
              <w:left w:val="single" w:color="auto" w:sz="4" w:space="0"/>
              <w:bottom w:val="single" w:color="auto" w:sz="4" w:space="0"/>
              <w:right w:val="single" w:color="auto" w:sz="4" w:space="0"/>
            </w:tcBorders>
            <w:vAlign w:val="center"/>
          </w:tcPr>
          <w:p>
            <w:pPr>
              <w:adjustRightInd/>
              <w:snapToGrid/>
              <w:rPr>
                <w:rFonts w:ascii="宋体" w:hAnsi="宋体" w:cs="宋体"/>
                <w:color w:val="auto"/>
                <w:szCs w:val="21"/>
                <w:highlight w:val="none"/>
              </w:rPr>
            </w:pPr>
          </w:p>
        </w:tc>
        <w:tc>
          <w:tcPr>
            <w:tcW w:w="3703" w:type="pct"/>
            <w:tcBorders>
              <w:top w:val="single" w:color="auto" w:sz="4" w:space="0"/>
              <w:left w:val="single" w:color="auto" w:sz="4" w:space="0"/>
              <w:bottom w:val="single" w:color="auto" w:sz="4" w:space="0"/>
              <w:right w:val="single" w:color="auto" w:sz="4" w:space="0"/>
            </w:tcBorders>
            <w:vAlign w:val="center"/>
          </w:tcPr>
          <w:p>
            <w:pPr>
              <w:widowControl w:val="0"/>
              <w:ind w:firstLine="420" w:firstLineChars="200"/>
              <w:jc w:val="both"/>
              <w:rPr>
                <w:rFonts w:hint="eastAsia" w:ascii="宋体" w:hAnsi="宋体" w:cs="宋体"/>
                <w:color w:val="auto"/>
                <w:szCs w:val="21"/>
                <w:highlight w:val="none"/>
              </w:rPr>
            </w:pPr>
            <w:r>
              <w:rPr>
                <w:rFonts w:hint="eastAsia" w:ascii="宋体" w:hAnsi="宋体" w:cs="宋体"/>
                <w:color w:val="auto"/>
                <w:szCs w:val="21"/>
                <w:highlight w:val="none"/>
              </w:rPr>
              <w:t>如中标人提供的车辆在作业过程中，每个月出现影响功能性使用情况维修次数超2 次，采购人有权要求更换车辆。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833" w:type="pct"/>
            <w:tcBorders>
              <w:top w:val="single" w:color="auto" w:sz="4" w:space="0"/>
              <w:left w:val="single" w:color="auto" w:sz="4" w:space="0"/>
              <w:bottom w:val="single" w:color="auto" w:sz="4" w:space="0"/>
              <w:right w:val="single" w:color="auto" w:sz="4" w:space="0"/>
            </w:tcBorders>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售后服务</w:t>
            </w:r>
          </w:p>
        </w:tc>
        <w:tc>
          <w:tcPr>
            <w:tcW w:w="3703" w:type="pct"/>
            <w:tcBorders>
              <w:top w:val="single" w:color="auto" w:sz="4" w:space="0"/>
              <w:left w:val="single" w:color="auto" w:sz="4" w:space="0"/>
              <w:bottom w:val="single" w:color="auto" w:sz="4" w:space="0"/>
              <w:right w:val="single" w:color="auto" w:sz="4" w:space="0"/>
            </w:tcBorders>
            <w:vAlign w:val="center"/>
          </w:tcPr>
          <w:p>
            <w:pPr>
              <w:adjustRightInd/>
              <w:snapToGrid/>
              <w:rPr>
                <w:rFonts w:ascii="宋体" w:hAnsi="宋体" w:cs="宋体"/>
                <w:color w:val="auto"/>
                <w:szCs w:val="21"/>
                <w:highlight w:val="none"/>
              </w:rPr>
            </w:pPr>
            <w:r>
              <w:rPr>
                <w:rFonts w:hint="eastAsia" w:ascii="宋体" w:hAnsi="宋体" w:cs="宋体"/>
                <w:color w:val="auto"/>
                <w:szCs w:val="21"/>
                <w:highlight w:val="none"/>
              </w:rPr>
              <w:t>24小时内响应（响应时间、更换要求及相关服务）</w:t>
            </w:r>
          </w:p>
        </w:tc>
      </w:tr>
    </w:tbl>
    <w:p>
      <w:pPr>
        <w:rPr>
          <w:color w:val="auto"/>
          <w:highlight w:val="none"/>
        </w:rPr>
      </w:pPr>
    </w:p>
    <w:p>
      <w:pPr>
        <w:pStyle w:val="5"/>
        <w:numPr>
          <w:ilvl w:val="255"/>
          <w:numId w:val="0"/>
        </w:numPr>
        <w:spacing w:before="0" w:after="0" w:line="360" w:lineRule="auto"/>
        <w:jc w:val="center"/>
        <w:rPr>
          <w:rFonts w:ascii="宋体" w:hAnsi="宋体"/>
          <w:color w:val="auto"/>
          <w:highlight w:val="none"/>
        </w:rPr>
      </w:pPr>
      <w:bookmarkStart w:id="13" w:name="_Toc19316"/>
      <w:r>
        <w:rPr>
          <w:rFonts w:hint="eastAsia" w:ascii="宋体" w:hAnsi="宋体"/>
          <w:color w:val="auto"/>
          <w:highlight w:val="none"/>
        </w:rPr>
        <w:t>三、租赁清单</w:t>
      </w:r>
    </w:p>
    <w:tbl>
      <w:tblPr>
        <w:tblStyle w:val="32"/>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3140"/>
        <w:gridCol w:w="944"/>
        <w:gridCol w:w="1050"/>
        <w:gridCol w:w="9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538" w:type="dxa"/>
            <w:gridSpan w:val="6"/>
            <w:noWrap/>
            <w:vAlign w:val="center"/>
          </w:tcPr>
          <w:p>
            <w:pPr>
              <w:jc w:val="center"/>
              <w:textAlignment w:val="center"/>
              <w:rPr>
                <w:rFonts w:ascii="宋体" w:hAnsi="宋体" w:cs="宋体"/>
                <w:b/>
                <w:bCs/>
                <w:color w:val="auto"/>
                <w:szCs w:val="21"/>
                <w:highlight w:val="none"/>
                <w:lang w:bidi="ar"/>
              </w:rPr>
            </w:pPr>
            <w:r>
              <w:rPr>
                <w:rFonts w:hint="eastAsia" w:ascii="宋体" w:hAnsi="宋体" w:cs="宋体"/>
                <w:b/>
                <w:bCs/>
                <w:color w:val="auto"/>
                <w:szCs w:val="21"/>
                <w:highlight w:val="none"/>
                <w:lang w:bidi="ar"/>
              </w:rPr>
              <w:t>环卫车辆设备清单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类别</w:t>
            </w:r>
          </w:p>
        </w:tc>
        <w:tc>
          <w:tcPr>
            <w:tcW w:w="3140"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设备名称</w:t>
            </w:r>
          </w:p>
        </w:tc>
        <w:tc>
          <w:tcPr>
            <w:tcW w:w="944" w:type="dxa"/>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类型</w:t>
            </w:r>
          </w:p>
        </w:tc>
        <w:tc>
          <w:tcPr>
            <w:tcW w:w="1050" w:type="dxa"/>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900" w:type="dxa"/>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436" w:type="dxa"/>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含税最高限价（元/台/月）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restar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湿式扫路车</w:t>
            </w:r>
          </w:p>
        </w:tc>
        <w:tc>
          <w:tcPr>
            <w:tcW w:w="3140"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44"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1050"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 xml:space="preserve">21666.67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068" w:type="dxa"/>
            <w:vMerge w:val="continue"/>
            <w:noWrap/>
            <w:vAlign w:val="center"/>
          </w:tcPr>
          <w:p>
            <w:pPr>
              <w:jc w:val="center"/>
              <w:rPr>
                <w:rFonts w:ascii="宋体" w:hAnsi="宋体" w:cs="宋体"/>
                <w:color w:val="auto"/>
                <w:szCs w:val="21"/>
                <w:highlight w:val="none"/>
              </w:rPr>
            </w:pPr>
          </w:p>
        </w:tc>
        <w:tc>
          <w:tcPr>
            <w:tcW w:w="3140"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44"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1050"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20118.67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noWrap/>
            <w:vAlign w:val="center"/>
          </w:tcPr>
          <w:p>
            <w:pPr>
              <w:jc w:val="center"/>
              <w:rPr>
                <w:rFonts w:ascii="宋体" w:hAnsi="宋体" w:cs="宋体"/>
                <w:color w:val="auto"/>
                <w:szCs w:val="21"/>
                <w:highlight w:val="none"/>
              </w:rPr>
            </w:pPr>
          </w:p>
        </w:tc>
        <w:tc>
          <w:tcPr>
            <w:tcW w:w="3140"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w:t>
            </w:r>
          </w:p>
        </w:tc>
        <w:tc>
          <w:tcPr>
            <w:tcW w:w="944" w:type="dxa"/>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1050"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17066.67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15887.00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36992.00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33066.67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29403.67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24633.00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密闭式垃圾压缩车</w:t>
            </w: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总质量≥18000kg（翻桶/翻斗)</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22923.50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总质量≥8000kg（翻桶/翻斗)</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19290.25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总质量≥5000kg（翻桶/翻斗)</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16771.33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总质量≥18000kg（翻桶/翻斗)</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41238.00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总质量≥8000kg（翻桶/翻斗)</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29133.00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总质量≥5000kg（翻桶/翻斗)</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26003.00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抑尘车</w:t>
            </w: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26885.33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洒水车</w:t>
            </w: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14368.67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总质量≥12000kg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12652.00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44"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11015.33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总质量≥7000kg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9972.00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9040.00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31497.33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24902.00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总质量≥7000kg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22248.67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18678.00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路面养护车</w:t>
            </w: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总质量≥3415kg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7032.00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车厢可卸式勾臂车</w:t>
            </w: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最大总质量 ≥25000kg</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月/辆</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22963.00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密闭式垃圾压缩箱</w:t>
            </w: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垃圾箱容积：22m³(插电接口）</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月/个</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9540.33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垃圾箱容积：18m³(插电接口）</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月/个</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8900.00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vMerge w:val="continue"/>
            <w:shd w:val="clear" w:color="auto" w:fill="auto"/>
            <w:noWrap/>
            <w:vAlign w:val="center"/>
          </w:tcPr>
          <w:p>
            <w:pPr>
              <w:jc w:val="center"/>
              <w:rPr>
                <w:rFonts w:ascii="宋体" w:hAnsi="宋体" w:cs="宋体"/>
                <w:color w:val="auto"/>
                <w:szCs w:val="21"/>
                <w:highlight w:val="none"/>
              </w:rPr>
            </w:pP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垃圾箱容积：15m³(插电接口）</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月/个</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8674.00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8"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开盖式垃圾转运箱</w:t>
            </w:r>
          </w:p>
        </w:tc>
        <w:tc>
          <w:tcPr>
            <w:tcW w:w="3140" w:type="dxa"/>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有效容积≥25m³，可匹配25吨、31吨勾臂车。</w:t>
            </w:r>
          </w:p>
        </w:tc>
        <w:tc>
          <w:tcPr>
            <w:tcW w:w="944" w:type="dxa"/>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105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 w:val="22"/>
                <w:highlight w:val="none"/>
                <w:lang w:bidi="ar"/>
              </w:rPr>
              <w:t>月/个</w:t>
            </w:r>
          </w:p>
        </w:tc>
        <w:tc>
          <w:tcPr>
            <w:tcW w:w="900"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1436" w:type="dxa"/>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 xml:space="preserve">8800.00 </w:t>
            </w:r>
          </w:p>
        </w:tc>
      </w:tr>
      <w:bookmarkEnd w:id="8"/>
      <w:bookmarkEnd w:id="9"/>
      <w:bookmarkEnd w:id="10"/>
      <w:bookmarkEnd w:id="11"/>
      <w:bookmarkEnd w:id="12"/>
      <w:bookmarkEnd w:id="13"/>
    </w:tbl>
    <w:p>
      <w:pPr>
        <w:rPr>
          <w:color w:val="auto"/>
          <w:highlight w:val="none"/>
        </w:rPr>
      </w:pPr>
      <w:bookmarkStart w:id="14" w:name="_Toc31595"/>
    </w:p>
    <w:p>
      <w:pPr>
        <w:pStyle w:val="13"/>
        <w:ind w:firstLine="422" w:firstLineChars="200"/>
        <w:rPr>
          <w:b/>
          <w:bCs/>
          <w:color w:val="auto"/>
          <w:highlight w:val="none"/>
        </w:rPr>
      </w:pPr>
      <w:r>
        <w:rPr>
          <w:rFonts w:hint="eastAsia" w:ascii="宋体" w:hAnsi="宋体"/>
          <w:b/>
          <w:bCs/>
          <w:color w:val="auto"/>
          <w:szCs w:val="21"/>
          <w:highlight w:val="none"/>
        </w:rPr>
        <w:t>注：不满足采购文件中 “★”条款的投标文件将作无效投标处理。</w:t>
      </w:r>
    </w:p>
    <w:p>
      <w:pPr>
        <w:pStyle w:val="11"/>
        <w:rPr>
          <w:color w:val="auto"/>
          <w:sz w:val="28"/>
          <w:szCs w:val="28"/>
          <w:highlight w:val="none"/>
        </w:rPr>
      </w:pPr>
    </w:p>
    <w:p>
      <w:pPr>
        <w:pStyle w:val="12"/>
        <w:ind w:firstLine="239"/>
        <w:rPr>
          <w:color w:val="auto"/>
          <w:sz w:val="28"/>
          <w:szCs w:val="28"/>
          <w:highlight w:val="none"/>
        </w:rPr>
      </w:pPr>
    </w:p>
    <w:p>
      <w:pPr>
        <w:pStyle w:val="13"/>
        <w:rPr>
          <w:color w:val="auto"/>
          <w:sz w:val="28"/>
          <w:szCs w:val="28"/>
          <w:highlight w:val="none"/>
        </w:rPr>
      </w:pPr>
    </w:p>
    <w:p>
      <w:pPr>
        <w:pStyle w:val="13"/>
        <w:rPr>
          <w:color w:val="auto"/>
          <w:sz w:val="28"/>
          <w:szCs w:val="28"/>
          <w:highlight w:val="none"/>
        </w:rPr>
      </w:pPr>
    </w:p>
    <w:p>
      <w:pPr>
        <w:pStyle w:val="13"/>
        <w:rPr>
          <w:color w:val="auto"/>
          <w:sz w:val="28"/>
          <w:szCs w:val="28"/>
          <w:highlight w:val="none"/>
        </w:rPr>
      </w:pPr>
    </w:p>
    <w:p>
      <w:pPr>
        <w:pStyle w:val="13"/>
        <w:rPr>
          <w:color w:val="auto"/>
          <w:sz w:val="28"/>
          <w:szCs w:val="28"/>
          <w:highlight w:val="none"/>
        </w:rPr>
      </w:pPr>
    </w:p>
    <w:p>
      <w:pPr>
        <w:pStyle w:val="13"/>
        <w:rPr>
          <w:color w:val="auto"/>
          <w:sz w:val="28"/>
          <w:szCs w:val="28"/>
          <w:highlight w:val="none"/>
        </w:rPr>
      </w:pPr>
    </w:p>
    <w:p>
      <w:pPr>
        <w:pStyle w:val="4"/>
        <w:spacing w:before="0" w:after="0" w:line="240" w:lineRule="auto"/>
        <w:jc w:val="center"/>
        <w:rPr>
          <w:color w:val="auto"/>
          <w:sz w:val="24"/>
          <w:szCs w:val="24"/>
          <w:highlight w:val="none"/>
        </w:rPr>
      </w:pPr>
      <w:r>
        <w:rPr>
          <w:rFonts w:hint="eastAsia"/>
          <w:color w:val="auto"/>
          <w:sz w:val="28"/>
          <w:szCs w:val="28"/>
          <w:highlight w:val="none"/>
        </w:rPr>
        <w:t>第四部分投标人须知</w:t>
      </w:r>
      <w:bookmarkEnd w:id="14"/>
    </w:p>
    <w:p>
      <w:pPr>
        <w:pStyle w:val="5"/>
        <w:numPr>
          <w:ilvl w:val="0"/>
          <w:numId w:val="4"/>
        </w:numPr>
        <w:spacing w:before="0" w:after="0" w:line="480" w:lineRule="auto"/>
        <w:jc w:val="center"/>
        <w:rPr>
          <w:rFonts w:ascii="宋体" w:hAnsi="宋体"/>
          <w:color w:val="auto"/>
          <w:highlight w:val="none"/>
        </w:rPr>
      </w:pPr>
      <w:bookmarkStart w:id="15" w:name="_Toc25201"/>
      <w:r>
        <w:rPr>
          <w:rFonts w:hint="eastAsia" w:ascii="宋体" w:hAnsi="宋体"/>
          <w:color w:val="auto"/>
          <w:highlight w:val="none"/>
        </w:rPr>
        <w:t>说明</w:t>
      </w:r>
      <w:bookmarkEnd w:id="15"/>
    </w:p>
    <w:p>
      <w:pPr>
        <w:pStyle w:val="6"/>
        <w:widowControl w:val="0"/>
        <w:numPr>
          <w:ilvl w:val="0"/>
          <w:numId w:val="5"/>
        </w:numPr>
        <w:overflowPunct w:val="0"/>
        <w:rPr>
          <w:rFonts w:ascii="宋体" w:hAnsi="宋体" w:cs="宋体"/>
          <w:color w:val="auto"/>
          <w:sz w:val="21"/>
          <w:szCs w:val="21"/>
          <w:highlight w:val="none"/>
        </w:rPr>
      </w:pPr>
      <w:bookmarkStart w:id="16" w:name="_Toc18690"/>
      <w:bookmarkStart w:id="17" w:name="_Toc3534"/>
      <w:r>
        <w:rPr>
          <w:rFonts w:hint="eastAsia" w:ascii="宋体" w:hAnsi="宋体" w:cs="宋体"/>
          <w:color w:val="auto"/>
          <w:sz w:val="21"/>
          <w:szCs w:val="21"/>
          <w:highlight w:val="none"/>
        </w:rPr>
        <w:t>适用范围</w:t>
      </w:r>
      <w:bookmarkEnd w:id="16"/>
      <w:bookmarkEnd w:id="17"/>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18" w:name="_Toc303084246"/>
      <w:bookmarkStart w:id="19" w:name="_Toc382049092"/>
      <w:bookmarkStart w:id="20" w:name="_Toc298847174"/>
      <w:bookmarkStart w:id="21" w:name="_Toc28435"/>
      <w:bookmarkStart w:id="22" w:name="_Toc1530"/>
      <w:bookmarkStart w:id="23" w:name="_Toc20286"/>
      <w:r>
        <w:rPr>
          <w:rFonts w:hint="eastAsia" w:ascii="宋体" w:hAnsi="宋体" w:cs="宋体"/>
          <w:color w:val="auto"/>
          <w:sz w:val="21"/>
          <w:szCs w:val="21"/>
          <w:highlight w:val="none"/>
        </w:rPr>
        <w:t>定义</w:t>
      </w:r>
      <w:bookmarkEnd w:id="18"/>
      <w:bookmarkEnd w:id="19"/>
      <w:bookmarkEnd w:id="20"/>
      <w:bookmarkEnd w:id="21"/>
      <w:bookmarkEnd w:id="22"/>
      <w:bookmarkEnd w:id="23"/>
    </w:p>
    <w:p>
      <w:pPr>
        <w:pStyle w:val="43"/>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采购人：见投标邀请书。</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投标人：响应采购并且符合采购文件规定资格条件和参加投标竞争的法人、其他组织或者自然人。</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中标人：指经评标委员会评审推荐、采购人确认的获得本项目中标资格的投标人。</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采购代理机构：见投标邀请书。</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24" w:name="_Toc11624"/>
      <w:bookmarkStart w:id="25" w:name="_Toc10625"/>
      <w:r>
        <w:rPr>
          <w:rFonts w:hint="eastAsia" w:ascii="宋体" w:hAnsi="宋体" w:cs="宋体"/>
          <w:color w:val="auto"/>
          <w:sz w:val="21"/>
          <w:szCs w:val="21"/>
          <w:highlight w:val="none"/>
        </w:rPr>
        <w:t>货物和服务</w:t>
      </w:r>
      <w:bookmarkEnd w:id="24"/>
      <w:bookmarkEnd w:id="25"/>
    </w:p>
    <w:p>
      <w:pPr>
        <w:pStyle w:val="43"/>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26" w:name="_Toc1673"/>
      <w:bookmarkStart w:id="27" w:name="_Toc15719"/>
      <w:r>
        <w:rPr>
          <w:rFonts w:hint="eastAsia" w:ascii="宋体" w:hAnsi="宋体" w:cs="宋体"/>
          <w:color w:val="auto"/>
          <w:sz w:val="21"/>
          <w:szCs w:val="21"/>
          <w:highlight w:val="none"/>
        </w:rPr>
        <w:t>投标费用</w:t>
      </w:r>
      <w:bookmarkEnd w:id="26"/>
      <w:bookmarkEnd w:id="27"/>
    </w:p>
    <w:p>
      <w:pPr>
        <w:pStyle w:val="43"/>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jc w:val="both"/>
        <w:rPr>
          <w:rFonts w:ascii="宋体" w:hAnsi="宋体" w:cs="宋体"/>
          <w:color w:val="auto"/>
          <w:szCs w:val="21"/>
          <w:highlight w:val="none"/>
        </w:rPr>
      </w:pPr>
    </w:p>
    <w:p>
      <w:pPr>
        <w:pStyle w:val="6"/>
        <w:widowControl w:val="0"/>
        <w:numPr>
          <w:ilvl w:val="0"/>
          <w:numId w:val="5"/>
        </w:numPr>
        <w:overflowPunct w:val="0"/>
        <w:rPr>
          <w:rFonts w:ascii="宋体" w:hAnsi="宋体" w:cs="宋体"/>
          <w:color w:val="auto"/>
          <w:sz w:val="21"/>
          <w:szCs w:val="21"/>
          <w:highlight w:val="none"/>
        </w:rPr>
      </w:pPr>
      <w:bookmarkStart w:id="28" w:name="_Toc6180"/>
      <w:bookmarkStart w:id="29" w:name="_Toc21477"/>
      <w:r>
        <w:rPr>
          <w:rFonts w:hint="eastAsia" w:ascii="宋体" w:hAnsi="宋体" w:cs="宋体"/>
          <w:color w:val="auto"/>
          <w:sz w:val="21"/>
          <w:szCs w:val="21"/>
          <w:highlight w:val="none"/>
        </w:rPr>
        <w:t>知识产权</w:t>
      </w:r>
      <w:bookmarkEnd w:id="28"/>
      <w:bookmarkEnd w:id="29"/>
    </w:p>
    <w:p>
      <w:pPr>
        <w:pStyle w:val="43"/>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pPr>
        <w:widowControl w:val="0"/>
        <w:adjustRightInd/>
        <w:snapToGrid/>
        <w:ind w:left="567"/>
        <w:jc w:val="both"/>
        <w:rPr>
          <w:rFonts w:ascii="宋体" w:hAnsi="宋体" w:cs="宋体"/>
          <w:color w:val="auto"/>
          <w:szCs w:val="21"/>
          <w:highlight w:val="none"/>
        </w:rPr>
      </w:pPr>
    </w:p>
    <w:p>
      <w:pPr>
        <w:pStyle w:val="6"/>
        <w:widowControl w:val="0"/>
        <w:numPr>
          <w:ilvl w:val="0"/>
          <w:numId w:val="5"/>
        </w:numPr>
        <w:overflowPunct w:val="0"/>
        <w:rPr>
          <w:rFonts w:ascii="宋体" w:hAnsi="宋体" w:cs="宋体"/>
          <w:color w:val="auto"/>
          <w:sz w:val="21"/>
          <w:szCs w:val="21"/>
          <w:highlight w:val="none"/>
        </w:rPr>
      </w:pPr>
      <w:bookmarkStart w:id="30" w:name="_Toc25122"/>
      <w:bookmarkStart w:id="31" w:name="_Toc2352"/>
      <w:r>
        <w:rPr>
          <w:rFonts w:hint="eastAsia" w:ascii="宋体" w:hAnsi="宋体" w:cs="宋体"/>
          <w:color w:val="auto"/>
          <w:sz w:val="21"/>
          <w:szCs w:val="21"/>
          <w:highlight w:val="none"/>
        </w:rPr>
        <w:t>关于联合体投标</w:t>
      </w:r>
      <w:bookmarkEnd w:id="30"/>
      <w:bookmarkEnd w:id="31"/>
    </w:p>
    <w:p>
      <w:pPr>
        <w:pStyle w:val="43"/>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对接受联合体投标的项目：两个以上的自然人、法人或者其他组织可以组成一个联合体，以一个投标人的身份共同参加采购活动。</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以联合体形式参与项目的供应商在领购采购文件时，应提供所有联合体组成成员的营业执照复印件，并加盖各联合体组成成员的公章。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采购文件对投标人资格条件有规定的，联合体各方均应当具备规定的相应资格条件。由同一专业的单位组成的联合体，按照资质等级较低的单位确定资质等级。</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ind w:left="567"/>
        <w:jc w:val="both"/>
        <w:rPr>
          <w:rFonts w:ascii="宋体" w:hAnsi="宋体" w:cs="宋体"/>
          <w:color w:val="auto"/>
          <w:szCs w:val="21"/>
          <w:highlight w:val="none"/>
        </w:rPr>
      </w:pPr>
    </w:p>
    <w:p>
      <w:pPr>
        <w:pStyle w:val="6"/>
        <w:widowControl w:val="0"/>
        <w:numPr>
          <w:ilvl w:val="0"/>
          <w:numId w:val="5"/>
        </w:numPr>
        <w:overflowPunct w:val="0"/>
        <w:rPr>
          <w:rFonts w:ascii="宋体" w:hAnsi="宋体" w:cs="宋体"/>
          <w:color w:val="auto"/>
          <w:sz w:val="21"/>
          <w:szCs w:val="21"/>
          <w:highlight w:val="none"/>
        </w:rPr>
      </w:pPr>
      <w:bookmarkStart w:id="32" w:name="_Toc10603"/>
      <w:bookmarkStart w:id="33" w:name="_Toc3572"/>
      <w:r>
        <w:rPr>
          <w:rFonts w:hint="eastAsia" w:ascii="宋体" w:hAnsi="宋体" w:cs="宋体"/>
          <w:color w:val="auto"/>
          <w:sz w:val="21"/>
          <w:szCs w:val="21"/>
          <w:highlight w:val="none"/>
        </w:rPr>
        <w:t>关于分支机构投标</w:t>
      </w:r>
      <w:bookmarkEnd w:id="32"/>
      <w:bookmarkEnd w:id="33"/>
    </w:p>
    <w:p>
      <w:pPr>
        <w:pStyle w:val="43"/>
        <w:widowControl w:val="0"/>
        <w:adjustRightInd/>
        <w:snapToGrid/>
        <w:ind w:left="425" w:hanging="425" w:firstLineChars="0"/>
        <w:jc w:val="both"/>
        <w:rPr>
          <w:rFonts w:ascii="宋体" w:hAnsi="宋体" w:cs="宋体"/>
          <w:vanish/>
          <w:color w:val="auto"/>
          <w:szCs w:val="21"/>
          <w:highlight w:val="none"/>
        </w:rPr>
      </w:pPr>
      <w:bookmarkStart w:id="34" w:name="EB389f116341dd4693875bc7987e7327f3"/>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34"/>
    </w:p>
    <w:p>
      <w:pPr>
        <w:widowControl w:val="0"/>
        <w:adjustRightInd/>
        <w:snapToGrid/>
        <w:ind w:left="567"/>
        <w:jc w:val="both"/>
        <w:rPr>
          <w:rFonts w:ascii="宋体" w:hAnsi="宋体" w:cs="宋体"/>
          <w:color w:val="auto"/>
          <w:szCs w:val="21"/>
          <w:highlight w:val="none"/>
        </w:rPr>
      </w:pPr>
    </w:p>
    <w:p>
      <w:pPr>
        <w:pStyle w:val="6"/>
        <w:widowControl w:val="0"/>
        <w:numPr>
          <w:ilvl w:val="0"/>
          <w:numId w:val="5"/>
        </w:numPr>
        <w:overflowPunct w:val="0"/>
        <w:rPr>
          <w:rFonts w:ascii="宋体" w:hAnsi="宋体" w:cs="宋体"/>
          <w:color w:val="auto"/>
          <w:sz w:val="21"/>
          <w:szCs w:val="21"/>
          <w:highlight w:val="none"/>
        </w:rPr>
      </w:pPr>
      <w:bookmarkStart w:id="35" w:name="_Toc16068"/>
      <w:r>
        <w:rPr>
          <w:rFonts w:hint="eastAsia" w:ascii="宋体" w:hAnsi="宋体" w:cs="宋体"/>
          <w:color w:val="auto"/>
          <w:sz w:val="21"/>
          <w:szCs w:val="21"/>
          <w:highlight w:val="none"/>
        </w:rPr>
        <w:t>踏勘现场</w:t>
      </w:r>
      <w:bookmarkEnd w:id="35"/>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《投标资料表》规定组织踏勘现场的，采购人按《投标资料表》规定的时间、地点组织响应人踏勘项目现场；</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响应人踏勘现场发生的费用自理；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除采购人的原因外，响应人自行负责在踏勘现场中所发生的人员伤亡和财产损失；</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采购人在踏勘现场中介绍的实施地点和相关的周边环境情况，供响应人在编制响应文件时参考，采购人不对响应人据此作出的判断和决策负责；</w:t>
      </w:r>
    </w:p>
    <w:p>
      <w:pPr>
        <w:rPr>
          <w:rFonts w:ascii="宋体" w:hAnsi="宋体" w:cs="宋体"/>
          <w:color w:val="auto"/>
          <w:highlight w:val="none"/>
        </w:rPr>
      </w:pPr>
    </w:p>
    <w:p>
      <w:pPr>
        <w:pStyle w:val="5"/>
        <w:numPr>
          <w:ilvl w:val="0"/>
          <w:numId w:val="4"/>
        </w:numPr>
        <w:spacing w:before="0" w:after="0" w:line="360" w:lineRule="auto"/>
        <w:jc w:val="center"/>
        <w:rPr>
          <w:rFonts w:ascii="宋体" w:hAnsi="宋体" w:cs="宋体"/>
          <w:color w:val="auto"/>
          <w:highlight w:val="none"/>
        </w:rPr>
      </w:pPr>
      <w:bookmarkStart w:id="36" w:name="_Toc9444"/>
      <w:bookmarkStart w:id="37" w:name="_Toc14732"/>
      <w:r>
        <w:rPr>
          <w:rFonts w:hint="eastAsia" w:ascii="宋体" w:hAnsi="宋体" w:cs="宋体"/>
          <w:color w:val="auto"/>
          <w:highlight w:val="none"/>
        </w:rPr>
        <w:t>采购文件</w:t>
      </w:r>
      <w:bookmarkEnd w:id="36"/>
      <w:bookmarkEnd w:id="37"/>
    </w:p>
    <w:p>
      <w:pPr>
        <w:pStyle w:val="6"/>
        <w:widowControl w:val="0"/>
        <w:numPr>
          <w:ilvl w:val="0"/>
          <w:numId w:val="5"/>
        </w:numPr>
        <w:overflowPunct w:val="0"/>
        <w:rPr>
          <w:rFonts w:ascii="宋体" w:hAnsi="宋体" w:cs="宋体"/>
          <w:color w:val="auto"/>
          <w:sz w:val="21"/>
          <w:szCs w:val="21"/>
          <w:highlight w:val="none"/>
        </w:rPr>
      </w:pPr>
      <w:bookmarkStart w:id="38" w:name="_Toc25451"/>
      <w:bookmarkStart w:id="39" w:name="_Toc10638"/>
      <w:r>
        <w:rPr>
          <w:rFonts w:hint="eastAsia" w:ascii="宋体" w:hAnsi="宋体" w:cs="宋体"/>
          <w:color w:val="auto"/>
          <w:sz w:val="21"/>
          <w:szCs w:val="21"/>
          <w:highlight w:val="none"/>
        </w:rPr>
        <w:t>采购文件的组成</w:t>
      </w:r>
      <w:bookmarkEnd w:id="38"/>
      <w:bookmarkEnd w:id="39"/>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采购文件包括：</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（1）投标邀请书；</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（2）投标资料表；</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（3）用户需求书；</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（4）投标人须知；</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（5）拟签订的合同文本；</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（6）投标文件格式；</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40" w:name="_Toc21392"/>
      <w:bookmarkStart w:id="41" w:name="_Toc30490"/>
      <w:r>
        <w:rPr>
          <w:rFonts w:hint="eastAsia" w:ascii="宋体" w:hAnsi="宋体" w:cs="宋体"/>
          <w:color w:val="auto"/>
          <w:sz w:val="21"/>
          <w:szCs w:val="21"/>
          <w:highlight w:val="none"/>
        </w:rPr>
        <w:t>采购文件的澄清或修改</w:t>
      </w:r>
      <w:bookmarkEnd w:id="40"/>
      <w:bookmarkEnd w:id="41"/>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采购期间，投标人有义务上网查看，公告一经上网发布，即视为送达。因投标人未及时上网查看而造成的所有后果，由投标人自行承担。</w:t>
      </w:r>
    </w:p>
    <w:p>
      <w:pPr>
        <w:widowControl w:val="0"/>
        <w:adjustRightInd/>
        <w:snapToGrid/>
        <w:ind w:left="567"/>
        <w:jc w:val="both"/>
        <w:rPr>
          <w:rFonts w:ascii="宋体" w:hAnsi="宋体" w:cs="宋体"/>
          <w:color w:val="auto"/>
          <w:szCs w:val="21"/>
          <w:highlight w:val="none"/>
        </w:rPr>
      </w:pPr>
    </w:p>
    <w:p>
      <w:pPr>
        <w:pStyle w:val="5"/>
        <w:numPr>
          <w:ilvl w:val="0"/>
          <w:numId w:val="4"/>
        </w:numPr>
        <w:spacing w:before="0" w:after="0" w:line="360" w:lineRule="auto"/>
        <w:jc w:val="center"/>
        <w:rPr>
          <w:rFonts w:ascii="宋体" w:hAnsi="宋体" w:cs="宋体"/>
          <w:color w:val="auto"/>
          <w:highlight w:val="none"/>
        </w:rPr>
      </w:pPr>
      <w:bookmarkStart w:id="42" w:name="_Toc10333"/>
      <w:bookmarkStart w:id="43" w:name="_Toc12343"/>
      <w:r>
        <w:rPr>
          <w:rFonts w:hint="eastAsia" w:ascii="宋体" w:hAnsi="宋体" w:cs="宋体"/>
          <w:color w:val="auto"/>
          <w:highlight w:val="none"/>
        </w:rPr>
        <w:t>投标文件的编制</w:t>
      </w:r>
      <w:bookmarkEnd w:id="42"/>
      <w:bookmarkEnd w:id="43"/>
    </w:p>
    <w:p>
      <w:pPr>
        <w:pStyle w:val="6"/>
        <w:widowControl w:val="0"/>
        <w:numPr>
          <w:ilvl w:val="0"/>
          <w:numId w:val="5"/>
        </w:numPr>
        <w:overflowPunct w:val="0"/>
        <w:rPr>
          <w:rFonts w:ascii="宋体" w:hAnsi="宋体" w:cs="宋体"/>
          <w:color w:val="auto"/>
          <w:sz w:val="21"/>
          <w:szCs w:val="21"/>
          <w:highlight w:val="none"/>
        </w:rPr>
      </w:pPr>
      <w:bookmarkStart w:id="44" w:name="_Toc16938"/>
      <w:bookmarkStart w:id="45" w:name="_Toc12048"/>
      <w:r>
        <w:rPr>
          <w:rFonts w:hint="eastAsia" w:ascii="宋体" w:hAnsi="宋体" w:cs="宋体"/>
          <w:color w:val="auto"/>
          <w:sz w:val="21"/>
          <w:szCs w:val="21"/>
          <w:highlight w:val="none"/>
        </w:rPr>
        <w:t>投标文件的语言及度量衡单位</w:t>
      </w:r>
      <w:bookmarkEnd w:id="44"/>
      <w:bookmarkEnd w:id="45"/>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除非采购文件在技术规格中另有规定，投标人在投标文件中及其与采购代理机构和采购人所有往来文件中的所有计量单位均应采用中华人民共和国法定计量单位。</w:t>
      </w:r>
    </w:p>
    <w:p>
      <w:pPr>
        <w:widowControl w:val="0"/>
        <w:adjustRightInd/>
        <w:snapToGrid/>
        <w:ind w:left="567"/>
        <w:jc w:val="both"/>
        <w:rPr>
          <w:rFonts w:ascii="宋体" w:hAnsi="宋体" w:cs="宋体"/>
          <w:color w:val="auto"/>
          <w:szCs w:val="21"/>
          <w:highlight w:val="none"/>
        </w:rPr>
      </w:pPr>
    </w:p>
    <w:p>
      <w:pPr>
        <w:pStyle w:val="6"/>
        <w:widowControl w:val="0"/>
        <w:numPr>
          <w:ilvl w:val="0"/>
          <w:numId w:val="5"/>
        </w:numPr>
        <w:overflowPunct w:val="0"/>
        <w:rPr>
          <w:rFonts w:ascii="宋体" w:hAnsi="宋体" w:cs="宋体"/>
          <w:color w:val="auto"/>
          <w:sz w:val="21"/>
          <w:szCs w:val="21"/>
          <w:highlight w:val="none"/>
        </w:rPr>
      </w:pPr>
      <w:bookmarkStart w:id="46" w:name="_Toc303084256"/>
      <w:bookmarkStart w:id="47" w:name="_Toc382049103"/>
      <w:bookmarkStart w:id="48" w:name="_Toc11466"/>
      <w:bookmarkStart w:id="49" w:name="_Toc27953"/>
      <w:bookmarkStart w:id="50" w:name="_Toc307934854"/>
      <w:bookmarkStart w:id="51" w:name="_Toc28866"/>
      <w:r>
        <w:rPr>
          <w:rFonts w:hint="eastAsia" w:ascii="宋体" w:hAnsi="宋体" w:cs="宋体"/>
          <w:color w:val="auto"/>
          <w:sz w:val="21"/>
          <w:szCs w:val="21"/>
          <w:highlight w:val="none"/>
        </w:rPr>
        <w:t>投标文件的组成</w:t>
      </w:r>
      <w:bookmarkEnd w:id="46"/>
      <w:bookmarkEnd w:id="47"/>
      <w:bookmarkEnd w:id="48"/>
      <w:bookmarkEnd w:id="49"/>
      <w:bookmarkEnd w:id="50"/>
      <w:bookmarkEnd w:id="51"/>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包括但不限于采购文件附件格式中要求提供的表格。</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上述文件须按顺序装订成册，并编制投标文件目录。除上述文件资料外投标人还须按投标人须知的要求制作“开标文件”。“开标文件”作为投标文件的一部分，但须单独密封。</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52" w:name="_Toc5904"/>
      <w:bookmarkStart w:id="53" w:name="_Toc755"/>
      <w:r>
        <w:rPr>
          <w:rFonts w:hint="eastAsia" w:ascii="宋体" w:hAnsi="宋体" w:cs="宋体"/>
          <w:color w:val="auto"/>
          <w:sz w:val="21"/>
          <w:szCs w:val="21"/>
          <w:highlight w:val="none"/>
        </w:rPr>
        <w:t>投标文件编制</w:t>
      </w:r>
      <w:bookmarkEnd w:id="52"/>
      <w:bookmarkEnd w:id="53"/>
    </w:p>
    <w:p>
      <w:pPr>
        <w:pStyle w:val="43"/>
        <w:widowControl w:val="0"/>
        <w:numPr>
          <w:ilvl w:val="0"/>
          <w:numId w:val="6"/>
        </w:numPr>
        <w:adjustRightInd/>
        <w:snapToGrid/>
        <w:ind w:firstLineChars="0"/>
        <w:jc w:val="both"/>
        <w:rPr>
          <w:rFonts w:ascii="宋体" w:hAnsi="宋体" w:cs="宋体"/>
          <w:vanish/>
          <w:color w:val="auto"/>
          <w:szCs w:val="21"/>
          <w:highlight w:val="none"/>
        </w:rPr>
      </w:pPr>
      <w:bookmarkStart w:id="54" w:name="_Toc303084258"/>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投标文件密封、标记及内容与本项目采购信息不符，导致无法分辨所投项目为本项目的，投标文件无效。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投标人须客观撰写投标人简介（格式自理，并提供相关证明）以及所投的产品或服务说明。</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投标文件若出现以下内容，经评标委员会认定有可能间接影响评审秩序，作废标处理。</w:t>
      </w:r>
    </w:p>
    <w:p>
      <w:pPr>
        <w:pStyle w:val="43"/>
        <w:widowControl w:val="0"/>
        <w:numPr>
          <w:ilvl w:val="0"/>
          <w:numId w:val="7"/>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投标文件内出现无官方证明文件的行业地域排名或使用“国家级”、“最高级”、“最佳”等用语字眼的。</w:t>
      </w:r>
    </w:p>
    <w:p>
      <w:pPr>
        <w:pStyle w:val="43"/>
        <w:widowControl w:val="0"/>
        <w:numPr>
          <w:ilvl w:val="0"/>
          <w:numId w:val="7"/>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投标文件内出现恶意诋毁、贬低其他生产经营者的商品或者服务的内容。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（3）不同投标人的投标文件载明的项目管理成员或者联系人员为同一人；</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（6）不同投标人的投标保证金从同一单位或者个人的账户转出。</w:t>
      </w:r>
    </w:p>
    <w:bookmarkEnd w:id="54"/>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55" w:name="_Toc7134"/>
      <w:bookmarkStart w:id="56" w:name="_Toc6154"/>
      <w:r>
        <w:rPr>
          <w:rFonts w:hint="eastAsia" w:ascii="宋体" w:hAnsi="宋体" w:cs="宋体"/>
          <w:color w:val="auto"/>
          <w:sz w:val="21"/>
          <w:szCs w:val="21"/>
          <w:highlight w:val="none"/>
        </w:rPr>
        <w:t>投标报价说明</w:t>
      </w:r>
      <w:bookmarkEnd w:id="55"/>
      <w:bookmarkEnd w:id="56"/>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本次采购，投标人应按用户需求中的要求进行投标报价，少报无效。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投标报价包括投标人为完成采购项目所需的一切成本、费用、税金、利润以及不可预见费用等全部费用。</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中标后开出的所有发票必须与中标人的名称一致。</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57" w:name="_Toc17669"/>
      <w:bookmarkStart w:id="58" w:name="_Toc14501"/>
      <w:r>
        <w:rPr>
          <w:rFonts w:hint="eastAsia" w:ascii="宋体" w:hAnsi="宋体" w:cs="宋体"/>
          <w:color w:val="auto"/>
          <w:sz w:val="21"/>
          <w:szCs w:val="21"/>
          <w:highlight w:val="none"/>
        </w:rPr>
        <w:t>投标人所提供的服务或货物的证明文件</w:t>
      </w:r>
      <w:bookmarkEnd w:id="57"/>
      <w:bookmarkEnd w:id="58"/>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bookmarkStart w:id="59" w:name="_Hlt107925668"/>
      <w:bookmarkEnd w:id="59"/>
      <w:bookmarkStart w:id="60" w:name="_Hlt107925638"/>
      <w:bookmarkEnd w:id="60"/>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采购文件第三部分《用户需求书》中规定的要求进行详细应答和说明。</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有下列情形之一的，视为投标人弄虚作假，其投标无效：</w:t>
      </w:r>
    </w:p>
    <w:p>
      <w:pPr>
        <w:pStyle w:val="43"/>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1、使用通过受让或者租借等方式获取的资格、资质证书投标的，属于以他人名义投标。</w:t>
      </w:r>
    </w:p>
    <w:p>
      <w:pPr>
        <w:pStyle w:val="43"/>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2、投标人有下列情形之一的，属于以其他方式弄虚作假的行为：</w:t>
      </w:r>
    </w:p>
    <w:p>
      <w:pPr>
        <w:pStyle w:val="43"/>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（1）使用伪造、变造的许可证件；</w:t>
      </w:r>
    </w:p>
    <w:p>
      <w:pPr>
        <w:pStyle w:val="43"/>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（2）提供虚假的财务状况或者业绩；</w:t>
      </w:r>
    </w:p>
    <w:p>
      <w:pPr>
        <w:pStyle w:val="43"/>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（3）提供虚假的项目负责人或者主要技术人员简历、劳动关系证明；</w:t>
      </w:r>
    </w:p>
    <w:p>
      <w:pPr>
        <w:pStyle w:val="43"/>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（4）提供虚假的信用状况；</w:t>
      </w:r>
    </w:p>
    <w:p>
      <w:pPr>
        <w:pStyle w:val="43"/>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（5）其他弄虚作假的行为。</w:t>
      </w:r>
    </w:p>
    <w:p>
      <w:pPr>
        <w:pStyle w:val="6"/>
        <w:widowControl w:val="0"/>
        <w:numPr>
          <w:ilvl w:val="0"/>
          <w:numId w:val="5"/>
        </w:numPr>
        <w:overflowPunct w:val="0"/>
        <w:rPr>
          <w:rFonts w:ascii="宋体" w:hAnsi="宋体" w:cs="宋体"/>
          <w:color w:val="auto"/>
          <w:sz w:val="21"/>
          <w:szCs w:val="21"/>
          <w:highlight w:val="none"/>
        </w:rPr>
      </w:pPr>
      <w:bookmarkStart w:id="61" w:name="_Toc2409"/>
      <w:bookmarkStart w:id="62" w:name="_Toc8324"/>
      <w:r>
        <w:rPr>
          <w:rFonts w:hint="eastAsia" w:ascii="宋体" w:hAnsi="宋体" w:cs="宋体"/>
          <w:color w:val="auto"/>
          <w:sz w:val="21"/>
          <w:szCs w:val="21"/>
          <w:highlight w:val="none"/>
        </w:rPr>
        <w:t>投标有效期</w:t>
      </w:r>
      <w:bookmarkEnd w:id="61"/>
      <w:bookmarkEnd w:id="62"/>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pPr>
        <w:widowControl w:val="0"/>
        <w:adjustRightInd/>
        <w:snapToGrid/>
        <w:ind w:left="567"/>
        <w:jc w:val="both"/>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63" w:name="_Toc12582"/>
      <w:bookmarkStart w:id="64" w:name="_Toc26564"/>
      <w:r>
        <w:rPr>
          <w:rFonts w:hint="eastAsia" w:ascii="宋体" w:hAnsi="宋体" w:cs="宋体"/>
          <w:color w:val="auto"/>
          <w:sz w:val="21"/>
          <w:szCs w:val="21"/>
          <w:highlight w:val="none"/>
        </w:rPr>
        <w:t>★投标保证金</w:t>
      </w:r>
      <w:bookmarkEnd w:id="63"/>
      <w:bookmarkEnd w:id="64"/>
    </w:p>
    <w:p>
      <w:pPr>
        <w:pStyle w:val="43"/>
        <w:widowControl w:val="0"/>
        <w:numPr>
          <w:ilvl w:val="0"/>
          <w:numId w:val="6"/>
        </w:numPr>
        <w:adjustRightInd/>
        <w:snapToGrid/>
        <w:ind w:firstLineChars="0"/>
        <w:jc w:val="both"/>
        <w:rPr>
          <w:rFonts w:ascii="宋体" w:hAnsi="宋体" w:cs="宋体"/>
          <w:vanish/>
          <w:color w:val="auto"/>
          <w:szCs w:val="21"/>
          <w:highlight w:val="none"/>
        </w:rPr>
      </w:pPr>
      <w:bookmarkStart w:id="65" w:name="_Ref179619405"/>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投标人应在投标文件递交截止前提交相应的投标保证金，并作为其投标的一部分。</w:t>
      </w:r>
      <w:bookmarkEnd w:id="65"/>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投标保证金是为了保护采购代理机构和采购人免遭因投标人的行为而蒙受的损失。采购代理机构和采购人在因投标人的行为受到损害时可根据本须知（17.7）的规定没收投标人的投标保证金。</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保证金采用转账、电汇方式方式提交，应符合以下要求：采用银行转账、电汇方式提交的，保证金汇入《投标资料表》中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凡没有根据本须知（17.1和17.3）的规定随附有效的投标保证金的投标，将被视为非响应性投标予以拒绝。</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投标保证金有效期应当与投标有效期一致。采购人如果按照采购文件另外规定延长了投标文件有效期，则投标担保的有效期也相应延长。</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中标人在签订采购合同并按采购文件第（33）条规定提交履约担保金后，携带退保证金声明函、投标保证金汇款单复印件（加盖公章）和合同正本到采购人处办理投标保证金（无息）退回手续。</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下列任何情况发生时，投标保证金将不予退还：</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（1）投标人在采购文件中规定的投标有效期内撤回其投标；</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（2）中标人无正当理由不与采购人订立合同，在签订合同时向采购人提出附加条件，或者不按照采购文件要求提交履约担保的；</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（3）中标人将本项目转让给他人，或者在投标文件中未说明，且未经采购人同意，将中标项目分包给他人的；</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（4）投标人提供虚假投标文件或虚假补充文件的。</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在中标通知书发出后，未中标投标人的投标保证金，由采购人自行返还至投标人的原转出账户。</w:t>
      </w:r>
    </w:p>
    <w:p>
      <w:pPr>
        <w:rPr>
          <w:rFonts w:ascii="宋体" w:hAnsi="宋体" w:cs="宋体"/>
          <w:color w:val="auto"/>
          <w:highlight w:val="none"/>
        </w:rPr>
      </w:pPr>
    </w:p>
    <w:p>
      <w:pPr>
        <w:pStyle w:val="5"/>
        <w:numPr>
          <w:ilvl w:val="0"/>
          <w:numId w:val="4"/>
        </w:numPr>
        <w:spacing w:before="0" w:after="0" w:line="360" w:lineRule="auto"/>
        <w:jc w:val="center"/>
        <w:rPr>
          <w:rFonts w:ascii="宋体" w:hAnsi="宋体" w:cs="宋体"/>
          <w:color w:val="auto"/>
          <w:highlight w:val="none"/>
        </w:rPr>
      </w:pPr>
      <w:bookmarkStart w:id="66" w:name="_Toc18672"/>
      <w:bookmarkStart w:id="67" w:name="_Toc30352"/>
      <w:r>
        <w:rPr>
          <w:rFonts w:hint="eastAsia" w:ascii="宋体" w:hAnsi="宋体" w:cs="宋体"/>
          <w:color w:val="auto"/>
          <w:highlight w:val="none"/>
        </w:rPr>
        <w:t>投标文件的递交</w:t>
      </w:r>
      <w:bookmarkEnd w:id="66"/>
      <w:bookmarkEnd w:id="67"/>
    </w:p>
    <w:p>
      <w:pPr>
        <w:pStyle w:val="6"/>
        <w:widowControl w:val="0"/>
        <w:numPr>
          <w:ilvl w:val="0"/>
          <w:numId w:val="5"/>
        </w:numPr>
        <w:overflowPunct w:val="0"/>
        <w:rPr>
          <w:rFonts w:ascii="宋体" w:hAnsi="宋体" w:cs="宋体"/>
          <w:color w:val="auto"/>
          <w:sz w:val="21"/>
          <w:szCs w:val="21"/>
          <w:highlight w:val="none"/>
        </w:rPr>
      </w:pPr>
      <w:bookmarkStart w:id="68" w:name="_Toc9759"/>
      <w:bookmarkStart w:id="69" w:name="_Toc24150"/>
      <w:bookmarkStart w:id="70" w:name="_Toc24997"/>
      <w:bookmarkStart w:id="71" w:name="_Toc303084264"/>
      <w:bookmarkStart w:id="72" w:name="_Toc382049111"/>
      <w:r>
        <w:rPr>
          <w:rFonts w:hint="eastAsia" w:ascii="宋体" w:hAnsi="宋体" w:cs="宋体"/>
          <w:color w:val="auto"/>
          <w:sz w:val="21"/>
          <w:szCs w:val="21"/>
          <w:highlight w:val="none"/>
        </w:rPr>
        <w:t>投标文件的装订，签署，密封和标记</w:t>
      </w:r>
      <w:bookmarkEnd w:id="68"/>
      <w:bookmarkEnd w:id="69"/>
      <w:bookmarkEnd w:id="70"/>
      <w:bookmarkEnd w:id="71"/>
      <w:bookmarkEnd w:id="72"/>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olor w:val="auto"/>
          <w:szCs w:val="21"/>
          <w:highlight w:val="none"/>
        </w:rPr>
        <w:t>投标人应按《投标资料表》的份数准备价格文件、商务文件、技术文件、唱标信封和电子文件（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），每一份投标文件均需编上页次，装订成册（不允许使用活页夹，否则由此产生的风险由投标人自行承担）。所有投标文件必须封入密封完好的信封或包装，封口加盖公章</w:t>
      </w:r>
      <w:r>
        <w:rPr>
          <w:rFonts w:hint="eastAsia" w:ascii="宋体" w:hAnsi="宋体" w:cs="宋体"/>
          <w:color w:val="auto"/>
          <w:szCs w:val="21"/>
          <w:highlight w:val="none"/>
        </w:rPr>
        <w:t>。</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电子文件内容包括：由投标人自行制作的与正本文件一致的所有文件。电子文件由光盘或U盘储存，并注明投标人名称及项目名称、采购项目编号，随投标文件一同密封提交。</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投标人应将投标文件进行非透明的封装，以防止投标文件内容的泄露。采购代理机构将拒绝接收采用透明包装进行密封的投标文件。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密封破损导致投标文件内容直接或间接泄露的投标文件，采购代理机构将拒绝接收。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为方便开标唱标，投标人应将开标一览表和授权委托书单独密封提交，并在信封上标明“开标文件”字样。开标文件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开标文件”份数及签章等要求与投标文件正本相同（1份）。</w:t>
      </w:r>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未单独提交开标文件的投标人投标文件不进行唱标，投标文件作无效处理。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 xml:space="preserve">收件人： </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投标单位名称：</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项目名称：</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项目采购项目编号：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采购代理机构对所有投标文件的误投或提前启封概不负责。</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投标人同时参加几个包投标时必须按采购文件要求按包号分别制作投标文件，分别密封递交。</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传真、电传的投标文件将被拒绝。</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73" w:name="_Toc27686"/>
      <w:bookmarkStart w:id="74" w:name="_Toc25895"/>
      <w:r>
        <w:rPr>
          <w:rFonts w:hint="eastAsia" w:ascii="宋体" w:hAnsi="宋体" w:cs="宋体"/>
          <w:color w:val="auto"/>
          <w:sz w:val="21"/>
          <w:szCs w:val="21"/>
          <w:highlight w:val="none"/>
        </w:rPr>
        <w:t>迟交的投标文件</w:t>
      </w:r>
      <w:bookmarkEnd w:id="73"/>
      <w:bookmarkEnd w:id="74"/>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投标人在投标截止时间之后提交的投标文件，采购代理机构将拒绝接收。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75" w:name="_Toc9143"/>
      <w:bookmarkStart w:id="76" w:name="_Toc8776"/>
      <w:r>
        <w:rPr>
          <w:rFonts w:hint="eastAsia" w:ascii="宋体" w:hAnsi="宋体" w:cs="宋体"/>
          <w:color w:val="auto"/>
          <w:sz w:val="21"/>
          <w:szCs w:val="21"/>
          <w:highlight w:val="none"/>
        </w:rPr>
        <w:t>投标样品（如需提交）</w:t>
      </w:r>
      <w:bookmarkEnd w:id="75"/>
      <w:bookmarkEnd w:id="76"/>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为方便评标，投标人在提供样品时，应在所提供的样品表面显著位置标注投标人的名称、包号、样品名称、采购文件规定的服务或货物编号。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77" w:name="_Toc17522"/>
      <w:bookmarkStart w:id="78" w:name="_Toc382049112"/>
      <w:bookmarkStart w:id="79" w:name="_Toc9777"/>
      <w:bookmarkStart w:id="80" w:name="_Toc303084265"/>
      <w:bookmarkStart w:id="81" w:name="_Toc1712"/>
      <w:r>
        <w:rPr>
          <w:rFonts w:hint="eastAsia" w:ascii="宋体" w:hAnsi="宋体" w:cs="宋体"/>
          <w:color w:val="auto"/>
          <w:sz w:val="21"/>
          <w:szCs w:val="21"/>
          <w:highlight w:val="none"/>
        </w:rPr>
        <w:t>投标截止期</w:t>
      </w:r>
      <w:bookmarkEnd w:id="77"/>
      <w:bookmarkEnd w:id="78"/>
      <w:bookmarkEnd w:id="79"/>
      <w:bookmarkEnd w:id="80"/>
      <w:bookmarkEnd w:id="81"/>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投标人应在采购文件规定的截止日期和时间内，将投标文件送达到指定地点。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采购代理机构可按本须知规定以澄清或修改通知的方式，酌情延长递交投标文件的截止时间。在此情况下，投标人的所有权利和义务以及投标人受制约的截止时间，均以延长后新的投标截止时间为准。</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82" w:name="_Toc31417"/>
      <w:bookmarkStart w:id="83" w:name="_Toc14518"/>
      <w:r>
        <w:rPr>
          <w:rFonts w:hint="eastAsia" w:ascii="宋体" w:hAnsi="宋体" w:cs="宋体"/>
          <w:color w:val="auto"/>
          <w:sz w:val="21"/>
          <w:szCs w:val="21"/>
          <w:highlight w:val="none"/>
        </w:rPr>
        <w:t>投标文件的补充、修改与撤回</w:t>
      </w:r>
      <w:bookmarkEnd w:id="82"/>
      <w:bookmarkEnd w:id="83"/>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投标人对投标文件的补充、修改的内容应当按采购文件要求的签署、盖章、密封后，作为投标文件的组成部分。并按照采购文件规定密封和标记的要求提交，并在投标文件密封袋上标明“补充、修改”字样。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pPr>
        <w:pStyle w:val="11"/>
        <w:rPr>
          <w:color w:val="auto"/>
          <w:highlight w:val="none"/>
        </w:rPr>
      </w:pPr>
    </w:p>
    <w:p>
      <w:pPr>
        <w:pStyle w:val="5"/>
        <w:numPr>
          <w:ilvl w:val="0"/>
          <w:numId w:val="4"/>
        </w:numPr>
        <w:spacing w:before="0" w:after="0" w:line="360" w:lineRule="auto"/>
        <w:jc w:val="center"/>
        <w:rPr>
          <w:rFonts w:ascii="宋体" w:hAnsi="宋体" w:cs="宋体"/>
          <w:color w:val="auto"/>
          <w:highlight w:val="none"/>
        </w:rPr>
      </w:pPr>
      <w:bookmarkStart w:id="84" w:name="_Toc4693"/>
      <w:bookmarkStart w:id="85" w:name="_Toc7410"/>
      <w:r>
        <w:rPr>
          <w:rFonts w:hint="eastAsia" w:ascii="宋体" w:hAnsi="宋体" w:cs="宋体"/>
          <w:color w:val="auto"/>
          <w:highlight w:val="none"/>
        </w:rPr>
        <w:t>开标与评标</w:t>
      </w:r>
      <w:bookmarkEnd w:id="84"/>
      <w:bookmarkEnd w:id="85"/>
    </w:p>
    <w:p>
      <w:pPr>
        <w:pStyle w:val="6"/>
        <w:widowControl w:val="0"/>
        <w:numPr>
          <w:ilvl w:val="0"/>
          <w:numId w:val="5"/>
        </w:numPr>
        <w:overflowPunct w:val="0"/>
        <w:rPr>
          <w:rFonts w:ascii="宋体" w:hAnsi="宋体" w:cs="宋体"/>
          <w:color w:val="auto"/>
          <w:sz w:val="21"/>
          <w:szCs w:val="21"/>
          <w:highlight w:val="none"/>
        </w:rPr>
      </w:pPr>
      <w:bookmarkStart w:id="86" w:name="_Toc31671"/>
      <w:bookmarkStart w:id="87" w:name="_Toc20009"/>
      <w:r>
        <w:rPr>
          <w:rFonts w:hint="eastAsia" w:ascii="宋体" w:hAnsi="宋体" w:cs="宋体"/>
          <w:color w:val="auto"/>
          <w:sz w:val="21"/>
          <w:szCs w:val="21"/>
          <w:highlight w:val="none"/>
        </w:rPr>
        <w:t>开标</w:t>
      </w:r>
      <w:bookmarkEnd w:id="86"/>
      <w:bookmarkEnd w:id="87"/>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采购代理机构按本采购文件所规定的时间和地点公开开标，并邀请所有投标人代表参加。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开标程序：</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开标会由采购代理机构主持，投标人的法定代表人或其授权代表携带有效身份证明准时参加开标会并签名报到。</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开标时，由投标人或者其推选的代表检查投标文件的密封情况；经确认无误后，由采购人或者采购代理机构工作人员当众拆封，宣布投标人名称、投标价格和采购文件规定的需要宣布的其他内容；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88" w:name="_Toc15560"/>
      <w:bookmarkStart w:id="89" w:name="_Toc3528"/>
      <w:r>
        <w:rPr>
          <w:rFonts w:hint="eastAsia" w:ascii="宋体" w:hAnsi="宋体" w:cs="宋体"/>
          <w:color w:val="auto"/>
          <w:sz w:val="21"/>
          <w:szCs w:val="21"/>
          <w:highlight w:val="none"/>
        </w:rPr>
        <w:t>评标委员会及评标方法</w:t>
      </w:r>
      <w:bookmarkEnd w:id="88"/>
      <w:bookmarkEnd w:id="89"/>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依法组成评标委员会，评标委员会由采购人和有关技术、经济等方面的专家组成，成员人数为五人或五人以上单数，其中技术、经济等方面的专家不少于成员总数的三分之二，并负责评标工作。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评审方法：</w:t>
      </w:r>
      <w:r>
        <w:rPr>
          <w:rFonts w:hint="eastAsia" w:ascii="宋体" w:hAnsi="宋体" w:cs="宋体"/>
          <w:b/>
          <w:bCs/>
          <w:color w:val="auto"/>
          <w:szCs w:val="21"/>
          <w:highlight w:val="none"/>
        </w:rPr>
        <w:t>通过本项目资格性审查及符合性审查的</w:t>
      </w:r>
      <w:r>
        <w:rPr>
          <w:rFonts w:hint="eastAsia" w:ascii="宋体" w:hAnsi="宋体"/>
          <w:b/>
          <w:bCs/>
          <w:color w:val="auto"/>
          <w:szCs w:val="21"/>
          <w:highlight w:val="none"/>
        </w:rPr>
        <w:t xml:space="preserve">投标人均作为本项目中标候选人，纳入供应商协议库。 </w:t>
      </w:r>
    </w:p>
    <w:p>
      <w:pPr>
        <w:widowControl w:val="0"/>
        <w:numPr>
          <w:ilvl w:val="1"/>
          <w:numId w:val="5"/>
        </w:numPr>
        <w:overflowPunct w:val="0"/>
        <w:rPr>
          <w:rFonts w:ascii="宋体" w:hAnsi="宋体" w:cs="宋体"/>
          <w:color w:val="auto"/>
          <w:szCs w:val="21"/>
          <w:highlight w:val="none"/>
        </w:rPr>
      </w:pPr>
      <w:r>
        <w:rPr>
          <w:rFonts w:hint="eastAsia" w:ascii="宋体" w:hAnsi="宋体"/>
          <w:color w:val="auto"/>
          <w:szCs w:val="21"/>
          <w:highlight w:val="none"/>
        </w:rPr>
        <w:t>评审流程包括符合性检查、澄清问题、推荐中标候选人或确定中标人、编写评标报告等步骤。</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评标委员会和采购人在评审过程中有权核对投标文件中相关材料的原件，投标人在接到通知后应在评标委员会规定的时间内提交原件核查。</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90" w:name="_Toc22022"/>
      <w:bookmarkStart w:id="91" w:name="_Toc4198"/>
      <w:r>
        <w:rPr>
          <w:rFonts w:hint="eastAsia" w:ascii="宋体" w:hAnsi="宋体" w:cs="宋体"/>
          <w:color w:val="auto"/>
          <w:sz w:val="21"/>
          <w:szCs w:val="21"/>
          <w:highlight w:val="none"/>
        </w:rPr>
        <w:t>评审原则及评标过程的保密</w:t>
      </w:r>
      <w:bookmarkEnd w:id="90"/>
      <w:bookmarkEnd w:id="91"/>
    </w:p>
    <w:p>
      <w:pPr>
        <w:pStyle w:val="43"/>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评审的基本原则：评标委员会将依据采购文件的规定，遵循“公开、公平、公正、择优、信用”的原则进行评审工作。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92" w:name="_Toc14506"/>
      <w:r>
        <w:rPr>
          <w:rFonts w:hint="eastAsia" w:ascii="宋体" w:hAnsi="宋体" w:cs="宋体"/>
          <w:color w:val="auto"/>
          <w:sz w:val="21"/>
          <w:szCs w:val="21"/>
          <w:highlight w:val="none"/>
        </w:rPr>
        <w:t>评标程序</w:t>
      </w:r>
      <w:bookmarkEnd w:id="92"/>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资格性检查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公开采购项目开标结束后，采购人或者采购代理机构按《资格性审查表》将依法对投标人的资格进行审查。投标人必须严格按照《资格性审查表》的评审内容的要求如实提供证明材料并应加盖投标人公章，对缺漏或不符合项将直接导致无效投标。合格投标人不足3家的，不得评标。</w:t>
      </w:r>
    </w:p>
    <w:p>
      <w:pPr>
        <w:jc w:val="center"/>
        <w:rPr>
          <w:b/>
          <w:bCs/>
          <w:color w:val="auto"/>
          <w:highlight w:val="none"/>
        </w:rPr>
      </w:pPr>
      <w:r>
        <w:rPr>
          <w:b/>
          <w:bCs/>
          <w:color w:val="auto"/>
          <w:highlight w:val="none"/>
        </w:rPr>
        <w:t>《资格性审查表》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7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jc w:val="center"/>
              <w:rPr>
                <w:rFonts w:ascii="宋体" w:hAnsi="宋体" w:cs="宋体"/>
                <w:color w:val="auto"/>
                <w:szCs w:val="21"/>
                <w:highlight w:val="none"/>
              </w:rPr>
            </w:pPr>
            <w:r>
              <w:rPr>
                <w:rFonts w:hint="eastAsia" w:ascii="宋体" w:hAnsi="宋体" w:cs="宋体"/>
                <w:color w:val="auto"/>
                <w:szCs w:val="21"/>
                <w:highlight w:val="none"/>
              </w:rPr>
              <w:t>1</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color w:val="auto"/>
                <w:highlight w:val="none"/>
              </w:rPr>
              <w:t>投</w:t>
            </w:r>
            <w:r>
              <w:rPr>
                <w:rFonts w:hint="eastAsia" w:ascii="宋体" w:hAnsi="宋体"/>
                <w:color w:val="auto"/>
                <w:szCs w:val="21"/>
                <w:highlight w:val="none"/>
              </w:rPr>
              <w:t>标人须为在中华人民共和国境内登记注册的法人或其他组织。【提供《营业执照》复印件（加盖公章）或《事业单位法人证书》复印件（加盖公章）或其他主体证书复印件（加盖公章）】；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jc w:val="center"/>
              <w:rPr>
                <w:rFonts w:ascii="宋体" w:hAnsi="宋体" w:cs="宋体"/>
                <w:color w:val="auto"/>
                <w:szCs w:val="21"/>
                <w:highlight w:val="none"/>
              </w:rPr>
            </w:pPr>
            <w:r>
              <w:rPr>
                <w:rFonts w:hint="eastAsia" w:ascii="宋体" w:hAnsi="宋体" w:cs="宋体"/>
                <w:color w:val="auto"/>
                <w:szCs w:val="21"/>
                <w:highlight w:val="none"/>
              </w:rPr>
              <w:t>2</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ascii="宋体" w:hAnsi="宋体"/>
                <w:color w:val="auto"/>
                <w:szCs w:val="21"/>
                <w:highlight w:val="none"/>
              </w:rPr>
              <w:t>参加采购活动前三年内，在经营活动中没有重大违法记录（须提供书面声明）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jc w:val="center"/>
              <w:rPr>
                <w:rFonts w:ascii="宋体" w:hAnsi="宋体" w:cs="宋体"/>
                <w:color w:val="auto"/>
                <w:szCs w:val="21"/>
                <w:highlight w:val="none"/>
              </w:rPr>
            </w:pPr>
            <w:r>
              <w:rPr>
                <w:rFonts w:hint="eastAsia" w:ascii="宋体" w:hAnsi="宋体" w:cs="宋体"/>
                <w:color w:val="auto"/>
                <w:szCs w:val="21"/>
                <w:highlight w:val="none"/>
              </w:rPr>
              <w:t>3</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ascii="宋体" w:hAnsi="宋体"/>
                <w:color w:val="auto"/>
                <w:szCs w:val="21"/>
                <w:highlight w:val="none"/>
              </w:rPr>
              <w:t>投标人的单位负责人为同一人或者存在直接控股、管理关系的不同投标人，不得参加同一合同项下的采购活动（提供承诺函，格式自拟）；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jc w:val="center"/>
              <w:rPr>
                <w:rFonts w:ascii="宋体" w:hAnsi="宋体" w:cs="宋体"/>
                <w:color w:val="auto"/>
                <w:szCs w:val="21"/>
                <w:highlight w:val="none"/>
              </w:rPr>
            </w:pPr>
            <w:r>
              <w:rPr>
                <w:rFonts w:hint="eastAsia" w:ascii="宋体" w:hAnsi="宋体" w:cs="宋体"/>
                <w:color w:val="auto"/>
                <w:szCs w:val="21"/>
                <w:highlight w:val="none"/>
              </w:rPr>
              <w:t>4</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color w:val="auto"/>
                <w:szCs w:val="21"/>
                <w:highlight w:val="none"/>
              </w:rPr>
            </w:pPr>
            <w:r>
              <w:rPr>
                <w:rFonts w:hint="eastAsia" w:ascii="宋体" w:hAnsi="宋体"/>
                <w:color w:val="auto"/>
                <w:szCs w:val="21"/>
                <w:highlight w:val="none"/>
              </w:rPr>
              <w:t>未被列入“信用中国”网站(www.creditchina.gov.cn )“记录失信被执行人或</w:t>
            </w:r>
            <w:r>
              <w:rPr>
                <w:rFonts w:hint="eastAsia"/>
                <w:color w:val="auto"/>
                <w:highlight w:val="none"/>
              </w:rPr>
              <w:t>税收违法黑名单</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hint="eastAsia" w:ascii="宋体" w:hAnsi="宋体"/>
                <w:color w:val="auto"/>
                <w:szCs w:val="21"/>
                <w:highlight w:val="none"/>
              </w:rPr>
            </w:pPr>
            <w:r>
              <w:rPr>
                <w:rFonts w:hint="eastAsia" w:ascii="宋体" w:hAnsi="宋体"/>
                <w:color w:val="auto"/>
                <w:szCs w:val="21"/>
                <w:highlight w:val="none"/>
                <w:lang w:eastAsia="zh-CN"/>
              </w:rPr>
              <w:t>未被列入东实环境及下属企业相关领域黑名单。【以东实环境及下属企业最新文件执行。】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olor w:val="auto"/>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p>
        </w:tc>
        <w:tc>
          <w:tcPr>
            <w:tcW w:w="4588" w:type="pct"/>
            <w:tcBorders>
              <w:top w:val="single" w:color="auto" w:sz="4" w:space="0"/>
              <w:left w:val="single" w:color="auto" w:sz="4" w:space="0"/>
              <w:bottom w:val="single" w:color="auto" w:sz="4" w:space="0"/>
              <w:right w:val="single" w:color="auto" w:sz="4" w:space="0"/>
              <w:tl2br w:val="nil"/>
              <w:tr2bl w:val="nil"/>
            </w:tcBorders>
            <w:vAlign w:val="center"/>
          </w:tcPr>
          <w:p>
            <w:pPr>
              <w:jc w:val="both"/>
              <w:rPr>
                <w:rFonts w:ascii="宋体" w:hAnsi="宋体"/>
                <w:color w:val="auto"/>
                <w:szCs w:val="21"/>
                <w:highlight w:val="none"/>
              </w:rPr>
            </w:pPr>
            <w:r>
              <w:rPr>
                <w:rFonts w:hint="eastAsia" w:ascii="宋体" w:hAnsi="宋体"/>
                <w:b/>
                <w:bCs/>
                <w:color w:val="auto"/>
                <w:szCs w:val="21"/>
                <w:highlight w:val="none"/>
              </w:rPr>
              <w:t>A包</w:t>
            </w:r>
            <w:r>
              <w:rPr>
                <w:rFonts w:hint="eastAsia" w:ascii="宋体" w:hAnsi="宋体"/>
                <w:color w:val="auto"/>
                <w:szCs w:val="21"/>
                <w:highlight w:val="none"/>
              </w:rPr>
              <w:t>（城服公司工程车辆设备租赁）：</w:t>
            </w:r>
            <w:r>
              <w:rPr>
                <w:rFonts w:hint="eastAsia" w:ascii="宋体" w:hAnsi="宋体"/>
                <w:color w:val="auto"/>
                <w:szCs w:val="21"/>
                <w:highlight w:val="none"/>
                <w:lang w:eastAsia="zh-CN"/>
              </w:rPr>
              <w:t>投标人须提供本项目《工程车辆设备租赁清单》中</w:t>
            </w:r>
            <w:r>
              <w:rPr>
                <w:rFonts w:hint="eastAsia" w:ascii="宋体" w:hAnsi="宋体"/>
                <w:color w:val="auto"/>
                <w:szCs w:val="21"/>
                <w:highlight w:val="none"/>
                <w:lang w:val="en-US" w:eastAsia="zh-CN"/>
              </w:rPr>
              <w:t>自有的</w:t>
            </w:r>
            <w:r>
              <w:rPr>
                <w:rFonts w:hint="eastAsia" w:ascii="宋体" w:hAnsi="宋体"/>
                <w:color w:val="auto"/>
                <w:szCs w:val="21"/>
                <w:highlight w:val="none"/>
                <w:lang w:eastAsia="zh-CN"/>
              </w:rPr>
              <w:t>任意一项（或以上）车辆的车牌照片及行驶证复印件并加盖投标人公章</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注：车牌照片的车牌号须与行驶证上的车牌号保持一致</w:t>
            </w:r>
            <w:r>
              <w:rPr>
                <w:rFonts w:hint="eastAsia" w:ascii="宋体" w:hAnsi="宋体"/>
                <w:color w:val="auto"/>
                <w:szCs w:val="21"/>
                <w:highlight w:val="none"/>
                <w:lang w:eastAsia="zh-CN"/>
              </w:rPr>
              <w:t>）</w:t>
            </w:r>
          </w:p>
          <w:p>
            <w:pPr>
              <w:rPr>
                <w:rFonts w:ascii="宋体" w:hAnsi="宋体"/>
                <w:color w:val="auto"/>
                <w:szCs w:val="21"/>
                <w:highlight w:val="none"/>
              </w:rPr>
            </w:pPr>
            <w:r>
              <w:rPr>
                <w:rFonts w:hint="eastAsia" w:ascii="宋体" w:hAnsi="宋体"/>
                <w:b/>
                <w:bCs/>
                <w:color w:val="auto"/>
                <w:szCs w:val="21"/>
                <w:highlight w:val="none"/>
              </w:rPr>
              <w:t>B包</w:t>
            </w:r>
            <w:r>
              <w:rPr>
                <w:rFonts w:hint="eastAsia" w:ascii="宋体" w:hAnsi="宋体"/>
                <w:color w:val="auto"/>
                <w:szCs w:val="21"/>
                <w:highlight w:val="none"/>
              </w:rPr>
              <w:t>（城服公司环卫保洁车辆设备租赁）</w:t>
            </w:r>
            <w:r>
              <w:rPr>
                <w:rFonts w:hint="eastAsia" w:ascii="宋体" w:hAnsi="宋体"/>
                <w:b/>
                <w:bCs/>
                <w:color w:val="auto"/>
                <w:szCs w:val="21"/>
                <w:highlight w:val="none"/>
              </w:rPr>
              <w:t>：</w:t>
            </w:r>
            <w:r>
              <w:rPr>
                <w:rFonts w:hint="eastAsia" w:ascii="宋体" w:hAnsi="宋体"/>
                <w:color w:val="auto"/>
                <w:szCs w:val="21"/>
                <w:highlight w:val="none"/>
                <w:lang w:eastAsia="zh-CN"/>
              </w:rPr>
              <w:t>投标人须提供本项目《环卫车辆设备清单》中</w:t>
            </w:r>
            <w:r>
              <w:rPr>
                <w:rFonts w:hint="eastAsia" w:ascii="宋体" w:hAnsi="宋体"/>
                <w:color w:val="auto"/>
                <w:szCs w:val="21"/>
                <w:highlight w:val="none"/>
                <w:lang w:val="en-US" w:eastAsia="zh-CN"/>
              </w:rPr>
              <w:t>自有的</w:t>
            </w:r>
            <w:r>
              <w:rPr>
                <w:rFonts w:hint="eastAsia" w:ascii="宋体" w:hAnsi="宋体"/>
                <w:color w:val="auto"/>
                <w:szCs w:val="21"/>
                <w:highlight w:val="none"/>
                <w:lang w:eastAsia="zh-CN"/>
              </w:rPr>
              <w:t>任意一项（或以上）车辆的车牌照片及行驶证复印件并加盖投标人公章</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注：车牌照片的车牌号须与行驶证上的车牌号保持一致</w:t>
            </w:r>
            <w:r>
              <w:rPr>
                <w:rFonts w:hint="eastAsia" w:ascii="宋体" w:hAnsi="宋体"/>
                <w:color w:val="auto"/>
                <w:szCs w:val="21"/>
                <w:highlight w:val="none"/>
                <w:lang w:eastAsia="zh-CN"/>
              </w:rPr>
              <w:t>）</w:t>
            </w:r>
          </w:p>
        </w:tc>
      </w:tr>
    </w:tbl>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符合性检查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将对符合资格的投标人的投标文件按《符合性审查表》进行符合性审查，以确定其是否满足采购文件的实质性要求。投标人必须严格按照《符合性审查表》的评审内容的要求如实提供证明材料并应加盖投标人公章，对缺漏或不符合项将直接导致无效投标。</w:t>
      </w:r>
    </w:p>
    <w:p>
      <w:pPr>
        <w:pStyle w:val="11"/>
        <w:jc w:val="center"/>
        <w:rPr>
          <w:rFonts w:ascii="Tahoma" w:hAnsi="Tahoma" w:cstheme="minorBidi"/>
          <w:b/>
          <w:bCs/>
          <w:color w:val="auto"/>
          <w:sz w:val="21"/>
          <w:highlight w:val="none"/>
          <w:lang w:val="en-US" w:bidi="ar-SA"/>
        </w:rPr>
      </w:pPr>
      <w:r>
        <w:rPr>
          <w:rFonts w:hint="eastAsia" w:ascii="Tahoma" w:hAnsi="Tahoma" w:cstheme="minorBidi"/>
          <w:b/>
          <w:bCs/>
          <w:color w:val="auto"/>
          <w:sz w:val="21"/>
          <w:highlight w:val="none"/>
          <w:lang w:val="en-US" w:bidi="ar-SA"/>
        </w:rPr>
        <w:t>《符合性审查表》</w:t>
      </w:r>
    </w:p>
    <w:tbl>
      <w:tblPr>
        <w:tblStyle w:val="32"/>
        <w:tblW w:w="4999" w:type="pct"/>
        <w:jc w:val="center"/>
        <w:tblLayout w:type="autofit"/>
        <w:tblCellMar>
          <w:top w:w="15" w:type="dxa"/>
          <w:left w:w="15" w:type="dxa"/>
          <w:bottom w:w="15" w:type="dxa"/>
          <w:right w:w="15" w:type="dxa"/>
        </w:tblCellMar>
      </w:tblPr>
      <w:tblGrid>
        <w:gridCol w:w="705"/>
        <w:gridCol w:w="7629"/>
      </w:tblGrid>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评 审 内 容</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投标人按照采购文件要求提交投标保证金；</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投标文件按照采购文件要求签署盖章；</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投标单价未超出采购预算或最高限价；</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4</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投标文件未含有采购人不能接受的附加条件；</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5</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tblPrEx>
          <w:tblCellMar>
            <w:top w:w="15" w:type="dxa"/>
            <w:left w:w="15" w:type="dxa"/>
            <w:bottom w:w="15" w:type="dxa"/>
            <w:right w:w="15" w:type="dxa"/>
          </w:tblCellMar>
        </w:tblPrEx>
        <w:trPr>
          <w:jc w:val="center"/>
        </w:trPr>
        <w:tc>
          <w:tcPr>
            <w:tcW w:w="423" w:type="pct"/>
            <w:tcBorders>
              <w:top w:val="single" w:color="000000" w:sz="4" w:space="0"/>
              <w:left w:val="single" w:color="000000" w:sz="4" w:space="0"/>
              <w:bottom w:val="single" w:color="000000" w:sz="4" w:space="0"/>
              <w:right w:val="single" w:color="000000" w:sz="4" w:space="0"/>
              <w:tl2br w:val="nil"/>
              <w:tr2bl w:val="nil"/>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4576" w:type="pct"/>
            <w:tcBorders>
              <w:top w:val="single" w:color="000000" w:sz="4" w:space="0"/>
              <w:left w:val="single" w:color="000000" w:sz="4" w:space="0"/>
              <w:bottom w:val="single" w:color="000000" w:sz="4" w:space="0"/>
              <w:right w:val="single" w:color="000000" w:sz="4" w:space="0"/>
              <w:tl2br w:val="nil"/>
              <w:tr2bl w:val="nil"/>
            </w:tcBorders>
            <w:vAlign w:val="center"/>
          </w:tcPr>
          <w:p>
            <w:pP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法律、法规和采购文件规定的其他无效情形。</w:t>
            </w:r>
          </w:p>
        </w:tc>
      </w:tr>
    </w:tbl>
    <w:p>
      <w:pPr>
        <w:widowControl w:val="0"/>
        <w:overflowPunct w:val="0"/>
        <w:ind w:firstLine="420" w:firstLineChars="200"/>
        <w:rPr>
          <w:rFonts w:ascii="宋体" w:hAnsi="宋体"/>
          <w:color w:val="auto"/>
          <w:szCs w:val="21"/>
          <w:highlight w:val="none"/>
        </w:rPr>
      </w:pPr>
      <w:r>
        <w:rPr>
          <w:rFonts w:hint="eastAsia" w:ascii="宋体" w:hAnsi="宋体"/>
          <w:color w:val="auto"/>
          <w:szCs w:val="21"/>
          <w:highlight w:val="none"/>
        </w:rPr>
        <w:t>以上资格性检查、符合性检查中带有不合格分项的投标文件，将作无效标处理。经评标委员会确认的无效投标文件，采购人和采购代理机构将予以拒绝，并且不允许通过修正或撤消其不符合要求的差异，使之成为具有符合性的投标文件。经评标委员会符合性审查确认具有有效投标文件的投标人不足三家时将重新组织采购。</w:t>
      </w:r>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投标文件报价出现前后不一致的，评标委员会按照下列规定修正：</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0"/>
          <w:numId w:val="9"/>
        </w:numPr>
        <w:overflowPunct w:val="0"/>
        <w:rPr>
          <w:rFonts w:ascii="宋体" w:hAnsi="宋体" w:cs="宋体"/>
          <w:color w:val="auto"/>
          <w:szCs w:val="21"/>
          <w:highlight w:val="none"/>
        </w:rPr>
      </w:pPr>
      <w:r>
        <w:rPr>
          <w:rFonts w:hint="eastAsia" w:ascii="宋体" w:hAnsi="宋体" w:cs="宋体"/>
          <w:color w:val="auto"/>
          <w:szCs w:val="21"/>
          <w:highlight w:val="none"/>
        </w:rPr>
        <w:t>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Style w:val="11"/>
        <w:rPr>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93" w:name="_Toc4799"/>
      <w:bookmarkStart w:id="94" w:name="_Toc11415"/>
      <w:r>
        <w:rPr>
          <w:rFonts w:hint="eastAsia" w:ascii="宋体" w:hAnsi="宋体" w:cs="宋体"/>
          <w:color w:val="auto"/>
          <w:sz w:val="21"/>
          <w:szCs w:val="21"/>
          <w:highlight w:val="none"/>
        </w:rPr>
        <w:t>商务、技术、价格评审（本条款不适用于本项目）</w:t>
      </w:r>
      <w:bookmarkEnd w:id="93"/>
      <w:bookmarkEnd w:id="94"/>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和符合性审查的有效供应商方有资格提交最终报价及进入综合评审。采购文件中要求投标人提供的相关资质证书证明材料因国家政策变动导致新旧证书名称不一致，旧证书未取消且新旧证书具有同等效力的，投标人提供新证书与提供在有效期内的旧证书给予同等认可。 </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投标人得票数相同时，再次进行投票，如此类推，直到能确定排序次序为止</w:t>
      </w:r>
      <w:r>
        <w:rPr>
          <w:rFonts w:hint="eastAsia" w:ascii="宋体" w:hAnsi="宋体" w:cs="宋体"/>
          <w:color w:val="auto"/>
          <w:szCs w:val="21"/>
          <w:highlight w:val="none"/>
        </w:rPr>
        <w:t>。</w:t>
      </w:r>
    </w:p>
    <w:p>
      <w:pPr>
        <w:widowControl w:val="0"/>
        <w:tabs>
          <w:tab w:val="left" w:pos="907"/>
        </w:tabs>
        <w:adjustRightInd/>
        <w:snapToGrid/>
        <w:ind w:left="567"/>
        <w:jc w:val="both"/>
        <w:rPr>
          <w:rFonts w:ascii="宋体" w:hAnsi="宋体" w:cs="宋体"/>
          <w:color w:val="auto"/>
          <w:szCs w:val="21"/>
          <w:highlight w:val="none"/>
        </w:rPr>
      </w:pPr>
    </w:p>
    <w:p>
      <w:pPr>
        <w:pStyle w:val="6"/>
        <w:widowControl w:val="0"/>
        <w:numPr>
          <w:ilvl w:val="0"/>
          <w:numId w:val="5"/>
        </w:numPr>
        <w:overflowPunct w:val="0"/>
        <w:rPr>
          <w:rFonts w:ascii="宋体" w:hAnsi="宋体" w:cs="宋体"/>
          <w:color w:val="auto"/>
          <w:sz w:val="21"/>
          <w:szCs w:val="21"/>
          <w:highlight w:val="none"/>
        </w:rPr>
      </w:pPr>
      <w:bookmarkStart w:id="95" w:name="_Toc316375620"/>
      <w:bookmarkStart w:id="96" w:name="_Toc382049120"/>
      <w:bookmarkStart w:id="97" w:name="_Toc18550"/>
      <w:bookmarkStart w:id="98" w:name="_Toc21663"/>
      <w:bookmarkStart w:id="99" w:name="_Toc20328"/>
      <w:r>
        <w:rPr>
          <w:rFonts w:hint="eastAsia" w:ascii="宋体" w:hAnsi="宋体" w:cs="宋体"/>
          <w:color w:val="auto"/>
          <w:sz w:val="21"/>
          <w:szCs w:val="21"/>
          <w:highlight w:val="none"/>
        </w:rPr>
        <w:t>纪律和保密</w:t>
      </w:r>
      <w:bookmarkEnd w:id="95"/>
      <w:r>
        <w:rPr>
          <w:rFonts w:hint="eastAsia" w:ascii="宋体" w:hAnsi="宋体" w:cs="宋体"/>
          <w:color w:val="auto"/>
          <w:sz w:val="21"/>
          <w:szCs w:val="21"/>
          <w:highlight w:val="none"/>
        </w:rPr>
        <w:t>事项</w:t>
      </w:r>
      <w:bookmarkEnd w:id="96"/>
      <w:bookmarkEnd w:id="97"/>
      <w:bookmarkEnd w:id="98"/>
      <w:bookmarkEnd w:id="99"/>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投标人不得串通作弊，以不正当的手段妨碍、排挤其他投标人，扰乱采购市场，破坏公平竞争原则。否则将按相关法律规定严肃处理。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获得本采购文件的投标人，应对文件进行保密，不得用作本次投标以外的任何用途。开标后，投标人应归还采购文件中要求保密的文件和资料。</w:t>
      </w:r>
    </w:p>
    <w:p>
      <w:pPr>
        <w:rPr>
          <w:rFonts w:ascii="宋体" w:hAnsi="宋体" w:cs="宋体"/>
          <w:color w:val="auto"/>
          <w:highlight w:val="none"/>
        </w:rPr>
      </w:pPr>
    </w:p>
    <w:p>
      <w:pPr>
        <w:pStyle w:val="5"/>
        <w:numPr>
          <w:ilvl w:val="0"/>
          <w:numId w:val="4"/>
        </w:numPr>
        <w:spacing w:before="0" w:after="0" w:line="360" w:lineRule="auto"/>
        <w:jc w:val="center"/>
        <w:rPr>
          <w:rFonts w:ascii="宋体" w:hAnsi="宋体" w:cs="宋体"/>
          <w:color w:val="auto"/>
          <w:highlight w:val="none"/>
        </w:rPr>
      </w:pPr>
      <w:bookmarkStart w:id="100" w:name="_Toc1109"/>
      <w:bookmarkStart w:id="101" w:name="_Toc27738"/>
      <w:r>
        <w:rPr>
          <w:rFonts w:hint="eastAsia" w:ascii="宋体" w:hAnsi="宋体" w:cs="宋体"/>
          <w:color w:val="auto"/>
          <w:highlight w:val="none"/>
        </w:rPr>
        <w:t>授予合同</w:t>
      </w:r>
      <w:bookmarkEnd w:id="100"/>
      <w:bookmarkEnd w:id="101"/>
    </w:p>
    <w:p>
      <w:pPr>
        <w:pStyle w:val="6"/>
        <w:widowControl w:val="0"/>
        <w:numPr>
          <w:ilvl w:val="0"/>
          <w:numId w:val="5"/>
        </w:numPr>
        <w:overflowPunct w:val="0"/>
        <w:rPr>
          <w:rFonts w:ascii="宋体" w:hAnsi="宋体" w:cs="宋体"/>
          <w:color w:val="auto"/>
          <w:sz w:val="21"/>
          <w:szCs w:val="21"/>
          <w:highlight w:val="none"/>
        </w:rPr>
      </w:pPr>
      <w:bookmarkStart w:id="102" w:name="_Toc16090"/>
      <w:bookmarkStart w:id="103" w:name="_Toc22623"/>
      <w:bookmarkStart w:id="104" w:name="_Toc508284011"/>
      <w:r>
        <w:rPr>
          <w:rFonts w:hint="eastAsia" w:ascii="宋体" w:hAnsi="宋体" w:cs="宋体"/>
          <w:color w:val="auto"/>
          <w:sz w:val="21"/>
          <w:szCs w:val="21"/>
          <w:highlight w:val="none"/>
        </w:rPr>
        <w:t>合同授予标准</w:t>
      </w:r>
      <w:bookmarkEnd w:id="102"/>
      <w:bookmarkEnd w:id="103"/>
      <w:bookmarkEnd w:id="104"/>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根据评标委员会的评审结果，采购人按照评审报告推荐的中标候选人中按顺序依法确定中标人。</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105" w:name="_Toc24261"/>
      <w:bookmarkStart w:id="106" w:name="_Toc10545"/>
      <w:bookmarkStart w:id="107" w:name="_Toc508284013"/>
      <w:r>
        <w:rPr>
          <w:rFonts w:hint="eastAsia" w:ascii="宋体" w:hAnsi="宋体" w:cs="宋体"/>
          <w:color w:val="auto"/>
          <w:sz w:val="21"/>
          <w:szCs w:val="21"/>
          <w:highlight w:val="none"/>
        </w:rPr>
        <w:t>发布中标结果</w:t>
      </w:r>
      <w:bookmarkEnd w:id="105"/>
      <w:bookmarkEnd w:id="106"/>
      <w:bookmarkEnd w:id="107"/>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评标委员会提出评标书面报告和推荐中标意见报采购人确认后，采购代理机构将在指定的信息发布媒体上发布公告。</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中标公告期限为3个日历日。</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《中标通知书》是合同的一个组成部分，《中标通知书》对采购人和中标人均具有同等法律效力。</w:t>
      </w:r>
    </w:p>
    <w:p>
      <w:pPr>
        <w:widowControl w:val="0"/>
        <w:tabs>
          <w:tab w:val="left" w:pos="907"/>
        </w:tabs>
        <w:adjustRightInd/>
        <w:snapToGrid/>
        <w:jc w:val="both"/>
        <w:rPr>
          <w:rFonts w:ascii="宋体" w:hAnsi="宋体" w:cs="宋体"/>
          <w:color w:val="auto"/>
          <w:szCs w:val="21"/>
          <w:highlight w:val="none"/>
        </w:rPr>
      </w:pPr>
    </w:p>
    <w:p>
      <w:pPr>
        <w:pStyle w:val="6"/>
        <w:widowControl w:val="0"/>
        <w:numPr>
          <w:ilvl w:val="0"/>
          <w:numId w:val="5"/>
        </w:numPr>
        <w:overflowPunct w:val="0"/>
        <w:rPr>
          <w:rFonts w:ascii="宋体" w:hAnsi="宋体" w:cs="宋体"/>
          <w:color w:val="auto"/>
          <w:sz w:val="21"/>
          <w:szCs w:val="21"/>
          <w:highlight w:val="none"/>
        </w:rPr>
      </w:pPr>
      <w:bookmarkStart w:id="108" w:name="_Toc749"/>
      <w:bookmarkStart w:id="109" w:name="_Toc11420"/>
      <w:r>
        <w:rPr>
          <w:rFonts w:hint="eastAsia" w:ascii="宋体" w:hAnsi="宋体" w:cs="宋体"/>
          <w:color w:val="auto"/>
          <w:sz w:val="21"/>
          <w:szCs w:val="21"/>
          <w:highlight w:val="none"/>
        </w:rPr>
        <w:t>资格后审</w:t>
      </w:r>
      <w:bookmarkEnd w:id="108"/>
      <w:bookmarkEnd w:id="109"/>
    </w:p>
    <w:p>
      <w:pPr>
        <w:pStyle w:val="43"/>
        <w:widowControl w:val="0"/>
        <w:numPr>
          <w:ilvl w:val="0"/>
          <w:numId w:val="6"/>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采购人将有权根据本文件中的要求，对评委会推荐的中标候选人进行资格后审。</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中标候选人须无条件配合资格后审，否则采购人有权取消其中标资格，且投标保证金可不予退还。</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投标文件中提供的资质证明文件、业绩等重要证明文件的原件进行核对，综合考察中标人的履约能力。如采购人要求还须提供业绩证明的其他材料,中标候选人须配合提供。如授权其分支机构进行项目实施或提供售后服务的，亦应提供其与分支机构关系的法律证明材料。</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如发现中标候选人以他人名义投标或者以其他方式弄虚作假，骗取中标的，采购人有权取消其中标资格，且投标保证金可不予退还；给采购人造成损失的，应依法承担赔偿责任。</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有权审查中标候选人是否具备履行合同的能力，包括但不限于对其规模、人员、场地、生产能力、供货能力等方面的核实或现场考察。如果审查通过，采购人将把合同授予该中标人；如果审查没有通过，采购人有权取消其中标资格，且投标保证金可不予退还，并依次审查下一名中标候选人是否具备履行合同的能力或重新采购。</w:t>
      </w:r>
    </w:p>
    <w:p>
      <w:pPr>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110" w:name="_Toc27302"/>
      <w:bookmarkStart w:id="111" w:name="_Toc27689"/>
      <w:r>
        <w:rPr>
          <w:rFonts w:hint="eastAsia" w:ascii="宋体" w:hAnsi="宋体" w:cs="宋体"/>
          <w:color w:val="auto"/>
          <w:sz w:val="21"/>
          <w:szCs w:val="21"/>
          <w:highlight w:val="none"/>
        </w:rPr>
        <w:t>合同的签订与履行</w:t>
      </w:r>
      <w:bookmarkEnd w:id="110"/>
      <w:bookmarkEnd w:id="111"/>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应当自采购人发出中标通知书之日起30日内，按照采购文件和中标人投标文件的规定，与采购人签订书面合同，否则采购人有权取消其中标资格。所签订的合同不得对采购文件确定的事项和中标人投标文件作实质性修改。在合同签订时，应注意合同中约定的服务期开始时间不得早于合同签订时间。</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采购人与中标人应当根据合同的约定依法履行合同义务。</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在评审结束当天至合同履行结束，若因不可抗力的因素（如国家出台新法律法规等）造成投标人资质的变动，投标人应以纸质版形式通知采购人。若资质变动导致中标人不再具备履行合同资质要求，采购人有权中止合同。</w:t>
      </w:r>
    </w:p>
    <w:p>
      <w:pPr>
        <w:widowControl w:val="0"/>
        <w:tabs>
          <w:tab w:val="left" w:pos="907"/>
        </w:tabs>
        <w:adjustRightInd/>
        <w:snapToGrid/>
        <w:jc w:val="both"/>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112" w:name="_Toc303084277"/>
      <w:bookmarkStart w:id="113" w:name="_Toc29009"/>
      <w:bookmarkStart w:id="114" w:name="_Toc382049124"/>
      <w:bookmarkStart w:id="115" w:name="_Toc6617"/>
      <w:bookmarkStart w:id="116" w:name="_Toc19211"/>
      <w:r>
        <w:rPr>
          <w:rFonts w:hint="eastAsia" w:ascii="宋体" w:hAnsi="宋体" w:cs="宋体"/>
          <w:color w:val="auto"/>
          <w:sz w:val="21"/>
          <w:szCs w:val="21"/>
          <w:highlight w:val="none"/>
        </w:rPr>
        <w:t>履约</w:t>
      </w:r>
      <w:bookmarkEnd w:id="112"/>
      <w:bookmarkEnd w:id="113"/>
      <w:bookmarkEnd w:id="114"/>
      <w:r>
        <w:rPr>
          <w:rFonts w:hint="eastAsia" w:ascii="宋体" w:hAnsi="宋体" w:cs="宋体"/>
          <w:color w:val="auto"/>
          <w:sz w:val="21"/>
          <w:szCs w:val="21"/>
          <w:highlight w:val="none"/>
        </w:rPr>
        <w:t>担保</w:t>
      </w:r>
      <w:bookmarkEnd w:id="115"/>
      <w:bookmarkEnd w:id="116"/>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中标人在合同签订之日起七个工作日内提交履约担保，履约担保金额为</w:t>
      </w:r>
      <w:r>
        <w:rPr>
          <w:rFonts w:hint="eastAsia" w:ascii="宋体" w:hAnsi="宋体"/>
          <w:color w:val="auto"/>
          <w:szCs w:val="21"/>
          <w:highlight w:val="none"/>
        </w:rPr>
        <w:t>人民币</w:t>
      </w:r>
      <w:r>
        <w:rPr>
          <w:rFonts w:hint="eastAsia" w:ascii="宋体" w:hAnsi="宋体"/>
          <w:b/>
          <w:bCs/>
          <w:color w:val="auto"/>
          <w:szCs w:val="21"/>
          <w:highlight w:val="none"/>
        </w:rPr>
        <w:t>伍万</w:t>
      </w:r>
      <w:r>
        <w:rPr>
          <w:rFonts w:hint="eastAsia" w:ascii="宋体" w:hAnsi="宋体"/>
          <w:color w:val="auto"/>
          <w:szCs w:val="21"/>
          <w:highlight w:val="none"/>
        </w:rPr>
        <w:t>元整（￥50,000.00）</w:t>
      </w:r>
      <w:r>
        <w:rPr>
          <w:rFonts w:hint="eastAsia" w:ascii="宋体" w:hAnsi="宋体" w:cs="宋体"/>
          <w:color w:val="auto"/>
          <w:szCs w:val="21"/>
          <w:highlight w:val="none"/>
        </w:rPr>
        <w:t>，如果中标人提交的履约保函的有效期先于合同要求的履约保函有效期到达，中标人应在原提交的履约保函有效期满前15天，无条件办理保函延期手续。否则，视中标人违约，采购人可在保函到期前将保函金额转为现金存入履约保证金账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履约担保期限从合同签订之日起至项目服务期结束验收合格并结算完毕后，经双方签字7天内保持有效。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（1）履约保函。如果中标人的履约担保是以银行保函形式提供的，则该银行保函应：</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①保函应由银行支行或以上银行机构开具，非东莞市行政区内的银行开具的保函要由银行所在地公证部门出具的公证书。</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履约保证金。可采用银行转账方式提交，但不可以采用现金、电汇、银行汇票等方式提交。履约保证金金额为合同金额的10%。中标人人必须保证履约保证金以中标人的名称在（合同约定的日期）前提交至采购人指定账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若中标人不能按本采购文件（33.1至33.3）的规定提交履约担保的，采购人将有权</w:t>
      </w:r>
      <w:r>
        <w:rPr>
          <w:rFonts w:ascii="宋体" w:hAnsi="宋体" w:cs="宋体"/>
          <w:color w:val="auto"/>
          <w:szCs w:val="21"/>
          <w:highlight w:val="none"/>
        </w:rPr>
        <w:t>取消中标人的中标资格</w:t>
      </w:r>
      <w:r>
        <w:rPr>
          <w:rFonts w:hint="eastAsia" w:ascii="宋体" w:hAnsi="宋体" w:cs="宋体"/>
          <w:color w:val="auto"/>
          <w:szCs w:val="21"/>
          <w:highlight w:val="none"/>
        </w:rPr>
        <w:t>（采购人可以按照评标委员会提出的中标候选人名单排序依次确定其他中标候选人为中标人，也可以重新采购），投标保证金不予退还，</w:t>
      </w:r>
      <w:r>
        <w:rPr>
          <w:rFonts w:hint="eastAsia"/>
          <w:color w:val="auto"/>
          <w:highlight w:val="none"/>
        </w:rPr>
        <w:t>并要求中标人向采购人支付违约金5万元。</w:t>
      </w:r>
      <w:r>
        <w:rPr>
          <w:rFonts w:hint="eastAsia" w:ascii="宋体" w:hAnsi="宋体" w:cs="宋体"/>
          <w:color w:val="auto"/>
          <w:szCs w:val="21"/>
          <w:highlight w:val="none"/>
        </w:rPr>
        <w:t>给采购人造成的损失如果超过投标保证金数额的，还应当对超过部分予以赔偿。</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为取得履约担保所需的费用，由中标人承担；若履约担保时间延长，延长费用由中标人承担。</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若中标人在合同履行过程中出现项目质量事故、服务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下列任何情况发生时，采购人有权行使享有的担保权利，采购人有权立即没收其履约担保，若造成损失超过履约担保的，还应当对超过部分予以赔偿：</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（1）中标人将本项目转让给他人，或者在投标文件中未说明，且未经采购人同意，将中标项目分包给他人的；</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（2）中标人在履行采购合同期间，违反有关法律法规的规定及合同约定的条款，损害了采购人的利益。</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在整个项目验收合格后，中标人向采购人提交退回履约担保的申请，采购人办理履约担保退还手续。</w:t>
      </w:r>
    </w:p>
    <w:p>
      <w:pPr>
        <w:widowControl w:val="0"/>
        <w:tabs>
          <w:tab w:val="left" w:pos="907"/>
        </w:tabs>
        <w:adjustRightInd/>
        <w:snapToGrid/>
        <w:jc w:val="both"/>
        <w:rPr>
          <w:rFonts w:ascii="宋体" w:hAnsi="宋体" w:cs="宋体"/>
          <w:color w:val="auto"/>
          <w:highlight w:val="none"/>
        </w:rPr>
      </w:pPr>
    </w:p>
    <w:p>
      <w:pPr>
        <w:pStyle w:val="6"/>
        <w:widowControl w:val="0"/>
        <w:numPr>
          <w:ilvl w:val="0"/>
          <w:numId w:val="5"/>
        </w:numPr>
        <w:overflowPunct w:val="0"/>
        <w:rPr>
          <w:rFonts w:ascii="宋体" w:hAnsi="宋体" w:cs="宋体"/>
          <w:color w:val="auto"/>
          <w:sz w:val="21"/>
          <w:szCs w:val="21"/>
          <w:highlight w:val="none"/>
        </w:rPr>
      </w:pPr>
      <w:bookmarkStart w:id="117" w:name="_Toc18880"/>
      <w:bookmarkStart w:id="118" w:name="_Toc19347"/>
      <w:r>
        <w:rPr>
          <w:rFonts w:hint="eastAsia" w:ascii="宋体" w:hAnsi="宋体" w:cs="宋体"/>
          <w:color w:val="auto"/>
          <w:sz w:val="21"/>
          <w:szCs w:val="21"/>
          <w:highlight w:val="none"/>
        </w:rPr>
        <w:t>预付款保函（适用于预付款支付）</w:t>
      </w:r>
      <w:bookmarkEnd w:id="117"/>
      <w:bookmarkEnd w:id="118"/>
    </w:p>
    <w:p>
      <w:pPr>
        <w:pStyle w:val="43"/>
        <w:widowControl w:val="0"/>
        <w:numPr>
          <w:ilvl w:val="0"/>
          <w:numId w:val="6"/>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签订合同时，中标人应按本须知规定向采购人提交一份有效的预付款保函。预付款保函有效期从保函开立之日起至采购人向中标人抵扣完所有预付款之日止。如果中标人提交的预付款保函的有效期先于采购文件要求的预付款保函有效期到达，中标人应在原提交的预付款保函有效期前15日内，无条件办理预付款保函延期手续。否则视为中标人违约，采购人可在预付款保函到期前将未抵扣的预付款转为现金存入采购人账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（1）由东莞市行政区域内的银行支行及以上银行机构开具。非东莞市行政区内的银行开具的保函要由银行所在地公证部门出具的公证书。</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（2）须使用采购文件中提供的预付款保函的格式。</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（3）必须打印，手写、涂改无效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若中标人不能按本须知（34.1至34.2）的规定执行，采购人将不予支付预付款。</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如果中标人提交的预付款保函的有效期先于采购文件要求的预付款保函有效期到达，中标人应在原提交的预付款保函有效期满前15天内，无条件办理预付款保函延期手续。否则视为中标人违约，采购人可在预付款保函到期前将未抵扣的预付款金额转为现金存入采购人账户。</w:t>
      </w:r>
    </w:p>
    <w:p>
      <w:pPr>
        <w:rPr>
          <w:rFonts w:ascii="宋体" w:hAnsi="宋体" w:cs="宋体"/>
          <w:color w:val="auto"/>
          <w:highlight w:val="none"/>
        </w:rPr>
      </w:pPr>
    </w:p>
    <w:p>
      <w:pPr>
        <w:pStyle w:val="5"/>
        <w:numPr>
          <w:ilvl w:val="0"/>
          <w:numId w:val="4"/>
        </w:numPr>
        <w:spacing w:before="0" w:after="0" w:line="360" w:lineRule="auto"/>
        <w:jc w:val="center"/>
        <w:rPr>
          <w:rFonts w:ascii="宋体" w:hAnsi="宋体" w:cs="宋体"/>
          <w:color w:val="auto"/>
          <w:highlight w:val="none"/>
        </w:rPr>
      </w:pPr>
      <w:bookmarkStart w:id="119" w:name="_Toc21814"/>
      <w:bookmarkStart w:id="120" w:name="_Toc27556"/>
      <w:r>
        <w:rPr>
          <w:rFonts w:hint="eastAsia" w:ascii="宋体" w:hAnsi="宋体" w:cs="宋体"/>
          <w:color w:val="auto"/>
          <w:highlight w:val="none"/>
        </w:rPr>
        <w:t>异议</w:t>
      </w:r>
      <w:bookmarkEnd w:id="119"/>
      <w:bookmarkEnd w:id="120"/>
    </w:p>
    <w:p>
      <w:pPr>
        <w:pStyle w:val="6"/>
        <w:widowControl w:val="0"/>
        <w:numPr>
          <w:ilvl w:val="0"/>
          <w:numId w:val="5"/>
        </w:numPr>
        <w:overflowPunct w:val="0"/>
        <w:rPr>
          <w:rFonts w:ascii="宋体" w:hAnsi="宋体" w:cs="宋体"/>
          <w:color w:val="auto"/>
          <w:sz w:val="21"/>
          <w:szCs w:val="21"/>
          <w:highlight w:val="none"/>
        </w:rPr>
      </w:pPr>
      <w:bookmarkStart w:id="121" w:name="_Toc31457"/>
      <w:bookmarkStart w:id="122" w:name="_Toc9791"/>
      <w:r>
        <w:rPr>
          <w:rFonts w:hint="eastAsia" w:ascii="宋体" w:hAnsi="宋体" w:cs="宋体"/>
          <w:color w:val="auto"/>
          <w:sz w:val="21"/>
          <w:szCs w:val="21"/>
          <w:highlight w:val="none"/>
        </w:rPr>
        <w:t>异议</w:t>
      </w:r>
      <w:bookmarkEnd w:id="121"/>
      <w:bookmarkEnd w:id="122"/>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lang w:val="zh-CN"/>
        </w:rPr>
        <w:t>采购文件的异议</w:t>
      </w:r>
      <w:r>
        <w:rPr>
          <w:rFonts w:hint="eastAsia" w:ascii="宋体" w:hAnsi="宋体" w:cs="宋体"/>
          <w:color w:val="auto"/>
          <w:szCs w:val="21"/>
          <w:highlight w:val="none"/>
        </w:rPr>
        <w:t xml:space="preserve">  </w:t>
      </w:r>
    </w:p>
    <w:p>
      <w:pPr>
        <w:widowControl w:val="0"/>
        <w:tabs>
          <w:tab w:val="left" w:pos="907"/>
        </w:tabs>
        <w:adjustRightInd/>
        <w:snapToGrid/>
        <w:ind w:firstLine="420" w:firstLineChars="200"/>
        <w:jc w:val="both"/>
        <w:rPr>
          <w:rFonts w:ascii="宋体" w:hAnsi="宋体" w:cs="宋体"/>
          <w:color w:val="auto"/>
          <w:szCs w:val="21"/>
          <w:highlight w:val="none"/>
        </w:rPr>
      </w:pPr>
      <w:r>
        <w:rPr>
          <w:rFonts w:hint="eastAsia" w:ascii="宋体" w:hAnsi="宋体" w:cs="宋体"/>
          <w:bCs/>
          <w:color w:val="auto"/>
          <w:kern w:val="2"/>
          <w:szCs w:val="21"/>
          <w:highlight w:val="none"/>
          <w:lang w:val="zh-CN"/>
        </w:rPr>
        <w:t>投标人或者其他利害关系人对采购文件有异议的，应当在投标截止时间10日前</w:t>
      </w:r>
      <w:r>
        <w:rPr>
          <w:rFonts w:hint="eastAsia" w:ascii="宋体" w:hAnsi="宋体" w:cs="宋体"/>
          <w:color w:val="auto"/>
          <w:kern w:val="2"/>
          <w:szCs w:val="21"/>
          <w:highlight w:val="none"/>
          <w:lang w:val="zh-CN"/>
        </w:rPr>
        <w:t>以书面形式向采购代理机构提出，并将材料原件送达采购代理机构，逾期则视为对采购文件所有内容无异议。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书面材料必须加盖投标人法人公章，并注明联系人、联系电话、联系地址。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pPr>
        <w:widowControl w:val="0"/>
        <w:tabs>
          <w:tab w:val="left" w:pos="907"/>
        </w:tabs>
        <w:adjustRightInd/>
        <w:snapToGrid/>
        <w:ind w:firstLine="420" w:firstLineChars="200"/>
        <w:jc w:val="both"/>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投标人或者其他利害关系人对评标结果有异议的，应当在中标候选人公示期间向采购代理机构以书面的形式提出，并将完整的异议书面材料原件送达采购代理机构，逾期则视为对评标结果无异议。超出提交异议截止时间而提出的任何疑问，采购代理机构可不予答复。</w:t>
      </w:r>
    </w:p>
    <w:p>
      <w:pPr>
        <w:widowControl w:val="0"/>
        <w:tabs>
          <w:tab w:val="left" w:pos="907"/>
        </w:tabs>
        <w:adjustRightInd/>
        <w:snapToGrid/>
        <w:ind w:firstLine="420" w:firstLineChars="200"/>
        <w:jc w:val="both"/>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以联合体形式参加采购活动的，其异议应当由组成联合体的所有投标人共同提出。</w:t>
      </w:r>
    </w:p>
    <w:p>
      <w:pPr>
        <w:rPr>
          <w:rFonts w:ascii="宋体" w:hAnsi="宋体" w:cs="宋体"/>
          <w:color w:val="auto"/>
          <w:highlight w:val="none"/>
        </w:rPr>
      </w:pPr>
    </w:p>
    <w:p>
      <w:pPr>
        <w:pStyle w:val="5"/>
        <w:numPr>
          <w:ilvl w:val="0"/>
          <w:numId w:val="4"/>
        </w:numPr>
        <w:spacing w:before="0" w:after="0" w:line="360" w:lineRule="auto"/>
        <w:jc w:val="center"/>
        <w:rPr>
          <w:rFonts w:ascii="宋体" w:hAnsi="宋体" w:cs="宋体"/>
          <w:color w:val="auto"/>
          <w:highlight w:val="none"/>
        </w:rPr>
      </w:pPr>
      <w:bookmarkStart w:id="123" w:name="_Toc16776"/>
      <w:bookmarkStart w:id="124" w:name="_Toc18965"/>
      <w:r>
        <w:rPr>
          <w:rFonts w:hint="eastAsia" w:ascii="宋体" w:hAnsi="宋体" w:cs="宋体"/>
          <w:color w:val="auto"/>
          <w:highlight w:val="none"/>
        </w:rPr>
        <w:t>其他</w:t>
      </w:r>
      <w:bookmarkEnd w:id="123"/>
      <w:bookmarkEnd w:id="124"/>
    </w:p>
    <w:p>
      <w:pPr>
        <w:pStyle w:val="6"/>
        <w:widowControl w:val="0"/>
        <w:numPr>
          <w:ilvl w:val="0"/>
          <w:numId w:val="5"/>
        </w:numPr>
        <w:overflowPunct w:val="0"/>
        <w:rPr>
          <w:rFonts w:ascii="宋体" w:hAnsi="宋体" w:cs="宋体"/>
          <w:color w:val="auto"/>
          <w:sz w:val="21"/>
          <w:szCs w:val="21"/>
          <w:highlight w:val="none"/>
        </w:rPr>
      </w:pPr>
      <w:bookmarkStart w:id="125" w:name="_Toc2155"/>
      <w:bookmarkStart w:id="126" w:name="_Toc1587"/>
      <w:r>
        <w:rPr>
          <w:rFonts w:hint="eastAsia" w:ascii="宋体" w:hAnsi="宋体" w:cs="宋体"/>
          <w:color w:val="auto"/>
          <w:sz w:val="21"/>
          <w:szCs w:val="21"/>
          <w:highlight w:val="none"/>
        </w:rPr>
        <w:t>采购文件的解释权</w:t>
      </w:r>
      <w:bookmarkEnd w:id="125"/>
      <w:bookmarkEnd w:id="126"/>
    </w:p>
    <w:p>
      <w:pPr>
        <w:pStyle w:val="43"/>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本采购文件是根据国家有关法律、法规以及采购管理有关规定和参照国际惯例编制，解释权属本采购代理机构。</w:t>
      </w:r>
    </w:p>
    <w:p>
      <w:pPr>
        <w:widowControl w:val="0"/>
        <w:numPr>
          <w:ilvl w:val="1"/>
          <w:numId w:val="10"/>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br w:type="page"/>
      </w:r>
    </w:p>
    <w:p>
      <w:pPr>
        <w:pStyle w:val="4"/>
        <w:numPr>
          <w:ilvl w:val="0"/>
          <w:numId w:val="11"/>
        </w:numPr>
        <w:spacing w:before="0" w:after="0" w:line="240" w:lineRule="auto"/>
        <w:rPr>
          <w:rFonts w:hint="eastAsia"/>
          <w:color w:val="auto"/>
          <w:sz w:val="28"/>
          <w:szCs w:val="28"/>
          <w:highlight w:val="none"/>
        </w:rPr>
      </w:pPr>
      <w:bookmarkStart w:id="127" w:name="_Toc15211"/>
      <w:r>
        <w:rPr>
          <w:rFonts w:hint="eastAsia"/>
          <w:color w:val="auto"/>
          <w:sz w:val="28"/>
          <w:szCs w:val="28"/>
          <w:highlight w:val="none"/>
        </w:rPr>
        <w:t xml:space="preserve"> 合同条款格式</w:t>
      </w:r>
      <w:bookmarkEnd w:id="127"/>
      <w:bookmarkStart w:id="128" w:name="_Toc15636"/>
    </w:p>
    <w:bookmarkEnd w:id="128"/>
    <w:p>
      <w:pPr>
        <w:ind w:firstLine="480" w:firstLineChars="200"/>
        <w:rPr>
          <w:rFonts w:hint="eastAsia"/>
          <w:color w:val="auto"/>
          <w:sz w:val="24"/>
          <w:szCs w:val="24"/>
          <w:highlight w:val="none"/>
        </w:rPr>
      </w:pPr>
      <w:bookmarkStart w:id="129" w:name="_Hlt109815959"/>
      <w:bookmarkEnd w:id="129"/>
    </w:p>
    <w:p>
      <w:pPr>
        <w:ind w:firstLine="480" w:firstLineChars="200"/>
        <w:rPr>
          <w:color w:val="auto"/>
          <w:sz w:val="24"/>
          <w:szCs w:val="24"/>
          <w:highlight w:val="none"/>
        </w:rPr>
      </w:pPr>
      <w:r>
        <w:rPr>
          <w:rFonts w:hint="eastAsia"/>
          <w:color w:val="auto"/>
          <w:sz w:val="24"/>
          <w:szCs w:val="24"/>
          <w:highlight w:val="none"/>
        </w:rPr>
        <w:t>甲方合同编号：</w:t>
      </w:r>
    </w:p>
    <w:p>
      <w:pPr>
        <w:ind w:firstLine="480" w:firstLineChars="200"/>
        <w:rPr>
          <w:color w:val="auto"/>
          <w:sz w:val="24"/>
          <w:szCs w:val="24"/>
          <w:highlight w:val="none"/>
        </w:rPr>
      </w:pPr>
      <w:r>
        <w:rPr>
          <w:rFonts w:hint="eastAsia"/>
          <w:color w:val="auto"/>
          <w:sz w:val="24"/>
          <w:szCs w:val="24"/>
          <w:highlight w:val="none"/>
        </w:rPr>
        <w:t>乙方合同编号：</w:t>
      </w:r>
    </w:p>
    <w:p>
      <w:pPr>
        <w:ind w:firstLine="643" w:firstLineChars="200"/>
        <w:rPr>
          <w:rFonts w:eastAsia="仿宋_GB2312"/>
          <w:b/>
          <w:color w:val="auto"/>
          <w:sz w:val="32"/>
          <w:szCs w:val="32"/>
          <w:highlight w:val="none"/>
        </w:rPr>
      </w:pPr>
    </w:p>
    <w:p>
      <w:pPr>
        <w:ind w:firstLine="643" w:firstLineChars="200"/>
        <w:jc w:val="center"/>
        <w:rPr>
          <w:rFonts w:ascii="宋体" w:hAnsi="宋体" w:eastAsia="仿宋_GB2312"/>
          <w:b/>
          <w:color w:val="auto"/>
          <w:sz w:val="24"/>
          <w:szCs w:val="24"/>
          <w:highlight w:val="none"/>
        </w:rPr>
      </w:pPr>
      <w:r>
        <w:rPr>
          <w:rFonts w:hint="eastAsia" w:eastAsia="仿宋_GB2312"/>
          <w:b/>
          <w:color w:val="auto"/>
          <w:sz w:val="32"/>
          <w:szCs w:val="32"/>
          <w:highlight w:val="none"/>
          <w:lang w:eastAsia="zh-CN"/>
        </w:rPr>
        <w:t>城服公司2023年度车辆设备租赁采购项目（重新采购）</w:t>
      </w:r>
      <w:r>
        <w:rPr>
          <w:rFonts w:hint="eastAsia" w:eastAsia="仿宋_GB2312"/>
          <w:b/>
          <w:color w:val="auto"/>
          <w:sz w:val="32"/>
          <w:szCs w:val="32"/>
          <w:highlight w:val="none"/>
          <w:u w:val="single"/>
          <w:lang w:val="en-US" w:eastAsia="zh-CN"/>
        </w:rPr>
        <w:t>A</w:t>
      </w:r>
      <w:r>
        <w:rPr>
          <w:rFonts w:hint="eastAsia" w:eastAsia="仿宋_GB2312"/>
          <w:b/>
          <w:color w:val="auto"/>
          <w:sz w:val="32"/>
          <w:szCs w:val="32"/>
          <w:highlight w:val="none"/>
        </w:rPr>
        <w:t>包合同</w:t>
      </w:r>
    </w:p>
    <w:p>
      <w:pPr>
        <w:spacing w:line="360" w:lineRule="auto"/>
        <w:ind w:firstLine="480" w:firstLineChars="200"/>
        <w:rPr>
          <w:rFonts w:hint="eastAsia" w:ascii="宋体" w:hAnsi="宋体" w:cs="宋体"/>
          <w:bCs/>
          <w:color w:val="auto"/>
          <w:kern w:val="0"/>
          <w:sz w:val="24"/>
          <w:szCs w:val="24"/>
          <w:highlight w:val="none"/>
        </w:rPr>
      </w:pPr>
    </w:p>
    <w:p>
      <w:pPr>
        <w:spacing w:line="360" w:lineRule="auto"/>
        <w:ind w:firstLine="480" w:firstLineChars="200"/>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甲方：</w:t>
      </w:r>
      <w:r>
        <w:rPr>
          <w:rFonts w:ascii="宋体" w:hAnsi="宋体" w:cs="宋体"/>
          <w:bCs/>
          <w:color w:val="auto"/>
          <w:kern w:val="0"/>
          <w:sz w:val="24"/>
          <w:szCs w:val="24"/>
          <w:highlight w:val="none"/>
        </w:rPr>
        <w:t>东莞市</w:t>
      </w:r>
      <w:r>
        <w:rPr>
          <w:rFonts w:hint="eastAsia" w:ascii="宋体" w:hAnsi="宋体" w:cs="宋体"/>
          <w:bCs/>
          <w:color w:val="auto"/>
          <w:kern w:val="0"/>
          <w:sz w:val="24"/>
          <w:szCs w:val="24"/>
          <w:highlight w:val="none"/>
          <w:lang w:val="en-US" w:eastAsia="zh-CN"/>
        </w:rPr>
        <w:t>东实城市环境服务</w:t>
      </w:r>
      <w:r>
        <w:rPr>
          <w:rFonts w:ascii="宋体" w:hAnsi="宋体" w:cs="宋体"/>
          <w:bCs/>
          <w:color w:val="auto"/>
          <w:kern w:val="0"/>
          <w:sz w:val="24"/>
          <w:szCs w:val="24"/>
          <w:highlight w:val="none"/>
        </w:rPr>
        <w:t>有限公司</w:t>
      </w:r>
    </w:p>
    <w:p>
      <w:pPr>
        <w:spacing w:line="360" w:lineRule="auto"/>
        <w:ind w:firstLine="480" w:firstLineChars="200"/>
        <w:rPr>
          <w:rFonts w:hint="eastAsia" w:ascii="宋体" w:hAnsi="宋体" w:cs="宋体"/>
          <w:bCs/>
          <w:color w:val="auto"/>
          <w:sz w:val="24"/>
          <w:szCs w:val="24"/>
          <w:highlight w:val="none"/>
        </w:rPr>
      </w:pPr>
      <w:r>
        <w:rPr>
          <w:rFonts w:hint="eastAsia" w:ascii="宋体" w:hAnsi="宋体" w:cs="宋体"/>
          <w:bCs/>
          <w:color w:val="auto"/>
          <w:kern w:val="0"/>
          <w:sz w:val="24"/>
          <w:szCs w:val="24"/>
          <w:highlight w:val="none"/>
        </w:rPr>
        <w:t>统一社会信用代码：</w:t>
      </w:r>
      <w:r>
        <w:rPr>
          <w:rFonts w:hint="eastAsia" w:ascii="宋体" w:hAnsi="宋体" w:cs="宋体"/>
          <w:bCs/>
          <w:color w:val="auto"/>
          <w:sz w:val="24"/>
          <w:szCs w:val="24"/>
          <w:highlight w:val="none"/>
        </w:rPr>
        <w:t>91441900MA7F249U83</w:t>
      </w:r>
    </w:p>
    <w:p>
      <w:pPr>
        <w:pStyle w:val="11"/>
        <w:rPr>
          <w:color w:val="auto"/>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kern w:val="0"/>
          <w:sz w:val="24"/>
          <w:szCs w:val="24"/>
          <w:highlight w:val="none"/>
        </w:rPr>
        <w:t>乙方：</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统一社会信用代码：</w:t>
      </w:r>
    </w:p>
    <w:p>
      <w:pPr>
        <w:pStyle w:val="11"/>
        <w:rPr>
          <w:color w:val="auto"/>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甲、乙双方根据《中华人民共和国民法典》及其他有关法律、法规，遵循平等、自愿、公平和诚实信用的原则，就</w:t>
      </w:r>
      <w:r>
        <w:rPr>
          <w:rFonts w:hint="eastAsia" w:ascii="宋体" w:hAnsi="宋体" w:cs="宋体"/>
          <w:b w:val="0"/>
          <w:color w:val="auto"/>
          <w:sz w:val="24"/>
          <w:szCs w:val="24"/>
          <w:highlight w:val="none"/>
          <w:lang w:eastAsia="zh-CN"/>
        </w:rPr>
        <w:t>城服公司2023年度车辆设备租赁采购项目（重新采购）</w:t>
      </w:r>
      <w:r>
        <w:rPr>
          <w:rFonts w:hint="eastAsia" w:ascii="宋体" w:hAnsi="宋体" w:eastAsia="宋体" w:cs="宋体"/>
          <w:b w:val="0"/>
          <w:color w:val="auto"/>
          <w:sz w:val="24"/>
          <w:szCs w:val="24"/>
          <w:highlight w:val="none"/>
          <w:u w:val="none"/>
          <w:lang w:val="en-US" w:eastAsia="zh-CN"/>
        </w:rPr>
        <w:t>A</w:t>
      </w:r>
      <w:r>
        <w:rPr>
          <w:rFonts w:hint="eastAsia" w:ascii="宋体" w:hAnsi="宋体" w:eastAsia="宋体" w:cs="宋体"/>
          <w:b w:val="0"/>
          <w:color w:val="auto"/>
          <w:sz w:val="24"/>
          <w:szCs w:val="24"/>
          <w:highlight w:val="none"/>
        </w:rPr>
        <w:t>包</w:t>
      </w:r>
      <w:r>
        <w:rPr>
          <w:rFonts w:hint="eastAsia" w:ascii="宋体" w:hAnsi="宋体" w:cs="宋体"/>
          <w:color w:val="auto"/>
          <w:sz w:val="24"/>
          <w:szCs w:val="24"/>
          <w:highlight w:val="none"/>
        </w:rPr>
        <w:t>合作事宜协商一致，特订立本合同，以资共同遵守：</w:t>
      </w:r>
    </w:p>
    <w:p>
      <w:pPr>
        <w:pStyle w:val="11"/>
        <w:spacing w:after="0" w:line="360" w:lineRule="auto"/>
        <w:ind w:firstLine="200"/>
        <w:rPr>
          <w:color w:val="auto"/>
          <w:highlight w:val="none"/>
        </w:rPr>
      </w:pP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租赁期限及地点</w:t>
      </w:r>
    </w:p>
    <w:p>
      <w:pPr>
        <w:numPr>
          <w:ilvl w:val="0"/>
          <w:numId w:val="13"/>
        </w:num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租赁内容：</w:t>
      </w:r>
    </w:p>
    <w:tbl>
      <w:tblPr>
        <w:tblStyle w:val="32"/>
        <w:tblW w:w="4998" w:type="pct"/>
        <w:jc w:val="center"/>
        <w:tblLayout w:type="autofit"/>
        <w:tblCellMar>
          <w:top w:w="0" w:type="dxa"/>
          <w:left w:w="108" w:type="dxa"/>
          <w:bottom w:w="0" w:type="dxa"/>
          <w:right w:w="108" w:type="dxa"/>
        </w:tblCellMar>
      </w:tblPr>
      <w:tblGrid>
        <w:gridCol w:w="902"/>
        <w:gridCol w:w="1053"/>
        <w:gridCol w:w="1080"/>
        <w:gridCol w:w="3161"/>
        <w:gridCol w:w="2323"/>
      </w:tblGrid>
      <w:tr>
        <w:tblPrEx>
          <w:tblCellMar>
            <w:top w:w="0" w:type="dxa"/>
            <w:left w:w="108" w:type="dxa"/>
            <w:bottom w:w="0" w:type="dxa"/>
            <w:right w:w="108" w:type="dxa"/>
          </w:tblCellMar>
        </w:tblPrEx>
        <w:trPr>
          <w:trHeight w:val="1295" w:hRule="atLeast"/>
          <w:jc w:val="center"/>
        </w:trPr>
        <w:tc>
          <w:tcPr>
            <w:tcW w:w="529" w:type="pct"/>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序号</w:t>
            </w:r>
          </w:p>
        </w:tc>
        <w:tc>
          <w:tcPr>
            <w:tcW w:w="617" w:type="pct"/>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车型</w:t>
            </w:r>
          </w:p>
        </w:tc>
        <w:tc>
          <w:tcPr>
            <w:tcW w:w="634" w:type="pct"/>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吨数（T）</w:t>
            </w:r>
          </w:p>
        </w:tc>
        <w:tc>
          <w:tcPr>
            <w:tcW w:w="1855"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品牌</w:t>
            </w:r>
          </w:p>
        </w:tc>
        <w:tc>
          <w:tcPr>
            <w:tcW w:w="1362"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租赁费用</w:t>
            </w:r>
          </w:p>
          <w:p>
            <w:pPr>
              <w:jc w:val="center"/>
              <w:textAlignment w:val="center"/>
              <w:rPr>
                <w:rFonts w:ascii="宋体" w:hAnsi="宋体" w:cs="宋体"/>
                <w:color w:val="auto"/>
                <w:sz w:val="15"/>
                <w:szCs w:val="15"/>
                <w:highlight w:val="none"/>
              </w:rPr>
            </w:pPr>
            <w:r>
              <w:rPr>
                <w:rFonts w:hint="eastAsia" w:ascii="宋体" w:hAnsi="宋体" w:cs="宋体"/>
                <w:b/>
                <w:bCs/>
                <w:color w:val="auto"/>
                <w:sz w:val="15"/>
                <w:szCs w:val="15"/>
                <w:highlight w:val="none"/>
              </w:rPr>
              <w:t>（元/</w:t>
            </w:r>
            <w:r>
              <w:rPr>
                <w:rFonts w:hint="eastAsia" w:ascii="宋体" w:hAnsi="宋体" w:cs="宋体"/>
                <w:b/>
                <w:bCs/>
                <w:color w:val="auto"/>
                <w:sz w:val="15"/>
                <w:szCs w:val="15"/>
                <w:highlight w:val="none"/>
                <w:lang w:val="en-US" w:eastAsia="zh-CN"/>
              </w:rPr>
              <w:t>台班</w:t>
            </w:r>
            <w:r>
              <w:rPr>
                <w:rFonts w:hint="eastAsia" w:ascii="宋体" w:hAnsi="宋体" w:cs="宋体"/>
                <w:b/>
                <w:bCs/>
                <w:color w:val="auto"/>
                <w:sz w:val="15"/>
                <w:szCs w:val="15"/>
                <w:highlight w:val="none"/>
              </w:rPr>
              <w:t>）</w:t>
            </w:r>
          </w:p>
        </w:tc>
      </w:tr>
      <w:tr>
        <w:tblPrEx>
          <w:tblCellMar>
            <w:top w:w="0" w:type="dxa"/>
            <w:left w:w="108" w:type="dxa"/>
            <w:bottom w:w="0" w:type="dxa"/>
            <w:right w:w="108" w:type="dxa"/>
          </w:tblCellMar>
        </w:tblPrEx>
        <w:trPr>
          <w:trHeight w:val="967" w:hRule="atLeast"/>
          <w:jc w:val="center"/>
        </w:trPr>
        <w:tc>
          <w:tcPr>
            <w:tcW w:w="529"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617" w:type="pct"/>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634"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855" w:type="pct"/>
            <w:tcBorders>
              <w:top w:val="single" w:color="000000" w:sz="4" w:space="0"/>
              <w:left w:val="single" w:color="auto"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362"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r>
      <w:tr>
        <w:tblPrEx>
          <w:tblCellMar>
            <w:top w:w="0" w:type="dxa"/>
            <w:left w:w="108" w:type="dxa"/>
            <w:bottom w:w="0" w:type="dxa"/>
            <w:right w:w="108" w:type="dxa"/>
          </w:tblCellMar>
        </w:tblPrEx>
        <w:trPr>
          <w:trHeight w:val="619" w:hRule="atLeast"/>
          <w:jc w:val="center"/>
        </w:trPr>
        <w:tc>
          <w:tcPr>
            <w:tcW w:w="529"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617" w:type="pct"/>
            <w:vMerge w:val="continue"/>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ind w:firstLine="300" w:firstLineChars="200"/>
              <w:jc w:val="center"/>
              <w:textAlignment w:val="center"/>
              <w:rPr>
                <w:rFonts w:ascii="宋体" w:hAnsi="宋体" w:cs="宋体"/>
                <w:color w:val="auto"/>
                <w:sz w:val="15"/>
                <w:szCs w:val="15"/>
                <w:highlight w:val="none"/>
              </w:rPr>
            </w:pPr>
          </w:p>
        </w:tc>
        <w:tc>
          <w:tcPr>
            <w:tcW w:w="634"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855" w:type="pct"/>
            <w:tcBorders>
              <w:top w:val="single" w:color="000000" w:sz="4" w:space="0"/>
              <w:left w:val="single" w:color="auto"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362"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r>
      <w:tr>
        <w:tblPrEx>
          <w:tblCellMar>
            <w:top w:w="0" w:type="dxa"/>
            <w:left w:w="108" w:type="dxa"/>
            <w:bottom w:w="0" w:type="dxa"/>
            <w:right w:w="108" w:type="dxa"/>
          </w:tblCellMar>
        </w:tblPrEx>
        <w:trPr>
          <w:trHeight w:val="619" w:hRule="atLeast"/>
          <w:jc w:val="center"/>
        </w:trPr>
        <w:tc>
          <w:tcPr>
            <w:tcW w:w="1147" w:type="pct"/>
            <w:gridSpan w:val="2"/>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ind w:firstLine="300" w:firstLineChars="200"/>
              <w:jc w:val="center"/>
              <w:textAlignment w:val="center"/>
              <w:rPr>
                <w:rFonts w:ascii="宋体" w:hAnsi="宋体" w:cs="宋体"/>
                <w:color w:val="auto"/>
                <w:sz w:val="15"/>
                <w:szCs w:val="15"/>
                <w:highlight w:val="none"/>
              </w:rPr>
            </w:pPr>
            <w:r>
              <w:rPr>
                <w:rFonts w:hint="eastAsia" w:ascii="宋体" w:hAnsi="宋体" w:cs="宋体"/>
                <w:color w:val="auto"/>
                <w:sz w:val="15"/>
                <w:szCs w:val="15"/>
                <w:highlight w:val="none"/>
                <w:lang w:val="en-US" w:eastAsia="zh-CN"/>
              </w:rPr>
              <w:t>预算金额</w:t>
            </w:r>
          </w:p>
        </w:tc>
        <w:tc>
          <w:tcPr>
            <w:tcW w:w="3852" w:type="pct"/>
            <w:gridSpan w:val="3"/>
            <w:tcBorders>
              <w:top w:val="single" w:color="auto" w:sz="4" w:space="0"/>
              <w:left w:val="single" w:color="auto" w:sz="4" w:space="0"/>
              <w:bottom w:val="single" w:color="auto"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r>
    </w:tbl>
    <w:p>
      <w:pPr>
        <w:numPr>
          <w:ilvl w:val="255"/>
          <w:numId w:val="0"/>
        </w:numPr>
        <w:ind w:firstLine="420" w:firstLineChars="200"/>
        <w:rPr>
          <w:rFonts w:hint="eastAsia" w:ascii="宋体" w:hAnsi="宋体" w:cs="宋体"/>
          <w:color w:val="auto"/>
          <w:szCs w:val="21"/>
          <w:highlight w:val="none"/>
        </w:rPr>
      </w:pPr>
    </w:p>
    <w:p>
      <w:pPr>
        <w:numPr>
          <w:ilvl w:val="-1"/>
          <w:numId w:val="0"/>
        </w:numPr>
        <w:tabs>
          <w:tab w:val="left" w:pos="2850"/>
        </w:tabs>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以签订年度协议的方式进行，合同执行期以预算金额</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服务期（一年）先到者为限，即服务期满或包组预算</w:t>
      </w:r>
      <w:r>
        <w:rPr>
          <w:rFonts w:hint="eastAsia" w:ascii="宋体" w:hAnsi="宋体" w:eastAsia="宋体" w:cs="宋体"/>
          <w:color w:val="auto"/>
          <w:sz w:val="24"/>
          <w:szCs w:val="24"/>
          <w:highlight w:val="none"/>
          <w:lang w:val="en-US" w:eastAsia="zh-CN"/>
        </w:rPr>
        <w:t xml:space="preserve">     元</w:t>
      </w:r>
      <w:r>
        <w:rPr>
          <w:rFonts w:hint="eastAsia" w:ascii="宋体" w:hAnsi="宋体" w:eastAsia="宋体" w:cs="宋体"/>
          <w:color w:val="auto"/>
          <w:sz w:val="24"/>
          <w:szCs w:val="24"/>
          <w:highlight w:val="none"/>
        </w:rPr>
        <w:t>金额用尽，合同终止。</w:t>
      </w:r>
    </w:p>
    <w:p>
      <w:pPr>
        <w:numPr>
          <w:ilvl w:val="-1"/>
          <w:numId w:val="0"/>
        </w:numPr>
        <w:tabs>
          <w:tab w:val="left" w:pos="2850"/>
        </w:tabs>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2.甲乙双方</w:t>
      </w:r>
      <w:r>
        <w:rPr>
          <w:rFonts w:hint="eastAsia" w:ascii="宋体" w:hAnsi="宋体" w:eastAsia="宋体" w:cs="宋体"/>
          <w:color w:val="auto"/>
          <w:sz w:val="24"/>
          <w:szCs w:val="24"/>
          <w:highlight w:val="none"/>
        </w:rPr>
        <w:t>签订合同后，实际租赁车型、时间、数量和使用地点由</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根据工作需要调配确定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乙方每次收到甲方书面通知为准</w:t>
      </w:r>
      <w:r>
        <w:rPr>
          <w:rFonts w:hint="eastAsia" w:ascii="宋体" w:hAnsi="宋体" w:eastAsia="宋体" w:cs="宋体"/>
          <w:color w:val="auto"/>
          <w:sz w:val="24"/>
          <w:szCs w:val="24"/>
          <w:highlight w:val="none"/>
          <w:lang w:eastAsia="zh-CN"/>
        </w:rPr>
        <w:t>。</w:t>
      </w:r>
    </w:p>
    <w:p>
      <w:pPr>
        <w:numPr>
          <w:ilvl w:val="0"/>
          <w:numId w:val="13"/>
        </w:numPr>
        <w:spacing w:line="360" w:lineRule="auto"/>
        <w:ind w:firstLine="480" w:firstLineChars="200"/>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用车地点：</w:t>
      </w:r>
      <w:r>
        <w:rPr>
          <w:rFonts w:hint="eastAsia" w:ascii="宋体" w:hAnsi="宋体" w:eastAsia="宋体" w:cs="宋体"/>
          <w:color w:val="auto"/>
          <w:sz w:val="24"/>
          <w:szCs w:val="24"/>
          <w:highlight w:val="none"/>
        </w:rPr>
        <w:t>东莞市</w:t>
      </w:r>
      <w:r>
        <w:rPr>
          <w:rFonts w:hint="default" w:ascii="宋体" w:hAnsi="宋体" w:eastAsia="宋体" w:cs="宋体"/>
          <w:color w:val="auto"/>
          <w:sz w:val="24"/>
          <w:szCs w:val="24"/>
          <w:highlight w:val="none"/>
        </w:rPr>
        <w:t>内使用，</w:t>
      </w:r>
      <w:r>
        <w:rPr>
          <w:rFonts w:hint="default" w:ascii="宋体" w:hAnsi="宋体" w:eastAsia="宋体" w:cs="宋体"/>
          <w:color w:val="auto"/>
          <w:sz w:val="24"/>
          <w:szCs w:val="24"/>
          <w:highlight w:val="none"/>
          <w:lang w:val="en-US" w:eastAsia="zh-CN"/>
        </w:rPr>
        <w:t>具体以甲方要求为准</w:t>
      </w:r>
      <w:r>
        <w:rPr>
          <w:rFonts w:hint="default" w:ascii="宋体" w:hAnsi="宋体" w:eastAsia="宋体" w:cs="宋体"/>
          <w:color w:val="auto"/>
          <w:sz w:val="24"/>
          <w:szCs w:val="24"/>
          <w:highlight w:val="none"/>
        </w:rPr>
        <w:t>；</w:t>
      </w:r>
    </w:p>
    <w:p>
      <w:pPr>
        <w:numPr>
          <w:ilvl w:val="-1"/>
          <w:numId w:val="0"/>
        </w:numPr>
        <w:tabs>
          <w:tab w:val="left" w:pos="285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签订合同后，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每次收到</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val="en-US"/>
        </w:rPr>
        <w:t>书面正式进场通知起：应急情况下2小时内进场，正常情况下24小时进场，每次使用期限以每次进场需求为准。</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租赁车辆信息和租金</w:t>
      </w:r>
    </w:p>
    <w:p>
      <w:pPr>
        <w:tabs>
          <w:tab w:val="left" w:pos="285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w:t>
      </w:r>
      <w:r>
        <w:rPr>
          <w:rFonts w:hint="eastAsia" w:ascii="宋体" w:hAnsi="宋体" w:eastAsia="宋体" w:cs="宋体"/>
          <w:color w:val="auto"/>
          <w:sz w:val="24"/>
          <w:szCs w:val="24"/>
          <w:highlight w:val="none"/>
          <w:lang w:val="en-US" w:eastAsia="zh-CN"/>
        </w:rPr>
        <w:t>合同台班</w:t>
      </w:r>
      <w:r>
        <w:rPr>
          <w:rFonts w:hint="eastAsia" w:ascii="宋体" w:hAnsi="宋体" w:eastAsia="宋体" w:cs="宋体"/>
          <w:color w:val="auto"/>
          <w:sz w:val="24"/>
          <w:szCs w:val="24"/>
          <w:highlight w:val="none"/>
        </w:rPr>
        <w:t>费用包含车辆本身所涉及的所有费用，如司机劳动报酬、司机食宿、燃料费、停车费、路桥费、装卸费、年票、车船税、车辆年审费、保险费、税费、洗车费、维修保养费、交通违章罚款事故、公路基金、道路规划费、交通运管费、公共事业附加费及发票税金等，结算时租金单价不做调整</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以实际租赁时间进行结算，8小时/台班，1年内台班费用不变，如有超出8小时，超出部分计算方式为台班价格/8小时*实际时间。</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付款方式</w:t>
      </w:r>
    </w:p>
    <w:p>
      <w:pPr>
        <w:tabs>
          <w:tab w:val="left" w:pos="2850"/>
        </w:tabs>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1、每次下单后，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出具</w:t>
      </w:r>
      <w:r>
        <w:rPr>
          <w:rFonts w:hint="eastAsia" w:ascii="宋体" w:hAnsi="宋体" w:eastAsia="宋体" w:cs="宋体"/>
          <w:color w:val="auto"/>
          <w:sz w:val="24"/>
          <w:szCs w:val="24"/>
          <w:highlight w:val="none"/>
          <w:lang w:val="en-US" w:eastAsia="zh-CN"/>
        </w:rPr>
        <w:t>该单</w:t>
      </w:r>
      <w:r>
        <w:rPr>
          <w:rFonts w:hint="eastAsia" w:ascii="宋体" w:hAnsi="宋体" w:eastAsia="宋体" w:cs="宋体"/>
          <w:color w:val="auto"/>
          <w:sz w:val="24"/>
          <w:szCs w:val="24"/>
          <w:highlight w:val="none"/>
        </w:rPr>
        <w:t>租</w:t>
      </w:r>
      <w:r>
        <w:rPr>
          <w:rFonts w:hint="eastAsia" w:ascii="宋体" w:hAnsi="宋体" w:eastAsia="宋体" w:cs="宋体"/>
          <w:color w:val="auto"/>
          <w:sz w:val="24"/>
          <w:szCs w:val="24"/>
          <w:highlight w:val="none"/>
          <w:lang w:val="en-US" w:eastAsia="zh-CN"/>
        </w:rPr>
        <w:t>金</w:t>
      </w:r>
      <w:r>
        <w:rPr>
          <w:rFonts w:hint="eastAsia" w:ascii="宋体" w:hAnsi="宋体" w:eastAsia="宋体" w:cs="宋体"/>
          <w:color w:val="auto"/>
          <w:sz w:val="24"/>
          <w:szCs w:val="24"/>
          <w:highlight w:val="none"/>
        </w:rPr>
        <w:t>的等额增值税专用发票及请款资料，</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收到资料后三十个日历日内支付该单</w:t>
      </w:r>
      <w:r>
        <w:rPr>
          <w:rFonts w:hint="eastAsia" w:ascii="宋体" w:hAnsi="宋体" w:eastAsia="宋体" w:cs="宋体"/>
          <w:color w:val="auto"/>
          <w:sz w:val="24"/>
          <w:szCs w:val="24"/>
          <w:highlight w:val="none"/>
          <w:lang w:val="en-US" w:eastAsia="zh-CN"/>
        </w:rPr>
        <w:t>总台班费用</w:t>
      </w:r>
      <w:r>
        <w:rPr>
          <w:rFonts w:hint="eastAsia" w:ascii="宋体" w:hAnsi="宋体" w:eastAsia="宋体" w:cs="宋体"/>
          <w:color w:val="auto"/>
          <w:sz w:val="24"/>
          <w:szCs w:val="24"/>
          <w:highlight w:val="none"/>
        </w:rPr>
        <w:t>的20%；</w:t>
      </w:r>
    </w:p>
    <w:p>
      <w:pPr>
        <w:tabs>
          <w:tab w:val="left" w:pos="2850"/>
        </w:tabs>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每次使用车期满后，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出具</w:t>
      </w:r>
      <w:r>
        <w:rPr>
          <w:rFonts w:hint="eastAsia" w:ascii="宋体" w:hAnsi="宋体" w:eastAsia="宋体" w:cs="宋体"/>
          <w:color w:val="auto"/>
          <w:sz w:val="24"/>
          <w:szCs w:val="24"/>
          <w:highlight w:val="none"/>
          <w:lang w:val="en-US" w:eastAsia="zh-CN"/>
        </w:rPr>
        <w:t>该单总台班费用</w:t>
      </w:r>
      <w:r>
        <w:rPr>
          <w:rFonts w:hint="eastAsia" w:ascii="宋体" w:hAnsi="宋体" w:eastAsia="宋体" w:cs="宋体"/>
          <w:color w:val="auto"/>
          <w:sz w:val="24"/>
          <w:szCs w:val="24"/>
          <w:highlight w:val="none"/>
        </w:rPr>
        <w:t>的等额增值税专用发票及请款资料，</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收到资料后三十个日历日内支付该单租</w:t>
      </w:r>
      <w:r>
        <w:rPr>
          <w:rFonts w:hint="eastAsia" w:ascii="宋体" w:hAnsi="宋体" w:eastAsia="宋体" w:cs="宋体"/>
          <w:color w:val="auto"/>
          <w:sz w:val="24"/>
          <w:szCs w:val="24"/>
          <w:highlight w:val="none"/>
          <w:lang w:val="en-US" w:eastAsia="zh-CN"/>
        </w:rPr>
        <w:t>金的</w:t>
      </w:r>
      <w:r>
        <w:rPr>
          <w:rFonts w:hint="eastAsia" w:ascii="宋体" w:hAnsi="宋体" w:eastAsia="宋体" w:cs="宋体"/>
          <w:color w:val="auto"/>
          <w:sz w:val="24"/>
          <w:szCs w:val="24"/>
          <w:highlight w:val="none"/>
        </w:rPr>
        <w:t>全部</w:t>
      </w:r>
      <w:r>
        <w:rPr>
          <w:rFonts w:hint="eastAsia" w:ascii="宋体" w:hAnsi="宋体" w:eastAsia="宋体" w:cs="宋体"/>
          <w:color w:val="auto"/>
          <w:sz w:val="24"/>
          <w:szCs w:val="24"/>
          <w:highlight w:val="none"/>
          <w:lang w:val="en-US" w:eastAsia="zh-CN"/>
        </w:rPr>
        <w:t>余款</w:t>
      </w:r>
      <w:r>
        <w:rPr>
          <w:rFonts w:hint="eastAsia" w:ascii="宋体" w:hAnsi="宋体" w:eastAsia="宋体" w:cs="宋体"/>
          <w:color w:val="auto"/>
          <w:sz w:val="24"/>
          <w:szCs w:val="24"/>
          <w:highlight w:val="none"/>
        </w:rPr>
        <w:t>；</w:t>
      </w:r>
    </w:p>
    <w:p>
      <w:pPr>
        <w:tabs>
          <w:tab w:val="left" w:pos="2850"/>
        </w:tabs>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2、履约担保返还申请时间为本项目服务期结束验收合格，收到</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申请资料并核对无误后30个日历日内，</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将扣罚后剩余的履约保证金一次性无息退回。</w:t>
      </w:r>
    </w:p>
    <w:p>
      <w:pPr>
        <w:tabs>
          <w:tab w:val="left" w:pos="285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注：若</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未能提交符合要求的发票、有效请款资料的，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有权拒绝付款，无需承担任何违约责任。</w:t>
      </w:r>
    </w:p>
    <w:p>
      <w:pPr>
        <w:tabs>
          <w:tab w:val="left" w:pos="2850"/>
        </w:tabs>
        <w:spacing w:line="360" w:lineRule="auto"/>
        <w:ind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乙方的收款账户如下：</w:t>
      </w:r>
    </w:p>
    <w:p>
      <w:pPr>
        <w:spacing w:line="360" w:lineRule="auto"/>
        <w:ind w:firstLine="463" w:firstLineChars="190"/>
        <w:rPr>
          <w:rFonts w:ascii="宋体" w:hAnsi="宋体" w:cs="宋体"/>
          <w:color w:val="auto"/>
          <w:spacing w:val="2"/>
          <w:sz w:val="24"/>
          <w:szCs w:val="24"/>
          <w:highlight w:val="none"/>
        </w:rPr>
      </w:pPr>
      <w:r>
        <w:rPr>
          <w:rFonts w:ascii="宋体" w:hAnsi="宋体" w:cs="宋体"/>
          <w:color w:val="auto"/>
          <w:spacing w:val="2"/>
          <w:sz w:val="24"/>
          <w:szCs w:val="24"/>
          <w:highlight w:val="none"/>
        </w:rPr>
        <w:t>开户银行：</w:t>
      </w:r>
    </w:p>
    <w:p>
      <w:pPr>
        <w:spacing w:line="360" w:lineRule="auto"/>
        <w:ind w:firstLine="463" w:firstLineChars="190"/>
        <w:rPr>
          <w:rFonts w:ascii="宋体" w:hAnsi="宋体" w:cs="宋体"/>
          <w:color w:val="auto"/>
          <w:spacing w:val="2"/>
          <w:sz w:val="24"/>
          <w:szCs w:val="24"/>
          <w:highlight w:val="none"/>
        </w:rPr>
      </w:pPr>
      <w:r>
        <w:rPr>
          <w:rFonts w:ascii="宋体" w:hAnsi="宋体" w:cs="宋体"/>
          <w:color w:val="auto"/>
          <w:spacing w:val="2"/>
          <w:sz w:val="24"/>
          <w:szCs w:val="24"/>
          <w:highlight w:val="none"/>
        </w:rPr>
        <w:t>收款单位账号：</w:t>
      </w:r>
    </w:p>
    <w:p>
      <w:pPr>
        <w:spacing w:line="360" w:lineRule="auto"/>
        <w:ind w:firstLine="463" w:firstLineChars="190"/>
        <w:rPr>
          <w:rFonts w:ascii="宋体" w:hAnsi="宋体" w:cs="宋体"/>
          <w:color w:val="auto"/>
          <w:spacing w:val="2"/>
          <w:sz w:val="24"/>
          <w:szCs w:val="24"/>
          <w:highlight w:val="none"/>
        </w:rPr>
      </w:pPr>
      <w:r>
        <w:rPr>
          <w:rFonts w:ascii="宋体" w:hAnsi="宋体" w:cs="宋体"/>
          <w:color w:val="auto"/>
          <w:spacing w:val="2"/>
          <w:sz w:val="24"/>
          <w:szCs w:val="24"/>
          <w:highlight w:val="none"/>
        </w:rPr>
        <w:t>收款单位名称：</w:t>
      </w:r>
    </w:p>
    <w:p>
      <w:pPr>
        <w:spacing w:line="360" w:lineRule="auto"/>
        <w:ind w:firstLine="463" w:firstLineChars="190"/>
        <w:rPr>
          <w:color w:val="auto"/>
          <w:highlight w:val="none"/>
        </w:rPr>
      </w:pPr>
      <w:r>
        <w:rPr>
          <w:rFonts w:ascii="宋体" w:hAnsi="宋体" w:cs="宋体"/>
          <w:color w:val="auto"/>
          <w:spacing w:val="2"/>
          <w:sz w:val="24"/>
          <w:szCs w:val="24"/>
          <w:highlight w:val="none"/>
        </w:rPr>
        <w:t>因乙方提供的收款账户信息错误或乙方擅自变更收款账户信息而未及时书面通知甲方，导致甲方付款迟延的，甲方无需承担迟延付款责任。</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甲方权利和义务：</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1</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甲方不得抵押、担保、典当、出卖、转借、转租租赁车辆及车辆证件，或将车辆作其它非法用途，如有违反，产生的一切法律后果由甲方自行承担。若乙方有前述行为之一或者就上述行为与第三方签订合同而未告知乙方的，乙方有权随时解除本合同，收回车辆。</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2</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甲方需配合做好驾驶员进场报备、离场放行手续，并在工作前讲解工作内容，同时对驾驶员考勤情况进行记录，作为费用结算凭证之一；如驾驶员不配合甲方工作要求或迟到早退3次（含）以上，甲方有权更改驾驶员。</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3</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甲方需合理安排驾驶员和翻斗车作业，禁止长时间作业、高温作业、超重超载作业等。原则上不安排加班，如需加班甲乙双方协商解决。</w:t>
      </w:r>
    </w:p>
    <w:p>
      <w:pPr>
        <w:spacing w:line="360" w:lineRule="auto"/>
        <w:ind w:firstLine="488" w:firstLineChars="200"/>
        <w:rPr>
          <w:rFonts w:ascii="宋体" w:hAnsi="宋体" w:cs="宋体"/>
          <w:color w:val="auto"/>
          <w:spacing w:val="2"/>
          <w:sz w:val="24"/>
          <w:szCs w:val="24"/>
          <w:highlight w:val="none"/>
        </w:rPr>
      </w:pPr>
      <w:r>
        <w:rPr>
          <w:rFonts w:ascii="宋体" w:hAnsi="宋体" w:cs="宋体"/>
          <w:color w:val="auto"/>
          <w:spacing w:val="2"/>
          <w:sz w:val="24"/>
          <w:szCs w:val="24"/>
          <w:highlight w:val="none"/>
        </w:rPr>
        <w:t>4.</w:t>
      </w:r>
      <w:r>
        <w:rPr>
          <w:rFonts w:hint="eastAsia" w:ascii="宋体" w:hAnsi="宋体" w:cs="宋体"/>
          <w:color w:val="auto"/>
          <w:spacing w:val="2"/>
          <w:sz w:val="24"/>
          <w:szCs w:val="24"/>
          <w:highlight w:val="none"/>
        </w:rPr>
        <w:t>甲方按合同约定的付款、结算方式及时支付合同款，积极协助乙方做好合同款项支付手续流程工作。</w:t>
      </w:r>
    </w:p>
    <w:p>
      <w:pPr>
        <w:spacing w:line="360" w:lineRule="auto"/>
        <w:ind w:firstLine="488" w:firstLineChars="200"/>
        <w:rPr>
          <w:rFonts w:ascii="宋体" w:hAnsi="宋体" w:cs="宋体"/>
          <w:color w:val="auto"/>
          <w:spacing w:val="2"/>
          <w:sz w:val="24"/>
          <w:szCs w:val="24"/>
          <w:highlight w:val="none"/>
        </w:rPr>
      </w:pPr>
      <w:r>
        <w:rPr>
          <w:rFonts w:ascii="宋体" w:hAnsi="宋体" w:cs="宋体"/>
          <w:color w:val="auto"/>
          <w:spacing w:val="2"/>
          <w:sz w:val="24"/>
          <w:szCs w:val="24"/>
          <w:highlight w:val="none"/>
        </w:rPr>
        <w:t>5.</w:t>
      </w:r>
      <w:r>
        <w:rPr>
          <w:rFonts w:hint="eastAsia" w:ascii="宋体" w:hAnsi="宋体" w:cs="宋体"/>
          <w:color w:val="auto"/>
          <w:spacing w:val="2"/>
          <w:sz w:val="24"/>
          <w:szCs w:val="24"/>
          <w:highlight w:val="none"/>
        </w:rPr>
        <w:t>甲方可提供场所供乙方翻斗车停车，但不负有对翻斗车保管责任。</w:t>
      </w:r>
    </w:p>
    <w:p>
      <w:pPr>
        <w:pStyle w:val="11"/>
        <w:spacing w:after="0" w:line="360" w:lineRule="auto"/>
        <w:ind w:left="0" w:firstLine="488" w:firstLineChars="200"/>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6.乙方配备的驾驶员未按规定作业的，甲方有权通知乙方更换驾驶员，驾驶员安全由乙方负责，甲方不承担任何责任。因乙方驾驶员造成的甲方损失由乙方承担。</w:t>
      </w:r>
    </w:p>
    <w:p>
      <w:pPr>
        <w:ind w:firstLine="488" w:firstLineChars="200"/>
        <w:rPr>
          <w:rFonts w:hint="default" w:eastAsia="宋体"/>
          <w:color w:val="auto"/>
          <w:highlight w:val="none"/>
          <w:lang w:val="en-US" w:eastAsia="zh-CN"/>
        </w:rPr>
      </w:pPr>
      <w:r>
        <w:rPr>
          <w:rFonts w:hint="eastAsia" w:ascii="宋体" w:hAnsi="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lang w:val="en-US" w:bidi="zh-CN"/>
        </w:rPr>
        <w:t>每次进场前</w:t>
      </w:r>
      <w:r>
        <w:rPr>
          <w:rFonts w:hint="eastAsia" w:ascii="宋体" w:hAnsi="宋体" w:eastAsia="宋体" w:cs="宋体"/>
          <w:color w:val="auto"/>
          <w:spacing w:val="2"/>
          <w:sz w:val="24"/>
          <w:szCs w:val="24"/>
          <w:highlight w:val="none"/>
          <w:lang w:val="zh-CN" w:bidi="zh-CN"/>
        </w:rPr>
        <w:t>须检查机动车登记证相关参数是否符合要求，如机动车登记证无要求参数则提供其他有效证明。</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乙方权利与义务：</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1</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乙方</w:t>
      </w:r>
      <w:r>
        <w:rPr>
          <w:rFonts w:hint="eastAsia" w:ascii="宋体" w:hAnsi="宋体" w:cs="宋体"/>
          <w:color w:val="auto"/>
          <w:spacing w:val="2"/>
          <w:sz w:val="24"/>
          <w:szCs w:val="24"/>
          <w:highlight w:val="none"/>
          <w:lang w:val="en-US" w:eastAsia="zh-CN"/>
        </w:rPr>
        <w:t>负责</w:t>
      </w:r>
      <w:r>
        <w:rPr>
          <w:rFonts w:hint="eastAsia" w:ascii="宋体" w:hAnsi="宋体" w:eastAsia="宋体" w:cs="宋体"/>
          <w:color w:val="auto"/>
          <w:spacing w:val="2"/>
          <w:sz w:val="24"/>
          <w:szCs w:val="24"/>
          <w:highlight w:val="none"/>
        </w:rPr>
        <w:t>提供车辆及指派司机驾驶员，承担司机劳动报酬。所提供的车辆必须为</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自有或合法租赁的车辆，并且具备在东莞市任何区域、任意时段合法行驶的资格。租赁给甲方的车</w:t>
      </w:r>
      <w:r>
        <w:rPr>
          <w:rFonts w:hint="eastAsia" w:ascii="宋体" w:hAnsi="宋体" w:eastAsia="宋体" w:cs="宋体"/>
          <w:color w:val="auto"/>
          <w:spacing w:val="2"/>
          <w:sz w:val="24"/>
          <w:szCs w:val="24"/>
          <w:highlight w:val="none"/>
          <w:lang w:val="en-US" w:eastAsia="zh-CN"/>
        </w:rPr>
        <w:t>辆</w:t>
      </w:r>
      <w:r>
        <w:rPr>
          <w:rFonts w:hint="eastAsia" w:ascii="宋体" w:hAnsi="宋体" w:eastAsia="宋体" w:cs="宋体"/>
          <w:color w:val="auto"/>
          <w:spacing w:val="2"/>
          <w:sz w:val="24"/>
          <w:szCs w:val="24"/>
          <w:highlight w:val="none"/>
        </w:rPr>
        <w:t>必须是证照齐全、性能良好、来源合法，符合国家有关车辆行驶的法规要求，并具有有效的车辆证件牌照等（供车时提供相关有效权属证照或租赁合同（含有效的车辆权照等）、行驶证等材料的盖章复印件或扫描件）。</w:t>
      </w:r>
    </w:p>
    <w:p>
      <w:pPr>
        <w:spacing w:line="360" w:lineRule="auto"/>
        <w:ind w:firstLine="488" w:firstLineChars="200"/>
        <w:rPr>
          <w:rFonts w:hint="eastAsia" w:ascii="宋体" w:hAnsi="宋体" w:cs="宋体"/>
          <w:color w:val="auto"/>
          <w:spacing w:val="2"/>
          <w:sz w:val="24"/>
          <w:szCs w:val="24"/>
          <w:highlight w:val="none"/>
        </w:rPr>
      </w:pPr>
      <w:r>
        <w:rPr>
          <w:rFonts w:hint="eastAsia" w:ascii="宋体" w:hAnsi="宋体" w:cs="宋体"/>
          <w:color w:val="auto"/>
          <w:spacing w:val="2"/>
          <w:sz w:val="24"/>
          <w:szCs w:val="24"/>
          <w:highlight w:val="none"/>
        </w:rPr>
        <w:t>2</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乙方负责</w:t>
      </w:r>
      <w:r>
        <w:rPr>
          <w:rFonts w:hint="eastAsia" w:ascii="宋体" w:hAnsi="宋体" w:cs="宋体"/>
          <w:color w:val="auto"/>
          <w:spacing w:val="2"/>
          <w:sz w:val="24"/>
          <w:szCs w:val="24"/>
          <w:highlight w:val="none"/>
          <w:lang w:val="en-US" w:eastAsia="zh-CN"/>
        </w:rPr>
        <w:t>车辆</w:t>
      </w:r>
      <w:r>
        <w:rPr>
          <w:rFonts w:hint="eastAsia" w:ascii="宋体" w:hAnsi="宋体" w:cs="宋体"/>
          <w:color w:val="auto"/>
          <w:spacing w:val="2"/>
          <w:sz w:val="24"/>
          <w:szCs w:val="24"/>
          <w:highlight w:val="none"/>
        </w:rPr>
        <w:t>的保险、</w:t>
      </w:r>
      <w:r>
        <w:rPr>
          <w:rFonts w:hint="eastAsia" w:ascii="宋体" w:hAnsi="宋体" w:cs="宋体"/>
          <w:color w:val="auto"/>
          <w:sz w:val="24"/>
          <w:szCs w:val="24"/>
          <w:highlight w:val="none"/>
        </w:rPr>
        <w:t>牌照年审、日常维护保养、维修及配件更新等，</w:t>
      </w:r>
      <w:r>
        <w:rPr>
          <w:rFonts w:hint="eastAsia" w:ascii="宋体" w:hAnsi="宋体" w:cs="宋体"/>
          <w:color w:val="auto"/>
          <w:spacing w:val="2"/>
          <w:sz w:val="24"/>
          <w:szCs w:val="24"/>
          <w:highlight w:val="none"/>
        </w:rPr>
        <w:t>并承担租赁期间的车辆燃油费、保险费、年审费、维保费、路桥费、停车费、洗车费、交通违章罚款等费用。</w:t>
      </w:r>
    </w:p>
    <w:p>
      <w:pPr>
        <w:ind w:firstLine="488" w:firstLineChars="200"/>
        <w:rPr>
          <w:rFonts w:hint="eastAsia" w:ascii="宋体" w:hAnsi="宋体" w:eastAsia="宋体" w:cs="宋体"/>
          <w:color w:val="auto"/>
          <w:spacing w:val="2"/>
          <w:sz w:val="24"/>
          <w:szCs w:val="24"/>
          <w:highlight w:val="none"/>
          <w:lang w:val="zh-CN" w:bidi="zh-CN"/>
        </w:rPr>
      </w:pPr>
      <w:r>
        <w:rPr>
          <w:rFonts w:hint="eastAsia" w:ascii="宋体" w:hAnsi="宋体" w:cs="宋体"/>
          <w:color w:val="auto"/>
          <w:spacing w:val="2"/>
          <w:sz w:val="24"/>
          <w:szCs w:val="24"/>
          <w:highlight w:val="none"/>
          <w:lang w:val="en-US" w:eastAsia="zh-CN"/>
        </w:rPr>
        <w:t>3.乙方提供的</w:t>
      </w:r>
      <w:r>
        <w:rPr>
          <w:rFonts w:hint="eastAsia" w:ascii="宋体" w:hAnsi="宋体" w:eastAsia="宋体" w:cs="宋体"/>
          <w:color w:val="auto"/>
          <w:spacing w:val="2"/>
          <w:sz w:val="24"/>
          <w:szCs w:val="24"/>
          <w:highlight w:val="none"/>
          <w:lang w:val="zh-CN" w:bidi="zh-CN"/>
        </w:rPr>
        <w:t>高空作业车，铲车、轮式挖掘机、升降机、汽车吊司机需要特种设备操作证，要求提供（级别、证书等），未列明需按国家标准要求执行：</w:t>
      </w:r>
      <w:r>
        <w:rPr>
          <w:rFonts w:hint="eastAsia" w:ascii="宋体" w:hAnsi="宋体" w:eastAsia="宋体" w:cs="宋体"/>
          <w:color w:val="auto"/>
          <w:spacing w:val="2"/>
          <w:sz w:val="24"/>
          <w:szCs w:val="24"/>
          <w:highlight w:val="none"/>
          <w:lang w:val="en-US" w:bidi="zh-CN"/>
        </w:rPr>
        <w:t>乙方</w:t>
      </w:r>
      <w:r>
        <w:rPr>
          <w:rFonts w:hint="eastAsia" w:ascii="宋体" w:hAnsi="宋体" w:eastAsia="宋体" w:cs="宋体"/>
          <w:color w:val="auto"/>
          <w:spacing w:val="2"/>
          <w:sz w:val="24"/>
          <w:szCs w:val="24"/>
          <w:highlight w:val="none"/>
          <w:lang w:val="zh-CN" w:bidi="zh-CN"/>
        </w:rPr>
        <w:t>必须保证车辆证件齐全、性能良好、来源合法；</w:t>
      </w:r>
    </w:p>
    <w:p>
      <w:pPr>
        <w:ind w:firstLine="488" w:firstLineChars="200"/>
        <w:rPr>
          <w:rFonts w:hint="eastAsia" w:ascii="宋体" w:hAnsi="宋体" w:eastAsia="宋体" w:cs="宋体"/>
          <w:color w:val="auto"/>
          <w:spacing w:val="2"/>
          <w:sz w:val="24"/>
          <w:szCs w:val="24"/>
          <w:highlight w:val="none"/>
          <w:lang w:val="zh-CN" w:eastAsia="zh-CN" w:bidi="zh-CN"/>
        </w:rPr>
      </w:pPr>
      <w:r>
        <w:rPr>
          <w:rFonts w:hint="eastAsia" w:ascii="宋体" w:hAnsi="宋体" w:eastAsia="宋体" w:cs="宋体"/>
          <w:color w:val="auto"/>
          <w:spacing w:val="2"/>
          <w:sz w:val="24"/>
          <w:szCs w:val="24"/>
          <w:highlight w:val="none"/>
          <w:lang w:val="zh-CN" w:bidi="zh-CN"/>
        </w:rPr>
        <w:t>4.驾驶员必须为</w:t>
      </w:r>
      <w:r>
        <w:rPr>
          <w:rFonts w:hint="eastAsia" w:ascii="宋体" w:hAnsi="宋体" w:eastAsia="宋体" w:cs="宋体"/>
          <w:color w:val="auto"/>
          <w:spacing w:val="2"/>
          <w:sz w:val="24"/>
          <w:szCs w:val="24"/>
          <w:highlight w:val="none"/>
          <w:lang w:val="zh-CN" w:eastAsia="zh-CN" w:bidi="zh-CN"/>
        </w:rPr>
        <w:t>乙方</w:t>
      </w:r>
      <w:r>
        <w:rPr>
          <w:rFonts w:hint="eastAsia" w:ascii="宋体" w:hAnsi="宋体" w:eastAsia="宋体" w:cs="宋体"/>
          <w:color w:val="auto"/>
          <w:spacing w:val="2"/>
          <w:sz w:val="24"/>
          <w:szCs w:val="24"/>
          <w:highlight w:val="none"/>
          <w:lang w:val="zh-CN" w:bidi="zh-CN"/>
        </w:rPr>
        <w:t>的签约员工，持证上岗并具备5年以上驾驶经验</w:t>
      </w:r>
      <w:r>
        <w:rPr>
          <w:rFonts w:hint="eastAsia" w:ascii="宋体" w:hAnsi="宋体" w:eastAsia="宋体" w:cs="宋体"/>
          <w:color w:val="auto"/>
          <w:spacing w:val="2"/>
          <w:sz w:val="24"/>
          <w:szCs w:val="24"/>
          <w:highlight w:val="none"/>
          <w:lang w:val="zh-CN" w:eastAsia="zh-CN" w:bidi="zh-CN"/>
        </w:rPr>
        <w:t>。乙方</w:t>
      </w:r>
      <w:r>
        <w:rPr>
          <w:rFonts w:hint="eastAsia" w:ascii="宋体" w:hAnsi="宋体" w:eastAsia="宋体" w:cs="宋体"/>
          <w:color w:val="auto"/>
          <w:spacing w:val="2"/>
          <w:sz w:val="24"/>
          <w:szCs w:val="24"/>
          <w:highlight w:val="none"/>
          <w:lang w:val="zh-CN" w:bidi="zh-CN"/>
        </w:rPr>
        <w:t>驾驶员必须服从</w:t>
      </w:r>
      <w:r>
        <w:rPr>
          <w:rFonts w:hint="eastAsia" w:ascii="宋体" w:hAnsi="宋体" w:eastAsia="宋体" w:cs="宋体"/>
          <w:color w:val="auto"/>
          <w:spacing w:val="2"/>
          <w:sz w:val="24"/>
          <w:szCs w:val="24"/>
          <w:highlight w:val="none"/>
          <w:lang w:val="zh-CN" w:eastAsia="zh-CN" w:bidi="zh-CN"/>
        </w:rPr>
        <w:t>甲方</w:t>
      </w:r>
      <w:r>
        <w:rPr>
          <w:rFonts w:hint="eastAsia" w:ascii="宋体" w:hAnsi="宋体" w:eastAsia="宋体" w:cs="宋体"/>
          <w:color w:val="auto"/>
          <w:spacing w:val="2"/>
          <w:sz w:val="24"/>
          <w:szCs w:val="24"/>
          <w:highlight w:val="none"/>
          <w:lang w:val="zh-CN" w:bidi="zh-CN"/>
        </w:rPr>
        <w:t>的管理，安全、文明驾驶。若</w:t>
      </w:r>
      <w:r>
        <w:rPr>
          <w:rFonts w:hint="eastAsia" w:ascii="宋体" w:hAnsi="宋体" w:eastAsia="宋体" w:cs="宋体"/>
          <w:color w:val="auto"/>
          <w:spacing w:val="2"/>
          <w:sz w:val="24"/>
          <w:szCs w:val="24"/>
          <w:highlight w:val="none"/>
          <w:lang w:val="zh-CN" w:eastAsia="zh-CN" w:bidi="zh-CN"/>
        </w:rPr>
        <w:t>甲方</w:t>
      </w:r>
      <w:r>
        <w:rPr>
          <w:rFonts w:hint="eastAsia" w:ascii="宋体" w:hAnsi="宋体" w:eastAsia="宋体" w:cs="宋体"/>
          <w:color w:val="auto"/>
          <w:spacing w:val="2"/>
          <w:sz w:val="24"/>
          <w:szCs w:val="24"/>
          <w:highlight w:val="none"/>
          <w:lang w:val="zh-CN" w:bidi="zh-CN"/>
        </w:rPr>
        <w:t>对驾驶员服务质量不满意，</w:t>
      </w:r>
      <w:r>
        <w:rPr>
          <w:rFonts w:hint="eastAsia" w:ascii="宋体" w:hAnsi="宋体" w:eastAsia="宋体" w:cs="宋体"/>
          <w:color w:val="auto"/>
          <w:spacing w:val="2"/>
          <w:sz w:val="24"/>
          <w:szCs w:val="24"/>
          <w:highlight w:val="none"/>
          <w:lang w:val="zh-CN" w:eastAsia="zh-CN" w:bidi="zh-CN"/>
        </w:rPr>
        <w:t>乙方</w:t>
      </w:r>
      <w:r>
        <w:rPr>
          <w:rFonts w:hint="eastAsia" w:ascii="宋体" w:hAnsi="宋体" w:eastAsia="宋体" w:cs="宋体"/>
          <w:color w:val="auto"/>
          <w:spacing w:val="2"/>
          <w:sz w:val="24"/>
          <w:szCs w:val="24"/>
          <w:highlight w:val="none"/>
          <w:lang w:val="zh-CN" w:bidi="zh-CN"/>
        </w:rPr>
        <w:t>须按照</w:t>
      </w:r>
      <w:r>
        <w:rPr>
          <w:rFonts w:hint="eastAsia" w:ascii="宋体" w:hAnsi="宋体" w:eastAsia="宋体" w:cs="宋体"/>
          <w:color w:val="auto"/>
          <w:spacing w:val="2"/>
          <w:sz w:val="24"/>
          <w:szCs w:val="24"/>
          <w:highlight w:val="none"/>
          <w:lang w:val="zh-CN" w:eastAsia="zh-CN" w:bidi="zh-CN"/>
        </w:rPr>
        <w:t>甲方</w:t>
      </w:r>
      <w:r>
        <w:rPr>
          <w:rFonts w:hint="eastAsia" w:ascii="宋体" w:hAnsi="宋体" w:eastAsia="宋体" w:cs="宋体"/>
          <w:color w:val="auto"/>
          <w:spacing w:val="2"/>
          <w:sz w:val="24"/>
          <w:szCs w:val="24"/>
          <w:highlight w:val="none"/>
          <w:lang w:val="zh-CN" w:bidi="zh-CN"/>
        </w:rPr>
        <w:t>的要求更换合格的驾驶员。</w:t>
      </w:r>
      <w:r>
        <w:rPr>
          <w:rFonts w:hint="eastAsia" w:ascii="宋体" w:hAnsi="宋体" w:eastAsia="宋体" w:cs="宋体"/>
          <w:color w:val="auto"/>
          <w:spacing w:val="2"/>
          <w:sz w:val="24"/>
          <w:szCs w:val="24"/>
          <w:highlight w:val="none"/>
          <w:lang w:val="zh-CN" w:eastAsia="zh-CN" w:bidi="zh-CN"/>
        </w:rPr>
        <w:t>乙方</w:t>
      </w:r>
      <w:r>
        <w:rPr>
          <w:rFonts w:hint="eastAsia" w:ascii="宋体" w:hAnsi="宋体" w:eastAsia="宋体" w:cs="宋体"/>
          <w:color w:val="auto"/>
          <w:spacing w:val="2"/>
          <w:sz w:val="24"/>
          <w:szCs w:val="24"/>
          <w:highlight w:val="none"/>
          <w:lang w:val="zh-CN" w:bidi="zh-CN"/>
        </w:rPr>
        <w:t>必须有完善的车辆管理及安全管理制度，有一支较高职业素</w:t>
      </w:r>
      <w:r>
        <w:rPr>
          <w:rFonts w:hint="eastAsia" w:ascii="宋体" w:hAnsi="宋体" w:eastAsia="宋体" w:cs="宋体"/>
          <w:color w:val="auto"/>
          <w:spacing w:val="2"/>
          <w:sz w:val="24"/>
          <w:szCs w:val="24"/>
          <w:highlight w:val="none"/>
          <w:lang w:val="zh-CN" w:eastAsia="zh-CN" w:bidi="zh-CN"/>
        </w:rPr>
        <w:t>质</w:t>
      </w:r>
      <w:r>
        <w:rPr>
          <w:rFonts w:hint="eastAsia" w:ascii="宋体" w:hAnsi="宋体" w:eastAsia="宋体" w:cs="宋体"/>
          <w:color w:val="auto"/>
          <w:spacing w:val="2"/>
          <w:sz w:val="24"/>
          <w:szCs w:val="24"/>
          <w:highlight w:val="none"/>
          <w:lang w:val="zh-CN" w:bidi="zh-CN"/>
        </w:rPr>
        <w:t>和驾驶技能的驾驶员队伍，能做到遵章守法，执行管理制度，自觉对车辆进行日常检查和保养工作。</w:t>
      </w:r>
    </w:p>
    <w:p>
      <w:pPr>
        <w:spacing w:line="360" w:lineRule="auto"/>
        <w:ind w:firstLine="488" w:firstLineChars="200"/>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val="en-US" w:eastAsia="zh-CN"/>
        </w:rPr>
        <w:t>5</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租赁期间</w:t>
      </w:r>
      <w:r>
        <w:rPr>
          <w:rFonts w:hint="eastAsia" w:ascii="宋体" w:hAnsi="宋体" w:eastAsia="宋体" w:cs="宋体"/>
          <w:color w:val="auto"/>
          <w:spacing w:val="2"/>
          <w:sz w:val="24"/>
          <w:szCs w:val="24"/>
          <w:highlight w:val="none"/>
        </w:rPr>
        <w:t>内，车辆到达</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项目地点后，双方共同进行验车并对驾驶员证件资料进行备案，</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提供的车辆如发生故障，司机不得继续使用故障车辆，及时告知</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，并须在2小时内完成修复，如未能及时修复需告知</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，并更换同等功能条件车辆。</w:t>
      </w:r>
    </w:p>
    <w:p>
      <w:pPr>
        <w:spacing w:line="360" w:lineRule="auto"/>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.租赁期间，</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提供的车辆驾驶员需购买意外保险和雇主责任保险（赔付金额不低于100万），对自身人生安全负责；特种车辆驾驶员必须持证上岗，服从</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现场负责人工作安排，严格按照</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要求按时出勤并高效工作，工作期间正确佩戴劳保用品，如需配备安全帽、反光衣等由</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自备，严禁酒后驾驶、无证驾驶、疲劳驾驶等违法行为，做到每日用车前对特种车辆进行日常检测，确保正常使用。</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lang w:val="en-US" w:eastAsia="zh-CN"/>
        </w:rPr>
        <w:t>6</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如因驾驶员操作不当或无证驾驶等违法行为导致意外发生，</w:t>
      </w:r>
      <w:r>
        <w:rPr>
          <w:rFonts w:hint="eastAsia" w:ascii="宋体" w:hAnsi="宋体" w:cs="宋体"/>
          <w:color w:val="auto"/>
          <w:sz w:val="24"/>
          <w:szCs w:val="24"/>
          <w:highlight w:val="none"/>
        </w:rPr>
        <w:t>甲方有权解除合同或更换翻斗车驾驶员，并保留追究乙方责任的权利，</w:t>
      </w:r>
      <w:r>
        <w:rPr>
          <w:rFonts w:hint="eastAsia" w:ascii="宋体" w:hAnsi="宋体" w:cs="宋体"/>
          <w:color w:val="auto"/>
          <w:spacing w:val="2"/>
          <w:sz w:val="24"/>
          <w:szCs w:val="24"/>
          <w:highlight w:val="none"/>
        </w:rPr>
        <w:t>不得影响甲方</w:t>
      </w:r>
      <w:r>
        <w:rPr>
          <w:rFonts w:hint="eastAsia" w:ascii="宋体" w:hAnsi="宋体" w:cs="宋体"/>
          <w:color w:val="auto"/>
          <w:spacing w:val="2"/>
          <w:sz w:val="24"/>
          <w:szCs w:val="24"/>
          <w:highlight w:val="none"/>
          <w:lang w:val="en-US" w:eastAsia="zh-CN"/>
        </w:rPr>
        <w:t>工作进度</w:t>
      </w:r>
      <w:r>
        <w:rPr>
          <w:rFonts w:hint="eastAsia" w:ascii="宋体" w:hAnsi="宋体" w:cs="宋体"/>
          <w:color w:val="auto"/>
          <w:spacing w:val="2"/>
          <w:sz w:val="24"/>
          <w:szCs w:val="24"/>
          <w:highlight w:val="none"/>
        </w:rPr>
        <w:t>。</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lang w:val="en-US" w:eastAsia="zh-CN"/>
        </w:rPr>
        <w:t>7.</w:t>
      </w:r>
      <w:r>
        <w:rPr>
          <w:rFonts w:hint="eastAsia" w:ascii="宋体" w:hAnsi="宋体" w:cs="宋体"/>
          <w:color w:val="auto"/>
          <w:spacing w:val="2"/>
          <w:sz w:val="24"/>
          <w:szCs w:val="24"/>
          <w:highlight w:val="none"/>
        </w:rPr>
        <w:t>乙方对</w:t>
      </w:r>
      <w:r>
        <w:rPr>
          <w:rFonts w:hint="eastAsia" w:ascii="宋体" w:hAnsi="宋体" w:cs="宋体"/>
          <w:color w:val="auto"/>
          <w:spacing w:val="2"/>
          <w:sz w:val="24"/>
          <w:szCs w:val="24"/>
          <w:highlight w:val="none"/>
          <w:lang w:val="en-US" w:eastAsia="zh-CN"/>
        </w:rPr>
        <w:t>车辆</w:t>
      </w:r>
      <w:r>
        <w:rPr>
          <w:rFonts w:hint="eastAsia" w:ascii="宋体" w:hAnsi="宋体" w:cs="宋体"/>
          <w:color w:val="auto"/>
          <w:spacing w:val="2"/>
          <w:sz w:val="24"/>
          <w:szCs w:val="24"/>
          <w:highlight w:val="none"/>
        </w:rPr>
        <w:t>负保管责任，如发生翻斗车被盗、抢、骗及乙方原因出现毁损报废、扣押、罚没等，并因此给甲方造成损失的，乙方须全额赔偿。</w:t>
      </w:r>
    </w:p>
    <w:p>
      <w:pPr>
        <w:spacing w:line="360" w:lineRule="auto"/>
        <w:ind w:firstLine="488" w:firstLineChars="200"/>
        <w:rPr>
          <w:rFonts w:hint="eastAsia" w:ascii="宋体" w:hAnsi="宋体" w:cs="宋体"/>
          <w:color w:val="auto"/>
          <w:sz w:val="24"/>
          <w:szCs w:val="24"/>
          <w:highlight w:val="none"/>
        </w:rPr>
      </w:pPr>
      <w:r>
        <w:rPr>
          <w:rFonts w:hint="eastAsia" w:ascii="宋体" w:hAnsi="宋体" w:cs="宋体"/>
          <w:color w:val="auto"/>
          <w:spacing w:val="2"/>
          <w:sz w:val="24"/>
          <w:szCs w:val="24"/>
          <w:highlight w:val="none"/>
          <w:lang w:val="en-US" w:eastAsia="zh-CN"/>
        </w:rPr>
        <w:t>8</w:t>
      </w:r>
      <w:r>
        <w:rPr>
          <w:rFonts w:ascii="宋体" w:hAnsi="宋体" w:cs="宋体"/>
          <w:color w:val="auto"/>
          <w:spacing w:val="2"/>
          <w:sz w:val="24"/>
          <w:szCs w:val="24"/>
          <w:highlight w:val="none"/>
        </w:rPr>
        <w:t>.</w:t>
      </w:r>
      <w:r>
        <w:rPr>
          <w:rFonts w:hint="eastAsia" w:ascii="宋体" w:hAnsi="宋体" w:cs="宋体"/>
          <w:color w:val="auto"/>
          <w:sz w:val="24"/>
          <w:szCs w:val="24"/>
          <w:highlight w:val="none"/>
        </w:rPr>
        <w:t>乙方要加强安全管理，若发生非甲方原因的交通安全事故、行政处罚或超载超重等行为，由乙方负责承担一切处罚责任，甲方不承担任何处罚责任；</w:t>
      </w:r>
    </w:p>
    <w:p>
      <w:pPr>
        <w:ind w:firstLine="488" w:firstLineChars="200"/>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9.乙方司机</w:t>
      </w:r>
      <w:r>
        <w:rPr>
          <w:rFonts w:hint="eastAsia" w:ascii="宋体" w:hAnsi="宋体" w:eastAsia="宋体" w:cs="宋体"/>
          <w:color w:val="auto"/>
          <w:spacing w:val="2"/>
          <w:sz w:val="24"/>
          <w:szCs w:val="24"/>
          <w:highlight w:val="none"/>
        </w:rPr>
        <w:t>需听从</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现场管理，如因现场作业不规范问题导致</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公众形象受损的，由</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承担一切损失。</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违约责任</w:t>
      </w:r>
    </w:p>
    <w:p>
      <w:pPr>
        <w:spacing w:line="360" w:lineRule="auto"/>
        <w:ind w:firstLine="488" w:firstLineChars="200"/>
        <w:rPr>
          <w:rFonts w:ascii="宋体" w:hAnsi="宋体" w:cs="宋体"/>
          <w:color w:val="auto"/>
          <w:spacing w:val="2"/>
          <w:sz w:val="24"/>
          <w:szCs w:val="24"/>
          <w:highlight w:val="none"/>
        </w:rPr>
      </w:pPr>
      <w:r>
        <w:rPr>
          <w:rFonts w:ascii="宋体" w:hAnsi="宋体" w:cs="宋体"/>
          <w:color w:val="auto"/>
          <w:spacing w:val="2"/>
          <w:sz w:val="24"/>
          <w:szCs w:val="24"/>
          <w:highlight w:val="none"/>
        </w:rPr>
        <w:t>1.</w:t>
      </w:r>
      <w:r>
        <w:rPr>
          <w:rFonts w:hint="eastAsia" w:ascii="宋体" w:hAnsi="宋体" w:cs="宋体"/>
          <w:color w:val="auto"/>
          <w:spacing w:val="2"/>
          <w:sz w:val="24"/>
          <w:szCs w:val="24"/>
          <w:highlight w:val="none"/>
        </w:rPr>
        <w:t>乙方未能在开始租赁日安排相应车</w:t>
      </w:r>
      <w:r>
        <w:rPr>
          <w:rFonts w:hint="eastAsia" w:ascii="宋体" w:hAnsi="宋体" w:cs="宋体"/>
          <w:color w:val="auto"/>
          <w:spacing w:val="2"/>
          <w:sz w:val="24"/>
          <w:szCs w:val="24"/>
          <w:highlight w:val="none"/>
          <w:lang w:val="en-US" w:eastAsia="zh-CN"/>
        </w:rPr>
        <w:t>辆</w:t>
      </w:r>
      <w:r>
        <w:rPr>
          <w:rFonts w:hint="eastAsia" w:ascii="宋体" w:hAnsi="宋体" w:cs="宋体"/>
          <w:color w:val="auto"/>
          <w:spacing w:val="2"/>
          <w:sz w:val="24"/>
          <w:szCs w:val="24"/>
          <w:highlight w:val="none"/>
        </w:rPr>
        <w:t>并配套驾驶员给甲方的，按合同</w:t>
      </w:r>
      <w:r>
        <w:rPr>
          <w:rFonts w:hint="eastAsia" w:ascii="宋体" w:hAnsi="宋体" w:cs="宋体"/>
          <w:color w:val="auto"/>
          <w:spacing w:val="2"/>
          <w:sz w:val="24"/>
          <w:szCs w:val="24"/>
          <w:highlight w:val="none"/>
          <w:lang w:val="en-US" w:eastAsia="zh-CN"/>
        </w:rPr>
        <w:t>预算</w:t>
      </w:r>
      <w:r>
        <w:rPr>
          <w:rFonts w:hint="eastAsia" w:ascii="宋体" w:hAnsi="宋体" w:cs="宋体"/>
          <w:color w:val="auto"/>
          <w:spacing w:val="2"/>
          <w:sz w:val="24"/>
          <w:szCs w:val="24"/>
          <w:highlight w:val="none"/>
        </w:rPr>
        <w:t>金额的3‰/日承担违约金。逾期达</w:t>
      </w:r>
      <w:r>
        <w:rPr>
          <w:rFonts w:ascii="宋体" w:hAnsi="宋体" w:cs="宋体"/>
          <w:color w:val="auto"/>
          <w:spacing w:val="2"/>
          <w:sz w:val="24"/>
          <w:szCs w:val="24"/>
          <w:highlight w:val="none"/>
        </w:rPr>
        <w:t>3</w:t>
      </w:r>
      <w:r>
        <w:rPr>
          <w:rFonts w:hint="eastAsia" w:ascii="宋体" w:hAnsi="宋体" w:cs="宋体"/>
          <w:color w:val="auto"/>
          <w:spacing w:val="2"/>
          <w:sz w:val="24"/>
          <w:szCs w:val="24"/>
          <w:highlight w:val="none"/>
        </w:rPr>
        <w:t>个日历日的，甲方有权单方解除合同并另行委托第三方完成车辆租赁。乙方除应退还已支付的</w:t>
      </w:r>
      <w:r>
        <w:rPr>
          <w:rFonts w:hint="eastAsia" w:ascii="宋体" w:hAnsi="宋体" w:cs="宋体"/>
          <w:color w:val="auto"/>
          <w:spacing w:val="2"/>
          <w:sz w:val="24"/>
          <w:szCs w:val="24"/>
          <w:highlight w:val="none"/>
          <w:lang w:val="en-US" w:eastAsia="zh-CN"/>
        </w:rPr>
        <w:t>租金</w:t>
      </w:r>
      <w:r>
        <w:rPr>
          <w:rFonts w:hint="eastAsia" w:ascii="宋体" w:hAnsi="宋体" w:cs="宋体"/>
          <w:color w:val="auto"/>
          <w:spacing w:val="2"/>
          <w:sz w:val="24"/>
          <w:szCs w:val="24"/>
          <w:highlight w:val="none"/>
        </w:rPr>
        <w:t>，还要另行支付合同</w:t>
      </w:r>
      <w:r>
        <w:rPr>
          <w:rFonts w:hint="eastAsia" w:ascii="宋体" w:hAnsi="宋体" w:cs="宋体"/>
          <w:color w:val="auto"/>
          <w:spacing w:val="2"/>
          <w:sz w:val="24"/>
          <w:szCs w:val="24"/>
          <w:highlight w:val="none"/>
          <w:lang w:val="en-US" w:eastAsia="zh-CN"/>
        </w:rPr>
        <w:t>预算</w:t>
      </w:r>
      <w:r>
        <w:rPr>
          <w:rFonts w:hint="eastAsia" w:ascii="宋体" w:hAnsi="宋体" w:cs="宋体"/>
          <w:color w:val="auto"/>
          <w:spacing w:val="2"/>
          <w:sz w:val="24"/>
          <w:szCs w:val="24"/>
          <w:highlight w:val="none"/>
        </w:rPr>
        <w:t>金额20%的违约金，违约金不足以赔偿因此给甲方造成的损失的，甲方有权另行追偿。</w:t>
      </w:r>
    </w:p>
    <w:p>
      <w:pPr>
        <w:spacing w:line="360" w:lineRule="auto"/>
        <w:ind w:firstLine="488" w:firstLineChars="200"/>
        <w:rPr>
          <w:rFonts w:ascii="宋体" w:hAnsi="宋体" w:cs="宋体"/>
          <w:color w:val="auto"/>
          <w:spacing w:val="2"/>
          <w:sz w:val="24"/>
          <w:szCs w:val="24"/>
          <w:highlight w:val="none"/>
        </w:rPr>
      </w:pPr>
      <w:r>
        <w:rPr>
          <w:rFonts w:ascii="宋体" w:hAnsi="宋体" w:cs="宋体"/>
          <w:color w:val="auto"/>
          <w:spacing w:val="2"/>
          <w:sz w:val="24"/>
          <w:szCs w:val="24"/>
          <w:highlight w:val="none"/>
        </w:rPr>
        <w:t>2.</w:t>
      </w:r>
      <w:r>
        <w:rPr>
          <w:rFonts w:hint="eastAsia" w:ascii="宋体" w:hAnsi="宋体" w:cs="宋体"/>
          <w:color w:val="auto"/>
          <w:spacing w:val="2"/>
          <w:sz w:val="24"/>
          <w:szCs w:val="24"/>
          <w:highlight w:val="none"/>
        </w:rPr>
        <w:t>乙方提供的车</w:t>
      </w:r>
      <w:r>
        <w:rPr>
          <w:rFonts w:hint="eastAsia" w:ascii="宋体" w:hAnsi="宋体" w:cs="宋体"/>
          <w:color w:val="auto"/>
          <w:spacing w:val="2"/>
          <w:sz w:val="24"/>
          <w:szCs w:val="24"/>
          <w:highlight w:val="none"/>
          <w:lang w:val="en-US" w:eastAsia="zh-CN"/>
        </w:rPr>
        <w:t>辆</w:t>
      </w:r>
      <w:r>
        <w:rPr>
          <w:rFonts w:hint="eastAsia" w:ascii="宋体" w:hAnsi="宋体" w:cs="宋体"/>
          <w:color w:val="auto"/>
          <w:spacing w:val="2"/>
          <w:sz w:val="24"/>
          <w:szCs w:val="24"/>
          <w:highlight w:val="none"/>
        </w:rPr>
        <w:t>不满足本合同约定的证照齐全、性能良好等要求，或配备的驾驶员不满足本合同要求，造成甲方损失的，甲方有权另行委托第三方完成租赁。甲方无须向乙方支付费用，如甲方已付款的，乙方应予以退还。乙方应支付甲方合同</w:t>
      </w:r>
      <w:r>
        <w:rPr>
          <w:rFonts w:hint="eastAsia" w:ascii="宋体" w:hAnsi="宋体" w:cs="宋体"/>
          <w:color w:val="auto"/>
          <w:spacing w:val="2"/>
          <w:sz w:val="24"/>
          <w:szCs w:val="24"/>
          <w:highlight w:val="none"/>
          <w:lang w:val="en-US" w:eastAsia="zh-CN"/>
        </w:rPr>
        <w:t>预算</w:t>
      </w:r>
      <w:r>
        <w:rPr>
          <w:rFonts w:hint="eastAsia" w:ascii="宋体" w:hAnsi="宋体" w:cs="宋体"/>
          <w:color w:val="auto"/>
          <w:spacing w:val="2"/>
          <w:sz w:val="24"/>
          <w:szCs w:val="24"/>
          <w:highlight w:val="none"/>
        </w:rPr>
        <w:t>金额20%的违约金，违约金不足以赔偿因此给甲方造成的损失的，乙方应补足。</w:t>
      </w:r>
    </w:p>
    <w:p>
      <w:pPr>
        <w:spacing w:line="360" w:lineRule="auto"/>
        <w:ind w:firstLine="488" w:firstLineChars="200"/>
        <w:rPr>
          <w:rFonts w:ascii="宋体" w:hAnsi="宋体" w:cs="宋体"/>
          <w:color w:val="auto"/>
          <w:spacing w:val="2"/>
          <w:sz w:val="24"/>
          <w:szCs w:val="24"/>
          <w:highlight w:val="none"/>
        </w:rPr>
      </w:pPr>
      <w:r>
        <w:rPr>
          <w:rFonts w:ascii="宋体" w:hAnsi="宋体" w:cs="宋体"/>
          <w:color w:val="auto"/>
          <w:spacing w:val="2"/>
          <w:sz w:val="24"/>
          <w:szCs w:val="24"/>
          <w:highlight w:val="none"/>
        </w:rPr>
        <w:t>3.</w:t>
      </w:r>
      <w:r>
        <w:rPr>
          <w:rFonts w:hint="eastAsia" w:ascii="宋体" w:hAnsi="宋体" w:cs="宋体"/>
          <w:color w:val="auto"/>
          <w:spacing w:val="2"/>
          <w:sz w:val="24"/>
          <w:szCs w:val="24"/>
          <w:highlight w:val="none"/>
        </w:rPr>
        <w:t>甲方未按时付款的，应按合同</w:t>
      </w:r>
      <w:r>
        <w:rPr>
          <w:rFonts w:hint="eastAsia" w:ascii="宋体" w:hAnsi="宋体" w:cs="宋体"/>
          <w:color w:val="auto"/>
          <w:spacing w:val="2"/>
          <w:sz w:val="24"/>
          <w:szCs w:val="24"/>
          <w:highlight w:val="none"/>
          <w:lang w:val="en-US" w:eastAsia="zh-CN"/>
        </w:rPr>
        <w:t>预算</w:t>
      </w:r>
      <w:r>
        <w:rPr>
          <w:rFonts w:hint="eastAsia" w:ascii="宋体" w:hAnsi="宋体" w:cs="宋体"/>
          <w:color w:val="auto"/>
          <w:spacing w:val="2"/>
          <w:sz w:val="24"/>
          <w:szCs w:val="24"/>
          <w:highlight w:val="none"/>
        </w:rPr>
        <w:t>金额的3‰/日支付乙方违约金。逾期达20个日历日的，乙方有权单方终止合同并要求甲方赔偿一切损失。</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4</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乙方在履约过程中因违约应承担违约金、罚款或甲方损失的，甲方有权另行追偿。</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5</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因一方或双方遇不可抗力不能继续履行合同时，双方互免承担违约责任，可在结清已发生费用后解除合同。</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6</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在甲方场所，乙方履行合同应当遵守甲方对于场所的各项管理规定，造成甲方或第三方人身安全或财产经济损失的，由乙方负责全额赔偿（甲方可直接在乙方应付款中扣除）。</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7</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乙方无正当理由拒不履行本合同约定，经甲方书面通知后，仍未在限期内整改的，甲方有权解除合同，乙方应向甲方退回所有已收取款项，且应按合同总付款的20%向甲方支付违约金。</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8</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甲方依法律相关规定或本合同约定解除合同的，乙方所有人员、产品必须在解除合同书面通知送达之日起3个工作日内撤离，逾期未撤离的，乙方应向甲方支付场地占用费500元/日。解除合同书面通知送达之日起，甲方无须对乙方的产品负保管义务和责任，若相关产品损坏或损毁，均由乙方自行承担损失。</w:t>
      </w:r>
    </w:p>
    <w:p>
      <w:pPr>
        <w:spacing w:line="360" w:lineRule="auto"/>
        <w:ind w:firstLine="488" w:firstLineChars="200"/>
        <w:rPr>
          <w:rFonts w:ascii="宋体" w:hAnsi="宋体" w:cs="宋体"/>
          <w:color w:val="auto"/>
          <w:kern w:val="0"/>
          <w:sz w:val="24"/>
          <w:szCs w:val="24"/>
          <w:highlight w:val="none"/>
        </w:rPr>
      </w:pPr>
      <w:r>
        <w:rPr>
          <w:rFonts w:hint="eastAsia" w:ascii="宋体" w:hAnsi="宋体" w:cs="宋体"/>
          <w:color w:val="auto"/>
          <w:spacing w:val="2"/>
          <w:sz w:val="24"/>
          <w:szCs w:val="24"/>
          <w:highlight w:val="none"/>
        </w:rPr>
        <w:t>9</w:t>
      </w:r>
      <w:r>
        <w:rPr>
          <w:rFonts w:ascii="宋体" w:hAnsi="宋体" w:cs="宋体"/>
          <w:color w:val="auto"/>
          <w:spacing w:val="2"/>
          <w:sz w:val="24"/>
          <w:szCs w:val="24"/>
          <w:highlight w:val="none"/>
        </w:rPr>
        <w:t>.</w:t>
      </w:r>
      <w:r>
        <w:rPr>
          <w:rFonts w:hint="eastAsia" w:ascii="宋体" w:hAnsi="宋体" w:cs="宋体"/>
          <w:color w:val="auto"/>
          <w:spacing w:val="2"/>
          <w:sz w:val="24"/>
          <w:szCs w:val="24"/>
          <w:highlight w:val="none"/>
        </w:rPr>
        <w:t>甲方因乙方违约而主张权利产生的包括但不限于诉讼费、律师费、保全费、担保费、保险费、差旅费等一切费用损失，均由乙方承担。</w:t>
      </w:r>
    </w:p>
    <w:p>
      <w:pPr>
        <w:spacing w:line="360" w:lineRule="auto"/>
        <w:ind w:firstLine="480" w:firstLineChars="200"/>
        <w:rPr>
          <w:color w:val="auto"/>
          <w:highlight w:val="none"/>
        </w:rPr>
      </w:pPr>
      <w:r>
        <w:rPr>
          <w:rFonts w:hint="eastAsia" w:ascii="宋体" w:hAnsi="宋体" w:cs="宋体"/>
          <w:color w:val="auto"/>
          <w:kern w:val="0"/>
          <w:sz w:val="24"/>
          <w:szCs w:val="24"/>
          <w:highlight w:val="none"/>
        </w:rPr>
        <w:t>10、</w:t>
      </w:r>
      <w:r>
        <w:rPr>
          <w:rFonts w:hint="eastAsia" w:ascii="宋体" w:hAnsi="宋体" w:cs="宋体"/>
          <w:color w:val="auto"/>
          <w:sz w:val="24"/>
          <w:szCs w:val="24"/>
          <w:highlight w:val="none"/>
        </w:rPr>
        <w:t>乙方对于因本合同的签署和履行而知悉的甲方的任何商业信息，均不得向任何第三方透露。乙方违约方违反上述保密义务，造成甲方损失的，应向甲方赔偿其因此而产生的直接经济损失。</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不可抗力</w:t>
      </w:r>
    </w:p>
    <w:p>
      <w:pPr>
        <w:spacing w:line="360" w:lineRule="auto"/>
        <w:ind w:right="210" w:rightChars="100" w:firstLine="488" w:firstLineChars="200"/>
        <w:rPr>
          <w:color w:val="auto"/>
          <w:highlight w:val="none"/>
        </w:rPr>
      </w:pPr>
      <w:r>
        <w:rPr>
          <w:rFonts w:hint="eastAsia" w:ascii="宋体" w:hAnsi="宋体" w:cs="宋体"/>
          <w:color w:val="auto"/>
          <w:spacing w:val="2"/>
          <w:sz w:val="24"/>
          <w:szCs w:val="24"/>
          <w:highlight w:val="none"/>
        </w:rPr>
        <w:t>甲乙双方中任何一方由于不可抗力影响合同执行时，发生不可抗力一方应在24小时内通知另一方。在此情况下，乙方仍然有责任采取必要的措施按时提供租赁服务，双方应通过友好协商尽快解决本合同的执行问题。</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争议的解决</w:t>
      </w:r>
    </w:p>
    <w:p>
      <w:pPr>
        <w:spacing w:line="360" w:lineRule="auto"/>
        <w:ind w:firstLine="488" w:firstLineChars="200"/>
        <w:rPr>
          <w:color w:val="auto"/>
          <w:highlight w:val="none"/>
        </w:rPr>
      </w:pPr>
      <w:r>
        <w:rPr>
          <w:rFonts w:hint="eastAsia" w:ascii="宋体" w:hAnsi="宋体" w:cs="宋体"/>
          <w:color w:val="auto"/>
          <w:spacing w:val="2"/>
          <w:sz w:val="24"/>
          <w:szCs w:val="24"/>
          <w:highlight w:val="none"/>
        </w:rPr>
        <w:t>因履行本合同发生的任何争议，双方本着友好互利的原则协商解决。协商不成时应向甲方所在地人民法院提起诉讼。除有争议的部分外，双方应继续履行本合同所约定的义务。</w:t>
      </w:r>
    </w:p>
    <w:p>
      <w:pPr>
        <w:numPr>
          <w:ilvl w:val="0"/>
          <w:numId w:val="12"/>
        </w:numPr>
        <w:snapToGrid w:val="0"/>
        <w:spacing w:line="360" w:lineRule="auto"/>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其它约定</w:t>
      </w:r>
    </w:p>
    <w:p>
      <w:pPr>
        <w:spacing w:line="360" w:lineRule="auto"/>
        <w:ind w:firstLine="488" w:firstLineChars="200"/>
        <w:rPr>
          <w:rFonts w:ascii="宋体" w:hAnsi="宋体" w:cs="宋体"/>
          <w:color w:val="auto"/>
          <w:spacing w:val="2"/>
          <w:sz w:val="24"/>
          <w:szCs w:val="24"/>
          <w:highlight w:val="none"/>
        </w:rPr>
      </w:pPr>
      <w:r>
        <w:rPr>
          <w:rFonts w:ascii="宋体" w:hAnsi="宋体" w:cs="宋体"/>
          <w:color w:val="auto"/>
          <w:spacing w:val="2"/>
          <w:sz w:val="24"/>
          <w:szCs w:val="24"/>
          <w:highlight w:val="none"/>
        </w:rPr>
        <w:t>1.</w:t>
      </w:r>
      <w:r>
        <w:rPr>
          <w:rFonts w:hint="eastAsia" w:ascii="宋体" w:hAnsi="宋体" w:cs="宋体"/>
          <w:color w:val="auto"/>
          <w:spacing w:val="2"/>
          <w:sz w:val="24"/>
          <w:szCs w:val="24"/>
          <w:highlight w:val="none"/>
        </w:rPr>
        <w:t>本合同任何内容的修改，须由双方进行协商，并另行签订补充协议或书面文件。合同中未尽事项，由双方协商另行签订补充协议。</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2．任何一方未经另一方的书面同意，均不得将本合同的权利、义务转让给第三方。</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3本合同一式陆份，甲方执肆份、乙方执贰份。本合同自双方法定代表人或委托代理人签字并加合同章（或公章）后生效，合同履行完毕后自行失效。</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4本合同附件：</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附件1：《报价清单》</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附件2：《阳光合作协议》</w:t>
      </w:r>
    </w:p>
    <w:p>
      <w:pPr>
        <w:spacing w:line="360" w:lineRule="auto"/>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（以下无正文）</w:t>
      </w:r>
    </w:p>
    <w:p>
      <w:pPr>
        <w:spacing w:line="360" w:lineRule="auto"/>
        <w:ind w:firstLine="480" w:firstLineChars="200"/>
        <w:rPr>
          <w:rFonts w:ascii="宋体" w:hAnsi="宋体" w:cs="宋体"/>
          <w:color w:val="auto"/>
          <w:sz w:val="24"/>
          <w:szCs w:val="24"/>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甲方（盖章）：                     乙方（盖章）：</w:t>
      </w:r>
    </w:p>
    <w:p>
      <w:pPr>
        <w:spacing w:line="360" w:lineRule="auto"/>
        <w:ind w:firstLine="480" w:firstLineChars="200"/>
        <w:rPr>
          <w:rFonts w:ascii="宋体" w:hAnsi="宋体" w:cs="宋体"/>
          <w:color w:val="auto"/>
          <w:sz w:val="24"/>
          <w:szCs w:val="24"/>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法定代表人（签章）：               法定代表人（签章）：</w:t>
      </w:r>
    </w:p>
    <w:p>
      <w:pPr>
        <w:spacing w:line="360" w:lineRule="auto"/>
        <w:ind w:firstLine="480" w:firstLineChars="200"/>
        <w:rPr>
          <w:rFonts w:ascii="宋体" w:hAnsi="宋体" w:cs="宋体"/>
          <w:color w:val="auto"/>
          <w:sz w:val="24"/>
          <w:szCs w:val="24"/>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或授权代表人（签字）：             或授权代表人（签字）：</w:t>
      </w:r>
    </w:p>
    <w:p>
      <w:pPr>
        <w:pStyle w:val="11"/>
        <w:rPr>
          <w:color w:val="auto"/>
          <w:highlight w:val="none"/>
        </w:rPr>
      </w:pPr>
    </w:p>
    <w:p>
      <w:pPr>
        <w:spacing w:line="360" w:lineRule="auto"/>
        <w:ind w:left="210" w:leftChars="1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签约地点：东莞市</w:t>
      </w:r>
    </w:p>
    <w:p>
      <w:pPr>
        <w:spacing w:line="360" w:lineRule="auto"/>
        <w:ind w:right="960"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签订时间：2</w:t>
      </w:r>
      <w:r>
        <w:rPr>
          <w:rFonts w:ascii="宋体" w:hAnsi="宋体" w:cs="宋体"/>
          <w:color w:val="auto"/>
          <w:sz w:val="24"/>
          <w:szCs w:val="24"/>
          <w:highlight w:val="none"/>
        </w:rPr>
        <w:t>02</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w:t>
      </w:r>
    </w:p>
    <w:p>
      <w:pPr>
        <w:pStyle w:val="11"/>
        <w:rPr>
          <w:rFonts w:hint="eastAsia" w:ascii="宋体" w:hAnsi="宋体" w:cs="宋体"/>
          <w:color w:val="auto"/>
          <w:sz w:val="24"/>
          <w:szCs w:val="24"/>
          <w:highlight w:val="none"/>
        </w:rPr>
      </w:pPr>
    </w:p>
    <w:p>
      <w:pPr>
        <w:jc w:val="center"/>
        <w:rPr>
          <w:rFonts w:ascii="宋体" w:hAnsi="宋体"/>
          <w:b/>
          <w:color w:val="auto"/>
          <w:sz w:val="24"/>
          <w:szCs w:val="24"/>
          <w:highlight w:val="none"/>
        </w:rPr>
      </w:pPr>
      <w:r>
        <w:rPr>
          <w:rFonts w:hint="eastAsia" w:ascii="宋体" w:hAnsi="宋体"/>
          <w:b/>
          <w:color w:val="auto"/>
          <w:sz w:val="24"/>
          <w:szCs w:val="24"/>
          <w:highlight w:val="none"/>
        </w:rPr>
        <w:t>阳光合作协议</w:t>
      </w:r>
    </w:p>
    <w:p>
      <w:pPr>
        <w:jc w:val="center"/>
        <w:rPr>
          <w:rFonts w:ascii="宋体" w:hAnsi="宋体"/>
          <w:b/>
          <w:color w:val="auto"/>
          <w:sz w:val="24"/>
          <w:szCs w:val="24"/>
          <w:highlight w:val="none"/>
        </w:rPr>
      </w:pPr>
    </w:p>
    <w:p>
      <w:pPr>
        <w:spacing w:before="180" w:beforeLines="50" w:after="180" w:afterLines="50" w:line="480" w:lineRule="exact"/>
        <w:ind w:firstLine="420" w:firstLineChars="200"/>
        <w:contextualSpacing/>
        <w:rPr>
          <w:rFonts w:ascii="宋体" w:hAnsi="宋体"/>
          <w:color w:val="auto"/>
          <w:highlight w:val="none"/>
        </w:rPr>
      </w:pPr>
      <w:r>
        <w:rPr>
          <w:rFonts w:hint="eastAsia" w:ascii="宋体" w:hAnsi="宋体"/>
          <w:color w:val="auto"/>
          <w:highlight w:val="none"/>
        </w:rPr>
        <w:t>甲方（采购方全称）：东莞市东实城市环境服务有限公司</w:t>
      </w:r>
    </w:p>
    <w:p>
      <w:pPr>
        <w:spacing w:before="180" w:beforeLines="50" w:after="180" w:afterLines="50" w:line="480" w:lineRule="exact"/>
        <w:ind w:firstLine="420" w:firstLineChars="200"/>
        <w:contextualSpacing/>
        <w:rPr>
          <w:rFonts w:ascii="宋体" w:hAnsi="宋体"/>
          <w:color w:val="auto"/>
          <w:highlight w:val="none"/>
        </w:rPr>
      </w:pPr>
      <w:r>
        <w:rPr>
          <w:rFonts w:hint="eastAsia" w:ascii="宋体" w:hAnsi="宋体"/>
          <w:color w:val="auto"/>
          <w:highlight w:val="none"/>
        </w:rPr>
        <w:t>乙方（供应方全称）：</w:t>
      </w:r>
    </w:p>
    <w:p>
      <w:pPr>
        <w:spacing w:before="180" w:beforeLines="50" w:after="180" w:afterLines="50"/>
        <w:ind w:firstLine="420" w:firstLineChars="200"/>
        <w:contextualSpacing/>
        <w:rPr>
          <w:rFonts w:ascii="宋体"/>
          <w:color w:val="auto"/>
          <w:highlight w:val="none"/>
        </w:rPr>
      </w:pPr>
      <w:r>
        <w:rPr>
          <w:rFonts w:hint="eastAsia" w:ascii="宋体" w:hAnsi="宋体"/>
          <w:color w:val="auto"/>
          <w:highlight w:val="none"/>
        </w:rPr>
        <w:t>甲乙双方于2023年  月  日签署了   项目合同（以下简称原合同），为加强双方阳光合作，保证职员职业安全，甲乙双方经协商签订本协议并作为双方共同遵守的阳光合作行为准则。</w:t>
      </w:r>
    </w:p>
    <w:p>
      <w:pPr>
        <w:spacing w:before="180" w:beforeLines="50" w:after="180" w:afterLines="50"/>
        <w:ind w:left="420" w:leftChars="200"/>
        <w:contextualSpacing/>
        <w:rPr>
          <w:rFonts w:ascii="宋体" w:hAnsi="宋体"/>
          <w:b/>
          <w:color w:val="auto"/>
          <w:highlight w:val="none"/>
        </w:rPr>
      </w:pPr>
      <w:r>
        <w:rPr>
          <w:rFonts w:hint="eastAsia" w:ascii="宋体" w:hAnsi="宋体"/>
          <w:b/>
          <w:color w:val="auto"/>
          <w:highlight w:val="none"/>
        </w:rPr>
        <w:t>一、甲方责任</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1.甲方有责任向乙方介绍本单位有关采购管理通用原则和本协议的规定。</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2.甲方有责任对本单位相关人员进行阳光合作教育。</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4.甲方人员如违反阳光合作管理制度及本协议规定，甲方视情节轻重、影响大小给予行政及经济处罚。</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5．对于乙方举报甲方人员违反阳光合作规定的情况，甲方应及时进行调查，根据调查情况进行处理，并将调查结果向乙方反馈。</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6.接受举报的一方应为举报方保密，不得对举报方进行报复，对举报属实和严格遵守《阳光合作协议》的合作方，在同等条件下给予后续合作的优先权。</w:t>
      </w:r>
    </w:p>
    <w:p>
      <w:pPr>
        <w:spacing w:before="180" w:beforeLines="50" w:after="180" w:afterLines="50"/>
        <w:ind w:left="420" w:leftChars="200"/>
        <w:contextualSpacing/>
        <w:rPr>
          <w:rFonts w:ascii="宋体" w:hAnsi="宋体"/>
          <w:b/>
          <w:color w:val="auto"/>
          <w:highlight w:val="none"/>
        </w:rPr>
      </w:pPr>
      <w:r>
        <w:rPr>
          <w:rFonts w:hint="eastAsia" w:ascii="宋体" w:hAnsi="宋体"/>
          <w:b/>
          <w:color w:val="auto"/>
          <w:highlight w:val="none"/>
        </w:rPr>
        <w:t>二、乙方责任</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1.乙方应保证乙方人员了解甲方有关采购管理通用原则和及本协议的规定，并遵照执行。</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2.乙方不得以任何形式给予甲方人员回扣、赠送实物、现金、有价证券、礼券等有价物品或提供旅游等其他可能影响职务行为公正履行的活动（以下统称“财物”）。</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3.乙方有责任接受甲方对乙方在合作期间阳光合作管理执行情况的监督，并对甲方相关调查工作主动配合。</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法律合规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 xml:space="preserve">5．甲方接受乙方实名或匿名举报，保证为举报者的信息保密，常设举报部门及电话： </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举报受理部门：东莞实业投资控股集团有限公司法律合规部</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东实集团举报邮箱：dgsyxf@163.com</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东实集团举报电话：0769-28820703（周一至周五9:00-12:00和14:00-18:00）</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邮寄地址：东莞市东城区八一路1号机关二号大院9号楼，东莞实业投资控股集团有限公司法律合规部收，邮编523000。</w:t>
      </w:r>
    </w:p>
    <w:p>
      <w:pPr>
        <w:spacing w:before="180" w:beforeLines="50" w:after="180" w:afterLines="50"/>
        <w:ind w:left="420" w:leftChars="200"/>
        <w:contextualSpacing/>
        <w:rPr>
          <w:rFonts w:ascii="宋体" w:hAnsi="宋体"/>
          <w:b/>
          <w:color w:val="auto"/>
          <w:highlight w:val="none"/>
        </w:rPr>
      </w:pPr>
      <w:r>
        <w:rPr>
          <w:rFonts w:hint="eastAsia" w:ascii="宋体" w:hAnsi="宋体"/>
          <w:b/>
          <w:color w:val="auto"/>
          <w:highlight w:val="none"/>
        </w:rPr>
        <w:t>三、其他</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1.本协议是原合同的补充协议，与原合同有同等法律效力。</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2.</w:t>
      </w:r>
      <w:r>
        <w:rPr>
          <w:rFonts w:ascii="宋体" w:hAnsi="宋体"/>
          <w:color w:val="auto"/>
          <w:highlight w:val="none"/>
        </w:rPr>
        <w:t>本</w:t>
      </w:r>
      <w:r>
        <w:rPr>
          <w:rFonts w:hint="eastAsia" w:ascii="宋体" w:hAnsi="宋体"/>
          <w:color w:val="auto"/>
          <w:highlight w:val="none"/>
        </w:rPr>
        <w:t>协议</w:t>
      </w:r>
      <w:r>
        <w:rPr>
          <w:rFonts w:ascii="宋体" w:hAnsi="宋体"/>
          <w:color w:val="auto"/>
          <w:highlight w:val="none"/>
        </w:rPr>
        <w:t>一式</w:t>
      </w:r>
      <w:r>
        <w:rPr>
          <w:rFonts w:hint="eastAsia" w:ascii="宋体" w:hAnsi="宋体"/>
          <w:color w:val="auto"/>
          <w:highlight w:val="none"/>
        </w:rPr>
        <w:t>四</w:t>
      </w:r>
      <w:r>
        <w:rPr>
          <w:rFonts w:ascii="宋体" w:hAnsi="宋体"/>
          <w:color w:val="auto"/>
          <w:highlight w:val="none"/>
        </w:rPr>
        <w:t>份，甲方执</w:t>
      </w:r>
      <w:r>
        <w:rPr>
          <w:rFonts w:hint="eastAsia" w:ascii="宋体" w:hAnsi="宋体"/>
          <w:color w:val="auto"/>
          <w:highlight w:val="none"/>
        </w:rPr>
        <w:t>贰</w:t>
      </w:r>
      <w:r>
        <w:rPr>
          <w:rFonts w:ascii="宋体" w:hAnsi="宋体"/>
          <w:color w:val="auto"/>
          <w:highlight w:val="none"/>
        </w:rPr>
        <w:t>份，乙方执</w:t>
      </w:r>
      <w:r>
        <w:rPr>
          <w:rFonts w:hint="eastAsia" w:ascii="宋体" w:hAnsi="宋体"/>
          <w:color w:val="auto"/>
          <w:highlight w:val="none"/>
        </w:rPr>
        <w:t>贰</w:t>
      </w:r>
      <w:r>
        <w:rPr>
          <w:rFonts w:ascii="宋体" w:hAnsi="宋体"/>
          <w:color w:val="auto"/>
          <w:highlight w:val="none"/>
        </w:rPr>
        <w:t>份</w:t>
      </w:r>
      <w:r>
        <w:rPr>
          <w:rFonts w:hint="eastAsia" w:ascii="宋体" w:hAnsi="宋体"/>
          <w:color w:val="auto"/>
          <w:highlight w:val="none"/>
        </w:rPr>
        <w:t>,具有同等法律效力。</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3.本协议经双方签署后生效。</w:t>
      </w:r>
    </w:p>
    <w:p>
      <w:pPr>
        <w:spacing w:before="180" w:beforeLines="50" w:after="180" w:afterLines="50"/>
        <w:ind w:firstLine="420" w:firstLineChars="200"/>
        <w:contextualSpacing/>
        <w:rPr>
          <w:rFonts w:ascii="宋体" w:hAnsi="宋体"/>
          <w:color w:val="auto"/>
          <w:highlight w:val="none"/>
        </w:rPr>
      </w:pPr>
    </w:p>
    <w:p>
      <w:pPr>
        <w:spacing w:before="180" w:beforeLines="50" w:after="180" w:afterLines="50"/>
        <w:ind w:firstLine="420" w:firstLineChars="200"/>
        <w:contextualSpacing/>
        <w:rPr>
          <w:rFonts w:ascii="宋体"/>
          <w:color w:val="auto"/>
          <w:highlight w:val="none"/>
        </w:rPr>
      </w:pPr>
      <w:r>
        <w:rPr>
          <w:rFonts w:hint="eastAsia" w:ascii="宋体" w:hAnsi="宋体"/>
          <w:color w:val="auto"/>
          <w:highlight w:val="none"/>
        </w:rPr>
        <w:t>甲方（盖章）：                       乙方（盖章）：</w:t>
      </w:r>
      <w:r>
        <w:rPr>
          <w:rFonts w:ascii="宋体"/>
          <w:color w:val="auto"/>
          <w:highlight w:val="none"/>
        </w:rPr>
        <w:t xml:space="preserve"> </w:t>
      </w:r>
    </w:p>
    <w:p>
      <w:pPr>
        <w:spacing w:before="180" w:beforeLines="50" w:after="180" w:afterLines="50"/>
        <w:ind w:firstLine="420" w:firstLineChars="200"/>
        <w:contextualSpacing/>
        <w:rPr>
          <w:rFonts w:ascii="宋体" w:hAnsi="宋体"/>
          <w:color w:val="auto"/>
          <w:highlight w:val="none"/>
        </w:rPr>
      </w:pPr>
    </w:p>
    <w:p>
      <w:pPr>
        <w:spacing w:before="180" w:beforeLines="50" w:after="180" w:afterLines="50"/>
        <w:ind w:firstLine="420" w:firstLineChars="200"/>
        <w:contextualSpacing/>
        <w:rPr>
          <w:rFonts w:ascii="宋体"/>
          <w:color w:val="auto"/>
          <w:highlight w:val="none"/>
        </w:rPr>
      </w:pPr>
      <w:r>
        <w:rPr>
          <w:rFonts w:hint="eastAsia" w:ascii="宋体" w:hAnsi="宋体"/>
          <w:color w:val="auto"/>
          <w:highlight w:val="none"/>
        </w:rPr>
        <w:t>法定代表人（授权代表）：</w:t>
      </w:r>
      <w:r>
        <w:rPr>
          <w:rFonts w:hint="eastAsia" w:ascii="宋体"/>
          <w:color w:val="auto"/>
          <w:highlight w:val="none"/>
        </w:rPr>
        <w:tab/>
      </w:r>
      <w:r>
        <w:rPr>
          <w:rFonts w:hint="eastAsia" w:ascii="宋体"/>
          <w:color w:val="auto"/>
          <w:highlight w:val="none"/>
        </w:rPr>
        <w:tab/>
      </w:r>
      <w:r>
        <w:rPr>
          <w:rFonts w:hint="eastAsia" w:ascii="宋体"/>
          <w:color w:val="auto"/>
          <w:highlight w:val="none"/>
        </w:rPr>
        <w:t xml:space="preserve">  </w:t>
      </w:r>
      <w:r>
        <w:rPr>
          <w:rFonts w:hint="eastAsia" w:ascii="宋体"/>
          <w:color w:val="auto"/>
          <w:highlight w:val="none"/>
        </w:rPr>
        <w:tab/>
      </w:r>
      <w:r>
        <w:rPr>
          <w:rFonts w:hint="eastAsia" w:ascii="宋体"/>
          <w:color w:val="auto"/>
          <w:highlight w:val="none"/>
        </w:rPr>
        <w:t xml:space="preserve">   </w:t>
      </w:r>
      <w:r>
        <w:rPr>
          <w:rFonts w:hint="eastAsia" w:ascii="宋体" w:hAnsi="宋体"/>
          <w:color w:val="auto"/>
          <w:highlight w:val="none"/>
        </w:rPr>
        <w:t>法定代表人（授权代表）：</w:t>
      </w:r>
    </w:p>
    <w:p>
      <w:pPr>
        <w:spacing w:before="180" w:beforeLines="50" w:after="180" w:afterLines="50"/>
        <w:ind w:firstLine="420" w:firstLineChars="200"/>
        <w:contextualSpacing/>
        <w:rPr>
          <w:rFonts w:ascii="宋体" w:hAnsi="宋体"/>
          <w:color w:val="auto"/>
          <w:highlight w:val="none"/>
        </w:rPr>
      </w:pPr>
    </w:p>
    <w:p>
      <w:pPr>
        <w:spacing w:before="180" w:beforeLines="50" w:after="180" w:afterLines="50"/>
        <w:ind w:firstLine="420" w:firstLineChars="200"/>
        <w:contextualSpacing/>
        <w:rPr>
          <w:rFonts w:ascii="宋体" w:hAnsi="宋体" w:cs="宋体"/>
          <w:color w:val="auto"/>
          <w:sz w:val="24"/>
          <w:szCs w:val="24"/>
          <w:highlight w:val="none"/>
        </w:rPr>
      </w:pPr>
      <w:r>
        <w:rPr>
          <w:rFonts w:hint="eastAsia" w:ascii="宋体" w:hAnsi="宋体"/>
          <w:color w:val="auto"/>
          <w:highlight w:val="none"/>
        </w:rPr>
        <w:t>签约日期：</w:t>
      </w:r>
      <w:r>
        <w:rPr>
          <w:rFonts w:hint="eastAsia" w:ascii="宋体" w:hAnsi="宋体" w:cs="宋体"/>
          <w:color w:val="auto"/>
          <w:sz w:val="24"/>
          <w:szCs w:val="24"/>
          <w:highlight w:val="none"/>
        </w:rPr>
        <w:t xml:space="preserve">2023年  月  日   </w:t>
      </w:r>
      <w:r>
        <w:rPr>
          <w:color w:val="auto"/>
          <w:highlight w:val="none"/>
        </w:rPr>
        <w:tab/>
      </w:r>
      <w:r>
        <w:rPr>
          <w:color w:val="auto"/>
          <w:highlight w:val="none"/>
        </w:rPr>
        <w:t xml:space="preserve"> </w:t>
      </w:r>
      <w:r>
        <w:rPr>
          <w:rFonts w:hint="eastAsia"/>
          <w:color w:val="auto"/>
          <w:highlight w:val="none"/>
        </w:rPr>
        <w:t xml:space="preserve">  </w:t>
      </w:r>
      <w:r>
        <w:rPr>
          <w:rFonts w:hint="eastAsia" w:ascii="宋体" w:hAnsi="宋体"/>
          <w:color w:val="auto"/>
          <w:highlight w:val="none"/>
        </w:rPr>
        <w:t>签约日期：</w:t>
      </w:r>
      <w:r>
        <w:rPr>
          <w:rFonts w:hint="eastAsia" w:ascii="宋体" w:hAnsi="宋体" w:cs="宋体"/>
          <w:color w:val="auto"/>
          <w:sz w:val="24"/>
          <w:szCs w:val="24"/>
          <w:highlight w:val="none"/>
        </w:rPr>
        <w:t>2023年 月 日</w:t>
      </w:r>
    </w:p>
    <w:p>
      <w:pPr>
        <w:pStyle w:val="12"/>
        <w:rPr>
          <w:color w:val="auto"/>
          <w:highlight w:val="none"/>
        </w:rPr>
      </w:pPr>
    </w:p>
    <w:p>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p>
    <w:p>
      <w:pPr>
        <w:pStyle w:val="11"/>
        <w:rPr>
          <w:color w:val="auto"/>
          <w:highlight w:val="none"/>
        </w:rPr>
      </w:pPr>
    </w:p>
    <w:p>
      <w:pPr>
        <w:pStyle w:val="11"/>
        <w:rPr>
          <w:color w:val="auto"/>
          <w:highlight w:val="none"/>
        </w:rPr>
      </w:pPr>
    </w:p>
    <w:p>
      <w:pPr>
        <w:ind w:firstLine="643" w:firstLineChars="200"/>
        <w:jc w:val="center"/>
        <w:rPr>
          <w:rFonts w:ascii="宋体" w:hAnsi="宋体" w:eastAsia="仿宋_GB2312"/>
          <w:b/>
          <w:color w:val="auto"/>
          <w:sz w:val="24"/>
          <w:szCs w:val="24"/>
          <w:highlight w:val="none"/>
        </w:rPr>
      </w:pPr>
      <w:r>
        <w:rPr>
          <w:rFonts w:hint="eastAsia" w:eastAsia="仿宋_GB2312"/>
          <w:b/>
          <w:color w:val="auto"/>
          <w:sz w:val="32"/>
          <w:szCs w:val="32"/>
          <w:highlight w:val="none"/>
          <w:lang w:eastAsia="zh-CN"/>
        </w:rPr>
        <w:t>城服公司2023年度车辆设备租赁采购项目（重新采购）</w:t>
      </w:r>
      <w:r>
        <w:rPr>
          <w:rFonts w:hint="eastAsia" w:eastAsia="仿宋_GB2312"/>
          <w:b/>
          <w:color w:val="auto"/>
          <w:sz w:val="32"/>
          <w:szCs w:val="32"/>
          <w:highlight w:val="none"/>
          <w:u w:val="single"/>
          <w:lang w:val="en-US" w:eastAsia="zh-CN"/>
        </w:rPr>
        <w:t>B</w:t>
      </w:r>
      <w:r>
        <w:rPr>
          <w:rFonts w:hint="eastAsia" w:eastAsia="仿宋_GB2312"/>
          <w:b/>
          <w:color w:val="auto"/>
          <w:sz w:val="32"/>
          <w:szCs w:val="32"/>
          <w:highlight w:val="none"/>
        </w:rPr>
        <w:t>包合同</w:t>
      </w:r>
    </w:p>
    <w:p>
      <w:pPr>
        <w:ind w:firstLine="480" w:firstLineChars="200"/>
        <w:jc w:val="center"/>
        <w:rPr>
          <w:rFonts w:ascii="宋体" w:hAnsi="宋体"/>
          <w:color w:val="auto"/>
          <w:sz w:val="24"/>
          <w:szCs w:val="24"/>
          <w:highlight w:val="none"/>
        </w:rPr>
      </w:pPr>
      <w:r>
        <w:rPr>
          <w:rFonts w:ascii="宋体" w:hAnsi="宋体"/>
          <w:color w:val="auto"/>
          <w:sz w:val="24"/>
          <w:szCs w:val="24"/>
          <w:highlight w:val="none"/>
        </w:rPr>
        <w:t xml:space="preserve">                                                             </w:t>
      </w:r>
    </w:p>
    <w:p>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甲方：东莞市东实城市环境服务有限公司</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统一社会信用代码：</w:t>
      </w:r>
      <w:r>
        <w:rPr>
          <w:rFonts w:hint="eastAsia" w:ascii="宋体" w:hAnsi="宋体" w:cs="宋体"/>
          <w:bCs/>
          <w:color w:val="auto"/>
          <w:sz w:val="24"/>
          <w:szCs w:val="24"/>
          <w:highlight w:val="none"/>
        </w:rPr>
        <w:t>91441900MA7F249U83</w:t>
      </w:r>
    </w:p>
    <w:p>
      <w:pPr>
        <w:ind w:firstLine="480" w:firstLineChars="200"/>
        <w:rPr>
          <w:rFonts w:hint="eastAsia" w:ascii="宋体" w:hAnsi="宋体" w:cs="宋体"/>
          <w:bCs/>
          <w:color w:val="auto"/>
          <w:sz w:val="24"/>
          <w:szCs w:val="24"/>
          <w:highlight w:val="none"/>
        </w:rPr>
      </w:pPr>
    </w:p>
    <w:p>
      <w:pPr>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乙方：</w:t>
      </w:r>
    </w:p>
    <w:p>
      <w:pPr>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统一社会信用代码：</w:t>
      </w:r>
    </w:p>
    <w:p>
      <w:pPr>
        <w:ind w:firstLine="480" w:firstLineChars="200"/>
        <w:rPr>
          <w:rFonts w:ascii="宋体" w:hAnsi="宋体" w:cs="宋体"/>
          <w:color w:val="auto"/>
          <w:sz w:val="24"/>
          <w:szCs w:val="24"/>
          <w:highlight w:val="none"/>
        </w:rPr>
      </w:pPr>
    </w:p>
    <w:p>
      <w:pPr>
        <w:ind w:firstLine="480" w:firstLineChars="200"/>
        <w:rPr>
          <w:rFonts w:ascii="宋体" w:hAnsi="宋体" w:cs="宋体"/>
          <w:color w:val="auto"/>
          <w:sz w:val="24"/>
          <w:szCs w:val="24"/>
          <w:highlight w:val="none"/>
        </w:rPr>
      </w:pPr>
    </w:p>
    <w:p>
      <w:pPr>
        <w:numPr>
          <w:ilvl w:val="0"/>
          <w:numId w:val="14"/>
        </w:numPr>
        <w:ind w:left="-199" w:leftChars="-95" w:firstLine="679" w:firstLineChars="283"/>
        <w:rPr>
          <w:rFonts w:ascii="宋体" w:hAnsi="宋体" w:cs="宋体"/>
          <w:color w:val="auto"/>
          <w:sz w:val="24"/>
          <w:szCs w:val="24"/>
          <w:highlight w:val="none"/>
        </w:rPr>
      </w:pPr>
      <w:r>
        <w:rPr>
          <w:rFonts w:hint="eastAsia" w:ascii="宋体" w:hAnsi="宋体" w:cs="宋体"/>
          <w:color w:val="auto"/>
          <w:sz w:val="24"/>
          <w:szCs w:val="24"/>
          <w:highlight w:val="none"/>
        </w:rPr>
        <w:t>乙双方根据《中华人民共和国民法典》及其他有关法律、法规，遵循平等、自愿、公平和诚实信用的原则，就</w:t>
      </w:r>
      <w:r>
        <w:rPr>
          <w:rFonts w:hint="eastAsia" w:ascii="宋体" w:hAnsi="宋体" w:cs="宋体"/>
          <w:color w:val="auto"/>
          <w:sz w:val="24"/>
          <w:szCs w:val="24"/>
          <w:highlight w:val="none"/>
          <w:lang w:eastAsia="zh-CN"/>
        </w:rPr>
        <w:t>城服公司2023年度车辆设备租赁采购项目（重新采购）</w:t>
      </w:r>
      <w:r>
        <w:rPr>
          <w:rFonts w:hint="eastAsia" w:ascii="宋体" w:hAnsi="宋体" w:cs="宋体"/>
          <w:color w:val="auto"/>
          <w:sz w:val="24"/>
          <w:szCs w:val="24"/>
          <w:highlight w:val="none"/>
        </w:rPr>
        <w:t>的相关供货事宜协商一致，特订立本合同，以资共同遵守（技术说明及其他有关合同项目的特定信息由合同附件予以说明，合同附件及本项目的采购文件、投标文件等均为本合同不可分割之一部分）：</w:t>
      </w:r>
    </w:p>
    <w:p>
      <w:pPr>
        <w:pStyle w:val="11"/>
        <w:rPr>
          <w:color w:val="auto"/>
          <w:highlight w:val="none"/>
        </w:rPr>
      </w:pPr>
    </w:p>
    <w:p>
      <w:pPr>
        <w:numPr>
          <w:ilvl w:val="0"/>
          <w:numId w:val="15"/>
        </w:numPr>
        <w:ind w:firstLine="490" w:firstLineChars="200"/>
        <w:rPr>
          <w:color w:val="auto"/>
          <w:highlight w:val="none"/>
        </w:rPr>
      </w:pPr>
      <w:r>
        <w:rPr>
          <w:rFonts w:hint="eastAsia" w:ascii="宋体" w:hAnsi="宋体" w:cs="宋体"/>
          <w:b/>
          <w:bCs/>
          <w:color w:val="auto"/>
          <w:spacing w:val="2"/>
          <w:sz w:val="24"/>
          <w:szCs w:val="24"/>
          <w:highlight w:val="none"/>
        </w:rPr>
        <w:t>租赁期限及地点</w:t>
      </w:r>
    </w:p>
    <w:p>
      <w:pPr>
        <w:numPr>
          <w:ilvl w:val="0"/>
          <w:numId w:val="16"/>
        </w:numPr>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以签订年度协议的方式进行，合同执行期以预算金额</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服务期（一年）先到者为限，即服务期满或包组预算金额用尽，合同终止。</w:t>
      </w:r>
    </w:p>
    <w:p>
      <w:pPr>
        <w:numPr>
          <w:ilvl w:val="0"/>
          <w:numId w:val="16"/>
        </w:numPr>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签订合同后，实际租赁车型、时间、数量和使用地点由</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根据工作需要调配确定，1年内租赁含税价格不变，每单次租赁期不少于1个月，超出整月的费用计算方式：应付租金=月租金/30*实际租赁天数。</w:t>
      </w:r>
    </w:p>
    <w:p>
      <w:pPr>
        <w:numPr>
          <w:ilvl w:val="0"/>
          <w:numId w:val="16"/>
        </w:numPr>
        <w:spacing w:line="360" w:lineRule="auto"/>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车辆到达</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方项目地点后，双方共同进行验车、查验车辆有效证件，满油进出，</w:t>
      </w:r>
      <w:r>
        <w:rPr>
          <w:rFonts w:hint="eastAsia" w:ascii="宋体" w:hAnsi="宋体" w:eastAsia="宋体" w:cs="宋体"/>
          <w:color w:val="auto"/>
          <w:sz w:val="24"/>
          <w:szCs w:val="24"/>
          <w:highlight w:val="none"/>
          <w:lang w:val="en-US" w:eastAsia="zh-CN"/>
        </w:rPr>
        <w:t>单次租赁期一个月的</w:t>
      </w:r>
      <w:r>
        <w:rPr>
          <w:rFonts w:hint="eastAsia" w:ascii="宋体" w:hAnsi="宋体" w:eastAsia="宋体" w:cs="宋体"/>
          <w:color w:val="auto"/>
          <w:sz w:val="24"/>
          <w:szCs w:val="24"/>
          <w:highlight w:val="none"/>
        </w:rPr>
        <w:t>试用期</w:t>
      </w:r>
      <w:r>
        <w:rPr>
          <w:rFonts w:hint="eastAsia" w:ascii="宋体" w:hAnsi="宋体" w:eastAsia="宋体" w:cs="宋体"/>
          <w:color w:val="auto"/>
          <w:sz w:val="24"/>
          <w:szCs w:val="24"/>
          <w:highlight w:val="none"/>
          <w:lang w:val="en-US" w:eastAsia="zh-CN"/>
        </w:rPr>
        <w:t>三天，一个月以上三个月以下</w:t>
      </w:r>
      <w:r>
        <w:rPr>
          <w:rFonts w:hint="eastAsia" w:ascii="宋体" w:hAnsi="宋体" w:eastAsia="宋体" w:cs="宋体"/>
          <w:color w:val="auto"/>
          <w:sz w:val="24"/>
          <w:szCs w:val="24"/>
          <w:highlight w:val="none"/>
        </w:rPr>
        <w:t>试用期</w:t>
      </w:r>
      <w:r>
        <w:rPr>
          <w:rFonts w:hint="eastAsia" w:ascii="宋体" w:hAnsi="宋体" w:eastAsia="宋体" w:cs="宋体"/>
          <w:color w:val="auto"/>
          <w:sz w:val="24"/>
          <w:szCs w:val="24"/>
          <w:highlight w:val="none"/>
          <w:lang w:val="en-US" w:eastAsia="zh-CN"/>
        </w:rPr>
        <w:t>五天，单次租期三个月以上的</w:t>
      </w:r>
      <w:r>
        <w:rPr>
          <w:rFonts w:hint="eastAsia" w:ascii="宋体" w:hAnsi="宋体" w:eastAsia="宋体" w:cs="宋体"/>
          <w:color w:val="auto"/>
          <w:sz w:val="24"/>
          <w:szCs w:val="24"/>
          <w:highlight w:val="none"/>
        </w:rPr>
        <w:t>试用期</w:t>
      </w:r>
      <w:r>
        <w:rPr>
          <w:rFonts w:hint="eastAsia" w:ascii="宋体" w:hAnsi="宋体" w:eastAsia="宋体" w:cs="宋体"/>
          <w:color w:val="auto"/>
          <w:sz w:val="24"/>
          <w:szCs w:val="24"/>
          <w:highlight w:val="none"/>
          <w:lang w:val="en-US" w:eastAsia="zh-CN"/>
        </w:rPr>
        <w:t>7天</w:t>
      </w:r>
      <w:r>
        <w:rPr>
          <w:rFonts w:hint="eastAsia" w:ascii="宋体" w:hAnsi="宋体" w:eastAsia="宋体" w:cs="宋体"/>
          <w:color w:val="auto"/>
          <w:sz w:val="24"/>
          <w:szCs w:val="24"/>
          <w:highlight w:val="none"/>
        </w:rPr>
        <w:t>，试用期内如有问题，</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方有权让</w:t>
      </w:r>
      <w:r>
        <w:rPr>
          <w:rFonts w:hint="eastAsia" w:ascii="宋体" w:hAnsi="宋体" w:eastAsia="宋体" w:cs="宋体"/>
          <w:color w:val="auto"/>
          <w:sz w:val="24"/>
          <w:szCs w:val="24"/>
          <w:highlight w:val="none"/>
          <w:lang w:val="en-US" w:eastAsia="zh-CN"/>
        </w:rPr>
        <w:t>乙</w:t>
      </w:r>
      <w:r>
        <w:rPr>
          <w:rFonts w:hint="eastAsia" w:ascii="宋体" w:hAnsi="宋体" w:eastAsia="宋体" w:cs="宋体"/>
          <w:color w:val="auto"/>
          <w:sz w:val="24"/>
          <w:szCs w:val="24"/>
          <w:highlight w:val="none"/>
        </w:rPr>
        <w:t>方24小时内维修好或更换其他完好车辆给</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方使用，试用期满车辆无任何问题后双方签署车辆交接验收单。</w:t>
      </w:r>
      <w:r>
        <w:rPr>
          <w:rFonts w:hint="eastAsia" w:ascii="宋体" w:hAnsi="宋体" w:eastAsia="宋体" w:cs="宋体"/>
          <w:color w:val="auto"/>
          <w:sz w:val="24"/>
          <w:szCs w:val="24"/>
          <w:highlight w:val="none"/>
          <w:lang w:val="en-US" w:eastAsia="zh-CN"/>
        </w:rPr>
        <w:t>租赁期内，</w:t>
      </w:r>
      <w:r>
        <w:rPr>
          <w:rFonts w:hint="eastAsia" w:ascii="宋体" w:hAnsi="宋体" w:cs="宋体"/>
          <w:color w:val="auto"/>
          <w:sz w:val="24"/>
          <w:szCs w:val="24"/>
          <w:highlight w:val="none"/>
        </w:rPr>
        <w:t>车辆在作业途中发生交通事故或车辆机械故障时，</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应及时安排车辆转接</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如</w:t>
      </w:r>
      <w:r>
        <w:rPr>
          <w:rFonts w:hint="eastAsia" w:ascii="宋体" w:hAnsi="宋体" w:cs="宋体"/>
          <w:color w:val="auto"/>
          <w:sz w:val="24"/>
          <w:szCs w:val="24"/>
          <w:highlight w:val="none"/>
        </w:rPr>
        <w:t>服务车辆在使用期间如确需维修、保养、年审、接受定期检审或其他双方认可的合理因素而造成需要暂停运作业，</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应调派同等条件的车辆供</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使用，不得提供报废车或其他车辆问题车辆。</w:t>
      </w:r>
      <w:r>
        <w:rPr>
          <w:rFonts w:hint="eastAsia" w:ascii="宋体" w:hAnsi="宋体" w:eastAsia="宋体" w:cs="宋体"/>
          <w:color w:val="auto"/>
          <w:sz w:val="24"/>
          <w:szCs w:val="24"/>
          <w:highlight w:val="none"/>
        </w:rPr>
        <w:t>租赁期满后，若</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方需要续租，须在合同到期前15天书面通知</w:t>
      </w:r>
      <w:r>
        <w:rPr>
          <w:rFonts w:hint="eastAsia" w:ascii="宋体" w:hAnsi="宋体" w:eastAsia="宋体" w:cs="宋体"/>
          <w:color w:val="auto"/>
          <w:sz w:val="24"/>
          <w:szCs w:val="24"/>
          <w:highlight w:val="none"/>
          <w:lang w:val="en-US" w:eastAsia="zh-CN"/>
        </w:rPr>
        <w:t>乙</w:t>
      </w:r>
      <w:r>
        <w:rPr>
          <w:rFonts w:hint="eastAsia" w:ascii="宋体" w:hAnsi="宋体" w:eastAsia="宋体" w:cs="宋体"/>
          <w:color w:val="auto"/>
          <w:sz w:val="24"/>
          <w:szCs w:val="24"/>
          <w:highlight w:val="none"/>
        </w:rPr>
        <w:t>方，经双方协商办理相关的续签手续，方可继续使用车辆。</w:t>
      </w:r>
    </w:p>
    <w:p>
      <w:pPr>
        <w:numPr>
          <w:ilvl w:val="0"/>
          <w:numId w:val="13"/>
        </w:numPr>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rPr>
        <w:t>租赁地点：</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方租赁的车辆用于东莞市行政区域内使用，</w:t>
      </w:r>
      <w:r>
        <w:rPr>
          <w:rFonts w:hint="eastAsia" w:ascii="宋体" w:hAnsi="宋体" w:eastAsia="宋体" w:cs="宋体"/>
          <w:color w:val="auto"/>
          <w:sz w:val="24"/>
          <w:szCs w:val="24"/>
          <w:highlight w:val="none"/>
          <w:lang w:val="en-US" w:eastAsia="zh-CN"/>
        </w:rPr>
        <w:t>甲方不得</w:t>
      </w:r>
      <w:r>
        <w:rPr>
          <w:rFonts w:hint="eastAsia" w:ascii="宋体" w:hAnsi="宋体" w:eastAsia="宋体" w:cs="宋体"/>
          <w:color w:val="auto"/>
          <w:sz w:val="24"/>
          <w:szCs w:val="24"/>
          <w:highlight w:val="none"/>
        </w:rPr>
        <w:t>转租或用于其他地区；</w:t>
      </w:r>
    </w:p>
    <w:p>
      <w:pPr>
        <w:numPr>
          <w:ilvl w:val="0"/>
          <w:numId w:val="13"/>
        </w:numPr>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交货期：</w:t>
      </w:r>
      <w:r>
        <w:rPr>
          <w:rFonts w:hint="eastAsia" w:ascii="宋体" w:hAnsi="宋体" w:eastAsia="宋体" w:cs="宋体"/>
          <w:color w:val="auto"/>
          <w:sz w:val="24"/>
          <w:szCs w:val="24"/>
          <w:highlight w:val="none"/>
        </w:rPr>
        <w:t>签订合同后，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每次收到</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正式进场的书面通知起：环卫车辆5个日历日内进场</w:t>
      </w:r>
      <w:r>
        <w:rPr>
          <w:rFonts w:hint="eastAsia" w:ascii="宋体" w:hAnsi="宋体" w:eastAsia="宋体" w:cs="宋体"/>
          <w:color w:val="auto"/>
          <w:sz w:val="24"/>
          <w:szCs w:val="24"/>
          <w:highlight w:val="none"/>
          <w:lang w:eastAsia="zh-CN"/>
        </w:rPr>
        <w:t>。</w:t>
      </w: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租赁车辆信息和租金</w:t>
      </w:r>
    </w:p>
    <w:p>
      <w:pPr>
        <w:pStyle w:val="3"/>
        <w:shd w:val="clear" w:color="auto" w:fill="FFFFFF"/>
        <w:spacing w:before="225" w:after="0" w:line="360" w:lineRule="auto"/>
        <w:ind w:firstLine="488" w:firstLineChars="200"/>
        <w:rPr>
          <w:rFonts w:ascii="宋体" w:hAnsi="宋体" w:cs="宋体"/>
          <w:color w:val="auto"/>
          <w:sz w:val="24"/>
          <w:szCs w:val="24"/>
          <w:highlight w:val="none"/>
        </w:rPr>
      </w:pPr>
      <w:r>
        <w:rPr>
          <w:rFonts w:hint="eastAsia" w:ascii="宋体" w:hAnsi="宋体" w:cs="宋体"/>
          <w:b w:val="0"/>
          <w:bCs/>
          <w:color w:val="auto"/>
          <w:spacing w:val="2"/>
          <w:sz w:val="24"/>
          <w:szCs w:val="24"/>
          <w:highlight w:val="none"/>
          <w:lang w:val="en-US" w:eastAsia="zh-CN"/>
        </w:rPr>
        <w:t>1.</w:t>
      </w:r>
      <w:r>
        <w:rPr>
          <w:rFonts w:hint="eastAsia" w:ascii="宋体" w:hAnsi="宋体" w:cs="宋体"/>
          <w:b w:val="0"/>
          <w:bCs/>
          <w:color w:val="auto"/>
          <w:spacing w:val="2"/>
          <w:sz w:val="24"/>
          <w:szCs w:val="24"/>
          <w:highlight w:val="none"/>
        </w:rPr>
        <w:t>甲乙双方确认，</w:t>
      </w:r>
      <w:r>
        <w:rPr>
          <w:rFonts w:hint="eastAsia" w:ascii="宋体" w:hAnsi="宋体" w:cs="宋体"/>
          <w:b w:val="0"/>
          <w:bCs/>
          <w:color w:val="auto"/>
          <w:spacing w:val="2"/>
          <w:sz w:val="24"/>
          <w:szCs w:val="24"/>
          <w:highlight w:val="none"/>
          <w:lang w:val="en-US" w:eastAsia="zh-CN"/>
        </w:rPr>
        <w:t>乙方</w:t>
      </w:r>
      <w:r>
        <w:rPr>
          <w:rFonts w:hint="eastAsia" w:ascii="宋体" w:hAnsi="宋体" w:cs="宋体"/>
          <w:b w:val="0"/>
          <w:bCs/>
          <w:color w:val="auto"/>
          <w:spacing w:val="2"/>
          <w:sz w:val="24"/>
          <w:szCs w:val="24"/>
          <w:highlight w:val="none"/>
        </w:rPr>
        <w:t>已将以下车辆出租给</w:t>
      </w:r>
      <w:r>
        <w:rPr>
          <w:rFonts w:hint="eastAsia" w:ascii="宋体" w:hAnsi="宋体" w:cs="宋体"/>
          <w:b w:val="0"/>
          <w:bCs/>
          <w:color w:val="auto"/>
          <w:sz w:val="24"/>
          <w:szCs w:val="24"/>
          <w:highlight w:val="none"/>
          <w:lang w:val="en-US" w:eastAsia="zh-CN"/>
        </w:rPr>
        <w:t>甲</w:t>
      </w:r>
      <w:r>
        <w:rPr>
          <w:rFonts w:hint="eastAsia" w:ascii="宋体" w:hAnsi="宋体" w:cs="宋体"/>
          <w:b w:val="0"/>
          <w:bCs/>
          <w:color w:val="auto"/>
          <w:spacing w:val="2"/>
          <w:sz w:val="24"/>
          <w:szCs w:val="24"/>
          <w:highlight w:val="none"/>
        </w:rPr>
        <w:t>方使用，具体车辆信息及租金明细如下：</w:t>
      </w:r>
    </w:p>
    <w:tbl>
      <w:tblPr>
        <w:tblStyle w:val="32"/>
        <w:tblW w:w="4998" w:type="pct"/>
        <w:jc w:val="center"/>
        <w:tblLayout w:type="autofit"/>
        <w:tblCellMar>
          <w:top w:w="0" w:type="dxa"/>
          <w:left w:w="108" w:type="dxa"/>
          <w:bottom w:w="0" w:type="dxa"/>
          <w:right w:w="108" w:type="dxa"/>
        </w:tblCellMar>
      </w:tblPr>
      <w:tblGrid>
        <w:gridCol w:w="710"/>
        <w:gridCol w:w="827"/>
        <w:gridCol w:w="849"/>
        <w:gridCol w:w="2483"/>
        <w:gridCol w:w="1823"/>
        <w:gridCol w:w="1827"/>
      </w:tblGrid>
      <w:tr>
        <w:tblPrEx>
          <w:tblCellMar>
            <w:top w:w="0" w:type="dxa"/>
            <w:left w:w="108" w:type="dxa"/>
            <w:bottom w:w="0" w:type="dxa"/>
            <w:right w:w="108" w:type="dxa"/>
          </w:tblCellMar>
        </w:tblPrEx>
        <w:trPr>
          <w:trHeight w:val="1295" w:hRule="atLeast"/>
          <w:jc w:val="center"/>
        </w:trPr>
        <w:tc>
          <w:tcPr>
            <w:tcW w:w="417" w:type="pct"/>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序号</w:t>
            </w:r>
          </w:p>
        </w:tc>
        <w:tc>
          <w:tcPr>
            <w:tcW w:w="485" w:type="pct"/>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车型</w:t>
            </w:r>
          </w:p>
        </w:tc>
        <w:tc>
          <w:tcPr>
            <w:tcW w:w="498" w:type="pct"/>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吨数（T）</w:t>
            </w:r>
          </w:p>
        </w:tc>
        <w:tc>
          <w:tcPr>
            <w:tcW w:w="145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品牌</w:t>
            </w:r>
          </w:p>
        </w:tc>
        <w:tc>
          <w:tcPr>
            <w:tcW w:w="107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宋体" w:hAnsi="宋体" w:eastAsia="宋体" w:cs="宋体"/>
                <w:b/>
                <w:bCs/>
                <w:color w:val="auto"/>
                <w:sz w:val="15"/>
                <w:szCs w:val="15"/>
                <w:highlight w:val="none"/>
                <w:lang w:val="en-US" w:eastAsia="zh-CN"/>
              </w:rPr>
            </w:pPr>
            <w:r>
              <w:rPr>
                <w:rFonts w:hint="eastAsia" w:ascii="宋体" w:hAnsi="宋体" w:cs="宋体"/>
                <w:b/>
                <w:bCs/>
                <w:color w:val="auto"/>
                <w:sz w:val="15"/>
                <w:szCs w:val="15"/>
                <w:highlight w:val="none"/>
                <w:lang w:val="en-US" w:eastAsia="zh-CN"/>
              </w:rPr>
              <w:t>税率</w:t>
            </w:r>
          </w:p>
        </w:tc>
        <w:tc>
          <w:tcPr>
            <w:tcW w:w="107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bCs/>
                <w:color w:val="auto"/>
                <w:sz w:val="15"/>
                <w:szCs w:val="15"/>
                <w:highlight w:val="none"/>
              </w:rPr>
            </w:pPr>
            <w:r>
              <w:rPr>
                <w:rFonts w:hint="eastAsia" w:ascii="宋体" w:hAnsi="宋体" w:cs="宋体"/>
                <w:b/>
                <w:bCs/>
                <w:color w:val="auto"/>
                <w:sz w:val="15"/>
                <w:szCs w:val="15"/>
                <w:highlight w:val="none"/>
              </w:rPr>
              <w:t>租赁费用</w:t>
            </w:r>
          </w:p>
          <w:p>
            <w:pPr>
              <w:jc w:val="center"/>
              <w:textAlignment w:val="center"/>
              <w:rPr>
                <w:rFonts w:ascii="宋体" w:hAnsi="宋体" w:cs="宋体"/>
                <w:color w:val="auto"/>
                <w:sz w:val="15"/>
                <w:szCs w:val="15"/>
                <w:highlight w:val="none"/>
              </w:rPr>
            </w:pPr>
            <w:r>
              <w:rPr>
                <w:rFonts w:hint="eastAsia" w:ascii="宋体" w:hAnsi="宋体" w:cs="宋体"/>
                <w:b/>
                <w:bCs/>
                <w:color w:val="auto"/>
                <w:sz w:val="15"/>
                <w:szCs w:val="15"/>
                <w:highlight w:val="none"/>
              </w:rPr>
              <w:t>（元/月/辆）</w:t>
            </w:r>
          </w:p>
        </w:tc>
      </w:tr>
      <w:tr>
        <w:tblPrEx>
          <w:tblCellMar>
            <w:top w:w="0" w:type="dxa"/>
            <w:left w:w="108" w:type="dxa"/>
            <w:bottom w:w="0" w:type="dxa"/>
            <w:right w:w="108" w:type="dxa"/>
          </w:tblCellMar>
        </w:tblPrEx>
        <w:trPr>
          <w:trHeight w:val="967" w:hRule="atLeast"/>
          <w:jc w:val="center"/>
        </w:trPr>
        <w:tc>
          <w:tcPr>
            <w:tcW w:w="417"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485" w:type="pct"/>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498"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457" w:type="pct"/>
            <w:tcBorders>
              <w:top w:val="single" w:color="000000" w:sz="4" w:space="0"/>
              <w:left w:val="single" w:color="auto"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070"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070"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r>
      <w:tr>
        <w:tblPrEx>
          <w:tblCellMar>
            <w:top w:w="0" w:type="dxa"/>
            <w:left w:w="108" w:type="dxa"/>
            <w:bottom w:w="0" w:type="dxa"/>
            <w:right w:w="108" w:type="dxa"/>
          </w:tblCellMar>
        </w:tblPrEx>
        <w:trPr>
          <w:trHeight w:val="619" w:hRule="atLeast"/>
          <w:jc w:val="center"/>
        </w:trPr>
        <w:tc>
          <w:tcPr>
            <w:tcW w:w="417"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485" w:type="pct"/>
            <w:vMerge w:val="continue"/>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ind w:firstLine="300" w:firstLineChars="200"/>
              <w:jc w:val="center"/>
              <w:textAlignment w:val="center"/>
              <w:rPr>
                <w:rFonts w:ascii="宋体" w:hAnsi="宋体" w:cs="宋体"/>
                <w:color w:val="auto"/>
                <w:sz w:val="15"/>
                <w:szCs w:val="15"/>
                <w:highlight w:val="none"/>
              </w:rPr>
            </w:pPr>
          </w:p>
        </w:tc>
        <w:tc>
          <w:tcPr>
            <w:tcW w:w="498" w:type="pc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457" w:type="pct"/>
            <w:tcBorders>
              <w:top w:val="single" w:color="000000" w:sz="4" w:space="0"/>
              <w:left w:val="single" w:color="auto"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070"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c>
          <w:tcPr>
            <w:tcW w:w="1070" w:type="pct"/>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r>
      <w:tr>
        <w:tblPrEx>
          <w:tblCellMar>
            <w:top w:w="0" w:type="dxa"/>
            <w:left w:w="108" w:type="dxa"/>
            <w:bottom w:w="0" w:type="dxa"/>
            <w:right w:w="108" w:type="dxa"/>
          </w:tblCellMar>
        </w:tblPrEx>
        <w:trPr>
          <w:trHeight w:val="619" w:hRule="atLeast"/>
          <w:jc w:val="center"/>
        </w:trPr>
        <w:tc>
          <w:tcPr>
            <w:tcW w:w="1400" w:type="pct"/>
            <w:gridSpan w:val="3"/>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r>
              <w:rPr>
                <w:rFonts w:hint="default" w:ascii="宋体" w:hAnsi="宋体" w:cs="宋体"/>
                <w:b/>
                <w:bCs/>
                <w:color w:val="auto"/>
                <w:sz w:val="15"/>
                <w:szCs w:val="15"/>
                <w:highlight w:val="none"/>
                <w:lang w:val="en-US" w:eastAsia="zh-CN"/>
              </w:rPr>
              <w:t>总预算金额</w:t>
            </w:r>
          </w:p>
        </w:tc>
        <w:tc>
          <w:tcPr>
            <w:tcW w:w="3599" w:type="pct"/>
            <w:gridSpan w:val="3"/>
            <w:tcBorders>
              <w:top w:val="single" w:color="000000" w:sz="4" w:space="0"/>
              <w:left w:val="single" w:color="auto" w:sz="4" w:space="0"/>
              <w:bottom w:val="single" w:color="000000" w:sz="4" w:space="0"/>
              <w:right w:val="single" w:color="000000" w:sz="4" w:space="0"/>
            </w:tcBorders>
            <w:shd w:val="clear" w:color="auto" w:fill="DCE6F2" w:themeFill="accent1" w:themeFillTint="32"/>
            <w:vAlign w:val="center"/>
          </w:tcPr>
          <w:p>
            <w:pPr>
              <w:jc w:val="center"/>
              <w:textAlignment w:val="center"/>
              <w:rPr>
                <w:rFonts w:ascii="宋体" w:hAnsi="宋体" w:cs="宋体"/>
                <w:color w:val="auto"/>
                <w:sz w:val="15"/>
                <w:szCs w:val="15"/>
                <w:highlight w:val="none"/>
              </w:rPr>
            </w:pPr>
          </w:p>
        </w:tc>
      </w:tr>
    </w:tbl>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以上费用包含</w:t>
      </w:r>
      <w:r>
        <w:rPr>
          <w:rFonts w:hint="eastAsia" w:ascii="宋体" w:hAnsi="宋体" w:eastAsia="宋体" w:cs="宋体"/>
          <w:color w:val="auto"/>
          <w:sz w:val="24"/>
          <w:szCs w:val="24"/>
          <w:highlight w:val="none"/>
        </w:rPr>
        <w:t>车辆租赁费、税费、保险费、运费、装卸费、年审、服务费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路桥费</w:t>
      </w:r>
      <w:r>
        <w:rPr>
          <w:rFonts w:hint="eastAsia" w:ascii="宋体" w:hAnsi="宋体" w:eastAsia="宋体" w:cs="宋体"/>
          <w:color w:val="auto"/>
          <w:sz w:val="24"/>
          <w:szCs w:val="24"/>
          <w:highlight w:val="none"/>
        </w:rPr>
        <w:t>等</w:t>
      </w:r>
      <w:r>
        <w:rPr>
          <w:rFonts w:hint="eastAsia" w:ascii="宋体" w:hAnsi="宋体" w:cs="宋体"/>
          <w:color w:val="auto"/>
          <w:sz w:val="24"/>
          <w:szCs w:val="24"/>
          <w:highlight w:val="none"/>
        </w:rPr>
        <w:t>一切为满足项目实施可能产生的费用，结算时不做调整。</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2.车辆要求：</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提供的租赁车辆运行状况良好，机动车行驶证的注册日期必须是201</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年1月1日之后或总里程不超过16万公里 (勾臂车、后压车总里程不超过21万公里)，垃圾压缩箱出厂日期不得超过3年（2020年1月1日启算）。车辆满油进出，车辆外观、车厢座椅及车内设施需整洁卫生。</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符合国家规定安全环保等要求，配备停车指示标志、逃生锤、灭火器、急救箱等安全设备，必要时按照规定安装具有行驶记录功能的卫星定位装置。</w:t>
      </w:r>
      <w:r>
        <w:rPr>
          <w:rFonts w:hint="eastAsia" w:ascii="宋体" w:hAnsi="宋体" w:eastAsia="宋体" w:cs="宋体"/>
          <w:bCs w:val="0"/>
          <w:color w:val="auto"/>
          <w:sz w:val="24"/>
          <w:szCs w:val="24"/>
          <w:highlight w:val="none"/>
        </w:rPr>
        <w:t>座椅、空调功能正常无故障，安全性能良好，并符合公安部门及交委的相关要求。</w:t>
      </w:r>
      <w:r>
        <w:rPr>
          <w:rFonts w:hint="eastAsia" w:ascii="宋体" w:hAnsi="宋体" w:cs="宋体"/>
          <w:color w:val="auto"/>
          <w:szCs w:val="21"/>
          <w:highlight w:val="none"/>
        </w:rPr>
        <w:t>须检查机动车登记证相关参数是否符合要求，如机动车登记证无要求参数则提供其他有效证明</w:t>
      </w:r>
      <w:r>
        <w:rPr>
          <w:rFonts w:hint="eastAsia" w:ascii="宋体" w:hAnsi="宋体" w:cs="宋体"/>
          <w:color w:val="auto"/>
          <w:szCs w:val="21"/>
          <w:highlight w:val="none"/>
          <w:lang w:eastAsia="zh-CN"/>
        </w:rPr>
        <w:t>。</w:t>
      </w: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费用及供车时间</w:t>
      </w:r>
    </w:p>
    <w:p>
      <w:pPr>
        <w:numPr>
          <w:ilvl w:val="0"/>
          <w:numId w:val="17"/>
        </w:numPr>
        <w:ind w:firstLine="48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租金</w:t>
      </w:r>
    </w:p>
    <w:p>
      <w:pPr>
        <w:tabs>
          <w:tab w:val="left" w:pos="2850"/>
        </w:tabs>
        <w:spacing w:before="180" w:beforeLines="50" w:after="180" w:afterLines="50"/>
        <w:ind w:right="105" w:rightChars="5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甲乙双方确认，每月总租金为</w:t>
      </w:r>
      <w:r>
        <w:rPr>
          <w:rFonts w:hint="eastAsia" w:ascii="宋体" w:hAnsi="宋体" w:cs="宋体"/>
          <w:color w:val="auto"/>
          <w:sz w:val="24"/>
          <w:szCs w:val="24"/>
          <w:highlight w:val="none"/>
          <w:lang w:val="en-US" w:eastAsia="zh-CN"/>
        </w:rPr>
        <w:t>以第二条要求执行</w:t>
      </w:r>
      <w:r>
        <w:rPr>
          <w:rFonts w:hint="eastAsia" w:ascii="宋体" w:hAnsi="宋体" w:cs="宋体"/>
          <w:color w:val="auto"/>
          <w:sz w:val="24"/>
          <w:szCs w:val="24"/>
          <w:highlight w:val="none"/>
        </w:rPr>
        <w:t>。开具增值税专用发票，税率</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%。如遇国家调整税率，不含税合同款不予调整，税金按调整后税率及相关细则执行。</w:t>
      </w:r>
    </w:p>
    <w:p>
      <w:pPr>
        <w:numPr>
          <w:ilvl w:val="0"/>
          <w:numId w:val="17"/>
        </w:numPr>
        <w:ind w:firstLine="48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付款方式</w:t>
      </w:r>
    </w:p>
    <w:p>
      <w:pPr>
        <w:tabs>
          <w:tab w:val="left" w:pos="2850"/>
        </w:tabs>
        <w:snapToGrid/>
        <w:spacing w:before="180" w:beforeLines="50" w:after="180" w:afterLines="50"/>
        <w:ind w:right="105" w:rightChars="5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1、每次下单后，</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出具等额增值税专用发票及请款资料，</w:t>
      </w:r>
      <w:r>
        <w:rPr>
          <w:rFonts w:hint="eastAsia" w:ascii="宋体" w:hAnsi="宋体" w:eastAsia="宋体" w:cs="宋体"/>
          <w:b w:val="0"/>
          <w:bCs w:val="0"/>
          <w:color w:val="auto"/>
          <w:sz w:val="24"/>
          <w:szCs w:val="24"/>
          <w:highlight w:val="none"/>
          <w:lang w:val="en-US" w:eastAsia="zh-CN"/>
        </w:rPr>
        <w:t>甲</w:t>
      </w:r>
      <w:r>
        <w:rPr>
          <w:rFonts w:hint="eastAsia" w:ascii="宋体" w:hAnsi="宋体" w:eastAsia="宋体" w:cs="宋体"/>
          <w:color w:val="auto"/>
          <w:sz w:val="24"/>
          <w:szCs w:val="24"/>
          <w:highlight w:val="none"/>
          <w:lang w:val="en-US" w:eastAsia="zh-CN"/>
        </w:rPr>
        <w:t>方收到</w:t>
      </w:r>
      <w:r>
        <w:rPr>
          <w:rFonts w:hint="eastAsia" w:ascii="宋体" w:hAnsi="宋体" w:eastAsia="宋体" w:cs="宋体"/>
          <w:color w:val="auto"/>
          <w:sz w:val="24"/>
          <w:szCs w:val="24"/>
          <w:highlight w:val="none"/>
        </w:rPr>
        <w:t>前述材料</w:t>
      </w:r>
      <w:r>
        <w:rPr>
          <w:rFonts w:hint="eastAsia" w:ascii="宋体" w:hAnsi="宋体" w:eastAsia="宋体" w:cs="宋体"/>
          <w:color w:val="auto"/>
          <w:sz w:val="24"/>
          <w:szCs w:val="24"/>
          <w:highlight w:val="none"/>
          <w:lang w:val="en-US" w:eastAsia="zh-CN"/>
        </w:rPr>
        <w:t>并核对无误后</w:t>
      </w:r>
      <w:r>
        <w:rPr>
          <w:rFonts w:hint="eastAsia" w:ascii="宋体" w:hAnsi="宋体" w:eastAsia="宋体" w:cs="宋体"/>
          <w:color w:val="auto"/>
          <w:sz w:val="24"/>
          <w:szCs w:val="24"/>
          <w:highlight w:val="none"/>
        </w:rPr>
        <w:t>三十个日历日内向</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支付</w:t>
      </w:r>
      <w:r>
        <w:rPr>
          <w:rFonts w:hint="eastAsia" w:ascii="宋体" w:hAnsi="宋体" w:eastAsia="宋体" w:cs="宋体"/>
          <w:color w:val="auto"/>
          <w:sz w:val="24"/>
          <w:szCs w:val="24"/>
          <w:highlight w:val="none"/>
          <w:lang w:val="en-US" w:eastAsia="zh-CN"/>
        </w:rPr>
        <w:t>该单租金总额</w:t>
      </w:r>
      <w:r>
        <w:rPr>
          <w:rFonts w:hint="eastAsia" w:ascii="宋体" w:hAnsi="宋体" w:eastAsia="宋体" w:cs="宋体"/>
          <w:color w:val="auto"/>
          <w:sz w:val="24"/>
          <w:szCs w:val="24"/>
          <w:highlight w:val="none"/>
        </w:rPr>
        <w:t>的20%作为定金；</w:t>
      </w:r>
    </w:p>
    <w:p>
      <w:pPr>
        <w:tabs>
          <w:tab w:val="left" w:pos="2850"/>
        </w:tabs>
        <w:spacing w:before="180" w:beforeLines="50" w:after="180" w:afterLines="50"/>
        <w:ind w:right="105" w:rightChars="5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车辆进场后的租金的结算应先抵扣预付款，预付款抵扣完毕的次月起，双方应于每月</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号前核对上月应付租金，乙方应</w:t>
      </w:r>
      <w:r>
        <w:rPr>
          <w:rFonts w:hint="eastAsia" w:ascii="宋体" w:hAnsi="宋体" w:eastAsia="宋体" w:cs="宋体"/>
          <w:color w:val="auto"/>
          <w:sz w:val="24"/>
          <w:szCs w:val="24"/>
          <w:highlight w:val="none"/>
        </w:rPr>
        <w:t>出具等额增值税专用发票及请款资料，</w:t>
      </w:r>
      <w:r>
        <w:rPr>
          <w:rFonts w:hint="eastAsia" w:ascii="宋体" w:hAnsi="宋体" w:eastAsia="宋体" w:cs="宋体"/>
          <w:b w:val="0"/>
          <w:bCs w:val="0"/>
          <w:color w:val="auto"/>
          <w:sz w:val="24"/>
          <w:szCs w:val="24"/>
          <w:highlight w:val="none"/>
          <w:lang w:val="en-US" w:eastAsia="zh-CN"/>
        </w:rPr>
        <w:t>甲方</w:t>
      </w:r>
      <w:r>
        <w:rPr>
          <w:rFonts w:hint="eastAsia" w:ascii="宋体" w:hAnsi="宋体" w:eastAsia="宋体" w:cs="宋体"/>
          <w:color w:val="auto"/>
          <w:sz w:val="24"/>
          <w:szCs w:val="24"/>
          <w:highlight w:val="none"/>
        </w:rPr>
        <w:t>收到资料后三十个日历日内支付</w:t>
      </w:r>
      <w:r>
        <w:rPr>
          <w:rFonts w:hint="eastAsia" w:ascii="宋体" w:hAnsi="宋体" w:eastAsia="宋体" w:cs="宋体"/>
          <w:color w:val="auto"/>
          <w:sz w:val="24"/>
          <w:szCs w:val="24"/>
          <w:highlight w:val="none"/>
          <w:lang w:val="en-US" w:eastAsia="zh-CN"/>
        </w:rPr>
        <w:t>上月</w:t>
      </w:r>
      <w:r>
        <w:rPr>
          <w:rFonts w:hint="eastAsia" w:ascii="宋体" w:hAnsi="宋体" w:eastAsia="宋体" w:cs="宋体"/>
          <w:color w:val="auto"/>
          <w:sz w:val="24"/>
          <w:szCs w:val="24"/>
          <w:highlight w:val="none"/>
        </w:rPr>
        <w:t>车辆租</w:t>
      </w:r>
      <w:r>
        <w:rPr>
          <w:rFonts w:hint="eastAsia" w:ascii="宋体" w:hAnsi="宋体" w:eastAsia="宋体" w:cs="宋体"/>
          <w:color w:val="auto"/>
          <w:sz w:val="24"/>
          <w:szCs w:val="24"/>
          <w:highlight w:val="none"/>
          <w:lang w:val="en-US" w:eastAsia="zh-CN"/>
        </w:rPr>
        <w:t>金</w:t>
      </w:r>
      <w:r>
        <w:rPr>
          <w:rFonts w:hint="eastAsia" w:ascii="宋体" w:hAnsi="宋体" w:eastAsia="宋体" w:cs="宋体"/>
          <w:color w:val="auto"/>
          <w:sz w:val="24"/>
          <w:szCs w:val="24"/>
          <w:highlight w:val="none"/>
          <w:lang w:eastAsia="zh-CN"/>
        </w:rPr>
        <w:t>。</w:t>
      </w:r>
    </w:p>
    <w:p>
      <w:pPr>
        <w:tabs>
          <w:tab w:val="left" w:pos="2850"/>
        </w:tabs>
        <w:spacing w:before="180" w:beforeLines="50" w:after="180" w:afterLines="50"/>
        <w:ind w:right="105" w:rightChars="5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、履约担保返还申请时间为本项目服务期结束验收合格并结算完毕后，收到</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申请资料并核对无误后30个日历日内，采购人将扣罚后剩余的履约保证金一次性无息退回。</w:t>
      </w:r>
    </w:p>
    <w:p>
      <w:pPr>
        <w:numPr>
          <w:ilvl w:val="-1"/>
          <w:numId w:val="0"/>
        </w:numPr>
        <w:tabs>
          <w:tab w:val="left" w:pos="2850"/>
        </w:tabs>
        <w:spacing w:before="180" w:beforeLines="50" w:after="180" w:afterLines="50"/>
        <w:ind w:right="105" w:rightChars="50" w:firstLine="480" w:firstLineChars="200"/>
        <w:rPr>
          <w:rFonts w:ascii="宋体" w:hAnsi="宋体" w:cs="宋体"/>
          <w:color w:val="auto"/>
          <w:spacing w:val="2"/>
          <w:sz w:val="24"/>
          <w:szCs w:val="24"/>
          <w:highlight w:val="none"/>
        </w:rPr>
      </w:pPr>
      <w:r>
        <w:rPr>
          <w:rFonts w:hint="eastAsia" w:ascii="宋体" w:hAnsi="宋体" w:eastAsia="宋体" w:cs="宋体"/>
          <w:color w:val="auto"/>
          <w:sz w:val="24"/>
          <w:szCs w:val="24"/>
          <w:highlight w:val="none"/>
        </w:rPr>
        <w:t>注：若</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未能提交符合要求的发票、有效请款资料的，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有权拒绝付款，无需承担任何违约责任。</w:t>
      </w:r>
    </w:p>
    <w:p>
      <w:pPr>
        <w:numPr>
          <w:ilvl w:val="0"/>
          <w:numId w:val="17"/>
        </w:numPr>
        <w:ind w:firstLine="48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运输费</w:t>
      </w:r>
    </w:p>
    <w:p>
      <w:pPr>
        <w:ind w:firstLine="488" w:firstLineChars="200"/>
        <w:rPr>
          <w:rFonts w:ascii="宋体" w:hAnsi="宋体" w:cs="宋体"/>
          <w:color w:val="auto"/>
          <w:spacing w:val="2"/>
          <w:sz w:val="24"/>
          <w:szCs w:val="24"/>
          <w:highlight w:val="none"/>
        </w:rPr>
      </w:pPr>
      <w:r>
        <w:rPr>
          <w:rFonts w:hint="eastAsia" w:ascii="宋体" w:hAnsi="宋体" w:cs="宋体"/>
          <w:color w:val="auto"/>
          <w:spacing w:val="2"/>
          <w:sz w:val="24"/>
          <w:szCs w:val="24"/>
          <w:highlight w:val="none"/>
        </w:rPr>
        <w:t>甲乙双方确认，</w:t>
      </w:r>
      <w:r>
        <w:rPr>
          <w:rFonts w:hint="eastAsia" w:ascii="宋体" w:hAnsi="宋体" w:cs="宋体"/>
          <w:color w:val="auto"/>
          <w:spacing w:val="2"/>
          <w:sz w:val="24"/>
          <w:szCs w:val="24"/>
          <w:highlight w:val="none"/>
          <w:lang w:val="en-US" w:eastAsia="zh-CN"/>
        </w:rPr>
        <w:t>甲方</w:t>
      </w:r>
      <w:r>
        <w:rPr>
          <w:rFonts w:hint="eastAsia" w:ascii="宋体" w:hAnsi="宋体" w:cs="宋体"/>
          <w:color w:val="auto"/>
          <w:spacing w:val="2"/>
          <w:sz w:val="24"/>
          <w:szCs w:val="24"/>
          <w:highlight w:val="none"/>
        </w:rPr>
        <w:t>承租的上述车辆由</w:t>
      </w:r>
      <w:r>
        <w:rPr>
          <w:rFonts w:hint="eastAsia" w:ascii="宋体" w:hAnsi="宋体" w:cs="宋体"/>
          <w:color w:val="auto"/>
          <w:spacing w:val="2"/>
          <w:sz w:val="24"/>
          <w:szCs w:val="24"/>
          <w:highlight w:val="none"/>
          <w:lang w:val="en-US" w:eastAsia="zh-CN"/>
        </w:rPr>
        <w:t>乙方</w:t>
      </w:r>
      <w:r>
        <w:rPr>
          <w:rFonts w:hint="eastAsia" w:ascii="宋体" w:hAnsi="宋体" w:cs="宋体"/>
          <w:color w:val="auto"/>
          <w:spacing w:val="2"/>
          <w:sz w:val="24"/>
          <w:szCs w:val="24"/>
          <w:highlight w:val="none"/>
        </w:rPr>
        <w:t>运输，如委托第三方运输，运输费用由</w:t>
      </w:r>
      <w:r>
        <w:rPr>
          <w:rFonts w:hint="eastAsia" w:ascii="宋体" w:hAnsi="宋体" w:cs="宋体"/>
          <w:color w:val="auto"/>
          <w:spacing w:val="2"/>
          <w:sz w:val="24"/>
          <w:szCs w:val="24"/>
          <w:highlight w:val="none"/>
          <w:lang w:val="en-US" w:eastAsia="zh-CN"/>
        </w:rPr>
        <w:t>乙方</w:t>
      </w:r>
      <w:r>
        <w:rPr>
          <w:rFonts w:hint="eastAsia" w:ascii="宋体" w:hAnsi="宋体" w:cs="宋体"/>
          <w:color w:val="auto"/>
          <w:spacing w:val="2"/>
          <w:sz w:val="24"/>
          <w:szCs w:val="24"/>
          <w:highlight w:val="none"/>
        </w:rPr>
        <w:t>向该第三方支付。</w:t>
      </w:r>
      <w:r>
        <w:rPr>
          <w:rFonts w:hint="eastAsia" w:ascii="宋体" w:hAnsi="宋体" w:cs="宋体"/>
          <w:color w:val="auto"/>
          <w:sz w:val="24"/>
          <w:szCs w:val="24"/>
          <w:highlight w:val="none"/>
        </w:rPr>
        <w:t>在租赁期限届满后，</w:t>
      </w:r>
      <w:r>
        <w:rPr>
          <w:rFonts w:hint="eastAsia" w:ascii="宋体" w:hAnsi="宋体" w:cs="宋体"/>
          <w:color w:val="auto"/>
          <w:spacing w:val="2"/>
          <w:sz w:val="24"/>
          <w:szCs w:val="24"/>
          <w:highlight w:val="none"/>
          <w:lang w:val="en-US" w:eastAsia="zh-CN"/>
        </w:rPr>
        <w:t>甲方</w:t>
      </w:r>
      <w:r>
        <w:rPr>
          <w:rFonts w:hint="eastAsia" w:ascii="宋体" w:hAnsi="宋体" w:cs="宋体"/>
          <w:color w:val="auto"/>
          <w:spacing w:val="2"/>
          <w:sz w:val="24"/>
          <w:szCs w:val="24"/>
          <w:highlight w:val="none"/>
        </w:rPr>
        <w:t>按</w:t>
      </w:r>
      <w:r>
        <w:rPr>
          <w:rFonts w:hint="eastAsia" w:ascii="宋体" w:hAnsi="宋体" w:cs="宋体"/>
          <w:color w:val="auto"/>
          <w:sz w:val="24"/>
          <w:szCs w:val="24"/>
          <w:highlight w:val="none"/>
        </w:rPr>
        <w:t>本合同第一条约定的费用标准向</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支付。</w:t>
      </w:r>
      <w:r>
        <w:rPr>
          <w:rFonts w:hint="eastAsia" w:ascii="宋体" w:hAnsi="宋体" w:cs="宋体"/>
          <w:color w:val="auto"/>
          <w:spacing w:val="2"/>
          <w:sz w:val="24"/>
          <w:szCs w:val="24"/>
          <w:highlight w:val="none"/>
        </w:rPr>
        <w:t>运输过程中，车辆灭失、罚没、以及中途发生交通事故等风险及费用损失全部由</w:t>
      </w:r>
      <w:r>
        <w:rPr>
          <w:rFonts w:hint="eastAsia" w:ascii="宋体" w:hAnsi="宋体" w:cs="宋体"/>
          <w:color w:val="auto"/>
          <w:spacing w:val="2"/>
          <w:sz w:val="24"/>
          <w:szCs w:val="24"/>
          <w:highlight w:val="none"/>
          <w:lang w:val="en-US" w:eastAsia="zh-CN"/>
        </w:rPr>
        <w:t>乙方</w:t>
      </w:r>
      <w:r>
        <w:rPr>
          <w:rFonts w:hint="eastAsia" w:ascii="宋体" w:hAnsi="宋体" w:cs="宋体"/>
          <w:color w:val="auto"/>
          <w:spacing w:val="2"/>
          <w:sz w:val="24"/>
          <w:szCs w:val="24"/>
          <w:highlight w:val="none"/>
        </w:rPr>
        <w:t>承担。</w:t>
      </w:r>
    </w:p>
    <w:p>
      <w:pPr>
        <w:numPr>
          <w:ilvl w:val="0"/>
          <w:numId w:val="17"/>
        </w:numPr>
        <w:ind w:firstLine="480"/>
        <w:rPr>
          <w:rFonts w:ascii="宋体" w:hAnsi="宋体" w:cs="宋体"/>
          <w:color w:val="auto"/>
          <w:spacing w:val="2"/>
          <w:sz w:val="24"/>
          <w:szCs w:val="24"/>
          <w:highlight w:val="none"/>
        </w:rPr>
      </w:pPr>
      <w:r>
        <w:rPr>
          <w:rFonts w:hint="eastAsia" w:ascii="宋体" w:hAnsi="宋体" w:cs="宋体"/>
          <w:color w:val="auto"/>
          <w:szCs w:val="21"/>
          <w:highlight w:val="none"/>
        </w:rPr>
        <w:t>保险要求</w:t>
      </w:r>
    </w:p>
    <w:p>
      <w:pPr>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乙方需</w:t>
      </w:r>
      <w:r>
        <w:rPr>
          <w:rFonts w:hint="eastAsia" w:ascii="宋体" w:hAnsi="宋体" w:eastAsia="宋体" w:cs="宋体"/>
          <w:color w:val="auto"/>
          <w:spacing w:val="2"/>
          <w:sz w:val="24"/>
          <w:szCs w:val="24"/>
          <w:highlight w:val="none"/>
        </w:rPr>
        <w:t>根据</w:t>
      </w:r>
      <w:r>
        <w:rPr>
          <w:rFonts w:hint="eastAsia" w:ascii="宋体" w:hAnsi="宋体" w:eastAsia="宋体" w:cs="宋体"/>
          <w:color w:val="auto"/>
          <w:spacing w:val="2"/>
          <w:sz w:val="24"/>
          <w:szCs w:val="24"/>
          <w:highlight w:val="none"/>
          <w:lang w:val="en-US" w:eastAsia="zh-CN"/>
        </w:rPr>
        <w:t>甲方要求</w:t>
      </w:r>
      <w:r>
        <w:rPr>
          <w:rFonts w:hint="eastAsia" w:ascii="宋体" w:hAnsi="宋体" w:eastAsia="宋体" w:cs="宋体"/>
          <w:color w:val="auto"/>
          <w:spacing w:val="2"/>
          <w:sz w:val="24"/>
          <w:szCs w:val="24"/>
          <w:highlight w:val="none"/>
        </w:rPr>
        <w:t>提供车辆须购买交强险、商业保险，包括但不限于车辆交强险、车损险、第三者100万（或以上）加不计免赔、车上人员责任险等常规车辆保险，（供车时需提供购买保险的凭据或相关材料以证明。）</w:t>
      </w:r>
    </w:p>
    <w:p>
      <w:pPr>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上述保险、不计免赔服务仅免除保险范围内的有关损失，但不免除如因</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违法违规、事故等导致车辆被扣而产生的停运损失。</w:t>
      </w:r>
    </w:p>
    <w:p>
      <w:pPr>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如</w:t>
      </w:r>
      <w:r>
        <w:rPr>
          <w:rFonts w:hint="eastAsia" w:ascii="宋体" w:hAnsi="宋体" w:cs="宋体"/>
          <w:color w:val="auto"/>
          <w:spacing w:val="2"/>
          <w:sz w:val="24"/>
          <w:szCs w:val="24"/>
          <w:highlight w:val="none"/>
          <w:lang w:val="en-US" w:eastAsia="zh-CN"/>
        </w:rPr>
        <w:t>因甲方过错导致</w:t>
      </w:r>
      <w:r>
        <w:rPr>
          <w:rFonts w:hint="eastAsia" w:ascii="宋体" w:hAnsi="宋体" w:eastAsia="宋体" w:cs="宋体"/>
          <w:color w:val="auto"/>
          <w:spacing w:val="2"/>
          <w:sz w:val="24"/>
          <w:szCs w:val="24"/>
          <w:highlight w:val="none"/>
        </w:rPr>
        <w:t>发生车损或其它保险事故，</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负责承担保险公司免赔额及保险责任内的全部损失，</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负责保险公司免赔额及保险责任外的损失，</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有负责处理事故和办理保险索赔的义务。</w:t>
      </w:r>
    </w:p>
    <w:p>
      <w:pPr>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如发生交通事故或其它保险事故，</w:t>
      </w:r>
      <w:r>
        <w:rPr>
          <w:rFonts w:hint="eastAsia" w:ascii="宋体" w:hAnsi="宋体" w:eastAsia="宋体" w:cs="宋体"/>
          <w:color w:val="auto"/>
          <w:spacing w:val="2"/>
          <w:sz w:val="24"/>
          <w:szCs w:val="24"/>
          <w:highlight w:val="none"/>
          <w:lang w:val="en-US" w:eastAsia="zh-CN"/>
        </w:rPr>
        <w:t>甲方</w:t>
      </w:r>
      <w:r>
        <w:rPr>
          <w:rFonts w:hint="eastAsia" w:ascii="宋体" w:hAnsi="宋体" w:eastAsia="宋体" w:cs="宋体"/>
          <w:color w:val="auto"/>
          <w:spacing w:val="2"/>
          <w:sz w:val="24"/>
          <w:szCs w:val="24"/>
          <w:highlight w:val="none"/>
        </w:rPr>
        <w:t>应通知</w:t>
      </w:r>
      <w:r>
        <w:rPr>
          <w:rFonts w:hint="eastAsia" w:ascii="宋体" w:hAnsi="宋体" w:eastAsia="宋体" w:cs="宋体"/>
          <w:color w:val="auto"/>
          <w:spacing w:val="2"/>
          <w:sz w:val="24"/>
          <w:szCs w:val="24"/>
          <w:highlight w:val="none"/>
          <w:lang w:val="en-US" w:eastAsia="zh-CN"/>
        </w:rPr>
        <w:t>乙方</w:t>
      </w:r>
      <w:r>
        <w:rPr>
          <w:rFonts w:hint="eastAsia" w:ascii="宋体" w:hAnsi="宋体" w:eastAsia="宋体" w:cs="宋体"/>
          <w:color w:val="auto"/>
          <w:spacing w:val="2"/>
          <w:sz w:val="24"/>
          <w:szCs w:val="24"/>
          <w:highlight w:val="none"/>
        </w:rPr>
        <w:t>处理。</w:t>
      </w:r>
    </w:p>
    <w:p>
      <w:pPr>
        <w:numPr>
          <w:ilvl w:val="0"/>
          <w:numId w:val="17"/>
        </w:numPr>
        <w:ind w:firstLine="480"/>
        <w:rPr>
          <w:rFonts w:ascii="宋体" w:hAnsi="宋体" w:cs="宋体"/>
          <w:color w:val="auto"/>
          <w:spacing w:val="2"/>
          <w:sz w:val="24"/>
          <w:szCs w:val="24"/>
          <w:highlight w:val="none"/>
        </w:rPr>
      </w:pPr>
      <w:r>
        <w:rPr>
          <w:rFonts w:hint="eastAsia" w:ascii="宋体" w:hAnsi="宋体" w:cs="宋体"/>
          <w:color w:val="auto"/>
          <w:spacing w:val="2"/>
          <w:sz w:val="24"/>
          <w:szCs w:val="24"/>
          <w:highlight w:val="none"/>
          <w:lang w:val="en-US" w:eastAsia="zh-CN"/>
        </w:rPr>
        <w:t>交车验车要求</w:t>
      </w:r>
    </w:p>
    <w:p>
      <w:pPr>
        <w:numPr>
          <w:ilvl w:val="-1"/>
          <w:numId w:val="0"/>
        </w:numPr>
        <w:adjustRightInd/>
        <w:snapToGrid/>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（1）底盘没有油污，无漏油情况，无凹陷等异常。</w:t>
      </w:r>
    </w:p>
    <w:p>
      <w:pPr>
        <w:numPr>
          <w:ilvl w:val="-1"/>
          <w:numId w:val="0"/>
        </w:numPr>
        <w:adjustRightInd/>
        <w:snapToGrid/>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（2）前梁与转向连接的地方无出现断裂或重新焊接痕迹。</w:t>
      </w:r>
    </w:p>
    <w:p>
      <w:pPr>
        <w:numPr>
          <w:ilvl w:val="-1"/>
          <w:numId w:val="0"/>
        </w:numPr>
        <w:adjustRightInd/>
        <w:snapToGrid/>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（3）发动机舱内，线束无腐蚀、老化现象。</w:t>
      </w:r>
    </w:p>
    <w:p>
      <w:pPr>
        <w:numPr>
          <w:ilvl w:val="-1"/>
          <w:numId w:val="0"/>
        </w:numPr>
        <w:adjustRightInd/>
        <w:snapToGrid/>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（4）引擎盖上的螺丝、水箱支架上的螺丝、车门上连接的螺丝无更换痕迹。</w:t>
      </w:r>
    </w:p>
    <w:p>
      <w:pPr>
        <w:numPr>
          <w:ilvl w:val="-1"/>
          <w:numId w:val="0"/>
        </w:numPr>
        <w:adjustRightInd/>
        <w:snapToGrid/>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（5）检查行驶证上牌日期是否符合要求。</w:t>
      </w:r>
    </w:p>
    <w:p>
      <w:pPr>
        <w:ind w:firstLine="488"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（6）检查机动车登记证参数是否符合要求，如机动车登记证无要求参数则提供其他有效证明。</w:t>
      </w:r>
    </w:p>
    <w:p>
      <w:pPr>
        <w:numPr>
          <w:ilvl w:val="0"/>
          <w:numId w:val="17"/>
        </w:numPr>
        <w:ind w:firstLine="480"/>
        <w:rPr>
          <w:rFonts w:ascii="宋体" w:hAnsi="宋体" w:eastAsia="宋体" w:cs="宋体"/>
          <w:color w:val="auto"/>
          <w:spacing w:val="2"/>
          <w:sz w:val="24"/>
          <w:szCs w:val="24"/>
          <w:highlight w:val="none"/>
        </w:rPr>
      </w:pPr>
      <w:r>
        <w:rPr>
          <w:rFonts w:hint="default" w:ascii="宋体" w:hAnsi="宋体" w:eastAsia="宋体" w:cs="宋体"/>
          <w:color w:val="auto"/>
          <w:spacing w:val="2"/>
          <w:sz w:val="24"/>
          <w:szCs w:val="24"/>
          <w:highlight w:val="none"/>
        </w:rPr>
        <w:t>租赁期内的车辆可用于</w:t>
      </w:r>
      <w:r>
        <w:rPr>
          <w:rFonts w:hint="default" w:ascii="宋体" w:hAnsi="宋体" w:eastAsia="宋体" w:cs="宋体"/>
          <w:color w:val="auto"/>
          <w:spacing w:val="2"/>
          <w:sz w:val="24"/>
          <w:szCs w:val="24"/>
          <w:highlight w:val="none"/>
          <w:lang w:val="en-US" w:eastAsia="zh-CN"/>
        </w:rPr>
        <w:t>甲方</w:t>
      </w:r>
      <w:r>
        <w:rPr>
          <w:rFonts w:hint="default" w:ascii="宋体" w:hAnsi="宋体" w:eastAsia="宋体" w:cs="宋体"/>
          <w:color w:val="auto"/>
          <w:spacing w:val="2"/>
          <w:sz w:val="24"/>
          <w:szCs w:val="24"/>
          <w:highlight w:val="none"/>
        </w:rPr>
        <w:t>投标使用，设备进场需在显眼的展示区域包括但不限于车身周围、车尾处贴相应标识，具体以</w:t>
      </w:r>
      <w:r>
        <w:rPr>
          <w:rFonts w:hint="default" w:ascii="宋体" w:hAnsi="宋体" w:eastAsia="宋体" w:cs="宋体"/>
          <w:color w:val="auto"/>
          <w:spacing w:val="2"/>
          <w:sz w:val="24"/>
          <w:szCs w:val="24"/>
          <w:highlight w:val="none"/>
          <w:lang w:val="en-US" w:eastAsia="zh-CN"/>
        </w:rPr>
        <w:t>甲方</w:t>
      </w:r>
      <w:r>
        <w:rPr>
          <w:rFonts w:hint="default" w:ascii="宋体" w:hAnsi="宋体" w:eastAsia="宋体" w:cs="宋体"/>
          <w:color w:val="auto"/>
          <w:spacing w:val="2"/>
          <w:sz w:val="24"/>
          <w:szCs w:val="24"/>
          <w:highlight w:val="none"/>
        </w:rPr>
        <w:t>要求为准。</w:t>
      </w:r>
    </w:p>
    <w:p>
      <w:pPr>
        <w:numPr>
          <w:ilvl w:val="0"/>
          <w:numId w:val="17"/>
        </w:numPr>
        <w:ind w:firstLine="480"/>
        <w:rPr>
          <w:rFonts w:ascii="宋体" w:hAnsi="宋体" w:cs="宋体"/>
          <w:color w:val="auto"/>
          <w:spacing w:val="2"/>
          <w:sz w:val="24"/>
          <w:szCs w:val="24"/>
          <w:highlight w:val="none"/>
        </w:rPr>
      </w:pPr>
      <w:r>
        <w:rPr>
          <w:rFonts w:hint="eastAsia" w:ascii="宋体" w:hAnsi="宋体" w:cs="宋体"/>
          <w:color w:val="auto"/>
          <w:spacing w:val="2"/>
          <w:sz w:val="24"/>
          <w:szCs w:val="24"/>
          <w:highlight w:val="none"/>
          <w:lang w:val="en-US" w:eastAsia="zh-CN"/>
        </w:rPr>
        <w:t>乙方</w:t>
      </w:r>
      <w:r>
        <w:rPr>
          <w:rFonts w:hint="eastAsia" w:ascii="宋体" w:hAnsi="宋体" w:cs="宋体"/>
          <w:color w:val="auto"/>
          <w:spacing w:val="2"/>
          <w:sz w:val="24"/>
          <w:szCs w:val="24"/>
          <w:highlight w:val="none"/>
        </w:rPr>
        <w:t>收款账户信息如下：</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公司名称：</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账户名称：</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开 户 行：</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账    号：</w:t>
      </w:r>
    </w:p>
    <w:p>
      <w:pPr>
        <w:pStyle w:val="11"/>
        <w:rPr>
          <w:color w:val="auto"/>
          <w:highlight w:val="none"/>
        </w:rPr>
      </w:pP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 xml:space="preserve">  </w:t>
      </w:r>
      <w:r>
        <w:rPr>
          <w:rFonts w:hint="eastAsia" w:ascii="宋体" w:hAnsi="宋体" w:cs="宋体"/>
          <w:b/>
          <w:bCs/>
          <w:color w:val="auto"/>
          <w:spacing w:val="2"/>
          <w:sz w:val="24"/>
          <w:szCs w:val="24"/>
          <w:highlight w:val="none"/>
          <w:lang w:val="en-US" w:eastAsia="zh-CN"/>
        </w:rPr>
        <w:t>甲</w:t>
      </w:r>
      <w:r>
        <w:rPr>
          <w:rFonts w:hint="eastAsia" w:ascii="宋体" w:hAnsi="宋体" w:cs="宋体"/>
          <w:b/>
          <w:bCs/>
          <w:color w:val="auto"/>
          <w:spacing w:val="2"/>
          <w:sz w:val="24"/>
          <w:szCs w:val="24"/>
          <w:highlight w:val="none"/>
        </w:rPr>
        <w:t>方权利和义务</w:t>
      </w:r>
    </w:p>
    <w:p>
      <w:pPr>
        <w:numPr>
          <w:ilvl w:val="0"/>
          <w:numId w:val="18"/>
        </w:numPr>
        <w:tabs>
          <w:tab w:val="left" w:pos="360"/>
        </w:tabs>
        <w:ind w:left="-60" w:firstLine="488" w:firstLineChars="200"/>
        <w:rPr>
          <w:rFonts w:ascii="宋体" w:hAnsi="宋体" w:cs="宋体"/>
          <w:color w:val="auto"/>
          <w:sz w:val="24"/>
          <w:szCs w:val="24"/>
          <w:highlight w:val="none"/>
        </w:rPr>
      </w:pPr>
      <w:r>
        <w:rPr>
          <w:rFonts w:hint="eastAsia" w:ascii="宋体" w:hAnsi="宋体" w:cs="宋体"/>
          <w:b w:val="0"/>
          <w:bCs w:val="0"/>
          <w:color w:val="auto"/>
          <w:spacing w:val="2"/>
          <w:sz w:val="24"/>
          <w:szCs w:val="24"/>
          <w:highlight w:val="none"/>
          <w:lang w:val="en-US" w:eastAsia="zh-CN"/>
        </w:rPr>
        <w:t>甲</w:t>
      </w:r>
      <w:r>
        <w:rPr>
          <w:rFonts w:hint="eastAsia" w:ascii="宋体" w:hAnsi="宋体" w:cs="宋体"/>
          <w:color w:val="auto"/>
          <w:sz w:val="24"/>
          <w:szCs w:val="24"/>
          <w:highlight w:val="none"/>
        </w:rPr>
        <w:t>方不得抵押、担保、典当、出卖、转借、转租租赁车辆及车辆证件，或将车辆作其它非法用途，如有违反，产生的一切法律后果由</w:t>
      </w:r>
      <w:r>
        <w:rPr>
          <w:rFonts w:hint="eastAsia" w:ascii="宋体" w:hAnsi="宋体" w:cs="宋体"/>
          <w:b w:val="0"/>
          <w:bCs w:val="0"/>
          <w:color w:val="auto"/>
          <w:spacing w:val="2"/>
          <w:sz w:val="24"/>
          <w:szCs w:val="24"/>
          <w:highlight w:val="none"/>
          <w:lang w:val="en-US" w:eastAsia="zh-CN"/>
        </w:rPr>
        <w:t>甲</w:t>
      </w:r>
      <w:r>
        <w:rPr>
          <w:rFonts w:hint="eastAsia" w:ascii="宋体" w:hAnsi="宋体" w:cs="宋体"/>
          <w:color w:val="auto"/>
          <w:sz w:val="24"/>
          <w:szCs w:val="24"/>
          <w:highlight w:val="none"/>
        </w:rPr>
        <w:t>方自行承担。若</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有前述行为之一或者就上述行为与第三方签订合同而未告知</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有权随时解除本合同，收回车辆。</w:t>
      </w:r>
    </w:p>
    <w:p>
      <w:pPr>
        <w:numPr>
          <w:ilvl w:val="0"/>
          <w:numId w:val="18"/>
        </w:numPr>
        <w:tabs>
          <w:tab w:val="left" w:pos="360"/>
        </w:tabs>
        <w:ind w:left="-58"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在租用车辆的过程中，</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必须保证车辆证件及号牌的完整，如有遗失，</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协助</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补办，期间产生费用由</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负责。</w:t>
      </w:r>
    </w:p>
    <w:p>
      <w:pPr>
        <w:numPr>
          <w:ilvl w:val="0"/>
          <w:numId w:val="18"/>
        </w:numPr>
        <w:tabs>
          <w:tab w:val="left" w:pos="360"/>
        </w:tabs>
        <w:ind w:left="-6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租赁期间内，</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所租车辆因</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原因导致的维修费及损失由</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自行承担。</w:t>
      </w:r>
    </w:p>
    <w:p>
      <w:pPr>
        <w:numPr>
          <w:ilvl w:val="0"/>
          <w:numId w:val="18"/>
        </w:numPr>
        <w:tabs>
          <w:tab w:val="left" w:pos="360"/>
        </w:tabs>
        <w:ind w:left="-58"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承担租赁期间的车辆燃油费、路桥费、停车费、洗车费、交通违章罚款等费用，如有违章行为，需及时处理违章并且在违章发生之日起10个工作日内处理完毕；</w:t>
      </w:r>
    </w:p>
    <w:p>
      <w:pPr>
        <w:numPr>
          <w:ilvl w:val="0"/>
          <w:numId w:val="18"/>
        </w:numPr>
        <w:tabs>
          <w:tab w:val="left" w:pos="360"/>
        </w:tabs>
        <w:ind w:left="-58"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须聘用符合要求的专业驾驶人员，驾驶人员应遵守交通规则和专业机械设备的操作要求。在租期内，</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应为自己聘用的驾驶人员购买保险，费用由</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承担。</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应对上述机械设备的驾驶人员的人身安全负责。</w:t>
      </w:r>
    </w:p>
    <w:p>
      <w:pPr>
        <w:numPr>
          <w:ilvl w:val="0"/>
          <w:numId w:val="18"/>
        </w:numPr>
        <w:tabs>
          <w:tab w:val="left" w:pos="360"/>
        </w:tabs>
        <w:ind w:left="-58"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租赁期间，</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应妥善保管租赁车辆。如发生车辆被盗、抢、骗及</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原因出现毁损报废、扣押、罚没等，并因此给</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造成损失的，</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须全额赔偿。</w:t>
      </w:r>
    </w:p>
    <w:p>
      <w:pPr>
        <w:numPr>
          <w:ilvl w:val="0"/>
          <w:numId w:val="18"/>
        </w:numPr>
        <w:tabs>
          <w:tab w:val="left" w:pos="360"/>
        </w:tabs>
        <w:ind w:left="-58"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垫付的交通事故及因此引起的车辆修复的一切费用，等保险公司理赔到</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账户上，</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有权要求</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5个工作日结账，在租赁期间产生的报保险超过</w:t>
      </w:r>
      <w:r>
        <w:rPr>
          <w:rFonts w:ascii="宋体" w:hAnsi="宋体" w:cs="宋体"/>
          <w:color w:val="auto"/>
          <w:sz w:val="24"/>
          <w:szCs w:val="24"/>
          <w:highlight w:val="none"/>
        </w:rPr>
        <w:t>3</w:t>
      </w:r>
      <w:r>
        <w:rPr>
          <w:rFonts w:hint="eastAsia" w:ascii="宋体" w:hAnsi="宋体" w:cs="宋体"/>
          <w:color w:val="auto"/>
          <w:sz w:val="24"/>
          <w:szCs w:val="24"/>
          <w:highlight w:val="none"/>
        </w:rPr>
        <w:t>次以上赔偿</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因此增加的保险费用，</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有权随时解除本合同。</w:t>
      </w:r>
    </w:p>
    <w:p>
      <w:pPr>
        <w:numPr>
          <w:ilvl w:val="0"/>
          <w:numId w:val="18"/>
        </w:numPr>
        <w:tabs>
          <w:tab w:val="left" w:pos="360"/>
        </w:tabs>
        <w:ind w:left="-58"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车辆出租后，</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要加强安全管理，若发生交通安全事故、行政处罚或超载超重等行为，由</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负责承担一切处罚责任，</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不承担任何处罚责任；</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对相关部门</w:t>
      </w:r>
      <w:r>
        <w:rPr>
          <w:rFonts w:hint="eastAsia" w:ascii="宋体" w:hAnsi="宋体" w:cs="宋体"/>
          <w:color w:val="auto"/>
          <w:sz w:val="24"/>
          <w:szCs w:val="24"/>
          <w:highlight w:val="none"/>
          <w:lang w:val="en-US" w:eastAsia="zh-CN"/>
        </w:rPr>
        <w:t>认定</w:t>
      </w:r>
      <w:r>
        <w:rPr>
          <w:rFonts w:hint="eastAsia" w:ascii="宋体" w:hAnsi="宋体" w:cs="宋体"/>
          <w:color w:val="auto"/>
          <w:sz w:val="24"/>
          <w:szCs w:val="24"/>
          <w:highlight w:val="none"/>
        </w:rPr>
        <w:t>的责任，须承担保险公司险种赔偿之外的所有损失和相关费用；</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所租用车辆仅限</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公司人员驾驶，否则，因</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将车辆交由他人驾驶所导致的一切法律后果将由</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全部承担，若因此给</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造成损失，还须承担因此给</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造成的一切损失的赔付责任。</w:t>
      </w:r>
    </w:p>
    <w:p>
      <w:pPr>
        <w:numPr>
          <w:ilvl w:val="0"/>
          <w:numId w:val="18"/>
        </w:numPr>
        <w:tabs>
          <w:tab w:val="left" w:pos="360"/>
        </w:tabs>
        <w:ind w:left="-58" w:firstLine="480" w:firstLineChars="200"/>
        <w:rPr>
          <w:rFonts w:hint="eastAsia" w:ascii="宋体" w:hAnsi="宋体" w:eastAsia="宋体" w:cs="宋体"/>
          <w:b w:val="0"/>
          <w:bCs w:val="0"/>
          <w:color w:val="auto"/>
          <w:spacing w:val="0"/>
          <w:sz w:val="24"/>
          <w:szCs w:val="24"/>
          <w:highlight w:val="none"/>
        </w:rPr>
      </w:pP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对租赁的车辆享有车辆使用权限，可用于投标等相关服务事项。</w:t>
      </w:r>
      <w:r>
        <w:rPr>
          <w:rFonts w:hint="eastAsia" w:ascii="宋体" w:hAnsi="宋体" w:eastAsia="宋体" w:cs="宋体"/>
          <w:color w:val="auto"/>
          <w:sz w:val="24"/>
          <w:szCs w:val="24"/>
          <w:highlight w:val="none"/>
        </w:rPr>
        <w:t>若</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需要使用行驶证原件时，</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需积极配合。</w:t>
      </w:r>
    </w:p>
    <w:p>
      <w:pPr>
        <w:numPr>
          <w:ilvl w:val="-1"/>
          <w:numId w:val="0"/>
        </w:numPr>
        <w:tabs>
          <w:tab w:val="left" w:pos="360"/>
        </w:tabs>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val="0"/>
          <w:bCs w:val="0"/>
          <w:color w:val="auto"/>
          <w:spacing w:val="0"/>
          <w:sz w:val="24"/>
          <w:szCs w:val="24"/>
          <w:highlight w:val="none"/>
          <w:lang w:val="en-US" w:eastAsia="zh-CN"/>
        </w:rPr>
        <w:t xml:space="preserve">  10.甲方</w:t>
      </w:r>
      <w:r>
        <w:rPr>
          <w:rFonts w:hint="eastAsia" w:ascii="宋体" w:hAnsi="宋体" w:eastAsia="宋体" w:cs="宋体"/>
          <w:color w:val="auto"/>
          <w:sz w:val="24"/>
          <w:szCs w:val="24"/>
          <w:highlight w:val="none"/>
        </w:rPr>
        <w:t>可根据项目实际需要，适时调整行车线路、停靠点、执行时间、班次。</w:t>
      </w:r>
    </w:p>
    <w:p>
      <w:pPr>
        <w:pStyle w:val="11"/>
        <w:ind w:firstLine="480" w:firstLineChars="200"/>
        <w:rPr>
          <w:rFonts w:hint="eastAsia"/>
          <w:color w:val="auto"/>
          <w:highlight w:val="none"/>
          <w:lang w:val="en-US" w:eastAsia="zh-CN"/>
        </w:rPr>
      </w:pPr>
      <w:r>
        <w:rPr>
          <w:rFonts w:hint="eastAsia"/>
          <w:color w:val="auto"/>
          <w:highlight w:val="none"/>
          <w:lang w:val="en-US" w:eastAsia="zh-CN"/>
        </w:rPr>
        <w:t>11.如乙方提供的车辆在作业过程中，每个月出现影响功能性使用情况维修次数超2 次，甲方有权要求更换车辆。</w:t>
      </w:r>
    </w:p>
    <w:p>
      <w:pPr>
        <w:numPr>
          <w:ilvl w:val="-1"/>
          <w:numId w:val="0"/>
        </w:numPr>
        <w:tabs>
          <w:tab w:val="left" w:pos="360"/>
        </w:tabs>
        <w:ind w:left="420" w:leftChars="200" w:firstLine="0" w:firstLineChars="0"/>
        <w:rPr>
          <w:rFonts w:hint="eastAsia" w:ascii="宋体" w:hAnsi="宋体" w:eastAsia="宋体" w:cs="宋体"/>
          <w:b w:val="0"/>
          <w:bCs w:val="0"/>
          <w:color w:val="auto"/>
          <w:spacing w:val="0"/>
          <w:sz w:val="24"/>
          <w:szCs w:val="24"/>
          <w:highlight w:val="none"/>
        </w:rPr>
      </w:pP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lang w:val="en-US" w:eastAsia="zh-CN"/>
        </w:rPr>
        <w:t>乙方</w:t>
      </w:r>
      <w:r>
        <w:rPr>
          <w:rFonts w:hint="eastAsia" w:ascii="宋体" w:hAnsi="宋体" w:cs="宋体"/>
          <w:b/>
          <w:bCs/>
          <w:color w:val="auto"/>
          <w:spacing w:val="2"/>
          <w:sz w:val="24"/>
          <w:szCs w:val="24"/>
          <w:highlight w:val="none"/>
        </w:rPr>
        <w:t>权利和义务</w:t>
      </w:r>
    </w:p>
    <w:p>
      <w:pPr>
        <w:numPr>
          <w:ilvl w:val="0"/>
          <w:numId w:val="19"/>
        </w:numPr>
        <w:ind w:left="-6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向</w:t>
      </w:r>
      <w:r>
        <w:rPr>
          <w:rFonts w:hint="eastAsia" w:ascii="宋体" w:hAnsi="宋体" w:cs="宋体"/>
          <w:color w:val="auto"/>
          <w:sz w:val="24"/>
          <w:szCs w:val="24"/>
          <w:highlight w:val="none"/>
          <w:lang w:val="en-US" w:eastAsia="zh-CN"/>
        </w:rPr>
        <w:t>甲</w:t>
      </w:r>
      <w:r>
        <w:rPr>
          <w:rFonts w:hint="eastAsia" w:ascii="宋体" w:hAnsi="宋体" w:cs="宋体"/>
          <w:color w:val="auto"/>
          <w:sz w:val="24"/>
          <w:szCs w:val="24"/>
          <w:highlight w:val="none"/>
        </w:rPr>
        <w:t>方</w:t>
      </w:r>
      <w:r>
        <w:rPr>
          <w:rFonts w:hint="eastAsia" w:ascii="宋体" w:hAnsi="宋体" w:eastAsia="宋体" w:cs="宋体"/>
          <w:color w:val="auto"/>
          <w:sz w:val="24"/>
          <w:szCs w:val="24"/>
          <w:highlight w:val="none"/>
        </w:rPr>
        <w:t>提供的各类型车辆须满足采购需求，所提供的运营车辆须来源合法，证照齐全，手续完备。（供车时提供相关有效权属证照或租赁合同（含有效的车辆权照等）、行驶证等材料的盖章复印件或扫描件）</w:t>
      </w:r>
      <w:r>
        <w:rPr>
          <w:rFonts w:hint="eastAsia" w:ascii="宋体" w:hAnsi="宋体" w:eastAsia="宋体" w:cs="宋体"/>
          <w:color w:val="auto"/>
          <w:sz w:val="24"/>
          <w:szCs w:val="24"/>
          <w:highlight w:val="none"/>
          <w:lang w:eastAsia="zh-CN"/>
        </w:rPr>
        <w:t>。</w:t>
      </w:r>
    </w:p>
    <w:p>
      <w:pPr>
        <w:numPr>
          <w:ilvl w:val="0"/>
          <w:numId w:val="19"/>
        </w:numPr>
        <w:ind w:left="-6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在租赁期间，</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负责</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承租车辆的牌照年审，</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负责</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提供的车辆日常维护保养、维修及配件更新，并承担由此产生的全部费用。</w:t>
      </w:r>
    </w:p>
    <w:p>
      <w:pPr>
        <w:numPr>
          <w:ilvl w:val="0"/>
          <w:numId w:val="19"/>
        </w:numPr>
        <w:ind w:left="-62"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须保证车辆有完整、合法手续，车辆来源合法正当。</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有权将车辆出租给</w:t>
      </w:r>
      <w:r>
        <w:rPr>
          <w:rFonts w:hint="eastAsia" w:ascii="宋体" w:hAnsi="宋体" w:cs="宋体"/>
          <w:color w:val="auto"/>
          <w:sz w:val="24"/>
          <w:szCs w:val="24"/>
          <w:highlight w:val="none"/>
          <w:lang w:val="en-US" w:eastAsia="zh-CN"/>
        </w:rPr>
        <w:t>甲</w:t>
      </w:r>
      <w:r>
        <w:rPr>
          <w:rFonts w:hint="eastAsia" w:ascii="宋体" w:hAnsi="宋体" w:cs="宋体"/>
          <w:color w:val="auto"/>
          <w:sz w:val="24"/>
          <w:szCs w:val="24"/>
          <w:highlight w:val="none"/>
        </w:rPr>
        <w:t>方，否则，因此引发的纠纷、争议或处罚等责任全部由</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负责解决并承担责任，并采取措施避免给</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造成任何损失。否则，</w:t>
      </w:r>
      <w:r>
        <w:rPr>
          <w:rFonts w:hint="eastAsia" w:ascii="宋体" w:hAnsi="宋体" w:cs="宋体"/>
          <w:color w:val="auto"/>
          <w:sz w:val="24"/>
          <w:szCs w:val="24"/>
          <w:highlight w:val="none"/>
          <w:lang w:val="en-US" w:eastAsia="zh-CN"/>
        </w:rPr>
        <w:t>甲</w:t>
      </w:r>
      <w:r>
        <w:rPr>
          <w:rFonts w:hint="eastAsia" w:ascii="宋体" w:hAnsi="宋体" w:cs="宋体"/>
          <w:color w:val="auto"/>
          <w:sz w:val="24"/>
          <w:szCs w:val="24"/>
          <w:highlight w:val="none"/>
        </w:rPr>
        <w:t>方有权解除合同，并要求</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按照</w:t>
      </w:r>
      <w:r>
        <w:rPr>
          <w:rFonts w:hint="eastAsia" w:ascii="宋体" w:hAnsi="宋体" w:cs="宋体"/>
          <w:color w:val="auto"/>
          <w:sz w:val="24"/>
          <w:szCs w:val="24"/>
          <w:highlight w:val="none"/>
          <w:lang w:val="en-US" w:eastAsia="zh-CN"/>
        </w:rPr>
        <w:t>履约保证金</w:t>
      </w:r>
      <w:r>
        <w:rPr>
          <w:rFonts w:hint="eastAsia" w:ascii="宋体" w:hAnsi="宋体" w:cs="宋体"/>
          <w:color w:val="auto"/>
          <w:sz w:val="24"/>
          <w:szCs w:val="24"/>
          <w:highlight w:val="none"/>
        </w:rPr>
        <w:t>金额向</w:t>
      </w:r>
      <w:r>
        <w:rPr>
          <w:rFonts w:hint="eastAsia" w:ascii="宋体" w:hAnsi="宋体" w:cs="宋体"/>
          <w:color w:val="auto"/>
          <w:sz w:val="24"/>
          <w:szCs w:val="24"/>
          <w:highlight w:val="none"/>
          <w:lang w:val="en-US" w:eastAsia="zh-CN"/>
        </w:rPr>
        <w:t>甲</w:t>
      </w:r>
      <w:r>
        <w:rPr>
          <w:rFonts w:hint="eastAsia" w:ascii="宋体" w:hAnsi="宋体" w:cs="宋体"/>
          <w:color w:val="auto"/>
          <w:sz w:val="24"/>
          <w:szCs w:val="24"/>
          <w:highlight w:val="none"/>
        </w:rPr>
        <w:t>方支付违约金。</w:t>
      </w:r>
    </w:p>
    <w:p>
      <w:pPr>
        <w:numPr>
          <w:ilvl w:val="0"/>
          <w:numId w:val="19"/>
        </w:numPr>
        <w:ind w:left="-6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甲方租赁乙方车辆期间</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有义务协助</w:t>
      </w:r>
      <w:r>
        <w:rPr>
          <w:rFonts w:hint="eastAsia" w:ascii="宋体" w:hAnsi="宋体" w:cs="宋体"/>
          <w:color w:val="auto"/>
          <w:sz w:val="24"/>
          <w:szCs w:val="24"/>
          <w:highlight w:val="none"/>
          <w:lang w:val="en-US" w:eastAsia="zh-CN"/>
        </w:rPr>
        <w:t>甲</w:t>
      </w:r>
      <w:r>
        <w:rPr>
          <w:rFonts w:hint="eastAsia" w:ascii="宋体" w:hAnsi="宋体" w:cs="宋体"/>
          <w:color w:val="auto"/>
          <w:sz w:val="24"/>
          <w:szCs w:val="24"/>
          <w:highlight w:val="none"/>
        </w:rPr>
        <w:t>方处理交通事故，但不承担交通事故的责任、罚金和相关费用。</w:t>
      </w:r>
    </w:p>
    <w:p>
      <w:pPr>
        <w:numPr>
          <w:ilvl w:val="0"/>
          <w:numId w:val="19"/>
        </w:numPr>
        <w:ind w:left="-6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乙</w:t>
      </w:r>
      <w:r>
        <w:rPr>
          <w:rFonts w:hint="eastAsia" w:ascii="宋体" w:hAnsi="宋体" w:cs="宋体"/>
          <w:color w:val="auto"/>
          <w:sz w:val="24"/>
          <w:szCs w:val="24"/>
          <w:highlight w:val="none"/>
        </w:rPr>
        <w:t>方</w:t>
      </w:r>
      <w:r>
        <w:rPr>
          <w:rFonts w:hint="eastAsia" w:ascii="宋体" w:hAnsi="宋体" w:cs="宋体"/>
          <w:color w:val="auto"/>
          <w:sz w:val="24"/>
          <w:szCs w:val="24"/>
          <w:highlight w:val="none"/>
          <w:lang w:val="en-US" w:eastAsia="zh-CN"/>
        </w:rPr>
        <w:t>需为向甲方出租的</w:t>
      </w:r>
      <w:r>
        <w:rPr>
          <w:rFonts w:hint="eastAsia" w:ascii="宋体" w:hAnsi="宋体" w:cs="宋体"/>
          <w:color w:val="auto"/>
          <w:sz w:val="24"/>
          <w:szCs w:val="24"/>
          <w:highlight w:val="none"/>
        </w:rPr>
        <w:t>车辆需购买保险，包括但不限于交强险、商业险（商业险保额≥100万）等，</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不承担任何费用。</w:t>
      </w:r>
    </w:p>
    <w:p>
      <w:pPr>
        <w:numPr>
          <w:ilvl w:val="0"/>
          <w:numId w:val="19"/>
        </w:numPr>
        <w:ind w:left="-6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w:t>
      </w:r>
      <w:r>
        <w:rPr>
          <w:rFonts w:hint="eastAsia" w:ascii="宋体" w:hAnsi="宋体" w:cs="宋体"/>
          <w:color w:val="auto"/>
          <w:sz w:val="24"/>
          <w:szCs w:val="24"/>
          <w:highlight w:val="none"/>
          <w:lang w:val="en-US" w:eastAsia="zh-CN"/>
        </w:rPr>
        <w:t>租赁</w:t>
      </w:r>
      <w:r>
        <w:rPr>
          <w:rFonts w:hint="eastAsia" w:ascii="宋体" w:hAnsi="宋体" w:cs="宋体"/>
          <w:color w:val="auto"/>
          <w:sz w:val="24"/>
          <w:szCs w:val="24"/>
          <w:highlight w:val="none"/>
        </w:rPr>
        <w:t>期内，如租赁车辆丢失的，</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应及时报案，积极协助</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向保险公司理赔。</w:t>
      </w:r>
    </w:p>
    <w:p>
      <w:pPr>
        <w:numPr>
          <w:ilvl w:val="0"/>
          <w:numId w:val="19"/>
        </w:numPr>
        <w:ind w:left="-6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对所获得的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信息有保密义务。</w:t>
      </w:r>
      <w:r>
        <w:rPr>
          <w:rFonts w:hint="eastAsia" w:ascii="宋体" w:hAnsi="宋体" w:eastAsia="宋体" w:cs="宋体"/>
          <w:color w:val="auto"/>
          <w:spacing w:val="0"/>
          <w:sz w:val="24"/>
          <w:szCs w:val="24"/>
          <w:highlight w:val="none"/>
        </w:rPr>
        <w:t>进出场时，需文明行车，如因不规范问题导致</w:t>
      </w:r>
      <w:r>
        <w:rPr>
          <w:rFonts w:hint="eastAsia" w:ascii="宋体" w:hAnsi="宋体" w:eastAsia="宋体" w:cs="宋体"/>
          <w:color w:val="auto"/>
          <w:spacing w:val="0"/>
          <w:sz w:val="24"/>
          <w:szCs w:val="24"/>
          <w:highlight w:val="none"/>
          <w:lang w:val="en-US" w:eastAsia="zh-CN"/>
        </w:rPr>
        <w:t>甲方</w:t>
      </w:r>
      <w:r>
        <w:rPr>
          <w:rFonts w:hint="eastAsia" w:ascii="宋体" w:hAnsi="宋体" w:eastAsia="宋体" w:cs="宋体"/>
          <w:color w:val="auto"/>
          <w:spacing w:val="0"/>
          <w:sz w:val="24"/>
          <w:szCs w:val="24"/>
          <w:highlight w:val="none"/>
        </w:rPr>
        <w:t>社会公众形象受损，</w:t>
      </w:r>
      <w:r>
        <w:rPr>
          <w:rFonts w:hint="eastAsia" w:ascii="宋体" w:hAnsi="宋体" w:eastAsia="宋体" w:cs="宋体"/>
          <w:color w:val="auto"/>
          <w:spacing w:val="0"/>
          <w:sz w:val="24"/>
          <w:szCs w:val="24"/>
          <w:highlight w:val="none"/>
          <w:lang w:val="en-US" w:eastAsia="zh-CN"/>
        </w:rPr>
        <w:t>乙方</w:t>
      </w:r>
      <w:r>
        <w:rPr>
          <w:rFonts w:hint="eastAsia" w:ascii="宋体" w:hAnsi="宋体" w:eastAsia="宋体" w:cs="宋体"/>
          <w:color w:val="auto"/>
          <w:spacing w:val="0"/>
          <w:sz w:val="24"/>
          <w:szCs w:val="24"/>
          <w:highlight w:val="none"/>
        </w:rPr>
        <w:t>承担一切责任。</w:t>
      </w:r>
    </w:p>
    <w:p>
      <w:pPr>
        <w:pStyle w:val="11"/>
        <w:numPr>
          <w:ilvl w:val="0"/>
          <w:numId w:val="19"/>
        </w:numPr>
        <w:ind w:left="-60"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在</w:t>
      </w:r>
      <w:r>
        <w:rPr>
          <w:rFonts w:hint="eastAsia" w:ascii="宋体" w:hAnsi="宋体" w:cs="宋体"/>
          <w:color w:val="auto"/>
          <w:sz w:val="24"/>
          <w:szCs w:val="24"/>
          <w:highlight w:val="none"/>
          <w:lang w:val="en-US" w:eastAsia="zh-CN"/>
        </w:rPr>
        <w:t>租赁</w:t>
      </w:r>
      <w:r>
        <w:rPr>
          <w:rFonts w:hint="eastAsia" w:ascii="宋体" w:hAnsi="宋体" w:cs="宋体"/>
          <w:color w:val="auto"/>
          <w:sz w:val="24"/>
          <w:szCs w:val="24"/>
          <w:highlight w:val="none"/>
        </w:rPr>
        <w:t>期内</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因乙方或乙方车辆本身的原因导致的维修费及损失由乙方承担。</w:t>
      </w:r>
    </w:p>
    <w:p>
      <w:pPr>
        <w:pStyle w:val="11"/>
        <w:numPr>
          <w:ilvl w:val="0"/>
          <w:numId w:val="19"/>
        </w:numPr>
        <w:ind w:left="-60"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Cs w:val="21"/>
          <w:highlight w:val="none"/>
          <w:lang w:val="en-US" w:eastAsia="zh-CN"/>
        </w:rPr>
        <w:t>乙方提供</w:t>
      </w:r>
      <w:r>
        <w:rPr>
          <w:rFonts w:hint="eastAsia" w:ascii="宋体" w:hAnsi="宋体" w:cs="宋体"/>
          <w:color w:val="auto"/>
          <w:szCs w:val="21"/>
          <w:highlight w:val="none"/>
        </w:rPr>
        <w:t>24小时内响应（响应时间、更换要求及相关服务）</w:t>
      </w:r>
      <w:r>
        <w:rPr>
          <w:rFonts w:hint="eastAsia" w:ascii="宋体" w:hAnsi="宋体" w:cs="宋体"/>
          <w:color w:val="auto"/>
          <w:szCs w:val="21"/>
          <w:highlight w:val="none"/>
          <w:lang w:eastAsia="zh-CN"/>
        </w:rPr>
        <w:t>；</w:t>
      </w:r>
    </w:p>
    <w:p>
      <w:pPr>
        <w:pStyle w:val="11"/>
        <w:ind w:left="0" w:leftChars="0" w:firstLine="0" w:firstLineChars="0"/>
        <w:rPr>
          <w:color w:val="auto"/>
          <w:highlight w:val="none"/>
        </w:rPr>
      </w:pP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违约责任</w:t>
      </w:r>
    </w:p>
    <w:p>
      <w:pPr>
        <w:ind w:right="210" w:rightChars="1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未按时租赁车辆给</w:t>
      </w:r>
      <w:r>
        <w:rPr>
          <w:rFonts w:hint="eastAsia" w:ascii="宋体" w:hAnsi="宋体" w:cs="宋体"/>
          <w:color w:val="auto"/>
          <w:sz w:val="24"/>
          <w:szCs w:val="24"/>
          <w:highlight w:val="none"/>
          <w:lang w:val="en-US" w:eastAsia="zh-CN"/>
        </w:rPr>
        <w:t>甲</w:t>
      </w:r>
      <w:r>
        <w:rPr>
          <w:rFonts w:hint="eastAsia" w:ascii="宋体" w:hAnsi="宋体" w:cs="宋体"/>
          <w:color w:val="auto"/>
          <w:sz w:val="24"/>
          <w:szCs w:val="24"/>
          <w:highlight w:val="none"/>
        </w:rPr>
        <w:t>方（包括相关的证件），应按合同</w:t>
      </w:r>
      <w:r>
        <w:rPr>
          <w:rFonts w:hint="eastAsia" w:ascii="宋体" w:hAnsi="宋体" w:cs="宋体"/>
          <w:color w:val="auto"/>
          <w:sz w:val="24"/>
          <w:szCs w:val="24"/>
          <w:highlight w:val="none"/>
          <w:lang w:val="en-US" w:eastAsia="zh-CN"/>
        </w:rPr>
        <w:t>预算</w:t>
      </w:r>
      <w:r>
        <w:rPr>
          <w:rFonts w:hint="eastAsia" w:ascii="宋体" w:hAnsi="宋体" w:cs="宋体"/>
          <w:color w:val="auto"/>
          <w:sz w:val="24"/>
          <w:szCs w:val="24"/>
          <w:highlight w:val="none"/>
        </w:rPr>
        <w:t>金额的</w:t>
      </w:r>
      <w:r>
        <w:rPr>
          <w:rFonts w:hint="eastAsia" w:ascii="宋体" w:hAnsi="宋体" w:cs="宋体"/>
          <w:color w:val="auto"/>
          <w:sz w:val="24"/>
          <w:szCs w:val="24"/>
          <w:highlight w:val="none"/>
          <w:u w:val="single"/>
        </w:rPr>
        <w:t>3‰/</w:t>
      </w:r>
      <w:r>
        <w:rPr>
          <w:rFonts w:hint="eastAsia" w:ascii="宋体" w:hAnsi="宋体" w:cs="宋体"/>
          <w:color w:val="auto"/>
          <w:sz w:val="24"/>
          <w:szCs w:val="24"/>
          <w:highlight w:val="none"/>
        </w:rPr>
        <w:t>日承担违约金。</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6.2</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提供的车辆不满足本合同约定的证照齐全，</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有权另行委托第三方完成租赁。</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无须向</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支付</w:t>
      </w:r>
      <w:r>
        <w:rPr>
          <w:rFonts w:hint="eastAsia" w:ascii="宋体" w:hAnsi="宋体" w:cs="宋体"/>
          <w:color w:val="auto"/>
          <w:sz w:val="24"/>
          <w:szCs w:val="24"/>
          <w:highlight w:val="none"/>
          <w:lang w:val="en-US" w:eastAsia="zh-CN"/>
        </w:rPr>
        <w:t>租金</w:t>
      </w:r>
      <w:r>
        <w:rPr>
          <w:rFonts w:hint="eastAsia" w:ascii="宋体" w:hAnsi="宋体" w:cs="宋体"/>
          <w:color w:val="auto"/>
          <w:sz w:val="24"/>
          <w:szCs w:val="24"/>
          <w:highlight w:val="none"/>
        </w:rPr>
        <w:t>，如</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已付款的，</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应予以退还。</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应支付</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合同</w:t>
      </w:r>
      <w:r>
        <w:rPr>
          <w:rFonts w:hint="eastAsia" w:ascii="宋体" w:hAnsi="宋体" w:cs="宋体"/>
          <w:color w:val="auto"/>
          <w:sz w:val="24"/>
          <w:szCs w:val="24"/>
          <w:highlight w:val="none"/>
          <w:lang w:val="en-US" w:eastAsia="zh-CN"/>
        </w:rPr>
        <w:t>预算</w:t>
      </w:r>
      <w:r>
        <w:rPr>
          <w:rFonts w:hint="eastAsia" w:ascii="宋体" w:hAnsi="宋体" w:cs="宋体"/>
          <w:color w:val="auto"/>
          <w:sz w:val="24"/>
          <w:szCs w:val="24"/>
          <w:highlight w:val="none"/>
        </w:rPr>
        <w:t>金额</w:t>
      </w:r>
      <w:r>
        <w:rPr>
          <w:rFonts w:hint="eastAsia" w:ascii="宋体" w:hAnsi="宋体" w:cs="宋体"/>
          <w:color w:val="auto"/>
          <w:sz w:val="24"/>
          <w:szCs w:val="24"/>
          <w:highlight w:val="none"/>
          <w:u w:val="single"/>
        </w:rPr>
        <w:t>20%</w:t>
      </w:r>
      <w:r>
        <w:rPr>
          <w:rFonts w:hint="eastAsia" w:ascii="宋体" w:hAnsi="宋体" w:cs="宋体"/>
          <w:color w:val="auto"/>
          <w:sz w:val="24"/>
          <w:szCs w:val="24"/>
          <w:highlight w:val="none"/>
        </w:rPr>
        <w:t>的违约金，违约金不足以赔偿因此给</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造成的损失的，</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应补足。</w:t>
      </w:r>
    </w:p>
    <w:p>
      <w:pPr>
        <w:ind w:right="210" w:rightChars="1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6.3</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未按时付款</w:t>
      </w:r>
      <w:r>
        <w:rPr>
          <w:rFonts w:hint="eastAsia" w:ascii="宋体" w:hAnsi="宋体" w:cs="宋体"/>
          <w:color w:val="auto"/>
          <w:sz w:val="24"/>
          <w:szCs w:val="24"/>
          <w:highlight w:val="none"/>
          <w:lang w:val="en-US" w:eastAsia="zh-CN"/>
        </w:rPr>
        <w:t>且经乙方书面催告后仍未支付</w:t>
      </w:r>
      <w:r>
        <w:rPr>
          <w:rFonts w:hint="eastAsia" w:ascii="宋体" w:hAnsi="宋体" w:cs="宋体"/>
          <w:color w:val="auto"/>
          <w:sz w:val="24"/>
          <w:szCs w:val="24"/>
          <w:highlight w:val="none"/>
        </w:rPr>
        <w:t>的，应按合同</w:t>
      </w:r>
      <w:r>
        <w:rPr>
          <w:rFonts w:hint="eastAsia" w:ascii="宋体" w:hAnsi="宋体" w:cs="宋体"/>
          <w:color w:val="auto"/>
          <w:sz w:val="24"/>
          <w:szCs w:val="24"/>
          <w:highlight w:val="none"/>
          <w:lang w:val="en-US" w:eastAsia="zh-CN"/>
        </w:rPr>
        <w:t>预算</w:t>
      </w:r>
      <w:r>
        <w:rPr>
          <w:rFonts w:hint="eastAsia" w:ascii="宋体" w:hAnsi="宋体" w:cs="宋体"/>
          <w:color w:val="auto"/>
          <w:sz w:val="24"/>
          <w:szCs w:val="24"/>
          <w:highlight w:val="none"/>
        </w:rPr>
        <w:t>金额的</w:t>
      </w:r>
      <w:r>
        <w:rPr>
          <w:rFonts w:hint="eastAsia" w:ascii="宋体" w:hAnsi="宋体" w:cs="宋体"/>
          <w:color w:val="auto"/>
          <w:sz w:val="24"/>
          <w:szCs w:val="24"/>
          <w:highlight w:val="none"/>
          <w:u w:val="single"/>
        </w:rPr>
        <w:t>3‰/</w:t>
      </w:r>
      <w:r>
        <w:rPr>
          <w:rFonts w:hint="eastAsia" w:ascii="宋体" w:hAnsi="宋体" w:cs="宋体"/>
          <w:color w:val="auto"/>
          <w:sz w:val="24"/>
          <w:szCs w:val="24"/>
          <w:highlight w:val="none"/>
        </w:rPr>
        <w:t>日支付</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违约金。逾期达20个日历日的，</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有权单方终止合同并要求</w:t>
      </w:r>
      <w:r>
        <w:rPr>
          <w:rFonts w:hint="eastAsia" w:ascii="宋体" w:hAnsi="宋体" w:cs="宋体"/>
          <w:color w:val="auto"/>
          <w:sz w:val="24"/>
          <w:szCs w:val="24"/>
          <w:highlight w:val="none"/>
          <w:lang w:val="en-US" w:eastAsia="zh-CN"/>
        </w:rPr>
        <w:t>甲</w:t>
      </w:r>
      <w:r>
        <w:rPr>
          <w:rFonts w:hint="eastAsia" w:ascii="宋体" w:hAnsi="宋体" w:cs="宋体"/>
          <w:color w:val="auto"/>
          <w:sz w:val="24"/>
          <w:szCs w:val="24"/>
          <w:highlight w:val="none"/>
        </w:rPr>
        <w:t>方赔偿一切损失。</w:t>
      </w:r>
    </w:p>
    <w:p>
      <w:pPr>
        <w:ind w:right="210" w:rightChars="1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6.4</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在履约过程中因违约应承担违约金、罚款或</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损失的，</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有权</w:t>
      </w:r>
      <w:r>
        <w:rPr>
          <w:rFonts w:hint="eastAsia" w:ascii="宋体" w:hAnsi="宋体" w:cs="宋体"/>
          <w:color w:val="auto"/>
          <w:sz w:val="24"/>
          <w:szCs w:val="24"/>
          <w:highlight w:val="none"/>
          <w:lang w:val="en-US" w:eastAsia="zh-CN"/>
        </w:rPr>
        <w:t>在履约保证金或甲方及集团内公司对乙方的应付款中径行扣除，如前述款项不足以覆盖甲方损失的，甲方有权</w:t>
      </w:r>
      <w:r>
        <w:rPr>
          <w:rFonts w:hint="eastAsia" w:ascii="宋体" w:hAnsi="宋体" w:cs="宋体"/>
          <w:color w:val="auto"/>
          <w:sz w:val="24"/>
          <w:szCs w:val="24"/>
          <w:highlight w:val="none"/>
        </w:rPr>
        <w:t>另行追偿。</w:t>
      </w:r>
    </w:p>
    <w:p>
      <w:pPr>
        <w:ind w:right="210" w:rightChars="1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6.5 因一方或双方遇不可抗力不能继续履行合同时，双方互免承担违约责任，可在结清已发生费用后解除合同。</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6.6 </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无正当理由拒不履行本合同约定，经</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书面通知后，仍未在限期内整改的，</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有权解除合同，</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应向</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退回所有已收取款项，且应按合同总付款的20%向</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支付违约金。</w:t>
      </w:r>
    </w:p>
    <w:p>
      <w:pPr>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6.7 </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依法律相关规定或本合同约定解除合同的，</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所有人员、产品必须在</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解除合同书面通知送达之日起3个工作日内撤离，逾期未撤离的，</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应向</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支付场地占用</w:t>
      </w:r>
      <w:r>
        <w:rPr>
          <w:rFonts w:hint="eastAsia" w:ascii="宋体" w:hAnsi="宋体" w:cs="宋体"/>
          <w:color w:val="auto"/>
          <w:sz w:val="24"/>
          <w:szCs w:val="24"/>
          <w:highlight w:val="none"/>
          <w:u w:val="single"/>
        </w:rPr>
        <w:t>费500元/日</w:t>
      </w:r>
      <w:r>
        <w:rPr>
          <w:rFonts w:hint="eastAsia" w:ascii="宋体" w:hAnsi="宋体" w:cs="宋体"/>
          <w:color w:val="auto"/>
          <w:sz w:val="24"/>
          <w:szCs w:val="24"/>
          <w:highlight w:val="none"/>
        </w:rPr>
        <w:t>。解除合同书面通知送达之日起，</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无须对</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的产品负保管义务和责任，若相关产品损坏或损毁，均由</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rPr>
        <w:t>自行承担损失。</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6.8 </w:t>
      </w:r>
      <w:r>
        <w:rPr>
          <w:rFonts w:hint="eastAsia" w:ascii="宋体" w:hAnsi="宋体" w:eastAsia="宋体" w:cs="宋体"/>
          <w:color w:val="auto"/>
          <w:sz w:val="24"/>
          <w:szCs w:val="24"/>
          <w:highlight w:val="none"/>
        </w:rPr>
        <w:t>因</w:t>
      </w:r>
      <w:r>
        <w:rPr>
          <w:rFonts w:hint="eastAsia" w:ascii="宋体" w:hAnsi="宋体" w:eastAsia="宋体" w:cs="宋体"/>
          <w:color w:val="auto"/>
          <w:sz w:val="24"/>
          <w:szCs w:val="24"/>
          <w:highlight w:val="none"/>
          <w:lang w:val="en-US" w:eastAsia="zh-CN"/>
        </w:rPr>
        <w:t>本合同相关</w:t>
      </w:r>
      <w:r>
        <w:rPr>
          <w:rFonts w:hint="eastAsia" w:ascii="宋体" w:hAnsi="宋体" w:eastAsia="宋体" w:cs="宋体"/>
          <w:color w:val="auto"/>
          <w:sz w:val="24"/>
          <w:szCs w:val="24"/>
          <w:highlight w:val="none"/>
        </w:rPr>
        <w:t>事宜产生纠纷，</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通过司法途径维护自身权益的，</w:t>
      </w:r>
      <w:r>
        <w:rPr>
          <w:rFonts w:hint="eastAsia" w:ascii="宋体" w:hAnsi="宋体" w:eastAsia="宋体" w:cs="宋体"/>
          <w:color w:val="auto"/>
          <w:sz w:val="24"/>
          <w:szCs w:val="24"/>
          <w:highlight w:val="none"/>
          <w:lang w:val="en-US" w:eastAsia="zh-CN"/>
        </w:rPr>
        <w:t>甲方应</w:t>
      </w:r>
      <w:r>
        <w:rPr>
          <w:rFonts w:hint="eastAsia" w:ascii="宋体" w:hAnsi="宋体" w:eastAsia="宋体" w:cs="宋体"/>
          <w:color w:val="auto"/>
          <w:sz w:val="24"/>
          <w:szCs w:val="24"/>
          <w:highlight w:val="none"/>
        </w:rPr>
        <w:t>承担</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因</w:t>
      </w:r>
      <w:r>
        <w:rPr>
          <w:rFonts w:hint="eastAsia" w:ascii="宋体" w:hAnsi="宋体" w:eastAsia="宋体" w:cs="宋体"/>
          <w:color w:val="auto"/>
          <w:sz w:val="24"/>
          <w:szCs w:val="24"/>
          <w:highlight w:val="none"/>
          <w:lang w:val="en-US" w:eastAsia="zh-CN"/>
        </w:rPr>
        <w:t>维护</w:t>
      </w:r>
      <w:r>
        <w:rPr>
          <w:rFonts w:hint="eastAsia" w:ascii="宋体" w:hAnsi="宋体" w:eastAsia="宋体" w:cs="宋体"/>
          <w:color w:val="auto"/>
          <w:sz w:val="24"/>
          <w:szCs w:val="24"/>
          <w:highlight w:val="none"/>
        </w:rPr>
        <w:t>自身权益产生的律师费、诉讼/仲裁费、财产保全费、财产保全担保费、</w:t>
      </w:r>
      <w:r>
        <w:rPr>
          <w:rFonts w:hint="eastAsia" w:ascii="宋体" w:hAnsi="宋体" w:eastAsia="宋体" w:cs="宋体"/>
          <w:color w:val="auto"/>
          <w:sz w:val="24"/>
          <w:szCs w:val="24"/>
          <w:highlight w:val="none"/>
          <w:lang w:val="en-US" w:eastAsia="zh-CN"/>
        </w:rPr>
        <w:t>鉴定费、</w:t>
      </w:r>
      <w:r>
        <w:rPr>
          <w:rFonts w:hint="eastAsia" w:ascii="宋体" w:hAnsi="宋体" w:eastAsia="宋体" w:cs="宋体"/>
          <w:color w:val="auto"/>
          <w:sz w:val="24"/>
          <w:szCs w:val="24"/>
          <w:highlight w:val="none"/>
        </w:rPr>
        <w:t>评估费、拍卖费、强制执行费、差旅费等全部费用</w:t>
      </w:r>
      <w:r>
        <w:rPr>
          <w:rFonts w:hint="eastAsia" w:ascii="宋体" w:hAnsi="宋体" w:eastAsia="宋体" w:cs="宋体"/>
          <w:color w:val="auto"/>
          <w:sz w:val="24"/>
          <w:szCs w:val="24"/>
          <w:highlight w:val="none"/>
          <w:lang w:eastAsia="zh-CN"/>
        </w:rPr>
        <w:t>。</w:t>
      </w:r>
    </w:p>
    <w:p>
      <w:pPr>
        <w:pStyle w:val="11"/>
        <w:ind w:left="0"/>
        <w:rPr>
          <w:color w:val="auto"/>
          <w:highlight w:val="none"/>
        </w:rPr>
      </w:pP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不可抗力</w:t>
      </w:r>
    </w:p>
    <w:p>
      <w:pPr>
        <w:ind w:right="210" w:rightChars="1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甲乙双方中任何一方由于不可抗力影响合同执行时，发生不可抗力一方应在24小时内通知另一方。在此情况下，</w:t>
      </w:r>
      <w:r>
        <w:rPr>
          <w:rFonts w:hint="eastAsia" w:ascii="宋体" w:hAnsi="宋体" w:cs="宋体"/>
          <w:color w:val="auto"/>
          <w:sz w:val="24"/>
          <w:szCs w:val="24"/>
          <w:highlight w:val="none"/>
          <w:lang w:val="en-US" w:eastAsia="zh-CN"/>
        </w:rPr>
        <w:t>乙</w:t>
      </w:r>
      <w:r>
        <w:rPr>
          <w:rFonts w:hint="eastAsia" w:ascii="宋体" w:hAnsi="宋体" w:cs="宋体"/>
          <w:color w:val="auto"/>
          <w:sz w:val="24"/>
          <w:szCs w:val="24"/>
          <w:highlight w:val="none"/>
        </w:rPr>
        <w:t>方仍然有责任采取必要的措施加速供货，双方应通过友好协商尽快解决本合同的执行问题。</w:t>
      </w:r>
    </w:p>
    <w:p>
      <w:pPr>
        <w:pStyle w:val="11"/>
        <w:rPr>
          <w:color w:val="auto"/>
          <w:highlight w:val="none"/>
        </w:rPr>
      </w:pP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争议的解决</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因履行本合同发生的任何争议，双方本着友好互利的原则协商解决。协商不成时应向</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rPr>
        <w:t>所在地人民法院提起诉讼。除有争议的部分外，双方应继续履行本合同所约定的义务。</w:t>
      </w:r>
    </w:p>
    <w:p>
      <w:pPr>
        <w:pStyle w:val="11"/>
        <w:rPr>
          <w:color w:val="auto"/>
          <w:highlight w:val="none"/>
        </w:rPr>
      </w:pPr>
    </w:p>
    <w:p>
      <w:pPr>
        <w:numPr>
          <w:ilvl w:val="0"/>
          <w:numId w:val="15"/>
        </w:numPr>
        <w:ind w:firstLine="490" w:firstLineChars="200"/>
        <w:rPr>
          <w:rFonts w:ascii="宋体" w:hAnsi="宋体" w:cs="宋体"/>
          <w:b/>
          <w:bCs/>
          <w:color w:val="auto"/>
          <w:spacing w:val="2"/>
          <w:sz w:val="24"/>
          <w:szCs w:val="24"/>
          <w:highlight w:val="none"/>
        </w:rPr>
      </w:pPr>
      <w:r>
        <w:rPr>
          <w:rFonts w:hint="eastAsia" w:ascii="宋体" w:hAnsi="宋体" w:cs="宋体"/>
          <w:b/>
          <w:bCs/>
          <w:color w:val="auto"/>
          <w:spacing w:val="2"/>
          <w:sz w:val="24"/>
          <w:szCs w:val="24"/>
          <w:highlight w:val="none"/>
        </w:rPr>
        <w:t>其它约定</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9.1本合同任何内容的修改，须由双方进行协商，并另行签订补充协议或书面文件。合同中未尽事项，由双方协商另行签订补充协议。</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9.2任何一方未经另一方的书面同意，均不得将本合同的权利、义务转让给第三方。</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9.3本合同一式陆份，甲方执贰份、乙方执肆份。本合同自双方法定代表人或委托代理人签字并加合同章（或公章）后生效，合同履行完毕后自行失效。</w:t>
      </w:r>
    </w:p>
    <w:p>
      <w:pPr>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9.4</w:t>
      </w:r>
      <w:r>
        <w:rPr>
          <w:rFonts w:hint="eastAsia" w:ascii="宋体" w:hAnsi="宋体" w:cs="宋体"/>
          <w:color w:val="auto"/>
          <w:sz w:val="24"/>
          <w:szCs w:val="24"/>
          <w:highlight w:val="none"/>
          <w:lang w:val="en-US" w:eastAsia="zh-CN"/>
        </w:rPr>
        <w:t xml:space="preserve"> 双方在本合同首部上所填写的地址为送达地址。如联系地址或电话改变的，须在变更后3日内将更改后的联系地址以书面形式通知对方，否则由此造成的一切后果由变更方自行承担。一方在收到该变更的书面通知前已发出的文件仍视为有效送达。双方通过诉讼途径解决纷争时人民法院的诉讼文书亦可以按本合同约定地址送达。</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9.5</w:t>
      </w:r>
      <w:r>
        <w:rPr>
          <w:rFonts w:hint="eastAsia" w:ascii="宋体" w:hAnsi="宋体" w:cs="宋体"/>
          <w:color w:val="auto"/>
          <w:sz w:val="24"/>
          <w:szCs w:val="24"/>
          <w:highlight w:val="none"/>
        </w:rPr>
        <w:t>本合同附件：</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附件1：《车辆交接验收清单》</w:t>
      </w:r>
    </w:p>
    <w:p>
      <w:pPr>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附件2：《阳光合作协议》</w:t>
      </w:r>
    </w:p>
    <w:p>
      <w:pPr>
        <w:pStyle w:val="11"/>
        <w:ind w:left="0" w:firstLine="480" w:firstLineChars="200"/>
        <w:rPr>
          <w:rFonts w:hint="default" w:eastAsia="宋体"/>
          <w:color w:val="auto"/>
          <w:highlight w:val="none"/>
          <w:lang w:val="en-US" w:eastAsia="zh-CN"/>
        </w:rPr>
      </w:pPr>
      <w:r>
        <w:rPr>
          <w:rFonts w:hint="eastAsia" w:cs="宋体"/>
          <w:color w:val="auto"/>
          <w:sz w:val="24"/>
          <w:szCs w:val="24"/>
          <w:highlight w:val="none"/>
          <w:lang w:val="en-US" w:eastAsia="zh-CN"/>
        </w:rPr>
        <w:t>附件3：</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（以下无正文）</w:t>
      </w:r>
    </w:p>
    <w:p>
      <w:pPr>
        <w:ind w:firstLine="480" w:firstLineChars="200"/>
        <w:rPr>
          <w:rFonts w:ascii="宋体" w:hAnsi="宋体" w:cs="宋体"/>
          <w:color w:val="auto"/>
          <w:sz w:val="24"/>
          <w:szCs w:val="24"/>
          <w:highlight w:val="none"/>
        </w:rPr>
      </w:pP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甲方（盖章）：                     乙方（盖章）：</w:t>
      </w:r>
    </w:p>
    <w:p>
      <w:pPr>
        <w:ind w:firstLine="480" w:firstLineChars="200"/>
        <w:rPr>
          <w:rFonts w:ascii="宋体" w:hAnsi="宋体" w:cs="宋体"/>
          <w:color w:val="auto"/>
          <w:sz w:val="24"/>
          <w:szCs w:val="24"/>
          <w:highlight w:val="none"/>
        </w:rPr>
      </w:pP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法定代表人（签章）：               法定代表人（签章）：</w:t>
      </w:r>
    </w:p>
    <w:p>
      <w:pPr>
        <w:ind w:firstLine="480" w:firstLineChars="200"/>
        <w:rPr>
          <w:rFonts w:ascii="宋体" w:hAnsi="宋体" w:cs="宋体"/>
          <w:color w:val="auto"/>
          <w:sz w:val="24"/>
          <w:szCs w:val="24"/>
          <w:highlight w:val="none"/>
        </w:rPr>
      </w:pP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或授权代表人（签字）：             或授权代表人（签字）：</w:t>
      </w:r>
    </w:p>
    <w:p>
      <w:pPr>
        <w:ind w:left="210" w:leftChars="1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签约地点：东莞市</w:t>
      </w:r>
    </w:p>
    <w:p>
      <w:pPr>
        <w:ind w:right="960"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 xml:space="preserve">                                 签订时间:2023年  月  日</w:t>
      </w:r>
    </w:p>
    <w:p>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br w:type="page"/>
      </w:r>
    </w:p>
    <w:p>
      <w:pPr>
        <w:ind w:firstLine="482" w:firstLineChars="200"/>
        <w:rPr>
          <w:rFonts w:ascii="宋体" w:hAnsi="宋体"/>
          <w:b/>
          <w:color w:val="auto"/>
          <w:sz w:val="24"/>
          <w:szCs w:val="24"/>
          <w:highlight w:val="none"/>
        </w:rPr>
      </w:pPr>
      <w:r>
        <w:rPr>
          <w:rFonts w:hint="eastAsia" w:ascii="宋体" w:hAnsi="宋体"/>
          <w:b/>
          <w:color w:val="auto"/>
          <w:sz w:val="24"/>
          <w:szCs w:val="24"/>
          <w:highlight w:val="none"/>
        </w:rPr>
        <w:t>附件</w:t>
      </w:r>
      <w:r>
        <w:rPr>
          <w:rFonts w:ascii="宋体" w:hAnsi="宋体"/>
          <w:b/>
          <w:color w:val="auto"/>
          <w:sz w:val="24"/>
          <w:szCs w:val="24"/>
          <w:highlight w:val="none"/>
        </w:rPr>
        <w:t>1</w:t>
      </w:r>
      <w:r>
        <w:rPr>
          <w:rFonts w:hint="eastAsia" w:ascii="宋体" w:hAnsi="宋体"/>
          <w:b/>
          <w:color w:val="auto"/>
          <w:sz w:val="24"/>
          <w:szCs w:val="24"/>
          <w:highlight w:val="none"/>
        </w:rPr>
        <w:t>：车辆交接验收清单：</w:t>
      </w:r>
    </w:p>
    <w:p>
      <w:pPr>
        <w:jc w:val="center"/>
        <w:rPr>
          <w:b/>
          <w:bCs/>
          <w:color w:val="auto"/>
          <w:sz w:val="32"/>
          <w:szCs w:val="32"/>
          <w:highlight w:val="none"/>
        </w:rPr>
      </w:pPr>
      <w:r>
        <w:rPr>
          <w:rFonts w:hint="eastAsia"/>
          <w:b/>
          <w:bCs/>
          <w:color w:val="auto"/>
          <w:sz w:val="32"/>
          <w:szCs w:val="32"/>
          <w:highlight w:val="none"/>
        </w:rPr>
        <w:t>车辆交付使用工具及证件清单</w:t>
      </w:r>
    </w:p>
    <w:p>
      <w:pPr>
        <w:rPr>
          <w:color w:val="auto"/>
          <w:sz w:val="32"/>
          <w:szCs w:val="32"/>
          <w:highlight w:val="none"/>
        </w:rPr>
      </w:pPr>
    </w:p>
    <w:p>
      <w:pPr>
        <w:spacing w:line="276" w:lineRule="auto"/>
        <w:rPr>
          <w:rFonts w:ascii="宋体" w:hAnsi="宋体"/>
          <w:b/>
          <w:bCs/>
          <w:color w:val="auto"/>
          <w:sz w:val="24"/>
          <w:szCs w:val="24"/>
          <w:highlight w:val="none"/>
        </w:rPr>
      </w:pPr>
      <w:r>
        <w:rPr>
          <w:rFonts w:hint="eastAsia" w:ascii="宋体" w:hAnsi="宋体"/>
          <w:b/>
          <w:bCs/>
          <w:color w:val="auto"/>
          <w:sz w:val="24"/>
          <w:szCs w:val="24"/>
          <w:highlight w:val="none"/>
        </w:rPr>
        <w:t>车辆号码：</w:t>
      </w:r>
      <w:r>
        <w:rPr>
          <w:rFonts w:hint="eastAsia" w:ascii="宋体" w:hAnsi="宋体"/>
          <w:b/>
          <w:bCs/>
          <w:color w:val="auto"/>
          <w:sz w:val="24"/>
          <w:szCs w:val="24"/>
          <w:highlight w:val="none"/>
        </w:rPr>
        <w:tab/>
      </w:r>
      <w:r>
        <w:rPr>
          <w:rFonts w:hint="eastAsia" w:ascii="宋体" w:hAnsi="宋体"/>
          <w:b/>
          <w:bCs/>
          <w:color w:val="auto"/>
          <w:sz w:val="24"/>
          <w:szCs w:val="24"/>
          <w:highlight w:val="none"/>
        </w:rPr>
        <w:t xml:space="preserve">                             交付日期：</w:t>
      </w:r>
      <w:r>
        <w:rPr>
          <w:rFonts w:hint="eastAsia" w:ascii="宋体" w:hAnsi="宋体"/>
          <w:b/>
          <w:bCs/>
          <w:color w:val="auto"/>
          <w:sz w:val="24"/>
          <w:szCs w:val="24"/>
          <w:highlight w:val="none"/>
        </w:rPr>
        <w:tab/>
      </w:r>
      <w:r>
        <w:rPr>
          <w:rFonts w:hint="eastAsia" w:ascii="宋体" w:hAnsi="宋体"/>
          <w:b/>
          <w:bCs/>
          <w:color w:val="auto"/>
          <w:sz w:val="24"/>
          <w:szCs w:val="24"/>
          <w:highlight w:val="none"/>
        </w:rPr>
        <w:t xml:space="preserve">      年     月    日</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2971"/>
        <w:gridCol w:w="1797"/>
        <w:gridCol w:w="820"/>
        <w:gridCol w:w="834"/>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36"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序号</w:t>
            </w:r>
          </w:p>
        </w:tc>
        <w:tc>
          <w:tcPr>
            <w:tcW w:w="1743"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工具及证件名称</w:t>
            </w:r>
          </w:p>
        </w:tc>
        <w:tc>
          <w:tcPr>
            <w:tcW w:w="1054"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规格型号</w:t>
            </w:r>
          </w:p>
        </w:tc>
        <w:tc>
          <w:tcPr>
            <w:tcW w:w="481"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单位</w:t>
            </w:r>
          </w:p>
        </w:tc>
        <w:tc>
          <w:tcPr>
            <w:tcW w:w="489"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数量</w:t>
            </w:r>
          </w:p>
        </w:tc>
        <w:tc>
          <w:tcPr>
            <w:tcW w:w="594"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36"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1</w:t>
            </w: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36"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2</w:t>
            </w: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36"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3</w:t>
            </w: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Pr>
          <w:p>
            <w:pPr>
              <w:spacing w:line="276" w:lineRule="auto"/>
              <w:jc w:val="center"/>
              <w:rPr>
                <w:rFonts w:ascii="宋体" w:hAnsi="宋体"/>
                <w:b/>
                <w:bCs/>
                <w:color w:val="auto"/>
                <w:sz w:val="24"/>
                <w:szCs w:val="24"/>
                <w:highlight w:val="none"/>
              </w:rPr>
            </w:pPr>
            <w:r>
              <w:rPr>
                <w:rFonts w:hint="eastAsia" w:ascii="宋体" w:hAnsi="宋体"/>
                <w:b/>
                <w:bCs/>
                <w:color w:val="auto"/>
                <w:sz w:val="24"/>
                <w:szCs w:val="24"/>
                <w:highlight w:val="none"/>
              </w:rPr>
              <w:t>4</w:t>
            </w: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Pr>
          <w:p>
            <w:pPr>
              <w:spacing w:line="276" w:lineRule="auto"/>
              <w:jc w:val="center"/>
              <w:rPr>
                <w:rFonts w:ascii="宋体" w:hAnsi="宋体"/>
                <w:b/>
                <w:bCs/>
                <w:color w:val="auto"/>
                <w:sz w:val="24"/>
                <w:szCs w:val="24"/>
                <w:highlight w:val="none"/>
              </w:rPr>
            </w:pP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Pr>
          <w:p>
            <w:pPr>
              <w:spacing w:line="276" w:lineRule="auto"/>
              <w:jc w:val="center"/>
              <w:rPr>
                <w:rFonts w:ascii="宋体" w:hAnsi="宋体"/>
                <w:b/>
                <w:bCs/>
                <w:color w:val="auto"/>
                <w:sz w:val="24"/>
                <w:szCs w:val="24"/>
                <w:highlight w:val="none"/>
              </w:rPr>
            </w:pP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Pr>
          <w:p>
            <w:pPr>
              <w:spacing w:line="276" w:lineRule="auto"/>
              <w:jc w:val="center"/>
              <w:rPr>
                <w:rFonts w:ascii="宋体" w:hAnsi="宋体"/>
                <w:b/>
                <w:bCs/>
                <w:color w:val="auto"/>
                <w:sz w:val="24"/>
                <w:szCs w:val="24"/>
                <w:highlight w:val="none"/>
              </w:rPr>
            </w:pP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tcPr>
          <w:p>
            <w:pPr>
              <w:spacing w:line="276" w:lineRule="auto"/>
              <w:jc w:val="center"/>
              <w:rPr>
                <w:rFonts w:ascii="宋体" w:hAnsi="宋体"/>
                <w:b/>
                <w:bCs/>
                <w:color w:val="auto"/>
                <w:sz w:val="24"/>
                <w:szCs w:val="24"/>
                <w:highlight w:val="none"/>
              </w:rPr>
            </w:pPr>
          </w:p>
        </w:tc>
        <w:tc>
          <w:tcPr>
            <w:tcW w:w="1743" w:type="pct"/>
          </w:tcPr>
          <w:p>
            <w:pPr>
              <w:spacing w:line="276" w:lineRule="auto"/>
              <w:jc w:val="center"/>
              <w:rPr>
                <w:rFonts w:ascii="宋体" w:hAnsi="宋体"/>
                <w:b/>
                <w:bCs/>
                <w:color w:val="auto"/>
                <w:sz w:val="24"/>
                <w:szCs w:val="24"/>
                <w:highlight w:val="none"/>
              </w:rPr>
            </w:pPr>
          </w:p>
        </w:tc>
        <w:tc>
          <w:tcPr>
            <w:tcW w:w="1054" w:type="pct"/>
          </w:tcPr>
          <w:p>
            <w:pPr>
              <w:spacing w:line="276" w:lineRule="auto"/>
              <w:jc w:val="center"/>
              <w:rPr>
                <w:rFonts w:ascii="宋体" w:hAnsi="宋体"/>
                <w:b/>
                <w:bCs/>
                <w:color w:val="auto"/>
                <w:sz w:val="24"/>
                <w:szCs w:val="24"/>
                <w:highlight w:val="none"/>
              </w:rPr>
            </w:pPr>
          </w:p>
        </w:tc>
        <w:tc>
          <w:tcPr>
            <w:tcW w:w="481" w:type="pct"/>
          </w:tcPr>
          <w:p>
            <w:pPr>
              <w:spacing w:line="276" w:lineRule="auto"/>
              <w:jc w:val="center"/>
              <w:rPr>
                <w:rFonts w:ascii="宋体" w:hAnsi="宋体"/>
                <w:b/>
                <w:bCs/>
                <w:color w:val="auto"/>
                <w:sz w:val="24"/>
                <w:szCs w:val="24"/>
                <w:highlight w:val="none"/>
              </w:rPr>
            </w:pPr>
          </w:p>
        </w:tc>
        <w:tc>
          <w:tcPr>
            <w:tcW w:w="489" w:type="pct"/>
          </w:tcPr>
          <w:p>
            <w:pPr>
              <w:spacing w:line="276" w:lineRule="auto"/>
              <w:jc w:val="center"/>
              <w:rPr>
                <w:rFonts w:ascii="宋体" w:hAnsi="宋体"/>
                <w:b/>
                <w:bCs/>
                <w:color w:val="auto"/>
                <w:sz w:val="24"/>
                <w:szCs w:val="24"/>
                <w:highlight w:val="none"/>
              </w:rPr>
            </w:pPr>
          </w:p>
        </w:tc>
        <w:tc>
          <w:tcPr>
            <w:tcW w:w="594" w:type="pct"/>
          </w:tcPr>
          <w:p>
            <w:pPr>
              <w:spacing w:line="276" w:lineRule="auto"/>
              <w:jc w:val="center"/>
              <w:rPr>
                <w:rFonts w:ascii="宋体" w:hAnsi="宋体"/>
                <w:b/>
                <w:bCs/>
                <w:color w:val="auto"/>
                <w:sz w:val="24"/>
                <w:szCs w:val="24"/>
                <w:highlight w:val="none"/>
              </w:rPr>
            </w:pPr>
          </w:p>
        </w:tc>
      </w:tr>
    </w:tbl>
    <w:p>
      <w:pPr>
        <w:spacing w:line="276" w:lineRule="auto"/>
        <w:rPr>
          <w:rFonts w:ascii="宋体" w:hAnsi="宋体"/>
          <w:color w:val="auto"/>
          <w:sz w:val="24"/>
          <w:szCs w:val="24"/>
          <w:highlight w:val="none"/>
        </w:rPr>
      </w:pPr>
      <w:r>
        <w:rPr>
          <w:rFonts w:hint="eastAsia" w:ascii="宋体" w:hAnsi="宋体"/>
          <w:color w:val="auto"/>
          <w:sz w:val="24"/>
          <w:szCs w:val="24"/>
          <w:highlight w:val="none"/>
        </w:rPr>
        <w:t>备注：以上车辆、资料、证件及工具等交接给乙方后均由乙方车辆使用部门负责保管，车辆用品的完整、齐全，并定期检查，填写检査记录表。为保证车辆的正常使用，也为了驾驶员的人身安全，请使用部门及使用人高度重视车辆的保管和使用，遇任何情况请及时与车辆管理部门沟通，要确保清单上所有物品完整。</w:t>
      </w:r>
    </w:p>
    <w:p>
      <w:pPr>
        <w:ind w:firstLine="241" w:firstLineChars="100"/>
        <w:rPr>
          <w:rFonts w:ascii="宋体" w:hAnsi="宋体"/>
          <w:b/>
          <w:color w:val="auto"/>
          <w:sz w:val="24"/>
          <w:szCs w:val="24"/>
          <w:highlight w:val="none"/>
        </w:rPr>
      </w:pPr>
      <w:r>
        <w:rPr>
          <w:rFonts w:ascii="宋体" w:hAnsi="宋体"/>
          <w:b/>
          <w:color w:val="auto"/>
          <w:sz w:val="24"/>
          <w:szCs w:val="24"/>
          <w:highlight w:val="none"/>
        </w:rPr>
        <w:br w:type="page"/>
      </w:r>
      <w:r>
        <w:rPr>
          <w:rFonts w:hint="eastAsia" w:ascii="宋体" w:hAnsi="宋体"/>
          <w:b/>
          <w:color w:val="auto"/>
          <w:sz w:val="24"/>
          <w:szCs w:val="24"/>
          <w:highlight w:val="none"/>
        </w:rPr>
        <w:t>附件</w:t>
      </w:r>
      <w:r>
        <w:rPr>
          <w:rFonts w:ascii="宋体" w:hAnsi="宋体"/>
          <w:b/>
          <w:color w:val="auto"/>
          <w:sz w:val="24"/>
          <w:szCs w:val="24"/>
          <w:highlight w:val="none"/>
        </w:rPr>
        <w:t>2</w:t>
      </w:r>
      <w:r>
        <w:rPr>
          <w:rFonts w:hint="eastAsia" w:ascii="宋体" w:hAnsi="宋体"/>
          <w:b/>
          <w:color w:val="auto"/>
          <w:sz w:val="24"/>
          <w:szCs w:val="24"/>
          <w:highlight w:val="none"/>
        </w:rPr>
        <w:t>：</w:t>
      </w:r>
    </w:p>
    <w:p>
      <w:pPr>
        <w:jc w:val="center"/>
        <w:rPr>
          <w:rFonts w:ascii="宋体" w:hAnsi="宋体"/>
          <w:b/>
          <w:color w:val="auto"/>
          <w:sz w:val="24"/>
          <w:szCs w:val="24"/>
          <w:highlight w:val="none"/>
        </w:rPr>
      </w:pPr>
      <w:r>
        <w:rPr>
          <w:rFonts w:hint="eastAsia" w:ascii="宋体" w:hAnsi="宋体"/>
          <w:b/>
          <w:color w:val="auto"/>
          <w:sz w:val="24"/>
          <w:szCs w:val="24"/>
          <w:highlight w:val="none"/>
        </w:rPr>
        <w:t>阳光合作协议</w:t>
      </w:r>
    </w:p>
    <w:p>
      <w:pPr>
        <w:jc w:val="center"/>
        <w:rPr>
          <w:rFonts w:ascii="宋体" w:hAnsi="宋体"/>
          <w:b/>
          <w:color w:val="auto"/>
          <w:sz w:val="24"/>
          <w:szCs w:val="24"/>
          <w:highlight w:val="none"/>
        </w:rPr>
      </w:pPr>
    </w:p>
    <w:p>
      <w:pPr>
        <w:spacing w:before="180" w:beforeLines="50" w:after="180" w:afterLines="50" w:line="480" w:lineRule="exact"/>
        <w:ind w:firstLine="420" w:firstLineChars="200"/>
        <w:contextualSpacing/>
        <w:rPr>
          <w:rFonts w:ascii="宋体" w:hAnsi="宋体"/>
          <w:color w:val="auto"/>
          <w:highlight w:val="none"/>
        </w:rPr>
      </w:pPr>
      <w:r>
        <w:rPr>
          <w:rFonts w:hint="eastAsia" w:ascii="宋体" w:hAnsi="宋体"/>
          <w:color w:val="auto"/>
          <w:highlight w:val="none"/>
        </w:rPr>
        <w:t>甲方（采购方全称）：东莞市东实城市环境服务有限公司</w:t>
      </w:r>
    </w:p>
    <w:p>
      <w:pPr>
        <w:spacing w:before="180" w:beforeLines="50" w:after="180" w:afterLines="50" w:line="480" w:lineRule="exact"/>
        <w:ind w:firstLine="420" w:firstLineChars="200"/>
        <w:contextualSpacing/>
        <w:rPr>
          <w:rFonts w:ascii="宋体" w:hAnsi="宋体"/>
          <w:color w:val="auto"/>
          <w:highlight w:val="none"/>
        </w:rPr>
      </w:pPr>
      <w:r>
        <w:rPr>
          <w:rFonts w:hint="eastAsia" w:ascii="宋体" w:hAnsi="宋体"/>
          <w:color w:val="auto"/>
          <w:highlight w:val="none"/>
        </w:rPr>
        <w:t>乙方（供应方全称）：</w:t>
      </w:r>
    </w:p>
    <w:p>
      <w:pPr>
        <w:spacing w:before="180" w:beforeLines="50" w:after="180" w:afterLines="50"/>
        <w:ind w:firstLine="420" w:firstLineChars="200"/>
        <w:contextualSpacing/>
        <w:rPr>
          <w:rFonts w:ascii="宋体"/>
          <w:color w:val="auto"/>
          <w:highlight w:val="none"/>
        </w:rPr>
      </w:pPr>
      <w:r>
        <w:rPr>
          <w:rFonts w:hint="eastAsia" w:ascii="宋体" w:hAnsi="宋体"/>
          <w:color w:val="auto"/>
          <w:highlight w:val="none"/>
        </w:rPr>
        <w:t>甲乙双方于2023年  月  日签署了   项目合同（以下简称原合同），为加强双方阳光合作，保证职员职业安全，甲乙双方经协商签订本协议并作为双方共同遵守的阳光合作行为准则。</w:t>
      </w:r>
    </w:p>
    <w:p>
      <w:pPr>
        <w:spacing w:before="180" w:beforeLines="50" w:after="180" w:afterLines="50"/>
        <w:ind w:left="420" w:leftChars="200"/>
        <w:contextualSpacing/>
        <w:rPr>
          <w:rFonts w:ascii="宋体" w:hAnsi="宋体"/>
          <w:b/>
          <w:color w:val="auto"/>
          <w:highlight w:val="none"/>
        </w:rPr>
      </w:pPr>
      <w:r>
        <w:rPr>
          <w:rFonts w:hint="eastAsia" w:ascii="宋体" w:hAnsi="宋体"/>
          <w:b/>
          <w:color w:val="auto"/>
          <w:highlight w:val="none"/>
        </w:rPr>
        <w:t>一、甲方责任</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1.甲方有责任向乙方介绍本单位有关采购管理通用原则和本协议的规定。</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2.甲方有责任对本单位相关人员进行阳光合作教育。</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4.甲方人员如违反阳光合作管理制度及本协议规定，甲方视情节轻重、影响大小给予行政及经济处罚。</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5．对于乙方举报甲方人员违反阳光合作规定的情况，甲方应及时进行调查，根据调查情况进行处理，并将调查结果向乙方反馈。</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6.接受举报的一方应为举报方保密，不得对举报方进行报复，对举报属实和严格遵守《阳光合作协议》的合作方，在同等条件下给予后续合作的优先权。</w:t>
      </w:r>
    </w:p>
    <w:p>
      <w:pPr>
        <w:spacing w:before="180" w:beforeLines="50" w:after="180" w:afterLines="50"/>
        <w:ind w:left="420" w:leftChars="200"/>
        <w:contextualSpacing/>
        <w:rPr>
          <w:rFonts w:ascii="宋体" w:hAnsi="宋体"/>
          <w:b/>
          <w:color w:val="auto"/>
          <w:highlight w:val="none"/>
        </w:rPr>
      </w:pPr>
      <w:r>
        <w:rPr>
          <w:rFonts w:hint="eastAsia" w:ascii="宋体" w:hAnsi="宋体"/>
          <w:b/>
          <w:color w:val="auto"/>
          <w:highlight w:val="none"/>
        </w:rPr>
        <w:t>二、乙方责任</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1.乙方应保证乙方人员了解甲方有关采购管理通用原则和及本协议的规定，并遵照执行。</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2.乙方不得以任何形式给予甲方人员回扣、赠送实物、现金、有价证券、礼券等有价物品或提供旅游等其他可能影响职务行为公正履行的活动（以下统称“财物”）。</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3.乙方有责任接受甲方对乙方在合作期间阳光合作管理执行情况的监督，并对甲方相关调查工作主动配合。</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法律合规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 xml:space="preserve">5．甲方接受乙方实名或匿名举报，保证为举报者的信息保密，常设举报部门及电话： </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举报受理部门：东莞实业投资控股集团有限公司法律合规部</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东实集团举报邮箱：dgsyxf@163.com</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东实集团举报电话：0769-28820703（周一至周五9:00-12:00和14:00-18:00）</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邮寄地址：东莞市东城区八一路1号机关二号大院9号楼，东莞实业投资控股集团有限公司法律合规部收，邮编523000。</w:t>
      </w:r>
    </w:p>
    <w:p>
      <w:pPr>
        <w:spacing w:before="180" w:beforeLines="50" w:after="180" w:afterLines="50"/>
        <w:ind w:left="420" w:leftChars="200"/>
        <w:contextualSpacing/>
        <w:rPr>
          <w:rFonts w:ascii="宋体" w:hAnsi="宋体"/>
          <w:b/>
          <w:color w:val="auto"/>
          <w:highlight w:val="none"/>
        </w:rPr>
      </w:pPr>
      <w:r>
        <w:rPr>
          <w:rFonts w:hint="eastAsia" w:ascii="宋体" w:hAnsi="宋体"/>
          <w:b/>
          <w:color w:val="auto"/>
          <w:highlight w:val="none"/>
        </w:rPr>
        <w:t>三、其他</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1.本协议是原合同的补充协议，与原合同有同等法律效力。</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2.</w:t>
      </w:r>
      <w:r>
        <w:rPr>
          <w:rFonts w:ascii="宋体" w:hAnsi="宋体"/>
          <w:color w:val="auto"/>
          <w:highlight w:val="none"/>
        </w:rPr>
        <w:t>本</w:t>
      </w:r>
      <w:r>
        <w:rPr>
          <w:rFonts w:hint="eastAsia" w:ascii="宋体" w:hAnsi="宋体"/>
          <w:color w:val="auto"/>
          <w:highlight w:val="none"/>
        </w:rPr>
        <w:t>协议</w:t>
      </w:r>
      <w:r>
        <w:rPr>
          <w:rFonts w:ascii="宋体" w:hAnsi="宋体"/>
          <w:color w:val="auto"/>
          <w:highlight w:val="none"/>
        </w:rPr>
        <w:t>一式</w:t>
      </w:r>
      <w:r>
        <w:rPr>
          <w:rFonts w:hint="eastAsia" w:ascii="宋体" w:hAnsi="宋体"/>
          <w:color w:val="auto"/>
          <w:highlight w:val="none"/>
        </w:rPr>
        <w:t>四</w:t>
      </w:r>
      <w:r>
        <w:rPr>
          <w:rFonts w:ascii="宋体" w:hAnsi="宋体"/>
          <w:color w:val="auto"/>
          <w:highlight w:val="none"/>
        </w:rPr>
        <w:t>份，甲方执</w:t>
      </w:r>
      <w:r>
        <w:rPr>
          <w:rFonts w:hint="eastAsia" w:ascii="宋体" w:hAnsi="宋体"/>
          <w:color w:val="auto"/>
          <w:highlight w:val="none"/>
        </w:rPr>
        <w:t>贰</w:t>
      </w:r>
      <w:r>
        <w:rPr>
          <w:rFonts w:ascii="宋体" w:hAnsi="宋体"/>
          <w:color w:val="auto"/>
          <w:highlight w:val="none"/>
        </w:rPr>
        <w:t>份，乙方执</w:t>
      </w:r>
      <w:r>
        <w:rPr>
          <w:rFonts w:hint="eastAsia" w:ascii="宋体" w:hAnsi="宋体"/>
          <w:color w:val="auto"/>
          <w:highlight w:val="none"/>
        </w:rPr>
        <w:t>贰</w:t>
      </w:r>
      <w:r>
        <w:rPr>
          <w:rFonts w:ascii="宋体" w:hAnsi="宋体"/>
          <w:color w:val="auto"/>
          <w:highlight w:val="none"/>
        </w:rPr>
        <w:t>份</w:t>
      </w:r>
      <w:r>
        <w:rPr>
          <w:rFonts w:hint="eastAsia" w:ascii="宋体" w:hAnsi="宋体"/>
          <w:color w:val="auto"/>
          <w:highlight w:val="none"/>
        </w:rPr>
        <w:t>,具有同等法律效力。</w:t>
      </w:r>
    </w:p>
    <w:p>
      <w:pPr>
        <w:spacing w:before="180" w:beforeLines="50" w:after="180" w:afterLines="50"/>
        <w:ind w:left="105" w:leftChars="50" w:firstLine="420" w:firstLineChars="200"/>
        <w:contextualSpacing/>
        <w:rPr>
          <w:rFonts w:ascii="宋体" w:hAnsi="宋体"/>
          <w:color w:val="auto"/>
          <w:highlight w:val="none"/>
        </w:rPr>
      </w:pPr>
      <w:r>
        <w:rPr>
          <w:rFonts w:hint="eastAsia" w:ascii="宋体" w:hAnsi="宋体"/>
          <w:color w:val="auto"/>
          <w:highlight w:val="none"/>
        </w:rPr>
        <w:t>3.本协议经双方签署后生效。</w:t>
      </w:r>
    </w:p>
    <w:p>
      <w:pPr>
        <w:spacing w:before="180" w:beforeLines="50" w:after="180" w:afterLines="50"/>
        <w:ind w:firstLine="420" w:firstLineChars="200"/>
        <w:contextualSpacing/>
        <w:rPr>
          <w:rFonts w:ascii="宋体" w:hAnsi="宋体"/>
          <w:color w:val="auto"/>
          <w:highlight w:val="none"/>
        </w:rPr>
      </w:pPr>
    </w:p>
    <w:p>
      <w:pPr>
        <w:spacing w:before="180" w:beforeLines="50" w:after="180" w:afterLines="50"/>
        <w:ind w:firstLine="420" w:firstLineChars="200"/>
        <w:contextualSpacing/>
        <w:rPr>
          <w:rFonts w:ascii="宋体"/>
          <w:color w:val="auto"/>
          <w:highlight w:val="none"/>
        </w:rPr>
      </w:pPr>
      <w:r>
        <w:rPr>
          <w:rFonts w:hint="eastAsia" w:ascii="宋体" w:hAnsi="宋体"/>
          <w:color w:val="auto"/>
          <w:highlight w:val="none"/>
        </w:rPr>
        <w:t>甲方（盖章）：                       乙方（盖章）：</w:t>
      </w:r>
      <w:r>
        <w:rPr>
          <w:rFonts w:ascii="宋体"/>
          <w:color w:val="auto"/>
          <w:highlight w:val="none"/>
        </w:rPr>
        <w:t xml:space="preserve"> </w:t>
      </w:r>
    </w:p>
    <w:p>
      <w:pPr>
        <w:spacing w:before="180" w:beforeLines="50" w:after="180" w:afterLines="50"/>
        <w:ind w:firstLine="420" w:firstLineChars="200"/>
        <w:contextualSpacing/>
        <w:rPr>
          <w:rFonts w:ascii="宋体" w:hAnsi="宋体"/>
          <w:color w:val="auto"/>
          <w:highlight w:val="none"/>
        </w:rPr>
      </w:pPr>
    </w:p>
    <w:p>
      <w:pPr>
        <w:spacing w:before="180" w:beforeLines="50" w:after="180" w:afterLines="50"/>
        <w:ind w:firstLine="420" w:firstLineChars="200"/>
        <w:contextualSpacing/>
        <w:rPr>
          <w:rFonts w:ascii="宋体"/>
          <w:color w:val="auto"/>
          <w:highlight w:val="none"/>
        </w:rPr>
      </w:pPr>
      <w:r>
        <w:rPr>
          <w:rFonts w:hint="eastAsia" w:ascii="宋体" w:hAnsi="宋体"/>
          <w:color w:val="auto"/>
          <w:highlight w:val="none"/>
        </w:rPr>
        <w:t>法定代表人（授权代表）：</w:t>
      </w:r>
      <w:r>
        <w:rPr>
          <w:rFonts w:hint="eastAsia" w:ascii="宋体"/>
          <w:color w:val="auto"/>
          <w:highlight w:val="none"/>
        </w:rPr>
        <w:tab/>
      </w:r>
      <w:r>
        <w:rPr>
          <w:rFonts w:hint="eastAsia" w:ascii="宋体"/>
          <w:color w:val="auto"/>
          <w:highlight w:val="none"/>
        </w:rPr>
        <w:tab/>
      </w:r>
      <w:r>
        <w:rPr>
          <w:rFonts w:hint="eastAsia" w:ascii="宋体"/>
          <w:color w:val="auto"/>
          <w:highlight w:val="none"/>
        </w:rPr>
        <w:t xml:space="preserve">  </w:t>
      </w:r>
      <w:r>
        <w:rPr>
          <w:rFonts w:hint="eastAsia" w:ascii="宋体"/>
          <w:color w:val="auto"/>
          <w:highlight w:val="none"/>
        </w:rPr>
        <w:tab/>
      </w:r>
      <w:r>
        <w:rPr>
          <w:rFonts w:hint="eastAsia" w:ascii="宋体"/>
          <w:color w:val="auto"/>
          <w:highlight w:val="none"/>
        </w:rPr>
        <w:t xml:space="preserve">   </w:t>
      </w:r>
      <w:r>
        <w:rPr>
          <w:rFonts w:hint="eastAsia" w:ascii="宋体" w:hAnsi="宋体"/>
          <w:color w:val="auto"/>
          <w:highlight w:val="none"/>
        </w:rPr>
        <w:t>法定代表人（授权代表）：</w:t>
      </w:r>
    </w:p>
    <w:p>
      <w:pPr>
        <w:spacing w:before="180" w:beforeLines="50" w:after="180" w:afterLines="50"/>
        <w:ind w:firstLine="420" w:firstLineChars="200"/>
        <w:contextualSpacing/>
        <w:rPr>
          <w:rFonts w:ascii="宋体" w:hAnsi="宋体"/>
          <w:color w:val="auto"/>
          <w:highlight w:val="none"/>
        </w:rPr>
      </w:pPr>
    </w:p>
    <w:p>
      <w:pPr>
        <w:spacing w:before="180" w:beforeLines="50" w:after="180" w:afterLines="50"/>
        <w:ind w:firstLine="420" w:firstLineChars="200"/>
        <w:contextualSpacing/>
        <w:rPr>
          <w:rFonts w:ascii="宋体" w:hAnsi="宋体" w:cs="宋体"/>
          <w:color w:val="auto"/>
          <w:sz w:val="24"/>
          <w:szCs w:val="24"/>
          <w:highlight w:val="none"/>
        </w:rPr>
      </w:pPr>
      <w:r>
        <w:rPr>
          <w:rFonts w:hint="eastAsia" w:ascii="宋体" w:hAnsi="宋体"/>
          <w:color w:val="auto"/>
          <w:highlight w:val="none"/>
        </w:rPr>
        <w:t>签约日期：</w:t>
      </w:r>
      <w:bookmarkStart w:id="130" w:name="现场签证通知单"/>
      <w:bookmarkEnd w:id="130"/>
      <w:bookmarkStart w:id="131" w:name="设计变更通知单"/>
      <w:bookmarkEnd w:id="131"/>
      <w:r>
        <w:rPr>
          <w:rFonts w:hint="eastAsia" w:ascii="宋体" w:hAnsi="宋体" w:cs="宋体"/>
          <w:color w:val="auto"/>
          <w:sz w:val="24"/>
          <w:szCs w:val="24"/>
          <w:highlight w:val="none"/>
        </w:rPr>
        <w:t xml:space="preserve">2023年  月  日   </w:t>
      </w:r>
      <w:r>
        <w:rPr>
          <w:color w:val="auto"/>
          <w:highlight w:val="none"/>
        </w:rPr>
        <w:tab/>
      </w:r>
      <w:r>
        <w:rPr>
          <w:color w:val="auto"/>
          <w:highlight w:val="none"/>
        </w:rPr>
        <w:t xml:space="preserve"> </w:t>
      </w:r>
      <w:r>
        <w:rPr>
          <w:rFonts w:hint="eastAsia"/>
          <w:color w:val="auto"/>
          <w:highlight w:val="none"/>
        </w:rPr>
        <w:t xml:space="preserve">  </w:t>
      </w:r>
      <w:r>
        <w:rPr>
          <w:rFonts w:hint="eastAsia" w:ascii="宋体" w:hAnsi="宋体"/>
          <w:color w:val="auto"/>
          <w:highlight w:val="none"/>
        </w:rPr>
        <w:t>签约日期：</w:t>
      </w:r>
      <w:r>
        <w:rPr>
          <w:rFonts w:hint="eastAsia" w:ascii="宋体" w:hAnsi="宋体" w:cs="宋体"/>
          <w:color w:val="auto"/>
          <w:sz w:val="24"/>
          <w:szCs w:val="24"/>
          <w:highlight w:val="none"/>
        </w:rPr>
        <w:t>2023年 月 日</w:t>
      </w:r>
    </w:p>
    <w:p>
      <w:pPr>
        <w:rPr>
          <w:color w:val="auto"/>
          <w:highlight w:val="none"/>
        </w:rPr>
      </w:pPr>
    </w:p>
    <w:p>
      <w:pPr>
        <w:spacing w:before="180" w:beforeLines="50" w:after="180" w:afterLines="50" w:line="480" w:lineRule="exact"/>
        <w:ind w:right="26" w:firstLine="315" w:firstLineChars="150"/>
        <w:contextualSpacing/>
        <w:rPr>
          <w:color w:val="auto"/>
          <w:highlight w:val="none"/>
        </w:rPr>
      </w:pPr>
    </w:p>
    <w:p>
      <w:pPr>
        <w:rPr>
          <w:color w:val="auto"/>
          <w:highlight w:val="none"/>
        </w:rPr>
      </w:pPr>
    </w:p>
    <w:p>
      <w:pPr>
        <w:rPr>
          <w:rFonts w:ascii="宋体" w:hAnsi="宋体"/>
          <w:color w:val="auto"/>
          <w:sz w:val="24"/>
          <w:szCs w:val="24"/>
          <w:highlight w:val="none"/>
        </w:rPr>
      </w:pPr>
    </w:p>
    <w:p>
      <w:pPr>
        <w:rPr>
          <w:color w:val="auto"/>
          <w:highlight w:val="none"/>
        </w:rPr>
      </w:pPr>
    </w:p>
    <w:p>
      <w:pPr>
        <w:rPr>
          <w:color w:val="auto"/>
          <w:highlight w:val="none"/>
        </w:rPr>
      </w:pPr>
    </w:p>
    <w:p>
      <w:pPr>
        <w:pStyle w:val="11"/>
        <w:rPr>
          <w:color w:val="auto"/>
          <w:highlight w:val="none"/>
        </w:rPr>
      </w:pPr>
    </w:p>
    <w:p>
      <w:pPr>
        <w:pStyle w:val="12"/>
        <w:rPr>
          <w:color w:val="auto"/>
          <w:highlight w:val="none"/>
        </w:rPr>
      </w:pPr>
    </w:p>
    <w:p>
      <w:pPr>
        <w:pStyle w:val="13"/>
        <w:rPr>
          <w:color w:val="auto"/>
          <w:highlight w:val="none"/>
        </w:rPr>
      </w:pPr>
    </w:p>
    <w:p>
      <w:pPr>
        <w:pStyle w:val="13"/>
        <w:rPr>
          <w:color w:val="auto"/>
          <w:highlight w:val="none"/>
        </w:rPr>
      </w:pPr>
    </w:p>
    <w:p>
      <w:pPr>
        <w:pStyle w:val="13"/>
        <w:rPr>
          <w:color w:val="auto"/>
          <w:highlight w:val="none"/>
        </w:rPr>
      </w:pPr>
    </w:p>
    <w:p>
      <w:pPr>
        <w:pStyle w:val="13"/>
        <w:rPr>
          <w:color w:val="auto"/>
          <w:highlight w:val="none"/>
        </w:rPr>
      </w:pPr>
    </w:p>
    <w:p>
      <w:pPr>
        <w:pStyle w:val="13"/>
        <w:rPr>
          <w:color w:val="auto"/>
          <w:highlight w:val="none"/>
        </w:rPr>
      </w:pPr>
    </w:p>
    <w:p>
      <w:pPr>
        <w:pStyle w:val="4"/>
        <w:spacing w:before="0" w:after="0" w:line="240" w:lineRule="auto"/>
        <w:rPr>
          <w:color w:val="auto"/>
          <w:sz w:val="28"/>
          <w:szCs w:val="28"/>
          <w:highlight w:val="none"/>
        </w:rPr>
      </w:pPr>
      <w:bookmarkStart w:id="132" w:name="_Toc17124"/>
      <w:r>
        <w:rPr>
          <w:rFonts w:hint="eastAsia"/>
          <w:color w:val="auto"/>
          <w:sz w:val="28"/>
          <w:szCs w:val="28"/>
          <w:highlight w:val="none"/>
        </w:rPr>
        <w:t>第六部分附件－投标文件格式</w:t>
      </w:r>
      <w:bookmarkEnd w:id="132"/>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133" w:name="_Toc25786"/>
      <w:r>
        <w:rPr>
          <w:rFonts w:hint="eastAsia" w:ascii="宋体" w:hAnsi="宋体"/>
          <w:color w:val="auto"/>
          <w:sz w:val="21"/>
          <w:szCs w:val="21"/>
          <w:highlight w:val="none"/>
        </w:rPr>
        <w:t>投标文件目录</w:t>
      </w:r>
      <w:bookmarkEnd w:id="133"/>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1、投标人制作的投标文件应当具备目录。</w:t>
      </w:r>
      <w:r>
        <w:rPr>
          <w:rFonts w:ascii="宋体" w:hAnsi="宋体"/>
          <w:color w:val="auto"/>
          <w:szCs w:val="21"/>
          <w:highlight w:val="none"/>
        </w:rPr>
        <w:br w:type="page"/>
      </w:r>
    </w:p>
    <w:p>
      <w:pPr>
        <w:pStyle w:val="6"/>
        <w:widowControl w:val="0"/>
        <w:overflowPunct w:val="0"/>
        <w:spacing w:line="240" w:lineRule="auto"/>
        <w:rPr>
          <w:rFonts w:ascii="宋体" w:hAnsi="宋体"/>
          <w:color w:val="auto"/>
          <w:sz w:val="21"/>
          <w:szCs w:val="21"/>
          <w:highlight w:val="none"/>
        </w:rPr>
      </w:pPr>
      <w:bookmarkStart w:id="134" w:name="_Toc18792"/>
      <w:r>
        <w:rPr>
          <w:rFonts w:hint="eastAsia" w:ascii="宋体" w:hAnsi="宋体"/>
          <w:color w:val="auto"/>
          <w:sz w:val="21"/>
          <w:szCs w:val="21"/>
          <w:highlight w:val="none"/>
        </w:rPr>
        <w:t>附件1.评分标准索引表</w:t>
      </w:r>
      <w:bookmarkEnd w:id="134"/>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评分细则</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1、该表格为参考格式，投标人可按实际情况自行制订评分标准索引表。</w:t>
      </w:r>
    </w:p>
    <w:p>
      <w:pPr>
        <w:pStyle w:val="11"/>
        <w:spacing w:before="0"/>
        <w:ind w:left="0"/>
        <w:rPr>
          <w:color w:val="auto"/>
          <w:highlight w:val="none"/>
          <w:lang w:val="en-US"/>
        </w:rPr>
      </w:pPr>
      <w:r>
        <w:rPr>
          <w:rFonts w:hint="eastAsia" w:cstheme="minorBidi"/>
          <w:color w:val="auto"/>
          <w:sz w:val="21"/>
          <w:szCs w:val="21"/>
          <w:highlight w:val="none"/>
          <w:lang w:val="en-US" w:bidi="ar-SA"/>
        </w:rPr>
        <w:t>2、如未涉及此表内容，可删除格式。</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jc w:val="center"/>
        <w:rPr>
          <w:rFonts w:ascii="黑体" w:eastAsia="黑体"/>
          <w:color w:val="auto"/>
          <w:sz w:val="52"/>
          <w:szCs w:val="52"/>
          <w:highlight w:val="none"/>
        </w:rPr>
      </w:pPr>
      <w:bookmarkStart w:id="135" w:name="_Toc18450"/>
      <w:bookmarkStart w:id="136" w:name="_Toc30918"/>
      <w:bookmarkStart w:id="137" w:name="_Toc21746"/>
      <w:bookmarkStart w:id="138" w:name="_Toc28154"/>
      <w:bookmarkStart w:id="139" w:name="_Toc20335"/>
    </w:p>
    <w:p>
      <w:pPr>
        <w:pStyle w:val="4"/>
        <w:spacing w:before="0" w:after="0" w:line="360" w:lineRule="auto"/>
        <w:jc w:val="center"/>
        <w:rPr>
          <w:color w:val="auto"/>
          <w:sz w:val="72"/>
          <w:szCs w:val="72"/>
          <w:highlight w:val="none"/>
        </w:rPr>
      </w:pPr>
      <w:bookmarkStart w:id="140" w:name="_Toc9213"/>
      <w:r>
        <w:rPr>
          <w:rFonts w:hint="eastAsia"/>
          <w:color w:val="auto"/>
          <w:sz w:val="72"/>
          <w:szCs w:val="72"/>
          <w:highlight w:val="none"/>
        </w:rPr>
        <w:t>价格文件</w:t>
      </w:r>
      <w:bookmarkEnd w:id="135"/>
      <w:bookmarkEnd w:id="136"/>
      <w:bookmarkEnd w:id="140"/>
      <w:bookmarkStart w:id="141" w:name="_Hlt10519799"/>
      <w:bookmarkEnd w:id="141"/>
      <w:bookmarkStart w:id="142" w:name="_Hlt10456397"/>
      <w:bookmarkEnd w:id="142"/>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137"/>
      <w:bookmarkEnd w:id="138"/>
      <w:bookmarkEnd w:id="139"/>
    </w:p>
    <w:p>
      <w:pPr>
        <w:rPr>
          <w:color w:val="auto"/>
          <w:highlight w:val="none"/>
        </w:rPr>
      </w:pPr>
    </w:p>
    <w:p>
      <w:pPr>
        <w:pStyle w:val="11"/>
        <w:rPr>
          <w:color w:val="auto"/>
          <w:highlight w:val="none"/>
        </w:rPr>
      </w:pPr>
    </w:p>
    <w:p>
      <w:pPr>
        <w:pStyle w:val="30"/>
        <w:ind w:firstLine="240"/>
        <w:rPr>
          <w:color w:val="auto"/>
          <w:highlight w:val="none"/>
        </w:rPr>
      </w:pPr>
    </w:p>
    <w:p>
      <w:pPr>
        <w:rPr>
          <w:rFonts w:hint="eastAsia" w:ascii="宋体" w:hAnsi="宋体" w:cs="宋体"/>
          <w:b/>
          <w:bCs/>
          <w:color w:val="auto"/>
          <w:spacing w:val="-6"/>
          <w:sz w:val="32"/>
          <w:szCs w:val="32"/>
          <w:highlight w:val="none"/>
          <w:u w:val="single"/>
          <w:lang w:eastAsia="zh-CN"/>
        </w:rPr>
      </w:pPr>
      <w:r>
        <w:rPr>
          <w:rFonts w:hint="eastAsia" w:ascii="宋体" w:hAnsi="宋体" w:cs="宋体"/>
          <w:b/>
          <w:bCs/>
          <w:color w:val="auto"/>
          <w:spacing w:val="-6"/>
          <w:sz w:val="32"/>
          <w:szCs w:val="32"/>
          <w:highlight w:val="none"/>
          <w:u w:val="none"/>
          <w:lang w:eastAsia="zh-CN"/>
        </w:rPr>
        <w:t>项目名称：</w:t>
      </w:r>
      <w:r>
        <w:rPr>
          <w:rFonts w:hint="eastAsia" w:ascii="宋体" w:hAnsi="宋体" w:cs="宋体"/>
          <w:b/>
          <w:bCs/>
          <w:color w:val="auto"/>
          <w:spacing w:val="-6"/>
          <w:sz w:val="32"/>
          <w:szCs w:val="32"/>
          <w:highlight w:val="none"/>
          <w:u w:val="single"/>
          <w:lang w:eastAsia="zh-CN"/>
        </w:rPr>
        <w:t>城服公司2023年度车辆设备租赁采购项目（重新采购）</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项目编号：</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投标人名称：</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日      期：</w:t>
      </w:r>
    </w:p>
    <w:p>
      <w:pPr>
        <w:rPr>
          <w:rFonts w:ascii="宋体" w:hAnsi="宋体"/>
          <w:color w:val="auto"/>
          <w:spacing w:val="1390"/>
          <w:szCs w:val="21"/>
          <w:highlight w:val="none"/>
        </w:rPr>
      </w:pPr>
      <w:r>
        <w:rPr>
          <w:rFonts w:hint="eastAsia" w:ascii="宋体" w:hAnsi="宋体"/>
          <w:color w:val="auto"/>
          <w:spacing w:val="1390"/>
          <w:kern w:val="0"/>
          <w:szCs w:val="21"/>
          <w:highlight w:val="none"/>
          <w:fitText w:val="1600" w:id="1947737316"/>
        </w:rPr>
        <w:br w:type="page"/>
      </w:r>
    </w:p>
    <w:p>
      <w:pPr>
        <w:pStyle w:val="6"/>
        <w:widowControl w:val="0"/>
        <w:overflowPunct w:val="0"/>
        <w:spacing w:line="240" w:lineRule="auto"/>
        <w:rPr>
          <w:rFonts w:ascii="宋体" w:hAnsi="宋体"/>
          <w:color w:val="auto"/>
          <w:sz w:val="21"/>
          <w:szCs w:val="21"/>
          <w:highlight w:val="none"/>
        </w:rPr>
      </w:pPr>
      <w:bookmarkStart w:id="143" w:name="_Toc1232"/>
      <w:r>
        <w:rPr>
          <w:rFonts w:hint="eastAsia" w:ascii="宋体" w:hAnsi="宋体"/>
          <w:color w:val="auto"/>
          <w:sz w:val="21"/>
          <w:szCs w:val="21"/>
          <w:highlight w:val="none"/>
        </w:rPr>
        <w:t>附件2.开标一览表格式</w:t>
      </w:r>
      <w:bookmarkEnd w:id="143"/>
      <w:r>
        <w:rPr>
          <w:rFonts w:hint="eastAsia" w:ascii="宋体" w:hAnsi="宋体"/>
          <w:color w:val="auto"/>
          <w:sz w:val="21"/>
          <w:szCs w:val="21"/>
          <w:highlight w:val="none"/>
        </w:rPr>
        <w:t>（适用于A包）</w:t>
      </w:r>
    </w:p>
    <w:p>
      <w:pPr>
        <w:jc w:val="center"/>
        <w:rPr>
          <w:rFonts w:ascii="黑体" w:eastAsia="黑体"/>
          <w:color w:val="auto"/>
          <w:sz w:val="32"/>
          <w:szCs w:val="32"/>
          <w:highlight w:val="none"/>
        </w:rPr>
      </w:pPr>
      <w:r>
        <w:rPr>
          <w:rFonts w:hint="eastAsia" w:ascii="黑体" w:eastAsia="黑体"/>
          <w:color w:val="auto"/>
          <w:sz w:val="32"/>
          <w:szCs w:val="32"/>
          <w:highlight w:val="none"/>
        </w:rPr>
        <w:t>开标一览表（适用于A包）</w:t>
      </w: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投标人名称：</w:t>
      </w:r>
    </w:p>
    <w:p>
      <w:pPr>
        <w:rPr>
          <w:color w:val="auto"/>
          <w:highlight w:val="none"/>
        </w:rPr>
      </w:pPr>
      <w:r>
        <w:rPr>
          <w:rFonts w:hint="eastAsia" w:ascii="宋体" w:hAnsi="宋体"/>
          <w:color w:val="auto"/>
          <w:szCs w:val="21"/>
          <w:highlight w:val="none"/>
        </w:rPr>
        <w:t>采购项目编号：</w:t>
      </w:r>
    </w:p>
    <w:tbl>
      <w:tblPr>
        <w:tblStyle w:val="32"/>
        <w:tblW w:w="5000" w:type="pct"/>
        <w:tblInd w:w="0" w:type="dxa"/>
        <w:tblLayout w:type="fixed"/>
        <w:tblCellMar>
          <w:top w:w="0" w:type="dxa"/>
          <w:left w:w="108" w:type="dxa"/>
          <w:bottom w:w="0" w:type="dxa"/>
          <w:right w:w="108" w:type="dxa"/>
        </w:tblCellMar>
      </w:tblPr>
      <w:tblGrid>
        <w:gridCol w:w="1091"/>
        <w:gridCol w:w="2724"/>
        <w:gridCol w:w="864"/>
        <w:gridCol w:w="820"/>
        <w:gridCol w:w="661"/>
        <w:gridCol w:w="1440"/>
        <w:gridCol w:w="922"/>
      </w:tblGrid>
      <w:tr>
        <w:tblPrEx>
          <w:tblCellMar>
            <w:top w:w="0" w:type="dxa"/>
            <w:left w:w="108" w:type="dxa"/>
            <w:bottom w:w="0" w:type="dxa"/>
            <w:right w:w="108" w:type="dxa"/>
          </w:tblCellMar>
        </w:tblPrEx>
        <w:trPr>
          <w:trHeight w:val="803" w:hRule="atLeast"/>
        </w:trPr>
        <w:tc>
          <w:tcPr>
            <w:tcW w:w="5000" w:type="pct"/>
            <w:gridSpan w:val="7"/>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lang w:bidi="ar"/>
              </w:rPr>
            </w:pPr>
            <w:r>
              <w:rPr>
                <w:rFonts w:hint="eastAsia" w:ascii="宋体" w:hAnsi="宋体" w:cs="宋体"/>
                <w:b/>
                <w:bCs/>
                <w:color w:val="auto"/>
                <w:szCs w:val="21"/>
                <w:highlight w:val="none"/>
                <w:lang w:bidi="ar"/>
              </w:rPr>
              <w:t>工程车辆及设备清单</w:t>
            </w:r>
          </w:p>
        </w:tc>
      </w:tr>
      <w:tr>
        <w:tblPrEx>
          <w:tblCellMar>
            <w:top w:w="0" w:type="dxa"/>
            <w:left w:w="108" w:type="dxa"/>
            <w:bottom w:w="0" w:type="dxa"/>
            <w:right w:w="108" w:type="dxa"/>
          </w:tblCellMar>
        </w:tblPrEx>
        <w:trPr>
          <w:trHeight w:val="360"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rPr>
              <w:t>名称</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参数</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lang w:bidi="ar"/>
              </w:rPr>
              <w:t>类型</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单位</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数量</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lang w:bidi="ar"/>
              </w:rPr>
            </w:pPr>
            <w:r>
              <w:rPr>
                <w:rFonts w:hint="eastAsia" w:ascii="宋体" w:hAnsi="宋体" w:cs="宋体"/>
                <w:color w:val="auto"/>
                <w:szCs w:val="21"/>
                <w:highlight w:val="none"/>
                <w:lang w:bidi="ar"/>
              </w:rPr>
              <w:t>含税台班租赁报价（元）</w:t>
            </w: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lang w:bidi="ar"/>
              </w:rPr>
            </w:pPr>
            <w:r>
              <w:rPr>
                <w:rFonts w:hint="eastAsia" w:ascii="宋体" w:hAnsi="宋体" w:cs="宋体"/>
                <w:color w:val="auto"/>
                <w:szCs w:val="21"/>
                <w:highlight w:val="none"/>
                <w:lang w:bidi="ar"/>
              </w:rPr>
              <w:t>备注</w:t>
            </w:r>
          </w:p>
        </w:tc>
      </w:tr>
      <w:tr>
        <w:tblPrEx>
          <w:tblCellMar>
            <w:top w:w="0" w:type="dxa"/>
            <w:left w:w="108" w:type="dxa"/>
            <w:bottom w:w="0" w:type="dxa"/>
            <w:right w:w="108" w:type="dxa"/>
          </w:tblCellMar>
        </w:tblPrEx>
        <w:trPr>
          <w:trHeight w:val="285" w:hRule="atLeast"/>
        </w:trPr>
        <w:tc>
          <w:tcPr>
            <w:tcW w:w="640" w:type="pct"/>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高空作业车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举升高度≥16m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举升高度≥32m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平板自卸车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总质量≥4495kg，护栏加高40cm。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清淤车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防撞车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总质量≥9200kg，100k。</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铲车</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总质量≥6吨</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轮式挖掘机</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6吨级，斗容量约0.3方。</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12吨级，斗容量约0.5方。</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r>
        <w:tblPrEx>
          <w:tblCellMar>
            <w:top w:w="0" w:type="dxa"/>
            <w:left w:w="108" w:type="dxa"/>
            <w:bottom w:w="0" w:type="dxa"/>
            <w:right w:w="108" w:type="dxa"/>
          </w:tblCellMar>
        </w:tblPrEx>
        <w:trPr>
          <w:trHeight w:val="285" w:hRule="atLeast"/>
        </w:trPr>
        <w:tc>
          <w:tcPr>
            <w:tcW w:w="640"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auto"/>
                <w:szCs w:val="21"/>
                <w:highlight w:val="none"/>
              </w:rPr>
            </w:pP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20吨级，斗容量约0.8方。</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履带式</w:t>
            </w: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随车吊</w:t>
            </w:r>
          </w:p>
        </w:tc>
        <w:tc>
          <w:tcPr>
            <w:tcW w:w="159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8吨，工作半径≥14m，举升高度≥16m。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仿宋" w:hAnsi="仿宋" w:eastAsia="仿宋" w:cs="仿宋"/>
                <w:color w:val="auto"/>
                <w:sz w:val="24"/>
                <w:highlight w:val="none"/>
              </w:rPr>
              <w:drawing>
                <wp:inline distT="0" distB="0" distL="114300" distR="114300">
                  <wp:extent cx="435610" cy="303530"/>
                  <wp:effectExtent l="0" t="0" r="2540" b="1270"/>
                  <wp:docPr id="5" name="图片 1" descr="2b2b2013313783ff5464ea11e94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b2b2013313783ff5464ea11e94e241"/>
                          <pic:cNvPicPr>
                            <a:picLocks noChangeAspect="1"/>
                          </pic:cNvPicPr>
                        </pic:nvPicPr>
                        <pic:blipFill>
                          <a:blip r:embed="rId18"/>
                          <a:stretch>
                            <a:fillRect/>
                          </a:stretch>
                        </pic:blipFill>
                        <pic:spPr>
                          <a:xfrm>
                            <a:off x="0" y="0"/>
                            <a:ext cx="435610" cy="3035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85"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汽车吊</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额定起重量≥80000kg，臂长≥30m。</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仿宋" w:hAnsi="仿宋" w:eastAsia="仿宋" w:cs="仿宋"/>
                <w:color w:val="auto"/>
                <w:sz w:val="24"/>
                <w:highlight w:val="none"/>
              </w:rPr>
              <w:drawing>
                <wp:inline distT="0" distB="0" distL="114300" distR="114300">
                  <wp:extent cx="431165" cy="318135"/>
                  <wp:effectExtent l="0" t="0" r="6985" b="5715"/>
                  <wp:docPr id="6" name="图片 2" descr="c23ebed4e679aa5b22b96362d3d0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23ebed4e679aa5b22b96362d3d0c5d"/>
                          <pic:cNvPicPr>
                            <a:picLocks noChangeAspect="1"/>
                          </pic:cNvPicPr>
                        </pic:nvPicPr>
                        <pic:blipFill>
                          <a:blip r:embed="rId19"/>
                          <a:stretch>
                            <a:fillRect/>
                          </a:stretch>
                        </pic:blipFill>
                        <pic:spPr>
                          <a:xfrm>
                            <a:off x="0" y="0"/>
                            <a:ext cx="431165" cy="3181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0" w:hRule="atLeast"/>
        </w:trPr>
        <w:tc>
          <w:tcPr>
            <w:tcW w:w="64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升降机（移动式电动液压剪叉小型升降机）</w:t>
            </w:r>
          </w:p>
        </w:tc>
        <w:tc>
          <w:tcPr>
            <w:tcW w:w="159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最大高度≥12m，平台载重≥300kg</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color w:val="auto"/>
                <w:highlight w:val="none"/>
              </w:rPr>
            </w:pPr>
            <w:r>
              <w:rPr>
                <w:color w:val="auto"/>
                <w:highlight w:val="none"/>
                <w:lang w:bidi="ar"/>
              </w:rPr>
              <w:t>不带司机</w:t>
            </w:r>
          </w:p>
          <w:p>
            <w:pPr>
              <w:pStyle w:val="11"/>
              <w:rPr>
                <w:rFonts w:ascii="Tahoma" w:hAnsi="Tahoma" w:cstheme="minorBidi"/>
                <w:color w:val="auto"/>
                <w:sz w:val="21"/>
                <w:highlight w:val="none"/>
                <w:lang w:val="en-US" w:bidi="ar"/>
              </w:rPr>
            </w:pPr>
            <w:r>
              <w:rPr>
                <w:rFonts w:hint="eastAsia" w:ascii="仿宋" w:hAnsi="仿宋" w:eastAsia="仿宋" w:cs="仿宋"/>
                <w:color w:val="auto"/>
                <w:highlight w:val="none"/>
                <w:lang w:val="en-US" w:bidi="ar-SA"/>
              </w:rPr>
              <w:drawing>
                <wp:inline distT="0" distB="0" distL="114300" distR="114300">
                  <wp:extent cx="231140" cy="304800"/>
                  <wp:effectExtent l="0" t="0" r="16510" b="0"/>
                  <wp:docPr id="7" name="图片 3" descr="c88ac96efdf6c7adb695b34a0ec6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88ac96efdf6c7adb695b34a0ec657d"/>
                          <pic:cNvPicPr>
                            <a:picLocks noChangeAspect="1"/>
                          </pic:cNvPicPr>
                        </pic:nvPicPr>
                        <pic:blipFill>
                          <a:blip r:embed="rId20"/>
                          <a:stretch>
                            <a:fillRect/>
                          </a:stretch>
                        </pic:blipFill>
                        <pic:spPr>
                          <a:xfrm>
                            <a:off x="0" y="0"/>
                            <a:ext cx="231140" cy="3048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工程土方车</w:t>
            </w:r>
          </w:p>
        </w:tc>
        <w:tc>
          <w:tcPr>
            <w:tcW w:w="1598"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轮胎：前四后八，容量≥13方，带电动蓬,可进市区</w:t>
            </w:r>
          </w:p>
        </w:tc>
        <w:tc>
          <w:tcPr>
            <w:tcW w:w="507"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台班</w:t>
            </w:r>
          </w:p>
        </w:tc>
        <w:tc>
          <w:tcPr>
            <w:tcW w:w="38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1</w:t>
            </w:r>
          </w:p>
        </w:tc>
        <w:tc>
          <w:tcPr>
            <w:tcW w:w="845"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c>
          <w:tcPr>
            <w:tcW w:w="538" w:type="pc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auto"/>
                <w:szCs w:val="21"/>
                <w:highlight w:val="none"/>
                <w:lang w:bidi="ar"/>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pPr>
        <w:ind w:firstLine="420" w:firstLineChars="200"/>
        <w:rPr>
          <w:rFonts w:ascii="宋体" w:hAnsi="宋体"/>
          <w:color w:val="auto"/>
          <w:szCs w:val="21"/>
          <w:highlight w:val="none"/>
        </w:rPr>
      </w:pPr>
      <w:r>
        <w:rPr>
          <w:rFonts w:hint="eastAsia" w:ascii="宋体" w:hAnsi="宋体"/>
          <w:color w:val="auto"/>
          <w:szCs w:val="21"/>
          <w:highlight w:val="none"/>
        </w:rPr>
        <w:t>1、投标固定单价必须准确唯一。</w:t>
      </w:r>
    </w:p>
    <w:p>
      <w:pPr>
        <w:ind w:firstLine="420" w:firstLineChars="200"/>
        <w:rPr>
          <w:rFonts w:ascii="宋体" w:hAnsi="宋体"/>
          <w:color w:val="auto"/>
          <w:szCs w:val="21"/>
          <w:highlight w:val="none"/>
        </w:rPr>
      </w:pPr>
      <w:r>
        <w:rPr>
          <w:rFonts w:hint="eastAsia" w:ascii="宋体" w:hAnsi="宋体"/>
          <w:color w:val="auto"/>
          <w:szCs w:val="21"/>
          <w:highlight w:val="none"/>
        </w:rPr>
        <w:t>2、温馨提示：未按采购文件要求报价、填写开标一览表是导致投标人废标的常见问题，请投标人仔细填写，认真核对。</w:t>
      </w:r>
    </w:p>
    <w:p>
      <w:pPr>
        <w:ind w:firstLine="420" w:firstLineChars="200"/>
        <w:rPr>
          <w:rFonts w:ascii="宋体" w:hAnsi="宋体"/>
          <w:color w:val="auto"/>
          <w:szCs w:val="21"/>
          <w:highlight w:val="none"/>
        </w:rPr>
      </w:pPr>
      <w:r>
        <w:rPr>
          <w:rFonts w:hint="eastAsia" w:ascii="宋体" w:hAnsi="宋体"/>
          <w:color w:val="auto"/>
          <w:szCs w:val="21"/>
          <w:highlight w:val="none"/>
        </w:rPr>
        <w:t>3、如不涉及本包号的报价，可删除此表</w:t>
      </w:r>
      <w:r>
        <w:rPr>
          <w:rFonts w:hint="eastAsia" w:ascii="宋体" w:hAnsi="宋体"/>
          <w:color w:val="auto"/>
          <w:szCs w:val="21"/>
          <w:highlight w:val="none"/>
        </w:rPr>
        <w:br w:type="page"/>
      </w:r>
    </w:p>
    <w:p>
      <w:pPr>
        <w:pStyle w:val="6"/>
        <w:widowControl w:val="0"/>
        <w:overflowPunct w:val="0"/>
        <w:spacing w:line="240" w:lineRule="auto"/>
        <w:rPr>
          <w:rFonts w:ascii="宋体" w:hAnsi="宋体"/>
          <w:color w:val="auto"/>
          <w:sz w:val="21"/>
          <w:szCs w:val="21"/>
          <w:highlight w:val="none"/>
        </w:rPr>
      </w:pPr>
      <w:bookmarkStart w:id="144" w:name="_Toc12628"/>
      <w:r>
        <w:rPr>
          <w:rFonts w:hint="eastAsia" w:ascii="宋体" w:hAnsi="宋体"/>
          <w:color w:val="auto"/>
          <w:sz w:val="21"/>
          <w:szCs w:val="21"/>
          <w:highlight w:val="none"/>
        </w:rPr>
        <w:t>附件3.开标一览表格式（适用于B包）</w:t>
      </w:r>
      <w:bookmarkEnd w:id="144"/>
    </w:p>
    <w:p>
      <w:pPr>
        <w:jc w:val="center"/>
        <w:rPr>
          <w:rFonts w:ascii="黑体" w:eastAsia="黑体"/>
          <w:color w:val="auto"/>
          <w:sz w:val="32"/>
          <w:szCs w:val="32"/>
          <w:highlight w:val="none"/>
        </w:rPr>
      </w:pPr>
      <w:bookmarkStart w:id="145" w:name="_Toc12412"/>
      <w:r>
        <w:rPr>
          <w:rFonts w:hint="eastAsia" w:ascii="黑体" w:eastAsia="黑体"/>
          <w:color w:val="auto"/>
          <w:sz w:val="32"/>
          <w:szCs w:val="32"/>
          <w:highlight w:val="none"/>
        </w:rPr>
        <w:t>开标一览表（适用于B包）</w:t>
      </w: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投标人名称：</w:t>
      </w:r>
    </w:p>
    <w:p>
      <w:pPr>
        <w:rPr>
          <w:color w:val="auto"/>
          <w:highlight w:val="none"/>
        </w:rPr>
      </w:pPr>
      <w:r>
        <w:rPr>
          <w:rFonts w:hint="eastAsia" w:ascii="宋体" w:hAnsi="宋体"/>
          <w:color w:val="auto"/>
          <w:szCs w:val="21"/>
          <w:highlight w:val="none"/>
        </w:rPr>
        <w:t>采购项目编号：</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637"/>
        <w:gridCol w:w="1599"/>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000" w:type="pct"/>
            <w:gridSpan w:val="4"/>
            <w:noWrap/>
            <w:vAlign w:val="center"/>
          </w:tcPr>
          <w:p>
            <w:pPr>
              <w:jc w:val="center"/>
              <w:textAlignment w:val="center"/>
              <w:rPr>
                <w:rFonts w:ascii="宋体" w:hAnsi="宋体" w:cs="宋体"/>
                <w:b/>
                <w:bCs/>
                <w:color w:val="auto"/>
                <w:szCs w:val="21"/>
                <w:highlight w:val="none"/>
                <w:lang w:bidi="ar"/>
              </w:rPr>
            </w:pPr>
            <w:r>
              <w:rPr>
                <w:rFonts w:hint="eastAsia" w:ascii="宋体" w:hAnsi="宋体" w:cs="宋体"/>
                <w:b/>
                <w:bCs/>
                <w:color w:val="auto"/>
                <w:szCs w:val="21"/>
                <w:highlight w:val="none"/>
                <w:lang w:bidi="ar"/>
              </w:rPr>
              <w:t>环卫车辆及设备清单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类别</w:t>
            </w:r>
          </w:p>
        </w:tc>
        <w:tc>
          <w:tcPr>
            <w:tcW w:w="1547"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设备名称</w:t>
            </w:r>
          </w:p>
        </w:tc>
        <w:tc>
          <w:tcPr>
            <w:tcW w:w="938" w:type="pct"/>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类型</w:t>
            </w:r>
          </w:p>
        </w:tc>
        <w:tc>
          <w:tcPr>
            <w:tcW w:w="1633" w:type="pct"/>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lang w:bidi="ar"/>
              </w:rPr>
              <w:t>含税租赁报价</w:t>
            </w:r>
            <w:r>
              <w:rPr>
                <w:rFonts w:hint="eastAsia" w:ascii="宋体" w:hAnsi="宋体" w:cs="宋体"/>
                <w:color w:val="auto"/>
                <w:szCs w:val="21"/>
                <w:highlight w:val="none"/>
              </w:rPr>
              <w:t>（元/月/辆）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restar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湿式扫路车</w:t>
            </w:r>
          </w:p>
        </w:tc>
        <w:tc>
          <w:tcPr>
            <w:tcW w:w="1547"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38"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2784" w:type="dxa"/>
            <w:noWrap/>
            <w:vAlign w:val="center"/>
          </w:tcPr>
          <w:p>
            <w:pPr>
              <w:jc w:val="center"/>
              <w:textAlignment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80" w:type="pct"/>
            <w:vMerge w:val="continue"/>
            <w:noWrap/>
            <w:vAlign w:val="center"/>
          </w:tcPr>
          <w:p>
            <w:pPr>
              <w:jc w:val="center"/>
              <w:rPr>
                <w:rFonts w:ascii="宋体" w:hAnsi="宋体" w:cs="宋体"/>
                <w:color w:val="auto"/>
                <w:szCs w:val="21"/>
                <w:highlight w:val="none"/>
              </w:rPr>
            </w:pPr>
          </w:p>
        </w:tc>
        <w:tc>
          <w:tcPr>
            <w:tcW w:w="1547"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38"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2784" w:type="dxa"/>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noWrap/>
            <w:vAlign w:val="center"/>
          </w:tcPr>
          <w:p>
            <w:pPr>
              <w:jc w:val="center"/>
              <w:rPr>
                <w:rFonts w:ascii="宋体" w:hAnsi="宋体" w:cs="宋体"/>
                <w:color w:val="auto"/>
                <w:szCs w:val="21"/>
                <w:highlight w:val="none"/>
              </w:rPr>
            </w:pPr>
          </w:p>
        </w:tc>
        <w:tc>
          <w:tcPr>
            <w:tcW w:w="1547"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w:t>
            </w:r>
          </w:p>
        </w:tc>
        <w:tc>
          <w:tcPr>
            <w:tcW w:w="938" w:type="pct"/>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2784" w:type="dxa"/>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密闭式垃圾压缩车</w:t>
            </w: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总质量≥18000kg（翻桶/翻斗)</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总质量≥8000kg（翻桶/翻斗)</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总质量≥5000kg（翻桶/翻斗)</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总质量≥18000kg（翻桶/翻斗)</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总质量≥8000kg（翻桶/翻斗)</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总质量≥5000kg（翻桶/翻斗)</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抑尘车</w:t>
            </w: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洒水车</w:t>
            </w: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总质量≥12000kg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38" w:type="pct"/>
            <w:shd w:val="clear" w:color="auto" w:fill="FFFFFF"/>
            <w:noWrap/>
            <w:vAlign w:val="center"/>
          </w:tcPr>
          <w:p>
            <w:pPr>
              <w:jc w:val="cente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总质量≥7000kg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总质量≥18000kg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总质量≥10000kg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总质量≥7000kg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总质量≥5000kg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路面养护车</w:t>
            </w: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总质量≥3415kg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车厢可卸式勾臂车</w:t>
            </w: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最大总质量 ≥25000kg</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油耗</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restar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密闭式垃圾压缩箱</w:t>
            </w: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垃圾箱容积：22m³(插电接口）</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垃圾箱容积：18m³(插电接口）</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vMerge w:val="continue"/>
            <w:shd w:val="clear" w:color="auto" w:fill="auto"/>
            <w:noWrap/>
            <w:vAlign w:val="center"/>
          </w:tcPr>
          <w:p>
            <w:pPr>
              <w:jc w:val="center"/>
              <w:rPr>
                <w:rFonts w:ascii="宋体" w:hAnsi="宋体" w:cs="宋体"/>
                <w:color w:val="auto"/>
                <w:szCs w:val="21"/>
                <w:highlight w:val="none"/>
              </w:rPr>
            </w:pP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垃圾箱容积：15m³(插电接口）</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0"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开盖式垃圾转运箱</w:t>
            </w:r>
          </w:p>
        </w:tc>
        <w:tc>
          <w:tcPr>
            <w:tcW w:w="1547" w:type="pct"/>
            <w:shd w:val="clear" w:color="auto" w:fill="auto"/>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有效容积≥25m³，可匹配25吨、31吨勾臂车。</w:t>
            </w:r>
          </w:p>
        </w:tc>
        <w:tc>
          <w:tcPr>
            <w:tcW w:w="938" w:type="pct"/>
            <w:shd w:val="clear" w:color="auto" w:fill="FFFFFF"/>
            <w:noWrap/>
            <w:vAlign w:val="center"/>
          </w:tcPr>
          <w:p>
            <w:pPr>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电动</w:t>
            </w:r>
          </w:p>
        </w:tc>
        <w:tc>
          <w:tcPr>
            <w:tcW w:w="2784" w:type="dxa"/>
            <w:shd w:val="clear" w:color="auto" w:fill="FFFFFF"/>
            <w:noWrap/>
            <w:vAlign w:val="center"/>
          </w:tcPr>
          <w:p>
            <w:pPr>
              <w:jc w:val="center"/>
              <w:textAlignment w:val="center"/>
              <w:rPr>
                <w:rFonts w:ascii="宋体" w:hAnsi="宋体" w:cs="宋体"/>
                <w:color w:val="auto"/>
                <w:szCs w:val="21"/>
                <w:highlight w:val="none"/>
                <w:lang w:bidi="ar"/>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pPr>
        <w:ind w:firstLine="420" w:firstLineChars="200"/>
        <w:rPr>
          <w:rFonts w:ascii="宋体" w:hAnsi="宋体"/>
          <w:color w:val="auto"/>
          <w:szCs w:val="21"/>
          <w:highlight w:val="none"/>
        </w:rPr>
      </w:pPr>
      <w:r>
        <w:rPr>
          <w:rFonts w:hint="eastAsia" w:ascii="宋体" w:hAnsi="宋体"/>
          <w:color w:val="auto"/>
          <w:szCs w:val="21"/>
          <w:highlight w:val="none"/>
        </w:rPr>
        <w:t>1、投标固定单价必须准确唯一。</w:t>
      </w:r>
    </w:p>
    <w:p>
      <w:pPr>
        <w:ind w:firstLine="420" w:firstLineChars="200"/>
        <w:rPr>
          <w:rFonts w:ascii="宋体" w:hAnsi="宋体"/>
          <w:color w:val="auto"/>
          <w:szCs w:val="21"/>
          <w:highlight w:val="none"/>
        </w:rPr>
      </w:pPr>
      <w:r>
        <w:rPr>
          <w:rFonts w:hint="eastAsia" w:ascii="宋体" w:hAnsi="宋体"/>
          <w:color w:val="auto"/>
          <w:szCs w:val="21"/>
          <w:highlight w:val="none"/>
        </w:rPr>
        <w:t>2、温馨提示：未按采购文件要求报价、填写开标一览表是导致投标人废标的常见问题，请投标人仔细填写，认真核对。</w:t>
      </w:r>
    </w:p>
    <w:p>
      <w:pPr>
        <w:ind w:firstLine="420" w:firstLineChars="200"/>
        <w:rPr>
          <w:rFonts w:ascii="宋体" w:hAnsi="宋体"/>
          <w:color w:val="auto"/>
          <w:szCs w:val="21"/>
          <w:highlight w:val="none"/>
        </w:rPr>
      </w:pPr>
      <w:r>
        <w:rPr>
          <w:rFonts w:hint="eastAsia" w:ascii="宋体" w:hAnsi="宋体"/>
          <w:color w:val="auto"/>
          <w:szCs w:val="21"/>
          <w:highlight w:val="none"/>
        </w:rPr>
        <w:t>3、如不涉及本包号的报价，可删除此表</w:t>
      </w:r>
      <w:r>
        <w:rPr>
          <w:rFonts w:hint="eastAsia" w:ascii="宋体" w:hAnsi="宋体"/>
          <w:color w:val="auto"/>
          <w:szCs w:val="21"/>
          <w:highlight w:val="none"/>
        </w:rPr>
        <w:br w:type="page"/>
      </w:r>
    </w:p>
    <w:bookmarkEnd w:id="145"/>
    <w:p>
      <w:pPr>
        <w:rPr>
          <w:color w:val="auto"/>
          <w:sz w:val="52"/>
          <w:szCs w:val="52"/>
          <w:highlight w:val="none"/>
        </w:rPr>
      </w:pPr>
    </w:p>
    <w:p>
      <w:pPr>
        <w:pStyle w:val="4"/>
        <w:spacing w:before="0" w:after="0" w:line="360" w:lineRule="auto"/>
        <w:jc w:val="center"/>
        <w:rPr>
          <w:color w:val="auto"/>
          <w:sz w:val="72"/>
          <w:szCs w:val="72"/>
          <w:highlight w:val="none"/>
        </w:rPr>
      </w:pPr>
      <w:bookmarkStart w:id="146" w:name="_Toc7358"/>
      <w:r>
        <w:rPr>
          <w:rFonts w:hint="eastAsia"/>
          <w:color w:val="auto"/>
          <w:sz w:val="72"/>
          <w:szCs w:val="72"/>
          <w:highlight w:val="none"/>
        </w:rPr>
        <w:t>商务文件</w:t>
      </w:r>
      <w:bookmarkEnd w:id="146"/>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11"/>
        <w:rPr>
          <w:color w:val="auto"/>
          <w:highlight w:val="none"/>
        </w:rPr>
      </w:pPr>
    </w:p>
    <w:p>
      <w:pPr>
        <w:pStyle w:val="30"/>
        <w:ind w:firstLine="240"/>
        <w:rPr>
          <w:color w:val="auto"/>
          <w:highlight w:val="none"/>
        </w:rPr>
      </w:pPr>
    </w:p>
    <w:p>
      <w:pPr>
        <w:rPr>
          <w:rFonts w:hint="eastAsia" w:ascii="宋体" w:hAnsi="宋体" w:cs="宋体"/>
          <w:b/>
          <w:bCs/>
          <w:color w:val="auto"/>
          <w:spacing w:val="-6"/>
          <w:sz w:val="32"/>
          <w:szCs w:val="32"/>
          <w:highlight w:val="none"/>
          <w:u w:val="single"/>
          <w:lang w:eastAsia="zh-CN"/>
        </w:rPr>
      </w:pPr>
      <w:r>
        <w:rPr>
          <w:rFonts w:hint="eastAsia" w:ascii="宋体" w:hAnsi="宋体" w:cs="宋体"/>
          <w:b/>
          <w:bCs/>
          <w:color w:val="auto"/>
          <w:spacing w:val="-6"/>
          <w:sz w:val="32"/>
          <w:szCs w:val="32"/>
          <w:highlight w:val="none"/>
          <w:u w:val="none"/>
          <w:lang w:eastAsia="zh-CN"/>
        </w:rPr>
        <w:t>项目名称：</w:t>
      </w:r>
      <w:r>
        <w:rPr>
          <w:rFonts w:hint="eastAsia" w:ascii="宋体" w:hAnsi="宋体" w:cs="宋体"/>
          <w:b/>
          <w:bCs/>
          <w:color w:val="auto"/>
          <w:spacing w:val="-6"/>
          <w:sz w:val="32"/>
          <w:szCs w:val="32"/>
          <w:highlight w:val="none"/>
          <w:u w:val="single"/>
          <w:lang w:eastAsia="zh-CN"/>
        </w:rPr>
        <w:t>城服公司2023年度车辆设备租赁采购项目（重新采购）</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项目编号：</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投标人名称：</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日      期：</w:t>
      </w:r>
    </w:p>
    <w:p>
      <w:pPr>
        <w:rPr>
          <w:rFonts w:ascii="宋体" w:hAnsi="宋体"/>
          <w:color w:val="auto"/>
          <w:szCs w:val="21"/>
          <w:highlight w:val="none"/>
        </w:rPr>
      </w:pPr>
      <w:r>
        <w:rPr>
          <w:rFonts w:hint="eastAsia" w:ascii="宋体" w:hAnsi="宋体"/>
          <w:color w:val="auto"/>
          <w:spacing w:val="282"/>
          <w:kern w:val="0"/>
          <w:szCs w:val="21"/>
          <w:highlight w:val="none"/>
          <w:fitText w:val="492" w:id="292250509"/>
        </w:rPr>
        <w:br w:type="page"/>
      </w:r>
    </w:p>
    <w:p>
      <w:pPr>
        <w:pStyle w:val="6"/>
        <w:widowControl w:val="0"/>
        <w:overflowPunct w:val="0"/>
        <w:spacing w:line="240" w:lineRule="auto"/>
        <w:rPr>
          <w:color w:val="auto"/>
          <w:highlight w:val="none"/>
        </w:rPr>
      </w:pPr>
      <w:bookmarkStart w:id="147" w:name="_Toc11732"/>
      <w:r>
        <w:rPr>
          <w:rFonts w:hint="eastAsia" w:ascii="宋体" w:hAnsi="宋体"/>
          <w:color w:val="auto"/>
          <w:sz w:val="21"/>
          <w:szCs w:val="21"/>
          <w:highlight w:val="none"/>
        </w:rPr>
        <w:t>附件4.投标书格式</w:t>
      </w:r>
      <w:bookmarkEnd w:id="147"/>
    </w:p>
    <w:p>
      <w:pPr>
        <w:jc w:val="center"/>
        <w:rPr>
          <w:rFonts w:ascii="宋体" w:hAnsi="宋体"/>
          <w:color w:val="auto"/>
          <w:spacing w:val="1390"/>
          <w:szCs w:val="21"/>
          <w:highlight w:val="none"/>
        </w:rPr>
      </w:pPr>
      <w:r>
        <w:rPr>
          <w:rFonts w:hint="eastAsia" w:ascii="黑体" w:eastAsia="黑体"/>
          <w:color w:val="auto"/>
          <w:spacing w:val="37"/>
          <w:kern w:val="0"/>
          <w:sz w:val="32"/>
          <w:szCs w:val="32"/>
          <w:highlight w:val="none"/>
          <w:fitText w:val="1108" w:id="1467898070"/>
        </w:rPr>
        <w:t>投标</w:t>
      </w:r>
      <w:r>
        <w:rPr>
          <w:rFonts w:hint="eastAsia" w:ascii="黑体" w:eastAsia="黑体"/>
          <w:color w:val="auto"/>
          <w:spacing w:val="0"/>
          <w:kern w:val="0"/>
          <w:sz w:val="32"/>
          <w:szCs w:val="32"/>
          <w:highlight w:val="none"/>
          <w:fitText w:val="1108" w:id="1467898070"/>
        </w:rPr>
        <w:t>书</w:t>
      </w:r>
    </w:p>
    <w:p>
      <w:pPr>
        <w:pStyle w:val="4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w:t>
      </w:r>
      <w:r>
        <w:rPr>
          <w:rFonts w:hint="eastAsia" w:ascii="宋体" w:eastAsia="宋体"/>
          <w:color w:val="auto"/>
          <w:spacing w:val="7"/>
          <w:kern w:val="0"/>
          <w:sz w:val="21"/>
          <w:szCs w:val="21"/>
          <w:highlight w:val="none"/>
          <w:fitText w:val="1108" w:id="1467898070"/>
        </w:rPr>
        <w:t>：广东政</w:t>
      </w:r>
      <w:r>
        <w:rPr>
          <w:rFonts w:hint="eastAsia" w:ascii="宋体" w:eastAsia="宋体"/>
          <w:color w:val="auto"/>
          <w:spacing w:val="1"/>
          <w:kern w:val="0"/>
          <w:sz w:val="21"/>
          <w:szCs w:val="21"/>
          <w:highlight w:val="none"/>
          <w:fitText w:val="1108" w:id="1467898070"/>
        </w:rPr>
        <w:t>通</w:t>
      </w:r>
      <w:r>
        <w:rPr>
          <w:rFonts w:hint="eastAsia" w:ascii="宋体" w:eastAsia="宋体"/>
          <w:color w:val="auto"/>
          <w:sz w:val="21"/>
          <w:szCs w:val="21"/>
          <w:highlight w:val="none"/>
        </w:rPr>
        <w:t>招标</w:t>
      </w:r>
      <w:r>
        <w:rPr>
          <w:rFonts w:hint="eastAsia" w:ascii="宋体" w:eastAsia="宋体"/>
          <w:color w:val="auto"/>
          <w:spacing w:val="119"/>
          <w:kern w:val="0"/>
          <w:sz w:val="21"/>
          <w:szCs w:val="21"/>
          <w:highlight w:val="none"/>
          <w:fitText w:val="1108" w:id="1467898070"/>
        </w:rPr>
        <w:t>有限</w:t>
      </w:r>
      <w:r>
        <w:rPr>
          <w:rFonts w:hint="eastAsia" w:ascii="宋体" w:eastAsia="宋体"/>
          <w:color w:val="auto"/>
          <w:spacing w:val="1"/>
          <w:kern w:val="0"/>
          <w:sz w:val="21"/>
          <w:szCs w:val="21"/>
          <w:highlight w:val="none"/>
          <w:fitText w:val="1108" w:id="1467898070"/>
        </w:rPr>
        <w:t>公</w:t>
      </w:r>
      <w:r>
        <w:rPr>
          <w:rFonts w:hint="eastAsia" w:ascii="宋体" w:eastAsia="宋体"/>
          <w:color w:val="auto"/>
          <w:sz w:val="21"/>
          <w:szCs w:val="21"/>
          <w:highlight w:val="none"/>
        </w:rPr>
        <w:t>司</w:t>
      </w:r>
    </w:p>
    <w:p>
      <w:pPr>
        <w:rPr>
          <w:rFonts w:ascii="宋体" w:hAnsi="宋体"/>
          <w:color w:val="auto"/>
          <w:spacing w:val="1390"/>
          <w:szCs w:val="21"/>
          <w:highlight w:val="none"/>
        </w:rPr>
      </w:pPr>
    </w:p>
    <w:p>
      <w:pPr>
        <w:ind w:firstLine="420" w:firstLineChars="200"/>
        <w:rPr>
          <w:rFonts w:ascii="宋体" w:hAnsi="宋体"/>
          <w:color w:val="auto"/>
          <w:szCs w:val="21"/>
          <w:highlight w:val="none"/>
        </w:rPr>
      </w:pPr>
      <w:bookmarkStart w:id="148" w:name="_Toc19972"/>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项目采购公告/采购邀请，签字代表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提交投标文件及“唱标信封”：</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20"/>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我方将按采购文件的规定履行合同责任和义务。 </w:t>
      </w:r>
    </w:p>
    <w:p>
      <w:pPr>
        <w:widowControl w:val="0"/>
        <w:numPr>
          <w:ilvl w:val="0"/>
          <w:numId w:val="20"/>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采购文件的所有内容（包括澄清，以及所有已提供的参考资料和有关附件），并完全理解上述文件所表达的意思，该项目递交投标文件时间截止后，我方承诺不再对上述文件内容进行异议。</w:t>
      </w:r>
    </w:p>
    <w:p>
      <w:pPr>
        <w:widowControl w:val="0"/>
        <w:numPr>
          <w:ilvl w:val="0"/>
          <w:numId w:val="20"/>
        </w:numP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20"/>
        </w:numP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20"/>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20"/>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投标人邀请中所要求的资格条件，已清楚采购文件所有要求及有关规定；并承诺参加本次采购活动中，如有违法、违规、弄虚作假行为，所造成的损失、不良后果及法律责任，一律由我方承担；</w:t>
      </w:r>
    </w:p>
    <w:p>
      <w:pPr>
        <w:widowControl w:val="0"/>
        <w:numPr>
          <w:ilvl w:val="0"/>
          <w:numId w:val="20"/>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pPr>
        <w:widowControl w:val="0"/>
        <w:numPr>
          <w:ilvl w:val="0"/>
          <w:numId w:val="20"/>
        </w:numP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r>
        <w:rPr>
          <w:rFonts w:hint="eastAsia" w:ascii="宋体" w:hAnsi="宋体"/>
          <w:color w:val="auto"/>
          <w:szCs w:val="21"/>
          <w:highlight w:val="none"/>
        </w:rPr>
        <w:t>地址：　　　　　　　　　　　　　　　　　　　 传真：</w:t>
      </w:r>
    </w:p>
    <w:p>
      <w:pPr>
        <w:rPr>
          <w:rFonts w:ascii="宋体" w:hAnsi="宋体"/>
          <w:color w:val="auto"/>
          <w:szCs w:val="21"/>
          <w:highlight w:val="none"/>
        </w:rPr>
      </w:pPr>
      <w:r>
        <w:rPr>
          <w:rFonts w:hint="eastAsia" w:ascii="宋体" w:hAnsi="宋体"/>
          <w:color w:val="auto"/>
          <w:szCs w:val="21"/>
          <w:highlight w:val="none"/>
        </w:rPr>
        <w:t>电话/移动电话：　　　　　　　　　　　　　　　电子函件：</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投标人名称（全称）： </w:t>
      </w:r>
    </w:p>
    <w:p>
      <w:pPr>
        <w:rPr>
          <w:rFonts w:ascii="宋体" w:hAnsi="宋体"/>
          <w:color w:val="auto"/>
          <w:szCs w:val="21"/>
          <w:highlight w:val="none"/>
        </w:rPr>
      </w:pPr>
      <w:r>
        <w:rPr>
          <w:rFonts w:hint="eastAsia" w:ascii="宋体" w:hAnsi="宋体"/>
          <w:color w:val="auto"/>
          <w:szCs w:val="21"/>
          <w:highlight w:val="none"/>
        </w:rPr>
        <w:t xml:space="preserve">投标人盖章： </w:t>
      </w:r>
    </w:p>
    <w:p>
      <w:pPr>
        <w:rPr>
          <w:rFonts w:ascii="宋体" w:hAnsi="宋体"/>
          <w:color w:val="auto"/>
          <w:szCs w:val="21"/>
          <w:highlight w:val="none"/>
        </w:rPr>
      </w:pPr>
      <w:r>
        <w:rPr>
          <w:rFonts w:hint="eastAsia" w:ascii="宋体" w:hAnsi="宋体"/>
          <w:color w:val="auto"/>
          <w:szCs w:val="21"/>
          <w:highlight w:val="none"/>
        </w:rPr>
        <w:t>投标人开户银行（全称）：</w:t>
      </w:r>
    </w:p>
    <w:p>
      <w:pPr>
        <w:rPr>
          <w:rFonts w:ascii="宋体" w:hAnsi="宋体"/>
          <w:color w:val="auto"/>
          <w:szCs w:val="21"/>
          <w:highlight w:val="none"/>
        </w:rPr>
      </w:pPr>
      <w:r>
        <w:rPr>
          <w:rFonts w:hint="eastAsia" w:ascii="宋体" w:hAnsi="宋体"/>
          <w:color w:val="auto"/>
          <w:szCs w:val="21"/>
          <w:highlight w:val="none"/>
        </w:rPr>
        <w:t>投标人银行账号：</w:t>
      </w:r>
    </w:p>
    <w:p>
      <w:pPr>
        <w:rPr>
          <w:color w:val="auto"/>
          <w:highlight w:val="none"/>
        </w:rPr>
      </w:pPr>
      <w:r>
        <w:rPr>
          <w:rFonts w:hint="eastAsia" w:ascii="宋体" w:hAnsi="宋体"/>
          <w:color w:val="auto"/>
          <w:szCs w:val="21"/>
          <w:highlight w:val="none"/>
        </w:rPr>
        <w:t>日期：</w:t>
      </w:r>
      <w:r>
        <w:rPr>
          <w:color w:val="auto"/>
          <w:highlight w:val="none"/>
        </w:rPr>
        <w:br w:type="page"/>
      </w:r>
    </w:p>
    <w:p>
      <w:pPr>
        <w:pStyle w:val="6"/>
        <w:widowControl w:val="0"/>
        <w:overflowPunct w:val="0"/>
        <w:spacing w:line="240" w:lineRule="auto"/>
        <w:rPr>
          <w:rFonts w:ascii="宋体" w:hAnsi="宋体"/>
          <w:color w:val="auto"/>
          <w:sz w:val="21"/>
          <w:szCs w:val="21"/>
          <w:highlight w:val="none"/>
        </w:rPr>
      </w:pPr>
      <w:r>
        <w:rPr>
          <w:rFonts w:hint="eastAsia" w:ascii="宋体" w:hAnsi="宋体"/>
          <w:color w:val="auto"/>
          <w:sz w:val="21"/>
          <w:szCs w:val="21"/>
          <w:highlight w:val="none"/>
        </w:rPr>
        <w:t>附件5. 法定代表人证明书格式</w:t>
      </w:r>
      <w:bookmarkEnd w:id="14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4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6"/>
        <w:spacing w:line="420" w:lineRule="atLeast"/>
        <w:ind w:firstLine="433"/>
        <w:rPr>
          <w:rFonts w:ascii="宋体" w:eastAsia="宋体"/>
          <w:color w:val="auto"/>
          <w:sz w:val="21"/>
          <w:szCs w:val="21"/>
          <w:highlight w:val="none"/>
        </w:rPr>
      </w:pPr>
    </w:p>
    <w:p>
      <w:pPr>
        <w:pStyle w:val="46"/>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46"/>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46"/>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46"/>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46"/>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46"/>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46"/>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6"/>
        <w:spacing w:line="500" w:lineRule="atLeast"/>
        <w:ind w:firstLine="3517" w:firstLineChars="1675"/>
        <w:rPr>
          <w:rFonts w:ascii="宋体" w:eastAsia="宋体"/>
          <w:color w:val="auto"/>
          <w:sz w:val="21"/>
          <w:szCs w:val="21"/>
          <w:highlight w:val="none"/>
        </w:rPr>
      </w:pP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46"/>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46"/>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2"/>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46"/>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46"/>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6"/>
        <w:widowControl w:val="0"/>
        <w:overflowPunct w:val="0"/>
        <w:spacing w:line="240" w:lineRule="auto"/>
        <w:rPr>
          <w:color w:val="auto"/>
          <w:highlight w:val="none"/>
        </w:rPr>
      </w:pPr>
      <w:bookmarkStart w:id="149" w:name="_Toc19149"/>
      <w:r>
        <w:rPr>
          <w:rFonts w:hint="eastAsia" w:ascii="宋体" w:hAnsi="宋体"/>
          <w:color w:val="auto"/>
          <w:sz w:val="21"/>
          <w:szCs w:val="21"/>
          <w:highlight w:val="none"/>
        </w:rPr>
        <w:t>附件6.法定代表人授权书格式</w:t>
      </w:r>
      <w:bookmarkEnd w:id="149"/>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4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6"/>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6"/>
        <w:spacing w:line="500" w:lineRule="atLeast"/>
        <w:ind w:firstLine="3517" w:firstLineChars="1675"/>
        <w:rPr>
          <w:rFonts w:ascii="宋体" w:eastAsia="宋体"/>
          <w:color w:val="auto"/>
          <w:sz w:val="21"/>
          <w:szCs w:val="21"/>
          <w:highlight w:val="none"/>
        </w:rPr>
      </w:pP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6"/>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46"/>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46"/>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46"/>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46"/>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须附：被授权人身份证复印件。</w:t>
      </w:r>
    </w:p>
    <w:tbl>
      <w:tblPr>
        <w:tblStyle w:val="32"/>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46"/>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46"/>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150" w:name="_Toc22486"/>
      <w:r>
        <w:rPr>
          <w:rFonts w:hint="eastAsia" w:ascii="宋体" w:hAnsi="宋体"/>
          <w:color w:val="auto"/>
          <w:szCs w:val="21"/>
          <w:highlight w:val="none"/>
        </w:rPr>
        <w:br w:type="page"/>
      </w:r>
    </w:p>
    <w:p>
      <w:pPr>
        <w:pStyle w:val="6"/>
        <w:widowControl w:val="0"/>
        <w:overflowPunct w:val="0"/>
        <w:spacing w:line="240" w:lineRule="auto"/>
        <w:rPr>
          <w:rFonts w:ascii="宋体" w:hAnsi="宋体"/>
          <w:color w:val="auto"/>
          <w:sz w:val="21"/>
          <w:szCs w:val="21"/>
          <w:highlight w:val="none"/>
        </w:rPr>
      </w:pPr>
      <w:bookmarkStart w:id="151" w:name="_Toc30038"/>
      <w:r>
        <w:rPr>
          <w:rFonts w:hint="eastAsia" w:ascii="宋体" w:hAnsi="宋体"/>
          <w:color w:val="auto"/>
          <w:sz w:val="21"/>
          <w:szCs w:val="21"/>
          <w:highlight w:val="none"/>
        </w:rPr>
        <w:t>附件7.资格申明</w:t>
      </w:r>
      <w:bookmarkEnd w:id="151"/>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4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采购</w:t>
      </w:r>
      <w:r>
        <w:rPr>
          <w:rFonts w:ascii="宋体" w:hAnsi="宋体"/>
          <w:color w:val="auto"/>
          <w:szCs w:val="21"/>
          <w:highlight w:val="none"/>
        </w:rPr>
        <w:t>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一、我方具备投标人邀请中所要求得资格条件，已清楚采购文件所有要求及有关规定；并承诺参加本次采购活动中，如有违法、违规、弄虚作假行为，所造成的损失、不良后果及法律责任，一律由我方承担；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（采购代理机构）</w:t>
      </w:r>
      <w:r>
        <w:rPr>
          <w:rFonts w:hint="eastAsia" w:ascii="宋体" w:hAnsi="宋体"/>
          <w:color w:val="auto"/>
          <w:szCs w:val="21"/>
          <w:highlight w:val="none"/>
        </w:rPr>
        <w:t>。</w:t>
      </w:r>
    </w:p>
    <w:p>
      <w:pPr>
        <w:pStyle w:val="46"/>
        <w:spacing w:line="500" w:lineRule="atLeast"/>
        <w:ind w:firstLine="3517" w:firstLineChars="1675"/>
        <w:rPr>
          <w:rFonts w:ascii="宋体" w:eastAsia="宋体"/>
          <w:color w:val="auto"/>
          <w:sz w:val="21"/>
          <w:szCs w:val="21"/>
          <w:highlight w:val="none"/>
        </w:rPr>
      </w:pPr>
    </w:p>
    <w:p>
      <w:pPr>
        <w:pStyle w:val="46"/>
        <w:spacing w:line="500" w:lineRule="atLeast"/>
        <w:ind w:firstLine="3517" w:firstLineChars="1675"/>
        <w:rPr>
          <w:rFonts w:ascii="宋体" w:eastAsia="宋体"/>
          <w:color w:val="auto"/>
          <w:sz w:val="21"/>
          <w:szCs w:val="21"/>
          <w:highlight w:val="none"/>
        </w:rPr>
      </w:pPr>
    </w:p>
    <w:p>
      <w:pPr>
        <w:pStyle w:val="46"/>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6"/>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46"/>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46"/>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6"/>
        <w:widowControl w:val="0"/>
        <w:overflowPunct w:val="0"/>
        <w:spacing w:line="240" w:lineRule="auto"/>
        <w:rPr>
          <w:rFonts w:ascii="宋体" w:hAnsi="宋体"/>
          <w:color w:val="auto"/>
          <w:sz w:val="21"/>
          <w:szCs w:val="21"/>
          <w:highlight w:val="none"/>
        </w:rPr>
      </w:pPr>
      <w:bookmarkStart w:id="152" w:name="_Toc10305"/>
      <w:r>
        <w:rPr>
          <w:rFonts w:hint="eastAsia" w:ascii="宋体" w:hAnsi="宋体"/>
          <w:color w:val="auto"/>
          <w:sz w:val="21"/>
          <w:szCs w:val="21"/>
          <w:highlight w:val="none"/>
        </w:rPr>
        <w:t>附件8.营业执照</w:t>
      </w:r>
      <w:bookmarkEnd w:id="152"/>
    </w:p>
    <w:p>
      <w:pPr>
        <w:jc w:val="center"/>
        <w:rPr>
          <w:rFonts w:ascii="黑体" w:eastAsia="黑体"/>
          <w:color w:val="auto"/>
          <w:sz w:val="28"/>
          <w:szCs w:val="28"/>
          <w:highlight w:val="none"/>
        </w:rPr>
      </w:pPr>
      <w:bookmarkStart w:id="153" w:name="_Toc4926"/>
      <w:bookmarkStart w:id="154" w:name="_Toc1511"/>
      <w:bookmarkStart w:id="155" w:name="_Toc5919"/>
      <w:bookmarkStart w:id="156" w:name="_Toc24210"/>
      <w:bookmarkStart w:id="157" w:name="_Toc17470"/>
      <w:r>
        <w:rPr>
          <w:rFonts w:hint="eastAsia" w:ascii="黑体" w:eastAsia="黑体"/>
          <w:color w:val="auto"/>
          <w:sz w:val="28"/>
          <w:szCs w:val="28"/>
          <w:highlight w:val="none"/>
        </w:rPr>
        <w:t>营业执照</w:t>
      </w:r>
      <w:bookmarkEnd w:id="153"/>
      <w:bookmarkEnd w:id="154"/>
      <w:bookmarkEnd w:id="155"/>
      <w:bookmarkEnd w:id="156"/>
      <w:bookmarkEnd w:id="157"/>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widowControl w:val="0"/>
        <w:overflowPunct w:val="0"/>
        <w:spacing w:line="240" w:lineRule="auto"/>
        <w:rPr>
          <w:rFonts w:ascii="宋体" w:hAnsi="宋体"/>
          <w:color w:val="auto"/>
          <w:sz w:val="21"/>
          <w:szCs w:val="21"/>
          <w:highlight w:val="none"/>
        </w:rPr>
      </w:pPr>
      <w:bookmarkStart w:id="158" w:name="_Toc30816"/>
      <w:r>
        <w:rPr>
          <w:rFonts w:hint="eastAsia" w:ascii="宋体" w:hAnsi="宋体"/>
          <w:color w:val="auto"/>
          <w:sz w:val="21"/>
          <w:szCs w:val="21"/>
          <w:highlight w:val="none"/>
        </w:rPr>
        <w:t>附件9.相关资质证明文件</w:t>
      </w:r>
      <w:bookmarkEnd w:id="158"/>
    </w:p>
    <w:p>
      <w:pPr>
        <w:rPr>
          <w:color w:val="auto"/>
          <w:highlight w:val="none"/>
        </w:rPr>
      </w:pPr>
    </w:p>
    <w:p>
      <w:pPr>
        <w:jc w:val="center"/>
        <w:rPr>
          <w:rFonts w:ascii="黑体" w:eastAsia="黑体"/>
          <w:color w:val="auto"/>
          <w:sz w:val="28"/>
          <w:szCs w:val="28"/>
          <w:highlight w:val="none"/>
        </w:rPr>
      </w:pPr>
      <w:bookmarkStart w:id="159" w:name="_Toc16698"/>
      <w:bookmarkStart w:id="160" w:name="_Toc9592"/>
      <w:bookmarkStart w:id="161" w:name="_Toc13458"/>
      <w:bookmarkStart w:id="162" w:name="_Toc30307"/>
      <w:bookmarkStart w:id="163" w:name="_Toc16233"/>
      <w:r>
        <w:rPr>
          <w:rFonts w:hint="eastAsia" w:ascii="黑体" w:eastAsia="黑体"/>
          <w:color w:val="auto"/>
          <w:sz w:val="28"/>
          <w:szCs w:val="28"/>
          <w:highlight w:val="none"/>
        </w:rPr>
        <w:t>相关资质证明文件</w:t>
      </w:r>
      <w:bookmarkEnd w:id="150"/>
      <w:bookmarkEnd w:id="159"/>
      <w:bookmarkEnd w:id="160"/>
      <w:bookmarkEnd w:id="161"/>
      <w:bookmarkEnd w:id="162"/>
      <w:bookmarkEnd w:id="163"/>
    </w:p>
    <w:p>
      <w:pPr>
        <w:numPr>
          <w:ilvl w:val="0"/>
          <w:numId w:val="21"/>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投标人的单位负责人为同一人或者存在直接控股、管理关系的不同投标人，不得参加同一合同项下的采购活动（提供承诺函，格式自拟）；</w:t>
      </w:r>
    </w:p>
    <w:p>
      <w:pPr>
        <w:numPr>
          <w:ilvl w:val="0"/>
          <w:numId w:val="21"/>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符合投标邀请书“投标人资格要求”其他要求对应的证明文件；</w:t>
      </w:r>
    </w:p>
    <w:p>
      <w:pPr>
        <w:numPr>
          <w:ilvl w:val="0"/>
          <w:numId w:val="21"/>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投标人认为必要的文件。</w:t>
      </w:r>
      <w:r>
        <w:rPr>
          <w:rFonts w:hint="eastAsia" w:ascii="宋体" w:hAnsi="宋体" w:cs="宋体"/>
          <w:b/>
          <w:bCs/>
          <w:color w:val="auto"/>
          <w:szCs w:val="21"/>
          <w:highlight w:val="none"/>
        </w:rPr>
        <w:br w:type="page"/>
      </w:r>
    </w:p>
    <w:p>
      <w:pPr>
        <w:pStyle w:val="6"/>
        <w:widowControl w:val="0"/>
        <w:overflowPunct w:val="0"/>
        <w:spacing w:line="240" w:lineRule="auto"/>
        <w:rPr>
          <w:rFonts w:ascii="楷体_GB2312" w:eastAsia="楷体_GB2312"/>
          <w:color w:val="auto"/>
          <w:highlight w:val="none"/>
        </w:rPr>
      </w:pPr>
      <w:bookmarkStart w:id="164" w:name="_Toc3091"/>
      <w:r>
        <w:rPr>
          <w:rFonts w:hint="eastAsia" w:ascii="宋体" w:hAnsi="宋体"/>
          <w:color w:val="auto"/>
          <w:sz w:val="21"/>
          <w:szCs w:val="21"/>
          <w:highlight w:val="none"/>
        </w:rPr>
        <w:t>附件10.在经营活动中没有重大违法记录的书面声明格式</w:t>
      </w:r>
      <w:bookmarkEnd w:id="164"/>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投标人在经营活动中前三年内未有重大违法记录、没有不良信用记录的声明函</w:t>
      </w:r>
    </w:p>
    <w:p>
      <w:pPr>
        <w:ind w:firstLine="420" w:firstLineChars="200"/>
        <w:rPr>
          <w:rFonts w:ascii="宋体" w:hAnsi="宋体" w:cs="宋体"/>
          <w:color w:val="auto"/>
          <w:szCs w:val="21"/>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（项目编号:）采购活动前三年内（设立不满三年的从设立之日计算），在经营活动中没有重大违法记录；</w:t>
      </w:r>
      <w:r>
        <w:rPr>
          <w:rFonts w:hint="eastAsia" w:ascii="宋体" w:hAnsi="宋体"/>
          <w:color w:val="auto"/>
          <w:szCs w:val="21"/>
          <w:highlight w:val="none"/>
        </w:rPr>
        <w:t>重大违法记录，是指供应商因违法经营受到刑事处罚或者行政处罚</w:t>
      </w:r>
      <w:r>
        <w:rPr>
          <w:rFonts w:hint="eastAsia" w:ascii="宋体" w:hAnsi="宋体" w:cs="宋体"/>
          <w:color w:val="auto"/>
          <w:szCs w:val="21"/>
          <w:highlight w:val="none"/>
        </w:rPr>
        <w:t>；至本项目提交投标文件截止时间止未被列入“信用中国”网站失信被执行人、税收违法黑名单、政府采购严重违法失信行为记录名单。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rPr>
          <w:color w:val="auto"/>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color w:val="auto"/>
          <w:highlight w:val="none"/>
        </w:rPr>
      </w:pPr>
    </w:p>
    <w:p>
      <w:pPr>
        <w:pStyle w:val="6"/>
        <w:widowControl w:val="0"/>
        <w:overflowPunct w:val="0"/>
        <w:spacing w:line="240" w:lineRule="auto"/>
        <w:rPr>
          <w:rFonts w:ascii="楷体_GB2312" w:eastAsia="楷体_GB2312"/>
          <w:color w:val="auto"/>
          <w:highlight w:val="none"/>
        </w:rPr>
      </w:pPr>
      <w:bookmarkStart w:id="165" w:name="_Toc18616"/>
      <w:r>
        <w:rPr>
          <w:rFonts w:hint="eastAsia" w:ascii="宋体" w:hAnsi="宋体"/>
          <w:color w:val="auto"/>
          <w:sz w:val="21"/>
          <w:szCs w:val="21"/>
          <w:highlight w:val="none"/>
        </w:rPr>
        <w:t>附件11.承诺书格式</w:t>
      </w:r>
      <w:bookmarkEnd w:id="165"/>
    </w:p>
    <w:p>
      <w:pPr>
        <w:jc w:val="center"/>
        <w:rPr>
          <w:rFonts w:ascii="黑体" w:eastAsia="黑体"/>
          <w:color w:val="auto"/>
          <w:sz w:val="28"/>
          <w:szCs w:val="28"/>
          <w:highlight w:val="none"/>
        </w:rPr>
      </w:pPr>
      <w:r>
        <w:rPr>
          <w:rFonts w:hint="eastAsia" w:ascii="黑体" w:eastAsia="黑体"/>
          <w:color w:val="auto"/>
          <w:sz w:val="28"/>
          <w:szCs w:val="28"/>
          <w:highlight w:val="none"/>
        </w:rPr>
        <w:t>承诺书</w:t>
      </w:r>
    </w:p>
    <w:p>
      <w:pPr>
        <w:pStyle w:val="4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6"/>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）采购文件的所有内容（包括澄清，以及所有已提供的参考资料和有关附件），并完全理解上述文件所表达的意思，该项目递交投标文件时间截止后，我方承诺不再对上述文件内容有异议。</w:t>
      </w:r>
      <w:r>
        <w:rPr>
          <w:rFonts w:hint="eastAsia" w:ascii="宋体" w:eastAsia="宋体" w:cs="宋体"/>
          <w:color w:val="auto"/>
          <w:sz w:val="21"/>
          <w:szCs w:val="21"/>
          <w:highlight w:val="none"/>
        </w:rPr>
        <w:cr/>
      </w:r>
    </w:p>
    <w:p>
      <w:pPr>
        <w:pStyle w:val="46"/>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rPr>
          <w:color w:val="auto"/>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rFonts w:ascii="宋体" w:hAnsi="宋体"/>
          <w:color w:val="auto"/>
          <w:szCs w:val="21"/>
          <w:highlight w:val="none"/>
        </w:rPr>
      </w:pPr>
    </w:p>
    <w:p>
      <w:pPr>
        <w:pStyle w:val="11"/>
        <w:rPr>
          <w:color w:val="auto"/>
          <w:sz w:val="21"/>
          <w:szCs w:val="21"/>
          <w:highlight w:val="none"/>
        </w:rPr>
      </w:pP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166" w:name="_Toc24507"/>
      <w:r>
        <w:rPr>
          <w:rFonts w:hint="eastAsia" w:ascii="宋体" w:hAnsi="宋体"/>
          <w:color w:val="auto"/>
          <w:sz w:val="21"/>
          <w:szCs w:val="21"/>
          <w:highlight w:val="none"/>
        </w:rPr>
        <w:t>附件12.商务需求条款偏离表格式</w:t>
      </w:r>
      <w:bookmarkEnd w:id="166"/>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w:t>
      </w:r>
    </w:p>
    <w:tbl>
      <w:tblPr>
        <w:tblStyle w:val="32"/>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ind w:left="718" w:hanging="718" w:hangingChars="342"/>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1、投标人应对照采购文件商务需求书中商务要求，说明已对采购文件的商务内容做出了实质性的响应。</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需求书”的内容并对采购人所需的服务要求作全面响应，投标人必须承担完成“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，因此对投标人投标产生负面影响的，投标人自行承担后果。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pPr>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line="240" w:lineRule="auto"/>
        <w:rPr>
          <w:rFonts w:ascii="宋体" w:hAnsi="宋体"/>
          <w:color w:val="auto"/>
          <w:sz w:val="30"/>
          <w:szCs w:val="30"/>
          <w:highlight w:val="none"/>
        </w:rPr>
      </w:pPr>
      <w:bookmarkStart w:id="167" w:name="_Toc22347"/>
      <w:r>
        <w:rPr>
          <w:rFonts w:hint="eastAsia" w:ascii="宋体" w:hAnsi="宋体"/>
          <w:color w:val="auto"/>
          <w:sz w:val="21"/>
          <w:szCs w:val="21"/>
          <w:highlight w:val="none"/>
        </w:rPr>
        <w:t>附件13.业绩表</w:t>
      </w:r>
      <w:bookmarkEnd w:id="167"/>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33"/>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2001"/>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2001"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401"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706" w:type="dxa"/>
            <w:vAlign w:val="center"/>
          </w:tcPr>
          <w:p>
            <w:pPr>
              <w:adjustRightInd/>
              <w:snapToGrid/>
              <w:jc w:val="center"/>
              <w:rPr>
                <w:rFonts w:ascii="宋体" w:hAnsi="宋体"/>
                <w:color w:val="auto"/>
                <w:szCs w:val="21"/>
                <w:highlight w:val="none"/>
              </w:rPr>
            </w:pPr>
          </w:p>
        </w:tc>
        <w:tc>
          <w:tcPr>
            <w:tcW w:w="2001" w:type="dxa"/>
            <w:vAlign w:val="center"/>
          </w:tcPr>
          <w:p>
            <w:pPr>
              <w:adjustRightInd/>
              <w:snapToGrid/>
              <w:jc w:val="center"/>
              <w:rPr>
                <w:rFonts w:ascii="宋体" w:hAnsi="宋体"/>
                <w:color w:val="auto"/>
                <w:szCs w:val="21"/>
                <w:highlight w:val="none"/>
              </w:rPr>
            </w:pPr>
          </w:p>
        </w:tc>
        <w:tc>
          <w:tcPr>
            <w:tcW w:w="1401" w:type="dxa"/>
            <w:vAlign w:val="center"/>
          </w:tcPr>
          <w:p>
            <w:pP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2001" w:type="dxa"/>
          </w:tcPr>
          <w:p>
            <w:pPr>
              <w:adjustRightInd/>
              <w:snapToGrid/>
              <w:rPr>
                <w:rFonts w:ascii="宋体" w:hAnsi="宋体"/>
                <w:color w:val="auto"/>
                <w:szCs w:val="21"/>
                <w:highlight w:val="none"/>
              </w:rPr>
            </w:pPr>
          </w:p>
        </w:tc>
        <w:tc>
          <w:tcPr>
            <w:tcW w:w="1401"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2001" w:type="dxa"/>
          </w:tcPr>
          <w:p>
            <w:pPr>
              <w:adjustRightInd/>
              <w:snapToGrid/>
              <w:rPr>
                <w:rFonts w:ascii="宋体" w:hAnsi="宋体"/>
                <w:color w:val="auto"/>
                <w:szCs w:val="21"/>
                <w:highlight w:val="none"/>
              </w:rPr>
            </w:pPr>
          </w:p>
        </w:tc>
        <w:tc>
          <w:tcPr>
            <w:tcW w:w="1401"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2001" w:type="dxa"/>
          </w:tcPr>
          <w:p>
            <w:pPr>
              <w:adjustRightInd/>
              <w:snapToGrid/>
              <w:rPr>
                <w:rFonts w:ascii="宋体" w:hAnsi="宋体"/>
                <w:color w:val="auto"/>
                <w:szCs w:val="21"/>
                <w:highlight w:val="none"/>
              </w:rPr>
            </w:pPr>
          </w:p>
        </w:tc>
        <w:tc>
          <w:tcPr>
            <w:tcW w:w="1401"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2001" w:type="dxa"/>
          </w:tcPr>
          <w:p>
            <w:pPr>
              <w:adjustRightInd/>
              <w:snapToGrid/>
              <w:rPr>
                <w:rFonts w:ascii="宋体" w:hAnsi="宋体"/>
                <w:color w:val="auto"/>
                <w:szCs w:val="21"/>
                <w:highlight w:val="none"/>
              </w:rPr>
            </w:pPr>
          </w:p>
        </w:tc>
        <w:tc>
          <w:tcPr>
            <w:tcW w:w="1401"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2001" w:type="dxa"/>
          </w:tcPr>
          <w:p>
            <w:pPr>
              <w:adjustRightInd/>
              <w:snapToGrid/>
              <w:rPr>
                <w:rFonts w:ascii="宋体" w:hAnsi="宋体"/>
                <w:color w:val="auto"/>
                <w:szCs w:val="21"/>
                <w:highlight w:val="none"/>
              </w:rPr>
            </w:pPr>
          </w:p>
        </w:tc>
        <w:tc>
          <w:tcPr>
            <w:tcW w:w="1401" w:type="dxa"/>
          </w:tcPr>
          <w:p>
            <w:pPr>
              <w:adjustRightInd/>
              <w:snapToGrid/>
              <w:rPr>
                <w:rFonts w:ascii="宋体" w:hAnsi="宋体"/>
                <w:color w:val="auto"/>
                <w:szCs w:val="21"/>
                <w:highlight w:val="none"/>
              </w:rPr>
            </w:pPr>
          </w:p>
        </w:tc>
      </w:tr>
    </w:tbl>
    <w:p>
      <w:pPr>
        <w:pStyle w:val="43"/>
        <w:rPr>
          <w:rFonts w:ascii="宋体" w:hAnsi="宋体"/>
          <w:color w:val="auto"/>
          <w:szCs w:val="21"/>
          <w:highlight w:val="none"/>
        </w:rPr>
      </w:pPr>
    </w:p>
    <w:p>
      <w:pPr>
        <w:pStyle w:val="43"/>
        <w:rPr>
          <w:rFonts w:ascii="宋体" w:hAnsi="宋体"/>
          <w:color w:val="auto"/>
          <w:szCs w:val="21"/>
          <w:highlight w:val="none"/>
        </w:rPr>
      </w:pPr>
      <w:r>
        <w:rPr>
          <w:rFonts w:hint="eastAsia" w:ascii="宋体" w:hAnsi="宋体"/>
          <w:color w:val="auto"/>
          <w:szCs w:val="21"/>
          <w:highlight w:val="none"/>
        </w:rPr>
        <w:t>注：</w:t>
      </w:r>
    </w:p>
    <w:p>
      <w:pPr>
        <w:pStyle w:val="43"/>
        <w:numPr>
          <w:ilvl w:val="0"/>
          <w:numId w:val="22"/>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43"/>
        <w:numPr>
          <w:ilvl w:val="0"/>
          <w:numId w:val="22"/>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rPr>
          <w:rFonts w:ascii="宋体" w:hAnsi="宋体"/>
          <w:color w:val="auto"/>
          <w:szCs w:val="21"/>
          <w:highlight w:val="none"/>
        </w:rPr>
      </w:pPr>
      <w:r>
        <w:rPr>
          <w:rFonts w:hint="eastAsia" w:ascii="宋体" w:hAnsi="宋体"/>
          <w:color w:val="auto"/>
          <w:szCs w:val="21"/>
          <w:highlight w:val="none"/>
        </w:rPr>
        <w:br w:type="page"/>
      </w:r>
    </w:p>
    <w:p>
      <w:pPr>
        <w:pStyle w:val="11"/>
        <w:rPr>
          <w:color w:val="auto"/>
          <w:szCs w:val="21"/>
          <w:highlight w:val="none"/>
        </w:rPr>
        <w:sectPr>
          <w:headerReference r:id="rId13" w:type="first"/>
          <w:footerReference r:id="rId15" w:type="first"/>
          <w:headerReference r:id="rId11" w:type="default"/>
          <w:footerReference r:id="rId14" w:type="default"/>
          <w:headerReference r:id="rId12" w:type="even"/>
          <w:pgSz w:w="11906" w:h="16838"/>
          <w:pgMar w:top="1440" w:right="1800" w:bottom="1440" w:left="1800" w:header="708" w:footer="708" w:gutter="0"/>
          <w:cols w:space="708" w:num="1"/>
          <w:titlePg/>
          <w:docGrid w:type="lines" w:linePitch="360" w:charSpace="0"/>
        </w:sectPr>
      </w:pPr>
    </w:p>
    <w:p>
      <w:pPr>
        <w:pStyle w:val="6"/>
        <w:widowControl w:val="0"/>
        <w:overflowPunct w:val="0"/>
        <w:spacing w:line="240" w:lineRule="auto"/>
        <w:rPr>
          <w:color w:val="auto"/>
          <w:highlight w:val="none"/>
        </w:rPr>
      </w:pPr>
      <w:bookmarkStart w:id="168" w:name="_Toc4222"/>
      <w:r>
        <w:rPr>
          <w:rFonts w:hint="eastAsia" w:ascii="宋体" w:hAnsi="宋体"/>
          <w:color w:val="auto"/>
          <w:sz w:val="21"/>
          <w:szCs w:val="21"/>
          <w:highlight w:val="none"/>
        </w:rPr>
        <w:t>附件14.联合体协议书</w:t>
      </w:r>
      <w:r>
        <w:rPr>
          <w:rFonts w:hint="eastAsia"/>
          <w:color w:val="auto"/>
          <w:highlight w:val="none"/>
        </w:rPr>
        <w:t>（如有）</w:t>
      </w:r>
      <w:bookmarkEnd w:id="168"/>
    </w:p>
    <w:p>
      <w:pPr>
        <w:rPr>
          <w:color w:val="auto"/>
          <w:highlight w:val="none"/>
        </w:rPr>
      </w:pPr>
    </w:p>
    <w:p>
      <w:pPr>
        <w:jc w:val="center"/>
        <w:rPr>
          <w:rFonts w:hAnsi="宋体" w:cs="宋体"/>
          <w:color w:val="auto"/>
          <w:highlight w:val="none"/>
        </w:rPr>
      </w:pPr>
      <w:r>
        <w:rPr>
          <w:rFonts w:hint="eastAsia" w:hAnsi="宋体" w:cs="宋体"/>
          <w:b/>
          <w:bCs/>
          <w:color w:val="auto"/>
          <w:highlight w:val="none"/>
        </w:rPr>
        <w:t>联合体共同投标协议书</w:t>
      </w:r>
    </w:p>
    <w:p>
      <w:pPr>
        <w:jc w:val="center"/>
        <w:rPr>
          <w:rFonts w:hAnsi="宋体" w:cs="宋体"/>
          <w:color w:val="auto"/>
          <w:highlight w:val="none"/>
        </w:rPr>
      </w:pPr>
    </w:p>
    <w:p>
      <w:pPr>
        <w:rPr>
          <w:rFonts w:hAnsi="宋体" w:cs="宋体"/>
          <w:color w:val="auto"/>
          <w:szCs w:val="21"/>
          <w:highlight w:val="none"/>
        </w:rPr>
      </w:pPr>
      <w:r>
        <w:rPr>
          <w:rFonts w:hint="eastAsia" w:hAnsi="宋体" w:cs="宋体"/>
          <w:color w:val="auto"/>
          <w:szCs w:val="21"/>
          <w:highlight w:val="none"/>
        </w:rPr>
        <w:t>立约方：（甲公司全称）</w:t>
      </w:r>
    </w:p>
    <w:p>
      <w:pPr>
        <w:rPr>
          <w:rFonts w:hAnsi="宋体" w:cs="宋体"/>
          <w:color w:val="auto"/>
          <w:szCs w:val="21"/>
          <w:highlight w:val="none"/>
        </w:rPr>
      </w:pPr>
      <w:r>
        <w:rPr>
          <w:rFonts w:hint="eastAsia" w:hAnsi="宋体" w:cs="宋体"/>
          <w:color w:val="auto"/>
          <w:szCs w:val="21"/>
          <w:highlight w:val="none"/>
        </w:rPr>
        <w:t>（乙公司全称）</w:t>
      </w:r>
    </w:p>
    <w:p>
      <w:pPr>
        <w:rPr>
          <w:rFonts w:hAnsi="宋体" w:cs="宋体"/>
          <w:color w:val="auto"/>
          <w:szCs w:val="21"/>
          <w:highlight w:val="none"/>
        </w:rPr>
      </w:pPr>
      <w:r>
        <w:rPr>
          <w:rFonts w:hint="eastAsia" w:hAnsi="宋体" w:cs="宋体"/>
          <w:color w:val="auto"/>
          <w:szCs w:val="21"/>
          <w:highlight w:val="none"/>
        </w:rPr>
        <w:t>（……公司全称）</w:t>
      </w:r>
    </w:p>
    <w:p>
      <w:pPr>
        <w:rPr>
          <w:rFonts w:hAnsi="宋体" w:cs="宋体"/>
          <w:color w:val="auto"/>
          <w:szCs w:val="21"/>
          <w:highlight w:val="none"/>
        </w:rPr>
      </w:pP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自愿组成联合体，以一个投标人的身份共同参加</w:t>
      </w:r>
      <w:r>
        <w:rPr>
          <w:rFonts w:hint="eastAsia" w:hAnsi="宋体" w:cs="宋体"/>
          <w:color w:val="auto"/>
          <w:szCs w:val="21"/>
          <w:highlight w:val="none"/>
          <w:u w:val="single"/>
        </w:rPr>
        <w:t>（xxxx项目） （项目编号：xxxx）</w:t>
      </w:r>
      <w:r>
        <w:rPr>
          <w:rFonts w:hint="eastAsia" w:hAnsi="宋体" w:cs="宋体"/>
          <w:color w:val="auto"/>
          <w:szCs w:val="21"/>
          <w:highlight w:val="none"/>
        </w:rPr>
        <w:t>的招标活动。经各方充分协商一致，就项目的投标和合同实施阶段的有关事务协商一致订立协议如下：</w:t>
      </w:r>
    </w:p>
    <w:p>
      <w:pPr>
        <w:rPr>
          <w:rFonts w:hAnsi="宋体" w:cs="宋体"/>
          <w:color w:val="auto"/>
          <w:szCs w:val="21"/>
          <w:highlight w:val="none"/>
        </w:rPr>
      </w:pPr>
      <w:r>
        <w:rPr>
          <w:rFonts w:hint="eastAsia" w:hAnsi="宋体" w:cs="宋体"/>
          <w:color w:val="auto"/>
          <w:szCs w:val="21"/>
          <w:highlight w:val="none"/>
        </w:rPr>
        <w:t>一、联合体各方关系</w:t>
      </w:r>
    </w:p>
    <w:p>
      <w:pPr>
        <w:rPr>
          <w:rFonts w:hAnsi="宋体" w:cs="宋体"/>
          <w:color w:val="auto"/>
          <w:szCs w:val="21"/>
          <w:highlight w:val="none"/>
        </w:rPr>
      </w:pPr>
      <w:r>
        <w:rPr>
          <w:rFonts w:hint="eastAsia" w:hAnsi="宋体" w:cs="宋体"/>
          <w:color w:val="auto"/>
          <w:szCs w:val="21"/>
          <w:highlight w:val="none"/>
          <w:u w:val="single"/>
        </w:rPr>
        <w:t>1.（甲公司全称）、（乙公司全称）、（……公司全称）</w:t>
      </w:r>
      <w:r>
        <w:rPr>
          <w:rFonts w:hint="eastAsia" w:hAnsi="宋体" w:cs="宋体"/>
          <w:color w:val="auto"/>
          <w:szCs w:val="21"/>
          <w:highlight w:val="none"/>
        </w:rPr>
        <w:t>共同组成一个联合体，以一个投标人的身份共同参加本项目的投标。</w:t>
      </w: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作为联合体成员，若中标，联合体各方共同与</w:t>
      </w:r>
      <w:r>
        <w:rPr>
          <w:rFonts w:hint="eastAsia" w:hAnsi="宋体" w:cs="宋体"/>
          <w:color w:val="auto"/>
          <w:szCs w:val="21"/>
          <w:highlight w:val="none"/>
          <w:u w:val="single"/>
        </w:rPr>
        <w:t>（采购人）</w:t>
      </w:r>
      <w:r>
        <w:rPr>
          <w:rFonts w:hint="eastAsia" w:hAnsi="宋体" w:cs="宋体"/>
          <w:color w:val="auto"/>
          <w:szCs w:val="21"/>
          <w:highlight w:val="none"/>
        </w:rPr>
        <w:t>签订合同。</w:t>
      </w:r>
    </w:p>
    <w:p>
      <w:pPr>
        <w:rPr>
          <w:rFonts w:hAnsi="宋体" w:cs="宋体"/>
          <w:color w:val="auto"/>
          <w:szCs w:val="21"/>
          <w:highlight w:val="none"/>
        </w:rPr>
      </w:pPr>
      <w:r>
        <w:rPr>
          <w:rFonts w:hint="eastAsia" w:hAnsi="宋体" w:cs="宋体"/>
          <w:color w:val="auto"/>
          <w:szCs w:val="21"/>
          <w:highlight w:val="none"/>
        </w:rPr>
        <w:t>2.本次投标中，以</w:t>
      </w:r>
      <w:r>
        <w:rPr>
          <w:rFonts w:hint="eastAsia" w:hAnsi="宋体" w:cs="宋体"/>
          <w:color w:val="auto"/>
          <w:szCs w:val="21"/>
          <w:highlight w:val="none"/>
          <w:u w:val="single"/>
        </w:rPr>
        <w:t>（公司全称）</w:t>
      </w:r>
      <w:r>
        <w:rPr>
          <w:rFonts w:hint="eastAsia" w:hAnsi="宋体" w:cs="宋体"/>
          <w:color w:val="auto"/>
          <w:szCs w:val="21"/>
          <w:highlight w:val="none"/>
        </w:rPr>
        <w:t>为联合体牵头人。</w:t>
      </w:r>
    </w:p>
    <w:p>
      <w:pPr>
        <w:rPr>
          <w:rFonts w:hAnsi="宋体" w:cs="宋体"/>
          <w:color w:val="auto"/>
          <w:szCs w:val="21"/>
          <w:highlight w:val="none"/>
        </w:rPr>
      </w:pPr>
      <w:r>
        <w:rPr>
          <w:rFonts w:hint="eastAsia" w:hAnsi="宋体" w:cs="宋体"/>
          <w:color w:val="auto"/>
          <w:szCs w:val="21"/>
          <w:highlight w:val="none"/>
        </w:rPr>
        <w:t>二、联合体内部有关事项约定如下：</w:t>
      </w:r>
    </w:p>
    <w:p>
      <w:pPr>
        <w:rPr>
          <w:rFonts w:hAnsi="宋体" w:cs="宋体"/>
          <w:color w:val="auto"/>
          <w:szCs w:val="21"/>
          <w:highlight w:val="none"/>
        </w:rPr>
      </w:pPr>
      <w:r>
        <w:rPr>
          <w:rFonts w:hint="eastAsia" w:hAnsi="宋体"/>
          <w:color w:val="auto"/>
          <w:szCs w:val="21"/>
          <w:highlight w:val="none"/>
        </w:rPr>
        <w:t>1.联合体牵头人合法代表联合体各成员，负责本项目投标文件编制和投标工作，并代表联合体成员递交和接受相关的资料、信息及指示，并处理与之有关的一切事务，负责合同实施阶段的主办、组织和协调工作。</w:t>
      </w:r>
    </w:p>
    <w:p>
      <w:pPr>
        <w:rPr>
          <w:rFonts w:hAnsi="宋体" w:cs="宋体"/>
          <w:color w:val="auto"/>
          <w:szCs w:val="21"/>
          <w:highlight w:val="none"/>
        </w:rPr>
      </w:pPr>
      <w:r>
        <w:rPr>
          <w:rFonts w:hint="eastAsia" w:hAnsi="宋体" w:cs="宋体"/>
          <w:color w:val="auto"/>
          <w:szCs w:val="21"/>
          <w:highlight w:val="none"/>
        </w:rPr>
        <w:t>2.联合体将严格按照文件的各项要求，递交投标文件，切实执行一切合同文件，共同承担合同规定的一切义务和责任，同时按照内部职责的划分，承担自身所负的责任和风险，在法律上承担连带责任。</w:t>
      </w:r>
    </w:p>
    <w:p>
      <w:pPr>
        <w:rPr>
          <w:rFonts w:hAnsi="宋体" w:cs="宋体"/>
          <w:color w:val="auto"/>
          <w:szCs w:val="21"/>
          <w:highlight w:val="none"/>
        </w:rPr>
      </w:pPr>
      <w:r>
        <w:rPr>
          <w:rFonts w:hint="eastAsia" w:hAnsi="宋体" w:cs="宋体"/>
          <w:color w:val="auto"/>
          <w:szCs w:val="21"/>
          <w:highlight w:val="none"/>
        </w:rPr>
        <w:t>3.如中标，联合体各方共同与（采购人）签订合同书，并就中标项目向采购人负有连带的和各自的法律责任；</w:t>
      </w:r>
    </w:p>
    <w:p>
      <w:pPr>
        <w:rPr>
          <w:rFonts w:hAnsi="宋体" w:cs="宋体"/>
          <w:color w:val="auto"/>
          <w:szCs w:val="21"/>
          <w:highlight w:val="none"/>
        </w:rPr>
      </w:pPr>
      <w:r>
        <w:rPr>
          <w:rFonts w:hint="eastAsia" w:hAnsi="宋体" w:cs="宋体"/>
          <w:color w:val="auto"/>
          <w:szCs w:val="21"/>
          <w:highlight w:val="none"/>
        </w:rPr>
        <w:t>4.联合体各成员单位内部的职责分工如下：</w:t>
      </w:r>
    </w:p>
    <w:p>
      <w:pPr>
        <w:rPr>
          <w:rFonts w:hAnsi="宋体" w:cs="宋体"/>
          <w:color w:val="auto"/>
          <w:szCs w:val="21"/>
          <w:highlight w:val="none"/>
        </w:rPr>
      </w:pPr>
      <w:r>
        <w:rPr>
          <w:rFonts w:hint="eastAsia" w:hAnsi="宋体" w:cs="宋体"/>
          <w:color w:val="auto"/>
          <w:szCs w:val="21"/>
          <w:highlight w:val="none"/>
        </w:rPr>
        <w:t>（1）</w:t>
      </w:r>
    </w:p>
    <w:p>
      <w:pPr>
        <w:rPr>
          <w:color w:val="auto"/>
          <w:highlight w:val="none"/>
        </w:rPr>
      </w:pPr>
      <w:r>
        <w:rPr>
          <w:rFonts w:hint="eastAsia" w:hAnsi="宋体" w:cs="宋体"/>
          <w:color w:val="auto"/>
          <w:szCs w:val="21"/>
          <w:highlight w:val="none"/>
        </w:rPr>
        <w:t>（2）</w:t>
      </w:r>
    </w:p>
    <w:p>
      <w:pPr>
        <w:rPr>
          <w:rFonts w:hAnsi="宋体" w:cs="宋体"/>
          <w:color w:val="auto"/>
          <w:szCs w:val="21"/>
          <w:highlight w:val="none"/>
        </w:rPr>
      </w:pPr>
      <w:r>
        <w:rPr>
          <w:rFonts w:hint="eastAsia" w:hAnsi="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pPr>
        <w:rPr>
          <w:rFonts w:hAnsi="宋体" w:cs="宋体"/>
          <w:color w:val="auto"/>
          <w:szCs w:val="21"/>
          <w:highlight w:val="none"/>
        </w:rPr>
      </w:pPr>
      <w:r>
        <w:rPr>
          <w:rFonts w:hint="eastAsia" w:hAnsi="宋体" w:cs="宋体"/>
          <w:color w:val="auto"/>
          <w:szCs w:val="21"/>
          <w:highlight w:val="none"/>
        </w:rPr>
        <w:t>四、联合体如因违约过失责任而导致采购人经济损失或被索赔时，本联合体任何一方均同意无条件优先清偿采购人的一切债务和经济赔偿。</w:t>
      </w:r>
    </w:p>
    <w:p>
      <w:pPr>
        <w:rPr>
          <w:rFonts w:hAnsi="宋体" w:cs="宋体"/>
          <w:color w:val="auto"/>
          <w:szCs w:val="21"/>
          <w:highlight w:val="none"/>
        </w:rPr>
      </w:pPr>
      <w:r>
        <w:rPr>
          <w:rFonts w:hint="eastAsia"/>
          <w:color w:val="auto"/>
          <w:szCs w:val="21"/>
          <w:highlight w:val="none"/>
        </w:rPr>
        <w:t>五、联合体中标后，本联合体协议是合同的附件，对联合体各成员单位有合同约束力。</w:t>
      </w:r>
    </w:p>
    <w:p>
      <w:pPr>
        <w:rPr>
          <w:rFonts w:hAnsi="宋体" w:cs="宋体"/>
          <w:color w:val="auto"/>
          <w:szCs w:val="21"/>
          <w:highlight w:val="none"/>
        </w:rPr>
      </w:pPr>
      <w:r>
        <w:rPr>
          <w:rFonts w:hint="eastAsia" w:hAnsi="宋体" w:cs="宋体"/>
          <w:color w:val="auto"/>
          <w:szCs w:val="21"/>
          <w:highlight w:val="none"/>
        </w:rPr>
        <w:t>六、本协议在自签署之日起生效，投标有效期内有效，如获中标资格，本协议有效期延续至合同履行完毕之日。</w:t>
      </w:r>
    </w:p>
    <w:p>
      <w:pPr>
        <w:rPr>
          <w:rFonts w:hAnsi="宋体" w:cs="宋体"/>
          <w:color w:val="auto"/>
          <w:szCs w:val="21"/>
          <w:highlight w:val="none"/>
        </w:rPr>
      </w:pPr>
      <w:r>
        <w:rPr>
          <w:rFonts w:hint="eastAsia" w:hAnsi="宋体" w:cs="宋体"/>
          <w:color w:val="auto"/>
          <w:szCs w:val="21"/>
          <w:highlight w:val="none"/>
        </w:rPr>
        <w:t xml:space="preserve">七、本协议书一式____份，联合体成员和采购人各执一份。 </w:t>
      </w:r>
    </w:p>
    <w:p>
      <w:pPr>
        <w:rPr>
          <w:rFonts w:hAnsi="宋体" w:cs="宋体"/>
          <w:color w:val="auto"/>
          <w:szCs w:val="21"/>
          <w:highlight w:val="none"/>
        </w:rPr>
      </w:pPr>
    </w:p>
    <w:p>
      <w:pPr>
        <w:pStyle w:val="11"/>
        <w:rPr>
          <w:color w:val="auto"/>
          <w:sz w:val="21"/>
          <w:szCs w:val="21"/>
          <w:highlight w:val="none"/>
        </w:rPr>
      </w:pPr>
      <w:r>
        <w:rPr>
          <w:rFonts w:hint="eastAsia"/>
          <w:color w:val="auto"/>
          <w:sz w:val="21"/>
          <w:szCs w:val="21"/>
          <w:highlight w:val="none"/>
        </w:rPr>
        <w:t>注：本协议书由委托人签字的，应附法定代表人签字的授权委托书。</w:t>
      </w:r>
    </w:p>
    <w:p>
      <w:pPr>
        <w:pStyle w:val="11"/>
        <w:rPr>
          <w:color w:val="auto"/>
          <w:sz w:val="21"/>
          <w:szCs w:val="21"/>
          <w:highlight w:val="none"/>
        </w:rPr>
      </w:pPr>
      <w:r>
        <w:rPr>
          <w:rFonts w:hint="eastAsia"/>
          <w:color w:val="auto"/>
          <w:sz w:val="21"/>
          <w:szCs w:val="21"/>
          <w:highlight w:val="none"/>
        </w:rPr>
        <w:t>牵头人名称：_______________________（盖单位公章）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rPr>
          <w:color w:val="auto"/>
          <w:sz w:val="21"/>
          <w:szCs w:val="21"/>
          <w:highlight w:val="none"/>
        </w:rPr>
      </w:pPr>
    </w:p>
    <w:p>
      <w:pPr>
        <w:pStyle w:val="11"/>
        <w:rPr>
          <w:color w:val="auto"/>
          <w:sz w:val="21"/>
          <w:szCs w:val="21"/>
          <w:highlight w:val="none"/>
        </w:rPr>
      </w:pPr>
      <w:r>
        <w:rPr>
          <w:rFonts w:hint="eastAsia"/>
          <w:color w:val="auto"/>
          <w:sz w:val="21"/>
          <w:szCs w:val="21"/>
          <w:highlight w:val="none"/>
        </w:rPr>
        <w:t>成员一名称：_______________________（盖单位公章）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rPr>
          <w:color w:val="auto"/>
          <w:sz w:val="21"/>
          <w:szCs w:val="21"/>
          <w:highlight w:val="none"/>
        </w:rPr>
      </w:pPr>
    </w:p>
    <w:p>
      <w:pPr>
        <w:pStyle w:val="11"/>
        <w:rPr>
          <w:color w:val="auto"/>
          <w:sz w:val="21"/>
          <w:szCs w:val="21"/>
          <w:highlight w:val="none"/>
        </w:rPr>
      </w:pPr>
      <w:r>
        <w:rPr>
          <w:rFonts w:hint="eastAsia"/>
          <w:color w:val="auto"/>
          <w:sz w:val="21"/>
          <w:szCs w:val="21"/>
          <w:highlight w:val="none"/>
        </w:rPr>
        <w:t>成员二名称：_______________________（盖单位公章）</w:t>
      </w:r>
    </w:p>
    <w:p>
      <w:pPr>
        <w:pStyle w:val="11"/>
        <w:rPr>
          <w:color w:val="auto"/>
          <w:sz w:val="21"/>
          <w:szCs w:val="21"/>
          <w:highlight w:val="none"/>
        </w:rPr>
      </w:pPr>
      <w:r>
        <w:rPr>
          <w:rFonts w:hint="eastAsia"/>
          <w:color w:val="auto"/>
          <w:sz w:val="21"/>
          <w:szCs w:val="21"/>
          <w:highlight w:val="none"/>
        </w:rPr>
        <w:t>法定代表人或其委托代理人：_____________（签字）</w:t>
      </w:r>
    </w:p>
    <w:p>
      <w:pPr>
        <w:pStyle w:val="11"/>
        <w:ind w:firstLine="210" w:firstLineChars="100"/>
        <w:jc w:val="both"/>
        <w:rPr>
          <w:color w:val="auto"/>
          <w:sz w:val="21"/>
          <w:szCs w:val="21"/>
          <w:highlight w:val="none"/>
        </w:rPr>
      </w:pPr>
      <w:r>
        <w:rPr>
          <w:rFonts w:hint="eastAsia"/>
          <w:color w:val="auto"/>
          <w:sz w:val="21"/>
          <w:szCs w:val="21"/>
          <w:highlight w:val="none"/>
        </w:rPr>
        <w:t>……</w:t>
      </w:r>
    </w:p>
    <w:p>
      <w:pPr>
        <w:pStyle w:val="11"/>
        <w:rPr>
          <w:color w:val="auto"/>
          <w:highlight w:val="none"/>
          <w:lang w:val="en-US"/>
        </w:rPr>
        <w:sectPr>
          <w:pgSz w:w="11906" w:h="16838"/>
          <w:pgMar w:top="1440" w:right="1800" w:bottom="1440" w:left="1800" w:header="708" w:footer="708" w:gutter="0"/>
          <w:cols w:space="708" w:num="1"/>
          <w:titlePg/>
          <w:docGrid w:type="lines" w:linePitch="360" w:charSpace="0"/>
        </w:sectPr>
      </w:pPr>
      <w:r>
        <w:rPr>
          <w:rFonts w:hint="eastAsia"/>
          <w:color w:val="auto"/>
          <w:sz w:val="21"/>
          <w:szCs w:val="21"/>
          <w:highlight w:val="none"/>
        </w:rPr>
        <w:t xml:space="preserve">        年     月     日</w:t>
      </w:r>
    </w:p>
    <w:p>
      <w:pPr>
        <w:pStyle w:val="11"/>
        <w:rPr>
          <w:color w:val="auto"/>
          <w:highlight w:val="none"/>
        </w:rPr>
      </w:pPr>
    </w:p>
    <w:p>
      <w:pPr>
        <w:pStyle w:val="4"/>
        <w:spacing w:before="0" w:after="0" w:line="360" w:lineRule="auto"/>
        <w:jc w:val="center"/>
        <w:rPr>
          <w:color w:val="auto"/>
          <w:sz w:val="72"/>
          <w:szCs w:val="72"/>
          <w:highlight w:val="none"/>
        </w:rPr>
      </w:pPr>
      <w:bookmarkStart w:id="169" w:name="_Toc17454"/>
      <w:r>
        <w:rPr>
          <w:rFonts w:hint="eastAsia"/>
          <w:color w:val="auto"/>
          <w:sz w:val="72"/>
          <w:szCs w:val="72"/>
          <w:highlight w:val="none"/>
        </w:rPr>
        <w:t>技术文件</w:t>
      </w:r>
      <w:bookmarkEnd w:id="169"/>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11"/>
        <w:rPr>
          <w:color w:val="auto"/>
          <w:highlight w:val="none"/>
        </w:rPr>
      </w:pPr>
    </w:p>
    <w:p>
      <w:pPr>
        <w:pStyle w:val="30"/>
        <w:ind w:firstLine="240"/>
        <w:rPr>
          <w:color w:val="auto"/>
          <w:highlight w:val="none"/>
        </w:rPr>
      </w:pPr>
    </w:p>
    <w:p>
      <w:pPr>
        <w:rPr>
          <w:rFonts w:hint="eastAsia" w:ascii="宋体" w:hAnsi="宋体" w:cs="宋体"/>
          <w:b/>
          <w:bCs/>
          <w:color w:val="auto"/>
          <w:spacing w:val="-6"/>
          <w:sz w:val="32"/>
          <w:szCs w:val="32"/>
          <w:highlight w:val="none"/>
          <w:u w:val="single"/>
          <w:lang w:eastAsia="zh-CN"/>
        </w:rPr>
      </w:pPr>
      <w:r>
        <w:rPr>
          <w:rFonts w:hint="eastAsia" w:ascii="宋体" w:hAnsi="宋体" w:cs="宋体"/>
          <w:b/>
          <w:bCs/>
          <w:color w:val="auto"/>
          <w:spacing w:val="-6"/>
          <w:sz w:val="32"/>
          <w:szCs w:val="32"/>
          <w:highlight w:val="none"/>
          <w:u w:val="none"/>
          <w:lang w:eastAsia="zh-CN"/>
        </w:rPr>
        <w:t>项目名称：</w:t>
      </w:r>
      <w:r>
        <w:rPr>
          <w:rFonts w:hint="eastAsia" w:ascii="宋体" w:hAnsi="宋体" w:cs="宋体"/>
          <w:b/>
          <w:bCs/>
          <w:color w:val="auto"/>
          <w:spacing w:val="-6"/>
          <w:sz w:val="32"/>
          <w:szCs w:val="32"/>
          <w:highlight w:val="none"/>
          <w:u w:val="single"/>
          <w:lang w:eastAsia="zh-CN"/>
        </w:rPr>
        <w:t>城服公司2023年度车辆设备租赁采购项目（重新采购）</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项目编号：</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投标人名称：</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日      期：</w:t>
      </w:r>
    </w:p>
    <w:p>
      <w:pPr>
        <w:rPr>
          <w:rFonts w:ascii="宋体" w:hAnsi="宋体"/>
          <w:color w:val="auto"/>
          <w:szCs w:val="21"/>
          <w:highlight w:val="none"/>
        </w:rPr>
      </w:pPr>
      <w:r>
        <w:rPr>
          <w:rFonts w:hint="eastAsia" w:ascii="宋体" w:hAnsi="宋体"/>
          <w:color w:val="auto"/>
          <w:spacing w:val="1390"/>
          <w:kern w:val="0"/>
          <w:szCs w:val="21"/>
          <w:highlight w:val="none"/>
          <w:fitText w:val="1600" w:id="53902133"/>
        </w:rPr>
        <w:br w:type="page"/>
      </w:r>
    </w:p>
    <w:p>
      <w:pPr>
        <w:pStyle w:val="6"/>
        <w:widowControl w:val="0"/>
        <w:overflowPunct w:val="0"/>
        <w:spacing w:line="240" w:lineRule="auto"/>
        <w:rPr>
          <w:rFonts w:hint="eastAsia" w:ascii="宋体" w:hAnsi="宋体"/>
          <w:color w:val="auto"/>
          <w:sz w:val="21"/>
          <w:szCs w:val="21"/>
          <w:highlight w:val="none"/>
        </w:rPr>
      </w:pPr>
      <w:bookmarkStart w:id="170" w:name="_Toc3704"/>
      <w:r>
        <w:rPr>
          <w:rFonts w:hint="eastAsia" w:ascii="宋体" w:hAnsi="宋体"/>
          <w:color w:val="auto"/>
          <w:sz w:val="21"/>
          <w:szCs w:val="21"/>
          <w:highlight w:val="none"/>
        </w:rPr>
        <w:t>附件15. 技术规格偏离表格式</w:t>
      </w:r>
      <w:bookmarkEnd w:id="170"/>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，投标人都被认为已清楚了解采购文件“技术需求书”的内容并对采购人所需的服务要求作全面响应，投标人必须承担完成“技术需求书”所描述内容的义务</w:t>
      </w:r>
      <w:r>
        <w:rPr>
          <w:rFonts w:hint="eastAsia" w:ascii="宋体" w:hAnsi="宋体"/>
          <w:color w:val="auto"/>
          <w:szCs w:val="21"/>
          <w:highlight w:val="none"/>
        </w:rPr>
        <w:t>，因此对投标人投标产生负面影响的，投标人自行承担后果。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pPr>
        <w:adjustRightInd/>
        <w:snapToGrid/>
        <w:spacing w:line="276" w:lineRule="auto"/>
        <w:rPr>
          <w:color w:val="auto"/>
          <w:highlight w:val="none"/>
        </w:rPr>
      </w:pPr>
    </w:p>
    <w:p>
      <w:pPr>
        <w:adjustRightInd/>
        <w:snapToGrid/>
        <w:spacing w:line="276" w:lineRule="auto"/>
        <w:rPr>
          <w:color w:val="auto"/>
          <w:highlight w:val="none"/>
        </w:rPr>
      </w:pPr>
    </w:p>
    <w:p>
      <w:pPr>
        <w:rPr>
          <w:rFonts w:ascii="宋体" w:hAnsi="宋体"/>
          <w:color w:val="auto"/>
          <w:szCs w:val="21"/>
          <w:highlight w:val="none"/>
        </w:rPr>
      </w:pPr>
      <w:bookmarkStart w:id="171" w:name="_Toc17691"/>
      <w:r>
        <w:rPr>
          <w:rFonts w:hint="eastAsia" w:ascii="宋体" w:hAnsi="宋体"/>
          <w:color w:val="auto"/>
          <w:szCs w:val="21"/>
          <w:highlight w:val="none"/>
        </w:rPr>
        <w:br w:type="page"/>
      </w:r>
    </w:p>
    <w:bookmarkEnd w:id="171"/>
    <w:p>
      <w:pPr>
        <w:pStyle w:val="6"/>
        <w:widowControl w:val="0"/>
        <w:overflowPunct w:val="0"/>
        <w:spacing w:line="240" w:lineRule="auto"/>
        <w:rPr>
          <w:rFonts w:ascii="宋体" w:hAnsi="宋体"/>
          <w:color w:val="auto"/>
          <w:sz w:val="21"/>
          <w:szCs w:val="21"/>
          <w:highlight w:val="none"/>
        </w:rPr>
      </w:pPr>
      <w:bookmarkStart w:id="172" w:name="_Toc13819"/>
      <w:r>
        <w:rPr>
          <w:rFonts w:hint="eastAsia" w:ascii="宋体" w:hAnsi="宋体"/>
          <w:color w:val="auto"/>
          <w:sz w:val="21"/>
          <w:szCs w:val="21"/>
          <w:highlight w:val="none"/>
        </w:rPr>
        <w:t>附件16.项目实施方案格式</w:t>
      </w:r>
      <w:bookmarkEnd w:id="172"/>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1、为完成本项目投标人临时投入的设备</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2、为完成本项目投标人投入的人员以及具体工作安排</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3、投标人为本项目制定的具体项目实施方案与项目实施流程</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widowControl w:val="0"/>
        <w:overflowPunct w:val="0"/>
        <w:spacing w:line="240" w:lineRule="auto"/>
        <w:rPr>
          <w:rFonts w:ascii="宋体" w:hAnsi="宋体"/>
          <w:color w:val="auto"/>
          <w:sz w:val="21"/>
          <w:szCs w:val="21"/>
          <w:highlight w:val="none"/>
        </w:rPr>
      </w:pPr>
      <w:bookmarkStart w:id="173" w:name="_Toc23846"/>
      <w:r>
        <w:rPr>
          <w:rFonts w:hint="eastAsia" w:ascii="宋体" w:hAnsi="宋体"/>
          <w:color w:val="auto"/>
          <w:sz w:val="21"/>
          <w:szCs w:val="21"/>
          <w:highlight w:val="none"/>
        </w:rPr>
        <w:t>附件17.实施本项目的有关人员资料表格式</w:t>
      </w:r>
      <w:bookmarkEnd w:id="173"/>
    </w:p>
    <w:p>
      <w:pPr>
        <w:jc w:val="center"/>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702"/>
        <w:gridCol w:w="1861"/>
        <w:gridCol w:w="702"/>
        <w:gridCol w:w="702"/>
        <w:gridCol w:w="1164"/>
        <w:gridCol w:w="818"/>
        <w:gridCol w:w="1165"/>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092" w:type="pct"/>
            <w:vAlign w:val="center"/>
          </w:tcPr>
          <w:p>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性别</w:t>
            </w:r>
          </w:p>
        </w:tc>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年龄</w:t>
            </w:r>
          </w:p>
        </w:tc>
        <w:tc>
          <w:tcPr>
            <w:tcW w:w="683" w:type="pct"/>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480" w:type="pct"/>
            <w:vAlign w:val="center"/>
          </w:tcPr>
          <w:p>
            <w:pPr>
              <w:jc w:val="center"/>
              <w:rPr>
                <w:rFonts w:ascii="宋体" w:hAnsi="宋体"/>
                <w:color w:val="auto"/>
                <w:szCs w:val="21"/>
                <w:highlight w:val="none"/>
              </w:rPr>
            </w:pPr>
            <w:r>
              <w:rPr>
                <w:rFonts w:hint="eastAsia" w:ascii="宋体" w:hAnsi="宋体"/>
                <w:color w:val="auto"/>
                <w:szCs w:val="21"/>
                <w:highlight w:val="none"/>
              </w:rPr>
              <w:t>专 业</w:t>
            </w:r>
          </w:p>
        </w:tc>
        <w:tc>
          <w:tcPr>
            <w:tcW w:w="683" w:type="pct"/>
            <w:vAlign w:val="center"/>
          </w:tcPr>
          <w:p>
            <w:pPr>
              <w:jc w:val="center"/>
              <w:rPr>
                <w:rFonts w:ascii="宋体" w:hAnsi="宋体"/>
                <w:color w:val="auto"/>
                <w:szCs w:val="21"/>
                <w:highlight w:val="none"/>
              </w:rPr>
            </w:pPr>
            <w:r>
              <w:rPr>
                <w:rFonts w:hint="eastAsia" w:ascii="宋体" w:hAnsi="宋体"/>
                <w:color w:val="auto"/>
                <w:szCs w:val="21"/>
                <w:highlight w:val="none"/>
              </w:rPr>
              <w:t>资质证书</w:t>
            </w:r>
          </w:p>
        </w:tc>
        <w:tc>
          <w:tcPr>
            <w:tcW w:w="412" w:type="pct"/>
            <w:tcBorders>
              <w:right w:val="single" w:color="auto" w:sz="6" w:space="0"/>
            </w:tcBorders>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bl>
    <w:p>
      <w:pPr>
        <w:ind w:firstLine="178" w:firstLineChars="85"/>
        <w:rPr>
          <w:rFonts w:ascii="宋体" w:hAnsi="宋体"/>
          <w:color w:val="auto"/>
          <w:szCs w:val="21"/>
          <w:highlight w:val="none"/>
        </w:rPr>
      </w:pPr>
    </w:p>
    <w:p>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ind w:firstLine="178" w:firstLineChars="85"/>
        <w:rPr>
          <w:rFonts w:ascii="宋体" w:hAnsi="宋体"/>
          <w:color w:val="auto"/>
          <w:szCs w:val="21"/>
          <w:highlight w:val="none"/>
        </w:rPr>
      </w:pPr>
      <w:r>
        <w:rPr>
          <w:rFonts w:hint="eastAsia" w:ascii="宋体" w:hAnsi="宋体"/>
          <w:color w:val="auto"/>
          <w:szCs w:val="21"/>
          <w:highlight w:val="none"/>
        </w:rPr>
        <w:t>投标人代表签字：</w:t>
      </w:r>
    </w:p>
    <w:p>
      <w:pPr>
        <w:ind w:firstLine="178" w:firstLineChars="85"/>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注：</w:t>
      </w:r>
    </w:p>
    <w:p>
      <w:pPr>
        <w:pStyle w:val="43"/>
        <w:numPr>
          <w:ilvl w:val="0"/>
          <w:numId w:val="23"/>
        </w:numPr>
        <w:ind w:firstLineChars="0"/>
        <w:rPr>
          <w:rFonts w:ascii="宋体" w:hAnsi="宋体"/>
          <w:color w:val="auto"/>
          <w:szCs w:val="21"/>
          <w:highlight w:val="none"/>
        </w:rPr>
      </w:pPr>
      <w:r>
        <w:rPr>
          <w:rFonts w:hint="eastAsia" w:ascii="宋体" w:hAnsi="宋体"/>
          <w:color w:val="auto"/>
          <w:szCs w:val="21"/>
          <w:highlight w:val="none"/>
        </w:rPr>
        <w:t>投标人可按项目的实际需要提供本表格。</w:t>
      </w:r>
    </w:p>
    <w:p>
      <w:pPr>
        <w:pStyle w:val="43"/>
        <w:numPr>
          <w:ilvl w:val="0"/>
          <w:numId w:val="23"/>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该表格为参考格式，投标人可按实际情况自行制订。</w:t>
      </w:r>
    </w:p>
    <w:p>
      <w:pPr>
        <w:rPr>
          <w:rFonts w:ascii="宋体" w:hAnsi="宋体" w:cs="Times New Roman"/>
          <w:color w:val="auto"/>
          <w:szCs w:val="21"/>
          <w:highlight w:val="none"/>
        </w:rPr>
      </w:pPr>
      <w:r>
        <w:rPr>
          <w:rFonts w:hint="eastAsia" w:ascii="宋体" w:hAnsi="宋体"/>
          <w:color w:val="auto"/>
          <w:szCs w:val="21"/>
          <w:highlight w:val="none"/>
        </w:rPr>
        <w:t>3、投标人若未提供或未填写完整则视为完全响应采购文件的人员要求，因此对投标人投标产生负面影响的，投标人自行承担后果。</w:t>
      </w:r>
    </w:p>
    <w:p>
      <w:pPr>
        <w:pStyle w:val="43"/>
        <w:numPr>
          <w:ilvl w:val="0"/>
          <w:numId w:val="23"/>
        </w:numPr>
        <w:ind w:firstLineChars="0"/>
        <w:rPr>
          <w:rFonts w:ascii="宋体" w:hAnsi="宋体" w:cs="Times New Roman"/>
          <w:color w:val="auto"/>
          <w:szCs w:val="21"/>
          <w:highlight w:val="none"/>
        </w:rPr>
      </w:pPr>
      <w:r>
        <w:rPr>
          <w:rFonts w:hint="eastAsia" w:ascii="宋体" w:hAnsi="宋体"/>
          <w:color w:val="auto"/>
          <w:szCs w:val="21"/>
          <w:highlight w:val="none"/>
        </w:rPr>
        <w:br w:type="page"/>
      </w:r>
    </w:p>
    <w:p>
      <w:pPr>
        <w:pStyle w:val="6"/>
        <w:widowControl w:val="0"/>
        <w:overflowPunct w:val="0"/>
        <w:spacing w:line="240" w:lineRule="auto"/>
        <w:rPr>
          <w:color w:val="auto"/>
          <w:highlight w:val="none"/>
        </w:rPr>
      </w:pPr>
      <w:bookmarkStart w:id="174" w:name="_Toc15162"/>
      <w:r>
        <w:rPr>
          <w:rFonts w:hint="eastAsia" w:ascii="宋体" w:hAnsi="宋体"/>
          <w:color w:val="auto"/>
          <w:sz w:val="21"/>
          <w:szCs w:val="21"/>
          <w:highlight w:val="none"/>
        </w:rPr>
        <w:t>附件18.投标保证金汇入情况说明格式</w:t>
      </w:r>
      <w:bookmarkEnd w:id="174"/>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本单位已按项目</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包（采购项目编号：）的采购文件要求，于</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方式汇入指定账户（账户名称：</w:t>
      </w:r>
      <w:r>
        <w:rPr>
          <w:rFonts w:hint="eastAsia" w:ascii="宋体" w:hAnsi="宋体"/>
          <w:color w:val="auto"/>
          <w:szCs w:val="21"/>
          <w:highlight w:val="none"/>
          <w:u w:val="single"/>
        </w:rPr>
        <w:t xml:space="preserve">       </w:t>
      </w:r>
      <w:r>
        <w:rPr>
          <w:rFonts w:hint="eastAsia" w:ascii="宋体" w:hAnsi="宋体"/>
          <w:color w:val="auto"/>
          <w:szCs w:val="21"/>
          <w:highlight w:val="none"/>
        </w:rPr>
        <w:t>，账号：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本单位投标保证金的汇款情况：（详见附件－投标保证金进账单）</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汇款账户名称：</w:t>
      </w:r>
      <w:r>
        <w:rPr>
          <w:rFonts w:hint="eastAsia" w:ascii="宋体" w:hAnsi="宋体"/>
          <w:color w:val="auto"/>
          <w:szCs w:val="21"/>
          <w:highlight w:val="none"/>
          <w:u w:val="single"/>
        </w:rPr>
        <w:t xml:space="preserve">  （必须是投标时使用的账户名）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账        号：</w:t>
      </w:r>
      <w:r>
        <w:rPr>
          <w:rFonts w:hint="eastAsia" w:ascii="宋体" w:hAnsi="宋体"/>
          <w:color w:val="auto"/>
          <w:szCs w:val="21"/>
          <w:highlight w:val="none"/>
          <w:u w:val="single"/>
        </w:rPr>
        <w:t xml:space="preserve">  （必须是投标时使用的账号）        </w:t>
      </w:r>
    </w:p>
    <w:p>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480" w:lineRule="auto"/>
        <w:rPr>
          <w:rFonts w:ascii="宋体" w:hAnsi="宋体"/>
          <w:color w:val="auto"/>
          <w:szCs w:val="21"/>
          <w:highlight w:val="none"/>
        </w:rPr>
      </w:pPr>
      <w:r>
        <w:rPr>
          <w:rFonts w:hint="eastAsia" w:ascii="宋体" w:hAnsi="宋体"/>
          <w:color w:val="auto"/>
          <w:szCs w:val="21"/>
          <w:highlight w:val="none"/>
        </w:rPr>
        <w:t>单位名称：</w:t>
      </w:r>
    </w:p>
    <w:p>
      <w:pPr>
        <w:spacing w:line="480" w:lineRule="auto"/>
        <w:rPr>
          <w:rFonts w:ascii="宋体" w:hAnsi="宋体"/>
          <w:color w:val="auto"/>
          <w:szCs w:val="21"/>
          <w:highlight w:val="none"/>
        </w:rPr>
      </w:pPr>
      <w:r>
        <w:rPr>
          <w:rFonts w:hint="eastAsia" w:ascii="宋体" w:hAnsi="宋体"/>
          <w:color w:val="auto"/>
          <w:szCs w:val="21"/>
          <w:highlight w:val="none"/>
        </w:rPr>
        <w:t>单位地址：</w:t>
      </w:r>
    </w:p>
    <w:p>
      <w:pPr>
        <w:spacing w:line="480" w:lineRule="auto"/>
        <w:rPr>
          <w:rFonts w:ascii="宋体" w:hAnsi="宋体"/>
          <w:color w:val="auto"/>
          <w:szCs w:val="21"/>
          <w:highlight w:val="none"/>
        </w:rPr>
      </w:pPr>
      <w:r>
        <w:rPr>
          <w:rFonts w:hint="eastAsia" w:ascii="宋体" w:hAnsi="宋体"/>
          <w:color w:val="auto"/>
          <w:szCs w:val="21"/>
          <w:highlight w:val="none"/>
        </w:rPr>
        <w:t>联系人：</w:t>
      </w:r>
    </w:p>
    <w:p>
      <w:pPr>
        <w:spacing w:line="480" w:lineRule="auto"/>
        <w:rPr>
          <w:rFonts w:ascii="宋体" w:hAnsi="宋体"/>
          <w:color w:val="auto"/>
          <w:szCs w:val="21"/>
          <w:highlight w:val="none"/>
        </w:rPr>
      </w:pPr>
      <w:r>
        <w:rPr>
          <w:rFonts w:hint="eastAsia" w:ascii="宋体" w:hAnsi="宋体"/>
          <w:color w:val="auto"/>
          <w:szCs w:val="21"/>
          <w:highlight w:val="none"/>
        </w:rPr>
        <w:t xml:space="preserve">单位电话： </w:t>
      </w:r>
    </w:p>
    <w:p>
      <w:pPr>
        <w:spacing w:line="480" w:lineRule="auto"/>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32"/>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注：此表既要装订在投标文件中，又要按投标人须知的规定与开标一览表、投标保证金汇款底单复印件及授权委托书一同密封装入唱标信封，唱标信封单独提交。</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pStyle w:val="6"/>
        <w:numPr>
          <w:ilvl w:val="255"/>
          <w:numId w:val="0"/>
        </w:numPr>
        <w:tabs>
          <w:tab w:val="left" w:pos="720"/>
          <w:tab w:val="left" w:pos="3840"/>
        </w:tabs>
        <w:ind w:left="283"/>
        <w:jc w:val="both"/>
        <w:rPr>
          <w:rFonts w:ascii="宋体" w:hAnsi="宋体"/>
          <w:color w:val="auto"/>
          <w:sz w:val="21"/>
          <w:szCs w:val="21"/>
          <w:highlight w:val="none"/>
        </w:rPr>
      </w:pPr>
      <w:bookmarkStart w:id="175" w:name="_Toc4866"/>
      <w:bookmarkStart w:id="176" w:name="_Toc1562"/>
      <w:bookmarkStart w:id="177" w:name="_Toc2144"/>
      <w:bookmarkStart w:id="178" w:name="_Toc17028"/>
      <w:bookmarkStart w:id="179" w:name="_Toc18296"/>
      <w:bookmarkStart w:id="180" w:name="_Toc25861"/>
      <w:bookmarkStart w:id="181" w:name="_Toc29855"/>
      <w:bookmarkStart w:id="182" w:name="_Toc28623"/>
      <w:bookmarkStart w:id="183" w:name="_Toc19947"/>
      <w:bookmarkStart w:id="184" w:name="_Toc14605"/>
      <w:bookmarkStart w:id="185" w:name="_Toc2801"/>
      <w:r>
        <w:rPr>
          <w:rFonts w:hint="eastAsia" w:ascii="宋体" w:hAnsi="宋体"/>
          <w:color w:val="auto"/>
          <w:sz w:val="21"/>
          <w:szCs w:val="21"/>
          <w:highlight w:val="none"/>
        </w:rPr>
        <w:t>附件19.不可撤销履约保函</w:t>
      </w:r>
      <w:bookmarkEnd w:id="175"/>
      <w:bookmarkEnd w:id="176"/>
      <w:bookmarkEnd w:id="177"/>
      <w:bookmarkEnd w:id="178"/>
      <w:bookmarkEnd w:id="179"/>
      <w:bookmarkEnd w:id="180"/>
      <w:bookmarkEnd w:id="181"/>
      <w:bookmarkEnd w:id="182"/>
      <w:bookmarkEnd w:id="183"/>
      <w:bookmarkEnd w:id="184"/>
      <w:bookmarkEnd w:id="185"/>
    </w:p>
    <w:p>
      <w:pPr>
        <w:jc w:val="center"/>
        <w:rPr>
          <w:rFonts w:ascii="黑体" w:eastAsia="黑体"/>
          <w:color w:val="auto"/>
          <w:sz w:val="28"/>
          <w:szCs w:val="28"/>
          <w:highlight w:val="none"/>
        </w:rPr>
      </w:pPr>
      <w:r>
        <w:rPr>
          <w:rFonts w:hint="eastAsia" w:ascii="黑体" w:eastAsia="黑体"/>
          <w:color w:val="auto"/>
          <w:sz w:val="28"/>
          <w:szCs w:val="28"/>
          <w:highlight w:val="none"/>
        </w:rPr>
        <w:t>不可撤销履约保函</w:t>
      </w:r>
    </w:p>
    <w:p>
      <w:pPr>
        <w:jc w:val="center"/>
        <w:rPr>
          <w:rFonts w:ascii="宋体" w:hAnsi="宋体"/>
          <w:color w:val="auto"/>
          <w:highlight w:val="none"/>
        </w:rPr>
      </w:pPr>
      <w:r>
        <w:rPr>
          <w:rFonts w:hint="eastAsia" w:ascii="宋体" w:hAnsi="宋体"/>
          <w:color w:val="auto"/>
          <w:highlight w:val="none"/>
        </w:rPr>
        <w:t xml:space="preserve">                                         银行编号：            </w:t>
      </w:r>
    </w:p>
    <w:p>
      <w:pPr>
        <w:rPr>
          <w:rFonts w:ascii="宋体" w:hAnsi="宋体"/>
          <w:color w:val="auto"/>
          <w:highlight w:val="non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甲方</w:t>
      </w:r>
      <w:r>
        <w:rPr>
          <w:rFonts w:hint="eastAsia" w:ascii="宋体" w:hAnsi="宋体"/>
          <w:color w:val="auto"/>
          <w:highlight w:val="none"/>
        </w:rPr>
        <w:t>）</w:t>
      </w:r>
    </w:p>
    <w:p>
      <w:pPr>
        <w:ind w:firstLine="420" w:firstLineChars="200"/>
        <w:rPr>
          <w:rFonts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“乙方” ）</w:t>
      </w:r>
      <w:r>
        <w:rPr>
          <w:rFonts w:hint="eastAsia" w:ascii="宋体" w:hAnsi="宋体"/>
          <w:color w:val="auto"/>
          <w:highlight w:val="none"/>
        </w:rPr>
        <w:t>已保证按</w:t>
      </w:r>
      <w:r>
        <w:rPr>
          <w:rFonts w:hint="eastAsia" w:ascii="宋体" w:hAnsi="宋体"/>
          <w:color w:val="auto"/>
          <w:highlight w:val="none"/>
          <w:u w:val="single"/>
        </w:rPr>
        <w:t xml:space="preserve">        承包合同书（合同编号：    ）</w:t>
      </w:r>
      <w:r>
        <w:rPr>
          <w:rFonts w:hint="eastAsia" w:ascii="宋体" w:hAnsi="宋体"/>
          <w:color w:val="auto"/>
          <w:highlight w:val="none"/>
        </w:rPr>
        <w:t>中规定的义务履行合同。</w:t>
      </w:r>
    </w:p>
    <w:p>
      <w:pPr>
        <w:ind w:firstLine="420" w:firstLineChars="200"/>
        <w:rPr>
          <w:rFonts w:ascii="宋体" w:hAnsi="宋体"/>
          <w:color w:val="auto"/>
          <w:highlight w:val="none"/>
        </w:rPr>
      </w:pPr>
      <w:r>
        <w:rPr>
          <w:rFonts w:hint="eastAsia" w:ascii="宋体" w:hAnsi="宋体"/>
          <w:color w:val="auto"/>
          <w:highlight w:val="none"/>
        </w:rPr>
        <w:t>根据上述合同约定，乙方应向</w:t>
      </w:r>
      <w:r>
        <w:rPr>
          <w:rFonts w:hint="eastAsia"/>
          <w:color w:val="auto"/>
          <w:highlight w:val="none"/>
        </w:rPr>
        <w:t>甲方</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银行履约保函，作为乙方履行上述合同的担保。</w:t>
      </w:r>
    </w:p>
    <w:p>
      <w:pPr>
        <w:ind w:firstLine="420" w:firstLineChars="200"/>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，受乙方的委托，不仅作为连带责任保证人而且作为主要的责任人，无条件和不可撤销地同意在</w:t>
      </w:r>
      <w:r>
        <w:rPr>
          <w:rFonts w:hint="eastAsia"/>
          <w:color w:val="auto"/>
          <w:highlight w:val="none"/>
        </w:rPr>
        <w:t>甲方</w:t>
      </w:r>
      <w:r>
        <w:rPr>
          <w:rFonts w:hint="eastAsia" w:ascii="宋体" w:hAnsi="宋体"/>
          <w:color w:val="auto"/>
          <w:highlight w:val="none"/>
        </w:rPr>
        <w:t>提出因乙方没有履行上述合同规定，而要求扣划保证金的书面要求后，7个工作日内为</w:t>
      </w:r>
      <w:r>
        <w:rPr>
          <w:rFonts w:hint="eastAsia"/>
          <w:color w:val="auto"/>
          <w:highlight w:val="none"/>
        </w:rPr>
        <w:t>甲方</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pPr>
        <w:ind w:firstLine="420" w:firstLineChars="200"/>
        <w:rPr>
          <w:color w:val="auto"/>
          <w:highlight w:val="none"/>
        </w:rPr>
      </w:pPr>
      <w:r>
        <w:rPr>
          <w:rFonts w:hint="eastAsia" w:ascii="宋体" w:hAnsi="宋体"/>
          <w:color w:val="auto"/>
          <w:highlight w:val="none"/>
        </w:rPr>
        <w:t>我</w:t>
      </w:r>
      <w:r>
        <w:rPr>
          <w:rFonts w:hint="eastAsia"/>
          <w:color w:val="auto"/>
          <w:highlight w:val="none"/>
        </w:rPr>
        <w:t>方还同意，任何甲方与乙方之间可能对合同条款的修改、规范或其他合同文件的变动补充，都不能免除我方按本保函所承担的责任。因此，有关上述变动、补充和修改无须通知我方。</w:t>
      </w:r>
    </w:p>
    <w:p>
      <w:pPr>
        <w:ind w:firstLine="420" w:firstLineChars="200"/>
        <w:rPr>
          <w:color w:val="auto"/>
          <w:highlight w:val="none"/>
        </w:rPr>
      </w:pPr>
      <w:r>
        <w:rPr>
          <w:rFonts w:hint="eastAsia"/>
          <w:color w:val="auto"/>
          <w:highlight w:val="none"/>
        </w:rPr>
        <w:t>本保函从上述合同签订之日起至项目服务期结束验收合格并完成结算后，双方签字之日起7天内保持有效。</w:t>
      </w:r>
    </w:p>
    <w:p>
      <w:pPr>
        <w:ind w:firstLine="2824" w:firstLineChars="1345"/>
        <w:rPr>
          <w:rFonts w:ascii="宋体" w:hAnsi="宋体"/>
          <w:color w:val="auto"/>
          <w:highlight w:val="none"/>
        </w:rPr>
      </w:pPr>
    </w:p>
    <w:p>
      <w:pPr>
        <w:ind w:firstLine="5040" w:firstLineChars="2400"/>
        <w:rPr>
          <w:rFonts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pPr>
        <w:ind w:firstLine="5040" w:firstLineChars="24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pPr>
        <w:pStyle w:val="12"/>
        <w:rPr>
          <w:color w:val="auto"/>
          <w:szCs w:val="24"/>
          <w:highlight w:val="none"/>
        </w:rPr>
      </w:pPr>
      <w:r>
        <w:rPr>
          <w:rFonts w:hint="eastAsia"/>
          <w:color w:val="auto"/>
          <w:szCs w:val="24"/>
          <w:highlight w:val="none"/>
        </w:rPr>
        <w:t>说明：投标人在投标时不需提交正式保函，在投标文件中盖投标人公章确认保函格式即可，乙方</w:t>
      </w:r>
      <w:r>
        <w:rPr>
          <w:rFonts w:hint="eastAsia"/>
          <w:color w:val="auto"/>
          <w:highlight w:val="none"/>
        </w:rPr>
        <w:t>在签订合同时</w:t>
      </w:r>
      <w:r>
        <w:rPr>
          <w:rFonts w:hint="eastAsia"/>
          <w:color w:val="auto"/>
          <w:szCs w:val="24"/>
          <w:highlight w:val="none"/>
        </w:rPr>
        <w:t>提交正式保函。</w:t>
      </w:r>
    </w:p>
    <w:p>
      <w:pPr>
        <w:rPr>
          <w:rFonts w:ascii="宋体" w:hAnsi="宋体"/>
          <w:color w:val="auto"/>
          <w:szCs w:val="21"/>
          <w:highlight w:val="none"/>
        </w:rPr>
      </w:pPr>
    </w:p>
    <w:p>
      <w:pPr>
        <w:rPr>
          <w:rFonts w:ascii="宋体" w:hAnsi="宋体"/>
          <w:color w:val="auto"/>
          <w:szCs w:val="21"/>
          <w:highlight w:val="none"/>
        </w:rPr>
        <w:sectPr>
          <w:pgSz w:w="11906" w:h="16838"/>
          <w:pgMar w:top="1440" w:right="1800" w:bottom="1440" w:left="1800" w:header="708" w:footer="708" w:gutter="0"/>
          <w:cols w:space="708" w:num="1"/>
          <w:titlePg/>
          <w:docGrid w:type="lines" w:linePitch="360" w:charSpace="0"/>
        </w:sectPr>
      </w:pPr>
    </w:p>
    <w:p>
      <w:pPr>
        <w:pStyle w:val="6"/>
        <w:numPr>
          <w:ilvl w:val="255"/>
          <w:numId w:val="0"/>
        </w:numPr>
        <w:tabs>
          <w:tab w:val="left" w:pos="720"/>
          <w:tab w:val="left" w:pos="3840"/>
        </w:tabs>
        <w:ind w:left="283"/>
        <w:jc w:val="both"/>
        <w:rPr>
          <w:rFonts w:ascii="宋体" w:hAnsi="宋体"/>
          <w:color w:val="auto"/>
          <w:sz w:val="21"/>
          <w:szCs w:val="21"/>
          <w:highlight w:val="none"/>
        </w:rPr>
      </w:pPr>
      <w:bookmarkStart w:id="186" w:name="_Toc29098"/>
      <w:r>
        <w:rPr>
          <w:rFonts w:hint="eastAsia" w:ascii="宋体" w:hAnsi="宋体"/>
          <w:color w:val="auto"/>
          <w:sz w:val="21"/>
          <w:szCs w:val="21"/>
          <w:highlight w:val="none"/>
        </w:rPr>
        <w:t>附件20.预付款保函（适用于预付款支付）</w:t>
      </w:r>
      <w:bookmarkEnd w:id="186"/>
    </w:p>
    <w:p>
      <w:pPr>
        <w:pStyle w:val="12"/>
        <w:rPr>
          <w:color w:val="auto"/>
          <w:szCs w:val="24"/>
          <w:highlight w:val="none"/>
        </w:rPr>
      </w:pPr>
    </w:p>
    <w:p>
      <w:pPr>
        <w:jc w:val="center"/>
        <w:rPr>
          <w:rFonts w:ascii="黑体" w:eastAsia="黑体"/>
          <w:color w:val="auto"/>
          <w:sz w:val="28"/>
          <w:szCs w:val="28"/>
          <w:highlight w:val="none"/>
        </w:rPr>
      </w:pPr>
      <w:bookmarkStart w:id="187" w:name="_Toc7374"/>
      <w:bookmarkStart w:id="188" w:name="_Toc25494"/>
      <w:bookmarkStart w:id="189" w:name="_Toc27545"/>
      <w:bookmarkStart w:id="190" w:name="_Toc20669"/>
      <w:bookmarkStart w:id="191" w:name="_Toc31418"/>
      <w:bookmarkStart w:id="192" w:name="_Toc29054"/>
      <w:bookmarkStart w:id="193" w:name="_Toc3295"/>
      <w:bookmarkStart w:id="194" w:name="_Toc5034"/>
      <w:bookmarkStart w:id="195" w:name="_Toc10315"/>
      <w:bookmarkStart w:id="196" w:name="_Toc1039"/>
      <w:bookmarkStart w:id="197" w:name="_Toc29728"/>
      <w:bookmarkStart w:id="198" w:name="_Toc6877"/>
      <w:r>
        <w:rPr>
          <w:rFonts w:hint="eastAsia" w:ascii="黑体" w:eastAsia="黑体"/>
          <w:color w:val="auto"/>
          <w:sz w:val="28"/>
          <w:szCs w:val="28"/>
          <w:highlight w:val="none"/>
        </w:rPr>
        <w:t>不可撤销预付款保函</w:t>
      </w:r>
      <w:bookmarkEnd w:id="187"/>
      <w:bookmarkEnd w:id="188"/>
      <w:bookmarkEnd w:id="189"/>
      <w:bookmarkEnd w:id="190"/>
      <w:bookmarkEnd w:id="191"/>
      <w:bookmarkEnd w:id="192"/>
      <w:bookmarkEnd w:id="193"/>
      <w:bookmarkEnd w:id="194"/>
      <w:bookmarkEnd w:id="195"/>
      <w:bookmarkEnd w:id="196"/>
      <w:bookmarkEnd w:id="197"/>
      <w:bookmarkEnd w:id="198"/>
    </w:p>
    <w:p>
      <w:pP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pPr>
        <w:ind w:firstLine="6300"/>
        <w:rPr>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pP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pPr>
        <w:ind w:firstLine="437"/>
        <w:rPr>
          <w:rFonts w:ascii="宋体" w:hAnsi="宋体"/>
          <w:color w:val="auto"/>
          <w:szCs w:val="21"/>
          <w:highlight w:val="none"/>
        </w:rPr>
      </w:pPr>
      <w:r>
        <w:rPr>
          <w:rFonts w:hint="eastAsia" w:ascii="宋体" w:hAnsi="宋体"/>
          <w:color w:val="auto"/>
          <w:szCs w:val="24"/>
          <w:highlight w:val="none"/>
        </w:rPr>
        <w:t>根据上述合同（采购文件）规定，中标人应向采购人提供一份金额为合同总价的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pP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pP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pP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pPr>
        <w:rPr>
          <w:rFonts w:ascii="宋体" w:hAnsi="宋体"/>
          <w:color w:val="auto"/>
          <w:szCs w:val="21"/>
          <w:highlight w:val="none"/>
        </w:rPr>
      </w:pPr>
    </w:p>
    <w:p>
      <w:pPr>
        <w:ind w:firstLine="437"/>
        <w:rPr>
          <w:rFonts w:ascii="宋体" w:hAnsi="宋体"/>
          <w:color w:val="auto"/>
          <w:szCs w:val="21"/>
          <w:highlight w:val="none"/>
        </w:rPr>
      </w:pPr>
    </w:p>
    <w:p>
      <w:pP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pP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pPr>
        <w:pStyle w:val="12"/>
        <w:rPr>
          <w:color w:val="auto"/>
          <w:szCs w:val="21"/>
          <w:highlight w:val="none"/>
        </w:rPr>
      </w:pPr>
    </w:p>
    <w:p>
      <w:pPr>
        <w:pStyle w:val="12"/>
        <w:rPr>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说明：投标人在投标文件中盖投标人公章确认保函内容即可，如中标再由银行出具保函。</w:t>
      </w:r>
    </w:p>
    <w:p>
      <w:pPr>
        <w:rPr>
          <w:rFonts w:ascii="宋体" w:hAnsi="宋体"/>
          <w:color w:val="auto"/>
          <w:szCs w:val="21"/>
          <w:highlight w:val="none"/>
        </w:rPr>
        <w:sectPr>
          <w:pgSz w:w="11906" w:h="16838"/>
          <w:pgMar w:top="1440" w:right="1800" w:bottom="1440" w:left="1800" w:header="708" w:footer="708" w:gutter="0"/>
          <w:cols w:space="708" w:num="1"/>
          <w:titlePg/>
          <w:docGrid w:type="lines" w:linePitch="360" w:charSpace="0"/>
        </w:sectPr>
      </w:pPr>
    </w:p>
    <w:p>
      <w:pPr>
        <w:pStyle w:val="11"/>
        <w:rPr>
          <w:color w:val="auto"/>
          <w:highlight w:val="none"/>
        </w:rPr>
      </w:pPr>
      <w:bookmarkStart w:id="199" w:name="_Toc1968"/>
    </w:p>
    <w:p>
      <w:pPr>
        <w:jc w:val="center"/>
        <w:outlineLvl w:val="1"/>
        <w:rPr>
          <w:rFonts w:eastAsia="黑体"/>
          <w:color w:val="auto"/>
          <w:sz w:val="72"/>
          <w:szCs w:val="72"/>
          <w:highlight w:val="none"/>
        </w:rPr>
      </w:pPr>
      <w:bookmarkStart w:id="200" w:name="_Toc16601"/>
      <w:r>
        <w:rPr>
          <w:rFonts w:hint="eastAsia" w:eastAsia="黑体"/>
          <w:color w:val="auto"/>
          <w:sz w:val="72"/>
          <w:szCs w:val="72"/>
          <w:highlight w:val="none"/>
        </w:rPr>
        <w:t>唱标信封</w:t>
      </w:r>
      <w:bookmarkEnd w:id="200"/>
    </w:p>
    <w:p>
      <w:pP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pPr>
        <w:rPr>
          <w:color w:val="auto"/>
          <w:highlight w:val="none"/>
        </w:rPr>
      </w:pPr>
    </w:p>
    <w:p>
      <w:pPr>
        <w:pStyle w:val="11"/>
        <w:rPr>
          <w:color w:val="auto"/>
          <w:highlight w:val="none"/>
        </w:rPr>
      </w:pPr>
    </w:p>
    <w:p>
      <w:pPr>
        <w:pStyle w:val="30"/>
        <w:ind w:firstLine="240"/>
        <w:rPr>
          <w:color w:val="auto"/>
          <w:highlight w:val="none"/>
        </w:rPr>
      </w:pPr>
    </w:p>
    <w:p>
      <w:pPr>
        <w:pStyle w:val="30"/>
        <w:ind w:firstLine="240"/>
        <w:rPr>
          <w:color w:val="auto"/>
          <w:highlight w:val="none"/>
        </w:rPr>
      </w:pPr>
    </w:p>
    <w:p>
      <w:pPr>
        <w:rPr>
          <w:rFonts w:hint="eastAsia" w:ascii="宋体" w:hAnsi="宋体" w:cs="宋体"/>
          <w:b/>
          <w:bCs/>
          <w:color w:val="auto"/>
          <w:spacing w:val="-6"/>
          <w:sz w:val="32"/>
          <w:szCs w:val="32"/>
          <w:highlight w:val="none"/>
          <w:u w:val="single"/>
          <w:lang w:eastAsia="zh-CN"/>
        </w:rPr>
      </w:pPr>
      <w:r>
        <w:rPr>
          <w:rFonts w:hint="eastAsia" w:ascii="宋体" w:hAnsi="宋体" w:cs="宋体"/>
          <w:b/>
          <w:bCs/>
          <w:color w:val="auto"/>
          <w:spacing w:val="-6"/>
          <w:sz w:val="32"/>
          <w:szCs w:val="32"/>
          <w:highlight w:val="none"/>
          <w:u w:val="none"/>
          <w:lang w:eastAsia="zh-CN"/>
        </w:rPr>
        <w:t>项目名称：</w:t>
      </w:r>
      <w:r>
        <w:rPr>
          <w:rFonts w:hint="eastAsia" w:ascii="宋体" w:hAnsi="宋体" w:cs="宋体"/>
          <w:b/>
          <w:bCs/>
          <w:color w:val="auto"/>
          <w:spacing w:val="-6"/>
          <w:sz w:val="32"/>
          <w:szCs w:val="32"/>
          <w:highlight w:val="none"/>
          <w:u w:val="single"/>
          <w:lang w:eastAsia="zh-CN"/>
        </w:rPr>
        <w:t>城服公司2023年度车辆设备租赁采购项目（重新采购）</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项目编号：</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投标人名称：</w:t>
      </w:r>
    </w:p>
    <w:p>
      <w:pPr>
        <w:rPr>
          <w:rFonts w:hint="eastAsia" w:ascii="宋体" w:hAnsi="宋体" w:cs="宋体"/>
          <w:b/>
          <w:bCs/>
          <w:color w:val="auto"/>
          <w:spacing w:val="-6"/>
          <w:sz w:val="32"/>
          <w:szCs w:val="32"/>
          <w:highlight w:val="none"/>
          <w:u w:val="none"/>
          <w:lang w:eastAsia="zh-CN"/>
        </w:rPr>
      </w:pPr>
      <w:r>
        <w:rPr>
          <w:rFonts w:hint="eastAsia" w:ascii="宋体" w:hAnsi="宋体" w:cs="宋体"/>
          <w:b/>
          <w:bCs/>
          <w:color w:val="auto"/>
          <w:spacing w:val="-6"/>
          <w:sz w:val="32"/>
          <w:szCs w:val="32"/>
          <w:highlight w:val="none"/>
          <w:u w:val="none"/>
          <w:lang w:eastAsia="zh-CN"/>
        </w:rPr>
        <w:t>日      期：</w:t>
      </w:r>
    </w:p>
    <w:p>
      <w:pPr>
        <w:rPr>
          <w:rFonts w:ascii="宋体" w:hAnsi="宋体"/>
          <w:color w:val="auto"/>
          <w:spacing w:val="230"/>
          <w:szCs w:val="21"/>
          <w:highlight w:val="none"/>
        </w:rPr>
      </w:pPr>
      <w:r>
        <w:rPr>
          <w:rFonts w:hint="eastAsia" w:ascii="宋体" w:hAnsi="宋体"/>
          <w:color w:val="auto"/>
          <w:spacing w:val="1390"/>
          <w:kern w:val="0"/>
          <w:szCs w:val="21"/>
          <w:highlight w:val="none"/>
          <w:fitText w:val="1600" w:id="134551125"/>
        </w:rPr>
        <w:br w:type="page"/>
      </w:r>
    </w:p>
    <w:p>
      <w:pPr>
        <w:outlineLvl w:val="1"/>
        <w:rPr>
          <w:color w:val="auto"/>
          <w:sz w:val="72"/>
          <w:szCs w:val="72"/>
          <w:highlight w:val="none"/>
        </w:rPr>
        <w:sectPr>
          <w:pgSz w:w="11906" w:h="16838"/>
          <w:pgMar w:top="1440" w:right="1800" w:bottom="1440" w:left="1800" w:header="708" w:footer="708" w:gutter="0"/>
          <w:cols w:space="708" w:num="1"/>
          <w:titlePg/>
          <w:docGrid w:type="lines" w:linePitch="360" w:charSpace="0"/>
        </w:sectPr>
      </w:pPr>
    </w:p>
    <w:bookmarkEnd w:id="199"/>
    <w:p>
      <w:pPr>
        <w:pStyle w:val="6"/>
        <w:numPr>
          <w:ilvl w:val="255"/>
          <w:numId w:val="0"/>
        </w:numPr>
        <w:tabs>
          <w:tab w:val="left" w:pos="720"/>
          <w:tab w:val="left" w:pos="3840"/>
        </w:tabs>
        <w:ind w:left="283"/>
        <w:jc w:val="both"/>
        <w:rPr>
          <w:rFonts w:ascii="宋体" w:hAnsi="宋体"/>
          <w:color w:val="auto"/>
          <w:sz w:val="21"/>
          <w:szCs w:val="21"/>
          <w:highlight w:val="none"/>
        </w:rPr>
      </w:pPr>
      <w:bookmarkStart w:id="201" w:name="_Toc31340"/>
      <w:r>
        <w:rPr>
          <w:rFonts w:hint="eastAsia" w:ascii="宋体" w:hAnsi="宋体"/>
          <w:color w:val="auto"/>
          <w:sz w:val="21"/>
          <w:szCs w:val="21"/>
          <w:highlight w:val="none"/>
        </w:rPr>
        <w:t>附件21.唱标信封内装（内容务必与投标文件正本一致）</w:t>
      </w:r>
      <w:bookmarkEnd w:id="201"/>
    </w:p>
    <w:p>
      <w:pPr>
        <w:numPr>
          <w:ilvl w:val="0"/>
          <w:numId w:val="24"/>
        </w:numPr>
        <w:ind w:firstLineChars="200"/>
        <w:rPr>
          <w:rFonts w:hAnsi="宋体"/>
          <w:color w:val="auto"/>
          <w:szCs w:val="21"/>
          <w:highlight w:val="none"/>
        </w:rPr>
      </w:pPr>
      <w:r>
        <w:rPr>
          <w:rFonts w:hint="eastAsia" w:hAnsi="宋体"/>
          <w:color w:val="auto"/>
          <w:szCs w:val="21"/>
          <w:highlight w:val="none"/>
        </w:rPr>
        <w:t>开标一览表加盖公章；</w:t>
      </w:r>
    </w:p>
    <w:p>
      <w:pPr>
        <w:numPr>
          <w:ilvl w:val="0"/>
          <w:numId w:val="24"/>
        </w:numPr>
        <w:ind w:firstLineChars="200"/>
        <w:rPr>
          <w:rFonts w:hAnsi="宋体"/>
          <w:color w:val="auto"/>
          <w:szCs w:val="21"/>
          <w:highlight w:val="none"/>
        </w:rPr>
      </w:pPr>
      <w:r>
        <w:rPr>
          <w:rFonts w:hint="eastAsia" w:hAnsi="宋体"/>
          <w:color w:val="auto"/>
          <w:szCs w:val="21"/>
          <w:highlight w:val="none"/>
        </w:rPr>
        <w:t>法定代表人证明书加盖公章；</w:t>
      </w:r>
    </w:p>
    <w:p>
      <w:pPr>
        <w:numPr>
          <w:ilvl w:val="0"/>
          <w:numId w:val="24"/>
        </w:numPr>
        <w:ind w:firstLineChars="200"/>
        <w:rPr>
          <w:rFonts w:hAnsi="宋体"/>
          <w:color w:val="auto"/>
          <w:szCs w:val="21"/>
          <w:highlight w:val="none"/>
        </w:rPr>
      </w:pPr>
      <w:r>
        <w:rPr>
          <w:rFonts w:hint="eastAsia" w:hAnsi="宋体"/>
          <w:color w:val="auto"/>
          <w:szCs w:val="21"/>
          <w:highlight w:val="none"/>
        </w:rPr>
        <w:t>法定代表人授权委托书加盖公章（法定代表人投标的除外）；</w:t>
      </w:r>
    </w:p>
    <w:p>
      <w:pPr>
        <w:numPr>
          <w:ilvl w:val="0"/>
          <w:numId w:val="24"/>
        </w:numPr>
        <w:ind w:firstLineChars="200"/>
        <w:rPr>
          <w:rFonts w:hAnsi="宋体"/>
          <w:color w:val="auto"/>
          <w:szCs w:val="21"/>
          <w:highlight w:val="none"/>
        </w:rPr>
      </w:pPr>
      <w:r>
        <w:rPr>
          <w:rFonts w:hint="eastAsia" w:hAnsi="宋体"/>
          <w:color w:val="auto"/>
          <w:szCs w:val="21"/>
          <w:highlight w:val="none"/>
        </w:rPr>
        <w:t>投标保证金汇入情况说明（含银行汇款凭证）或投标保函加盖公章；</w:t>
      </w:r>
    </w:p>
    <w:p>
      <w:pPr>
        <w:numPr>
          <w:ilvl w:val="0"/>
          <w:numId w:val="24"/>
        </w:numPr>
        <w:ind w:firstLineChars="200"/>
        <w:rPr>
          <w:rFonts w:hAnsi="宋体"/>
          <w:color w:val="auto"/>
          <w:szCs w:val="21"/>
          <w:highlight w:val="none"/>
        </w:rPr>
      </w:pPr>
      <w:r>
        <w:rPr>
          <w:rFonts w:hint="eastAsia" w:hAnsi="宋体"/>
          <w:color w:val="auto"/>
          <w:szCs w:val="21"/>
          <w:highlight w:val="none"/>
        </w:rPr>
        <w:t>投标文件电子文件（U盘，须含盖章版PDF投标文件和WORD版投标文件各一版，文字采用WORD文档，计算表格采用 EXCEL文档。）</w:t>
      </w:r>
    </w:p>
    <w:p>
      <w:pPr>
        <w:rPr>
          <w:rFonts w:ascii="宋体" w:hAnsi="宋体" w:cs="宋体"/>
          <w:color w:val="auto"/>
          <w:szCs w:val="21"/>
          <w:highlight w:val="none"/>
        </w:rPr>
      </w:pPr>
    </w:p>
    <w:p>
      <w:pPr>
        <w:pStyle w:val="11"/>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9"/>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6260" cy="4445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6260" cy="444500"/>
                      </a:xfrm>
                      <a:prstGeom prst="rect">
                        <a:avLst/>
                      </a:prstGeom>
                      <a:noFill/>
                      <a:ln>
                        <a:noFill/>
                      </a:ln>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wrap="square" lIns="0" tIns="0" rIns="0" bIns="0" upright="1">
                      <a:noAutofit/>
                    </wps:bodyPr>
                  </wps:wsp>
                </a:graphicData>
              </a:graphic>
            </wp:anchor>
          </w:drawing>
        </mc:Choice>
        <mc:Fallback>
          <w:pict>
            <v:shape id="文本框 1026" o:spid="_x0000_s1026" o:spt="202" type="#_x0000_t202" style="position:absolute;left:0pt;margin-top:0pt;height:35pt;width:143.8pt;mso-position-horizontal:center;mso-position-horizontal-relative:margin;z-index:251660288;mso-width-relative:page;mso-height-relative:page;" filled="f" stroked="f" coordsize="21600,21600" o:gfxdata="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PAvG3UAAAABAEAAA8AAAAAAAAAAQAgAAAAIgAA&#10;AGRycy9kb3ducmV2LnhtbFBLAQIUABQAAAAIAIdO4kBkP0KS0wEAAJ0DAAAOAAAAAAAAAAEAIAAA&#10;ACMBAABkcnMvZTJvRG9jLnhtbFBLBQYAAAAABgAGAFkBAABoBQAAAAA=&#10;">
              <v:fill on="f" focussize="0,0"/>
              <v:stroke on="f"/>
              <v:imagedata o:title=""/>
              <o:lock v:ext="edit" aspectratio="f"/>
              <v:textbox inset="0mm,0mm,0mm,0mm">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wps:spPr>
                    <wps:txbx>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lIns="0" tIns="0" rIns="0" bIns="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1312;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YIEizSAAAABQEAAA8AAAAAAAAAAQAgAAAAIgAAAGRycy9kb3ducmV2&#10;LnhtbFBLAQIUABQAAAAIAIdO4kB4R5WwyQEAAJADAAAOAAAAAAAAAAEAIAAAACEBAABkcnMvZTJv&#10;RG9jLnhtbFBLBQYAAAAABgAGAFkBAABcBQAAAAA=&#10;">
              <v:fill on="f" focussize="0,0"/>
              <v:stroke on="f"/>
              <v:imagedata o:title=""/>
              <o:lock v:ext="edit" aspectratio="f"/>
              <v:textbox inset="0mm,0mm,0mm,0mm" style="mso-fit-shape-to-text:t;">
                <w:txbxContent>
                  <w:p>
                    <w:pPr>
                      <w:pStyle w:val="19"/>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PowerPlusWaterMarkObject11001" o:spid="_x0000_s1033" o:spt="136" type="#_x0000_t136" style="position:absolute;left:0pt;height:72.45pt;width:445.4pt;mso-position-horizontal:center;mso-position-horizontal-relative:margin;mso-position-vertical:center;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未定稿，勿外发" style="font-family:楷体;font-size:72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7368E"/>
    <w:multiLevelType w:val="singleLevel"/>
    <w:tmpl w:val="9557368E"/>
    <w:lvl w:ilvl="0" w:tentative="0">
      <w:start w:val="1"/>
      <w:numFmt w:val="chineseCounting"/>
      <w:suff w:val="space"/>
      <w:lvlText w:val="第%1条"/>
      <w:lvlJc w:val="left"/>
      <w:rPr>
        <w:rFonts w:hint="eastAsia"/>
      </w:rPr>
    </w:lvl>
  </w:abstractNum>
  <w:abstractNum w:abstractNumId="1">
    <w:nsid w:val="A78C2A01"/>
    <w:multiLevelType w:val="singleLevel"/>
    <w:tmpl w:val="A78C2A01"/>
    <w:lvl w:ilvl="0" w:tentative="0">
      <w:start w:val="3"/>
      <w:numFmt w:val="chineseCounting"/>
      <w:suff w:val="nothing"/>
      <w:lvlText w:val="%1、"/>
      <w:lvlJc w:val="left"/>
      <w:rPr>
        <w:rFonts w:hint="eastAsia"/>
      </w:rPr>
    </w:lvl>
  </w:abstractNum>
  <w:abstractNum w:abstractNumId="2">
    <w:nsid w:val="B904C538"/>
    <w:multiLevelType w:val="singleLevel"/>
    <w:tmpl w:val="B904C538"/>
    <w:lvl w:ilvl="0" w:tentative="0">
      <w:start w:val="1"/>
      <w:numFmt w:val="chineseCounting"/>
      <w:suff w:val="nothing"/>
      <w:lvlText w:val="（%1）"/>
      <w:lvlJc w:val="left"/>
      <w:pPr>
        <w:ind w:left="0" w:firstLine="420"/>
      </w:pPr>
      <w:rPr>
        <w:rFonts w:hint="eastAsia"/>
      </w:rPr>
    </w:lvl>
  </w:abstractNum>
  <w:abstractNum w:abstractNumId="3">
    <w:nsid w:val="C9555E15"/>
    <w:multiLevelType w:val="singleLevel"/>
    <w:tmpl w:val="C9555E15"/>
    <w:lvl w:ilvl="0" w:tentative="0">
      <w:start w:val="1"/>
      <w:numFmt w:val="decimal"/>
      <w:lvlText w:val="(%1)"/>
      <w:lvlJc w:val="left"/>
      <w:pPr>
        <w:ind w:left="425" w:hanging="425"/>
      </w:pPr>
      <w:rPr>
        <w:rFonts w:hint="default"/>
      </w:rPr>
    </w:lvl>
  </w:abstractNum>
  <w:abstractNum w:abstractNumId="4">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CE0C1F07"/>
    <w:multiLevelType w:val="singleLevel"/>
    <w:tmpl w:val="CE0C1F07"/>
    <w:lvl w:ilvl="0" w:tentative="0">
      <w:start w:val="5"/>
      <w:numFmt w:val="chineseCounting"/>
      <w:suff w:val="space"/>
      <w:lvlText w:val="第%1部分"/>
      <w:lvlJc w:val="left"/>
      <w:rPr>
        <w:rFonts w:hint="eastAsia"/>
      </w:rPr>
    </w:lvl>
  </w:abstractNum>
  <w:abstractNum w:abstractNumId="6">
    <w:nsid w:val="D0047B7E"/>
    <w:multiLevelType w:val="singleLevel"/>
    <w:tmpl w:val="D0047B7E"/>
    <w:lvl w:ilvl="0" w:tentative="0">
      <w:start w:val="1"/>
      <w:numFmt w:val="decimal"/>
      <w:suff w:val="nothing"/>
      <w:lvlText w:val="%1、"/>
      <w:lvlJc w:val="left"/>
    </w:lvl>
  </w:abstractNum>
  <w:abstractNum w:abstractNumId="7">
    <w:nsid w:val="DD17590C"/>
    <w:multiLevelType w:val="singleLevel"/>
    <w:tmpl w:val="DD17590C"/>
    <w:lvl w:ilvl="0" w:tentative="0">
      <w:start w:val="1"/>
      <w:numFmt w:val="ideographTraditional"/>
      <w:suff w:val="nothing"/>
      <w:lvlText w:val="%1、"/>
      <w:lvlJc w:val="left"/>
      <w:rPr>
        <w:rFonts w:hint="eastAsia"/>
      </w:rPr>
    </w:lvl>
  </w:abstractNum>
  <w:abstractNum w:abstractNumId="8">
    <w:nsid w:val="F1492861"/>
    <w:multiLevelType w:val="singleLevel"/>
    <w:tmpl w:val="F1492861"/>
    <w:lvl w:ilvl="0" w:tentative="0">
      <w:start w:val="1"/>
      <w:numFmt w:val="decimal"/>
      <w:lvlText w:val="%1."/>
      <w:lvlJc w:val="left"/>
      <w:pPr>
        <w:ind w:left="367" w:hanging="425"/>
      </w:pPr>
      <w:rPr>
        <w:rFonts w:hint="default"/>
        <w:b w:val="0"/>
        <w:bCs w:val="0"/>
      </w:rPr>
    </w:lvl>
  </w:abstractNum>
  <w:abstractNum w:abstractNumId="9">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11">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20D2348B"/>
    <w:multiLevelType w:val="singleLevel"/>
    <w:tmpl w:val="20D2348B"/>
    <w:lvl w:ilvl="0" w:tentative="0">
      <w:start w:val="1"/>
      <w:numFmt w:val="chineseCounting"/>
      <w:suff w:val="nothing"/>
      <w:lvlText w:val="（%1）"/>
      <w:lvlJc w:val="left"/>
      <w:rPr>
        <w:rFonts w:hint="eastAsia"/>
      </w:rPr>
    </w:lvl>
  </w:abstractNum>
  <w:abstractNum w:abstractNumId="13">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42FE96A5"/>
    <w:multiLevelType w:val="singleLevel"/>
    <w:tmpl w:val="42FE96A5"/>
    <w:lvl w:ilvl="0" w:tentative="0">
      <w:start w:val="1"/>
      <w:numFmt w:val="chineseCounting"/>
      <w:suff w:val="space"/>
      <w:lvlText w:val="第%1条"/>
      <w:lvlJc w:val="left"/>
      <w:rPr>
        <w:rFonts w:hint="eastAsia"/>
      </w:rPr>
    </w:lvl>
  </w:abstractNum>
  <w:abstractNum w:abstractNumId="16">
    <w:nsid w:val="4C9B2696"/>
    <w:multiLevelType w:val="multilevel"/>
    <w:tmpl w:val="4C9B2696"/>
    <w:lvl w:ilvl="0" w:tentative="0">
      <w:start w:val="1"/>
      <w:numFmt w:val="decimal"/>
      <w:pStyle w:val="89"/>
      <w:lvlText w:val="%1."/>
      <w:lvlJc w:val="left"/>
      <w:pPr>
        <w:tabs>
          <w:tab w:val="left" w:pos="720"/>
        </w:tabs>
        <w:ind w:left="720" w:hanging="720"/>
      </w:pPr>
      <w:rPr>
        <w:rFonts w:hint="default"/>
        <w:u w:val="none"/>
      </w:rPr>
    </w:lvl>
    <w:lvl w:ilvl="1" w:tentative="0">
      <w:start w:val="1"/>
      <w:numFmt w:val="decimal"/>
      <w:lvlText w:val="%2."/>
      <w:lvlJc w:val="left"/>
      <w:pPr>
        <w:tabs>
          <w:tab w:val="left" w:pos="1440"/>
        </w:tabs>
        <w:ind w:left="1440" w:hanging="720"/>
      </w:pPr>
      <w:rPr>
        <w:rFonts w:hint="default"/>
        <w:u w:val="none"/>
      </w:rPr>
    </w:lvl>
    <w:lvl w:ilvl="2" w:tentative="0">
      <w:start w:val="1"/>
      <w:numFmt w:val="decimal"/>
      <w:lvlText w:val="%3."/>
      <w:lvlJc w:val="left"/>
      <w:pPr>
        <w:tabs>
          <w:tab w:val="left" w:pos="2160"/>
        </w:tabs>
        <w:ind w:left="2160" w:hanging="720"/>
      </w:pPr>
      <w:rPr>
        <w:rFonts w:hint="default"/>
        <w:u w:val="none"/>
      </w:rPr>
    </w:lvl>
    <w:lvl w:ilvl="3" w:tentative="0">
      <w:start w:val="1"/>
      <w:numFmt w:val="decimal"/>
      <w:lvlText w:val="%4."/>
      <w:lvlJc w:val="left"/>
      <w:pPr>
        <w:tabs>
          <w:tab w:val="left" w:pos="2880"/>
        </w:tabs>
        <w:ind w:left="2880" w:hanging="720"/>
      </w:pPr>
      <w:rPr>
        <w:rFonts w:hint="default"/>
        <w:u w:val="none"/>
      </w:rPr>
    </w:lvl>
    <w:lvl w:ilvl="4" w:tentative="0">
      <w:start w:val="1"/>
      <w:numFmt w:val="decimal"/>
      <w:lvlText w:val="%5."/>
      <w:lvlJc w:val="left"/>
      <w:pPr>
        <w:tabs>
          <w:tab w:val="left" w:pos="3600"/>
        </w:tabs>
        <w:ind w:left="3600" w:hanging="720"/>
      </w:pPr>
      <w:rPr>
        <w:rFonts w:hint="default"/>
        <w:u w:val="none"/>
      </w:rPr>
    </w:lvl>
    <w:lvl w:ilvl="5" w:tentative="0">
      <w:start w:val="1"/>
      <w:numFmt w:val="decimal"/>
      <w:lvlText w:val="%6."/>
      <w:lvlJc w:val="left"/>
      <w:pPr>
        <w:tabs>
          <w:tab w:val="left" w:pos="4320"/>
        </w:tabs>
        <w:ind w:left="4320" w:hanging="720"/>
      </w:pPr>
      <w:rPr>
        <w:rFonts w:hint="default"/>
        <w:u w:val="none"/>
      </w:rPr>
    </w:lvl>
    <w:lvl w:ilvl="6" w:tentative="0">
      <w:start w:val="1"/>
      <w:numFmt w:val="decimal"/>
      <w:lvlText w:val="%7."/>
      <w:lvlJc w:val="left"/>
      <w:pPr>
        <w:tabs>
          <w:tab w:val="left" w:pos="5040"/>
        </w:tabs>
        <w:ind w:left="5040" w:hanging="720"/>
      </w:pPr>
      <w:rPr>
        <w:rFonts w:hint="default"/>
        <w:u w:val="none"/>
      </w:rPr>
    </w:lvl>
    <w:lvl w:ilvl="7" w:tentative="0">
      <w:start w:val="1"/>
      <w:numFmt w:val="decimal"/>
      <w:lvlText w:val="%8."/>
      <w:lvlJc w:val="left"/>
      <w:pPr>
        <w:tabs>
          <w:tab w:val="left" w:pos="5760"/>
        </w:tabs>
        <w:ind w:left="5760" w:hanging="720"/>
      </w:pPr>
      <w:rPr>
        <w:rFonts w:hint="default"/>
        <w:u w:val="none"/>
      </w:rPr>
    </w:lvl>
    <w:lvl w:ilvl="8" w:tentative="0">
      <w:start w:val="1"/>
      <w:numFmt w:val="decimal"/>
      <w:lvlText w:val="%9."/>
      <w:lvlJc w:val="left"/>
      <w:pPr>
        <w:tabs>
          <w:tab w:val="left" w:pos="6480"/>
        </w:tabs>
        <w:ind w:left="6480" w:hanging="720"/>
      </w:pPr>
      <w:rPr>
        <w:rFonts w:hint="default"/>
        <w:u w:val="none"/>
      </w:rPr>
    </w:lvl>
  </w:abstractNum>
  <w:abstractNum w:abstractNumId="17">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9">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76B58C4E"/>
    <w:multiLevelType w:val="singleLevel"/>
    <w:tmpl w:val="76B58C4E"/>
    <w:lvl w:ilvl="0" w:tentative="0">
      <w:start w:val="1"/>
      <w:numFmt w:val="decimal"/>
      <w:lvlText w:val="%1."/>
      <w:lvlJc w:val="left"/>
      <w:pPr>
        <w:ind w:left="365" w:hanging="425"/>
      </w:pPr>
      <w:rPr>
        <w:rFonts w:hint="default"/>
      </w:rPr>
    </w:lvl>
  </w:abstractNum>
  <w:abstractNum w:abstractNumId="22">
    <w:nsid w:val="7731197B"/>
    <w:multiLevelType w:val="singleLevel"/>
    <w:tmpl w:val="7731197B"/>
    <w:lvl w:ilvl="0" w:tentative="0">
      <w:start w:val="1"/>
      <w:numFmt w:val="decimal"/>
      <w:lvlText w:val="%1."/>
      <w:lvlJc w:val="left"/>
      <w:pPr>
        <w:ind w:left="-60" w:hanging="425"/>
      </w:pPr>
      <w:rPr>
        <w:rFonts w:hint="default"/>
      </w:rPr>
    </w:lvl>
  </w:abstractNum>
  <w:abstractNum w:abstractNumId="23">
    <w:nsid w:val="77A36F48"/>
    <w:multiLevelType w:val="singleLevel"/>
    <w:tmpl w:val="77A36F48"/>
    <w:lvl w:ilvl="0" w:tentative="0">
      <w:start w:val="1"/>
      <w:numFmt w:val="chineseCounting"/>
      <w:suff w:val="nothing"/>
      <w:lvlText w:val="（%1）"/>
      <w:lvlJc w:val="left"/>
      <w:pPr>
        <w:ind w:left="0" w:firstLine="420"/>
      </w:pPr>
      <w:rPr>
        <w:rFonts w:hint="eastAsia"/>
      </w:rPr>
    </w:lvl>
  </w:abstractNum>
  <w:num w:numId="1">
    <w:abstractNumId w:val="16"/>
  </w:num>
  <w:num w:numId="2">
    <w:abstractNumId w:val="10"/>
  </w:num>
  <w:num w:numId="3">
    <w:abstractNumId w:val="1"/>
  </w:num>
  <w:num w:numId="4">
    <w:abstractNumId w:val="17"/>
  </w:num>
  <w:num w:numId="5">
    <w:abstractNumId w:val="13"/>
  </w:num>
  <w:num w:numId="6">
    <w:abstractNumId w:val="4"/>
  </w:num>
  <w:num w:numId="7">
    <w:abstractNumId w:val="20"/>
  </w:num>
  <w:num w:numId="8">
    <w:abstractNumId w:val="14"/>
  </w:num>
  <w:num w:numId="9">
    <w:abstractNumId w:val="3"/>
  </w:num>
  <w:num w:numId="10">
    <w:abstractNumId w:val="11"/>
  </w:num>
  <w:num w:numId="11">
    <w:abstractNumId w:val="5"/>
  </w:num>
  <w:num w:numId="12">
    <w:abstractNumId w:val="0"/>
  </w:num>
  <w:num w:numId="13">
    <w:abstractNumId w:val="2"/>
  </w:num>
  <w:num w:numId="14">
    <w:abstractNumId w:val="7"/>
  </w:num>
  <w:num w:numId="15">
    <w:abstractNumId w:val="15"/>
  </w:num>
  <w:num w:numId="16">
    <w:abstractNumId w:val="23"/>
  </w:num>
  <w:num w:numId="17">
    <w:abstractNumId w:val="22"/>
  </w:num>
  <w:num w:numId="18">
    <w:abstractNumId w:val="8"/>
  </w:num>
  <w:num w:numId="19">
    <w:abstractNumId w:val="21"/>
  </w:num>
  <w:num w:numId="20">
    <w:abstractNumId w:val="9"/>
  </w:num>
  <w:num w:numId="21">
    <w:abstractNumId w:val="12"/>
  </w:num>
  <w:num w:numId="22">
    <w:abstractNumId w:val="6"/>
  </w:num>
  <w:num w:numId="23">
    <w:abstractNumId w:val="1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s>
  <w:rsids>
    <w:rsidRoot w:val="00172A27"/>
    <w:rsid w:val="00005A66"/>
    <w:rsid w:val="00006462"/>
    <w:rsid w:val="00013FD5"/>
    <w:rsid w:val="000300E4"/>
    <w:rsid w:val="0003307E"/>
    <w:rsid w:val="000336BA"/>
    <w:rsid w:val="000359A1"/>
    <w:rsid w:val="000375FA"/>
    <w:rsid w:val="0005185D"/>
    <w:rsid w:val="0007265E"/>
    <w:rsid w:val="0007500F"/>
    <w:rsid w:val="0008282E"/>
    <w:rsid w:val="00084F6D"/>
    <w:rsid w:val="00093A13"/>
    <w:rsid w:val="000A363F"/>
    <w:rsid w:val="000A42A8"/>
    <w:rsid w:val="000A5063"/>
    <w:rsid w:val="000A5DBD"/>
    <w:rsid w:val="000C4524"/>
    <w:rsid w:val="000D44A6"/>
    <w:rsid w:val="000D66C2"/>
    <w:rsid w:val="000E1C38"/>
    <w:rsid w:val="000E2CB7"/>
    <w:rsid w:val="000F0E98"/>
    <w:rsid w:val="00100E6B"/>
    <w:rsid w:val="001049A5"/>
    <w:rsid w:val="001120E0"/>
    <w:rsid w:val="00121ADA"/>
    <w:rsid w:val="001242F3"/>
    <w:rsid w:val="001332BB"/>
    <w:rsid w:val="00134CAD"/>
    <w:rsid w:val="001368B7"/>
    <w:rsid w:val="0013730B"/>
    <w:rsid w:val="00137853"/>
    <w:rsid w:val="00137E1C"/>
    <w:rsid w:val="00147012"/>
    <w:rsid w:val="0014742C"/>
    <w:rsid w:val="00172A27"/>
    <w:rsid w:val="00173126"/>
    <w:rsid w:val="00173905"/>
    <w:rsid w:val="00173E04"/>
    <w:rsid w:val="00175D29"/>
    <w:rsid w:val="001833A1"/>
    <w:rsid w:val="001844F4"/>
    <w:rsid w:val="00185039"/>
    <w:rsid w:val="001852D7"/>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34AC"/>
    <w:rsid w:val="002065A7"/>
    <w:rsid w:val="0021149E"/>
    <w:rsid w:val="00213021"/>
    <w:rsid w:val="00214A3C"/>
    <w:rsid w:val="00216BE9"/>
    <w:rsid w:val="0022503E"/>
    <w:rsid w:val="00225BB4"/>
    <w:rsid w:val="00226313"/>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C78"/>
    <w:rsid w:val="002D1594"/>
    <w:rsid w:val="002D3F9C"/>
    <w:rsid w:val="002D503C"/>
    <w:rsid w:val="002D7E27"/>
    <w:rsid w:val="002E17E5"/>
    <w:rsid w:val="002E6B7E"/>
    <w:rsid w:val="002F0FC9"/>
    <w:rsid w:val="0030669E"/>
    <w:rsid w:val="003101A3"/>
    <w:rsid w:val="00320CEA"/>
    <w:rsid w:val="00323B43"/>
    <w:rsid w:val="00326831"/>
    <w:rsid w:val="003274CE"/>
    <w:rsid w:val="003361E9"/>
    <w:rsid w:val="003430F6"/>
    <w:rsid w:val="00353842"/>
    <w:rsid w:val="0035595E"/>
    <w:rsid w:val="0038564C"/>
    <w:rsid w:val="00387CE4"/>
    <w:rsid w:val="00391D12"/>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60B31"/>
    <w:rsid w:val="00462105"/>
    <w:rsid w:val="004654A3"/>
    <w:rsid w:val="00475A80"/>
    <w:rsid w:val="00481283"/>
    <w:rsid w:val="00485D30"/>
    <w:rsid w:val="00490B9E"/>
    <w:rsid w:val="00497577"/>
    <w:rsid w:val="004A05D7"/>
    <w:rsid w:val="004A2B28"/>
    <w:rsid w:val="004A69F1"/>
    <w:rsid w:val="004B3550"/>
    <w:rsid w:val="004B3F06"/>
    <w:rsid w:val="004C7FD6"/>
    <w:rsid w:val="004D08C0"/>
    <w:rsid w:val="004D1669"/>
    <w:rsid w:val="004D51A2"/>
    <w:rsid w:val="004D5AFB"/>
    <w:rsid w:val="004E04FD"/>
    <w:rsid w:val="004F1BB7"/>
    <w:rsid w:val="0050759C"/>
    <w:rsid w:val="00510827"/>
    <w:rsid w:val="005267F1"/>
    <w:rsid w:val="005269A9"/>
    <w:rsid w:val="00532034"/>
    <w:rsid w:val="0053347B"/>
    <w:rsid w:val="00545D9A"/>
    <w:rsid w:val="00546A42"/>
    <w:rsid w:val="0055408D"/>
    <w:rsid w:val="0057492D"/>
    <w:rsid w:val="00583483"/>
    <w:rsid w:val="0058523E"/>
    <w:rsid w:val="00590819"/>
    <w:rsid w:val="00593D68"/>
    <w:rsid w:val="005A208B"/>
    <w:rsid w:val="005A555E"/>
    <w:rsid w:val="005A7612"/>
    <w:rsid w:val="005B58A6"/>
    <w:rsid w:val="005C57E1"/>
    <w:rsid w:val="005C702E"/>
    <w:rsid w:val="005D01B8"/>
    <w:rsid w:val="005D066B"/>
    <w:rsid w:val="005D1D54"/>
    <w:rsid w:val="005D2D85"/>
    <w:rsid w:val="005F20A4"/>
    <w:rsid w:val="005F4EAE"/>
    <w:rsid w:val="005F573A"/>
    <w:rsid w:val="005F660B"/>
    <w:rsid w:val="005F7EB1"/>
    <w:rsid w:val="00603EE5"/>
    <w:rsid w:val="00604B81"/>
    <w:rsid w:val="0061246F"/>
    <w:rsid w:val="00613417"/>
    <w:rsid w:val="00613B25"/>
    <w:rsid w:val="0061545F"/>
    <w:rsid w:val="006175DE"/>
    <w:rsid w:val="006215AC"/>
    <w:rsid w:val="00621821"/>
    <w:rsid w:val="00622362"/>
    <w:rsid w:val="00622497"/>
    <w:rsid w:val="006276AD"/>
    <w:rsid w:val="006378D4"/>
    <w:rsid w:val="00641E8C"/>
    <w:rsid w:val="0064416A"/>
    <w:rsid w:val="00646E05"/>
    <w:rsid w:val="006476E3"/>
    <w:rsid w:val="00650DDC"/>
    <w:rsid w:val="00652983"/>
    <w:rsid w:val="0065365D"/>
    <w:rsid w:val="006546D0"/>
    <w:rsid w:val="006576FD"/>
    <w:rsid w:val="00664F6B"/>
    <w:rsid w:val="006731D2"/>
    <w:rsid w:val="00680EB0"/>
    <w:rsid w:val="00682986"/>
    <w:rsid w:val="00691701"/>
    <w:rsid w:val="00691AE0"/>
    <w:rsid w:val="0069491E"/>
    <w:rsid w:val="006B004E"/>
    <w:rsid w:val="006B3E6C"/>
    <w:rsid w:val="006B4832"/>
    <w:rsid w:val="006B7878"/>
    <w:rsid w:val="006C14BD"/>
    <w:rsid w:val="006C28E5"/>
    <w:rsid w:val="006C67A9"/>
    <w:rsid w:val="006D393E"/>
    <w:rsid w:val="006D43C5"/>
    <w:rsid w:val="006D4AD8"/>
    <w:rsid w:val="006E0B58"/>
    <w:rsid w:val="006E0C4B"/>
    <w:rsid w:val="006F166F"/>
    <w:rsid w:val="00704F7B"/>
    <w:rsid w:val="007110BA"/>
    <w:rsid w:val="00711465"/>
    <w:rsid w:val="00716E96"/>
    <w:rsid w:val="00723B11"/>
    <w:rsid w:val="00730006"/>
    <w:rsid w:val="007343A7"/>
    <w:rsid w:val="00734BB2"/>
    <w:rsid w:val="0075028E"/>
    <w:rsid w:val="007528A6"/>
    <w:rsid w:val="007608B9"/>
    <w:rsid w:val="007724B4"/>
    <w:rsid w:val="0077462B"/>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CD8"/>
    <w:rsid w:val="007F4DC5"/>
    <w:rsid w:val="00806380"/>
    <w:rsid w:val="0081104F"/>
    <w:rsid w:val="0081319A"/>
    <w:rsid w:val="00822299"/>
    <w:rsid w:val="0083486A"/>
    <w:rsid w:val="00837E35"/>
    <w:rsid w:val="00841378"/>
    <w:rsid w:val="00842B87"/>
    <w:rsid w:val="00845BEB"/>
    <w:rsid w:val="008472E6"/>
    <w:rsid w:val="008518B4"/>
    <w:rsid w:val="00853463"/>
    <w:rsid w:val="008548BD"/>
    <w:rsid w:val="0086026F"/>
    <w:rsid w:val="008640F5"/>
    <w:rsid w:val="0087704E"/>
    <w:rsid w:val="008907DA"/>
    <w:rsid w:val="008A0587"/>
    <w:rsid w:val="008A7273"/>
    <w:rsid w:val="008B55B9"/>
    <w:rsid w:val="008B7726"/>
    <w:rsid w:val="008C05BA"/>
    <w:rsid w:val="008D1B1B"/>
    <w:rsid w:val="008D429E"/>
    <w:rsid w:val="008D5A10"/>
    <w:rsid w:val="008E319F"/>
    <w:rsid w:val="008E619C"/>
    <w:rsid w:val="008F6E0E"/>
    <w:rsid w:val="00900DBC"/>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84BD6"/>
    <w:rsid w:val="009904F7"/>
    <w:rsid w:val="009910F6"/>
    <w:rsid w:val="009A07B1"/>
    <w:rsid w:val="009A6B4A"/>
    <w:rsid w:val="009A7058"/>
    <w:rsid w:val="009C19DE"/>
    <w:rsid w:val="009C23A6"/>
    <w:rsid w:val="009C5206"/>
    <w:rsid w:val="009C6AD9"/>
    <w:rsid w:val="009E398C"/>
    <w:rsid w:val="009E6F05"/>
    <w:rsid w:val="009F644E"/>
    <w:rsid w:val="009F6A05"/>
    <w:rsid w:val="00A01BE2"/>
    <w:rsid w:val="00A10906"/>
    <w:rsid w:val="00A12E66"/>
    <w:rsid w:val="00A13E78"/>
    <w:rsid w:val="00A14EEF"/>
    <w:rsid w:val="00A23304"/>
    <w:rsid w:val="00A275C2"/>
    <w:rsid w:val="00A3295D"/>
    <w:rsid w:val="00A4012F"/>
    <w:rsid w:val="00A4190E"/>
    <w:rsid w:val="00A42E91"/>
    <w:rsid w:val="00A50383"/>
    <w:rsid w:val="00A61230"/>
    <w:rsid w:val="00A668C8"/>
    <w:rsid w:val="00A74ED3"/>
    <w:rsid w:val="00A813C5"/>
    <w:rsid w:val="00A824E6"/>
    <w:rsid w:val="00A858DC"/>
    <w:rsid w:val="00A94D14"/>
    <w:rsid w:val="00AA0EAD"/>
    <w:rsid w:val="00AB19CE"/>
    <w:rsid w:val="00AB3969"/>
    <w:rsid w:val="00AC0E7A"/>
    <w:rsid w:val="00AC187B"/>
    <w:rsid w:val="00AE310E"/>
    <w:rsid w:val="00AE4FC5"/>
    <w:rsid w:val="00AF1B1B"/>
    <w:rsid w:val="00AF5F1F"/>
    <w:rsid w:val="00B027A4"/>
    <w:rsid w:val="00B04202"/>
    <w:rsid w:val="00B236B3"/>
    <w:rsid w:val="00B26806"/>
    <w:rsid w:val="00B31B24"/>
    <w:rsid w:val="00B4287F"/>
    <w:rsid w:val="00B4315F"/>
    <w:rsid w:val="00B43306"/>
    <w:rsid w:val="00B43A7A"/>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3E74"/>
    <w:rsid w:val="00BD630F"/>
    <w:rsid w:val="00BD7C1B"/>
    <w:rsid w:val="00BE0825"/>
    <w:rsid w:val="00BE2EE6"/>
    <w:rsid w:val="00BF17FD"/>
    <w:rsid w:val="00BF2820"/>
    <w:rsid w:val="00BF41D4"/>
    <w:rsid w:val="00BF52BD"/>
    <w:rsid w:val="00BF5AFB"/>
    <w:rsid w:val="00C16734"/>
    <w:rsid w:val="00C17B47"/>
    <w:rsid w:val="00C25C77"/>
    <w:rsid w:val="00C303E7"/>
    <w:rsid w:val="00C319C2"/>
    <w:rsid w:val="00C53CE5"/>
    <w:rsid w:val="00C612F8"/>
    <w:rsid w:val="00C62E44"/>
    <w:rsid w:val="00C63BD8"/>
    <w:rsid w:val="00C65954"/>
    <w:rsid w:val="00C7126B"/>
    <w:rsid w:val="00C72C24"/>
    <w:rsid w:val="00C73468"/>
    <w:rsid w:val="00C74986"/>
    <w:rsid w:val="00C80EC4"/>
    <w:rsid w:val="00C8568E"/>
    <w:rsid w:val="00CA32B5"/>
    <w:rsid w:val="00CB57AD"/>
    <w:rsid w:val="00CC009D"/>
    <w:rsid w:val="00CC584A"/>
    <w:rsid w:val="00CC5E4E"/>
    <w:rsid w:val="00CD0EAB"/>
    <w:rsid w:val="00CE2AF3"/>
    <w:rsid w:val="00CE621D"/>
    <w:rsid w:val="00CE66E8"/>
    <w:rsid w:val="00D05388"/>
    <w:rsid w:val="00D114CD"/>
    <w:rsid w:val="00D14476"/>
    <w:rsid w:val="00D20808"/>
    <w:rsid w:val="00D232FF"/>
    <w:rsid w:val="00D25479"/>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95D84"/>
    <w:rsid w:val="00DA1DB9"/>
    <w:rsid w:val="00DA6169"/>
    <w:rsid w:val="00DA7B28"/>
    <w:rsid w:val="00DB5480"/>
    <w:rsid w:val="00DB6317"/>
    <w:rsid w:val="00DC2FC5"/>
    <w:rsid w:val="00DC5AD9"/>
    <w:rsid w:val="00DC691F"/>
    <w:rsid w:val="00DD02DE"/>
    <w:rsid w:val="00DD07B7"/>
    <w:rsid w:val="00DD113C"/>
    <w:rsid w:val="00DD324C"/>
    <w:rsid w:val="00DE0BEB"/>
    <w:rsid w:val="00DE4856"/>
    <w:rsid w:val="00DF485B"/>
    <w:rsid w:val="00E0295D"/>
    <w:rsid w:val="00E042BC"/>
    <w:rsid w:val="00E132FE"/>
    <w:rsid w:val="00E21B77"/>
    <w:rsid w:val="00E23352"/>
    <w:rsid w:val="00E35E0C"/>
    <w:rsid w:val="00E40CAD"/>
    <w:rsid w:val="00E40DC7"/>
    <w:rsid w:val="00E4215F"/>
    <w:rsid w:val="00E61D2E"/>
    <w:rsid w:val="00E62B7F"/>
    <w:rsid w:val="00E7066D"/>
    <w:rsid w:val="00E726BC"/>
    <w:rsid w:val="00E72821"/>
    <w:rsid w:val="00E75C82"/>
    <w:rsid w:val="00E81DDC"/>
    <w:rsid w:val="00E81F67"/>
    <w:rsid w:val="00E83650"/>
    <w:rsid w:val="00E83A31"/>
    <w:rsid w:val="00E93BF5"/>
    <w:rsid w:val="00E97CC0"/>
    <w:rsid w:val="00EA22B8"/>
    <w:rsid w:val="00EA2524"/>
    <w:rsid w:val="00EA33E7"/>
    <w:rsid w:val="00EC092D"/>
    <w:rsid w:val="00EC0DF8"/>
    <w:rsid w:val="00EC3FB9"/>
    <w:rsid w:val="00EC63FF"/>
    <w:rsid w:val="00ED378B"/>
    <w:rsid w:val="00EE08F9"/>
    <w:rsid w:val="00EE70B3"/>
    <w:rsid w:val="00EF24AA"/>
    <w:rsid w:val="00EF728A"/>
    <w:rsid w:val="00EF7D0D"/>
    <w:rsid w:val="00F00FF7"/>
    <w:rsid w:val="00F02093"/>
    <w:rsid w:val="00F068E3"/>
    <w:rsid w:val="00F10B5F"/>
    <w:rsid w:val="00F218C1"/>
    <w:rsid w:val="00F321EB"/>
    <w:rsid w:val="00F32B00"/>
    <w:rsid w:val="00F346CF"/>
    <w:rsid w:val="00F3610C"/>
    <w:rsid w:val="00F36839"/>
    <w:rsid w:val="00F52A5F"/>
    <w:rsid w:val="00F55954"/>
    <w:rsid w:val="00F57308"/>
    <w:rsid w:val="00F61962"/>
    <w:rsid w:val="00F62865"/>
    <w:rsid w:val="00F64022"/>
    <w:rsid w:val="00F64660"/>
    <w:rsid w:val="00F74FF3"/>
    <w:rsid w:val="00F97062"/>
    <w:rsid w:val="00F9745D"/>
    <w:rsid w:val="00FA07A9"/>
    <w:rsid w:val="00FA497E"/>
    <w:rsid w:val="00FA54B2"/>
    <w:rsid w:val="00FC529F"/>
    <w:rsid w:val="00FC7B53"/>
    <w:rsid w:val="00FD48CC"/>
    <w:rsid w:val="00FE62D1"/>
    <w:rsid w:val="00FE7B94"/>
    <w:rsid w:val="00FF0736"/>
    <w:rsid w:val="00FF2515"/>
    <w:rsid w:val="00FF26BF"/>
    <w:rsid w:val="01127C2D"/>
    <w:rsid w:val="01292C11"/>
    <w:rsid w:val="013C51B0"/>
    <w:rsid w:val="01651C23"/>
    <w:rsid w:val="018023CE"/>
    <w:rsid w:val="01881AD6"/>
    <w:rsid w:val="019127B6"/>
    <w:rsid w:val="01B71A01"/>
    <w:rsid w:val="01DC03CE"/>
    <w:rsid w:val="01E36F4E"/>
    <w:rsid w:val="01EF71BB"/>
    <w:rsid w:val="02026E1F"/>
    <w:rsid w:val="0208150E"/>
    <w:rsid w:val="0217086F"/>
    <w:rsid w:val="021B3C11"/>
    <w:rsid w:val="021B735E"/>
    <w:rsid w:val="02201993"/>
    <w:rsid w:val="02287D63"/>
    <w:rsid w:val="024179E7"/>
    <w:rsid w:val="0246437B"/>
    <w:rsid w:val="02985CD5"/>
    <w:rsid w:val="02A741FD"/>
    <w:rsid w:val="02AF1DD6"/>
    <w:rsid w:val="02C16E5D"/>
    <w:rsid w:val="02D964CF"/>
    <w:rsid w:val="02DE5ECF"/>
    <w:rsid w:val="02FF4E3B"/>
    <w:rsid w:val="032E6AB8"/>
    <w:rsid w:val="03707410"/>
    <w:rsid w:val="039170C0"/>
    <w:rsid w:val="039240A3"/>
    <w:rsid w:val="03A0770F"/>
    <w:rsid w:val="03A27726"/>
    <w:rsid w:val="03A448B8"/>
    <w:rsid w:val="03C01631"/>
    <w:rsid w:val="03C656A9"/>
    <w:rsid w:val="03E20C84"/>
    <w:rsid w:val="03F33148"/>
    <w:rsid w:val="042F3419"/>
    <w:rsid w:val="04332D8F"/>
    <w:rsid w:val="04470273"/>
    <w:rsid w:val="04686F53"/>
    <w:rsid w:val="047B4012"/>
    <w:rsid w:val="04822497"/>
    <w:rsid w:val="049673AF"/>
    <w:rsid w:val="04974587"/>
    <w:rsid w:val="049A0C65"/>
    <w:rsid w:val="04D03AF8"/>
    <w:rsid w:val="04DF1036"/>
    <w:rsid w:val="05316537"/>
    <w:rsid w:val="0599183C"/>
    <w:rsid w:val="05A97DEC"/>
    <w:rsid w:val="05B23978"/>
    <w:rsid w:val="05C81981"/>
    <w:rsid w:val="05E76509"/>
    <w:rsid w:val="05EC2E5B"/>
    <w:rsid w:val="060C3203"/>
    <w:rsid w:val="06281344"/>
    <w:rsid w:val="062D4EC8"/>
    <w:rsid w:val="067828A5"/>
    <w:rsid w:val="069B4E4A"/>
    <w:rsid w:val="06A26008"/>
    <w:rsid w:val="06BC41F2"/>
    <w:rsid w:val="06F415CC"/>
    <w:rsid w:val="070E26CD"/>
    <w:rsid w:val="07197D08"/>
    <w:rsid w:val="071E5C55"/>
    <w:rsid w:val="075C1FE5"/>
    <w:rsid w:val="077005AB"/>
    <w:rsid w:val="078F4581"/>
    <w:rsid w:val="07BF027F"/>
    <w:rsid w:val="07F06C60"/>
    <w:rsid w:val="08031A31"/>
    <w:rsid w:val="080E2872"/>
    <w:rsid w:val="08420CAE"/>
    <w:rsid w:val="087506F8"/>
    <w:rsid w:val="089A5AE8"/>
    <w:rsid w:val="09061A75"/>
    <w:rsid w:val="09182241"/>
    <w:rsid w:val="09325D4D"/>
    <w:rsid w:val="09570FA2"/>
    <w:rsid w:val="095F1030"/>
    <w:rsid w:val="09855177"/>
    <w:rsid w:val="09880942"/>
    <w:rsid w:val="09A17D47"/>
    <w:rsid w:val="09CF031F"/>
    <w:rsid w:val="09EC57F1"/>
    <w:rsid w:val="09EE5125"/>
    <w:rsid w:val="0A3D7585"/>
    <w:rsid w:val="0A462748"/>
    <w:rsid w:val="0A4D0C81"/>
    <w:rsid w:val="0A723E95"/>
    <w:rsid w:val="0A733243"/>
    <w:rsid w:val="0A850D7A"/>
    <w:rsid w:val="0AA534D5"/>
    <w:rsid w:val="0AA650EB"/>
    <w:rsid w:val="0AA7129C"/>
    <w:rsid w:val="0AF47339"/>
    <w:rsid w:val="0B1F4D52"/>
    <w:rsid w:val="0B22594B"/>
    <w:rsid w:val="0B27506F"/>
    <w:rsid w:val="0B3061AD"/>
    <w:rsid w:val="0B840456"/>
    <w:rsid w:val="0B9610F4"/>
    <w:rsid w:val="0BBF77A4"/>
    <w:rsid w:val="0BD16C8D"/>
    <w:rsid w:val="0BDF26F7"/>
    <w:rsid w:val="0C027DB2"/>
    <w:rsid w:val="0C2B4952"/>
    <w:rsid w:val="0C516C55"/>
    <w:rsid w:val="0C592B1D"/>
    <w:rsid w:val="0C5D161C"/>
    <w:rsid w:val="0C7B2220"/>
    <w:rsid w:val="0CB67D83"/>
    <w:rsid w:val="0CBB6561"/>
    <w:rsid w:val="0CD20599"/>
    <w:rsid w:val="0CE53018"/>
    <w:rsid w:val="0D0B5B12"/>
    <w:rsid w:val="0D133046"/>
    <w:rsid w:val="0D153F28"/>
    <w:rsid w:val="0D305390"/>
    <w:rsid w:val="0D3A0F98"/>
    <w:rsid w:val="0D6A4502"/>
    <w:rsid w:val="0D7415CA"/>
    <w:rsid w:val="0D890E47"/>
    <w:rsid w:val="0DC64A00"/>
    <w:rsid w:val="0DEB5FFA"/>
    <w:rsid w:val="0DF75C46"/>
    <w:rsid w:val="0DFC60BA"/>
    <w:rsid w:val="0E045D30"/>
    <w:rsid w:val="0E1C06B2"/>
    <w:rsid w:val="0E69691B"/>
    <w:rsid w:val="0E985CDF"/>
    <w:rsid w:val="0EBB5484"/>
    <w:rsid w:val="0EBD5AA3"/>
    <w:rsid w:val="0EDB0ED2"/>
    <w:rsid w:val="0EF22C78"/>
    <w:rsid w:val="0F085784"/>
    <w:rsid w:val="0F5723EF"/>
    <w:rsid w:val="0F582573"/>
    <w:rsid w:val="0F7C5FF6"/>
    <w:rsid w:val="0F9E2944"/>
    <w:rsid w:val="0FC63FBD"/>
    <w:rsid w:val="0FDD003F"/>
    <w:rsid w:val="0FF87EA4"/>
    <w:rsid w:val="0FFF7484"/>
    <w:rsid w:val="10007DD4"/>
    <w:rsid w:val="100B77ED"/>
    <w:rsid w:val="10305890"/>
    <w:rsid w:val="103D5A1A"/>
    <w:rsid w:val="106C564D"/>
    <w:rsid w:val="107B7B8F"/>
    <w:rsid w:val="107C67CE"/>
    <w:rsid w:val="10912D03"/>
    <w:rsid w:val="109D68CB"/>
    <w:rsid w:val="10A151A1"/>
    <w:rsid w:val="10A949B8"/>
    <w:rsid w:val="10BE733F"/>
    <w:rsid w:val="11144AFE"/>
    <w:rsid w:val="11200D07"/>
    <w:rsid w:val="11786AB5"/>
    <w:rsid w:val="118049D4"/>
    <w:rsid w:val="118561F8"/>
    <w:rsid w:val="11904216"/>
    <w:rsid w:val="11914FAF"/>
    <w:rsid w:val="11A8021A"/>
    <w:rsid w:val="11B21219"/>
    <w:rsid w:val="11D07795"/>
    <w:rsid w:val="11DA73AF"/>
    <w:rsid w:val="11FC1ECD"/>
    <w:rsid w:val="12457C5E"/>
    <w:rsid w:val="124D097B"/>
    <w:rsid w:val="12511265"/>
    <w:rsid w:val="1283614B"/>
    <w:rsid w:val="12856FF3"/>
    <w:rsid w:val="129671FB"/>
    <w:rsid w:val="12A576FF"/>
    <w:rsid w:val="12C60D80"/>
    <w:rsid w:val="130523B3"/>
    <w:rsid w:val="13097496"/>
    <w:rsid w:val="131F7A3A"/>
    <w:rsid w:val="132645D0"/>
    <w:rsid w:val="134312FF"/>
    <w:rsid w:val="13455ABC"/>
    <w:rsid w:val="1370322B"/>
    <w:rsid w:val="13BA0460"/>
    <w:rsid w:val="13BB41AE"/>
    <w:rsid w:val="13C24F9B"/>
    <w:rsid w:val="13C45A18"/>
    <w:rsid w:val="13C9247B"/>
    <w:rsid w:val="143B2E0B"/>
    <w:rsid w:val="147B7828"/>
    <w:rsid w:val="147C1943"/>
    <w:rsid w:val="148054E9"/>
    <w:rsid w:val="14892735"/>
    <w:rsid w:val="14CC769D"/>
    <w:rsid w:val="14D764D5"/>
    <w:rsid w:val="14F43330"/>
    <w:rsid w:val="150177FB"/>
    <w:rsid w:val="152509D7"/>
    <w:rsid w:val="15436F05"/>
    <w:rsid w:val="15691FE3"/>
    <w:rsid w:val="158B5DDD"/>
    <w:rsid w:val="15B11221"/>
    <w:rsid w:val="15BD2B57"/>
    <w:rsid w:val="15C16EB3"/>
    <w:rsid w:val="15CB76C9"/>
    <w:rsid w:val="15D359D7"/>
    <w:rsid w:val="15FF3DD9"/>
    <w:rsid w:val="160E7A2C"/>
    <w:rsid w:val="16111028"/>
    <w:rsid w:val="163C77BE"/>
    <w:rsid w:val="16573587"/>
    <w:rsid w:val="16585B40"/>
    <w:rsid w:val="166262C1"/>
    <w:rsid w:val="1679588C"/>
    <w:rsid w:val="168C2855"/>
    <w:rsid w:val="16994962"/>
    <w:rsid w:val="16A233CF"/>
    <w:rsid w:val="16A71041"/>
    <w:rsid w:val="16AA24BF"/>
    <w:rsid w:val="16E94489"/>
    <w:rsid w:val="171D3FE1"/>
    <w:rsid w:val="1730514F"/>
    <w:rsid w:val="1742794A"/>
    <w:rsid w:val="17680CAB"/>
    <w:rsid w:val="176E4128"/>
    <w:rsid w:val="1783371F"/>
    <w:rsid w:val="17B61794"/>
    <w:rsid w:val="17C52CBF"/>
    <w:rsid w:val="17C93012"/>
    <w:rsid w:val="17DD14FD"/>
    <w:rsid w:val="17E62B67"/>
    <w:rsid w:val="17F116B5"/>
    <w:rsid w:val="180F4499"/>
    <w:rsid w:val="182201B4"/>
    <w:rsid w:val="18221ECE"/>
    <w:rsid w:val="18303840"/>
    <w:rsid w:val="183A4599"/>
    <w:rsid w:val="183C3D90"/>
    <w:rsid w:val="18504A07"/>
    <w:rsid w:val="1859036F"/>
    <w:rsid w:val="18681814"/>
    <w:rsid w:val="18836211"/>
    <w:rsid w:val="18933470"/>
    <w:rsid w:val="18B0649B"/>
    <w:rsid w:val="18BA4890"/>
    <w:rsid w:val="18C8297B"/>
    <w:rsid w:val="18D418FC"/>
    <w:rsid w:val="18FC7745"/>
    <w:rsid w:val="19027053"/>
    <w:rsid w:val="19353F17"/>
    <w:rsid w:val="19781B17"/>
    <w:rsid w:val="19BD21D6"/>
    <w:rsid w:val="19DD405E"/>
    <w:rsid w:val="1A077661"/>
    <w:rsid w:val="1A460CF5"/>
    <w:rsid w:val="1A7F297D"/>
    <w:rsid w:val="1A974E89"/>
    <w:rsid w:val="1A9C784C"/>
    <w:rsid w:val="1A9D6244"/>
    <w:rsid w:val="1AB16AC1"/>
    <w:rsid w:val="1ABF1CEA"/>
    <w:rsid w:val="1AF876EE"/>
    <w:rsid w:val="1B014DDE"/>
    <w:rsid w:val="1B0320FB"/>
    <w:rsid w:val="1B034A52"/>
    <w:rsid w:val="1B45344E"/>
    <w:rsid w:val="1B591D2B"/>
    <w:rsid w:val="1B5C2E11"/>
    <w:rsid w:val="1B5D76FB"/>
    <w:rsid w:val="1B683578"/>
    <w:rsid w:val="1B8C0040"/>
    <w:rsid w:val="1BD9519A"/>
    <w:rsid w:val="1BDE2F66"/>
    <w:rsid w:val="1BE53AC3"/>
    <w:rsid w:val="1C2A22B3"/>
    <w:rsid w:val="1C65785A"/>
    <w:rsid w:val="1C750ECE"/>
    <w:rsid w:val="1C805C4C"/>
    <w:rsid w:val="1CA56AF4"/>
    <w:rsid w:val="1D196139"/>
    <w:rsid w:val="1D5E02D1"/>
    <w:rsid w:val="1D616517"/>
    <w:rsid w:val="1D7F0ED0"/>
    <w:rsid w:val="1DA31EB7"/>
    <w:rsid w:val="1DBB6100"/>
    <w:rsid w:val="1DBE6816"/>
    <w:rsid w:val="1DC67725"/>
    <w:rsid w:val="1DCB4FF1"/>
    <w:rsid w:val="1E010AF7"/>
    <w:rsid w:val="1E1C405A"/>
    <w:rsid w:val="1E2D2A45"/>
    <w:rsid w:val="1E2E29E0"/>
    <w:rsid w:val="1E301173"/>
    <w:rsid w:val="1E5735B4"/>
    <w:rsid w:val="1E884D18"/>
    <w:rsid w:val="1ED601D8"/>
    <w:rsid w:val="1ED8781E"/>
    <w:rsid w:val="1EDD3235"/>
    <w:rsid w:val="1EE7283A"/>
    <w:rsid w:val="1F1102B0"/>
    <w:rsid w:val="1F1217D1"/>
    <w:rsid w:val="1F2F1047"/>
    <w:rsid w:val="1F43381C"/>
    <w:rsid w:val="1F6D5A33"/>
    <w:rsid w:val="1F914C72"/>
    <w:rsid w:val="1FA4148D"/>
    <w:rsid w:val="1FC10FAB"/>
    <w:rsid w:val="1FC65577"/>
    <w:rsid w:val="1FD82385"/>
    <w:rsid w:val="1FDD591D"/>
    <w:rsid w:val="20121621"/>
    <w:rsid w:val="201636E2"/>
    <w:rsid w:val="201B15E9"/>
    <w:rsid w:val="202E3F6D"/>
    <w:rsid w:val="20325F7E"/>
    <w:rsid w:val="204E554F"/>
    <w:rsid w:val="20590035"/>
    <w:rsid w:val="20E5011E"/>
    <w:rsid w:val="20FC799E"/>
    <w:rsid w:val="21286DA7"/>
    <w:rsid w:val="212F0588"/>
    <w:rsid w:val="2134683B"/>
    <w:rsid w:val="21382011"/>
    <w:rsid w:val="21596DDD"/>
    <w:rsid w:val="218731F4"/>
    <w:rsid w:val="21C82E72"/>
    <w:rsid w:val="21DE0801"/>
    <w:rsid w:val="21DE339D"/>
    <w:rsid w:val="22154DDD"/>
    <w:rsid w:val="221D18C3"/>
    <w:rsid w:val="221D4DB5"/>
    <w:rsid w:val="22336873"/>
    <w:rsid w:val="22396826"/>
    <w:rsid w:val="22494859"/>
    <w:rsid w:val="225471A3"/>
    <w:rsid w:val="225E34DC"/>
    <w:rsid w:val="227D1295"/>
    <w:rsid w:val="22AB3B7D"/>
    <w:rsid w:val="22AF3A08"/>
    <w:rsid w:val="22F92F75"/>
    <w:rsid w:val="239634D6"/>
    <w:rsid w:val="23BB4E7D"/>
    <w:rsid w:val="23C172D6"/>
    <w:rsid w:val="23CB1286"/>
    <w:rsid w:val="23D77537"/>
    <w:rsid w:val="23E6195D"/>
    <w:rsid w:val="23EB1DA2"/>
    <w:rsid w:val="23F04F64"/>
    <w:rsid w:val="246F1860"/>
    <w:rsid w:val="24814CBE"/>
    <w:rsid w:val="24AC168B"/>
    <w:rsid w:val="24BB6664"/>
    <w:rsid w:val="24EC64CB"/>
    <w:rsid w:val="250E1318"/>
    <w:rsid w:val="254D0389"/>
    <w:rsid w:val="25884C5D"/>
    <w:rsid w:val="258C3BEC"/>
    <w:rsid w:val="25A03144"/>
    <w:rsid w:val="25B2479F"/>
    <w:rsid w:val="25B74631"/>
    <w:rsid w:val="25C15C5D"/>
    <w:rsid w:val="25D329B9"/>
    <w:rsid w:val="25E5427A"/>
    <w:rsid w:val="26276A31"/>
    <w:rsid w:val="26366F9D"/>
    <w:rsid w:val="263B1230"/>
    <w:rsid w:val="2642752B"/>
    <w:rsid w:val="26485508"/>
    <w:rsid w:val="26554808"/>
    <w:rsid w:val="265E685B"/>
    <w:rsid w:val="26607D95"/>
    <w:rsid w:val="26700955"/>
    <w:rsid w:val="26A16AE9"/>
    <w:rsid w:val="26A605D9"/>
    <w:rsid w:val="26AD0500"/>
    <w:rsid w:val="26B121A3"/>
    <w:rsid w:val="26D42986"/>
    <w:rsid w:val="272E3097"/>
    <w:rsid w:val="272E6F74"/>
    <w:rsid w:val="277E6655"/>
    <w:rsid w:val="27933DEA"/>
    <w:rsid w:val="2797304A"/>
    <w:rsid w:val="27B36A67"/>
    <w:rsid w:val="27D9633F"/>
    <w:rsid w:val="27F10E56"/>
    <w:rsid w:val="27FA0805"/>
    <w:rsid w:val="281E404F"/>
    <w:rsid w:val="28302479"/>
    <w:rsid w:val="283D7198"/>
    <w:rsid w:val="2846581F"/>
    <w:rsid w:val="284A5CA4"/>
    <w:rsid w:val="285D08F3"/>
    <w:rsid w:val="286550ED"/>
    <w:rsid w:val="286602C8"/>
    <w:rsid w:val="28665C95"/>
    <w:rsid w:val="28736F5F"/>
    <w:rsid w:val="28B01D1E"/>
    <w:rsid w:val="28C2628C"/>
    <w:rsid w:val="28CC3373"/>
    <w:rsid w:val="28F579BA"/>
    <w:rsid w:val="290B3EB9"/>
    <w:rsid w:val="29113F9A"/>
    <w:rsid w:val="291A1103"/>
    <w:rsid w:val="292728C1"/>
    <w:rsid w:val="29274BCB"/>
    <w:rsid w:val="2950768C"/>
    <w:rsid w:val="297A5FC4"/>
    <w:rsid w:val="29E14657"/>
    <w:rsid w:val="29E474B8"/>
    <w:rsid w:val="29ED574B"/>
    <w:rsid w:val="29F171A1"/>
    <w:rsid w:val="29FA2D3E"/>
    <w:rsid w:val="29FE5CE6"/>
    <w:rsid w:val="2A743AE8"/>
    <w:rsid w:val="2A8D4F8F"/>
    <w:rsid w:val="2A917B34"/>
    <w:rsid w:val="2A9308A8"/>
    <w:rsid w:val="2A95470D"/>
    <w:rsid w:val="2A9F5AB8"/>
    <w:rsid w:val="2AB10C99"/>
    <w:rsid w:val="2AD74E8C"/>
    <w:rsid w:val="2AE3766F"/>
    <w:rsid w:val="2AEC612E"/>
    <w:rsid w:val="2AF4232D"/>
    <w:rsid w:val="2B0268A7"/>
    <w:rsid w:val="2B060F9E"/>
    <w:rsid w:val="2B0E56AB"/>
    <w:rsid w:val="2B590601"/>
    <w:rsid w:val="2B710DB7"/>
    <w:rsid w:val="2B7E4054"/>
    <w:rsid w:val="2B871830"/>
    <w:rsid w:val="2BBA6A76"/>
    <w:rsid w:val="2BCC03D1"/>
    <w:rsid w:val="2C0C6D59"/>
    <w:rsid w:val="2C167BD8"/>
    <w:rsid w:val="2C5B0D4B"/>
    <w:rsid w:val="2C754B38"/>
    <w:rsid w:val="2C7D37B3"/>
    <w:rsid w:val="2C8903AA"/>
    <w:rsid w:val="2C987C56"/>
    <w:rsid w:val="2CA156F3"/>
    <w:rsid w:val="2CC11460"/>
    <w:rsid w:val="2CC15BAA"/>
    <w:rsid w:val="2CDC3153"/>
    <w:rsid w:val="2CDF621C"/>
    <w:rsid w:val="2CE136D7"/>
    <w:rsid w:val="2CFE7A11"/>
    <w:rsid w:val="2CFF149A"/>
    <w:rsid w:val="2D201865"/>
    <w:rsid w:val="2D2B6EDE"/>
    <w:rsid w:val="2D4B5CEA"/>
    <w:rsid w:val="2D4C5B4C"/>
    <w:rsid w:val="2D652658"/>
    <w:rsid w:val="2D964A56"/>
    <w:rsid w:val="2DC16E0A"/>
    <w:rsid w:val="2DC80C49"/>
    <w:rsid w:val="2DCA6355"/>
    <w:rsid w:val="2E0D200E"/>
    <w:rsid w:val="2E166748"/>
    <w:rsid w:val="2E2054A0"/>
    <w:rsid w:val="2E482374"/>
    <w:rsid w:val="2E491580"/>
    <w:rsid w:val="2E556F01"/>
    <w:rsid w:val="2E8345A7"/>
    <w:rsid w:val="2E8E20B4"/>
    <w:rsid w:val="2EAA7BAE"/>
    <w:rsid w:val="2EC1207D"/>
    <w:rsid w:val="2ED06066"/>
    <w:rsid w:val="2ED1223D"/>
    <w:rsid w:val="2F000139"/>
    <w:rsid w:val="2F1B303D"/>
    <w:rsid w:val="2F3F11F4"/>
    <w:rsid w:val="2F9F42DC"/>
    <w:rsid w:val="2FA53DEA"/>
    <w:rsid w:val="2FBC2844"/>
    <w:rsid w:val="2FC32F68"/>
    <w:rsid w:val="2FF37AB3"/>
    <w:rsid w:val="300504FB"/>
    <w:rsid w:val="30210B8A"/>
    <w:rsid w:val="30224DC7"/>
    <w:rsid w:val="303B4C3F"/>
    <w:rsid w:val="306B558B"/>
    <w:rsid w:val="3073310C"/>
    <w:rsid w:val="309D6BE6"/>
    <w:rsid w:val="30AA1790"/>
    <w:rsid w:val="30EE385E"/>
    <w:rsid w:val="30F85AFE"/>
    <w:rsid w:val="31170995"/>
    <w:rsid w:val="31264A30"/>
    <w:rsid w:val="312651F8"/>
    <w:rsid w:val="31884E67"/>
    <w:rsid w:val="31953406"/>
    <w:rsid w:val="31A0275E"/>
    <w:rsid w:val="31A67308"/>
    <w:rsid w:val="31B91526"/>
    <w:rsid w:val="31BA7402"/>
    <w:rsid w:val="31EF0041"/>
    <w:rsid w:val="320107F5"/>
    <w:rsid w:val="324175CB"/>
    <w:rsid w:val="326A0524"/>
    <w:rsid w:val="3277581B"/>
    <w:rsid w:val="327B7EDF"/>
    <w:rsid w:val="32AB70C5"/>
    <w:rsid w:val="32F17F41"/>
    <w:rsid w:val="33247607"/>
    <w:rsid w:val="335D0AF5"/>
    <w:rsid w:val="336B2EA4"/>
    <w:rsid w:val="3370088C"/>
    <w:rsid w:val="33872039"/>
    <w:rsid w:val="339A687B"/>
    <w:rsid w:val="33B32FB3"/>
    <w:rsid w:val="33DC2F78"/>
    <w:rsid w:val="33E52FA1"/>
    <w:rsid w:val="33FC5905"/>
    <w:rsid w:val="3428227C"/>
    <w:rsid w:val="342842DC"/>
    <w:rsid w:val="342E4A52"/>
    <w:rsid w:val="343230D5"/>
    <w:rsid w:val="3439428E"/>
    <w:rsid w:val="343B01DB"/>
    <w:rsid w:val="347918A5"/>
    <w:rsid w:val="34802E4C"/>
    <w:rsid w:val="349D37D5"/>
    <w:rsid w:val="34A61BDE"/>
    <w:rsid w:val="34F67A79"/>
    <w:rsid w:val="350C77AE"/>
    <w:rsid w:val="3522586C"/>
    <w:rsid w:val="35572473"/>
    <w:rsid w:val="35602226"/>
    <w:rsid w:val="356B72E7"/>
    <w:rsid w:val="356D2AC8"/>
    <w:rsid w:val="3572424F"/>
    <w:rsid w:val="35734CF3"/>
    <w:rsid w:val="35866014"/>
    <w:rsid w:val="359E5CE0"/>
    <w:rsid w:val="35D275C3"/>
    <w:rsid w:val="362B215D"/>
    <w:rsid w:val="362E5F5F"/>
    <w:rsid w:val="367070F4"/>
    <w:rsid w:val="367801A9"/>
    <w:rsid w:val="36807FCC"/>
    <w:rsid w:val="36AD519D"/>
    <w:rsid w:val="36B57705"/>
    <w:rsid w:val="36C546D4"/>
    <w:rsid w:val="36DC1DD3"/>
    <w:rsid w:val="36F3711D"/>
    <w:rsid w:val="37090CD6"/>
    <w:rsid w:val="37122320"/>
    <w:rsid w:val="37315697"/>
    <w:rsid w:val="3754697A"/>
    <w:rsid w:val="37636A21"/>
    <w:rsid w:val="377C03A4"/>
    <w:rsid w:val="37A103ED"/>
    <w:rsid w:val="37A367C3"/>
    <w:rsid w:val="37BD33EE"/>
    <w:rsid w:val="37C02607"/>
    <w:rsid w:val="37E02B23"/>
    <w:rsid w:val="37E345A6"/>
    <w:rsid w:val="37EA5E6E"/>
    <w:rsid w:val="37F52D97"/>
    <w:rsid w:val="37FF016F"/>
    <w:rsid w:val="382A6E2D"/>
    <w:rsid w:val="38442FE8"/>
    <w:rsid w:val="386E4145"/>
    <w:rsid w:val="387C5ABE"/>
    <w:rsid w:val="38981956"/>
    <w:rsid w:val="38B66D0C"/>
    <w:rsid w:val="38EB6119"/>
    <w:rsid w:val="39044996"/>
    <w:rsid w:val="39506E15"/>
    <w:rsid w:val="396678D9"/>
    <w:rsid w:val="397A0ADB"/>
    <w:rsid w:val="39844799"/>
    <w:rsid w:val="39954B2B"/>
    <w:rsid w:val="39A84565"/>
    <w:rsid w:val="39DA2245"/>
    <w:rsid w:val="39E66E3B"/>
    <w:rsid w:val="39FD4CC2"/>
    <w:rsid w:val="3A51228C"/>
    <w:rsid w:val="3A545E48"/>
    <w:rsid w:val="3A552E60"/>
    <w:rsid w:val="3A5D642F"/>
    <w:rsid w:val="3A744447"/>
    <w:rsid w:val="3A78219D"/>
    <w:rsid w:val="3A814823"/>
    <w:rsid w:val="3A995C5C"/>
    <w:rsid w:val="3AA95178"/>
    <w:rsid w:val="3AB210FC"/>
    <w:rsid w:val="3AB67D99"/>
    <w:rsid w:val="3AD135BB"/>
    <w:rsid w:val="3ADB7381"/>
    <w:rsid w:val="3AE072CA"/>
    <w:rsid w:val="3B043A1D"/>
    <w:rsid w:val="3B113817"/>
    <w:rsid w:val="3B793A48"/>
    <w:rsid w:val="3B7E3699"/>
    <w:rsid w:val="3B85393E"/>
    <w:rsid w:val="3BB57E85"/>
    <w:rsid w:val="3BCA4B8A"/>
    <w:rsid w:val="3BCD72F7"/>
    <w:rsid w:val="3BFC2F5F"/>
    <w:rsid w:val="3C37146A"/>
    <w:rsid w:val="3C3D3625"/>
    <w:rsid w:val="3C414142"/>
    <w:rsid w:val="3C5B725E"/>
    <w:rsid w:val="3C88055A"/>
    <w:rsid w:val="3CAF79B9"/>
    <w:rsid w:val="3CB35097"/>
    <w:rsid w:val="3CF63DF9"/>
    <w:rsid w:val="3CF737A2"/>
    <w:rsid w:val="3D10295A"/>
    <w:rsid w:val="3D184041"/>
    <w:rsid w:val="3D370C2A"/>
    <w:rsid w:val="3D383098"/>
    <w:rsid w:val="3D414FC0"/>
    <w:rsid w:val="3D4520CB"/>
    <w:rsid w:val="3D4F12A7"/>
    <w:rsid w:val="3D7B5F78"/>
    <w:rsid w:val="3D7D049C"/>
    <w:rsid w:val="3DB047F1"/>
    <w:rsid w:val="3DE20EAE"/>
    <w:rsid w:val="3DEF3701"/>
    <w:rsid w:val="3E0572FD"/>
    <w:rsid w:val="3E0720FE"/>
    <w:rsid w:val="3E233C50"/>
    <w:rsid w:val="3E2819F6"/>
    <w:rsid w:val="3E287A22"/>
    <w:rsid w:val="3E2E0FBE"/>
    <w:rsid w:val="3E4D1D5B"/>
    <w:rsid w:val="3E5A7FE7"/>
    <w:rsid w:val="3E955A6A"/>
    <w:rsid w:val="3E964D81"/>
    <w:rsid w:val="3EF66B2E"/>
    <w:rsid w:val="3F217914"/>
    <w:rsid w:val="3FD10810"/>
    <w:rsid w:val="3FD70BB0"/>
    <w:rsid w:val="3FFB55AC"/>
    <w:rsid w:val="40017152"/>
    <w:rsid w:val="401C5F9D"/>
    <w:rsid w:val="401C690C"/>
    <w:rsid w:val="401D6FB3"/>
    <w:rsid w:val="401D7195"/>
    <w:rsid w:val="405C1C05"/>
    <w:rsid w:val="407A652F"/>
    <w:rsid w:val="40825D97"/>
    <w:rsid w:val="409928E7"/>
    <w:rsid w:val="40997CFE"/>
    <w:rsid w:val="40CE3DC0"/>
    <w:rsid w:val="40D7455A"/>
    <w:rsid w:val="40E743E5"/>
    <w:rsid w:val="40EB4012"/>
    <w:rsid w:val="40F1300C"/>
    <w:rsid w:val="410A1661"/>
    <w:rsid w:val="412D5EA0"/>
    <w:rsid w:val="41387395"/>
    <w:rsid w:val="415A62F5"/>
    <w:rsid w:val="416D78C7"/>
    <w:rsid w:val="41734CBA"/>
    <w:rsid w:val="417F4E1A"/>
    <w:rsid w:val="41A82190"/>
    <w:rsid w:val="41C23CEA"/>
    <w:rsid w:val="41DE5999"/>
    <w:rsid w:val="41E1181A"/>
    <w:rsid w:val="41E32A20"/>
    <w:rsid w:val="41E63A53"/>
    <w:rsid w:val="41FA3241"/>
    <w:rsid w:val="420F7A65"/>
    <w:rsid w:val="4216611A"/>
    <w:rsid w:val="423E300F"/>
    <w:rsid w:val="425656C8"/>
    <w:rsid w:val="4257273C"/>
    <w:rsid w:val="42687ACE"/>
    <w:rsid w:val="4270145E"/>
    <w:rsid w:val="429E6041"/>
    <w:rsid w:val="42A63D6F"/>
    <w:rsid w:val="42BF4B02"/>
    <w:rsid w:val="42FD694D"/>
    <w:rsid w:val="432126D0"/>
    <w:rsid w:val="437D6687"/>
    <w:rsid w:val="438351F5"/>
    <w:rsid w:val="438D35EA"/>
    <w:rsid w:val="43BC1E57"/>
    <w:rsid w:val="43D23F8D"/>
    <w:rsid w:val="43D43F1D"/>
    <w:rsid w:val="43FA5777"/>
    <w:rsid w:val="44023422"/>
    <w:rsid w:val="44184A2D"/>
    <w:rsid w:val="441C1611"/>
    <w:rsid w:val="443C440B"/>
    <w:rsid w:val="44514F52"/>
    <w:rsid w:val="44761C8F"/>
    <w:rsid w:val="449722E3"/>
    <w:rsid w:val="449D7B09"/>
    <w:rsid w:val="44AE3FD4"/>
    <w:rsid w:val="44B94EF3"/>
    <w:rsid w:val="44D0586F"/>
    <w:rsid w:val="44FA2D53"/>
    <w:rsid w:val="453C4912"/>
    <w:rsid w:val="45687813"/>
    <w:rsid w:val="4571374F"/>
    <w:rsid w:val="458B1BB0"/>
    <w:rsid w:val="45A81449"/>
    <w:rsid w:val="45AD31D6"/>
    <w:rsid w:val="45AD5125"/>
    <w:rsid w:val="45B93426"/>
    <w:rsid w:val="461963F5"/>
    <w:rsid w:val="46427A8B"/>
    <w:rsid w:val="464C6420"/>
    <w:rsid w:val="46552F9B"/>
    <w:rsid w:val="467A0297"/>
    <w:rsid w:val="468B7125"/>
    <w:rsid w:val="46B506EF"/>
    <w:rsid w:val="46C4691F"/>
    <w:rsid w:val="46CB53EF"/>
    <w:rsid w:val="46EE513F"/>
    <w:rsid w:val="470F5A71"/>
    <w:rsid w:val="473154FF"/>
    <w:rsid w:val="475A1C80"/>
    <w:rsid w:val="47685427"/>
    <w:rsid w:val="476C4065"/>
    <w:rsid w:val="4779499C"/>
    <w:rsid w:val="477B5715"/>
    <w:rsid w:val="477B6530"/>
    <w:rsid w:val="47801172"/>
    <w:rsid w:val="479D1D34"/>
    <w:rsid w:val="47B609C0"/>
    <w:rsid w:val="47EC3B04"/>
    <w:rsid w:val="47EC6277"/>
    <w:rsid w:val="48021483"/>
    <w:rsid w:val="480A4089"/>
    <w:rsid w:val="481A1EA7"/>
    <w:rsid w:val="481A219B"/>
    <w:rsid w:val="482D31EA"/>
    <w:rsid w:val="485970A0"/>
    <w:rsid w:val="485B0916"/>
    <w:rsid w:val="486A6E89"/>
    <w:rsid w:val="48823516"/>
    <w:rsid w:val="48826E65"/>
    <w:rsid w:val="48877686"/>
    <w:rsid w:val="488B498B"/>
    <w:rsid w:val="48B176C2"/>
    <w:rsid w:val="48B65C71"/>
    <w:rsid w:val="48FB1909"/>
    <w:rsid w:val="491F266E"/>
    <w:rsid w:val="492E6A57"/>
    <w:rsid w:val="495839AA"/>
    <w:rsid w:val="49700A6F"/>
    <w:rsid w:val="49771AFE"/>
    <w:rsid w:val="497B3A4B"/>
    <w:rsid w:val="49802948"/>
    <w:rsid w:val="4981092F"/>
    <w:rsid w:val="4986089F"/>
    <w:rsid w:val="498B5309"/>
    <w:rsid w:val="49956188"/>
    <w:rsid w:val="499F0AAB"/>
    <w:rsid w:val="49C33FF5"/>
    <w:rsid w:val="49DB11EC"/>
    <w:rsid w:val="49E31DD1"/>
    <w:rsid w:val="4A0030EE"/>
    <w:rsid w:val="4A0568D6"/>
    <w:rsid w:val="4A0C4F3C"/>
    <w:rsid w:val="4A162478"/>
    <w:rsid w:val="4A1A1689"/>
    <w:rsid w:val="4A484D41"/>
    <w:rsid w:val="4A513F5C"/>
    <w:rsid w:val="4A6D15F8"/>
    <w:rsid w:val="4A74611C"/>
    <w:rsid w:val="4A8C4FB8"/>
    <w:rsid w:val="4A9A25BD"/>
    <w:rsid w:val="4A9E0551"/>
    <w:rsid w:val="4AB542AE"/>
    <w:rsid w:val="4AF72FEA"/>
    <w:rsid w:val="4B0C5FD6"/>
    <w:rsid w:val="4B1477B3"/>
    <w:rsid w:val="4B1F062C"/>
    <w:rsid w:val="4B243D9D"/>
    <w:rsid w:val="4B303D0B"/>
    <w:rsid w:val="4B626C74"/>
    <w:rsid w:val="4B6F66A1"/>
    <w:rsid w:val="4B85213F"/>
    <w:rsid w:val="4B8C2DEB"/>
    <w:rsid w:val="4BFA3C9F"/>
    <w:rsid w:val="4C107F48"/>
    <w:rsid w:val="4C3277BC"/>
    <w:rsid w:val="4C4526F6"/>
    <w:rsid w:val="4C5C442D"/>
    <w:rsid w:val="4C6D42A9"/>
    <w:rsid w:val="4C716A38"/>
    <w:rsid w:val="4CC0351C"/>
    <w:rsid w:val="4CC353EB"/>
    <w:rsid w:val="4CD203A9"/>
    <w:rsid w:val="4CE64E14"/>
    <w:rsid w:val="4CF36F3C"/>
    <w:rsid w:val="4D007BC8"/>
    <w:rsid w:val="4D1470BD"/>
    <w:rsid w:val="4D154882"/>
    <w:rsid w:val="4D1A6324"/>
    <w:rsid w:val="4D1C3C50"/>
    <w:rsid w:val="4D603399"/>
    <w:rsid w:val="4D6A7284"/>
    <w:rsid w:val="4D6E30E1"/>
    <w:rsid w:val="4D867EE1"/>
    <w:rsid w:val="4DBC4C65"/>
    <w:rsid w:val="4DE2009B"/>
    <w:rsid w:val="4E0F235E"/>
    <w:rsid w:val="4E157689"/>
    <w:rsid w:val="4E471216"/>
    <w:rsid w:val="4E533FA5"/>
    <w:rsid w:val="4E550010"/>
    <w:rsid w:val="4E5F14CB"/>
    <w:rsid w:val="4E6808B0"/>
    <w:rsid w:val="4EC00DDD"/>
    <w:rsid w:val="4EF265BE"/>
    <w:rsid w:val="4EFB1C45"/>
    <w:rsid w:val="4F0C2A48"/>
    <w:rsid w:val="4F0F17EF"/>
    <w:rsid w:val="4F26273B"/>
    <w:rsid w:val="4F2D3A8A"/>
    <w:rsid w:val="4F32478A"/>
    <w:rsid w:val="4F3705F8"/>
    <w:rsid w:val="4F652159"/>
    <w:rsid w:val="4F9714A0"/>
    <w:rsid w:val="4FAA3F91"/>
    <w:rsid w:val="4FAC3540"/>
    <w:rsid w:val="4FCF1583"/>
    <w:rsid w:val="4FD23E66"/>
    <w:rsid w:val="4FD44D1B"/>
    <w:rsid w:val="4FDC066D"/>
    <w:rsid w:val="4FFA7625"/>
    <w:rsid w:val="50104E80"/>
    <w:rsid w:val="50453E7E"/>
    <w:rsid w:val="504A3AF0"/>
    <w:rsid w:val="507D2599"/>
    <w:rsid w:val="5096229D"/>
    <w:rsid w:val="509E157D"/>
    <w:rsid w:val="50A6165E"/>
    <w:rsid w:val="50DC4184"/>
    <w:rsid w:val="50FB6146"/>
    <w:rsid w:val="512F4CA0"/>
    <w:rsid w:val="51361FFF"/>
    <w:rsid w:val="514C3EA7"/>
    <w:rsid w:val="514F701D"/>
    <w:rsid w:val="51FF3C99"/>
    <w:rsid w:val="52363D4D"/>
    <w:rsid w:val="524A2AC9"/>
    <w:rsid w:val="52521A20"/>
    <w:rsid w:val="528604EC"/>
    <w:rsid w:val="52AC4ABC"/>
    <w:rsid w:val="52C201B9"/>
    <w:rsid w:val="52CA2BE1"/>
    <w:rsid w:val="52E57A12"/>
    <w:rsid w:val="52F20B62"/>
    <w:rsid w:val="531C4FCC"/>
    <w:rsid w:val="53797A36"/>
    <w:rsid w:val="53827E49"/>
    <w:rsid w:val="538A6BB9"/>
    <w:rsid w:val="539964FD"/>
    <w:rsid w:val="539C1B81"/>
    <w:rsid w:val="53A447B1"/>
    <w:rsid w:val="53AE750F"/>
    <w:rsid w:val="53D224B3"/>
    <w:rsid w:val="53F81D96"/>
    <w:rsid w:val="544B5214"/>
    <w:rsid w:val="546F523C"/>
    <w:rsid w:val="549A6BFA"/>
    <w:rsid w:val="549D665E"/>
    <w:rsid w:val="54D933CD"/>
    <w:rsid w:val="551751CF"/>
    <w:rsid w:val="55244D7F"/>
    <w:rsid w:val="55362287"/>
    <w:rsid w:val="55432F3C"/>
    <w:rsid w:val="55A37FFD"/>
    <w:rsid w:val="55C3227E"/>
    <w:rsid w:val="55DD4AF1"/>
    <w:rsid w:val="55F12998"/>
    <w:rsid w:val="55FA2961"/>
    <w:rsid w:val="5602250F"/>
    <w:rsid w:val="564220BA"/>
    <w:rsid w:val="565E7F4F"/>
    <w:rsid w:val="565F3DA6"/>
    <w:rsid w:val="56914056"/>
    <w:rsid w:val="56B61E36"/>
    <w:rsid w:val="56C36589"/>
    <w:rsid w:val="570D55B0"/>
    <w:rsid w:val="57293C95"/>
    <w:rsid w:val="572A6381"/>
    <w:rsid w:val="572B41B4"/>
    <w:rsid w:val="57365868"/>
    <w:rsid w:val="573C1959"/>
    <w:rsid w:val="57427BEF"/>
    <w:rsid w:val="57554571"/>
    <w:rsid w:val="57F65317"/>
    <w:rsid w:val="57FC2169"/>
    <w:rsid w:val="58024015"/>
    <w:rsid w:val="58096275"/>
    <w:rsid w:val="5819544F"/>
    <w:rsid w:val="582D6D32"/>
    <w:rsid w:val="582E6EF7"/>
    <w:rsid w:val="584D173D"/>
    <w:rsid w:val="584E30E6"/>
    <w:rsid w:val="58546EFD"/>
    <w:rsid w:val="58E26731"/>
    <w:rsid w:val="590E4A97"/>
    <w:rsid w:val="591250FF"/>
    <w:rsid w:val="5920012C"/>
    <w:rsid w:val="592D02C9"/>
    <w:rsid w:val="593700E7"/>
    <w:rsid w:val="595578DE"/>
    <w:rsid w:val="5969087A"/>
    <w:rsid w:val="597B384D"/>
    <w:rsid w:val="59996DA8"/>
    <w:rsid w:val="59C30F1B"/>
    <w:rsid w:val="59CE4759"/>
    <w:rsid w:val="59E03FA7"/>
    <w:rsid w:val="5A356A96"/>
    <w:rsid w:val="5A814766"/>
    <w:rsid w:val="5A8C20D0"/>
    <w:rsid w:val="5ABC29E4"/>
    <w:rsid w:val="5AC7121C"/>
    <w:rsid w:val="5AD90B8D"/>
    <w:rsid w:val="5AE12927"/>
    <w:rsid w:val="5AE35472"/>
    <w:rsid w:val="5AF41CF3"/>
    <w:rsid w:val="5AF87CC9"/>
    <w:rsid w:val="5B4E1A44"/>
    <w:rsid w:val="5B5B6F3D"/>
    <w:rsid w:val="5B873201"/>
    <w:rsid w:val="5B967767"/>
    <w:rsid w:val="5B9C6F02"/>
    <w:rsid w:val="5B9D1624"/>
    <w:rsid w:val="5BBF73E2"/>
    <w:rsid w:val="5C0C2FF6"/>
    <w:rsid w:val="5C1241CC"/>
    <w:rsid w:val="5C286807"/>
    <w:rsid w:val="5C355656"/>
    <w:rsid w:val="5C370E72"/>
    <w:rsid w:val="5C446BC8"/>
    <w:rsid w:val="5C4B56E1"/>
    <w:rsid w:val="5C5F2539"/>
    <w:rsid w:val="5C7146B1"/>
    <w:rsid w:val="5C7C2768"/>
    <w:rsid w:val="5CA86076"/>
    <w:rsid w:val="5CAE62DC"/>
    <w:rsid w:val="5CB23AE6"/>
    <w:rsid w:val="5CED5863"/>
    <w:rsid w:val="5D0D6DF5"/>
    <w:rsid w:val="5D580A8A"/>
    <w:rsid w:val="5D893B14"/>
    <w:rsid w:val="5DB42C29"/>
    <w:rsid w:val="5DBE0636"/>
    <w:rsid w:val="5E18541D"/>
    <w:rsid w:val="5E276F7C"/>
    <w:rsid w:val="5E291636"/>
    <w:rsid w:val="5E655B72"/>
    <w:rsid w:val="5E8B0770"/>
    <w:rsid w:val="5EA06921"/>
    <w:rsid w:val="5EBA259F"/>
    <w:rsid w:val="5EE97BB4"/>
    <w:rsid w:val="5EF55BC9"/>
    <w:rsid w:val="5F085DDA"/>
    <w:rsid w:val="5F2E2D52"/>
    <w:rsid w:val="5F54198B"/>
    <w:rsid w:val="5F5C6376"/>
    <w:rsid w:val="5F6C74C2"/>
    <w:rsid w:val="5F9D1350"/>
    <w:rsid w:val="5FBE370A"/>
    <w:rsid w:val="5FC83407"/>
    <w:rsid w:val="5FD56E87"/>
    <w:rsid w:val="5FF0558C"/>
    <w:rsid w:val="601A27F4"/>
    <w:rsid w:val="60292845"/>
    <w:rsid w:val="605E3AFA"/>
    <w:rsid w:val="607921FE"/>
    <w:rsid w:val="607E12CC"/>
    <w:rsid w:val="608F62AE"/>
    <w:rsid w:val="60B9251B"/>
    <w:rsid w:val="60CA436E"/>
    <w:rsid w:val="60E236C1"/>
    <w:rsid w:val="60E37983"/>
    <w:rsid w:val="61260B6B"/>
    <w:rsid w:val="612B3ABB"/>
    <w:rsid w:val="612E1A5D"/>
    <w:rsid w:val="614E5D7E"/>
    <w:rsid w:val="61732C4D"/>
    <w:rsid w:val="61816046"/>
    <w:rsid w:val="61C81AB1"/>
    <w:rsid w:val="620B0059"/>
    <w:rsid w:val="62391564"/>
    <w:rsid w:val="624A22BE"/>
    <w:rsid w:val="6263230B"/>
    <w:rsid w:val="626E235A"/>
    <w:rsid w:val="626F60D5"/>
    <w:rsid w:val="62711217"/>
    <w:rsid w:val="62816669"/>
    <w:rsid w:val="6282086D"/>
    <w:rsid w:val="62AC0373"/>
    <w:rsid w:val="62B36CD7"/>
    <w:rsid w:val="62BA0953"/>
    <w:rsid w:val="62BB05B6"/>
    <w:rsid w:val="62D03A7C"/>
    <w:rsid w:val="62F42FAE"/>
    <w:rsid w:val="62F648FE"/>
    <w:rsid w:val="63167A4F"/>
    <w:rsid w:val="631D2BD6"/>
    <w:rsid w:val="63232B65"/>
    <w:rsid w:val="635356F3"/>
    <w:rsid w:val="637D5B70"/>
    <w:rsid w:val="63825E77"/>
    <w:rsid w:val="63A10995"/>
    <w:rsid w:val="63B43143"/>
    <w:rsid w:val="63C23EFA"/>
    <w:rsid w:val="63C860A6"/>
    <w:rsid w:val="63D255DA"/>
    <w:rsid w:val="64076B79"/>
    <w:rsid w:val="640B7654"/>
    <w:rsid w:val="64116D46"/>
    <w:rsid w:val="642C2F54"/>
    <w:rsid w:val="643A070A"/>
    <w:rsid w:val="64410A96"/>
    <w:rsid w:val="644C573D"/>
    <w:rsid w:val="64507EFB"/>
    <w:rsid w:val="649B41FB"/>
    <w:rsid w:val="65032F85"/>
    <w:rsid w:val="651304A7"/>
    <w:rsid w:val="65136B50"/>
    <w:rsid w:val="65216802"/>
    <w:rsid w:val="6531690D"/>
    <w:rsid w:val="65320485"/>
    <w:rsid w:val="65441A22"/>
    <w:rsid w:val="655A12F3"/>
    <w:rsid w:val="655F53E8"/>
    <w:rsid w:val="657E2A35"/>
    <w:rsid w:val="65A94E9D"/>
    <w:rsid w:val="65B96B3F"/>
    <w:rsid w:val="65BE1071"/>
    <w:rsid w:val="65C60A92"/>
    <w:rsid w:val="65DB19DF"/>
    <w:rsid w:val="660451CE"/>
    <w:rsid w:val="665346B7"/>
    <w:rsid w:val="667C7CCE"/>
    <w:rsid w:val="66A12460"/>
    <w:rsid w:val="66BE2423"/>
    <w:rsid w:val="66DD6702"/>
    <w:rsid w:val="66E856F1"/>
    <w:rsid w:val="671B1623"/>
    <w:rsid w:val="671E6EBA"/>
    <w:rsid w:val="6731269C"/>
    <w:rsid w:val="675352AA"/>
    <w:rsid w:val="6759400B"/>
    <w:rsid w:val="675E528D"/>
    <w:rsid w:val="676C598C"/>
    <w:rsid w:val="67966EFB"/>
    <w:rsid w:val="679E7FA1"/>
    <w:rsid w:val="67A32389"/>
    <w:rsid w:val="67B768D0"/>
    <w:rsid w:val="67C779FD"/>
    <w:rsid w:val="680E7564"/>
    <w:rsid w:val="682A2352"/>
    <w:rsid w:val="682E7AFD"/>
    <w:rsid w:val="68460921"/>
    <w:rsid w:val="68707071"/>
    <w:rsid w:val="687A4379"/>
    <w:rsid w:val="687B015C"/>
    <w:rsid w:val="687E3889"/>
    <w:rsid w:val="6884222C"/>
    <w:rsid w:val="68A957C8"/>
    <w:rsid w:val="68AD17BB"/>
    <w:rsid w:val="68D6620B"/>
    <w:rsid w:val="68D94D22"/>
    <w:rsid w:val="68F06F2B"/>
    <w:rsid w:val="692B2E4A"/>
    <w:rsid w:val="696A0B34"/>
    <w:rsid w:val="69821807"/>
    <w:rsid w:val="698D6A17"/>
    <w:rsid w:val="69932AD4"/>
    <w:rsid w:val="699F0522"/>
    <w:rsid w:val="69D37590"/>
    <w:rsid w:val="69F954C1"/>
    <w:rsid w:val="6A1E1E73"/>
    <w:rsid w:val="6A2031B6"/>
    <w:rsid w:val="6A2E3D63"/>
    <w:rsid w:val="6A2F57D7"/>
    <w:rsid w:val="6A3C1D40"/>
    <w:rsid w:val="6A6432E1"/>
    <w:rsid w:val="6AA23DFF"/>
    <w:rsid w:val="6AAA6F38"/>
    <w:rsid w:val="6AC61F6F"/>
    <w:rsid w:val="6AD34E53"/>
    <w:rsid w:val="6AD83EA1"/>
    <w:rsid w:val="6ADE74F0"/>
    <w:rsid w:val="6AFA3FD8"/>
    <w:rsid w:val="6B1D62E8"/>
    <w:rsid w:val="6B723594"/>
    <w:rsid w:val="6B805156"/>
    <w:rsid w:val="6B945E48"/>
    <w:rsid w:val="6B974A7B"/>
    <w:rsid w:val="6B99345E"/>
    <w:rsid w:val="6BD50977"/>
    <w:rsid w:val="6BE450D3"/>
    <w:rsid w:val="6BE60C84"/>
    <w:rsid w:val="6C374386"/>
    <w:rsid w:val="6C4F0900"/>
    <w:rsid w:val="6C6C32E1"/>
    <w:rsid w:val="6C6E3E15"/>
    <w:rsid w:val="6C8B1F5D"/>
    <w:rsid w:val="6CA85D3A"/>
    <w:rsid w:val="6CAA3931"/>
    <w:rsid w:val="6CE21206"/>
    <w:rsid w:val="6D325918"/>
    <w:rsid w:val="6D3933CA"/>
    <w:rsid w:val="6D6261FE"/>
    <w:rsid w:val="6D7B61EC"/>
    <w:rsid w:val="6D8E03AA"/>
    <w:rsid w:val="6DBB089F"/>
    <w:rsid w:val="6DC63038"/>
    <w:rsid w:val="6DE30DE0"/>
    <w:rsid w:val="6DE6130A"/>
    <w:rsid w:val="6E09491E"/>
    <w:rsid w:val="6E0D3655"/>
    <w:rsid w:val="6E1A437E"/>
    <w:rsid w:val="6E3A144E"/>
    <w:rsid w:val="6E5F4465"/>
    <w:rsid w:val="6E8B1663"/>
    <w:rsid w:val="6E8C54DA"/>
    <w:rsid w:val="6E9C15F5"/>
    <w:rsid w:val="6EF11E03"/>
    <w:rsid w:val="6EF1241D"/>
    <w:rsid w:val="6EF82916"/>
    <w:rsid w:val="6F0B2DE7"/>
    <w:rsid w:val="6F111C62"/>
    <w:rsid w:val="6F2176E5"/>
    <w:rsid w:val="6F3A2A5F"/>
    <w:rsid w:val="6F4F7F03"/>
    <w:rsid w:val="6F5523A2"/>
    <w:rsid w:val="6F592303"/>
    <w:rsid w:val="6F5B3260"/>
    <w:rsid w:val="6F5F5B74"/>
    <w:rsid w:val="6F6B63D6"/>
    <w:rsid w:val="6F98032D"/>
    <w:rsid w:val="6F9B1C65"/>
    <w:rsid w:val="6FA44937"/>
    <w:rsid w:val="6FAB445E"/>
    <w:rsid w:val="6FC80923"/>
    <w:rsid w:val="6FE82C9C"/>
    <w:rsid w:val="6FFB146E"/>
    <w:rsid w:val="70160742"/>
    <w:rsid w:val="7030610F"/>
    <w:rsid w:val="70612DB4"/>
    <w:rsid w:val="706516C3"/>
    <w:rsid w:val="70660714"/>
    <w:rsid w:val="70896E68"/>
    <w:rsid w:val="708A4844"/>
    <w:rsid w:val="70E05E9D"/>
    <w:rsid w:val="71073061"/>
    <w:rsid w:val="711A201F"/>
    <w:rsid w:val="71396ACC"/>
    <w:rsid w:val="715B60E9"/>
    <w:rsid w:val="716F0EE9"/>
    <w:rsid w:val="7196674D"/>
    <w:rsid w:val="719E245E"/>
    <w:rsid w:val="71BA3FE5"/>
    <w:rsid w:val="71EA1FED"/>
    <w:rsid w:val="72165C6B"/>
    <w:rsid w:val="721772A5"/>
    <w:rsid w:val="722021E3"/>
    <w:rsid w:val="722048AA"/>
    <w:rsid w:val="722C6DDA"/>
    <w:rsid w:val="725C19D2"/>
    <w:rsid w:val="72AE5A41"/>
    <w:rsid w:val="72E661B1"/>
    <w:rsid w:val="730313F6"/>
    <w:rsid w:val="730E4732"/>
    <w:rsid w:val="73370D24"/>
    <w:rsid w:val="73472C84"/>
    <w:rsid w:val="735859AD"/>
    <w:rsid w:val="7359268C"/>
    <w:rsid w:val="735F327A"/>
    <w:rsid w:val="7366631C"/>
    <w:rsid w:val="736C263C"/>
    <w:rsid w:val="73723640"/>
    <w:rsid w:val="737311F5"/>
    <w:rsid w:val="739503EB"/>
    <w:rsid w:val="73A05B28"/>
    <w:rsid w:val="73C07D69"/>
    <w:rsid w:val="73C979D4"/>
    <w:rsid w:val="73DC335B"/>
    <w:rsid w:val="740B60EC"/>
    <w:rsid w:val="7465362D"/>
    <w:rsid w:val="7491168D"/>
    <w:rsid w:val="749E16A8"/>
    <w:rsid w:val="74B42AE4"/>
    <w:rsid w:val="74C54993"/>
    <w:rsid w:val="750A429D"/>
    <w:rsid w:val="75232716"/>
    <w:rsid w:val="75474B47"/>
    <w:rsid w:val="75614792"/>
    <w:rsid w:val="756F02C1"/>
    <w:rsid w:val="75761866"/>
    <w:rsid w:val="75784473"/>
    <w:rsid w:val="75AD0232"/>
    <w:rsid w:val="75B161B3"/>
    <w:rsid w:val="75DC6C44"/>
    <w:rsid w:val="75F05CC0"/>
    <w:rsid w:val="762F6A19"/>
    <w:rsid w:val="76341B33"/>
    <w:rsid w:val="76736B32"/>
    <w:rsid w:val="76AF35EE"/>
    <w:rsid w:val="76C27A74"/>
    <w:rsid w:val="76C726A5"/>
    <w:rsid w:val="76E3765E"/>
    <w:rsid w:val="76FC2AFA"/>
    <w:rsid w:val="77527424"/>
    <w:rsid w:val="77653671"/>
    <w:rsid w:val="778546CC"/>
    <w:rsid w:val="778B6B46"/>
    <w:rsid w:val="77A337B9"/>
    <w:rsid w:val="77B551B3"/>
    <w:rsid w:val="77B56730"/>
    <w:rsid w:val="77B92EBE"/>
    <w:rsid w:val="77C04A8B"/>
    <w:rsid w:val="77D85DB3"/>
    <w:rsid w:val="77EB1B74"/>
    <w:rsid w:val="782A3EA3"/>
    <w:rsid w:val="78490703"/>
    <w:rsid w:val="78A50513"/>
    <w:rsid w:val="78D37FAF"/>
    <w:rsid w:val="78EF7AB5"/>
    <w:rsid w:val="790D6849"/>
    <w:rsid w:val="795767E3"/>
    <w:rsid w:val="79586707"/>
    <w:rsid w:val="796518DD"/>
    <w:rsid w:val="79724BEF"/>
    <w:rsid w:val="797264AC"/>
    <w:rsid w:val="79AA0532"/>
    <w:rsid w:val="79FE1DDD"/>
    <w:rsid w:val="7A075767"/>
    <w:rsid w:val="7A0C15B3"/>
    <w:rsid w:val="7A212062"/>
    <w:rsid w:val="7A2522C9"/>
    <w:rsid w:val="7A282A11"/>
    <w:rsid w:val="7A3A59B8"/>
    <w:rsid w:val="7A4C5B5D"/>
    <w:rsid w:val="7A5D0F75"/>
    <w:rsid w:val="7A613D0E"/>
    <w:rsid w:val="7A715CD2"/>
    <w:rsid w:val="7A921E9A"/>
    <w:rsid w:val="7A9E53BF"/>
    <w:rsid w:val="7ABF2475"/>
    <w:rsid w:val="7AC21562"/>
    <w:rsid w:val="7AD474A4"/>
    <w:rsid w:val="7AFC38DE"/>
    <w:rsid w:val="7B303E8C"/>
    <w:rsid w:val="7B7D6B6D"/>
    <w:rsid w:val="7B865D50"/>
    <w:rsid w:val="7B8D34C3"/>
    <w:rsid w:val="7B971D84"/>
    <w:rsid w:val="7BA34145"/>
    <w:rsid w:val="7BAB0CB7"/>
    <w:rsid w:val="7BB4028F"/>
    <w:rsid w:val="7BF32F03"/>
    <w:rsid w:val="7BF50D2C"/>
    <w:rsid w:val="7C066F4E"/>
    <w:rsid w:val="7C1724A5"/>
    <w:rsid w:val="7CA54112"/>
    <w:rsid w:val="7CA553D9"/>
    <w:rsid w:val="7CAB27F5"/>
    <w:rsid w:val="7CAF438A"/>
    <w:rsid w:val="7CCE726D"/>
    <w:rsid w:val="7CD71EA3"/>
    <w:rsid w:val="7CE01E26"/>
    <w:rsid w:val="7CE41B04"/>
    <w:rsid w:val="7CE50CE4"/>
    <w:rsid w:val="7CE94EE1"/>
    <w:rsid w:val="7CF173EA"/>
    <w:rsid w:val="7CF877E9"/>
    <w:rsid w:val="7D134762"/>
    <w:rsid w:val="7D2E5ABF"/>
    <w:rsid w:val="7D4A45B8"/>
    <w:rsid w:val="7D535AC7"/>
    <w:rsid w:val="7E007625"/>
    <w:rsid w:val="7E0737C8"/>
    <w:rsid w:val="7E131C51"/>
    <w:rsid w:val="7E176B90"/>
    <w:rsid w:val="7E2142A2"/>
    <w:rsid w:val="7E240411"/>
    <w:rsid w:val="7E48335A"/>
    <w:rsid w:val="7E797DE5"/>
    <w:rsid w:val="7E7B0BF2"/>
    <w:rsid w:val="7E7F4735"/>
    <w:rsid w:val="7E8D75B6"/>
    <w:rsid w:val="7E8E672B"/>
    <w:rsid w:val="7EA27DDF"/>
    <w:rsid w:val="7EED169F"/>
    <w:rsid w:val="7EF760EE"/>
    <w:rsid w:val="7F004F4B"/>
    <w:rsid w:val="7F2536B5"/>
    <w:rsid w:val="7F272E03"/>
    <w:rsid w:val="7F5A01CA"/>
    <w:rsid w:val="7F737DF6"/>
    <w:rsid w:val="7F75661B"/>
    <w:rsid w:val="7FC23E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link w:val="75"/>
    <w:qFormat/>
    <w:uiPriority w:val="9"/>
    <w:pPr>
      <w:keepNext/>
      <w:keepLines/>
      <w:spacing w:before="340" w:after="330" w:line="576" w:lineRule="auto"/>
      <w:outlineLvl w:val="0"/>
    </w:pPr>
    <w:rPr>
      <w:b/>
      <w:kern w:val="44"/>
      <w:sz w:val="44"/>
    </w:rPr>
  </w:style>
  <w:style w:type="paragraph" w:styleId="4">
    <w:name w:val="heading 2"/>
    <w:basedOn w:val="1"/>
    <w:next w:val="1"/>
    <w:link w:val="4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2"/>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4"/>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link w:val="74"/>
    <w:semiHidden/>
    <w:unhideWhenUsed/>
    <w:qFormat/>
    <w:uiPriority w:val="9"/>
    <w:pPr>
      <w:keepNext/>
      <w:keepLines/>
      <w:spacing w:before="280" w:after="290" w:line="372" w:lineRule="auto"/>
      <w:outlineLvl w:val="4"/>
    </w:pPr>
    <w:rPr>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8">
    <w:name w:val="toc 7"/>
    <w:basedOn w:val="1"/>
    <w:next w:val="1"/>
    <w:unhideWhenUsed/>
    <w:qFormat/>
    <w:uiPriority w:val="39"/>
    <w:pPr>
      <w:widowControl w:val="0"/>
      <w:adjustRightInd/>
      <w:snapToGrid/>
      <w:spacing w:line="240" w:lineRule="auto"/>
      <w:ind w:left="2520" w:leftChars="1200"/>
      <w:jc w:val="both"/>
    </w:pPr>
    <w:rPr>
      <w:rFonts w:asciiTheme="minorHAnsi" w:hAnsiTheme="minorHAnsi" w:eastAsiaTheme="minorEastAsia"/>
      <w:kern w:val="2"/>
    </w:rPr>
  </w:style>
  <w:style w:type="paragraph" w:styleId="9">
    <w:name w:val="Normal Indent"/>
    <w:basedOn w:val="1"/>
    <w:unhideWhenUsed/>
    <w:qFormat/>
    <w:uiPriority w:val="0"/>
    <w:pPr>
      <w:ind w:firstLine="420" w:firstLineChars="200"/>
    </w:pPr>
  </w:style>
  <w:style w:type="paragraph" w:styleId="10">
    <w:name w:val="annotation text"/>
    <w:basedOn w:val="1"/>
    <w:link w:val="63"/>
    <w:unhideWhenUsed/>
    <w:qFormat/>
    <w:uiPriority w:val="99"/>
  </w:style>
  <w:style w:type="paragraph" w:styleId="11">
    <w:name w:val="Body Text"/>
    <w:basedOn w:val="1"/>
    <w:next w:val="12"/>
    <w:link w:val="66"/>
    <w:qFormat/>
    <w:uiPriority w:val="1"/>
    <w:pPr>
      <w:spacing w:before="161"/>
      <w:ind w:left="120"/>
    </w:pPr>
    <w:rPr>
      <w:rFonts w:ascii="宋体" w:hAnsi="宋体" w:cs="宋体"/>
      <w:sz w:val="24"/>
      <w:lang w:val="zh-CN" w:bidi="zh-CN"/>
    </w:rPr>
  </w:style>
  <w:style w:type="paragraph" w:styleId="12">
    <w:name w:val="Body Text Indent"/>
    <w:basedOn w:val="1"/>
    <w:next w:val="13"/>
    <w:qFormat/>
    <w:uiPriority w:val="0"/>
    <w:pPr>
      <w:ind w:left="359" w:leftChars="171" w:firstLine="179" w:firstLineChars="85"/>
    </w:pPr>
    <w:rPr>
      <w:rFonts w:ascii="宋体" w:hAnsi="宋体"/>
      <w:b/>
      <w:bCs/>
      <w:szCs w:val="26"/>
    </w:rPr>
  </w:style>
  <w:style w:type="paragraph" w:styleId="13">
    <w:name w:val="envelope return"/>
    <w:basedOn w:val="1"/>
    <w:qFormat/>
    <w:uiPriority w:val="0"/>
  </w:style>
  <w:style w:type="paragraph" w:styleId="14">
    <w:name w:val="toc 5"/>
    <w:basedOn w:val="1"/>
    <w:next w:val="1"/>
    <w:unhideWhenUsed/>
    <w:qFormat/>
    <w:uiPriority w:val="39"/>
    <w:pPr>
      <w:widowControl w:val="0"/>
      <w:adjustRightInd/>
      <w:snapToGrid/>
      <w:spacing w:line="240" w:lineRule="auto"/>
      <w:ind w:left="1680" w:leftChars="800"/>
      <w:jc w:val="both"/>
    </w:pPr>
    <w:rPr>
      <w:rFonts w:asciiTheme="minorHAnsi" w:hAnsiTheme="minorHAnsi" w:eastAsiaTheme="minorEastAsia"/>
      <w:kern w:val="2"/>
    </w:rPr>
  </w:style>
  <w:style w:type="paragraph" w:styleId="15">
    <w:name w:val="toc 3"/>
    <w:basedOn w:val="1"/>
    <w:next w:val="1"/>
    <w:unhideWhenUsed/>
    <w:qFormat/>
    <w:uiPriority w:val="39"/>
    <w:pPr>
      <w:tabs>
        <w:tab w:val="right" w:leader="dot" w:pos="8296"/>
      </w:tabs>
      <w:ind w:left="838" w:leftChars="381"/>
    </w:pPr>
    <w:rPr>
      <w:szCs w:val="21"/>
    </w:rPr>
  </w:style>
  <w:style w:type="paragraph" w:styleId="16">
    <w:name w:val="Plain Text"/>
    <w:basedOn w:val="1"/>
    <w:link w:val="55"/>
    <w:qFormat/>
    <w:uiPriority w:val="0"/>
    <w:pPr>
      <w:widowControl w:val="0"/>
      <w:adjustRightInd/>
      <w:snapToGrid/>
      <w:jc w:val="both"/>
    </w:pPr>
    <w:rPr>
      <w:rFonts w:ascii="宋体" w:hAnsi="Courier New" w:cs="Times New Roman"/>
      <w:b/>
      <w:kern w:val="2"/>
      <w:szCs w:val="20"/>
    </w:rPr>
  </w:style>
  <w:style w:type="paragraph" w:styleId="17">
    <w:name w:val="toc 8"/>
    <w:basedOn w:val="1"/>
    <w:next w:val="1"/>
    <w:unhideWhenUsed/>
    <w:qFormat/>
    <w:uiPriority w:val="39"/>
    <w:pPr>
      <w:widowControl w:val="0"/>
      <w:adjustRightInd/>
      <w:snapToGrid/>
      <w:spacing w:line="240" w:lineRule="auto"/>
      <w:ind w:left="2940" w:leftChars="1400"/>
      <w:jc w:val="both"/>
    </w:pPr>
    <w:rPr>
      <w:rFonts w:asciiTheme="minorHAnsi" w:hAnsiTheme="minorHAnsi" w:eastAsiaTheme="minorEastAsia"/>
      <w:kern w:val="2"/>
    </w:rPr>
  </w:style>
  <w:style w:type="paragraph" w:styleId="18">
    <w:name w:val="Balloon Text"/>
    <w:basedOn w:val="1"/>
    <w:link w:val="58"/>
    <w:semiHidden/>
    <w:unhideWhenUsed/>
    <w:qFormat/>
    <w:uiPriority w:val="99"/>
    <w:rPr>
      <w:sz w:val="18"/>
      <w:szCs w:val="18"/>
    </w:rPr>
  </w:style>
  <w:style w:type="paragraph" w:styleId="19">
    <w:name w:val="footer"/>
    <w:basedOn w:val="1"/>
    <w:link w:val="57"/>
    <w:unhideWhenUsed/>
    <w:qFormat/>
    <w:uiPriority w:val="99"/>
    <w:pPr>
      <w:tabs>
        <w:tab w:val="center" w:pos="4153"/>
        <w:tab w:val="right" w:pos="8306"/>
      </w:tabs>
    </w:pPr>
    <w:rPr>
      <w:sz w:val="18"/>
      <w:szCs w:val="18"/>
    </w:rPr>
  </w:style>
  <w:style w:type="paragraph" w:styleId="20">
    <w:name w:val="header"/>
    <w:basedOn w:val="1"/>
    <w:link w:val="56"/>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tabs>
        <w:tab w:val="right" w:leader="dot" w:pos="8296"/>
      </w:tabs>
      <w:spacing w:after="120"/>
      <w:ind w:left="1320" w:leftChars="600"/>
    </w:pPr>
  </w:style>
  <w:style w:type="paragraph" w:styleId="23">
    <w:name w:val="footnote text"/>
    <w:basedOn w:val="1"/>
    <w:semiHidden/>
    <w:unhideWhenUsed/>
    <w:qFormat/>
    <w:uiPriority w:val="99"/>
    <w:rPr>
      <w:sz w:val="18"/>
    </w:rPr>
  </w:style>
  <w:style w:type="paragraph" w:styleId="24">
    <w:name w:val="toc 6"/>
    <w:basedOn w:val="1"/>
    <w:next w:val="1"/>
    <w:qFormat/>
    <w:uiPriority w:val="39"/>
    <w:pPr>
      <w:ind w:left="1200"/>
    </w:pPr>
    <w:rPr>
      <w:rFonts w:ascii="Calibri" w:cs="Calibri"/>
      <w:sz w:val="18"/>
      <w:szCs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toc 9"/>
    <w:basedOn w:val="1"/>
    <w:next w:val="1"/>
    <w:unhideWhenUsed/>
    <w:qFormat/>
    <w:uiPriority w:val="39"/>
    <w:pPr>
      <w:widowControl w:val="0"/>
      <w:adjustRightInd/>
      <w:snapToGrid/>
      <w:spacing w:line="240" w:lineRule="auto"/>
      <w:ind w:left="3360" w:leftChars="1600"/>
      <w:jc w:val="both"/>
    </w:pPr>
    <w:rPr>
      <w:rFonts w:asciiTheme="minorHAnsi" w:hAnsiTheme="minorHAnsi" w:eastAsiaTheme="minorEastAsia"/>
      <w:kern w:val="2"/>
    </w:rPr>
  </w:style>
  <w:style w:type="paragraph" w:styleId="27">
    <w:name w:val="Normal (Web)"/>
    <w:basedOn w:val="1"/>
    <w:link w:val="60"/>
    <w:qFormat/>
    <w:uiPriority w:val="99"/>
    <w:pPr>
      <w:widowControl w:val="0"/>
      <w:adjustRightInd/>
      <w:snapToGrid/>
      <w:jc w:val="both"/>
    </w:pPr>
    <w:rPr>
      <w:rFonts w:asciiTheme="minorHAnsi" w:hAnsiTheme="minorHAnsi"/>
      <w:kern w:val="2"/>
      <w:sz w:val="24"/>
      <w:szCs w:val="24"/>
    </w:rPr>
  </w:style>
  <w:style w:type="paragraph" w:styleId="28">
    <w:name w:val="index 1"/>
    <w:basedOn w:val="1"/>
    <w:next w:val="1"/>
    <w:unhideWhenUsed/>
    <w:qFormat/>
    <w:uiPriority w:val="0"/>
  </w:style>
  <w:style w:type="paragraph" w:styleId="29">
    <w:name w:val="annotation subject"/>
    <w:basedOn w:val="10"/>
    <w:next w:val="10"/>
    <w:link w:val="64"/>
    <w:semiHidden/>
    <w:unhideWhenUsed/>
    <w:qFormat/>
    <w:uiPriority w:val="99"/>
    <w:rPr>
      <w:b/>
      <w:bCs/>
    </w:rPr>
  </w:style>
  <w:style w:type="paragraph" w:styleId="30">
    <w:name w:val="Body Text First Indent"/>
    <w:basedOn w:val="11"/>
    <w:next w:val="31"/>
    <w:qFormat/>
    <w:uiPriority w:val="0"/>
    <w:pPr>
      <w:spacing w:after="120"/>
      <w:ind w:firstLine="420" w:firstLineChars="100"/>
    </w:pPr>
    <w:rPr>
      <w:bCs/>
      <w:szCs w:val="21"/>
    </w:rPr>
  </w:style>
  <w:style w:type="paragraph" w:customStyle="1" w:styleId="31">
    <w:name w:val="样式 正文首行缩进 + 首行缩进:  1 字符"/>
    <w:basedOn w:val="1"/>
    <w:next w:val="1"/>
    <w:qFormat/>
    <w:uiPriority w:val="0"/>
    <w:pPr>
      <w:ind w:firstLine="200" w:firstLineChars="200"/>
    </w:pPr>
    <w:rPr>
      <w:rFonts w:cs="宋体"/>
      <w:szCs w:val="20"/>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Emphasis"/>
    <w:basedOn w:val="34"/>
    <w:qFormat/>
    <w:uiPriority w:val="20"/>
    <w:rPr>
      <w:i/>
      <w:iCs/>
    </w:rPr>
  </w:style>
  <w:style w:type="character" w:styleId="37">
    <w:name w:val="Hyperlink"/>
    <w:qFormat/>
    <w:uiPriority w:val="99"/>
    <w:rPr>
      <w:rFonts w:hint="eastAsia" w:ascii="宋体" w:hAnsi="宋体" w:eastAsia="宋体" w:cs="宋体"/>
      <w:b/>
      <w:color w:val="0031C1"/>
      <w:kern w:val="0"/>
      <w:sz w:val="18"/>
      <w:szCs w:val="18"/>
      <w:u w:val="none"/>
      <w:lang w:eastAsia="en-US"/>
    </w:rPr>
  </w:style>
  <w:style w:type="character" w:styleId="38">
    <w:name w:val="annotation reference"/>
    <w:basedOn w:val="34"/>
    <w:unhideWhenUsed/>
    <w:qFormat/>
    <w:uiPriority w:val="0"/>
    <w:rPr>
      <w:sz w:val="21"/>
      <w:szCs w:val="21"/>
    </w:rPr>
  </w:style>
  <w:style w:type="character" w:styleId="39">
    <w:name w:val="footnote reference"/>
    <w:basedOn w:val="34"/>
    <w:semiHidden/>
    <w:unhideWhenUsed/>
    <w:qFormat/>
    <w:uiPriority w:val="99"/>
    <w:rPr>
      <w:vertAlign w:val="superscript"/>
    </w:rPr>
  </w:style>
  <w:style w:type="paragraph" w:customStyle="1" w:styleId="40">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character" w:customStyle="1" w:styleId="41">
    <w:name w:val="标题 2 Char"/>
    <w:basedOn w:val="34"/>
    <w:link w:val="4"/>
    <w:qFormat/>
    <w:uiPriority w:val="9"/>
    <w:rPr>
      <w:rFonts w:asciiTheme="majorHAnsi" w:hAnsiTheme="majorHAnsi" w:eastAsiaTheme="majorEastAsia" w:cstheme="majorBidi"/>
      <w:b/>
      <w:bCs/>
      <w:sz w:val="32"/>
      <w:szCs w:val="32"/>
    </w:rPr>
  </w:style>
  <w:style w:type="character" w:customStyle="1" w:styleId="42">
    <w:name w:val="标题 3 Char"/>
    <w:basedOn w:val="34"/>
    <w:link w:val="5"/>
    <w:qFormat/>
    <w:uiPriority w:val="9"/>
    <w:rPr>
      <w:rFonts w:ascii="Tahoma" w:hAnsi="Tahoma"/>
      <w:b/>
      <w:bCs/>
      <w:sz w:val="32"/>
      <w:szCs w:val="32"/>
    </w:rPr>
  </w:style>
  <w:style w:type="paragraph" w:styleId="43">
    <w:name w:val="List Paragraph"/>
    <w:basedOn w:val="1"/>
    <w:link w:val="65"/>
    <w:qFormat/>
    <w:uiPriority w:val="0"/>
    <w:pPr>
      <w:ind w:firstLine="420" w:firstLineChars="200"/>
    </w:pPr>
  </w:style>
  <w:style w:type="character" w:customStyle="1" w:styleId="44">
    <w:name w:val="标题 4 Char"/>
    <w:basedOn w:val="34"/>
    <w:link w:val="6"/>
    <w:qFormat/>
    <w:uiPriority w:val="9"/>
    <w:rPr>
      <w:rFonts w:eastAsia="宋体" w:asciiTheme="majorHAnsi" w:hAnsiTheme="majorHAnsi" w:cstheme="majorBidi"/>
      <w:b/>
      <w:bCs/>
      <w:sz w:val="24"/>
      <w:szCs w:val="28"/>
    </w:rPr>
  </w:style>
  <w:style w:type="character" w:customStyle="1" w:styleId="45">
    <w:name w:val="正文缩进2格 Char"/>
    <w:link w:val="46"/>
    <w:qFormat/>
    <w:uiPriority w:val="0"/>
    <w:rPr>
      <w:rFonts w:ascii="仿宋_GB2312" w:hAnsi="宋体" w:eastAsia="仿宋_GB2312"/>
      <w:kern w:val="2"/>
      <w:sz w:val="31"/>
    </w:rPr>
  </w:style>
  <w:style w:type="paragraph" w:customStyle="1" w:styleId="46">
    <w:name w:val="正文缩进2格"/>
    <w:basedOn w:val="1"/>
    <w:link w:val="4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7">
    <w:name w:val="正文缩进4格"/>
    <w:basedOn w:val="46"/>
    <w:qFormat/>
    <w:uiPriority w:val="0"/>
    <w:pPr>
      <w:ind w:left="2" w:firstLine="538" w:firstLineChars="192"/>
    </w:pPr>
    <w:rPr>
      <w:color w:val="0000FF"/>
      <w:sz w:val="28"/>
    </w:rPr>
  </w:style>
  <w:style w:type="character" w:customStyle="1" w:styleId="4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50">
    <w:name w:val="标题1"/>
    <w:qFormat/>
    <w:uiPriority w:val="0"/>
    <w:rPr>
      <w:rFonts w:ascii="Times New Roman" w:hAnsi="Times New Roman" w:eastAsia="宋体" w:cs="Times New Roman"/>
      <w:b/>
      <w:kern w:val="0"/>
      <w:sz w:val="24"/>
      <w:szCs w:val="20"/>
      <w:lang w:eastAsia="en-US"/>
    </w:rPr>
  </w:style>
  <w:style w:type="character" w:customStyle="1" w:styleId="51">
    <w:name w:val="标题 3.1 Char"/>
    <w:link w:val="52"/>
    <w:qFormat/>
    <w:uiPriority w:val="0"/>
    <w:rPr>
      <w:rFonts w:ascii="宋体" w:hAnsi="宋体" w:eastAsia="宋体"/>
      <w:b/>
      <w:color w:val="FF0000"/>
      <w:kern w:val="2"/>
      <w:sz w:val="32"/>
    </w:rPr>
  </w:style>
  <w:style w:type="paragraph" w:customStyle="1" w:styleId="52">
    <w:name w:val="标题 3.1"/>
    <w:basedOn w:val="5"/>
    <w:link w:val="5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3">
    <w:name w:val="样式 楷体_GB2312 小四"/>
    <w:qFormat/>
    <w:uiPriority w:val="0"/>
    <w:rPr>
      <w:rFonts w:ascii="楷体_GB2312" w:hAnsi="楷体_GB2312" w:eastAsia="仿宋_GB2312"/>
      <w:sz w:val="24"/>
    </w:rPr>
  </w:style>
  <w:style w:type="character" w:customStyle="1" w:styleId="54">
    <w:name w:val="纯文本 Char"/>
    <w:qFormat/>
    <w:uiPriority w:val="0"/>
    <w:rPr>
      <w:rFonts w:ascii="宋体" w:hAnsi="Courier New" w:eastAsia="宋体" w:cs="Times New Roman"/>
      <w:b/>
      <w:kern w:val="2"/>
      <w:sz w:val="21"/>
      <w:szCs w:val="20"/>
    </w:rPr>
  </w:style>
  <w:style w:type="character" w:customStyle="1" w:styleId="55">
    <w:name w:val="纯文本 Char1"/>
    <w:basedOn w:val="34"/>
    <w:link w:val="16"/>
    <w:semiHidden/>
    <w:qFormat/>
    <w:uiPriority w:val="99"/>
    <w:rPr>
      <w:rFonts w:ascii="宋体" w:hAnsi="Courier New" w:eastAsia="宋体" w:cs="Courier New"/>
      <w:sz w:val="21"/>
      <w:szCs w:val="21"/>
    </w:rPr>
  </w:style>
  <w:style w:type="character" w:customStyle="1" w:styleId="56">
    <w:name w:val="页眉 Char"/>
    <w:basedOn w:val="34"/>
    <w:link w:val="20"/>
    <w:qFormat/>
    <w:uiPriority w:val="99"/>
    <w:rPr>
      <w:rFonts w:ascii="Tahoma" w:hAnsi="Tahoma"/>
      <w:sz w:val="18"/>
      <w:szCs w:val="18"/>
    </w:rPr>
  </w:style>
  <w:style w:type="character" w:customStyle="1" w:styleId="57">
    <w:name w:val="页脚 Char"/>
    <w:basedOn w:val="34"/>
    <w:link w:val="19"/>
    <w:qFormat/>
    <w:uiPriority w:val="99"/>
    <w:rPr>
      <w:rFonts w:ascii="Tahoma" w:hAnsi="Tahoma"/>
      <w:sz w:val="18"/>
      <w:szCs w:val="18"/>
    </w:rPr>
  </w:style>
  <w:style w:type="character" w:customStyle="1" w:styleId="58">
    <w:name w:val="批注框文本 Char"/>
    <w:basedOn w:val="34"/>
    <w:link w:val="18"/>
    <w:semiHidden/>
    <w:qFormat/>
    <w:uiPriority w:val="99"/>
    <w:rPr>
      <w:rFonts w:ascii="Tahoma" w:hAnsi="Tahoma"/>
      <w:sz w:val="18"/>
      <w:szCs w:val="18"/>
    </w:rPr>
  </w:style>
  <w:style w:type="paragraph" w:customStyle="1" w:styleId="5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60">
    <w:name w:val="普通(网站) Char"/>
    <w:link w:val="27"/>
    <w:qFormat/>
    <w:uiPriority w:val="0"/>
    <w:rPr>
      <w:rFonts w:eastAsia="宋体"/>
      <w:kern w:val="2"/>
      <w:sz w:val="24"/>
      <w:szCs w:val="24"/>
    </w:rPr>
  </w:style>
  <w:style w:type="paragraph" w:customStyle="1" w:styleId="6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62">
    <w:name w:val="p141"/>
    <w:qFormat/>
    <w:uiPriority w:val="0"/>
    <w:rPr>
      <w:sz w:val="21"/>
      <w:szCs w:val="21"/>
    </w:rPr>
  </w:style>
  <w:style w:type="character" w:customStyle="1" w:styleId="63">
    <w:name w:val="批注文字 Char"/>
    <w:basedOn w:val="34"/>
    <w:link w:val="10"/>
    <w:qFormat/>
    <w:uiPriority w:val="99"/>
    <w:rPr>
      <w:rFonts w:ascii="Tahoma" w:hAnsi="Tahoma" w:eastAsia="微软雅黑" w:cstheme="minorBidi"/>
      <w:sz w:val="22"/>
      <w:szCs w:val="22"/>
    </w:rPr>
  </w:style>
  <w:style w:type="character" w:customStyle="1" w:styleId="64">
    <w:name w:val="批注主题 Char"/>
    <w:basedOn w:val="63"/>
    <w:link w:val="29"/>
    <w:semiHidden/>
    <w:qFormat/>
    <w:uiPriority w:val="99"/>
    <w:rPr>
      <w:rFonts w:ascii="Tahoma" w:hAnsi="Tahoma" w:eastAsia="微软雅黑" w:cstheme="minorBidi"/>
      <w:b/>
      <w:bCs/>
      <w:sz w:val="22"/>
      <w:szCs w:val="22"/>
    </w:rPr>
  </w:style>
  <w:style w:type="character" w:customStyle="1" w:styleId="65">
    <w:name w:val="列出段落 Char"/>
    <w:link w:val="43"/>
    <w:qFormat/>
    <w:uiPriority w:val="0"/>
    <w:rPr>
      <w:rFonts w:ascii="Tahoma" w:hAnsi="Tahoma" w:eastAsia="微软雅黑" w:cstheme="minorBidi"/>
      <w:sz w:val="22"/>
      <w:szCs w:val="22"/>
    </w:rPr>
  </w:style>
  <w:style w:type="character" w:customStyle="1" w:styleId="66">
    <w:name w:val="正文文本 Char"/>
    <w:basedOn w:val="34"/>
    <w:link w:val="11"/>
    <w:qFormat/>
    <w:uiPriority w:val="1"/>
    <w:rPr>
      <w:rFonts w:ascii="宋体" w:hAnsi="宋体" w:cs="宋体"/>
      <w:sz w:val="24"/>
      <w:szCs w:val="22"/>
      <w:lang w:val="zh-CN" w:bidi="zh-CN"/>
    </w:rPr>
  </w:style>
  <w:style w:type="paragraph" w:customStyle="1" w:styleId="6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
    <w:name w:val="_Style 1"/>
    <w:basedOn w:val="1"/>
    <w:qFormat/>
    <w:uiPriority w:val="0"/>
    <w:pPr>
      <w:ind w:firstLine="420" w:firstLineChars="200"/>
    </w:pPr>
  </w:style>
  <w:style w:type="paragraph" w:customStyle="1" w:styleId="69">
    <w:name w:val="列出段落2"/>
    <w:basedOn w:val="1"/>
    <w:qFormat/>
    <w:uiPriority w:val="0"/>
    <w:pPr>
      <w:ind w:firstLine="420" w:firstLineChars="200"/>
    </w:pPr>
  </w:style>
  <w:style w:type="paragraph" w:customStyle="1" w:styleId="70">
    <w:name w:val="p0"/>
    <w:basedOn w:val="1"/>
    <w:qFormat/>
    <w:uiPriority w:val="0"/>
    <w:rPr>
      <w:szCs w:val="21"/>
    </w:rPr>
  </w:style>
  <w:style w:type="paragraph" w:customStyle="1" w:styleId="71">
    <w:name w:val="正文文本缩进 21"/>
    <w:basedOn w:val="1"/>
    <w:qFormat/>
    <w:uiPriority w:val="0"/>
    <w:pPr>
      <w:spacing w:line="480" w:lineRule="auto"/>
      <w:ind w:firstLine="540"/>
    </w:pPr>
    <w:rPr>
      <w:rFonts w:ascii="Calibri" w:hAnsi="Calibri"/>
      <w:sz w:val="20"/>
      <w:szCs w:val="20"/>
    </w:rPr>
  </w:style>
  <w:style w:type="paragraph" w:customStyle="1" w:styleId="72">
    <w:name w:val="_Style 2"/>
    <w:basedOn w:val="1"/>
    <w:qFormat/>
    <w:uiPriority w:val="0"/>
    <w:pPr>
      <w:ind w:firstLine="420" w:firstLineChars="200"/>
    </w:pPr>
  </w:style>
  <w:style w:type="paragraph" w:customStyle="1" w:styleId="73">
    <w:name w:val="msolistparagraph"/>
    <w:basedOn w:val="1"/>
    <w:qFormat/>
    <w:uiPriority w:val="0"/>
    <w:pPr>
      <w:ind w:firstLine="420" w:firstLineChars="200"/>
    </w:pPr>
    <w:rPr>
      <w:rFonts w:hint="eastAsia" w:hAnsi="宋体"/>
    </w:rPr>
  </w:style>
  <w:style w:type="character" w:customStyle="1" w:styleId="74">
    <w:name w:val="标题 5 Char"/>
    <w:link w:val="7"/>
    <w:qFormat/>
    <w:uiPriority w:val="0"/>
    <w:rPr>
      <w:b/>
      <w:sz w:val="28"/>
    </w:rPr>
  </w:style>
  <w:style w:type="character" w:customStyle="1" w:styleId="75">
    <w:name w:val="标题 1 Char"/>
    <w:link w:val="3"/>
    <w:qFormat/>
    <w:uiPriority w:val="9"/>
    <w:rPr>
      <w:b/>
      <w:kern w:val="44"/>
      <w:sz w:val="44"/>
    </w:rPr>
  </w:style>
  <w:style w:type="paragraph" w:customStyle="1" w:styleId="76">
    <w:name w:val="修订1"/>
    <w:hidden/>
    <w:semiHidden/>
    <w:qFormat/>
    <w:uiPriority w:val="99"/>
    <w:rPr>
      <w:rFonts w:ascii="Tahoma" w:hAnsi="Tahoma" w:eastAsia="宋体" w:cstheme="minorBidi"/>
      <w:sz w:val="21"/>
      <w:szCs w:val="22"/>
      <w:lang w:val="en-US" w:eastAsia="zh-CN" w:bidi="ar-SA"/>
    </w:rPr>
  </w:style>
  <w:style w:type="paragraph" w:customStyle="1" w:styleId="77">
    <w:name w:val="表格文字"/>
    <w:basedOn w:val="1"/>
    <w:qFormat/>
    <w:uiPriority w:val="0"/>
    <w:pPr>
      <w:adjustRightInd/>
      <w:spacing w:before="25" w:after="25"/>
    </w:pPr>
    <w:rPr>
      <w:rFonts w:ascii="Times New Roman"/>
      <w:bCs/>
      <w:spacing w:val="10"/>
      <w:szCs w:val="20"/>
    </w:rPr>
  </w:style>
  <w:style w:type="paragraph" w:customStyle="1" w:styleId="78">
    <w:name w:val="纯文本1"/>
    <w:basedOn w:val="79"/>
    <w:qFormat/>
    <w:uiPriority w:val="0"/>
    <w:rPr>
      <w:rFonts w:ascii="宋体" w:hAnsi="Courier New"/>
      <w:szCs w:val="20"/>
    </w:rPr>
  </w:style>
  <w:style w:type="paragraph" w:customStyle="1" w:styleId="79">
    <w:name w:val="正文 New"/>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80">
    <w:name w:val="正文2"/>
    <w:qFormat/>
    <w:uiPriority w:val="0"/>
    <w:pPr>
      <w:jc w:val="both"/>
    </w:pPr>
    <w:rPr>
      <w:rFonts w:ascii="Times New Roman" w:hAnsi="Times New Roman" w:eastAsia="宋体" w:cs="Times New Roman"/>
      <w:kern w:val="2"/>
      <w:sz w:val="21"/>
      <w:szCs w:val="21"/>
      <w:lang w:val="en-US" w:eastAsia="zh-CN" w:bidi="ar-SA"/>
    </w:rPr>
  </w:style>
  <w:style w:type="table" w:customStyle="1" w:styleId="81">
    <w:name w:val="Table Normal"/>
    <w:semiHidden/>
    <w:unhideWhenUsed/>
    <w:qFormat/>
    <w:uiPriority w:val="2"/>
    <w:tblPr>
      <w:tblCellMar>
        <w:top w:w="0" w:type="dxa"/>
        <w:left w:w="0" w:type="dxa"/>
        <w:bottom w:w="0" w:type="dxa"/>
        <w:right w:w="0" w:type="dxa"/>
      </w:tblCellMar>
    </w:tblPr>
  </w:style>
  <w:style w:type="paragraph" w:customStyle="1" w:styleId="82">
    <w:name w:val="Table Paragraph"/>
    <w:basedOn w:val="1"/>
    <w:qFormat/>
    <w:uiPriority w:val="1"/>
  </w:style>
  <w:style w:type="paragraph" w:customStyle="1" w:styleId="83">
    <w:name w:val="正文文本缩进1"/>
    <w:basedOn w:val="79"/>
    <w:qFormat/>
    <w:uiPriority w:val="0"/>
    <w:pPr>
      <w:spacing w:after="120"/>
      <w:ind w:left="420" w:leftChars="200"/>
    </w:pPr>
  </w:style>
  <w:style w:type="paragraph" w:customStyle="1" w:styleId="84">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5">
    <w:name w:val="纯文本2"/>
    <w:basedOn w:val="79"/>
    <w:qFormat/>
    <w:uiPriority w:val="0"/>
    <w:rPr>
      <w:rFonts w:ascii="宋体" w:hAnsi="Courier New"/>
      <w:szCs w:val="20"/>
    </w:rPr>
  </w:style>
  <w:style w:type="character" w:customStyle="1" w:styleId="86">
    <w:name w:val="font141"/>
    <w:qFormat/>
    <w:uiPriority w:val="0"/>
    <w:rPr>
      <w:rFonts w:hint="default" w:ascii="Times New Roman" w:hAnsi="Times New Roman" w:cs="Times New Roman"/>
      <w:color w:val="000000"/>
      <w:sz w:val="18"/>
      <w:szCs w:val="18"/>
      <w:u w:val="none"/>
    </w:rPr>
  </w:style>
  <w:style w:type="character" w:customStyle="1" w:styleId="87">
    <w:name w:val="font71"/>
    <w:qFormat/>
    <w:uiPriority w:val="0"/>
    <w:rPr>
      <w:rFonts w:hint="eastAsia" w:ascii="宋体" w:hAnsi="宋体" w:eastAsia="宋体" w:cs="宋体"/>
      <w:color w:val="000000"/>
      <w:sz w:val="18"/>
      <w:szCs w:val="18"/>
      <w:u w:val="none"/>
    </w:rPr>
  </w:style>
  <w:style w:type="paragraph" w:customStyle="1" w:styleId="88">
    <w:name w:val="标题1LZG"/>
    <w:basedOn w:val="1"/>
    <w:qFormat/>
    <w:uiPriority w:val="0"/>
    <w:rPr>
      <w:sz w:val="20"/>
      <w:szCs w:val="20"/>
    </w:rPr>
  </w:style>
  <w:style w:type="paragraph" w:customStyle="1" w:styleId="89">
    <w:name w:val="样式 行距: 固定值 20 磅"/>
    <w:basedOn w:val="1"/>
    <w:unhideWhenUsed/>
    <w:qFormat/>
    <w:uiPriority w:val="0"/>
    <w:pPr>
      <w:numPr>
        <w:ilvl w:val="0"/>
        <w:numId w:val="1"/>
      </w:numPr>
      <w:tabs>
        <w:tab w:val="left" w:pos="482"/>
      </w:tabs>
      <w:spacing w:line="400" w:lineRule="exact"/>
    </w:pPr>
    <w:rPr>
      <w:rFonts w:cs="宋体"/>
      <w:szCs w:val="20"/>
    </w:rPr>
  </w:style>
  <w:style w:type="paragraph" w:customStyle="1" w:styleId="90">
    <w:name w:val="through-content"/>
    <w:basedOn w:val="1"/>
    <w:qFormat/>
    <w:uiPriority w:val="0"/>
    <w:pPr>
      <w:adjustRightInd/>
      <w:snapToGrid/>
      <w:spacing w:before="100" w:beforeAutospacing="1" w:after="100" w:afterAutospacing="1" w:line="240" w:lineRule="auto"/>
    </w:pPr>
    <w:rPr>
      <w:rFonts w:ascii="宋体" w:hAnsi="宋体" w:cs="宋体"/>
      <w:sz w:val="24"/>
      <w:szCs w:val="24"/>
    </w:rPr>
  </w:style>
  <w:style w:type="character" w:customStyle="1" w:styleId="91">
    <w:name w:val="content"/>
    <w:basedOn w:val="34"/>
    <w:qFormat/>
    <w:uiPriority w:val="0"/>
  </w:style>
  <w:style w:type="character" w:customStyle="1" w:styleId="92">
    <w:name w:val="Unresolved Mention"/>
    <w:basedOn w:val="3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B9E5BF-DAF0-4407-8BB7-823F2C8E940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41539</Words>
  <Characters>43571</Characters>
  <Lines>85</Lines>
  <Paragraphs>90</Paragraphs>
  <TotalTime>3</TotalTime>
  <ScaleCrop>false</ScaleCrop>
  <LinksUpToDate>false</LinksUpToDate>
  <CharactersWithSpaces>45137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2023-01-30T04:24:00Z</dcterms:created>
  <dc:creator>MyPC</dc:creator>
  <cp:lastModifiedBy>admin</cp:lastModifiedBy>
  <cp:lastPrinted>2022-12-01T06:09:00Z</cp:lastPrinted>
  <dcterms:modified xsi:type="dcterms:W3CDTF">2023-10-26T03:36:03Z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83C7DCF5CAAF43D6BEF16AFD46FADE1D_13</vt:lpwstr>
  </property>
</Properties>
</file>