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rFonts w:ascii="黑体" w:hAnsi="黑体" w:eastAsia="黑体" w:cs="黑体"/>
          <w:bCs/>
          <w:color w:val="auto"/>
          <w:spacing w:val="57"/>
          <w:sz w:val="72"/>
          <w:szCs w:val="72"/>
          <w:highlight w:val="none"/>
        </w:rPr>
      </w:pPr>
      <w:r>
        <w:rPr>
          <w:rFonts w:hint="eastAsia" w:ascii="黑体" w:hAnsi="黑体" w:eastAsia="黑体" w:cs="黑体"/>
          <w:bCs/>
          <w:color w:val="auto"/>
          <w:spacing w:val="57"/>
          <w:sz w:val="72"/>
          <w:szCs w:val="72"/>
          <w:highlight w:val="none"/>
        </w:rPr>
        <w:t>竞争性磋商文件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7"/>
        <w:jc w:val="center"/>
        <w:rPr>
          <w:rFonts w:ascii="黑体" w:eastAsia="黑体"/>
          <w:color w:val="auto"/>
          <w:szCs w:val="21"/>
          <w:highlight w:val="none"/>
        </w:rPr>
      </w:pPr>
      <w:r>
        <w:rPr>
          <w:rFonts w:hint="eastAsia" w:ascii="黑体" w:eastAsia="黑体"/>
          <w:color w:val="auto"/>
          <w:szCs w:val="21"/>
          <w:highlight w:val="none"/>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ind w:firstLine="240"/>
        <w:rPr>
          <w:rFonts w:ascii="黑体" w:eastAsia="黑体"/>
          <w:color w:val="auto"/>
          <w:szCs w:val="21"/>
          <w:highlight w:val="none"/>
        </w:rPr>
      </w:pPr>
    </w:p>
    <w:p>
      <w:pPr>
        <w:pStyle w:val="8"/>
        <w:ind w:left="0" w:firstLine="0" w:firstLineChars="0"/>
        <w:rPr>
          <w:rFonts w:ascii="黑体" w:eastAsia="黑体"/>
          <w:color w:val="auto"/>
          <w:szCs w:val="21"/>
          <w:highlight w:val="none"/>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GDZT2023155C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横沥镇“慧眼”图像智能应用系统算力建设服务项目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东莞市公安局横沥分局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0"/>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磋商文件而决定不参加本项目的供应商，在响应文件递交截止时间的2日前，按《磋商邀请函》中的联系方式，以书面形式告知采购代理机构。对您的支持与配合，谨此致谢。</w:t>
      </w:r>
    </w:p>
    <w:p>
      <w:pPr>
        <w:pStyle w:val="33"/>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0"/>
        <w:ind w:left="0" w:leftChars="0"/>
        <w:rPr>
          <w:color w:val="auto"/>
          <w:sz w:val="40"/>
          <w:szCs w:val="40"/>
          <w:highlight w:val="none"/>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color w:val="auto"/>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0"/>
        <w:ind w:left="0" w:leftChars="0"/>
        <w:rPr>
          <w:color w:val="auto"/>
          <w:sz w:val="40"/>
          <w:szCs w:val="40"/>
          <w:highlight w:val="none"/>
        </w:rPr>
      </w:pPr>
      <w:r>
        <w:rPr>
          <w:rFonts w:hint="eastAsia"/>
          <w:color w:val="auto"/>
          <w:sz w:val="40"/>
          <w:szCs w:val="40"/>
          <w:highlight w:val="none"/>
        </w:rPr>
        <w:t>目录</w:t>
      </w:r>
    </w:p>
    <w:p>
      <w:pPr>
        <w:pStyle w:val="20"/>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"_Toc14033" </w:instrText>
      </w:r>
      <w:r>
        <w:rPr>
          <w:color w:val="auto"/>
          <w:highlight w:val="none"/>
        </w:rPr>
        <w:fldChar w:fldCharType="separate"/>
      </w:r>
      <w:r>
        <w:rPr>
          <w:rFonts w:hint="eastAsia" w:cs="宋体"/>
          <w:color w:val="auto"/>
          <w:sz w:val="21"/>
          <w:szCs w:val="21"/>
          <w:highlight w:val="none"/>
        </w:rPr>
        <w:t>第一部分 磋商邀请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_Toc14033 \h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"_Toc7988" </w:instrText>
      </w:r>
      <w:r>
        <w:rPr>
          <w:color w:val="auto"/>
          <w:highlight w:val="none"/>
        </w:rPr>
        <w:fldChar w:fldCharType="separate"/>
      </w:r>
      <w:r>
        <w:rPr>
          <w:rFonts w:hint="eastAsia" w:ascii="宋体" w:hAnsi="宋体" w:cs="宋体"/>
          <w:color w:val="auto"/>
          <w:highlight w:val="none"/>
        </w:rPr>
        <w:t>磋商邀请书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_Toc7988 \h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"_Toc31060" </w:instrText>
      </w:r>
      <w:r>
        <w:rPr>
          <w:color w:val="auto"/>
          <w:highlight w:val="none"/>
        </w:rPr>
        <w:fldChar w:fldCharType="separate"/>
      </w:r>
      <w:r>
        <w:rPr>
          <w:rFonts w:hint="eastAsia" w:cs="宋体"/>
          <w:color w:val="auto"/>
          <w:sz w:val="21"/>
          <w:szCs w:val="21"/>
          <w:highlight w:val="none"/>
        </w:rPr>
        <w:t>第二部分 磋商资料表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_Toc31060 \h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"_Toc4043"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_Toc4043 \h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"_Toc462"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_Toc462 \h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"_Toc24511" </w:instrText>
      </w:r>
      <w:r>
        <w:rPr>
          <w:color w:val="auto"/>
          <w:highlight w:val="none"/>
        </w:rPr>
        <w:fldChar w:fldCharType="separate"/>
      </w:r>
      <w:r>
        <w:rPr>
          <w:rFonts w:hint="eastAsia" w:cs="宋体"/>
          <w:color w:val="auto"/>
          <w:sz w:val="21"/>
          <w:szCs w:val="21"/>
          <w:highlight w:val="none"/>
        </w:rPr>
        <w:t>第四部分 供应商须知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_Toc24511 \h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"_Toc28014" </w:instrText>
      </w:r>
      <w:r>
        <w:rPr>
          <w:color w:val="auto"/>
          <w:highlight w:val="none"/>
        </w:rPr>
        <w:fldChar w:fldCharType="separate"/>
      </w:r>
      <w:r>
        <w:rPr>
          <w:rFonts w:hint="eastAsia" w:cs="宋体"/>
          <w:color w:val="auto"/>
          <w:sz w:val="21"/>
          <w:szCs w:val="21"/>
          <w:highlight w:val="none"/>
        </w:rPr>
        <w:t>第一章说  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_Toc28014 \h </w:instrText>
      </w:r>
      <w:r>
        <w:rPr>
          <w:rFonts w:hint="eastAsia" w:cs="宋体"/>
          <w:color w:val="auto"/>
          <w:sz w:val="21"/>
          <w:szCs w:val="21"/>
          <w:highlight w:val="none"/>
        </w:rPr>
        <w:fldChar w:fldCharType="separate"/>
      </w:r>
      <w:r>
        <w:rPr>
          <w:rFonts w:hint="eastAsia" w:cs="宋体"/>
          <w:color w:val="auto"/>
          <w:sz w:val="21"/>
          <w:szCs w:val="21"/>
          <w:highlight w:val="none"/>
        </w:rPr>
        <w:t>13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"_Toc17291" </w:instrText>
      </w:r>
      <w:r>
        <w:rPr>
          <w:color w:val="auto"/>
          <w:highlight w:val="none"/>
        </w:rPr>
        <w:fldChar w:fldCharType="separate"/>
      </w:r>
      <w:r>
        <w:rPr>
          <w:rFonts w:hint="eastAsia" w:ascii="宋体" w:hAnsi="宋体" w:cs="宋体"/>
          <w:color w:val="auto"/>
          <w:highlight w:val="none"/>
        </w:rPr>
        <w:t>1. 适用范围</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_Toc17291 \h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"_Toc8868" </w:instrText>
      </w:r>
      <w:r>
        <w:rPr>
          <w:color w:val="auto"/>
          <w:highlight w:val="none"/>
        </w:rPr>
        <w:fldChar w:fldCharType="separate"/>
      </w:r>
      <w:r>
        <w:rPr>
          <w:rFonts w:hint="eastAsia" w:ascii="宋体" w:hAnsi="宋体" w:cs="宋体"/>
          <w:color w:val="auto"/>
          <w:highlight w:val="none"/>
        </w:rPr>
        <w:t>2. 定义</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_Toc8868 \h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"_Toc1083" </w:instrText>
      </w:r>
      <w:r>
        <w:rPr>
          <w:color w:val="auto"/>
          <w:highlight w:val="none"/>
        </w:rPr>
        <w:fldChar w:fldCharType="separate"/>
      </w:r>
      <w:r>
        <w:rPr>
          <w:rFonts w:hint="eastAsia" w:ascii="宋体" w:hAnsi="宋体" w:cs="宋体"/>
          <w:color w:val="auto"/>
          <w:highlight w:val="none"/>
        </w:rPr>
        <w:t>3. 适用法律</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_Toc1083 \h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"_Toc18833" </w:instrText>
      </w:r>
      <w:r>
        <w:rPr>
          <w:color w:val="auto"/>
          <w:highlight w:val="none"/>
        </w:rPr>
        <w:fldChar w:fldCharType="separate"/>
      </w:r>
      <w:r>
        <w:rPr>
          <w:rFonts w:hint="eastAsia" w:ascii="宋体" w:hAnsi="宋体" w:cs="宋体"/>
          <w:color w:val="auto"/>
          <w:highlight w:val="none"/>
        </w:rPr>
        <w:t>4. 知识产权</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_Toc18833 \h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"_Toc5242" </w:instrText>
      </w:r>
      <w:r>
        <w:rPr>
          <w:color w:val="auto"/>
          <w:highlight w:val="none"/>
        </w:rPr>
        <w:fldChar w:fldCharType="separate"/>
      </w:r>
      <w:r>
        <w:rPr>
          <w:rFonts w:hint="eastAsia" w:ascii="宋体" w:hAnsi="宋体" w:cs="宋体"/>
          <w:color w:val="auto"/>
          <w:highlight w:val="none"/>
        </w:rPr>
        <w:t>5. 关于联合体报价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_Toc5242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"_Toc25157" </w:instrText>
      </w:r>
      <w:r>
        <w:rPr>
          <w:color w:val="auto"/>
          <w:highlight w:val="none"/>
        </w:rPr>
        <w:fldChar w:fldCharType="separate"/>
      </w:r>
      <w:r>
        <w:rPr>
          <w:rFonts w:hint="eastAsia" w:ascii="宋体" w:hAnsi="宋体" w:cs="宋体"/>
          <w:color w:val="auto"/>
          <w:highlight w:val="none"/>
        </w:rPr>
        <w:t>6. 关于分支机构报价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_Toc25157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"_Toc18108" </w:instrText>
      </w:r>
      <w:r>
        <w:rPr>
          <w:color w:val="auto"/>
          <w:highlight w:val="none"/>
        </w:rPr>
        <w:fldChar w:fldCharType="separate"/>
      </w:r>
      <w:r>
        <w:rPr>
          <w:rFonts w:hint="eastAsia" w:ascii="宋体" w:hAnsi="宋体" w:cs="宋体"/>
          <w:color w:val="auto"/>
          <w:highlight w:val="none"/>
        </w:rPr>
        <w:t>7. 保密及其它注意事项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_Toc18108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"_Toc25468" </w:instrText>
      </w:r>
      <w:r>
        <w:rPr>
          <w:color w:val="auto"/>
          <w:highlight w:val="none"/>
        </w:rPr>
        <w:fldChar w:fldCharType="separate"/>
      </w:r>
      <w:r>
        <w:rPr>
          <w:rFonts w:hint="eastAsia" w:cs="宋体"/>
          <w:color w:val="auto"/>
          <w:sz w:val="21"/>
          <w:szCs w:val="21"/>
          <w:highlight w:val="none"/>
        </w:rPr>
        <w:t>第二章磋商文件说明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_Toc25468 \h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"_Toc21439" </w:instrText>
      </w:r>
      <w:r>
        <w:rPr>
          <w:color w:val="auto"/>
          <w:highlight w:val="none"/>
        </w:rPr>
        <w:fldChar w:fldCharType="separate"/>
      </w:r>
      <w:r>
        <w:rPr>
          <w:rFonts w:hint="eastAsia" w:ascii="宋体" w:hAnsi="宋体" w:cs="宋体"/>
          <w:color w:val="auto"/>
          <w:highlight w:val="none"/>
        </w:rPr>
        <w:t>8. 采购文件构成</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_Toc21439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"_Toc158" </w:instrText>
      </w:r>
      <w:r>
        <w:rPr>
          <w:color w:val="auto"/>
          <w:highlight w:val="none"/>
        </w:rPr>
        <w:fldChar w:fldCharType="separate"/>
      </w:r>
      <w:r>
        <w:rPr>
          <w:rFonts w:hint="eastAsia" w:cs="宋体"/>
          <w:color w:val="auto"/>
          <w:sz w:val="21"/>
          <w:szCs w:val="21"/>
          <w:highlight w:val="none"/>
        </w:rPr>
        <w:t>第三章响应文件的编制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_Toc158 \h </w:instrText>
      </w:r>
      <w:r>
        <w:rPr>
          <w:rFonts w:hint="eastAsia" w:cs="宋体"/>
          <w:color w:val="auto"/>
          <w:sz w:val="21"/>
          <w:szCs w:val="21"/>
          <w:highlight w:val="none"/>
        </w:rPr>
        <w:fldChar w:fldCharType="separate"/>
      </w:r>
      <w:r>
        <w:rPr>
          <w:rFonts w:hint="eastAsia" w:cs="宋体"/>
          <w:color w:val="auto"/>
          <w:sz w:val="21"/>
          <w:szCs w:val="21"/>
          <w:highlight w:val="none"/>
        </w:rPr>
        <w:t>16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"_Toc19833" </w:instrText>
      </w:r>
      <w:r>
        <w:rPr>
          <w:color w:val="auto"/>
          <w:highlight w:val="none"/>
        </w:rPr>
        <w:fldChar w:fldCharType="separate"/>
      </w:r>
      <w:r>
        <w:rPr>
          <w:rFonts w:hint="eastAsia" w:ascii="宋体" w:hAnsi="宋体" w:cs="宋体"/>
          <w:color w:val="auto"/>
          <w:highlight w:val="none"/>
        </w:rPr>
        <w:t>9. 响应文件的语言及度量衡单位</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_Toc19833 \h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"_Toc18228" </w:instrText>
      </w:r>
      <w:r>
        <w:rPr>
          <w:color w:val="auto"/>
          <w:highlight w:val="none"/>
        </w:rPr>
        <w:fldChar w:fldCharType="separate"/>
      </w:r>
      <w:r>
        <w:rPr>
          <w:rFonts w:hint="eastAsia" w:ascii="宋体" w:hAnsi="宋体" w:cs="宋体"/>
          <w:color w:val="auto"/>
          <w:highlight w:val="none"/>
        </w:rPr>
        <w:t>10. 响应文件编制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_Toc18228 \h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"_Toc26897" </w:instrText>
      </w:r>
      <w:r>
        <w:rPr>
          <w:color w:val="auto"/>
          <w:highlight w:val="none"/>
        </w:rPr>
        <w:fldChar w:fldCharType="separate"/>
      </w:r>
      <w:r>
        <w:rPr>
          <w:rFonts w:hint="eastAsia" w:ascii="宋体" w:hAnsi="宋体" w:cs="宋体"/>
          <w:color w:val="auto"/>
          <w:highlight w:val="none"/>
        </w:rPr>
        <w:t>11. 响应文件的内容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_Toc26897 \h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"_Toc1662" </w:instrText>
      </w:r>
      <w:r>
        <w:rPr>
          <w:color w:val="auto"/>
          <w:highlight w:val="none"/>
        </w:rPr>
        <w:fldChar w:fldCharType="separate"/>
      </w:r>
      <w:r>
        <w:rPr>
          <w:rFonts w:hint="eastAsia" w:ascii="宋体" w:hAnsi="宋体" w:cs="宋体"/>
          <w:color w:val="auto"/>
          <w:highlight w:val="none"/>
        </w:rPr>
        <w:t>12. 响应文件格式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_Toc1662 \h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"_Toc21656" </w:instrText>
      </w:r>
      <w:r>
        <w:rPr>
          <w:color w:val="auto"/>
          <w:highlight w:val="none"/>
        </w:rPr>
        <w:fldChar w:fldCharType="separate"/>
      </w:r>
      <w:r>
        <w:rPr>
          <w:rFonts w:hint="eastAsia" w:ascii="宋体" w:hAnsi="宋体" w:cs="宋体"/>
          <w:color w:val="auto"/>
          <w:highlight w:val="none"/>
        </w:rPr>
        <w:t>13. 磋商保证金（本项目不需提供磋商保证金）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_Toc21656 \h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"_Toc10456" </w:instrText>
      </w:r>
      <w:r>
        <w:rPr>
          <w:color w:val="auto"/>
          <w:highlight w:val="none"/>
        </w:rPr>
        <w:fldChar w:fldCharType="separate"/>
      </w:r>
      <w:r>
        <w:rPr>
          <w:rFonts w:hint="eastAsia" w:ascii="宋体" w:hAnsi="宋体" w:cs="宋体"/>
          <w:color w:val="auto"/>
          <w:highlight w:val="none"/>
        </w:rPr>
        <w:t>14. ★报价（响应文件）有效期</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_Toc10456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"_Toc7006" </w:instrText>
      </w:r>
      <w:r>
        <w:rPr>
          <w:color w:val="auto"/>
          <w:highlight w:val="none"/>
        </w:rPr>
        <w:fldChar w:fldCharType="separate"/>
      </w:r>
      <w:r>
        <w:rPr>
          <w:rFonts w:hint="eastAsia" w:cs="宋体"/>
          <w:color w:val="auto"/>
          <w:sz w:val="21"/>
          <w:szCs w:val="21"/>
          <w:highlight w:val="none"/>
        </w:rPr>
        <w:t>第四章响应文件的递交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_Toc7006 \h </w:instrText>
      </w:r>
      <w:r>
        <w:rPr>
          <w:rFonts w:hint="eastAsia" w:cs="宋体"/>
          <w:color w:val="auto"/>
          <w:sz w:val="21"/>
          <w:szCs w:val="21"/>
          <w:highlight w:val="none"/>
        </w:rPr>
        <w:fldChar w:fldCharType="separate"/>
      </w:r>
      <w:r>
        <w:rPr>
          <w:rFonts w:hint="eastAsia" w:cs="宋体"/>
          <w:color w:val="auto"/>
          <w:sz w:val="21"/>
          <w:szCs w:val="21"/>
          <w:highlight w:val="none"/>
        </w:rPr>
        <w:t>18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"_Toc13611" </w:instrText>
      </w:r>
      <w:r>
        <w:rPr>
          <w:color w:val="auto"/>
          <w:highlight w:val="none"/>
        </w:rPr>
        <w:fldChar w:fldCharType="separate"/>
      </w:r>
      <w:r>
        <w:rPr>
          <w:rFonts w:hint="eastAsia" w:ascii="宋体" w:hAnsi="宋体" w:cs="宋体"/>
          <w:color w:val="auto"/>
          <w:highlight w:val="none"/>
        </w:rPr>
        <w:t>15. 响应文件的密封和标记</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_Toc13611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"_Toc5658" </w:instrText>
      </w:r>
      <w:r>
        <w:rPr>
          <w:color w:val="auto"/>
          <w:highlight w:val="none"/>
        </w:rPr>
        <w:fldChar w:fldCharType="separate"/>
      </w:r>
      <w:r>
        <w:rPr>
          <w:rFonts w:hint="eastAsia" w:ascii="宋体" w:hAnsi="宋体" w:cs="宋体"/>
          <w:color w:val="auto"/>
          <w:highlight w:val="none"/>
        </w:rPr>
        <w:t>16. 响应文件的递交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_Toc5658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"_Toc8440" </w:instrText>
      </w:r>
      <w:r>
        <w:rPr>
          <w:color w:val="auto"/>
          <w:highlight w:val="none"/>
        </w:rPr>
        <w:fldChar w:fldCharType="separate"/>
      </w:r>
      <w:r>
        <w:rPr>
          <w:rFonts w:hint="eastAsia" w:ascii="宋体" w:hAnsi="宋体" w:cs="宋体"/>
          <w:color w:val="auto"/>
          <w:highlight w:val="none"/>
        </w:rPr>
        <w:t>17. 样品（如需提交）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_Toc8440 \h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"_Toc3401" </w:instrText>
      </w:r>
      <w:r>
        <w:rPr>
          <w:color w:val="auto"/>
          <w:highlight w:val="none"/>
        </w:rPr>
        <w:fldChar w:fldCharType="separate"/>
      </w:r>
      <w:r>
        <w:rPr>
          <w:rFonts w:hint="eastAsia" w:cs="宋体"/>
          <w:color w:val="auto"/>
          <w:sz w:val="21"/>
          <w:szCs w:val="21"/>
          <w:highlight w:val="none"/>
        </w:rPr>
        <w:t>第五章磋商、评审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_Toc3401 \h </w:instrText>
      </w:r>
      <w:r>
        <w:rPr>
          <w:rFonts w:hint="eastAsia" w:cs="宋体"/>
          <w:color w:val="auto"/>
          <w:sz w:val="21"/>
          <w:szCs w:val="21"/>
          <w:highlight w:val="none"/>
        </w:rPr>
        <w:fldChar w:fldCharType="separate"/>
      </w:r>
      <w:r>
        <w:rPr>
          <w:rFonts w:hint="eastAsia" w:cs="宋体"/>
          <w:color w:val="auto"/>
          <w:sz w:val="21"/>
          <w:szCs w:val="21"/>
          <w:highlight w:val="none"/>
        </w:rPr>
        <w:t>20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"_Toc8137" </w:instrText>
      </w:r>
      <w:r>
        <w:rPr>
          <w:color w:val="auto"/>
          <w:highlight w:val="none"/>
        </w:rPr>
        <w:fldChar w:fldCharType="separate"/>
      </w:r>
      <w:r>
        <w:rPr>
          <w:rFonts w:hint="eastAsia" w:ascii="宋体" w:hAnsi="宋体" w:cs="宋体"/>
          <w:color w:val="auto"/>
          <w:highlight w:val="none"/>
        </w:rPr>
        <w:t>18. 签到及评审方法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_Toc8137 \h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"_Toc10080" </w:instrText>
      </w:r>
      <w:r>
        <w:rPr>
          <w:color w:val="auto"/>
          <w:highlight w:val="none"/>
        </w:rPr>
        <w:fldChar w:fldCharType="separate"/>
      </w:r>
      <w:r>
        <w:rPr>
          <w:rFonts w:hint="eastAsia" w:ascii="宋体" w:hAnsi="宋体" w:cs="宋体"/>
          <w:color w:val="auto"/>
          <w:highlight w:val="none"/>
        </w:rPr>
        <w:t>19. 磋商小组</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_Toc10080 \h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"_Toc17157" </w:instrText>
      </w:r>
      <w:r>
        <w:rPr>
          <w:color w:val="auto"/>
          <w:highlight w:val="none"/>
        </w:rPr>
        <w:fldChar w:fldCharType="separate"/>
      </w:r>
      <w:r>
        <w:rPr>
          <w:rFonts w:hint="eastAsia" w:ascii="宋体" w:hAnsi="宋体" w:cs="宋体"/>
          <w:color w:val="auto"/>
          <w:highlight w:val="none"/>
        </w:rPr>
        <w:t>20. 对响应文件的初审</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_Toc17157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"_Toc18895" </w:instrText>
      </w:r>
      <w:r>
        <w:rPr>
          <w:color w:val="auto"/>
          <w:highlight w:val="none"/>
        </w:rPr>
        <w:fldChar w:fldCharType="separate"/>
      </w:r>
      <w:r>
        <w:rPr>
          <w:rFonts w:hint="eastAsia" w:ascii="宋体" w:hAnsi="宋体" w:cs="宋体"/>
          <w:color w:val="auto"/>
          <w:highlight w:val="none"/>
        </w:rPr>
        <w:t>21. 技术商务磋商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_Toc18895 \h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"_Toc5492" </w:instrText>
      </w:r>
      <w:r>
        <w:rPr>
          <w:color w:val="auto"/>
          <w:highlight w:val="none"/>
        </w:rPr>
        <w:fldChar w:fldCharType="separate"/>
      </w:r>
      <w:r>
        <w:rPr>
          <w:rFonts w:hint="eastAsia" w:ascii="宋体" w:hAnsi="宋体" w:cs="宋体"/>
          <w:color w:val="auto"/>
          <w:highlight w:val="none"/>
        </w:rPr>
        <w:t>22. 最终报价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_Toc5492 \h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"_Toc2794" </w:instrText>
      </w:r>
      <w:r>
        <w:rPr>
          <w:color w:val="auto"/>
          <w:highlight w:val="none"/>
        </w:rPr>
        <w:fldChar w:fldCharType="separate"/>
      </w:r>
      <w:r>
        <w:rPr>
          <w:rFonts w:hint="eastAsia" w:ascii="宋体" w:hAnsi="宋体" w:cs="宋体"/>
          <w:color w:val="auto"/>
          <w:highlight w:val="none"/>
        </w:rPr>
        <w:t>23. 综合评分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_Toc2794 \h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"_Toc30725" </w:instrText>
      </w:r>
      <w:r>
        <w:rPr>
          <w:color w:val="auto"/>
          <w:highlight w:val="none"/>
        </w:rPr>
        <w:fldChar w:fldCharType="separate"/>
      </w:r>
      <w:r>
        <w:rPr>
          <w:rFonts w:hint="eastAsia" w:ascii="宋体" w:hAnsi="宋体" w:cs="宋体"/>
          <w:color w:val="auto"/>
          <w:highlight w:val="none"/>
        </w:rPr>
        <w:t>24. 优惠政策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_Toc30725 \h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"_Toc1066" </w:instrText>
      </w:r>
      <w:r>
        <w:rPr>
          <w:color w:val="auto"/>
          <w:highlight w:val="none"/>
        </w:rPr>
        <w:fldChar w:fldCharType="separate"/>
      </w:r>
      <w:r>
        <w:rPr>
          <w:rFonts w:hint="eastAsia" w:cs="宋体"/>
          <w:color w:val="auto"/>
          <w:sz w:val="21"/>
          <w:szCs w:val="21"/>
          <w:highlight w:val="none"/>
        </w:rPr>
        <w:t>第六章确定成交供应商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_Toc1066 \h </w:instrText>
      </w:r>
      <w:r>
        <w:rPr>
          <w:rFonts w:hint="eastAsia" w:cs="宋体"/>
          <w:color w:val="auto"/>
          <w:sz w:val="21"/>
          <w:szCs w:val="21"/>
          <w:highlight w:val="none"/>
        </w:rPr>
        <w:fldChar w:fldCharType="separate"/>
      </w:r>
      <w:r>
        <w:rPr>
          <w:rFonts w:hint="eastAsia" w:cs="宋体"/>
          <w:color w:val="auto"/>
          <w:sz w:val="21"/>
          <w:szCs w:val="21"/>
          <w:highlight w:val="none"/>
        </w:rPr>
        <w:t>26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"_Toc29068" </w:instrText>
      </w:r>
      <w:r>
        <w:rPr>
          <w:color w:val="auto"/>
          <w:highlight w:val="none"/>
        </w:rPr>
        <w:fldChar w:fldCharType="separate"/>
      </w:r>
      <w:r>
        <w:rPr>
          <w:rFonts w:hint="eastAsia" w:ascii="宋体" w:hAnsi="宋体" w:cs="宋体"/>
          <w:color w:val="auto"/>
          <w:highlight w:val="none"/>
        </w:rPr>
        <w:t>25. 确定成交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_Toc29068 \h </w:instrText>
      </w:r>
      <w:r>
        <w:rPr>
          <w:rFonts w:hint="eastAsia" w:ascii="宋体" w:hAnsi="宋体" w:cs="宋体"/>
          <w:color w:val="auto"/>
          <w:highlight w:val="none"/>
        </w:rPr>
        <w:fldChar w:fldCharType="separate"/>
      </w:r>
      <w:r>
        <w:rPr>
          <w:rFonts w:hint="eastAsia" w:ascii="宋体" w:hAnsi="宋体" w:cs="宋体"/>
          <w:color w:val="auto"/>
          <w:highlight w:val="none"/>
        </w:rPr>
        <w:t>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"_Toc3941" </w:instrText>
      </w:r>
      <w:r>
        <w:rPr>
          <w:color w:val="auto"/>
          <w:highlight w:val="none"/>
        </w:rPr>
        <w:fldChar w:fldCharType="separate"/>
      </w:r>
      <w:r>
        <w:rPr>
          <w:rFonts w:hint="eastAsia" w:ascii="宋体" w:hAnsi="宋体" w:cs="宋体"/>
          <w:color w:val="auto"/>
          <w:highlight w:val="none"/>
        </w:rPr>
        <w:t>26. 发布采购结果</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_Toc3941 \h </w:instrText>
      </w:r>
      <w:r>
        <w:rPr>
          <w:rFonts w:hint="eastAsia" w:ascii="宋体" w:hAnsi="宋体" w:cs="宋体"/>
          <w:color w:val="auto"/>
          <w:highlight w:val="none"/>
        </w:rPr>
        <w:fldChar w:fldCharType="separate"/>
      </w:r>
      <w:r>
        <w:rPr>
          <w:rFonts w:hint="eastAsia" w:ascii="宋体" w:hAnsi="宋体" w:cs="宋体"/>
          <w:color w:val="auto"/>
          <w:highlight w:val="none"/>
        </w:rPr>
        <w:t>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"_Toc29067" </w:instrText>
      </w:r>
      <w:r>
        <w:rPr>
          <w:color w:val="auto"/>
          <w:highlight w:val="none"/>
        </w:rPr>
        <w:fldChar w:fldCharType="separate"/>
      </w:r>
      <w:r>
        <w:rPr>
          <w:rFonts w:hint="eastAsia" w:ascii="宋体" w:hAnsi="宋体" w:cs="宋体"/>
          <w:color w:val="auto"/>
          <w:highlight w:val="none"/>
        </w:rPr>
        <w:t>27. 原件核查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_Toc29067 \h </w:instrText>
      </w:r>
      <w:r>
        <w:rPr>
          <w:rFonts w:hint="eastAsia" w:ascii="宋体" w:hAnsi="宋体" w:cs="宋体"/>
          <w:color w:val="auto"/>
          <w:highlight w:val="none"/>
        </w:rPr>
        <w:fldChar w:fldCharType="separate"/>
      </w:r>
      <w:r>
        <w:rPr>
          <w:rFonts w:hint="eastAsia" w:ascii="宋体" w:hAnsi="宋体" w:cs="宋体"/>
          <w:color w:val="auto"/>
          <w:highlight w:val="none"/>
        </w:rPr>
        <w:t>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"_Toc3829" </w:instrText>
      </w:r>
      <w:r>
        <w:rPr>
          <w:color w:val="auto"/>
          <w:highlight w:val="none"/>
        </w:rPr>
        <w:fldChar w:fldCharType="separate"/>
      </w:r>
      <w:r>
        <w:rPr>
          <w:rFonts w:hint="eastAsia" w:cs="宋体"/>
          <w:color w:val="auto"/>
          <w:sz w:val="21"/>
          <w:szCs w:val="21"/>
          <w:highlight w:val="none"/>
        </w:rPr>
        <w:t>第七章签订合同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_Toc3829 \h </w:instrText>
      </w:r>
      <w:r>
        <w:rPr>
          <w:rFonts w:hint="eastAsia" w:cs="宋体"/>
          <w:color w:val="auto"/>
          <w:sz w:val="21"/>
          <w:szCs w:val="21"/>
          <w:highlight w:val="none"/>
        </w:rPr>
        <w:fldChar w:fldCharType="separate"/>
      </w:r>
      <w:r>
        <w:rPr>
          <w:rFonts w:hint="eastAsia" w:cs="宋体"/>
          <w:color w:val="auto"/>
          <w:sz w:val="21"/>
          <w:szCs w:val="21"/>
          <w:highlight w:val="none"/>
        </w:rPr>
        <w:t>27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"_Toc18000" </w:instrText>
      </w:r>
      <w:r>
        <w:rPr>
          <w:color w:val="auto"/>
          <w:highlight w:val="none"/>
        </w:rPr>
        <w:fldChar w:fldCharType="separate"/>
      </w:r>
      <w:r>
        <w:rPr>
          <w:rFonts w:hint="eastAsia" w:ascii="宋体" w:hAnsi="宋体" w:cs="宋体"/>
          <w:color w:val="auto"/>
          <w:highlight w:val="none"/>
        </w:rPr>
        <w:t>28. 签订合同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_Toc18000 \h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"_Toc8165" </w:instrText>
      </w:r>
      <w:r>
        <w:rPr>
          <w:color w:val="auto"/>
          <w:highlight w:val="none"/>
        </w:rPr>
        <w:fldChar w:fldCharType="separate"/>
      </w:r>
      <w:r>
        <w:rPr>
          <w:rFonts w:hint="eastAsia" w:cs="宋体"/>
          <w:color w:val="auto"/>
          <w:sz w:val="21"/>
          <w:szCs w:val="21"/>
          <w:highlight w:val="none"/>
        </w:rPr>
        <w:t>第八章询问或质疑</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_Toc8165 \h </w:instrText>
      </w:r>
      <w:r>
        <w:rPr>
          <w:rFonts w:hint="eastAsia" w:cs="宋体"/>
          <w:color w:val="auto"/>
          <w:sz w:val="21"/>
          <w:szCs w:val="21"/>
          <w:highlight w:val="none"/>
        </w:rPr>
        <w:fldChar w:fldCharType="separate"/>
      </w:r>
      <w:r>
        <w:rPr>
          <w:rFonts w:hint="eastAsia" w:cs="宋体"/>
          <w:color w:val="auto"/>
          <w:sz w:val="21"/>
          <w:szCs w:val="21"/>
          <w:highlight w:val="none"/>
        </w:rPr>
        <w:t>28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"_Toc18663" </w:instrText>
      </w:r>
      <w:r>
        <w:rPr>
          <w:color w:val="auto"/>
          <w:highlight w:val="none"/>
        </w:rPr>
        <w:fldChar w:fldCharType="separate"/>
      </w:r>
      <w:r>
        <w:rPr>
          <w:rFonts w:hint="eastAsia" w:ascii="宋体" w:hAnsi="宋体" w:cs="宋体"/>
          <w:color w:val="auto"/>
          <w:highlight w:val="none"/>
        </w:rPr>
        <w:t>29. 询问</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_Toc18663 \h </w:instrText>
      </w:r>
      <w:r>
        <w:rPr>
          <w:rFonts w:hint="eastAsia" w:ascii="宋体" w:hAnsi="宋体" w:cs="宋体"/>
          <w:color w:val="auto"/>
          <w:highlight w:val="none"/>
        </w:rPr>
        <w:fldChar w:fldCharType="separate"/>
      </w:r>
      <w:r>
        <w:rPr>
          <w:rFonts w:hint="eastAsia" w:ascii="宋体" w:hAnsi="宋体" w:cs="宋体"/>
          <w:color w:val="auto"/>
          <w:highlight w:val="none"/>
        </w:rPr>
        <w:t>28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"_Toc20114" </w:instrText>
      </w:r>
      <w:r>
        <w:rPr>
          <w:color w:val="auto"/>
          <w:highlight w:val="none"/>
        </w:rPr>
        <w:fldChar w:fldCharType="separate"/>
      </w:r>
      <w:r>
        <w:rPr>
          <w:rFonts w:hint="eastAsia" w:ascii="宋体" w:hAnsi="宋体" w:cs="宋体"/>
          <w:color w:val="auto"/>
          <w:highlight w:val="none"/>
        </w:rPr>
        <w:t>30. 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_Toc20114 \h </w:instrText>
      </w:r>
      <w:r>
        <w:rPr>
          <w:rFonts w:hint="eastAsia" w:ascii="宋体" w:hAnsi="宋体" w:cs="宋体"/>
          <w:color w:val="auto"/>
          <w:highlight w:val="none"/>
        </w:rPr>
        <w:fldChar w:fldCharType="separate"/>
      </w:r>
      <w:r>
        <w:rPr>
          <w:rFonts w:hint="eastAsia" w:ascii="宋体" w:hAnsi="宋体" w:cs="宋体"/>
          <w:color w:val="auto"/>
          <w:highlight w:val="none"/>
        </w:rPr>
        <w:t>28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"_Toc5551" </w:instrText>
      </w:r>
      <w:r>
        <w:rPr>
          <w:color w:val="auto"/>
          <w:highlight w:val="none"/>
        </w:rPr>
        <w:fldChar w:fldCharType="separate"/>
      </w:r>
      <w:r>
        <w:rPr>
          <w:rFonts w:hint="eastAsia" w:cs="宋体"/>
          <w:color w:val="auto"/>
          <w:sz w:val="21"/>
          <w:szCs w:val="21"/>
          <w:highlight w:val="none"/>
        </w:rPr>
        <w:t>第九章成交服务费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_Toc5551 \h </w:instrText>
      </w:r>
      <w:r>
        <w:rPr>
          <w:rFonts w:hint="eastAsia" w:cs="宋体"/>
          <w:color w:val="auto"/>
          <w:sz w:val="21"/>
          <w:szCs w:val="21"/>
          <w:highlight w:val="none"/>
        </w:rPr>
        <w:fldChar w:fldCharType="separate"/>
      </w:r>
      <w:r>
        <w:rPr>
          <w:rFonts w:hint="eastAsia" w:cs="宋体"/>
          <w:color w:val="auto"/>
          <w:sz w:val="21"/>
          <w:szCs w:val="21"/>
          <w:highlight w:val="none"/>
        </w:rPr>
        <w:t>29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"_Toc26991" </w:instrText>
      </w:r>
      <w:r>
        <w:rPr>
          <w:color w:val="auto"/>
          <w:highlight w:val="none"/>
        </w:rPr>
        <w:fldChar w:fldCharType="separate"/>
      </w:r>
      <w:r>
        <w:rPr>
          <w:rFonts w:hint="eastAsia" w:ascii="宋体" w:hAnsi="宋体" w:cs="宋体"/>
          <w:color w:val="auto"/>
          <w:highlight w:val="none"/>
        </w:rPr>
        <w:t>31. 成交服务费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_Toc26991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"_Toc7834" </w:instrText>
      </w:r>
      <w:r>
        <w:rPr>
          <w:color w:val="auto"/>
          <w:highlight w:val="none"/>
        </w:rPr>
        <w:fldChar w:fldCharType="separate"/>
      </w:r>
      <w:r>
        <w:rPr>
          <w:rFonts w:hint="eastAsia" w:cs="宋体"/>
          <w:color w:val="auto"/>
          <w:sz w:val="21"/>
          <w:szCs w:val="21"/>
          <w:highlight w:val="none"/>
        </w:rPr>
        <w:t>第十章其他</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_Toc7834 \h </w:instrText>
      </w:r>
      <w:r>
        <w:rPr>
          <w:rFonts w:hint="eastAsia" w:cs="宋体"/>
          <w:color w:val="auto"/>
          <w:sz w:val="21"/>
          <w:szCs w:val="21"/>
          <w:highlight w:val="none"/>
        </w:rPr>
        <w:fldChar w:fldCharType="separate"/>
      </w:r>
      <w:r>
        <w:rPr>
          <w:rFonts w:hint="eastAsia" w:cs="宋体"/>
          <w:color w:val="auto"/>
          <w:sz w:val="21"/>
          <w:szCs w:val="21"/>
          <w:highlight w:val="none"/>
        </w:rPr>
        <w:t>29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"_Toc10953" </w:instrText>
      </w:r>
      <w:r>
        <w:rPr>
          <w:color w:val="auto"/>
          <w:highlight w:val="none"/>
        </w:rPr>
        <w:fldChar w:fldCharType="separate"/>
      </w:r>
      <w:r>
        <w:rPr>
          <w:rFonts w:hint="eastAsia" w:ascii="宋体" w:hAnsi="宋体" w:cs="宋体"/>
          <w:color w:val="auto"/>
          <w:highlight w:val="none"/>
        </w:rPr>
        <w:t>32. 磋商文件的解释权</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_Toc10953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"_Toc3162"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_Toc3162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"_Toc31162"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_Toc31162 \h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"_Toc19981"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_Toc19981 \h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"_Toc17329"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_Toc17329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"_Toc29470"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_Toc29470 \h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"_Toc15158" </w:instrText>
      </w:r>
      <w:r>
        <w:rPr>
          <w:color w:val="auto"/>
          <w:highlight w:val="none"/>
        </w:rPr>
        <w:fldChar w:fldCharType="separate"/>
      </w:r>
      <w:r>
        <w:rPr>
          <w:rFonts w:hint="eastAsia" w:cs="宋体"/>
          <w:color w:val="auto"/>
          <w:sz w:val="21"/>
          <w:szCs w:val="21"/>
          <w:highlight w:val="none"/>
        </w:rPr>
        <w:t>第七部分  响应文件格式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_Toc15158 \h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"_Toc2434" </w:instrText>
      </w:r>
      <w:r>
        <w:rPr>
          <w:color w:val="auto"/>
          <w:highlight w:val="none"/>
        </w:rPr>
        <w:fldChar w:fldCharType="separate"/>
      </w:r>
      <w:r>
        <w:rPr>
          <w:rFonts w:hint="eastAsia" w:ascii="宋体" w:hAnsi="宋体" w:cs="宋体"/>
          <w:color w:val="auto"/>
          <w:highlight w:val="none"/>
        </w:rPr>
        <w:t>响应文件目录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_Toc2434 \h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"_Toc28116"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_Toc28116 \h </w:instrText>
      </w:r>
      <w:r>
        <w:rPr>
          <w:rFonts w:hint="eastAsia" w:ascii="宋体" w:hAnsi="宋体" w:cs="宋体"/>
          <w:color w:val="auto"/>
          <w:highlight w:val="none"/>
        </w:rPr>
        <w:fldChar w:fldCharType="separate"/>
      </w:r>
      <w:r>
        <w:rPr>
          <w:rFonts w:hint="eastAsia" w:ascii="宋体" w:hAnsi="宋体" w:cs="宋体"/>
          <w:color w:val="auto"/>
          <w:highlight w:val="none"/>
        </w:rPr>
        <w:t>39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"_Toc19057"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_Toc19057 \h </w:instrText>
      </w:r>
      <w:r>
        <w:rPr>
          <w:rFonts w:hint="eastAsia" w:ascii="宋体" w:hAnsi="宋体" w:cs="宋体"/>
          <w:color w:val="auto"/>
          <w:highlight w:val="none"/>
        </w:rPr>
        <w:fldChar w:fldCharType="separate"/>
      </w:r>
      <w:r>
        <w:rPr>
          <w:rFonts w:hint="eastAsia" w:ascii="宋体" w:hAnsi="宋体" w:cs="宋体"/>
          <w:color w:val="auto"/>
          <w:highlight w:val="none"/>
        </w:rPr>
        <w:t>40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"_Toc29262" </w:instrText>
      </w:r>
      <w:r>
        <w:rPr>
          <w:color w:val="auto"/>
          <w:highlight w:val="none"/>
        </w:rPr>
        <w:fldChar w:fldCharType="separate"/>
      </w:r>
      <w:r>
        <w:rPr>
          <w:rFonts w:hint="eastAsia" w:ascii="宋体" w:hAnsi="宋体" w:cs="宋体"/>
          <w:color w:val="auto"/>
          <w:highlight w:val="none"/>
        </w:rPr>
        <w:t>一、报价一览表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_Toc29262 \h </w:instrText>
      </w:r>
      <w:r>
        <w:rPr>
          <w:rFonts w:hint="eastAsia" w:ascii="宋体" w:hAnsi="宋体" w:cs="宋体"/>
          <w:color w:val="auto"/>
          <w:highlight w:val="none"/>
        </w:rPr>
        <w:fldChar w:fldCharType="separate"/>
      </w:r>
      <w:r>
        <w:rPr>
          <w:rFonts w:hint="eastAsia" w:ascii="宋体" w:hAnsi="宋体" w:cs="宋体"/>
          <w:color w:val="auto"/>
          <w:highlight w:val="none"/>
        </w:rPr>
        <w:t>40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"_Toc29258"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_Toc29258 \h </w:instrText>
      </w:r>
      <w:r>
        <w:rPr>
          <w:rFonts w:hint="eastAsia" w:ascii="宋体" w:hAnsi="宋体" w:cs="宋体"/>
          <w:color w:val="auto"/>
          <w:highlight w:val="none"/>
        </w:rPr>
        <w:fldChar w:fldCharType="separate"/>
      </w:r>
      <w:r>
        <w:rPr>
          <w:rFonts w:hint="eastAsia" w:ascii="宋体" w:hAnsi="宋体" w:cs="宋体"/>
          <w:color w:val="auto"/>
          <w:highlight w:val="none"/>
        </w:rPr>
        <w:t>41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"_Toc14734"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_Toc14734 \h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"_Toc17483"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_Toc17483 \h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"_Toc8170"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_Toc8170 \h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"_Toc312"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_Toc312 \h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"_Toc2486"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_Toc2486 \h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"_Toc4151" </w:instrText>
      </w:r>
      <w:r>
        <w:rPr>
          <w:color w:val="auto"/>
          <w:highlight w:val="none"/>
        </w:rPr>
        <w:fldChar w:fldCharType="separate"/>
      </w:r>
      <w:r>
        <w:rPr>
          <w:rFonts w:hint="eastAsia" w:ascii="宋体" w:hAnsi="宋体" w:cs="宋体"/>
          <w:color w:val="auto"/>
          <w:highlight w:val="none"/>
        </w:rPr>
        <w:t>一、响应函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_Toc4151 \h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"_Toc27961"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_Toc27961 \h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"_Toc21335"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_Toc21335 \h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"_Toc32128"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_Toc32128 \h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"_Toc11689"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_Toc11689 \h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"_Toc1197" </w:instrText>
      </w:r>
      <w:r>
        <w:rPr>
          <w:color w:val="auto"/>
          <w:highlight w:val="none"/>
        </w:rPr>
        <w:fldChar w:fldCharType="separate"/>
      </w:r>
      <w:r>
        <w:rPr>
          <w:rFonts w:hint="eastAsia" w:ascii="宋体" w:hAnsi="宋体" w:cs="宋体"/>
          <w:color w:val="auto"/>
          <w:highlight w:val="none"/>
        </w:rPr>
        <w:t>六、供应商基本情况说明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_Toc1197 \h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"_Toc11992"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_Toc11992 \h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"_Toc12706"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_Toc12706 \h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"_Toc14482"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_Toc14482 \h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"_Toc31815"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_Toc31815 \h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"_Toc21582"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_Toc21582 \h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"_Toc7350"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_Toc7350 \h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"_Toc25650"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_Toc25650 \h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"_Toc13588"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_Toc13588 \h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"_Toc28702"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_Toc28702 \h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"_Toc25570" </w:instrText>
      </w:r>
      <w:r>
        <w:rPr>
          <w:color w:val="auto"/>
          <w:highlight w:val="none"/>
        </w:rPr>
        <w:fldChar w:fldCharType="separate"/>
      </w:r>
      <w:r>
        <w:rPr>
          <w:rFonts w:hint="eastAsia" w:ascii="宋体" w:hAnsi="宋体" w:cs="宋体"/>
          <w:color w:val="auto"/>
          <w:highlight w:val="none"/>
        </w:rPr>
        <w:t>三、实质性条款（标记★）响应表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_Toc25570 \h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"_Toc14250"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_Toc14250 \h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"_Toc16875"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_Toc16875 \h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"_Toc27978" </w:instrText>
      </w:r>
      <w:r>
        <w:rPr>
          <w:color w:val="auto"/>
          <w:highlight w:val="none"/>
        </w:rPr>
        <w:fldChar w:fldCharType="separate"/>
      </w:r>
      <w:r>
        <w:rPr>
          <w:rFonts w:hint="eastAsia" w:ascii="宋体" w:hAnsi="宋体" w:cs="宋体"/>
          <w:color w:val="auto"/>
          <w:highlight w:val="none"/>
        </w:rPr>
        <w:t>六、响应货物明细一览表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_Toc27978 \h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"_Toc31841"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_Toc31841 \h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"_Toc17348" </w:instrText>
      </w:r>
      <w:r>
        <w:rPr>
          <w:color w:val="auto"/>
          <w:highlight w:val="none"/>
        </w:rPr>
        <w:fldChar w:fldCharType="separate"/>
      </w:r>
      <w:r>
        <w:rPr>
          <w:rFonts w:hint="eastAsia" w:ascii="宋体" w:hAnsi="宋体" w:cs="宋体"/>
          <w:color w:val="auto"/>
          <w:highlight w:val="none"/>
        </w:rPr>
        <w:t>第四章报价信封（单独封装）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_Toc17348 \h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"_Toc13881" </w:instrText>
      </w:r>
      <w:r>
        <w:rPr>
          <w:color w:val="auto"/>
          <w:highlight w:val="none"/>
        </w:rPr>
        <w:fldChar w:fldCharType="separate"/>
      </w:r>
      <w:r>
        <w:rPr>
          <w:rFonts w:hint="eastAsia" w:ascii="宋体" w:hAnsi="宋体" w:cs="宋体"/>
          <w:color w:val="auto"/>
          <w:highlight w:val="none"/>
        </w:rPr>
        <w:t>第五章联合体共同报价协议书（如有需要）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_Toc13881 \h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第一部分 磋商邀请</w:t>
      </w:r>
      <w:bookmarkEnd w:id="0"/>
      <w:bookmarkEnd w:id="1"/>
    </w:p>
    <w:p>
      <w:pPr>
        <w:pStyle w:val="4"/>
        <w:jc w:val="center"/>
        <w:rPr>
          <w:rFonts w:ascii="宋体" w:hAnsi="宋体" w:cs="宋体"/>
          <w:color w:val="auto"/>
          <w:highlight w:val="none"/>
        </w:rPr>
      </w:pPr>
      <w:bookmarkStart w:id="2" w:name="_Toc8850"/>
      <w:bookmarkStart w:id="3" w:name="_Toc1420"/>
      <w:bookmarkStart w:id="4" w:name="_Toc7988"/>
      <w:r>
        <w:rPr>
          <w:rFonts w:hint="eastAsia" w:ascii="宋体" w:hAnsi="宋体" w:cs="宋体"/>
          <w:color w:val="auto"/>
          <w:highlight w:val="none"/>
        </w:rPr>
        <w:t>磋商邀请书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rPr>
        <w:t>东莞市公安局横沥分局</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横沥镇“慧眼”图像智能应用系统算力建设服务项目</w:t>
      </w:r>
      <w:r>
        <w:rPr>
          <w:rFonts w:hint="eastAsia" w:ascii="宋体" w:hAnsi="宋体" w:cs="Times New Roman"/>
          <w:color w:val="auto"/>
          <w:szCs w:val="21"/>
          <w:highlight w:val="none"/>
        </w:rPr>
        <w:t>进行国内竞争性磋商采购</w:t>
      </w:r>
      <w:r>
        <w:rPr>
          <w:rFonts w:hint="eastAsia" w:ascii="宋体" w:hAnsi="宋体"/>
          <w:color w:val="auto"/>
          <w:szCs w:val="21"/>
          <w:highlight w:val="none"/>
        </w:rPr>
        <w:t>，欢迎符合磋商文件要求的国内供应商参加</w:t>
      </w:r>
      <w:r>
        <w:rPr>
          <w:rFonts w:hint="eastAsia" w:hAnsi="宋体"/>
          <w:color w:val="auto"/>
          <w:szCs w:val="21"/>
          <w:highlight w:val="none"/>
        </w:rPr>
        <w:t>参与本次政府采购活动</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3"/>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4"/>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GDZT2023155C</w:t>
      </w:r>
      <w:r>
        <w:rPr>
          <w:rFonts w:hint="eastAsia" w:ascii="宋体" w:hAnsi="宋体"/>
          <w:color w:val="auto"/>
          <w:szCs w:val="21"/>
          <w:highlight w:val="none"/>
        </w:rPr>
        <w:t>；</w:t>
      </w:r>
    </w:p>
    <w:p>
      <w:pPr>
        <w:numPr>
          <w:ilvl w:val="0"/>
          <w:numId w:val="4"/>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横沥镇“慧眼”图像智能应用系统算力建设服务项目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3"/>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4879"/>
        <w:gridCol w:w="450"/>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590"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0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390"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cs="宋体"/>
                <w:color w:val="auto"/>
                <w:sz w:val="22"/>
                <w:highlight w:val="none"/>
              </w:rPr>
              <w:t>1</w:t>
            </w:r>
          </w:p>
        </w:tc>
        <w:tc>
          <w:tcPr>
            <w:tcW w:w="2590"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 w:val="22"/>
                <w:highlight w:val="none"/>
                <w:lang w:eastAsia="zh-CN"/>
              </w:rPr>
            </w:pPr>
            <w:r>
              <w:rPr>
                <w:rFonts w:hint="eastAsia" w:ascii="宋体" w:hAnsi="宋体"/>
                <w:b/>
                <w:color w:val="auto"/>
                <w:szCs w:val="21"/>
                <w:highlight w:val="none"/>
                <w:u w:val="single"/>
                <w:lang w:eastAsia="zh-CN"/>
              </w:rPr>
              <w:t>横沥镇“慧眼”图像智能应用系统算力建设服务项目</w:t>
            </w:r>
          </w:p>
        </w:tc>
        <w:tc>
          <w:tcPr>
            <w:tcW w:w="507"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cs="宋体"/>
                <w:color w:val="auto"/>
                <w:sz w:val="22"/>
                <w:highlight w:val="none"/>
              </w:rPr>
              <w:t>1项</w:t>
            </w:r>
          </w:p>
        </w:tc>
        <w:tc>
          <w:tcPr>
            <w:tcW w:w="1390"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eastAsia="zh-CN"/>
              </w:rPr>
              <w:t>413</w:t>
            </w:r>
            <w:r>
              <w:rPr>
                <w:rFonts w:hint="eastAsia" w:ascii="宋体" w:hAnsi="宋体"/>
                <w:b/>
                <w:bCs/>
                <w:color w:val="auto"/>
                <w:szCs w:val="21"/>
                <w:highlight w:val="none"/>
                <w:u w:val="single"/>
                <w:lang w:val="en-US" w:eastAsia="zh-CN"/>
              </w:rPr>
              <w:t>,</w:t>
            </w:r>
            <w:r>
              <w:rPr>
                <w:rFonts w:hint="eastAsia" w:ascii="宋体" w:hAnsi="宋体"/>
                <w:b/>
                <w:bCs/>
                <w:color w:val="auto"/>
                <w:szCs w:val="21"/>
                <w:highlight w:val="none"/>
                <w:u w:val="single"/>
                <w:lang w:eastAsia="zh-CN"/>
              </w:rPr>
              <w:t>280.00</w:t>
            </w:r>
            <w:r>
              <w:rPr>
                <w:rFonts w:hint="eastAsia" w:ascii="宋体" w:hAnsi="宋体"/>
                <w:b/>
                <w:bCs/>
                <w:color w:val="auto"/>
                <w:szCs w:val="21"/>
                <w:highlight w:val="none"/>
                <w:u w:val="single"/>
              </w:rPr>
              <w:t>元</w:t>
            </w:r>
          </w:p>
        </w:tc>
      </w:tr>
    </w:tbl>
    <w:p>
      <w:pPr>
        <w:pStyle w:val="7"/>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二、供应商资格要求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（1）须符合《中华人民共和国政府采购法》第二十二条规定（提供书面承诺），经总公司授权的分公司（或分支机构）也视为合格的</w:t>
      </w:r>
      <w:r>
        <w:rPr>
          <w:rFonts w:hint="eastAsia" w:ascii="宋体" w:hAnsi="宋体"/>
          <w:color w:val="auto"/>
          <w:szCs w:val="21"/>
          <w:highlight w:val="none"/>
          <w:lang w:eastAsia="zh-CN"/>
        </w:rPr>
        <w:t>供应商</w:t>
      </w:r>
      <w:r>
        <w:rPr>
          <w:rFonts w:hint="eastAsia" w:ascii="宋体" w:hAnsi="宋体"/>
          <w:color w:val="auto"/>
          <w:szCs w:val="21"/>
          <w:highlight w:val="none"/>
        </w:rPr>
        <w:t>，由总公司投标的，则不接受该分公司（或分支机构）的投标；</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供应商的单位负责人为同一人或者存在直接控股、管理关系的不同供应商，不得参加同一合同项下的政府采购活动。为本项目提供整体设计、规范编制或者项目管理、监理、检测等服务的供应商，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响应截止日当天在“信用中国”网站及中国政府采购网查询结果为准，如相关失信记录已失效，供应商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三、项目公示时间、磋商文件领购时间、地点、方式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日起至2023年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20</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2、磋商文件领购</w:t>
      </w:r>
      <w:r>
        <w:rPr>
          <w:rFonts w:ascii="宋体" w:hAnsi="宋体"/>
          <w:color w:val="auto"/>
          <w:szCs w:val="21"/>
          <w:highlight w:val="none"/>
        </w:rPr>
        <w:t>时间：</w:t>
      </w:r>
      <w:r>
        <w:rPr>
          <w:rFonts w:hint="eastAsia" w:ascii="宋体" w:hAnsi="宋体"/>
          <w:color w:val="auto"/>
          <w:szCs w:val="21"/>
          <w:highlight w:val="none"/>
        </w:rPr>
        <w:t>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日起至2023年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20</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注：（1）供应商可自行打印磋商文件最后1页中的“获取磋商文件登记表”进行填写并带到现场进行领购，并现场领取发票。（磋商文件领购价：人民币300元整）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（2）现场支持现金支付、微信支付、支付宝支付等支付方式，请将相应表格交予我司徐先生。</w:t>
      </w:r>
    </w:p>
    <w:p>
      <w:pPr>
        <w:ind w:firstLine="420" w:firstLineChars="200"/>
        <w:rPr>
          <w:rFonts w:ascii="宋体" w:hAnsi="宋体"/>
          <w:color w:val="auto"/>
          <w:szCs w:val="21"/>
          <w:highlight w:val="none"/>
        </w:rPr>
      </w:pPr>
      <w:r>
        <w:rPr>
          <w:rFonts w:hint="eastAsia" w:ascii="宋体" w:hAnsi="宋体"/>
          <w:color w:val="auto"/>
          <w:szCs w:val="21"/>
          <w:highlight w:val="none"/>
        </w:rPr>
        <w:t>（3）磋商文件电子版可在政通招标网（http://www.zttendering.com/）相关招标信息公告下自行下载。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3、磋商文件领购地点：东莞市南城街道鸿福路199号（市民服务中心）411室。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4、磋商文件领购方式：现场领购。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供应商在领购磋商文件时须提供如下证明材料：《营业执照》复印件（加盖公章）或《事业单位法人证书》复印件（加盖公章）或其他主体证书复印</w:t>
      </w:r>
      <w:bookmarkStart w:id="409" w:name="_GoBack"/>
      <w:bookmarkEnd w:id="409"/>
      <w:r>
        <w:rPr>
          <w:rFonts w:hint="eastAsia" w:ascii="宋体" w:hAnsi="宋体"/>
          <w:color w:val="auto"/>
          <w:szCs w:val="21"/>
          <w:highlight w:val="none"/>
        </w:rPr>
        <w:t>件（加盖公章），自然人参加报价须提供自然人的身份证明材料。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四、响应截止时间、开标时间及地点</w:t>
      </w:r>
    </w:p>
    <w:p>
      <w:pPr>
        <w:ind w:firstLine="411" w:firstLineChars="196"/>
        <w:rPr>
          <w:rFonts w:ascii="宋体" w:hAnsi="宋体"/>
          <w:bCs/>
          <w:color w:val="auto"/>
          <w:szCs w:val="21"/>
          <w:highlight w:val="none"/>
        </w:rPr>
      </w:pPr>
      <w:r>
        <w:rPr>
          <w:rFonts w:hint="eastAsia" w:ascii="宋体" w:hAnsi="宋体"/>
          <w:bCs/>
          <w:color w:val="auto"/>
          <w:szCs w:val="21"/>
          <w:highlight w:val="none"/>
        </w:rPr>
        <w:t>1、递交响应文件时间：2023年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30</w:t>
      </w:r>
      <w:r>
        <w:rPr>
          <w:rFonts w:hint="eastAsia" w:ascii="宋体" w:hAnsi="宋体"/>
          <w:bCs/>
          <w:color w:val="auto"/>
          <w:szCs w:val="21"/>
          <w:highlight w:val="none"/>
        </w:rPr>
        <w:t>～</w:t>
      </w:r>
      <w:r>
        <w:rPr>
          <w:rFonts w:hint="eastAsia" w:ascii="宋体" w:hAnsi="宋体"/>
          <w:bCs/>
          <w:color w:val="auto"/>
          <w:szCs w:val="21"/>
          <w:highlight w:val="none"/>
          <w:lang w:val="en-US" w:eastAsia="zh-CN"/>
        </w:rPr>
        <w:t>10</w:t>
      </w:r>
      <w:r>
        <w:rPr>
          <w:rFonts w:hint="eastAsia" w:ascii="宋体" w:hAnsi="宋体"/>
          <w:bCs/>
          <w:color w:val="auto"/>
          <w:szCs w:val="21"/>
          <w:highlight w:val="none"/>
        </w:rPr>
        <w:t>：</w:t>
      </w:r>
      <w:r>
        <w:rPr>
          <w:rFonts w:hint="eastAsia" w:ascii="宋体" w:hAnsi="宋体"/>
          <w:bCs/>
          <w:color w:val="auto"/>
          <w:szCs w:val="21"/>
          <w:highlight w:val="none"/>
          <w:lang w:val="en-US" w:eastAsia="zh-CN"/>
        </w:rPr>
        <w:t>00</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r>
        <w:rPr>
          <w:rFonts w:hint="eastAsia" w:ascii="宋体" w:hAnsi="宋体"/>
          <w:bCs/>
          <w:color w:val="auto"/>
          <w:szCs w:val="21"/>
          <w:highlight w:val="none"/>
        </w:rPr>
        <w:t>2、响应截止及开标时间：2023年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时</w:t>
      </w:r>
      <w:r>
        <w:rPr>
          <w:rFonts w:hint="eastAsia" w:ascii="宋体" w:hAnsi="宋体"/>
          <w:bCs/>
          <w:color w:val="auto"/>
          <w:szCs w:val="21"/>
          <w:highlight w:val="none"/>
          <w:lang w:val="en-US" w:eastAsia="zh-CN"/>
        </w:rPr>
        <w:t>00</w:t>
      </w:r>
      <w:r>
        <w:rPr>
          <w:rFonts w:hint="eastAsia" w:ascii="宋体" w:hAnsi="宋体"/>
          <w:bCs/>
          <w:color w:val="auto"/>
          <w:szCs w:val="21"/>
          <w:highlight w:val="none"/>
        </w:rPr>
        <w:t>分。</w:t>
      </w:r>
    </w:p>
    <w:p>
      <w:pPr>
        <w:ind w:firstLine="411" w:firstLineChars="196"/>
        <w:rPr>
          <w:rFonts w:ascii="宋体" w:hAnsi="宋体"/>
          <w:bCs/>
          <w:color w:val="auto"/>
          <w:szCs w:val="21"/>
          <w:highlight w:val="none"/>
        </w:rPr>
      </w:pPr>
      <w:r>
        <w:rPr>
          <w:rFonts w:hint="eastAsia" w:ascii="宋体" w:hAnsi="宋体"/>
          <w:bCs/>
          <w:color w:val="auto"/>
          <w:szCs w:val="21"/>
          <w:highlight w:val="none"/>
        </w:rPr>
        <w:t>3、接收响应文件地点：东莞市南城街道鸿福路199号（市民服务中心）411室。</w:t>
      </w:r>
    </w:p>
    <w:p>
      <w:pPr>
        <w:rPr>
          <w:color w:val="auto"/>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采购人联系人：朱警官</w:t>
      </w:r>
    </w:p>
    <w:p>
      <w:pPr>
        <w:ind w:firstLine="420" w:firstLineChars="200"/>
        <w:rPr>
          <w:rFonts w:ascii="宋体" w:hAnsi="宋体"/>
          <w:bCs/>
          <w:color w:val="auto"/>
          <w:szCs w:val="21"/>
          <w:highlight w:val="none"/>
        </w:rPr>
      </w:pPr>
      <w:r>
        <w:rPr>
          <w:rFonts w:hint="eastAsia" w:ascii="宋体" w:hAnsi="宋体"/>
          <w:bCs/>
          <w:color w:val="auto"/>
          <w:szCs w:val="21"/>
          <w:highlight w:val="none"/>
        </w:rPr>
        <w:t>地址：东莞市横沥镇</w:t>
      </w:r>
    </w:p>
    <w:p>
      <w:pPr>
        <w:ind w:firstLine="420" w:firstLineChars="200"/>
        <w:rPr>
          <w:rFonts w:ascii="宋体" w:hAnsi="宋体"/>
          <w:bCs/>
          <w:color w:val="auto"/>
          <w:szCs w:val="21"/>
          <w:highlight w:val="none"/>
        </w:rPr>
      </w:pPr>
      <w:r>
        <w:rPr>
          <w:rFonts w:hint="eastAsia" w:ascii="宋体" w:hAnsi="宋体"/>
          <w:bCs/>
          <w:color w:val="auto"/>
          <w:szCs w:val="21"/>
          <w:highlight w:val="none"/>
        </w:rPr>
        <w:t>联系电话：0769-23087002</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olor w:val="auto"/>
          <w:szCs w:val="21"/>
          <w:highlight w:val="none"/>
        </w:rPr>
        <w:t>2023年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p>
    <w:p>
      <w:pPr>
        <w:pStyle w:val="3"/>
        <w:spacing w:before="0" w:after="0" w:line="240" w:lineRule="auto"/>
        <w:rPr>
          <w:color w:val="auto"/>
          <w:sz w:val="28"/>
          <w:szCs w:val="28"/>
          <w:highlight w:val="none"/>
        </w:rPr>
      </w:pPr>
      <w:bookmarkStart w:id="5" w:name="_Toc31060"/>
      <w:bookmarkStart w:id="6" w:name="_Toc28550"/>
      <w:r>
        <w:rPr>
          <w:rFonts w:hint="eastAsia"/>
          <w:color w:val="auto"/>
          <w:sz w:val="28"/>
          <w:szCs w:val="28"/>
          <w:highlight w:val="none"/>
        </w:rPr>
        <w:t>第二部分</w:t>
      </w:r>
      <w:bookmarkStart w:id="7" w:name="_Toc20683"/>
      <w:r>
        <w:rPr>
          <w:rFonts w:hint="eastAsia"/>
          <w:color w:val="auto"/>
          <w:sz w:val="28"/>
          <w:szCs w:val="28"/>
          <w:highlight w:val="none"/>
        </w:rPr>
        <w:t xml:space="preserve"> 磋商资料表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所属行业：软件和信息技术服务业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财政资金。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二、响应文件的编制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磋商语言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详见供应商须知。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磋商保证金：本项目不需提供磋商保证金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供应商应提交以下响应文件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报价文件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小型或微型企业、监狱企业、残疾人福利性单位磋商价格折扣标准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s="宋体"/>
                <w:color w:val="auto"/>
                <w:kern w:val="2"/>
                <w:szCs w:val="21"/>
                <w:highlight w:val="none"/>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供应商符合须知“优惠政策”中联合体规定的响应价格折扣标准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供应商所投产品为获得节能产品认证或环境标志产品认证证书的价格折扣标准（相关规定详见供应商须知“优惠政策”）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陆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注：本表关于要采购项目的具体资料，是对供应商须知的具体补充和修改，如有矛盾，应以本资料表为准。</w:t>
            </w:r>
          </w:p>
        </w:tc>
      </w:tr>
    </w:tbl>
    <w:p>
      <w:pPr>
        <w:rPr>
          <w:color w:val="auto"/>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rPr>
          <w:color w:val="auto"/>
          <w:sz w:val="28"/>
          <w:szCs w:val="28"/>
          <w:highlight w:val="none"/>
        </w:rPr>
      </w:pPr>
      <w:bookmarkStart w:id="8" w:name="_Toc4043"/>
      <w:bookmarkStart w:id="9" w:name="_Toc13473"/>
      <w:bookmarkStart w:id="10" w:name="_Hlk55300595"/>
      <w:bookmarkStart w:id="11" w:name="_Toc9572"/>
      <w:r>
        <w:rPr>
          <w:rFonts w:hint="eastAsia"/>
          <w:color w:val="auto"/>
          <w:sz w:val="28"/>
          <w:szCs w:val="28"/>
          <w:highlight w:val="none"/>
        </w:rPr>
        <w:br w:type="page"/>
      </w:r>
    </w:p>
    <w:p>
      <w:pPr>
        <w:pStyle w:val="3"/>
        <w:spacing w:before="0" w:after="0" w:line="360" w:lineRule="auto"/>
        <w:rPr>
          <w:color w:val="auto"/>
          <w:highlight w:val="none"/>
        </w:rPr>
      </w:pPr>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18413"/>
      <w:bookmarkStart w:id="16" w:name="_Toc462"/>
      <w:r>
        <w:rPr>
          <w:rFonts w:hint="eastAsia" w:ascii="宋体" w:hAnsi="宋体" w:cs="宋体"/>
          <w:color w:val="auto"/>
          <w:sz w:val="24"/>
          <w:szCs w:val="24"/>
          <w:highlight w:val="none"/>
        </w:rPr>
        <w:t>价格及商务技术评分权重细则表</w:t>
      </w:r>
      <w:bookmarkEnd w:id="11"/>
      <w:bookmarkEnd w:id="15"/>
      <w:bookmarkEnd w:id="16"/>
    </w:p>
    <w:tbl>
      <w:tblPr>
        <w:tblStyle w:val="23"/>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94"/>
        <w:gridCol w:w="885"/>
        <w:gridCol w:w="6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4" w:type="dxa"/>
            <w:vAlign w:val="center"/>
          </w:tcPr>
          <w:p>
            <w:pPr>
              <w:pStyle w:val="36"/>
              <w:spacing w:line="360" w:lineRule="exact"/>
              <w:ind w:firstLine="0" w:firstLineChars="0"/>
              <w:jc w:val="center"/>
              <w:rPr>
                <w:rFonts w:ascii="宋体" w:eastAsia="宋体"/>
                <w:b/>
                <w:color w:val="auto"/>
                <w:sz w:val="22"/>
                <w:highlight w:val="none"/>
              </w:rPr>
            </w:pPr>
            <w:bookmarkStart w:id="17" w:name="_Toc2479"/>
            <w:bookmarkStart w:id="18" w:name="_Toc29685"/>
            <w:bookmarkStart w:id="19" w:name="_Toc24511"/>
            <w:bookmarkStart w:id="20" w:name="_Toc14146"/>
            <w:r>
              <w:rPr>
                <w:rFonts w:hint="eastAsia" w:ascii="宋体" w:eastAsia="宋体"/>
                <w:b/>
                <w:color w:val="auto"/>
                <w:sz w:val="22"/>
                <w:highlight w:val="none"/>
              </w:rPr>
              <w:t>序号</w:t>
            </w:r>
          </w:p>
        </w:tc>
        <w:tc>
          <w:tcPr>
            <w:tcW w:w="1194" w:type="dxa"/>
            <w:vAlign w:val="center"/>
          </w:tcPr>
          <w:p>
            <w:pPr>
              <w:pStyle w:val="36"/>
              <w:spacing w:line="360" w:lineRule="exact"/>
              <w:ind w:firstLine="0" w:firstLineChars="0"/>
              <w:jc w:val="center"/>
              <w:rPr>
                <w:rFonts w:ascii="宋体" w:eastAsia="宋体"/>
                <w:b/>
                <w:color w:val="auto"/>
                <w:sz w:val="22"/>
                <w:highlight w:val="none"/>
              </w:rPr>
            </w:pPr>
            <w:r>
              <w:rPr>
                <w:rFonts w:hint="eastAsia" w:ascii="宋体" w:eastAsia="宋体"/>
                <w:b/>
                <w:color w:val="auto"/>
                <w:sz w:val="22"/>
                <w:highlight w:val="none"/>
              </w:rPr>
              <w:t>评分内容</w:t>
            </w:r>
          </w:p>
        </w:tc>
        <w:tc>
          <w:tcPr>
            <w:tcW w:w="885" w:type="dxa"/>
            <w:vAlign w:val="center"/>
          </w:tcPr>
          <w:p>
            <w:pPr>
              <w:pStyle w:val="36"/>
              <w:spacing w:line="360" w:lineRule="exact"/>
              <w:ind w:firstLine="0" w:firstLineChars="0"/>
              <w:jc w:val="center"/>
              <w:rPr>
                <w:rFonts w:ascii="宋体" w:eastAsia="宋体"/>
                <w:b/>
                <w:color w:val="auto"/>
                <w:sz w:val="22"/>
                <w:highlight w:val="none"/>
              </w:rPr>
            </w:pPr>
            <w:r>
              <w:rPr>
                <w:rFonts w:hint="eastAsia" w:ascii="宋体" w:eastAsia="宋体"/>
                <w:b/>
                <w:color w:val="auto"/>
                <w:sz w:val="22"/>
                <w:highlight w:val="none"/>
              </w:rPr>
              <w:t>分值</w:t>
            </w:r>
          </w:p>
        </w:tc>
        <w:tc>
          <w:tcPr>
            <w:tcW w:w="6128" w:type="dxa"/>
            <w:vAlign w:val="center"/>
          </w:tcPr>
          <w:p>
            <w:pPr>
              <w:pStyle w:val="36"/>
              <w:spacing w:line="360" w:lineRule="exact"/>
              <w:ind w:firstLine="0" w:firstLineChars="0"/>
              <w:jc w:val="center"/>
              <w:rPr>
                <w:rFonts w:ascii="宋体" w:eastAsia="宋体"/>
                <w:b/>
                <w:color w:val="auto"/>
                <w:sz w:val="22"/>
                <w:highlight w:val="none"/>
              </w:rPr>
            </w:pPr>
            <w:r>
              <w:rPr>
                <w:rFonts w:hint="eastAsia" w:ascii="宋体" w:eastAsia="宋体"/>
                <w:b/>
                <w:color w:val="auto"/>
                <w:sz w:val="22"/>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31" w:type="dxa"/>
            <w:gridSpan w:val="4"/>
            <w:vAlign w:val="center"/>
          </w:tcPr>
          <w:p>
            <w:pPr>
              <w:pStyle w:val="36"/>
              <w:spacing w:line="360" w:lineRule="exact"/>
              <w:ind w:firstLine="0" w:firstLineChars="0"/>
              <w:jc w:val="center"/>
              <w:rPr>
                <w:rFonts w:ascii="宋体" w:eastAsia="宋体"/>
                <w:b/>
                <w:color w:val="auto"/>
                <w:sz w:val="22"/>
                <w:highlight w:val="none"/>
              </w:rPr>
            </w:pPr>
            <w:r>
              <w:rPr>
                <w:rFonts w:hint="eastAsia" w:ascii="宋体" w:eastAsia="宋体"/>
                <w:b/>
                <w:color w:val="auto"/>
                <w:sz w:val="22"/>
                <w:highlight w:val="none"/>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w:t>
            </w:r>
          </w:p>
        </w:tc>
        <w:tc>
          <w:tcPr>
            <w:tcW w:w="119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价格分</w:t>
            </w:r>
          </w:p>
        </w:tc>
        <w:tc>
          <w:tcPr>
            <w:tcW w:w="885"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10分</w:t>
            </w:r>
          </w:p>
        </w:tc>
        <w:tc>
          <w:tcPr>
            <w:tcW w:w="6128" w:type="dxa"/>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firstLine="440" w:firstLineChars="200"/>
              <w:textAlignment w:val="auto"/>
              <w:rPr>
                <w:rFonts w:ascii="宋体" w:eastAsia="宋体"/>
                <w:color w:val="auto"/>
                <w:sz w:val="22"/>
                <w:highlight w:val="none"/>
              </w:rPr>
            </w:pPr>
            <w:r>
              <w:rPr>
                <w:rFonts w:hint="eastAsia" w:ascii="宋体" w:eastAsia="宋体"/>
                <w:color w:val="auto"/>
                <w:sz w:val="22"/>
                <w:highlight w:val="none"/>
              </w:rPr>
              <w:t>价格分计算方法：满足</w:t>
            </w:r>
            <w:r>
              <w:rPr>
                <w:rFonts w:hint="eastAsia" w:ascii="宋体" w:eastAsia="宋体"/>
                <w:color w:val="auto"/>
                <w:sz w:val="22"/>
                <w:highlight w:val="none"/>
                <w:lang w:eastAsia="zh-CN"/>
              </w:rPr>
              <w:t>磋商文件</w:t>
            </w:r>
            <w:r>
              <w:rPr>
                <w:rFonts w:hint="eastAsia" w:ascii="宋体" w:eastAsia="宋体"/>
                <w:color w:val="auto"/>
                <w:sz w:val="22"/>
                <w:highlight w:val="none"/>
              </w:rPr>
              <w:t>要求且</w:t>
            </w:r>
            <w:r>
              <w:rPr>
                <w:rFonts w:hint="eastAsia" w:ascii="宋体" w:eastAsia="宋体"/>
                <w:color w:val="auto"/>
                <w:sz w:val="22"/>
                <w:highlight w:val="none"/>
                <w:lang w:eastAsia="zh-CN"/>
              </w:rPr>
              <w:t>响应</w:t>
            </w:r>
            <w:r>
              <w:rPr>
                <w:rFonts w:hint="eastAsia" w:ascii="宋体" w:eastAsia="宋体"/>
                <w:color w:val="auto"/>
                <w:sz w:val="22"/>
                <w:highlight w:val="none"/>
              </w:rPr>
              <w:t>价格最低的</w:t>
            </w:r>
            <w:r>
              <w:rPr>
                <w:rFonts w:hint="eastAsia" w:ascii="宋体" w:eastAsia="宋体"/>
                <w:color w:val="auto"/>
                <w:sz w:val="22"/>
                <w:highlight w:val="none"/>
                <w:lang w:eastAsia="zh-CN"/>
              </w:rPr>
              <w:t>响应</w:t>
            </w:r>
            <w:r>
              <w:rPr>
                <w:rFonts w:hint="eastAsia" w:ascii="宋体" w:eastAsia="宋体"/>
                <w:color w:val="auto"/>
                <w:sz w:val="22"/>
                <w:highlight w:val="none"/>
              </w:rPr>
              <w:t>报价为评标基准价，其价格分为满分。其他</w:t>
            </w:r>
            <w:r>
              <w:rPr>
                <w:rFonts w:hint="eastAsia" w:ascii="宋体" w:eastAsia="宋体"/>
                <w:color w:val="auto"/>
                <w:sz w:val="22"/>
                <w:highlight w:val="none"/>
                <w:lang w:eastAsia="zh-CN"/>
              </w:rPr>
              <w:t>供应商</w:t>
            </w:r>
            <w:r>
              <w:rPr>
                <w:rFonts w:hint="eastAsia" w:ascii="宋体" w:eastAsia="宋体"/>
                <w:color w:val="auto"/>
                <w:sz w:val="22"/>
                <w:highlight w:val="none"/>
              </w:rPr>
              <w:t>人的价格分统一按照下列公式计算：</w:t>
            </w:r>
            <w:r>
              <w:rPr>
                <w:rFonts w:hint="eastAsia" w:ascii="宋体" w:eastAsia="宋体"/>
                <w:color w:val="auto"/>
                <w:sz w:val="22"/>
                <w:highlight w:val="none"/>
                <w:lang w:val="en-US" w:eastAsia="zh-CN"/>
              </w:rPr>
              <w:t>响应</w:t>
            </w:r>
            <w:r>
              <w:rPr>
                <w:rFonts w:hint="eastAsia" w:ascii="宋体" w:eastAsia="宋体"/>
                <w:color w:val="auto"/>
                <w:sz w:val="22"/>
                <w:highlight w:val="none"/>
              </w:rPr>
              <w:t>报价得分=(评标基准价／投标报价)×价格权重10%）×100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31" w:type="dxa"/>
            <w:gridSpan w:val="4"/>
            <w:vAlign w:val="center"/>
          </w:tcPr>
          <w:p>
            <w:pPr>
              <w:pStyle w:val="36"/>
              <w:spacing w:line="360" w:lineRule="exact"/>
              <w:ind w:firstLine="0" w:firstLineChars="0"/>
              <w:jc w:val="center"/>
              <w:rPr>
                <w:rFonts w:ascii="宋体" w:eastAsia="宋体"/>
                <w:b/>
                <w:color w:val="auto"/>
                <w:sz w:val="22"/>
                <w:highlight w:val="none"/>
              </w:rPr>
            </w:pPr>
            <w:r>
              <w:rPr>
                <w:rFonts w:hint="eastAsia" w:ascii="宋体" w:eastAsia="宋体"/>
                <w:b/>
                <w:color w:val="auto"/>
                <w:sz w:val="22"/>
                <w:highlight w:val="none"/>
              </w:rPr>
              <w:t>商务评分（</w:t>
            </w:r>
            <w:r>
              <w:rPr>
                <w:rFonts w:ascii="宋体" w:eastAsia="宋体"/>
                <w:b/>
                <w:color w:val="auto"/>
                <w:sz w:val="22"/>
                <w:highlight w:val="none"/>
              </w:rPr>
              <w:t>4</w:t>
            </w:r>
            <w:r>
              <w:rPr>
                <w:rFonts w:hint="eastAsia" w:ascii="宋体" w:eastAsia="宋体"/>
                <w:b/>
                <w:color w:val="auto"/>
                <w:sz w:val="22"/>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3</w:t>
            </w:r>
          </w:p>
        </w:tc>
        <w:tc>
          <w:tcPr>
            <w:tcW w:w="119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lang w:eastAsia="zh-CN"/>
              </w:rPr>
              <w:t>供应商</w:t>
            </w:r>
            <w:r>
              <w:rPr>
                <w:rFonts w:hint="eastAsia" w:ascii="宋体" w:eastAsia="宋体"/>
                <w:color w:val="auto"/>
                <w:sz w:val="22"/>
                <w:highlight w:val="none"/>
              </w:rPr>
              <w:t>实力</w:t>
            </w:r>
          </w:p>
        </w:tc>
        <w:tc>
          <w:tcPr>
            <w:tcW w:w="885" w:type="dxa"/>
            <w:vAlign w:val="center"/>
          </w:tcPr>
          <w:p>
            <w:pPr>
              <w:pStyle w:val="36"/>
              <w:spacing w:line="360" w:lineRule="exact"/>
              <w:ind w:firstLine="0" w:firstLineChars="0"/>
              <w:jc w:val="center"/>
              <w:rPr>
                <w:rFonts w:ascii="宋体" w:eastAsia="宋体"/>
                <w:color w:val="auto"/>
                <w:sz w:val="22"/>
                <w:highlight w:val="none"/>
              </w:rPr>
            </w:pPr>
            <w:r>
              <w:rPr>
                <w:rFonts w:ascii="宋体" w:eastAsia="宋体"/>
                <w:color w:val="auto"/>
                <w:sz w:val="22"/>
                <w:highlight w:val="none"/>
              </w:rPr>
              <w:t>21</w:t>
            </w:r>
            <w:r>
              <w:rPr>
                <w:rFonts w:hint="eastAsia" w:ascii="宋体" w:eastAsia="宋体"/>
                <w:color w:val="auto"/>
                <w:sz w:val="22"/>
                <w:highlight w:val="none"/>
              </w:rPr>
              <w:t>分</w:t>
            </w:r>
          </w:p>
        </w:tc>
        <w:tc>
          <w:tcPr>
            <w:tcW w:w="6128"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具有国家认证认可监督管理部门批准设立的认证机构颁发的数据存储安全管理体系认证证书、质量管理体系认证证书、业务连续性管理体系证书、隐私信息管理体系认证证书、网络空间安全管理体系认证证书、大数据安全管理体系认证证书、信息技术服务管理体系认证证书的每个得3分，</w:t>
            </w:r>
            <w:r>
              <w:rPr>
                <w:rFonts w:hint="eastAsia" w:ascii="宋体" w:hAnsi="宋体" w:eastAsia="宋体"/>
                <w:color w:val="auto"/>
                <w:sz w:val="21"/>
                <w:szCs w:val="21"/>
                <w:highlight w:val="none"/>
                <w:lang w:val="en-US" w:eastAsia="zh-CN"/>
              </w:rPr>
              <w:t>本项</w:t>
            </w:r>
            <w:r>
              <w:rPr>
                <w:rFonts w:hint="eastAsia" w:ascii="宋体" w:hAnsi="宋体" w:eastAsia="宋体"/>
                <w:color w:val="auto"/>
                <w:sz w:val="21"/>
                <w:szCs w:val="21"/>
                <w:highlight w:val="none"/>
              </w:rPr>
              <w:t>最高得21分。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注：以上须提供证书复印件</w:t>
            </w:r>
            <w:r>
              <w:rPr>
                <w:rFonts w:hint="eastAsia" w:ascii="宋体" w:hAnsi="宋体" w:eastAsia="宋体"/>
                <w:color w:val="auto"/>
                <w:sz w:val="21"/>
                <w:szCs w:val="21"/>
                <w:highlight w:val="none"/>
                <w:lang w:val="en-US" w:eastAsia="zh-CN"/>
              </w:rPr>
              <w:t>并加盖供应商公章</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否则不得分。（</w:t>
            </w:r>
            <w:r>
              <w:rPr>
                <w:rFonts w:hint="eastAsia" w:ascii="宋体" w:hAnsi="宋体" w:eastAsia="宋体"/>
                <w:color w:val="auto"/>
                <w:sz w:val="21"/>
                <w:szCs w:val="21"/>
                <w:highlight w:val="none"/>
              </w:rPr>
              <w:t>提供材料范围含其上级分公司或总公司</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4</w:t>
            </w:r>
          </w:p>
        </w:tc>
        <w:tc>
          <w:tcPr>
            <w:tcW w:w="119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lang w:eastAsia="zh-CN"/>
              </w:rPr>
              <w:t>供应商</w:t>
            </w:r>
            <w:r>
              <w:rPr>
                <w:rFonts w:hint="eastAsia" w:ascii="宋体" w:eastAsia="宋体"/>
                <w:color w:val="auto"/>
                <w:sz w:val="22"/>
                <w:highlight w:val="none"/>
              </w:rPr>
              <w:t>荣誉</w:t>
            </w:r>
          </w:p>
        </w:tc>
        <w:tc>
          <w:tcPr>
            <w:tcW w:w="885" w:type="dxa"/>
            <w:vAlign w:val="center"/>
          </w:tcPr>
          <w:p>
            <w:pPr>
              <w:pStyle w:val="36"/>
              <w:spacing w:line="360" w:lineRule="exact"/>
              <w:ind w:firstLine="0" w:firstLineChars="0"/>
              <w:jc w:val="center"/>
              <w:rPr>
                <w:rFonts w:ascii="宋体" w:eastAsia="宋体"/>
                <w:color w:val="auto"/>
                <w:sz w:val="22"/>
                <w:highlight w:val="none"/>
              </w:rPr>
            </w:pPr>
            <w:r>
              <w:rPr>
                <w:rFonts w:ascii="宋体" w:eastAsia="宋体"/>
                <w:color w:val="auto"/>
                <w:sz w:val="22"/>
                <w:highlight w:val="none"/>
              </w:rPr>
              <w:t>4</w:t>
            </w:r>
            <w:r>
              <w:rPr>
                <w:rFonts w:hint="eastAsia" w:ascii="宋体" w:eastAsia="宋体"/>
                <w:color w:val="auto"/>
                <w:sz w:val="22"/>
                <w:highlight w:val="none"/>
              </w:rPr>
              <w:t>分</w:t>
            </w:r>
          </w:p>
        </w:tc>
        <w:tc>
          <w:tcPr>
            <w:tcW w:w="6128"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获得过省级（或以上）科学技术类奖项的，每个得2分，本项最高得4分，无不得分。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注：以上须提供</w:t>
            </w:r>
            <w:r>
              <w:rPr>
                <w:rFonts w:hint="eastAsia" w:ascii="宋体" w:hAnsi="宋体" w:eastAsia="宋体"/>
                <w:color w:val="auto"/>
                <w:sz w:val="21"/>
                <w:szCs w:val="21"/>
                <w:highlight w:val="none"/>
                <w:lang w:val="en-US" w:eastAsia="zh-CN"/>
              </w:rPr>
              <w:t>荣誉</w:t>
            </w:r>
            <w:r>
              <w:rPr>
                <w:rFonts w:hint="eastAsia" w:ascii="宋体" w:hAnsi="宋体" w:eastAsia="宋体"/>
                <w:color w:val="auto"/>
                <w:sz w:val="21"/>
                <w:szCs w:val="21"/>
                <w:highlight w:val="none"/>
              </w:rPr>
              <w:t>证书复印件</w:t>
            </w:r>
            <w:r>
              <w:rPr>
                <w:rFonts w:hint="eastAsia" w:ascii="宋体" w:hAnsi="宋体" w:eastAsia="宋体"/>
                <w:color w:val="auto"/>
                <w:sz w:val="21"/>
                <w:szCs w:val="21"/>
                <w:highlight w:val="none"/>
                <w:lang w:val="en-US" w:eastAsia="zh-CN"/>
              </w:rPr>
              <w:t>并加盖供应商公章</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否则不得分。</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提供材料范围含其上级分公司或总公司</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5</w:t>
            </w:r>
          </w:p>
        </w:tc>
        <w:tc>
          <w:tcPr>
            <w:tcW w:w="119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业绩</w:t>
            </w:r>
          </w:p>
        </w:tc>
        <w:tc>
          <w:tcPr>
            <w:tcW w:w="885" w:type="dxa"/>
            <w:vAlign w:val="center"/>
          </w:tcPr>
          <w:p>
            <w:pPr>
              <w:pStyle w:val="36"/>
              <w:spacing w:line="360" w:lineRule="exact"/>
              <w:ind w:firstLine="0" w:firstLineChars="0"/>
              <w:jc w:val="center"/>
              <w:rPr>
                <w:rFonts w:ascii="宋体" w:eastAsia="宋体"/>
                <w:color w:val="auto"/>
                <w:sz w:val="22"/>
                <w:highlight w:val="none"/>
              </w:rPr>
            </w:pPr>
            <w:r>
              <w:rPr>
                <w:rFonts w:ascii="宋体" w:eastAsia="宋体"/>
                <w:color w:val="auto"/>
                <w:sz w:val="22"/>
                <w:highlight w:val="none"/>
              </w:rPr>
              <w:t>15</w:t>
            </w:r>
            <w:r>
              <w:rPr>
                <w:rFonts w:hint="eastAsia" w:ascii="宋体" w:eastAsia="宋体"/>
                <w:color w:val="auto"/>
                <w:sz w:val="22"/>
                <w:highlight w:val="none"/>
              </w:rPr>
              <w:t>分</w:t>
            </w:r>
          </w:p>
        </w:tc>
        <w:tc>
          <w:tcPr>
            <w:tcW w:w="6128"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2018年1月1日以来（以合同签订时间为准）承接的算力类项目业绩</w:t>
            </w:r>
            <w:r>
              <w:rPr>
                <w:rFonts w:hint="eastAsia" w:ascii="宋体" w:hAnsi="宋体" w:eastAsia="宋体"/>
                <w:color w:val="auto"/>
                <w:sz w:val="21"/>
                <w:szCs w:val="21"/>
                <w:highlight w:val="none"/>
                <w:lang w:val="en-US" w:eastAsia="zh-CN"/>
              </w:rPr>
              <w:t>进行评审</w:t>
            </w:r>
            <w:r>
              <w:rPr>
                <w:rFonts w:hint="eastAsia" w:ascii="宋体" w:hAnsi="宋体" w:eastAsia="宋体"/>
                <w:color w:val="auto"/>
                <w:sz w:val="21"/>
                <w:szCs w:val="21"/>
                <w:highlight w:val="none"/>
              </w:rPr>
              <w:t>，每</w:t>
            </w:r>
            <w:r>
              <w:rPr>
                <w:rFonts w:hint="eastAsia" w:ascii="宋体" w:hAnsi="宋体" w:eastAsia="宋体"/>
                <w:color w:val="auto"/>
                <w:sz w:val="21"/>
                <w:szCs w:val="21"/>
                <w:highlight w:val="none"/>
                <w:lang w:val="en-US" w:eastAsia="zh-CN"/>
              </w:rPr>
              <w:t>提供一</w:t>
            </w:r>
            <w:r>
              <w:rPr>
                <w:rFonts w:hint="eastAsia" w:ascii="宋体" w:hAnsi="宋体" w:eastAsia="宋体"/>
                <w:color w:val="auto"/>
                <w:sz w:val="21"/>
                <w:szCs w:val="21"/>
                <w:highlight w:val="none"/>
              </w:rPr>
              <w:t>个得3分，</w:t>
            </w:r>
            <w:r>
              <w:rPr>
                <w:rFonts w:hint="eastAsia" w:ascii="宋体" w:hAnsi="宋体" w:eastAsia="宋体"/>
                <w:color w:val="auto"/>
                <w:sz w:val="21"/>
                <w:szCs w:val="21"/>
                <w:highlight w:val="none"/>
                <w:lang w:val="en-US" w:eastAsia="zh-CN"/>
              </w:rPr>
              <w:t>本项</w:t>
            </w:r>
            <w:r>
              <w:rPr>
                <w:rFonts w:hint="eastAsia" w:ascii="宋体" w:hAnsi="宋体" w:eastAsia="宋体"/>
                <w:color w:val="auto"/>
                <w:sz w:val="21"/>
                <w:szCs w:val="21"/>
                <w:highlight w:val="none"/>
              </w:rPr>
              <w:t>最高15分。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注：</w:t>
            </w:r>
            <w:r>
              <w:rPr>
                <w:rFonts w:hint="eastAsia" w:ascii="宋体" w:hAnsi="宋体" w:eastAsia="宋体"/>
                <w:color w:val="auto"/>
                <w:sz w:val="21"/>
                <w:szCs w:val="21"/>
                <w:highlight w:val="none"/>
              </w:rPr>
              <w:t>须提供合同关键页</w:t>
            </w:r>
            <w:r>
              <w:rPr>
                <w:rFonts w:hint="eastAsia" w:ascii="宋体" w:hAnsi="宋体" w:eastAsia="宋体"/>
                <w:color w:val="auto"/>
                <w:sz w:val="21"/>
                <w:szCs w:val="21"/>
                <w:highlight w:val="none"/>
                <w:lang w:eastAsia="zh-CN"/>
              </w:rPr>
              <w:t>（</w:t>
            </w:r>
            <w:r>
              <w:rPr>
                <w:rFonts w:hint="eastAsia" w:ascii="宋体" w:hAnsi="宋体" w:eastAsia="宋体" w:cs="宋体"/>
                <w:bCs/>
                <w:color w:val="auto"/>
                <w:szCs w:val="21"/>
                <w:highlight w:val="none"/>
                <w:lang w:val="pt-BR"/>
              </w:rPr>
              <w:t>关键页包括合同名称、签字及落款盖章页</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复印件加盖</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公章，</w:t>
            </w:r>
            <w:r>
              <w:rPr>
                <w:rFonts w:hint="eastAsia" w:ascii="宋体" w:hAnsi="宋体" w:eastAsia="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31" w:type="dxa"/>
            <w:gridSpan w:val="4"/>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b/>
                <w:color w:val="auto"/>
                <w:sz w:val="22"/>
                <w:highlight w:val="none"/>
              </w:rPr>
              <w:t>技术评分（</w:t>
            </w:r>
            <w:r>
              <w:rPr>
                <w:rFonts w:ascii="宋体" w:eastAsia="宋体"/>
                <w:b/>
                <w:color w:val="auto"/>
                <w:sz w:val="22"/>
                <w:highlight w:val="none"/>
              </w:rPr>
              <w:t>5</w:t>
            </w:r>
            <w:r>
              <w:rPr>
                <w:rFonts w:hint="eastAsia" w:ascii="宋体" w:eastAsia="宋体"/>
                <w:b/>
                <w:color w:val="auto"/>
                <w:sz w:val="22"/>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6</w:t>
            </w:r>
          </w:p>
        </w:tc>
        <w:tc>
          <w:tcPr>
            <w:tcW w:w="1194"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拟投入本项目人员情况</w:t>
            </w:r>
          </w:p>
        </w:tc>
        <w:tc>
          <w:tcPr>
            <w:tcW w:w="885"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15分</w:t>
            </w:r>
          </w:p>
        </w:tc>
        <w:tc>
          <w:tcPr>
            <w:tcW w:w="6128" w:type="dxa"/>
          </w:tcPr>
          <w:p>
            <w:pPr>
              <w:keepNext w:val="0"/>
              <w:keepLines w:val="0"/>
              <w:pageBreakBefore w:val="0"/>
              <w:widowControl/>
              <w:kinsoku/>
              <w:wordWrap/>
              <w:overflowPunct/>
              <w:topLinePunct w:val="0"/>
              <w:autoSpaceDE w:val="0"/>
              <w:autoSpaceDN w:val="0"/>
              <w:bidi w:val="0"/>
              <w:adjustRightInd w:val="0"/>
              <w:snapToGrid w:val="0"/>
              <w:spacing w:line="240" w:lineRule="auto"/>
              <w:ind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一、拟投入的项目经理（仅1人）具有：</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①人力资源和社会保障部门或工业和信息化部门颁发的高级项目经理证书；</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②人力资源和社会保障部门或工业和信息化部门颁发的高级技师证书；</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③人力资源和社会保障部门或工业和信息化部门颁发的高级工程师证书；</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④工业和信息化部门颁发的高级网络与信息安全管理师证书；</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以上证书每个得2分，最高8分，无不得分。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注：</w:t>
            </w:r>
            <w:r>
              <w:rPr>
                <w:rFonts w:hint="eastAsia" w:ascii="宋体" w:hAnsi="宋体"/>
                <w:color w:val="auto"/>
                <w:sz w:val="21"/>
                <w:szCs w:val="21"/>
                <w:highlight w:val="none"/>
              </w:rPr>
              <w:t>须提供人员的有效证书及</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为其缴纳的</w:t>
            </w:r>
            <w:r>
              <w:rPr>
                <w:rFonts w:hint="eastAsia" w:ascii="宋体" w:hAnsi="宋体"/>
                <w:color w:val="auto"/>
                <w:sz w:val="21"/>
                <w:szCs w:val="21"/>
                <w:highlight w:val="none"/>
                <w:lang w:val="en-US" w:eastAsia="zh-CN"/>
              </w:rPr>
              <w:t>距开标前</w:t>
            </w:r>
            <w:r>
              <w:rPr>
                <w:rFonts w:hint="eastAsia" w:ascii="宋体" w:hAnsi="宋体"/>
                <w:color w:val="auto"/>
                <w:sz w:val="21"/>
                <w:szCs w:val="21"/>
                <w:highlight w:val="none"/>
              </w:rPr>
              <w:t>6个月</w:t>
            </w:r>
            <w:r>
              <w:rPr>
                <w:rFonts w:hint="eastAsia" w:ascii="宋体" w:hAnsi="宋体"/>
                <w:color w:val="auto"/>
                <w:sz w:val="21"/>
                <w:szCs w:val="21"/>
                <w:highlight w:val="none"/>
                <w:lang w:val="en-US" w:eastAsia="zh-CN"/>
              </w:rPr>
              <w:t>内</w:t>
            </w:r>
            <w:r>
              <w:rPr>
                <w:rFonts w:hint="eastAsia" w:ascii="宋体" w:hAnsi="宋体"/>
                <w:color w:val="auto"/>
                <w:sz w:val="21"/>
                <w:szCs w:val="21"/>
                <w:highlight w:val="none"/>
              </w:rPr>
              <w:t>（不含开标当月）任意</w:t>
            </w:r>
            <w:r>
              <w:rPr>
                <w:rFonts w:ascii="宋体" w:hAnsi="宋体"/>
                <w:color w:val="auto"/>
                <w:sz w:val="21"/>
                <w:szCs w:val="21"/>
                <w:highlight w:val="none"/>
              </w:rPr>
              <w:t>1</w:t>
            </w:r>
            <w:r>
              <w:rPr>
                <w:rFonts w:hint="eastAsia" w:ascii="宋体" w:hAnsi="宋体"/>
                <w:color w:val="auto"/>
                <w:sz w:val="21"/>
                <w:szCs w:val="21"/>
                <w:highlight w:val="none"/>
              </w:rPr>
              <w:t>个月的社保证明复印件加盖公章</w:t>
            </w:r>
            <w:r>
              <w:rPr>
                <w:rFonts w:hint="eastAsia" w:ascii="宋体" w:hAnsi="宋体"/>
                <w:color w:val="auto"/>
                <w:sz w:val="21"/>
                <w:szCs w:val="21"/>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b/>
                <w:color w:val="auto"/>
                <w:sz w:val="21"/>
                <w:szCs w:val="21"/>
                <w:highlight w:val="none"/>
              </w:rPr>
              <w:t>拟投入人员（除项目经理）：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①技术人员具有工业和信息化部相关部门颁发的中级或以上网络与信息安全管理师证书的，每一名得1分，</w:t>
            </w:r>
            <w:r>
              <w:rPr>
                <w:rFonts w:hint="eastAsia" w:ascii="宋体" w:hAnsi="宋体"/>
                <w:color w:val="auto"/>
                <w:sz w:val="21"/>
                <w:szCs w:val="21"/>
                <w:highlight w:val="none"/>
                <w:lang w:val="en-US" w:eastAsia="zh-CN"/>
              </w:rPr>
              <w:t>本项</w:t>
            </w:r>
            <w:r>
              <w:rPr>
                <w:rFonts w:hint="eastAsia" w:ascii="宋体" w:hAnsi="宋体"/>
                <w:color w:val="auto"/>
                <w:sz w:val="21"/>
                <w:szCs w:val="21"/>
                <w:highlight w:val="none"/>
              </w:rPr>
              <w:t>最高得3分。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②技术人员具有人力资源和社会保障部门或工业和信息化部门颁发的中级或以上工程师证书的，每一名得1分，</w:t>
            </w:r>
            <w:r>
              <w:rPr>
                <w:rFonts w:hint="eastAsia" w:ascii="宋体" w:hAnsi="宋体"/>
                <w:color w:val="auto"/>
                <w:sz w:val="21"/>
                <w:szCs w:val="21"/>
                <w:highlight w:val="none"/>
                <w:lang w:val="en-US" w:eastAsia="zh-CN"/>
              </w:rPr>
              <w:t>本项</w:t>
            </w:r>
            <w:r>
              <w:rPr>
                <w:rFonts w:hint="eastAsia" w:ascii="宋体" w:hAnsi="宋体"/>
                <w:color w:val="auto"/>
                <w:sz w:val="21"/>
                <w:szCs w:val="21"/>
                <w:highlight w:val="none"/>
              </w:rPr>
              <w:t>最高得4分。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【同一人员具有多项证书的不重复得分，须提供人员的有效证书及</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为其缴纳的</w:t>
            </w:r>
            <w:r>
              <w:rPr>
                <w:rFonts w:hint="eastAsia" w:ascii="宋体" w:hAnsi="宋体"/>
                <w:color w:val="auto"/>
                <w:sz w:val="21"/>
                <w:szCs w:val="21"/>
                <w:highlight w:val="none"/>
                <w:lang w:val="en-US" w:eastAsia="zh-CN"/>
              </w:rPr>
              <w:t>距开标前</w:t>
            </w:r>
            <w:r>
              <w:rPr>
                <w:rFonts w:hint="eastAsia" w:ascii="宋体" w:hAnsi="宋体"/>
                <w:color w:val="auto"/>
                <w:sz w:val="21"/>
                <w:szCs w:val="21"/>
                <w:highlight w:val="none"/>
              </w:rPr>
              <w:t>6个月</w:t>
            </w:r>
            <w:r>
              <w:rPr>
                <w:rFonts w:hint="eastAsia" w:ascii="宋体" w:hAnsi="宋体"/>
                <w:color w:val="auto"/>
                <w:sz w:val="21"/>
                <w:szCs w:val="21"/>
                <w:highlight w:val="none"/>
                <w:lang w:val="en-US" w:eastAsia="zh-CN"/>
              </w:rPr>
              <w:t>内</w:t>
            </w:r>
            <w:r>
              <w:rPr>
                <w:rFonts w:hint="eastAsia" w:ascii="宋体" w:hAnsi="宋体"/>
                <w:color w:val="auto"/>
                <w:sz w:val="21"/>
                <w:szCs w:val="21"/>
                <w:highlight w:val="none"/>
              </w:rPr>
              <w:t>（不含开标当月）任意</w:t>
            </w:r>
            <w:r>
              <w:rPr>
                <w:rFonts w:ascii="宋体" w:hAnsi="宋体"/>
                <w:color w:val="auto"/>
                <w:sz w:val="21"/>
                <w:szCs w:val="21"/>
                <w:highlight w:val="none"/>
              </w:rPr>
              <w:t>1</w:t>
            </w:r>
            <w:r>
              <w:rPr>
                <w:rFonts w:hint="eastAsia" w:ascii="宋体" w:hAnsi="宋体"/>
                <w:color w:val="auto"/>
                <w:sz w:val="21"/>
                <w:szCs w:val="21"/>
                <w:highlight w:val="none"/>
              </w:rPr>
              <w:t>个月的社保证明复印件加盖公章】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7</w:t>
            </w:r>
          </w:p>
        </w:tc>
        <w:tc>
          <w:tcPr>
            <w:tcW w:w="1194"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项目技术方案</w:t>
            </w:r>
          </w:p>
        </w:tc>
        <w:tc>
          <w:tcPr>
            <w:tcW w:w="885"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12分</w:t>
            </w:r>
          </w:p>
        </w:tc>
        <w:tc>
          <w:tcPr>
            <w:tcW w:w="6128" w:type="dxa"/>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根据</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对项目的理解、技术方案、管理方案、日常巡查方案等进行综合评审：</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项目技术方案提供完整可行，且有具体的工作流程与服务标准说明的，得12分；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提供的项目技术方案完整可行，且有比较具体的工作流程与服务标准说明的，得</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提供的项目技术方案基本可行，且有比较具体的工作流程与服务标准说明的，得</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提供的项目技术方案一般，工作流程与服务标准说明一般，得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未提供方案的不得分。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8</w:t>
            </w:r>
          </w:p>
        </w:tc>
        <w:tc>
          <w:tcPr>
            <w:tcW w:w="1194"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项目实施方案</w:t>
            </w:r>
          </w:p>
        </w:tc>
        <w:tc>
          <w:tcPr>
            <w:tcW w:w="885"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w:t>
            </w:r>
            <w:r>
              <w:rPr>
                <w:rFonts w:hint="eastAsia" w:ascii="宋体" w:eastAsia="宋体"/>
                <w:color w:val="auto"/>
                <w:sz w:val="22"/>
                <w:highlight w:val="none"/>
                <w:lang w:val="en-US" w:eastAsia="zh-CN"/>
              </w:rPr>
              <w:t>3</w:t>
            </w:r>
            <w:r>
              <w:rPr>
                <w:rFonts w:hint="eastAsia" w:ascii="宋体" w:eastAsia="宋体"/>
                <w:color w:val="auto"/>
                <w:sz w:val="22"/>
                <w:highlight w:val="none"/>
              </w:rPr>
              <w:t>分</w:t>
            </w:r>
          </w:p>
        </w:tc>
        <w:tc>
          <w:tcPr>
            <w:tcW w:w="6128" w:type="dxa"/>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根据</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提供的实施方案，包括人员安排、调试方案、进度计划、保证措施、培训计划和承诺等进行综合评审：</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项目实施方案提供完整可行，且有具体的工作流程与服务标准说明的，得</w:t>
            </w:r>
            <w:r>
              <w:rPr>
                <w:rFonts w:hint="eastAsia" w:ascii="宋体" w:hAnsi="宋体"/>
                <w:color w:val="auto"/>
                <w:sz w:val="21"/>
                <w:szCs w:val="21"/>
                <w:highlight w:val="none"/>
                <w:lang w:val="en-US" w:eastAsia="zh-CN"/>
              </w:rPr>
              <w:t>13</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提供的项目实施方案可行，且有比较具体的工作流程与服务标准说明的，得</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提供的项目实施方案基本可行，且有比较具体的工作流程与服务标准说明的，得</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提供的项目实施方案一般，工作流程与服务标准说明一般，得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未提供方案的不得分。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36"/>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9</w:t>
            </w:r>
          </w:p>
        </w:tc>
        <w:tc>
          <w:tcPr>
            <w:tcW w:w="1194"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售后服务方案</w:t>
            </w:r>
          </w:p>
        </w:tc>
        <w:tc>
          <w:tcPr>
            <w:tcW w:w="885" w:type="dxa"/>
            <w:vAlign w:val="center"/>
          </w:tcPr>
          <w:p>
            <w:pPr>
              <w:pStyle w:val="36"/>
              <w:autoSpaceDE w:val="0"/>
              <w:autoSpaceDN w:val="0"/>
              <w:adjustRightInd w:val="0"/>
              <w:spacing w:line="360" w:lineRule="exact"/>
              <w:ind w:firstLine="0" w:firstLineChars="0"/>
              <w:jc w:val="center"/>
              <w:rPr>
                <w:rFonts w:ascii="宋体" w:eastAsia="宋体"/>
                <w:color w:val="auto"/>
                <w:sz w:val="22"/>
                <w:highlight w:val="none"/>
              </w:rPr>
            </w:pPr>
            <w:r>
              <w:rPr>
                <w:rFonts w:hint="eastAsia" w:ascii="宋体" w:eastAsia="宋体"/>
                <w:color w:val="auto"/>
                <w:sz w:val="22"/>
                <w:highlight w:val="none"/>
              </w:rPr>
              <w:t>1</w:t>
            </w:r>
            <w:r>
              <w:rPr>
                <w:rFonts w:hint="eastAsia" w:ascii="宋体" w:eastAsia="宋体"/>
                <w:color w:val="auto"/>
                <w:sz w:val="22"/>
                <w:highlight w:val="none"/>
                <w:lang w:val="en-US" w:eastAsia="zh-CN"/>
              </w:rPr>
              <w:t>0</w:t>
            </w:r>
            <w:r>
              <w:rPr>
                <w:rFonts w:hint="eastAsia" w:ascii="宋体" w:eastAsia="宋体"/>
                <w:color w:val="auto"/>
                <w:sz w:val="22"/>
                <w:highlight w:val="none"/>
              </w:rPr>
              <w:t>分</w:t>
            </w:r>
          </w:p>
        </w:tc>
        <w:tc>
          <w:tcPr>
            <w:tcW w:w="6128" w:type="dxa"/>
          </w:tcPr>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根据项目安排的售后服务响应、应急服务响应、故障响应、质量保证体系及措施、服务承诺等进行评分。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售后服务响应完整科学、可行性强，完全满足并优于</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要求，得1</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售后服务响应完整、可行性较强，符合</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要求，得</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售后服务响应完整、可行性一般，基本符合</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要求，得</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售后服务响应基本完整、可行性较差，基本符合</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要求，得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未提供售后服务响应承诺不得分。</w:t>
            </w:r>
          </w:p>
        </w:tc>
      </w:tr>
    </w:tbl>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4"/>
          <w:szCs w:val="24"/>
          <w:highlight w:val="none"/>
        </w:rPr>
      </w:pPr>
      <w:r>
        <w:rPr>
          <w:rFonts w:hint="eastAsia"/>
          <w:color w:val="auto"/>
          <w:sz w:val="28"/>
          <w:szCs w:val="28"/>
          <w:highlight w:val="none"/>
        </w:rPr>
        <w:t>第四部分 供应商须知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highlight w:val="none"/>
        </w:rPr>
      </w:pPr>
      <w:bookmarkStart w:id="21" w:name="_Toc6882675"/>
      <w:bookmarkStart w:id="22" w:name="_Toc6968687"/>
      <w:bookmarkStart w:id="23" w:name="_Toc102277756"/>
      <w:bookmarkStart w:id="24" w:name="_Toc466786434"/>
      <w:bookmarkStart w:id="25" w:name="_Toc28014"/>
      <w:bookmarkStart w:id="26" w:name="_Toc507407359"/>
      <w:bookmarkStart w:id="27" w:name="_Toc24057"/>
      <w:bookmarkStart w:id="28" w:name="_Toc480021037"/>
      <w:bookmarkStart w:id="29" w:name="_Toc479991566"/>
      <w:bookmarkStart w:id="30" w:name="_Toc480010692"/>
      <w:bookmarkStart w:id="31" w:name="_Toc458262599"/>
      <w:bookmarkStart w:id="32" w:name="_Toc480020241"/>
      <w:bookmarkStart w:id="33" w:name="_Toc468157520"/>
      <w:bookmarkStart w:id="34" w:name="_Toc48207756"/>
      <w:bookmarkStart w:id="35" w:name="_Toc480171863"/>
      <w:bookmarkStart w:id="36" w:name="_Toc467987807"/>
      <w:bookmarkStart w:id="37" w:name="_Toc467236724"/>
      <w:bookmarkStart w:id="38" w:name="_Toc468606013"/>
      <w:r>
        <w:rPr>
          <w:rFonts w:hint="eastAsia" w:ascii="宋体" w:hAnsi="宋体" w:eastAsia="宋体"/>
          <w:color w:val="auto"/>
          <w:sz w:val="24"/>
          <w:szCs w:val="21"/>
          <w:highlight w:val="none"/>
        </w:rPr>
        <w:t>第一章说  明</w:t>
      </w:r>
      <w:bookmarkEnd w:id="21"/>
      <w:bookmarkEnd w:id="22"/>
      <w:bookmarkEnd w:id="23"/>
      <w:bookmarkEnd w:id="24"/>
      <w:bookmarkEnd w:id="25"/>
      <w:bookmarkEnd w:id="26"/>
      <w:bookmarkEnd w:id="27"/>
    </w:p>
    <w:p>
      <w:pPr>
        <w:pStyle w:val="4"/>
        <w:keepNext w:val="0"/>
        <w:keepLines w:val="0"/>
        <w:numPr>
          <w:ilvl w:val="0"/>
          <w:numId w:val="5"/>
        </w:numPr>
        <w:adjustRightInd/>
        <w:rPr>
          <w:rFonts w:hAnsi="宋体"/>
          <w:color w:val="auto"/>
          <w:sz w:val="21"/>
          <w:szCs w:val="21"/>
          <w:highlight w:val="none"/>
        </w:rPr>
      </w:pPr>
      <w:bookmarkStart w:id="39" w:name="_Toc17291"/>
      <w:bookmarkStart w:id="40" w:name="_Toc10228"/>
      <w:bookmarkStart w:id="41" w:name="_Toc475249114"/>
      <w:r>
        <w:rPr>
          <w:rFonts w:hint="eastAsia" w:hAnsi="宋体"/>
          <w:color w:val="auto"/>
          <w:sz w:val="21"/>
          <w:szCs w:val="21"/>
          <w:highlight w:val="none"/>
        </w:rPr>
        <w:t>适用范围</w:t>
      </w:r>
      <w:bookmarkEnd w:id="39"/>
      <w:bookmarkEnd w:id="40"/>
      <w:bookmarkEnd w:id="41"/>
    </w:p>
    <w:p>
      <w:pPr>
        <w:numPr>
          <w:ilvl w:val="1"/>
          <w:numId w:val="6"/>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本磋商文件仅适用于本次采购邀请中所叙述的项目。</w:t>
      </w:r>
    </w:p>
    <w:p>
      <w:pPr>
        <w:rPr>
          <w:rFonts w:ascii="宋体" w:hAnsi="宋体" w:cs="宋体"/>
          <w:color w:val="auto"/>
          <w:szCs w:val="21"/>
          <w:highlight w:val="none"/>
        </w:rPr>
      </w:pPr>
      <w:bookmarkStart w:id="42" w:name="_Toc475249115"/>
    </w:p>
    <w:p>
      <w:pPr>
        <w:pStyle w:val="4"/>
        <w:keepNext w:val="0"/>
        <w:keepLines w:val="0"/>
        <w:numPr>
          <w:ilvl w:val="0"/>
          <w:numId w:val="5"/>
        </w:numPr>
        <w:adjustRightInd/>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“采购代理机构”是指广东政通招标有限公司。</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“供应商”指根据磋商文件要求进行文件领购并向采购代理机构提交响应文件参与本项目的法人。</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“法人”是依法在国内进行注册并具有民事权利能力和民事行为能力，依法独立享有民事权利和承担民事义务的组织。</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“货物”是指</w:t>
      </w:r>
      <w:r>
        <w:rPr>
          <w:rFonts w:ascii="宋体" w:hAnsi="宋体"/>
          <w:color w:val="auto"/>
          <w:szCs w:val="21"/>
          <w:highlight w:val="none"/>
        </w:rPr>
        <w:t>各种形态和种类的物品，包括原材料、燃料、设备、产品等</w:t>
      </w:r>
      <w:r>
        <w:rPr>
          <w:rFonts w:hint="eastAsia" w:ascii="宋体" w:hAnsi="宋体"/>
          <w:color w:val="auto"/>
          <w:szCs w:val="21"/>
          <w:highlight w:val="none"/>
        </w:rPr>
        <w:t>。</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“工程”是指建设工程，包括建筑物和构筑物的新建、改建、扩建及其相关的装修、拆除、修缮等。</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“语言”是指采购文件的语言为简体中文。</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“日期”是指公历日。</w:t>
      </w:r>
    </w:p>
    <w:p>
      <w:pPr>
        <w:numPr>
          <w:ilvl w:val="1"/>
          <w:numId w:val="7"/>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“时间”是指北京时间。</w:t>
      </w:r>
    </w:p>
    <w:p>
      <w:pPr>
        <w:rPr>
          <w:rFonts w:ascii="宋体" w:hAnsi="宋体" w:cs="宋体"/>
          <w:color w:val="auto"/>
          <w:szCs w:val="21"/>
          <w:highlight w:val="none"/>
        </w:rPr>
      </w:pPr>
      <w:bookmarkStart w:id="45" w:name="_Toc110953831"/>
      <w:bookmarkStart w:id="46" w:name="_Toc6882676"/>
      <w:bookmarkStart w:id="47" w:name="_Toc102277757"/>
      <w:bookmarkStart w:id="48" w:name="_Toc507407360"/>
      <w:bookmarkStart w:id="49" w:name="_Toc466786435"/>
      <w:bookmarkStart w:id="50" w:name="_Toc6968688"/>
    </w:p>
    <w:p>
      <w:pPr>
        <w:pStyle w:val="4"/>
        <w:keepNext w:val="0"/>
        <w:keepLines w:val="0"/>
        <w:numPr>
          <w:ilvl w:val="0"/>
          <w:numId w:val="5"/>
        </w:numPr>
        <w:adjustRightInd/>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4"/>
        <w:keepNext w:val="0"/>
        <w:keepLines w:val="0"/>
        <w:numPr>
          <w:ilvl w:val="0"/>
          <w:numId w:val="5"/>
        </w:numPr>
        <w:adjustRightInd/>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采购货物为计算机办公设备或含有计算机办公设备时，供应商提供的产品必须是预装正版操作系统软件的计算机产品。</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供应商提供的服务、货物经认定存在侵权行为的，其响应文件无效，并上报相关监管部门。</w:t>
      </w:r>
    </w:p>
    <w:p>
      <w:pPr>
        <w:rPr>
          <w:rFonts w:ascii="宋体" w:hAnsi="宋体" w:cs="宋体"/>
          <w:color w:val="auto"/>
          <w:szCs w:val="21"/>
          <w:highlight w:val="none"/>
        </w:rPr>
      </w:pPr>
    </w:p>
    <w:p>
      <w:pPr>
        <w:pStyle w:val="4"/>
        <w:keepNext w:val="0"/>
        <w:keepLines w:val="0"/>
        <w:numPr>
          <w:ilvl w:val="0"/>
          <w:numId w:val="5"/>
        </w:numPr>
        <w:adjustRightInd/>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对接受联合体报价的项目：两个以上的自然人、法人或者其他组织可以组成一个联合体，以一个供应商的身份共同参加政府采购。</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以联合体形式参与项目的供应商在领购磋商文件时，应提供所有联合体组成成员的营业执照复印件，并加盖各联合体组成成员的公章。</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联合体各方均应当符合《政府采购法》第二十二条规定的条件。</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采购人根据采购项目的特殊要求规定供应商特定条件的，联合体各方中至少应当有一方符合采购人规定的特定条件。</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联合体中有同类资质的供应商按照联合体分工承担相同工作的，应当按照资质等级较低的联合体成员确定资质等级。</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除联合体协议明确授权盖章单位外，联合体报价时响应文件中所有要求盖章的地方均须加盖联合体所有组成成员的公章，否则该处盖章无效。</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rPr>
          <w:color w:val="auto"/>
          <w:highlight w:val="none"/>
        </w:rPr>
      </w:pPr>
    </w:p>
    <w:bookmarkEnd w:id="58"/>
    <w:p>
      <w:pPr>
        <w:pStyle w:val="4"/>
        <w:keepNext w:val="0"/>
        <w:keepLines w:val="0"/>
        <w:numPr>
          <w:ilvl w:val="0"/>
          <w:numId w:val="5"/>
        </w:numPr>
        <w:adjustRightInd/>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5"/>
        </w:numPr>
        <w:rPr>
          <w:rFonts w:ascii="宋体" w:hAnsi="宋体" w:cs="宋体"/>
          <w:color w:val="auto"/>
          <w:szCs w:val="21"/>
          <w:highlight w:val="none"/>
        </w:rPr>
      </w:pPr>
      <w:bookmarkStart w:id="61" w:name="_Toc98126220"/>
      <w:bookmarkStart w:id="62" w:name="_Toc98126295"/>
      <w:r>
        <w:rPr>
          <w:rFonts w:hint="eastAsia" w:ascii="宋体" w:hAnsi="宋体" w:cs="宋体"/>
          <w:color w:val="auto"/>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63" w:name="_Toc110953834"/>
      <w:bookmarkStart w:id="64" w:name="_Toc18108"/>
      <w:bookmarkStart w:id="65" w:name="_Toc16198"/>
      <w:r>
        <w:rPr>
          <w:rFonts w:hint="eastAsia" w:hAnsi="宋体"/>
          <w:color w:val="auto"/>
          <w:sz w:val="21"/>
          <w:szCs w:val="21"/>
          <w:highlight w:val="none"/>
        </w:rPr>
        <w:t>保密及其它注意事项</w:t>
      </w:r>
      <w:bookmarkEnd w:id="63"/>
      <w:bookmarkEnd w:id="64"/>
      <w:bookmarkEnd w:id="65"/>
    </w:p>
    <w:p>
      <w:pPr>
        <w:numPr>
          <w:ilvl w:val="1"/>
          <w:numId w:val="5"/>
        </w:numPr>
        <w:rPr>
          <w:rFonts w:ascii="宋体" w:hAnsi="宋体" w:cs="宋体"/>
          <w:color w:val="auto"/>
          <w:szCs w:val="21"/>
          <w:highlight w:val="none"/>
        </w:rPr>
      </w:pPr>
      <w:bookmarkStart w:id="66" w:name="_Toc98126222"/>
      <w:bookmarkStart w:id="67" w:name="_Toc98126297"/>
      <w:r>
        <w:rPr>
          <w:rFonts w:hint="eastAsia" w:ascii="宋体" w:hAnsi="宋体" w:cs="宋体"/>
          <w:color w:val="auto"/>
          <w:szCs w:val="21"/>
          <w:highlight w:val="none"/>
        </w:rPr>
        <w:t>凡参与采购工作的有关人员均应自觉接受有关主管部门的监督，不得向他人透露可能影响公平竞争的有关情况。</w:t>
      </w:r>
      <w:bookmarkEnd w:id="66"/>
      <w:bookmarkEnd w:id="67"/>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在评审期间，供应商不得向磋商小组成员询问评审情况，不得进行旨在影响评审结果的活动。</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供应商应承担所有与准备和参加报价有关的费用。不论报价的结果如何，采购代理机构和采购人均无义务和责任承担这些费用。</w:t>
      </w:r>
    </w:p>
    <w:p>
      <w:pPr>
        <w:ind w:firstLine="420" w:firstLineChars="200"/>
        <w:rPr>
          <w:rFonts w:ascii="宋体" w:hAnsi="宋体" w:cs="宋体"/>
          <w:color w:val="auto"/>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rPr>
        <w:t>第二章磋商文件说明</w:t>
      </w:r>
      <w:bookmarkEnd w:id="46"/>
      <w:bookmarkEnd w:id="47"/>
      <w:bookmarkEnd w:id="48"/>
      <w:bookmarkEnd w:id="49"/>
      <w:bookmarkEnd w:id="50"/>
      <w:bookmarkEnd w:id="68"/>
      <w:bookmarkEnd w:id="69"/>
    </w:p>
    <w:p>
      <w:pPr>
        <w:pStyle w:val="4"/>
        <w:keepNext w:val="0"/>
        <w:keepLines w:val="0"/>
        <w:numPr>
          <w:ilvl w:val="0"/>
          <w:numId w:val="5"/>
        </w:numPr>
        <w:adjustRightInd/>
        <w:rPr>
          <w:rFonts w:hAnsi="宋体"/>
          <w:color w:val="auto"/>
          <w:sz w:val="21"/>
          <w:szCs w:val="21"/>
          <w:highlight w:val="none"/>
        </w:rPr>
      </w:pPr>
      <w:bookmarkStart w:id="70" w:name="_Toc110953836"/>
      <w:bookmarkStart w:id="71" w:name="_Toc4511"/>
      <w:bookmarkStart w:id="72" w:name="_Toc21439"/>
      <w:bookmarkStart w:id="73" w:name="_Toc6882677"/>
      <w:bookmarkStart w:id="74" w:name="_Toc6968689"/>
      <w:bookmarkStart w:id="75" w:name="_Toc102277758"/>
      <w:bookmarkStart w:id="76" w:name="_Toc507407361"/>
      <w:bookmarkStart w:id="77" w:name="_Toc466786436"/>
      <w:r>
        <w:rPr>
          <w:rFonts w:hint="eastAsia" w:hAnsi="宋体"/>
          <w:color w:val="auto"/>
          <w:sz w:val="21"/>
          <w:szCs w:val="21"/>
          <w:highlight w:val="none"/>
        </w:rPr>
        <w:t>采购文件构成</w:t>
      </w:r>
      <w:bookmarkEnd w:id="70"/>
      <w:bookmarkEnd w:id="71"/>
      <w:bookmarkEnd w:id="72"/>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采购文件由下列文件以及在采购过程中发出的澄清更正文件组成：</w:t>
      </w:r>
    </w:p>
    <w:p>
      <w:pPr>
        <w:pStyle w:val="7"/>
        <w:numPr>
          <w:ilvl w:val="0"/>
          <w:numId w:val="8"/>
        </w:numPr>
        <w:spacing w:before="0"/>
        <w:rPr>
          <w:color w:val="auto"/>
          <w:sz w:val="21"/>
          <w:szCs w:val="21"/>
          <w:highlight w:val="none"/>
        </w:rPr>
      </w:pPr>
      <w:r>
        <w:rPr>
          <w:rFonts w:hint="eastAsia"/>
          <w:color w:val="auto"/>
          <w:sz w:val="21"/>
          <w:szCs w:val="21"/>
          <w:highlight w:val="none"/>
        </w:rPr>
        <w:t>磋商邀请函；</w:t>
      </w:r>
    </w:p>
    <w:p>
      <w:pPr>
        <w:pStyle w:val="7"/>
        <w:numPr>
          <w:ilvl w:val="0"/>
          <w:numId w:val="8"/>
        </w:numPr>
        <w:spacing w:before="0"/>
        <w:rPr>
          <w:color w:val="auto"/>
          <w:sz w:val="21"/>
          <w:szCs w:val="21"/>
          <w:highlight w:val="none"/>
        </w:rPr>
      </w:pPr>
      <w:r>
        <w:rPr>
          <w:rFonts w:hint="eastAsia"/>
          <w:color w:val="auto"/>
          <w:sz w:val="21"/>
          <w:szCs w:val="21"/>
          <w:highlight w:val="none"/>
        </w:rPr>
        <w:t>磋商资料表；</w:t>
      </w:r>
    </w:p>
    <w:p>
      <w:pPr>
        <w:pStyle w:val="7"/>
        <w:numPr>
          <w:ilvl w:val="0"/>
          <w:numId w:val="8"/>
        </w:numPr>
        <w:spacing w:before="0"/>
        <w:rPr>
          <w:color w:val="auto"/>
          <w:sz w:val="21"/>
          <w:szCs w:val="21"/>
          <w:highlight w:val="none"/>
        </w:rPr>
      </w:pPr>
      <w:r>
        <w:rPr>
          <w:rFonts w:hint="eastAsia"/>
          <w:color w:val="auto"/>
          <w:sz w:val="21"/>
          <w:szCs w:val="21"/>
          <w:highlight w:val="none"/>
        </w:rPr>
        <w:t>供应商须知；</w:t>
      </w:r>
    </w:p>
    <w:p>
      <w:pPr>
        <w:pStyle w:val="7"/>
        <w:numPr>
          <w:ilvl w:val="0"/>
          <w:numId w:val="8"/>
        </w:numPr>
        <w:spacing w:before="0"/>
        <w:rPr>
          <w:color w:val="auto"/>
          <w:sz w:val="21"/>
          <w:szCs w:val="21"/>
          <w:highlight w:val="none"/>
        </w:rPr>
      </w:pPr>
      <w:r>
        <w:rPr>
          <w:rFonts w:hint="eastAsia"/>
          <w:color w:val="auto"/>
          <w:sz w:val="21"/>
          <w:szCs w:val="21"/>
          <w:highlight w:val="none"/>
        </w:rPr>
        <w:t>用户需求；</w:t>
      </w:r>
    </w:p>
    <w:p>
      <w:pPr>
        <w:pStyle w:val="7"/>
        <w:numPr>
          <w:ilvl w:val="0"/>
          <w:numId w:val="8"/>
        </w:numPr>
        <w:spacing w:before="0"/>
        <w:rPr>
          <w:color w:val="auto"/>
          <w:sz w:val="21"/>
          <w:szCs w:val="21"/>
          <w:highlight w:val="none"/>
        </w:rPr>
      </w:pPr>
      <w:r>
        <w:rPr>
          <w:rFonts w:hint="eastAsia"/>
          <w:color w:val="auto"/>
          <w:sz w:val="21"/>
          <w:szCs w:val="21"/>
          <w:highlight w:val="none"/>
        </w:rPr>
        <w:t>合同书格式；</w:t>
      </w:r>
    </w:p>
    <w:p>
      <w:pPr>
        <w:pStyle w:val="7"/>
        <w:numPr>
          <w:ilvl w:val="0"/>
          <w:numId w:val="8"/>
        </w:numPr>
        <w:spacing w:before="0"/>
        <w:rPr>
          <w:color w:val="auto"/>
          <w:sz w:val="21"/>
          <w:szCs w:val="21"/>
          <w:highlight w:val="none"/>
        </w:rPr>
      </w:pPr>
      <w:r>
        <w:rPr>
          <w:rFonts w:hint="eastAsia"/>
          <w:color w:val="auto"/>
          <w:sz w:val="21"/>
          <w:szCs w:val="21"/>
          <w:highlight w:val="none"/>
        </w:rPr>
        <w:t>响应文件格式；</w:t>
      </w:r>
    </w:p>
    <w:p>
      <w:pPr>
        <w:pStyle w:val="7"/>
        <w:numPr>
          <w:ilvl w:val="0"/>
          <w:numId w:val="8"/>
        </w:numPr>
        <w:spacing w:before="0"/>
        <w:rPr>
          <w:color w:val="auto"/>
          <w:sz w:val="21"/>
          <w:szCs w:val="21"/>
          <w:highlight w:val="none"/>
        </w:rPr>
      </w:pPr>
      <w:r>
        <w:rPr>
          <w:rFonts w:hint="eastAsia"/>
          <w:color w:val="auto"/>
          <w:sz w:val="21"/>
          <w:szCs w:val="21"/>
          <w:highlight w:val="none"/>
        </w:rPr>
        <w:t>在采购过程中由集中采购机构发出的澄清更正文件等。</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采购文件的澄清更正：</w:t>
      </w:r>
    </w:p>
    <w:p>
      <w:pPr>
        <w:numPr>
          <w:ilvl w:val="0"/>
          <w:numId w:val="9"/>
        </w:numPr>
        <w:rPr>
          <w:rFonts w:ascii="宋体" w:hAnsi="宋体" w:cs="宋体"/>
          <w:color w:val="auto"/>
          <w:szCs w:val="21"/>
          <w:highlight w:val="none"/>
        </w:rPr>
      </w:pPr>
      <w:r>
        <w:rPr>
          <w:rFonts w:hint="eastAsia" w:ascii="宋体" w:hAnsi="宋体" w:cs="宋体"/>
          <w:color w:val="auto"/>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9"/>
        </w:numPr>
        <w:rPr>
          <w:rFonts w:ascii="宋体" w:hAnsi="宋体" w:cs="宋体"/>
          <w:color w:val="auto"/>
          <w:szCs w:val="21"/>
          <w:highlight w:val="none"/>
        </w:rPr>
      </w:pPr>
      <w:r>
        <w:rPr>
          <w:rFonts w:hint="eastAsia" w:ascii="宋体" w:hAnsi="宋体" w:cs="宋体"/>
          <w:color w:val="auto"/>
          <w:szCs w:val="21"/>
          <w:highlight w:val="none"/>
        </w:rPr>
        <w:t>采购期间，供应商有义务上网查看，公告一经上网发布，即视为送达。因供应商未及时上网查看而造成的所有后果，由供应商自行承担。</w:t>
      </w:r>
    </w:p>
    <w:p>
      <w:pPr>
        <w:numPr>
          <w:ilvl w:val="0"/>
          <w:numId w:val="9"/>
        </w:numPr>
        <w:rPr>
          <w:rFonts w:ascii="宋体" w:hAnsi="宋体" w:cs="宋体"/>
          <w:color w:val="auto"/>
          <w:szCs w:val="21"/>
          <w:highlight w:val="none"/>
        </w:rPr>
      </w:pPr>
      <w:r>
        <w:rPr>
          <w:rFonts w:hint="eastAsia" w:ascii="宋体" w:hAnsi="宋体" w:cs="宋体"/>
          <w:color w:val="auto"/>
          <w:szCs w:val="21"/>
          <w:highlight w:val="none"/>
        </w:rPr>
        <w:t>根据采购的具体情况，采购代理机构可延长响应文件递交截止时间和磋商时间，并将变更时间在指定媒体上发布公告及通知所有报名及购买采购文件的供应商。</w:t>
      </w:r>
    </w:p>
    <w:p>
      <w:pPr>
        <w:pStyle w:val="7"/>
        <w:rPr>
          <w:color w:val="auto"/>
          <w:sz w:val="21"/>
          <w:szCs w:val="21"/>
          <w:highlight w:val="none"/>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6882678"/>
      <w:bookmarkStart w:id="82" w:name="_Toc466786437"/>
      <w:bookmarkStart w:id="83" w:name="_Toc102277759"/>
      <w:bookmarkStart w:id="84" w:name="_Toc507407362"/>
      <w:bookmarkStart w:id="85" w:name="_Toc6968690"/>
      <w:r>
        <w:rPr>
          <w:rFonts w:hint="eastAsia" w:ascii="宋体" w:hAnsi="宋体" w:eastAsia="宋体"/>
          <w:color w:val="auto"/>
          <w:sz w:val="24"/>
          <w:szCs w:val="21"/>
          <w:highlight w:val="none"/>
        </w:rPr>
        <w:t>第三章响应文件的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5"/>
        </w:numPr>
        <w:adjustRightInd/>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color w:val="auto"/>
          <w:szCs w:val="21"/>
          <w:highlight w:val="none"/>
        </w:rPr>
        <w:t>（中文译本应由翻译机构盖章或者翻译人员签名确认，否则按无效处理）</w:t>
      </w:r>
      <w:r>
        <w:rPr>
          <w:rFonts w:hint="eastAsia" w:ascii="宋体" w:hAnsi="宋体"/>
          <w:bCs/>
          <w:color w:val="auto"/>
          <w:szCs w:val="21"/>
          <w:highlight w:val="none"/>
        </w:rPr>
        <w:t>。</w:t>
      </w:r>
    </w:p>
    <w:p>
      <w:pPr>
        <w:numPr>
          <w:ilvl w:val="1"/>
          <w:numId w:val="5"/>
        </w:numPr>
        <w:rPr>
          <w:rFonts w:ascii="宋体" w:hAnsi="宋体"/>
          <w:bCs/>
          <w:color w:val="auto"/>
          <w:szCs w:val="21"/>
          <w:highlight w:val="none"/>
        </w:rPr>
      </w:pPr>
      <w:r>
        <w:rPr>
          <w:rFonts w:hint="eastAsia" w:ascii="宋体" w:hAnsi="宋体"/>
          <w:bCs/>
          <w:color w:val="auto"/>
          <w:szCs w:val="21"/>
          <w:highlight w:val="none"/>
        </w:rPr>
        <w:t>除非采购文件在技术规格中另有规定，供应商在采购文件中及其与采购代理机构和采购人所有往来文件中的所有计量单位均应采用中华人民共和国法定计量单位。</w:t>
      </w:r>
    </w:p>
    <w:p>
      <w:pPr>
        <w:rPr>
          <w:color w:val="auto"/>
          <w:highlight w:val="none"/>
        </w:rPr>
      </w:pPr>
    </w:p>
    <w:bookmarkEnd w:id="88"/>
    <w:p>
      <w:pPr>
        <w:pStyle w:val="4"/>
        <w:keepNext w:val="0"/>
        <w:keepLines w:val="0"/>
        <w:numPr>
          <w:ilvl w:val="0"/>
          <w:numId w:val="5"/>
        </w:numPr>
        <w:adjustRightInd/>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5"/>
        </w:numPr>
        <w:rPr>
          <w:rFonts w:ascii="宋体" w:hAnsi="宋体"/>
          <w:bCs/>
          <w:color w:val="auto"/>
          <w:szCs w:val="21"/>
          <w:highlight w:val="none"/>
        </w:rPr>
      </w:pPr>
      <w:r>
        <w:rPr>
          <w:rFonts w:hint="eastAsia" w:ascii="宋体" w:hAnsi="宋体"/>
          <w:bCs/>
          <w:color w:val="auto"/>
          <w:szCs w:val="21"/>
          <w:highlight w:val="none"/>
        </w:rPr>
        <w:t>如果因为供应商响应文件填报的内容不详，或没有提供采购文件中所要求的全部资料及数据，由此造成的后果，其责任由供应商承担。</w:t>
      </w:r>
    </w:p>
    <w:p>
      <w:pPr>
        <w:numPr>
          <w:ilvl w:val="1"/>
          <w:numId w:val="5"/>
        </w:numPr>
        <w:rPr>
          <w:rFonts w:ascii="宋体" w:hAnsi="宋体"/>
          <w:bCs/>
          <w:color w:val="auto"/>
          <w:szCs w:val="21"/>
          <w:highlight w:val="none"/>
        </w:rPr>
      </w:pPr>
      <w:r>
        <w:rPr>
          <w:rFonts w:hint="eastAsia" w:ascii="宋体" w:hAnsi="宋体"/>
          <w:bCs/>
          <w:color w:val="auto"/>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5"/>
        </w:numPr>
        <w:rPr>
          <w:rFonts w:ascii="宋体" w:hAnsi="宋体"/>
          <w:bCs/>
          <w:color w:val="auto"/>
          <w:szCs w:val="21"/>
          <w:highlight w:val="none"/>
        </w:rPr>
      </w:pPr>
      <w:r>
        <w:rPr>
          <w:rFonts w:hint="eastAsia" w:ascii="宋体" w:hAnsi="宋体"/>
          <w:bCs/>
          <w:color w:val="auto"/>
          <w:szCs w:val="21"/>
          <w:highlight w:val="none"/>
        </w:rPr>
        <w:t>报价：</w:t>
      </w:r>
    </w:p>
    <w:p>
      <w:pPr>
        <w:numPr>
          <w:ilvl w:val="0"/>
          <w:numId w:val="10"/>
        </w:numPr>
        <w:rPr>
          <w:rFonts w:ascii="宋体" w:hAnsi="宋体"/>
          <w:bCs/>
          <w:color w:val="auto"/>
          <w:szCs w:val="21"/>
          <w:highlight w:val="none"/>
        </w:rPr>
      </w:pPr>
      <w:r>
        <w:rPr>
          <w:rFonts w:hint="eastAsia" w:ascii="宋体" w:hAnsi="宋体"/>
          <w:bCs/>
          <w:color w:val="auto"/>
          <w:szCs w:val="21"/>
          <w:highlight w:val="none"/>
        </w:rPr>
        <w:t>供应商应按响应文件的</w:t>
      </w:r>
      <w:r>
        <w:rPr>
          <w:rFonts w:hint="eastAsia" w:ascii="宋体" w:hAnsi="宋体"/>
          <w:color w:val="auto"/>
          <w:szCs w:val="21"/>
          <w:highlight w:val="none"/>
        </w:rPr>
        <w:t>用户需求中的要求进行一次报价</w:t>
      </w:r>
      <w:r>
        <w:rPr>
          <w:rFonts w:hint="eastAsia" w:ascii="宋体" w:hAnsi="宋体"/>
          <w:bCs/>
          <w:color w:val="auto"/>
          <w:szCs w:val="21"/>
          <w:highlight w:val="none"/>
        </w:rPr>
        <w:t>；</w:t>
      </w:r>
    </w:p>
    <w:p>
      <w:pPr>
        <w:numPr>
          <w:ilvl w:val="0"/>
          <w:numId w:val="10"/>
        </w:numPr>
        <w:rPr>
          <w:rFonts w:ascii="宋体" w:hAnsi="宋体"/>
          <w:bCs/>
          <w:color w:val="auto"/>
          <w:szCs w:val="21"/>
          <w:highlight w:val="none"/>
        </w:rPr>
      </w:pPr>
      <w:r>
        <w:rPr>
          <w:rFonts w:hint="eastAsia" w:ascii="宋体" w:hAnsi="宋体"/>
          <w:bCs/>
          <w:color w:val="auto"/>
          <w:szCs w:val="21"/>
          <w:highlight w:val="none"/>
        </w:rPr>
        <w:t>供应商所提供的货物和服务均应以人民币</w:t>
      </w:r>
      <w:r>
        <w:rPr>
          <w:rFonts w:hint="eastAsia" w:ascii="宋体" w:hAnsi="宋体"/>
          <w:color w:val="auto"/>
          <w:szCs w:val="21"/>
          <w:highlight w:val="none"/>
        </w:rPr>
        <w:t>（或相关费率）</w:t>
      </w:r>
      <w:r>
        <w:rPr>
          <w:rFonts w:hint="eastAsia" w:ascii="宋体" w:hAnsi="宋体"/>
          <w:bCs/>
          <w:color w:val="auto"/>
          <w:szCs w:val="21"/>
          <w:highlight w:val="none"/>
        </w:rPr>
        <w:t>报价（具体报价要求详见用户需求）；</w:t>
      </w:r>
    </w:p>
    <w:p>
      <w:pPr>
        <w:numPr>
          <w:ilvl w:val="0"/>
          <w:numId w:val="10"/>
        </w:numPr>
        <w:rPr>
          <w:rFonts w:ascii="宋体" w:hAnsi="宋体"/>
          <w:bCs/>
          <w:color w:val="auto"/>
          <w:szCs w:val="21"/>
          <w:highlight w:val="none"/>
        </w:rPr>
      </w:pPr>
      <w:r>
        <w:rPr>
          <w:rFonts w:hint="eastAsia" w:ascii="宋体" w:hAnsi="宋体"/>
          <w:bCs/>
          <w:color w:val="auto"/>
          <w:szCs w:val="21"/>
          <w:highlight w:val="none"/>
        </w:rPr>
        <w:t>报价应包含完成本次采购所有服务内容的费用，包含各种税务费及合同实施过程中的全部费用；</w:t>
      </w:r>
    </w:p>
    <w:p>
      <w:pPr>
        <w:numPr>
          <w:ilvl w:val="0"/>
          <w:numId w:val="10"/>
        </w:numPr>
        <w:rPr>
          <w:rFonts w:ascii="宋体" w:hAnsi="宋体"/>
          <w:bCs/>
          <w:color w:val="auto"/>
          <w:szCs w:val="21"/>
          <w:highlight w:val="none"/>
        </w:rPr>
      </w:pPr>
      <w:r>
        <w:rPr>
          <w:rFonts w:hint="eastAsia" w:ascii="宋体" w:hAnsi="宋体"/>
          <w:bCs/>
          <w:color w:val="auto"/>
          <w:szCs w:val="21"/>
          <w:highlight w:val="none"/>
        </w:rPr>
        <w:t>经磋商后，供应商所报的最后磋商报价在合同执行过程中是固定不变的，不得以任何理由予以变更；</w:t>
      </w:r>
    </w:p>
    <w:p>
      <w:pPr>
        <w:numPr>
          <w:ilvl w:val="0"/>
          <w:numId w:val="10"/>
        </w:numPr>
        <w:rPr>
          <w:rFonts w:ascii="宋体" w:hAnsi="宋体"/>
          <w:bCs/>
          <w:color w:val="auto"/>
          <w:szCs w:val="21"/>
          <w:highlight w:val="none"/>
        </w:rPr>
      </w:pPr>
      <w:r>
        <w:rPr>
          <w:rFonts w:hint="eastAsia" w:ascii="宋体" w:hAnsi="宋体"/>
          <w:bCs/>
          <w:color w:val="auto"/>
          <w:szCs w:val="21"/>
          <w:highlight w:val="none"/>
        </w:rPr>
        <w:t>供应商只能就单个项目提供唯一的方案和报价，不接受选择性的方案和报价，方案或报价不是唯一的响应文件作无效处理；</w:t>
      </w:r>
    </w:p>
    <w:p>
      <w:pPr>
        <w:numPr>
          <w:ilvl w:val="0"/>
          <w:numId w:val="10"/>
        </w:numPr>
        <w:rPr>
          <w:rFonts w:ascii="宋体" w:hAnsi="宋体"/>
          <w:bCs/>
          <w:color w:val="auto"/>
          <w:szCs w:val="21"/>
          <w:highlight w:val="none"/>
        </w:rPr>
      </w:pPr>
      <w:r>
        <w:rPr>
          <w:rFonts w:hint="eastAsia" w:ascii="宋体" w:hAnsi="宋体"/>
          <w:bCs/>
          <w:color w:val="auto"/>
          <w:szCs w:val="21"/>
          <w:highlight w:val="none"/>
        </w:rPr>
        <w:t>最终报价文件为供应商响应文件组成的一部分，其报价有效期应与响应文件有效期保持一致；</w:t>
      </w:r>
    </w:p>
    <w:p>
      <w:pPr>
        <w:numPr>
          <w:ilvl w:val="0"/>
          <w:numId w:val="10"/>
        </w:numPr>
        <w:rPr>
          <w:rFonts w:ascii="宋体" w:hAnsi="宋体"/>
          <w:bCs/>
          <w:color w:val="auto"/>
          <w:szCs w:val="21"/>
          <w:highlight w:val="none"/>
        </w:rPr>
      </w:pPr>
      <w:r>
        <w:rPr>
          <w:rFonts w:hint="eastAsia" w:ascii="宋体" w:hAnsi="宋体"/>
          <w:bCs/>
          <w:color w:val="auto"/>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5"/>
        </w:numPr>
        <w:rPr>
          <w:rFonts w:ascii="宋体" w:hAnsi="宋体"/>
          <w:color w:val="auto"/>
          <w:szCs w:val="21"/>
          <w:highlight w:val="none"/>
        </w:rPr>
      </w:pPr>
      <w:r>
        <w:rPr>
          <w:rFonts w:hint="eastAsia" w:ascii="宋体" w:hAnsi="宋体"/>
          <w:bCs/>
          <w:color w:val="auto"/>
          <w:szCs w:val="21"/>
          <w:highlight w:val="none"/>
        </w:rPr>
        <w:t>供应商名称与供应商公章不一致，若供应商名称已进行变更，应在响应文件中提供相应的证明材料并加盖公章，否则响应文件无效。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响应文件密封、标记及内容与本项目采购信息不符，导致无法分辨所参与项目为本项目的，响应文件无效。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响应文件的签署：未按采购文件要求或未按响应文件所要求格式对响应文件进行签署授权的，其报价无效。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电报、电话、传真、电子邮件形式的响应文件概不接受。</w:t>
      </w:r>
    </w:p>
    <w:p>
      <w:pPr>
        <w:rPr>
          <w:rFonts w:ascii="宋体" w:hAnsi="宋体"/>
          <w:bCs/>
          <w:color w:val="auto"/>
          <w:szCs w:val="21"/>
          <w:highlight w:val="none"/>
        </w:rPr>
      </w:pPr>
    </w:p>
    <w:p>
      <w:pPr>
        <w:pStyle w:val="4"/>
        <w:keepNext w:val="0"/>
        <w:keepLines w:val="0"/>
        <w:numPr>
          <w:ilvl w:val="0"/>
          <w:numId w:val="5"/>
        </w:numPr>
        <w:adjustRightInd/>
        <w:rPr>
          <w:rFonts w:hAnsi="宋体"/>
          <w:color w:val="auto"/>
          <w:sz w:val="21"/>
          <w:szCs w:val="21"/>
          <w:highlight w:val="none"/>
        </w:rPr>
      </w:pPr>
      <w:bookmarkStart w:id="91" w:name="_Toc110953840"/>
      <w:bookmarkStart w:id="92" w:name="_Toc11910"/>
      <w:bookmarkStart w:id="93" w:name="_Toc26897"/>
      <w:r>
        <w:rPr>
          <w:rFonts w:hint="eastAsia" w:hAnsi="宋体"/>
          <w:color w:val="auto"/>
          <w:sz w:val="21"/>
          <w:szCs w:val="21"/>
          <w:highlight w:val="none"/>
        </w:rPr>
        <w:t>响应文件的内容</w:t>
      </w:r>
      <w:bookmarkEnd w:id="91"/>
      <w:bookmarkEnd w:id="92"/>
      <w:bookmarkEnd w:id="93"/>
    </w:p>
    <w:p>
      <w:pPr>
        <w:numPr>
          <w:ilvl w:val="1"/>
          <w:numId w:val="5"/>
        </w:numPr>
        <w:rPr>
          <w:rFonts w:ascii="宋体" w:hAnsi="宋体"/>
          <w:bCs/>
          <w:color w:val="auto"/>
          <w:szCs w:val="21"/>
          <w:highlight w:val="none"/>
        </w:rPr>
      </w:pPr>
      <w:r>
        <w:rPr>
          <w:rFonts w:hint="eastAsia" w:ascii="宋体" w:hAnsi="宋体"/>
          <w:bCs/>
          <w:color w:val="auto"/>
          <w:szCs w:val="21"/>
          <w:highlight w:val="none"/>
        </w:rPr>
        <w:t>证明供应商合格和资格的文件。</w:t>
      </w:r>
    </w:p>
    <w:p>
      <w:pPr>
        <w:numPr>
          <w:ilvl w:val="1"/>
          <w:numId w:val="5"/>
        </w:numPr>
        <w:rPr>
          <w:rFonts w:ascii="宋体" w:hAnsi="宋体"/>
          <w:bCs/>
          <w:color w:val="auto"/>
          <w:szCs w:val="21"/>
          <w:highlight w:val="none"/>
        </w:rPr>
      </w:pPr>
      <w:r>
        <w:rPr>
          <w:rFonts w:hint="eastAsia" w:ascii="宋体" w:hAnsi="宋体"/>
          <w:bCs/>
          <w:color w:val="auto"/>
          <w:szCs w:val="21"/>
          <w:highlight w:val="none"/>
        </w:rPr>
        <w:t>响应文件格式中要求必须提供的表格。</w:t>
      </w:r>
    </w:p>
    <w:p>
      <w:pPr>
        <w:rPr>
          <w:rFonts w:ascii="宋体" w:hAnsi="宋体" w:cs="宋体"/>
          <w:color w:val="auto"/>
          <w:szCs w:val="21"/>
          <w:highlight w:val="none"/>
        </w:rPr>
      </w:pPr>
    </w:p>
    <w:p>
      <w:pPr>
        <w:pStyle w:val="4"/>
        <w:keepNext w:val="0"/>
        <w:keepLines w:val="0"/>
        <w:numPr>
          <w:ilvl w:val="0"/>
          <w:numId w:val="5"/>
        </w:numPr>
        <w:adjustRightInd/>
        <w:rPr>
          <w:rFonts w:hAnsi="宋体"/>
          <w:color w:val="auto"/>
          <w:sz w:val="21"/>
          <w:szCs w:val="21"/>
          <w:highlight w:val="none"/>
        </w:rPr>
      </w:pPr>
      <w:bookmarkStart w:id="94" w:name="_Toc110953841"/>
      <w:bookmarkStart w:id="95" w:name="_Toc15387"/>
      <w:bookmarkStart w:id="96" w:name="_Toc1662"/>
      <w:r>
        <w:rPr>
          <w:rFonts w:hint="eastAsia" w:hAnsi="宋体"/>
          <w:color w:val="auto"/>
          <w:sz w:val="21"/>
          <w:szCs w:val="21"/>
          <w:highlight w:val="none"/>
        </w:rPr>
        <w:t>响应文件格式</w:t>
      </w:r>
      <w:bookmarkEnd w:id="94"/>
      <w:bookmarkEnd w:id="95"/>
      <w:bookmarkEnd w:id="96"/>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cs="宋体"/>
          <w:color w:val="auto"/>
          <w:szCs w:val="21"/>
          <w:highlight w:val="none"/>
        </w:rPr>
      </w:pPr>
    </w:p>
    <w:p>
      <w:pPr>
        <w:pStyle w:val="4"/>
        <w:keepNext w:val="0"/>
        <w:keepLines w:val="0"/>
        <w:numPr>
          <w:ilvl w:val="0"/>
          <w:numId w:val="5"/>
        </w:numPr>
        <w:adjustRightInd/>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rPr>
        <w:t>（</w:t>
      </w:r>
      <w:r>
        <w:rPr>
          <w:rFonts w:hint="eastAsia" w:ascii="宋体" w:hAnsi="宋体"/>
          <w:color w:val="auto"/>
          <w:sz w:val="21"/>
          <w:szCs w:val="21"/>
          <w:highlight w:val="none"/>
        </w:rPr>
        <w:t>本项目不需提供</w:t>
      </w:r>
      <w:r>
        <w:rPr>
          <w:rFonts w:hint="eastAsia" w:hAnsi="宋体"/>
          <w:color w:val="auto"/>
          <w:sz w:val="21"/>
          <w:szCs w:val="21"/>
          <w:highlight w:val="none"/>
        </w:rPr>
        <w:t>磋商保证金）</w:t>
      </w:r>
    </w:p>
    <w:p>
      <w:pPr>
        <w:numPr>
          <w:ilvl w:val="1"/>
          <w:numId w:val="5"/>
        </w:numPr>
        <w:rPr>
          <w:rFonts w:ascii="宋体" w:hAnsi="宋体"/>
          <w:bCs/>
          <w:color w:val="auto"/>
          <w:szCs w:val="21"/>
          <w:highlight w:val="none"/>
        </w:rPr>
      </w:pPr>
      <w:r>
        <w:rPr>
          <w:rFonts w:hint="eastAsia" w:ascii="宋体" w:hAnsi="宋体"/>
          <w:color w:val="auto"/>
          <w:szCs w:val="21"/>
          <w:highlight w:val="none"/>
        </w:rPr>
        <w:t>磋商保证金金额与采购文件要求金额保持一致（详见磋商资料表）。</w:t>
      </w:r>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磋商保证金有效期与响应文件有效期保持一致。</w:t>
      </w:r>
    </w:p>
    <w:p>
      <w:pPr>
        <w:numPr>
          <w:ilvl w:val="1"/>
          <w:numId w:val="5"/>
        </w:numPr>
        <w:rPr>
          <w:rFonts w:ascii="宋体" w:hAnsi="宋体"/>
          <w:bCs/>
          <w:color w:val="auto"/>
          <w:szCs w:val="21"/>
          <w:highlight w:val="none"/>
        </w:rPr>
      </w:pPr>
      <w:r>
        <w:rPr>
          <w:rFonts w:hint="eastAsia" w:ascii="宋体" w:hAnsi="宋体"/>
          <w:bCs/>
          <w:color w:val="auto"/>
          <w:szCs w:val="21"/>
          <w:highlight w:val="none"/>
        </w:rPr>
        <w:t>缴纳磋商保证金的供应商与参与本项目的供应商名称必须一致，非参与本项目的供应商缴纳的磋商保证金无效。</w:t>
      </w:r>
    </w:p>
    <w:p>
      <w:pPr>
        <w:numPr>
          <w:ilvl w:val="1"/>
          <w:numId w:val="5"/>
        </w:numPr>
        <w:rPr>
          <w:rFonts w:ascii="宋体" w:hAnsi="宋体"/>
          <w:bCs/>
          <w:color w:val="auto"/>
          <w:szCs w:val="21"/>
          <w:highlight w:val="none"/>
        </w:rPr>
      </w:pPr>
      <w:r>
        <w:rPr>
          <w:rFonts w:hint="eastAsia" w:ascii="宋体" w:hAnsi="宋体"/>
          <w:bCs/>
          <w:color w:val="auto"/>
          <w:szCs w:val="21"/>
          <w:highlight w:val="none"/>
        </w:rPr>
        <w:t>采用银行转账、电汇方式提交的,付至采购代理机构指定账户上。 (详见磋商资料表)</w:t>
      </w:r>
    </w:p>
    <w:p>
      <w:pPr>
        <w:numPr>
          <w:ilvl w:val="1"/>
          <w:numId w:val="5"/>
        </w:numPr>
        <w:rPr>
          <w:rFonts w:ascii="宋体" w:hAnsi="宋体"/>
          <w:bCs/>
          <w:color w:val="auto"/>
          <w:szCs w:val="21"/>
          <w:highlight w:val="none"/>
        </w:rPr>
      </w:pPr>
      <w:r>
        <w:rPr>
          <w:rFonts w:hint="eastAsia" w:ascii="宋体" w:hAnsi="宋体"/>
          <w:bCs/>
          <w:color w:val="auto"/>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5"/>
        </w:numPr>
        <w:rPr>
          <w:rFonts w:ascii="宋体" w:hAnsi="宋体"/>
          <w:bCs/>
          <w:color w:val="auto"/>
          <w:szCs w:val="21"/>
          <w:highlight w:val="none"/>
        </w:rPr>
      </w:pPr>
      <w:r>
        <w:rPr>
          <w:rFonts w:hint="eastAsia" w:ascii="宋体" w:hAnsi="宋体"/>
          <w:bCs/>
          <w:color w:val="auto"/>
          <w:szCs w:val="21"/>
          <w:highlight w:val="none"/>
        </w:rPr>
        <w:t>采用担保函提交的，应符合下列规定：</w:t>
      </w:r>
    </w:p>
    <w:p>
      <w:pPr>
        <w:pStyle w:val="7"/>
        <w:numPr>
          <w:ilvl w:val="0"/>
          <w:numId w:val="11"/>
        </w:numPr>
        <w:spacing w:before="0"/>
        <w:rPr>
          <w:color w:val="auto"/>
          <w:sz w:val="21"/>
          <w:szCs w:val="21"/>
          <w:highlight w:val="none"/>
        </w:rPr>
      </w:pPr>
      <w:r>
        <w:rPr>
          <w:rFonts w:hint="eastAsia"/>
          <w:color w:val="auto"/>
          <w:sz w:val="21"/>
          <w:szCs w:val="21"/>
          <w:highlight w:val="none"/>
        </w:rPr>
        <w:t>担保函有效期应与响应文件有效期一致；</w:t>
      </w:r>
    </w:p>
    <w:p>
      <w:pPr>
        <w:pStyle w:val="7"/>
        <w:numPr>
          <w:ilvl w:val="0"/>
          <w:numId w:val="11"/>
        </w:numPr>
        <w:spacing w:before="0"/>
        <w:rPr>
          <w:color w:val="auto"/>
          <w:sz w:val="21"/>
          <w:szCs w:val="21"/>
          <w:highlight w:val="none"/>
        </w:rPr>
      </w:pPr>
      <w:r>
        <w:rPr>
          <w:rFonts w:hint="eastAsia"/>
          <w:color w:val="auto"/>
          <w:sz w:val="21"/>
          <w:szCs w:val="21"/>
          <w:highlight w:val="none"/>
        </w:rPr>
        <w:t>担保金额应与本项目的磋商保证金一致；</w:t>
      </w:r>
    </w:p>
    <w:p>
      <w:pPr>
        <w:numPr>
          <w:ilvl w:val="1"/>
          <w:numId w:val="5"/>
        </w:numPr>
        <w:rPr>
          <w:rFonts w:ascii="宋体" w:hAnsi="宋体"/>
          <w:bCs/>
          <w:color w:val="auto"/>
          <w:szCs w:val="21"/>
          <w:highlight w:val="none"/>
        </w:rPr>
      </w:pPr>
      <w:r>
        <w:rPr>
          <w:rFonts w:hint="eastAsia" w:ascii="宋体" w:hAnsi="宋体"/>
          <w:bCs/>
          <w:color w:val="auto"/>
          <w:szCs w:val="21"/>
          <w:highlight w:val="none"/>
        </w:rPr>
        <w:t>保证金不接受现金方式（包括以存现方式）提交，未按要求提交磋商保证金的供应商其响应文件作无效处理。</w:t>
      </w:r>
    </w:p>
    <w:p>
      <w:pPr>
        <w:numPr>
          <w:ilvl w:val="1"/>
          <w:numId w:val="5"/>
        </w:numPr>
        <w:rPr>
          <w:rFonts w:ascii="宋体" w:hAnsi="宋体"/>
          <w:bCs/>
          <w:color w:val="auto"/>
          <w:szCs w:val="21"/>
          <w:highlight w:val="none"/>
        </w:rPr>
      </w:pPr>
      <w:r>
        <w:rPr>
          <w:rFonts w:hint="eastAsia" w:ascii="宋体" w:hAnsi="宋体"/>
          <w:bCs/>
          <w:color w:val="auto"/>
          <w:szCs w:val="21"/>
          <w:highlight w:val="none"/>
        </w:rPr>
        <w:t>未成交的供应商保证金在采购结果公示发出后5个工作日内退还，成交供应商的保证金在采购合同签订后5个工作日内退还。</w:t>
      </w:r>
    </w:p>
    <w:p>
      <w:pPr>
        <w:numPr>
          <w:ilvl w:val="1"/>
          <w:numId w:val="5"/>
        </w:numPr>
        <w:rPr>
          <w:rFonts w:ascii="宋体" w:hAnsi="宋体"/>
          <w:bCs/>
          <w:color w:val="auto"/>
          <w:szCs w:val="21"/>
          <w:highlight w:val="none"/>
        </w:rPr>
      </w:pPr>
      <w:r>
        <w:rPr>
          <w:rFonts w:hint="eastAsia" w:ascii="宋体" w:hAnsi="宋体"/>
          <w:bCs/>
          <w:color w:val="auto"/>
          <w:szCs w:val="21"/>
          <w:highlight w:val="none"/>
        </w:rPr>
        <w:t>为方便退还未成交的供应商保证金，供应商应制作《磋商保证金汇入情况说明》随响应文件一并递交。</w:t>
      </w:r>
    </w:p>
    <w:p>
      <w:pPr>
        <w:numPr>
          <w:ilvl w:val="1"/>
          <w:numId w:val="5"/>
        </w:numPr>
        <w:rPr>
          <w:rFonts w:ascii="宋体" w:hAnsi="宋体"/>
          <w:bCs/>
          <w:color w:val="auto"/>
          <w:szCs w:val="21"/>
          <w:highlight w:val="none"/>
        </w:rPr>
      </w:pPr>
      <w:r>
        <w:rPr>
          <w:rFonts w:hint="eastAsia" w:ascii="宋体" w:hAnsi="宋体"/>
          <w:bCs/>
          <w:color w:val="auto"/>
          <w:szCs w:val="21"/>
          <w:highlight w:val="none"/>
        </w:rPr>
        <w:t>有下列情形之一的，磋商保证金不予退还：</w:t>
      </w:r>
    </w:p>
    <w:p>
      <w:pPr>
        <w:pStyle w:val="7"/>
        <w:numPr>
          <w:ilvl w:val="0"/>
          <w:numId w:val="12"/>
        </w:numPr>
        <w:spacing w:before="0"/>
        <w:rPr>
          <w:color w:val="auto"/>
          <w:sz w:val="21"/>
          <w:szCs w:val="21"/>
          <w:highlight w:val="none"/>
        </w:rPr>
      </w:pPr>
      <w:r>
        <w:rPr>
          <w:rFonts w:hint="eastAsia"/>
          <w:color w:val="auto"/>
          <w:sz w:val="21"/>
          <w:szCs w:val="21"/>
          <w:highlight w:val="none"/>
        </w:rPr>
        <w:t>供应商在提交响应文件截止时间后撤回响应文件的；</w:t>
      </w:r>
    </w:p>
    <w:p>
      <w:pPr>
        <w:pStyle w:val="7"/>
        <w:numPr>
          <w:ilvl w:val="0"/>
          <w:numId w:val="12"/>
        </w:numPr>
        <w:spacing w:before="0"/>
        <w:rPr>
          <w:color w:val="auto"/>
          <w:sz w:val="21"/>
          <w:szCs w:val="21"/>
          <w:highlight w:val="none"/>
        </w:rPr>
      </w:pPr>
      <w:r>
        <w:rPr>
          <w:rFonts w:hint="eastAsia"/>
          <w:color w:val="auto"/>
          <w:sz w:val="21"/>
          <w:szCs w:val="21"/>
          <w:highlight w:val="none"/>
        </w:rPr>
        <w:t>供应商在响应文件中提供虚假材料的；</w:t>
      </w:r>
    </w:p>
    <w:p>
      <w:pPr>
        <w:pStyle w:val="7"/>
        <w:numPr>
          <w:ilvl w:val="0"/>
          <w:numId w:val="12"/>
        </w:numPr>
        <w:spacing w:before="0"/>
        <w:rPr>
          <w:color w:val="auto"/>
          <w:sz w:val="21"/>
          <w:szCs w:val="21"/>
          <w:highlight w:val="none"/>
        </w:rPr>
      </w:pPr>
      <w:r>
        <w:rPr>
          <w:rFonts w:hint="eastAsia"/>
          <w:color w:val="auto"/>
          <w:sz w:val="21"/>
          <w:szCs w:val="21"/>
          <w:highlight w:val="none"/>
        </w:rPr>
        <w:t>除因不可抗力或磋商文件（本文件）、询价通知书（本文件）认可的情形以外，成交供应商不与采购人签订合同的；</w:t>
      </w:r>
    </w:p>
    <w:p>
      <w:pPr>
        <w:pStyle w:val="7"/>
        <w:numPr>
          <w:ilvl w:val="0"/>
          <w:numId w:val="12"/>
        </w:numPr>
        <w:spacing w:before="0"/>
        <w:rPr>
          <w:color w:val="auto"/>
          <w:sz w:val="21"/>
          <w:szCs w:val="21"/>
          <w:highlight w:val="none"/>
        </w:rPr>
      </w:pPr>
      <w:r>
        <w:rPr>
          <w:rFonts w:hint="eastAsia"/>
          <w:color w:val="auto"/>
          <w:sz w:val="21"/>
          <w:szCs w:val="21"/>
          <w:highlight w:val="none"/>
        </w:rPr>
        <w:t>供应商与采购人、其他供应商或者采购代理机构恶意串通的；</w:t>
      </w:r>
    </w:p>
    <w:p>
      <w:pPr>
        <w:pStyle w:val="7"/>
        <w:numPr>
          <w:ilvl w:val="0"/>
          <w:numId w:val="12"/>
        </w:numPr>
        <w:spacing w:before="0"/>
        <w:rPr>
          <w:color w:val="auto"/>
          <w:sz w:val="21"/>
          <w:szCs w:val="21"/>
          <w:highlight w:val="none"/>
        </w:rPr>
      </w:pPr>
      <w:r>
        <w:rPr>
          <w:rFonts w:hint="eastAsia"/>
          <w:color w:val="auto"/>
          <w:sz w:val="21"/>
          <w:szCs w:val="21"/>
          <w:highlight w:val="none"/>
        </w:rPr>
        <w:t>采购文件规定的其他情形。</w:t>
      </w:r>
    </w:p>
    <w:p>
      <w:pPr>
        <w:spacing w:line="480" w:lineRule="exact"/>
        <w:ind w:firstLine="480" w:firstLineChars="200"/>
        <w:rPr>
          <w:rFonts w:ascii="宋体" w:hAnsi="宋体"/>
          <w:color w:val="auto"/>
          <w:sz w:val="24"/>
          <w:szCs w:val="21"/>
          <w:highlight w:val="none"/>
        </w:rPr>
      </w:pPr>
    </w:p>
    <w:p>
      <w:pPr>
        <w:pStyle w:val="4"/>
        <w:keepNext w:val="0"/>
        <w:keepLines w:val="0"/>
        <w:numPr>
          <w:ilvl w:val="0"/>
          <w:numId w:val="5"/>
        </w:numPr>
        <w:adjustRightInd/>
        <w:rPr>
          <w:rFonts w:hAnsi="宋体"/>
          <w:color w:val="auto"/>
          <w:sz w:val="21"/>
          <w:szCs w:val="21"/>
          <w:highlight w:val="none"/>
        </w:rPr>
      </w:pPr>
      <w:bookmarkStart w:id="99" w:name="_Toc467236741"/>
      <w:bookmarkStart w:id="100" w:name="_Toc480010709"/>
      <w:bookmarkStart w:id="101" w:name="_Toc10456"/>
      <w:bookmarkStart w:id="102" w:name="_Toc468606030"/>
      <w:bookmarkStart w:id="103" w:name="_Toc480021054"/>
      <w:bookmarkStart w:id="104" w:name="_Toc467987824"/>
      <w:bookmarkStart w:id="105" w:name="_Toc479991583"/>
      <w:bookmarkStart w:id="106" w:name="_Toc480171880"/>
      <w:bookmarkStart w:id="107" w:name="_Toc25734"/>
      <w:bookmarkStart w:id="108" w:name="_Toc480020258"/>
      <w:bookmarkStart w:id="109" w:name="_Toc110953842"/>
      <w:bookmarkStart w:id="110" w:name="_Toc454701382"/>
      <w:bookmarkStart w:id="111" w:name="_Toc503758471"/>
      <w:bookmarkStart w:id="112" w:name="_Toc468157537"/>
      <w:bookmarkStart w:id="113" w:name="_Toc458262615"/>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5"/>
        </w:numPr>
        <w:rPr>
          <w:rFonts w:ascii="宋体" w:hAnsi="宋体"/>
          <w:bCs/>
          <w:color w:val="auto"/>
          <w:szCs w:val="21"/>
          <w:highlight w:val="none"/>
        </w:rPr>
      </w:pPr>
      <w:r>
        <w:rPr>
          <w:rFonts w:hint="eastAsia" w:ascii="宋体" w:hAnsi="宋体"/>
          <w:bCs/>
          <w:color w:val="auto"/>
          <w:szCs w:val="21"/>
          <w:highlight w:val="none"/>
        </w:rPr>
        <w:t>响应文件从开启响应文件之日起，报价（响应文件）有效期为90个日历日。</w:t>
      </w:r>
    </w:p>
    <w:p>
      <w:pPr>
        <w:numPr>
          <w:ilvl w:val="1"/>
          <w:numId w:val="5"/>
        </w:numPr>
        <w:rPr>
          <w:rFonts w:ascii="宋体" w:hAnsi="宋体"/>
          <w:bCs/>
          <w:color w:val="auto"/>
          <w:szCs w:val="21"/>
          <w:highlight w:val="none"/>
        </w:rPr>
      </w:pPr>
      <w:r>
        <w:rPr>
          <w:rFonts w:hint="eastAsia" w:ascii="宋体" w:hAnsi="宋体"/>
          <w:bCs/>
          <w:color w:val="auto"/>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color w:val="auto"/>
          <w:sz w:val="21"/>
          <w:szCs w:val="21"/>
          <w:highlight w:val="none"/>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110953843"/>
      <w:bookmarkStart w:id="116" w:name="_Toc32392"/>
      <w:bookmarkStart w:id="117" w:name="_Toc6882679"/>
      <w:bookmarkStart w:id="118" w:name="_Toc466786438"/>
      <w:bookmarkStart w:id="119" w:name="_Toc6968691"/>
      <w:bookmarkStart w:id="120" w:name="_Toc102277760"/>
      <w:bookmarkStart w:id="121" w:name="_Toc507407363"/>
      <w:r>
        <w:rPr>
          <w:rFonts w:hint="eastAsia" w:ascii="宋体" w:hAnsi="宋体" w:eastAsia="宋体"/>
          <w:color w:val="auto"/>
          <w:sz w:val="24"/>
          <w:szCs w:val="21"/>
          <w:highlight w:val="none"/>
        </w:rPr>
        <w:t>第四章响应文件的递交</w:t>
      </w:r>
      <w:bookmarkEnd w:id="114"/>
      <w:bookmarkEnd w:id="115"/>
      <w:bookmarkEnd w:id="116"/>
    </w:p>
    <w:p>
      <w:pPr>
        <w:pStyle w:val="4"/>
        <w:keepNext w:val="0"/>
        <w:keepLines w:val="0"/>
        <w:numPr>
          <w:ilvl w:val="0"/>
          <w:numId w:val="5"/>
        </w:numPr>
        <w:adjustRightInd/>
        <w:rPr>
          <w:rFonts w:hAnsi="宋体"/>
          <w:color w:val="auto"/>
          <w:sz w:val="21"/>
          <w:szCs w:val="21"/>
          <w:highlight w:val="none"/>
        </w:rPr>
      </w:pPr>
      <w:bookmarkStart w:id="122" w:name="_Toc110953844"/>
      <w:bookmarkStart w:id="123" w:name="_Toc13611"/>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供应商应当对响应文件进行装订，价格文件、商务文件、技术文件可合装订为一册，也可根据自身需要分册装订，对未经装订的响应文件可能发生的文件散落或缺损，由此产生的后果由供应商承担。</w:t>
      </w:r>
    </w:p>
    <w:p>
      <w:pPr>
        <w:numPr>
          <w:ilvl w:val="1"/>
          <w:numId w:val="5"/>
        </w:numPr>
        <w:rPr>
          <w:rFonts w:ascii="宋体" w:hAnsi="宋体"/>
          <w:bCs/>
          <w:color w:val="auto"/>
          <w:szCs w:val="21"/>
          <w:highlight w:val="none"/>
        </w:rPr>
      </w:pPr>
      <w:r>
        <w:rPr>
          <w:rFonts w:hint="eastAsia" w:ascii="宋体" w:hAnsi="宋体"/>
          <w:bCs/>
          <w:color w:val="auto"/>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5"/>
        </w:numPr>
        <w:rPr>
          <w:rFonts w:ascii="宋体" w:hAnsi="宋体"/>
          <w:bCs/>
          <w:color w:val="auto"/>
          <w:szCs w:val="21"/>
          <w:highlight w:val="none"/>
        </w:rPr>
      </w:pPr>
      <w:r>
        <w:rPr>
          <w:rFonts w:hint="eastAsia" w:ascii="宋体" w:hAnsi="宋体"/>
          <w:bCs/>
          <w:color w:val="auto"/>
          <w:szCs w:val="21"/>
          <w:highlight w:val="none"/>
        </w:rPr>
        <w:t>联合体响应文件的【正本】及【副本】的封面及骑缝均须加盖所有联合体组成成员的公章。（文件每页盖章等同于盖骑缝章）</w:t>
      </w:r>
    </w:p>
    <w:p>
      <w:pPr>
        <w:numPr>
          <w:ilvl w:val="1"/>
          <w:numId w:val="5"/>
        </w:numPr>
        <w:rPr>
          <w:rFonts w:ascii="宋体" w:hAnsi="宋体"/>
          <w:bCs/>
          <w:color w:val="auto"/>
          <w:szCs w:val="21"/>
          <w:highlight w:val="none"/>
        </w:rPr>
      </w:pPr>
      <w:r>
        <w:rPr>
          <w:rFonts w:hint="eastAsia" w:ascii="宋体" w:hAnsi="宋体"/>
          <w:bCs/>
          <w:color w:val="auto"/>
          <w:szCs w:val="21"/>
          <w:highlight w:val="none"/>
        </w:rPr>
        <w:t>供应商可将响应文件正本和所有的副本分开密封装在单独的信封中，且在信封上标明“正本”“副本”字样。然后再将所有信封封装在一个外层信封中。</w:t>
      </w:r>
    </w:p>
    <w:p>
      <w:pPr>
        <w:numPr>
          <w:ilvl w:val="1"/>
          <w:numId w:val="5"/>
        </w:numPr>
        <w:rPr>
          <w:rFonts w:ascii="宋体" w:hAnsi="宋体"/>
          <w:bCs/>
          <w:color w:val="auto"/>
          <w:szCs w:val="21"/>
          <w:highlight w:val="none"/>
        </w:rPr>
      </w:pPr>
      <w:r>
        <w:rPr>
          <w:rFonts w:hint="eastAsia" w:ascii="宋体" w:hAnsi="宋体"/>
          <w:bCs/>
          <w:color w:val="auto"/>
          <w:szCs w:val="21"/>
          <w:highlight w:val="none"/>
        </w:rPr>
        <w:t>电子文件内容包括：由供应商自行制作的与正本文件一致的所有文件。</w:t>
      </w:r>
      <w:r>
        <w:rPr>
          <w:rFonts w:ascii="宋体" w:hAnsi="宋体"/>
          <w:color w:val="auto"/>
          <w:szCs w:val="21"/>
          <w:highlight w:val="none"/>
        </w:rPr>
        <w:t>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，与正本密封包装，随正本提交。</w:t>
      </w:r>
      <w:r>
        <w:rPr>
          <w:rFonts w:hint="eastAsia" w:ascii="宋体" w:hAnsi="宋体"/>
          <w:bCs/>
          <w:color w:val="auto"/>
          <w:szCs w:val="21"/>
          <w:highlight w:val="none"/>
        </w:rPr>
        <w:t>电报、电话、传真、电子邮件形式的电子响应文件概不接受。</w:t>
      </w:r>
    </w:p>
    <w:p>
      <w:pPr>
        <w:numPr>
          <w:ilvl w:val="1"/>
          <w:numId w:val="5"/>
        </w:numPr>
        <w:rPr>
          <w:rFonts w:ascii="宋体" w:hAnsi="宋体"/>
          <w:bCs/>
          <w:color w:val="auto"/>
          <w:szCs w:val="21"/>
          <w:highlight w:val="none"/>
        </w:rPr>
      </w:pPr>
      <w:r>
        <w:rPr>
          <w:rFonts w:hint="eastAsia" w:ascii="宋体" w:hAnsi="宋体"/>
          <w:color w:val="auto"/>
          <w:szCs w:val="21"/>
          <w:highlight w:val="none"/>
        </w:rPr>
        <w:t>所有的信封均应注明：</w:t>
      </w:r>
    </w:p>
    <w:p>
      <w:pPr>
        <w:rPr>
          <w:rFonts w:ascii="宋体" w:hAnsi="宋体"/>
          <w:color w:val="auto"/>
          <w:szCs w:val="21"/>
          <w:highlight w:val="none"/>
        </w:rPr>
      </w:pPr>
      <w:r>
        <w:rPr>
          <w:rFonts w:hint="eastAsia" w:ascii="宋体" w:hAnsi="宋体"/>
          <w:color w:val="auto"/>
          <w:szCs w:val="21"/>
          <w:highlight w:val="none"/>
        </w:rPr>
        <w:t>收件人：广东政通招标有限公司</w:t>
      </w:r>
    </w:p>
    <w:p>
      <w:pPr>
        <w:rPr>
          <w:rFonts w:ascii="宋体" w:hAnsi="宋体"/>
          <w:color w:val="auto"/>
          <w:szCs w:val="21"/>
          <w:highlight w:val="none"/>
        </w:rPr>
      </w:pPr>
      <w:r>
        <w:rPr>
          <w:rFonts w:hint="eastAsia" w:ascii="宋体" w:hAnsi="宋体"/>
          <w:color w:val="auto"/>
          <w:szCs w:val="21"/>
          <w:highlight w:val="none"/>
        </w:rPr>
        <w:t>供应商名称：</w:t>
      </w:r>
    </w:p>
    <w:p>
      <w:pPr>
        <w:rPr>
          <w:rFonts w:ascii="宋体" w:hAnsi="宋体"/>
          <w:color w:val="auto"/>
          <w:szCs w:val="21"/>
          <w:highlight w:val="none"/>
        </w:rPr>
      </w:pPr>
      <w:r>
        <w:rPr>
          <w:rFonts w:hint="eastAsia" w:ascii="宋体" w:hAnsi="宋体"/>
          <w:color w:val="auto"/>
          <w:szCs w:val="21"/>
          <w:highlight w:val="none"/>
        </w:rPr>
        <w:t>项目名称：</w:t>
      </w:r>
    </w:p>
    <w:p>
      <w:pPr>
        <w:rPr>
          <w:rFonts w:ascii="宋体" w:hAnsi="宋体"/>
          <w:color w:val="auto"/>
          <w:szCs w:val="21"/>
          <w:highlight w:val="none"/>
        </w:rPr>
      </w:pPr>
      <w:r>
        <w:rPr>
          <w:rFonts w:hint="eastAsia" w:ascii="宋体" w:hAnsi="宋体"/>
          <w:color w:val="auto"/>
          <w:szCs w:val="21"/>
          <w:highlight w:val="none"/>
        </w:rPr>
        <w:t>采购项目编号：</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25" w:name="_Toc6425"/>
      <w:bookmarkStart w:id="126" w:name="_Toc110953845"/>
      <w:bookmarkStart w:id="127" w:name="_Toc5658"/>
      <w:r>
        <w:rPr>
          <w:rFonts w:hint="eastAsia" w:hAnsi="宋体"/>
          <w:color w:val="auto"/>
          <w:sz w:val="21"/>
          <w:szCs w:val="21"/>
          <w:highlight w:val="none"/>
        </w:rPr>
        <w:t>响应文件的递交</w:t>
      </w:r>
      <w:bookmarkEnd w:id="125"/>
      <w:bookmarkEnd w:id="126"/>
      <w:bookmarkEnd w:id="127"/>
    </w:p>
    <w:p>
      <w:pPr>
        <w:numPr>
          <w:ilvl w:val="1"/>
          <w:numId w:val="5"/>
        </w:numPr>
        <w:rPr>
          <w:rFonts w:ascii="宋体" w:hAnsi="宋体"/>
          <w:color w:val="auto"/>
          <w:szCs w:val="21"/>
          <w:highlight w:val="none"/>
        </w:rPr>
      </w:pPr>
      <w:r>
        <w:rPr>
          <w:rFonts w:hint="eastAsia" w:ascii="宋体" w:hAnsi="宋体"/>
          <w:color w:val="auto"/>
          <w:szCs w:val="21"/>
          <w:highlight w:val="none"/>
        </w:rPr>
        <w:t>所有经密封的响应文件及单独密封的报价文件都必须在响应截止时间之前送至采购代理机构。</w:t>
      </w:r>
    </w:p>
    <w:p>
      <w:pPr>
        <w:numPr>
          <w:ilvl w:val="1"/>
          <w:numId w:val="5"/>
        </w:numPr>
        <w:rPr>
          <w:rFonts w:ascii="宋体" w:hAnsi="宋体"/>
          <w:color w:val="auto"/>
          <w:szCs w:val="21"/>
          <w:highlight w:val="none"/>
        </w:rPr>
      </w:pPr>
      <w:r>
        <w:rPr>
          <w:rFonts w:hint="eastAsia" w:ascii="宋体" w:hAnsi="宋体"/>
          <w:color w:val="auto"/>
          <w:szCs w:val="21"/>
          <w:highlight w:val="none"/>
        </w:rPr>
        <w:t>报价文件作为响应文件组成的一部分，采购文件所规定的初审事项适用于报价文件。</w:t>
      </w:r>
    </w:p>
    <w:p>
      <w:pPr>
        <w:numPr>
          <w:ilvl w:val="1"/>
          <w:numId w:val="5"/>
        </w:numPr>
        <w:rPr>
          <w:rFonts w:ascii="宋体" w:hAnsi="宋体"/>
          <w:color w:val="auto"/>
          <w:szCs w:val="21"/>
          <w:highlight w:val="none"/>
        </w:rPr>
      </w:pPr>
      <w:r>
        <w:rPr>
          <w:rFonts w:hint="eastAsia" w:ascii="宋体" w:hAnsi="宋体"/>
          <w:color w:val="auto"/>
          <w:szCs w:val="21"/>
          <w:highlight w:val="none"/>
        </w:rPr>
        <w:t>采购代理机构将拒绝接收出现以下情况的响应文件：</w:t>
      </w:r>
    </w:p>
    <w:p>
      <w:pPr>
        <w:pStyle w:val="7"/>
        <w:numPr>
          <w:ilvl w:val="0"/>
          <w:numId w:val="13"/>
        </w:numPr>
        <w:spacing w:before="0"/>
        <w:rPr>
          <w:color w:val="auto"/>
          <w:sz w:val="21"/>
          <w:szCs w:val="21"/>
          <w:highlight w:val="none"/>
        </w:rPr>
      </w:pPr>
      <w:r>
        <w:rPr>
          <w:rFonts w:hint="eastAsia"/>
          <w:color w:val="auto"/>
          <w:sz w:val="21"/>
          <w:szCs w:val="21"/>
          <w:highlight w:val="none"/>
        </w:rPr>
        <w:t>采用透明包装进行密封或未进行密封的响应文件；</w:t>
      </w:r>
    </w:p>
    <w:p>
      <w:pPr>
        <w:pStyle w:val="7"/>
        <w:numPr>
          <w:ilvl w:val="0"/>
          <w:numId w:val="13"/>
        </w:numPr>
        <w:spacing w:before="0"/>
        <w:rPr>
          <w:color w:val="auto"/>
          <w:sz w:val="21"/>
          <w:szCs w:val="21"/>
          <w:highlight w:val="none"/>
        </w:rPr>
      </w:pPr>
      <w:r>
        <w:rPr>
          <w:rFonts w:hint="eastAsia"/>
          <w:color w:val="auto"/>
          <w:sz w:val="21"/>
          <w:szCs w:val="21"/>
          <w:highlight w:val="none"/>
        </w:rPr>
        <w:t>密封破损导致响应文件内容直接或间接泄露的响应文件；</w:t>
      </w:r>
    </w:p>
    <w:p>
      <w:pPr>
        <w:pStyle w:val="7"/>
        <w:numPr>
          <w:ilvl w:val="0"/>
          <w:numId w:val="13"/>
        </w:numPr>
        <w:spacing w:before="0"/>
        <w:rPr>
          <w:color w:val="auto"/>
          <w:sz w:val="21"/>
          <w:szCs w:val="21"/>
          <w:highlight w:val="none"/>
        </w:rPr>
      </w:pPr>
      <w:r>
        <w:rPr>
          <w:rFonts w:hint="eastAsia"/>
          <w:color w:val="auto"/>
          <w:sz w:val="21"/>
          <w:szCs w:val="21"/>
          <w:highlight w:val="none"/>
        </w:rPr>
        <w:t>密封信封上项目编号错误的响应文件；</w:t>
      </w:r>
    </w:p>
    <w:p>
      <w:pPr>
        <w:pStyle w:val="7"/>
        <w:numPr>
          <w:ilvl w:val="0"/>
          <w:numId w:val="13"/>
        </w:numPr>
        <w:spacing w:before="0"/>
        <w:rPr>
          <w:color w:val="auto"/>
          <w:sz w:val="21"/>
          <w:szCs w:val="21"/>
          <w:highlight w:val="none"/>
        </w:rPr>
      </w:pPr>
      <w:r>
        <w:rPr>
          <w:rFonts w:hint="eastAsia"/>
          <w:color w:val="auto"/>
          <w:sz w:val="21"/>
          <w:szCs w:val="21"/>
          <w:highlight w:val="none"/>
        </w:rPr>
        <w:t>未进行项目报名的供应商（以采购代理机构报名表及报名发票为准）递交的响应文件；</w:t>
      </w:r>
    </w:p>
    <w:p>
      <w:pPr>
        <w:pStyle w:val="7"/>
        <w:numPr>
          <w:ilvl w:val="0"/>
          <w:numId w:val="13"/>
        </w:numPr>
        <w:spacing w:before="0"/>
        <w:rPr>
          <w:color w:val="auto"/>
          <w:sz w:val="21"/>
          <w:szCs w:val="21"/>
          <w:highlight w:val="none"/>
        </w:rPr>
      </w:pPr>
      <w:r>
        <w:rPr>
          <w:rFonts w:hint="eastAsia"/>
          <w:color w:val="auto"/>
          <w:sz w:val="21"/>
          <w:szCs w:val="21"/>
          <w:highlight w:val="none"/>
        </w:rPr>
        <w:t>项目名称出现严重歧义或未标注所参与项目信息导致无法分辨所参与项目为本项目的响应文件；</w:t>
      </w:r>
    </w:p>
    <w:p>
      <w:pPr>
        <w:pStyle w:val="7"/>
        <w:numPr>
          <w:ilvl w:val="0"/>
          <w:numId w:val="13"/>
        </w:numPr>
        <w:spacing w:before="0"/>
        <w:rPr>
          <w:color w:val="auto"/>
          <w:sz w:val="21"/>
          <w:szCs w:val="21"/>
          <w:highlight w:val="none"/>
        </w:rPr>
      </w:pPr>
      <w:r>
        <w:rPr>
          <w:rFonts w:hint="eastAsia"/>
          <w:color w:val="auto"/>
          <w:sz w:val="21"/>
          <w:szCs w:val="21"/>
          <w:highlight w:val="none"/>
        </w:rPr>
        <w:t>未递交磋商保证金供应商递交的响应文件；</w:t>
      </w:r>
    </w:p>
    <w:p>
      <w:pPr>
        <w:pStyle w:val="7"/>
        <w:numPr>
          <w:ilvl w:val="0"/>
          <w:numId w:val="13"/>
        </w:numPr>
        <w:spacing w:before="0"/>
        <w:rPr>
          <w:color w:val="auto"/>
          <w:sz w:val="21"/>
          <w:szCs w:val="21"/>
          <w:highlight w:val="none"/>
        </w:rPr>
      </w:pPr>
      <w:r>
        <w:rPr>
          <w:rFonts w:hint="eastAsia"/>
          <w:color w:val="auto"/>
          <w:sz w:val="21"/>
          <w:szCs w:val="21"/>
          <w:highlight w:val="none"/>
        </w:rPr>
        <w:t>采用传真、电传的响应文件；</w:t>
      </w:r>
    </w:p>
    <w:p>
      <w:pPr>
        <w:pStyle w:val="7"/>
        <w:numPr>
          <w:ilvl w:val="0"/>
          <w:numId w:val="13"/>
        </w:numPr>
        <w:spacing w:before="0"/>
        <w:rPr>
          <w:color w:val="auto"/>
          <w:sz w:val="21"/>
          <w:szCs w:val="21"/>
          <w:highlight w:val="none"/>
        </w:rPr>
      </w:pPr>
      <w:r>
        <w:rPr>
          <w:rFonts w:hint="eastAsia"/>
          <w:color w:val="auto"/>
          <w:sz w:val="21"/>
          <w:szCs w:val="21"/>
          <w:highlight w:val="none"/>
        </w:rPr>
        <w:t>多个包号的一并密封的响应文件；</w:t>
      </w:r>
    </w:p>
    <w:p>
      <w:pPr>
        <w:pStyle w:val="7"/>
        <w:numPr>
          <w:ilvl w:val="0"/>
          <w:numId w:val="13"/>
        </w:numPr>
        <w:spacing w:before="0"/>
        <w:rPr>
          <w:color w:val="auto"/>
          <w:sz w:val="21"/>
          <w:szCs w:val="21"/>
          <w:highlight w:val="none"/>
        </w:rPr>
      </w:pPr>
      <w:r>
        <w:rPr>
          <w:rFonts w:hint="eastAsia"/>
          <w:color w:val="auto"/>
          <w:sz w:val="21"/>
          <w:szCs w:val="21"/>
          <w:highlight w:val="none"/>
        </w:rPr>
        <w:t>迟交的响应文件；</w:t>
      </w:r>
    </w:p>
    <w:p>
      <w:pPr>
        <w:pStyle w:val="7"/>
        <w:numPr>
          <w:ilvl w:val="0"/>
          <w:numId w:val="13"/>
        </w:numPr>
        <w:spacing w:before="0"/>
        <w:rPr>
          <w:color w:val="auto"/>
          <w:sz w:val="21"/>
          <w:szCs w:val="21"/>
          <w:highlight w:val="none"/>
        </w:rPr>
      </w:pPr>
      <w:r>
        <w:rPr>
          <w:rFonts w:hint="eastAsia"/>
          <w:color w:val="auto"/>
          <w:sz w:val="21"/>
          <w:szCs w:val="21"/>
          <w:highlight w:val="none"/>
        </w:rPr>
        <w:t>磋商文件规定的其他情形。</w:t>
      </w:r>
    </w:p>
    <w:p>
      <w:pPr>
        <w:numPr>
          <w:ilvl w:val="1"/>
          <w:numId w:val="5"/>
        </w:numPr>
        <w:rPr>
          <w:rFonts w:ascii="宋体" w:hAnsi="宋体"/>
          <w:color w:val="auto"/>
          <w:szCs w:val="21"/>
          <w:highlight w:val="none"/>
        </w:rPr>
      </w:pPr>
      <w:r>
        <w:rPr>
          <w:rFonts w:hint="eastAsia" w:ascii="宋体" w:hAnsi="宋体"/>
          <w:color w:val="auto"/>
          <w:szCs w:val="21"/>
          <w:highlight w:val="none"/>
        </w:rPr>
        <w:t>采购代理机构对所有响应文件的误投或提前启封概不负责。</w:t>
      </w:r>
    </w:p>
    <w:p>
      <w:pPr>
        <w:numPr>
          <w:ilvl w:val="1"/>
          <w:numId w:val="5"/>
        </w:numPr>
        <w:rPr>
          <w:rFonts w:ascii="宋体" w:hAnsi="宋体"/>
          <w:color w:val="auto"/>
          <w:szCs w:val="21"/>
          <w:highlight w:val="none"/>
        </w:rPr>
      </w:pPr>
      <w:r>
        <w:rPr>
          <w:rFonts w:hint="eastAsia" w:ascii="宋体" w:hAnsi="宋体"/>
          <w:color w:val="auto"/>
          <w:szCs w:val="21"/>
          <w:highlight w:val="none"/>
        </w:rPr>
        <w:t>供应商同时参加几个包磋商时必须按采购文件要求按包号分别制作响应文件，分别密封递交。</w:t>
      </w:r>
    </w:p>
    <w:p>
      <w:pPr>
        <w:numPr>
          <w:ilvl w:val="1"/>
          <w:numId w:val="5"/>
        </w:numPr>
        <w:rPr>
          <w:rFonts w:ascii="宋体" w:hAnsi="宋体"/>
          <w:color w:val="auto"/>
          <w:szCs w:val="21"/>
          <w:highlight w:val="none"/>
        </w:rPr>
      </w:pPr>
      <w:r>
        <w:rPr>
          <w:rFonts w:hint="eastAsia" w:ascii="宋体" w:hAnsi="宋体"/>
          <w:color w:val="auto"/>
          <w:szCs w:val="21"/>
          <w:highlight w:val="none"/>
        </w:rPr>
        <w:t>递交的响应文件中所提供的通讯方式应保持联络畅通，因联系不上而导致的所有后果由供应商自行承担。</w:t>
      </w:r>
    </w:p>
    <w:p>
      <w:pPr>
        <w:rPr>
          <w:color w:val="auto"/>
          <w:highlight w:val="none"/>
        </w:rPr>
      </w:pPr>
    </w:p>
    <w:p>
      <w:pPr>
        <w:pStyle w:val="4"/>
        <w:keepNext w:val="0"/>
        <w:keepLines w:val="0"/>
        <w:numPr>
          <w:ilvl w:val="0"/>
          <w:numId w:val="5"/>
        </w:numPr>
        <w:adjustRightInd/>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5"/>
        </w:numPr>
        <w:rPr>
          <w:rFonts w:ascii="宋体" w:hAnsi="宋体"/>
          <w:color w:val="auto"/>
          <w:szCs w:val="21"/>
          <w:highlight w:val="none"/>
        </w:rPr>
      </w:pPr>
      <w:r>
        <w:rPr>
          <w:rFonts w:hint="eastAsia" w:ascii="宋体" w:hAnsi="宋体"/>
          <w:color w:val="auto"/>
          <w:szCs w:val="21"/>
          <w:highlight w:val="none"/>
        </w:rPr>
        <w:t>如有必要，采购代理机构可以要求供应商提供本服务项目涉及的部分设备或产品样品，供应商在磋商时应提交《样品清单》。</w:t>
      </w:r>
    </w:p>
    <w:p>
      <w:pPr>
        <w:numPr>
          <w:ilvl w:val="1"/>
          <w:numId w:val="5"/>
        </w:numPr>
        <w:rPr>
          <w:rFonts w:ascii="宋体" w:hAnsi="宋体"/>
          <w:color w:val="auto"/>
          <w:szCs w:val="21"/>
          <w:highlight w:val="none"/>
        </w:rPr>
      </w:pPr>
      <w:r>
        <w:rPr>
          <w:rFonts w:hint="eastAsia" w:ascii="宋体" w:hAnsi="宋体"/>
          <w:color w:val="auto"/>
          <w:szCs w:val="21"/>
          <w:highlight w:val="none"/>
        </w:rPr>
        <w:t>为方便评审，供应商在提供样品时，应在所提供的样品表面显著位置标注供应商的名称、包号、样品名称、采购文件规定的服务或货物编号。</w:t>
      </w:r>
    </w:p>
    <w:p>
      <w:pPr>
        <w:numPr>
          <w:ilvl w:val="1"/>
          <w:numId w:val="5"/>
        </w:numPr>
        <w:rPr>
          <w:rFonts w:ascii="宋体" w:hAnsi="宋体"/>
          <w:color w:val="auto"/>
          <w:szCs w:val="21"/>
          <w:highlight w:val="none"/>
        </w:rPr>
      </w:pPr>
      <w:r>
        <w:rPr>
          <w:rFonts w:hint="eastAsia" w:ascii="宋体" w:hAnsi="宋体"/>
          <w:color w:val="auto"/>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rPr>
          <w:rFonts w:ascii="宋体" w:hAnsi="宋体" w:cs="宋体"/>
          <w:color w:val="auto"/>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401"/>
      <w:r>
        <w:rPr>
          <w:rFonts w:hint="eastAsia" w:ascii="宋体" w:hAnsi="宋体" w:eastAsia="宋体"/>
          <w:color w:val="auto"/>
          <w:sz w:val="24"/>
          <w:szCs w:val="21"/>
          <w:highlight w:val="none"/>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5"/>
        </w:numPr>
        <w:adjustRightInd/>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pPr>
        <w:numPr>
          <w:ilvl w:val="1"/>
          <w:numId w:val="5"/>
        </w:numPr>
        <w:rPr>
          <w:rFonts w:ascii="宋体" w:hAnsi="宋体"/>
          <w:color w:val="auto"/>
          <w:szCs w:val="21"/>
          <w:highlight w:val="none"/>
        </w:rPr>
      </w:pPr>
      <w:bookmarkStart w:id="134" w:name="_Toc475249135"/>
      <w:bookmarkStart w:id="135" w:name="_Toc475249138"/>
      <w:r>
        <w:rPr>
          <w:rFonts w:hint="eastAsia" w:ascii="宋体" w:hAnsi="宋体"/>
          <w:color w:val="auto"/>
          <w:szCs w:val="21"/>
          <w:highlight w:val="none"/>
        </w:rPr>
        <w:t>供应商应在《磋商邀请函》规定的日期、时间和地点递交响应文件并进行现场签到。</w:t>
      </w:r>
    </w:p>
    <w:p>
      <w:pPr>
        <w:numPr>
          <w:ilvl w:val="1"/>
          <w:numId w:val="5"/>
        </w:numPr>
        <w:rPr>
          <w:rFonts w:ascii="宋体" w:hAnsi="宋体"/>
          <w:color w:val="auto"/>
          <w:szCs w:val="21"/>
          <w:highlight w:val="none"/>
        </w:rPr>
      </w:pPr>
      <w:r>
        <w:rPr>
          <w:rFonts w:hint="eastAsia" w:ascii="宋体" w:hAnsi="宋体"/>
          <w:color w:val="auto"/>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5"/>
        </w:numPr>
        <w:rPr>
          <w:rFonts w:ascii="宋体" w:hAnsi="宋体"/>
          <w:color w:val="auto"/>
          <w:szCs w:val="21"/>
          <w:highlight w:val="none"/>
        </w:rPr>
      </w:pPr>
      <w:r>
        <w:rPr>
          <w:rFonts w:hint="eastAsia" w:ascii="宋体" w:hAnsi="宋体"/>
          <w:color w:val="auto"/>
          <w:szCs w:val="21"/>
          <w:highlight w:val="none"/>
        </w:rPr>
        <w:t>本项目采用综合评分法。</w:t>
      </w:r>
    </w:p>
    <w:p>
      <w:pPr>
        <w:numPr>
          <w:ilvl w:val="1"/>
          <w:numId w:val="5"/>
        </w:numPr>
        <w:rPr>
          <w:rFonts w:ascii="宋体" w:hAnsi="宋体"/>
          <w:color w:val="auto"/>
          <w:szCs w:val="21"/>
          <w:highlight w:val="none"/>
        </w:rPr>
      </w:pPr>
      <w:r>
        <w:rPr>
          <w:rFonts w:hint="eastAsia" w:ascii="宋体" w:hAnsi="宋体"/>
          <w:color w:val="auto"/>
          <w:szCs w:val="21"/>
          <w:highlight w:val="none"/>
        </w:rPr>
        <w:t>通过资格性和符合性审查的有效供应商方有资格提交最终报价及进入综合评审。</w:t>
      </w:r>
    </w:p>
    <w:p>
      <w:pPr>
        <w:numPr>
          <w:ilvl w:val="1"/>
          <w:numId w:val="5"/>
        </w:numPr>
        <w:rPr>
          <w:rFonts w:ascii="宋体" w:hAnsi="宋体"/>
          <w:color w:val="auto"/>
          <w:szCs w:val="21"/>
          <w:highlight w:val="none"/>
        </w:rPr>
      </w:pPr>
      <w:r>
        <w:rPr>
          <w:rFonts w:hint="eastAsia" w:ascii="宋体" w:hAnsi="宋体"/>
          <w:color w:val="auto"/>
          <w:szCs w:val="21"/>
          <w:highlight w:val="none"/>
        </w:rPr>
        <w:t>根据财库〔2015〕124 号，在采购过程中符合要求的供应商只有 2 家的，竞争性磋商采购活动继续进行。</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5"/>
        </w:numPr>
        <w:rPr>
          <w:rFonts w:ascii="宋体" w:hAnsi="宋体"/>
          <w:color w:val="auto"/>
          <w:szCs w:val="21"/>
          <w:highlight w:val="none"/>
        </w:rPr>
      </w:pPr>
      <w:r>
        <w:rPr>
          <w:rFonts w:hint="eastAsia" w:ascii="宋体" w:hAnsi="宋体"/>
          <w:color w:val="auto"/>
          <w:szCs w:val="21"/>
          <w:highlight w:val="none"/>
        </w:rPr>
        <w:t>本次采购依法组建磋商小组。</w:t>
      </w:r>
    </w:p>
    <w:p>
      <w:pPr>
        <w:numPr>
          <w:ilvl w:val="1"/>
          <w:numId w:val="5"/>
        </w:numPr>
        <w:rPr>
          <w:rFonts w:ascii="宋体" w:hAnsi="宋体"/>
          <w:color w:val="auto"/>
          <w:szCs w:val="21"/>
          <w:highlight w:val="none"/>
        </w:rPr>
      </w:pPr>
      <w:r>
        <w:rPr>
          <w:rFonts w:hint="eastAsia" w:ascii="宋体" w:hAnsi="宋体"/>
          <w:color w:val="auto"/>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5"/>
        </w:numPr>
        <w:rPr>
          <w:rFonts w:ascii="宋体" w:hAnsi="宋体"/>
          <w:color w:val="auto"/>
          <w:szCs w:val="21"/>
          <w:highlight w:val="none"/>
        </w:rPr>
      </w:pPr>
      <w:r>
        <w:rPr>
          <w:rFonts w:hint="eastAsia" w:ascii="宋体" w:hAnsi="宋体"/>
          <w:color w:val="auto"/>
          <w:szCs w:val="21"/>
          <w:highlight w:val="none"/>
        </w:rPr>
        <w:t>从递交响应文件截止到签订合同，凡与审查、澄清、评审和供应商响应文件有关的资料，均不得向任何供应商及与磋商无关的其他人透露。</w:t>
      </w:r>
    </w:p>
    <w:p>
      <w:pPr>
        <w:rPr>
          <w:rFonts w:ascii="宋体" w:hAnsi="宋体"/>
          <w:color w:val="auto"/>
          <w:szCs w:val="21"/>
          <w:highlight w:val="none"/>
        </w:rPr>
      </w:pPr>
    </w:p>
    <w:p>
      <w:pPr>
        <w:pStyle w:val="4"/>
        <w:keepNext w:val="0"/>
        <w:keepLines w:val="0"/>
        <w:numPr>
          <w:ilvl w:val="0"/>
          <w:numId w:val="5"/>
        </w:numPr>
        <w:adjustRightInd/>
        <w:rPr>
          <w:rFonts w:hAnsi="宋体"/>
          <w:color w:val="auto"/>
          <w:sz w:val="21"/>
          <w:szCs w:val="21"/>
          <w:highlight w:val="none"/>
        </w:rPr>
      </w:pPr>
      <w:bookmarkStart w:id="138" w:name="_Toc17978"/>
      <w:bookmarkStart w:id="139" w:name="_Toc37121259"/>
      <w:bookmarkStart w:id="140" w:name="_Toc17157"/>
      <w:bookmarkStart w:id="141" w:name="_Toc535141844"/>
      <w:r>
        <w:rPr>
          <w:rFonts w:hint="eastAsia" w:hAnsi="宋体"/>
          <w:color w:val="auto"/>
          <w:sz w:val="21"/>
          <w:szCs w:val="21"/>
          <w:highlight w:val="none"/>
        </w:rPr>
        <w:t>对响应文件的初审</w:t>
      </w:r>
      <w:bookmarkEnd w:id="138"/>
      <w:bookmarkEnd w:id="139"/>
      <w:bookmarkEnd w:id="140"/>
      <w:bookmarkEnd w:id="141"/>
    </w:p>
    <w:p>
      <w:pPr>
        <w:numPr>
          <w:ilvl w:val="1"/>
          <w:numId w:val="5"/>
        </w:numPr>
        <w:rPr>
          <w:rFonts w:ascii="宋体" w:hAnsi="宋体"/>
          <w:color w:val="auto"/>
          <w:szCs w:val="21"/>
          <w:highlight w:val="none"/>
        </w:rPr>
      </w:pPr>
      <w:r>
        <w:rPr>
          <w:rFonts w:hint="eastAsia" w:ascii="宋体" w:hAnsi="宋体"/>
          <w:color w:val="auto"/>
          <w:szCs w:val="21"/>
          <w:highlight w:val="none"/>
        </w:rPr>
        <w:t>开启响应文件后，采购代理机构将组织磋商小组对响应文件进行初审，初审包括资格性审查和符合性审查。</w:t>
      </w:r>
    </w:p>
    <w:p>
      <w:pPr>
        <w:numPr>
          <w:ilvl w:val="1"/>
          <w:numId w:val="5"/>
        </w:numPr>
        <w:rPr>
          <w:rFonts w:ascii="宋体" w:hAnsi="宋体"/>
          <w:color w:val="auto"/>
          <w:szCs w:val="21"/>
          <w:highlight w:val="none"/>
        </w:rPr>
      </w:pPr>
      <w:r>
        <w:rPr>
          <w:rFonts w:hint="eastAsia" w:ascii="宋体" w:hAnsi="宋体"/>
          <w:color w:val="auto"/>
          <w:szCs w:val="21"/>
          <w:highlight w:val="none"/>
        </w:rPr>
        <w:t>资格性审查是指依据法律规定和磋商文件的规定，对响应文件中的资格证明等进行审查，确定供应商是否具备响应资格。</w:t>
      </w:r>
      <w:r>
        <w:rPr>
          <w:rFonts w:hint="eastAsia" w:ascii="宋体" w:hAnsi="宋体"/>
          <w:b/>
          <w:color w:val="auto"/>
          <w:szCs w:val="21"/>
          <w:highlight w:val="none"/>
        </w:rPr>
        <w:t>资格性检查中发现下列情形之一的，其报价及响应文件作无效处理。</w:t>
      </w:r>
    </w:p>
    <w:p>
      <w:pPr>
        <w:numPr>
          <w:ilvl w:val="0"/>
          <w:numId w:val="14"/>
        </w:numPr>
        <w:rPr>
          <w:rFonts w:ascii="宋体" w:hAnsi="宋体"/>
          <w:color w:val="auto"/>
          <w:szCs w:val="21"/>
          <w:highlight w:val="none"/>
        </w:rPr>
      </w:pPr>
      <w:r>
        <w:rPr>
          <w:rFonts w:hint="eastAsia" w:ascii="宋体" w:hAnsi="宋体"/>
          <w:color w:val="auto"/>
          <w:szCs w:val="21"/>
          <w:highlight w:val="none"/>
        </w:rPr>
        <w:t>资格瑕疵</w:t>
      </w:r>
    </w:p>
    <w:p>
      <w:pPr>
        <w:ind w:firstLine="567"/>
        <w:rPr>
          <w:rFonts w:ascii="宋体" w:hAnsi="宋体"/>
          <w:color w:val="auto"/>
          <w:szCs w:val="21"/>
          <w:highlight w:val="none"/>
        </w:rPr>
      </w:pPr>
      <w:r>
        <w:rPr>
          <w:rFonts w:hint="eastAsia" w:ascii="宋体" w:hAnsi="宋体"/>
          <w:color w:val="auto"/>
          <w:szCs w:val="21"/>
          <w:highlight w:val="none"/>
        </w:rPr>
        <w:t>包括但不限于：①资格证明文件未提供或不符合采购文件要求的；</w:t>
      </w:r>
      <w:r>
        <w:rPr>
          <w:rFonts w:ascii="宋体" w:hAnsi="宋体"/>
          <w:color w:val="auto"/>
          <w:szCs w:val="21"/>
          <w:highlight w:val="none"/>
        </w:rPr>
        <w:t xml:space="preserve"> </w:t>
      </w:r>
      <w:r>
        <w:rPr>
          <w:rFonts w:hint="eastAsia" w:ascii="宋体" w:hAnsi="宋体"/>
          <w:color w:val="auto"/>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5"/>
        </w:numPr>
        <w:rPr>
          <w:rFonts w:ascii="宋体" w:hAnsi="宋体"/>
          <w:color w:val="auto"/>
          <w:szCs w:val="21"/>
          <w:highlight w:val="none"/>
        </w:rPr>
      </w:pPr>
      <w:r>
        <w:rPr>
          <w:rFonts w:hint="eastAsia" w:ascii="宋体" w:hAnsi="宋体"/>
          <w:color w:val="auto"/>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b/>
          <w:color w:val="auto"/>
          <w:szCs w:val="21"/>
          <w:highlight w:val="none"/>
        </w:rPr>
        <w:t>符合性检查中发现下列情形之一的，其报价及响应文件作无效处理。</w:t>
      </w:r>
    </w:p>
    <w:p>
      <w:pPr>
        <w:numPr>
          <w:ilvl w:val="0"/>
          <w:numId w:val="15"/>
        </w:numPr>
        <w:rPr>
          <w:rFonts w:ascii="宋体" w:hAnsi="宋体"/>
          <w:color w:val="auto"/>
          <w:szCs w:val="21"/>
          <w:highlight w:val="none"/>
        </w:rPr>
      </w:pPr>
      <w:r>
        <w:rPr>
          <w:rFonts w:hint="eastAsia" w:ascii="宋体" w:hAnsi="宋体"/>
          <w:color w:val="auto"/>
          <w:szCs w:val="21"/>
          <w:highlight w:val="none"/>
        </w:rPr>
        <w:t>响应文件的有效性、完整性瑕疵</w:t>
      </w:r>
    </w:p>
    <w:p>
      <w:pPr>
        <w:ind w:firstLine="567"/>
        <w:rPr>
          <w:rFonts w:ascii="宋体" w:hAnsi="宋体"/>
          <w:color w:val="auto"/>
          <w:szCs w:val="21"/>
          <w:highlight w:val="none"/>
        </w:rPr>
      </w:pPr>
      <w:r>
        <w:rPr>
          <w:rFonts w:hint="eastAsia" w:ascii="宋体" w:hAnsi="宋体"/>
          <w:color w:val="auto"/>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5"/>
        </w:numPr>
        <w:rPr>
          <w:rFonts w:ascii="宋体" w:hAnsi="宋体"/>
          <w:color w:val="auto"/>
          <w:szCs w:val="21"/>
          <w:highlight w:val="none"/>
        </w:rPr>
      </w:pPr>
      <w:r>
        <w:rPr>
          <w:rFonts w:hint="eastAsia" w:ascii="宋体" w:hAnsi="宋体"/>
          <w:color w:val="auto"/>
          <w:szCs w:val="21"/>
          <w:highlight w:val="none"/>
        </w:rPr>
        <w:t>技术响应瑕疵</w:t>
      </w:r>
    </w:p>
    <w:p>
      <w:pPr>
        <w:ind w:firstLine="567"/>
        <w:rPr>
          <w:rFonts w:ascii="宋体" w:hAnsi="宋体"/>
          <w:color w:val="auto"/>
          <w:szCs w:val="21"/>
          <w:highlight w:val="none"/>
        </w:rPr>
      </w:pPr>
      <w:r>
        <w:rPr>
          <w:rFonts w:hint="eastAsia" w:ascii="宋体" w:hAnsi="宋体"/>
          <w:color w:val="auto"/>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5"/>
        </w:numPr>
        <w:rPr>
          <w:rFonts w:ascii="宋体" w:hAnsi="宋体"/>
          <w:color w:val="auto"/>
          <w:szCs w:val="21"/>
          <w:highlight w:val="none"/>
        </w:rPr>
      </w:pPr>
      <w:r>
        <w:rPr>
          <w:rFonts w:hint="eastAsia" w:ascii="宋体" w:hAnsi="宋体"/>
          <w:color w:val="auto"/>
          <w:szCs w:val="21"/>
          <w:highlight w:val="none"/>
        </w:rPr>
        <w:t>商务响应瑕疵</w:t>
      </w:r>
    </w:p>
    <w:p>
      <w:pPr>
        <w:ind w:firstLine="567"/>
        <w:rPr>
          <w:rFonts w:ascii="宋体" w:hAnsi="宋体"/>
          <w:color w:val="auto"/>
          <w:szCs w:val="21"/>
          <w:highlight w:val="none"/>
        </w:rPr>
      </w:pPr>
      <w:r>
        <w:rPr>
          <w:rFonts w:hint="eastAsia" w:ascii="宋体" w:hAnsi="宋体"/>
          <w:color w:val="auto"/>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5"/>
        </w:numPr>
        <w:rPr>
          <w:rFonts w:ascii="宋体" w:hAnsi="宋体"/>
          <w:color w:val="auto"/>
          <w:szCs w:val="21"/>
          <w:highlight w:val="none"/>
        </w:rPr>
      </w:pPr>
      <w:r>
        <w:rPr>
          <w:rFonts w:hint="eastAsia" w:ascii="宋体" w:hAnsi="宋体"/>
          <w:color w:val="auto"/>
          <w:szCs w:val="21"/>
          <w:highlight w:val="none"/>
        </w:rPr>
        <w:t>报价瑕疵</w:t>
      </w:r>
    </w:p>
    <w:p>
      <w:pPr>
        <w:ind w:firstLine="567"/>
        <w:rPr>
          <w:rFonts w:ascii="宋体" w:hAnsi="宋体"/>
          <w:color w:val="auto"/>
          <w:szCs w:val="21"/>
          <w:highlight w:val="none"/>
        </w:rPr>
      </w:pPr>
      <w:r>
        <w:rPr>
          <w:rFonts w:hint="eastAsia" w:ascii="宋体" w:hAnsi="宋体"/>
          <w:color w:val="auto"/>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5"/>
        </w:numPr>
        <w:rPr>
          <w:rFonts w:ascii="宋体" w:hAnsi="宋体"/>
          <w:color w:val="auto"/>
          <w:szCs w:val="21"/>
          <w:highlight w:val="none"/>
        </w:rPr>
      </w:pPr>
      <w:r>
        <w:rPr>
          <w:rFonts w:hint="eastAsia" w:ascii="宋体" w:hAnsi="宋体"/>
          <w:color w:val="auto"/>
          <w:szCs w:val="21"/>
          <w:highlight w:val="none"/>
        </w:rPr>
        <w:t>违规行为</w:t>
      </w:r>
    </w:p>
    <w:p>
      <w:pPr>
        <w:ind w:firstLine="567"/>
        <w:rPr>
          <w:rFonts w:ascii="宋体" w:hAnsi="宋体"/>
          <w:color w:val="auto"/>
          <w:szCs w:val="21"/>
          <w:highlight w:val="none"/>
        </w:rPr>
      </w:pPr>
      <w:r>
        <w:rPr>
          <w:rFonts w:hint="eastAsia" w:ascii="宋体" w:hAnsi="宋体"/>
          <w:color w:val="auto"/>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5"/>
        </w:numPr>
        <w:rPr>
          <w:rFonts w:ascii="宋体" w:hAnsi="宋体"/>
          <w:color w:val="auto"/>
          <w:szCs w:val="21"/>
          <w:highlight w:val="none"/>
        </w:rPr>
      </w:pPr>
      <w:r>
        <w:rPr>
          <w:rFonts w:hint="eastAsia" w:ascii="宋体" w:hAnsi="宋体"/>
          <w:color w:val="auto"/>
          <w:szCs w:val="21"/>
          <w:highlight w:val="none"/>
        </w:rPr>
        <w:t>法律法规及磋商文件中规定的其它情形</w:t>
      </w:r>
    </w:p>
    <w:p>
      <w:pPr>
        <w:ind w:firstLine="567"/>
        <w:rPr>
          <w:rFonts w:ascii="宋体" w:hAnsi="宋体"/>
          <w:color w:val="auto"/>
          <w:szCs w:val="21"/>
          <w:highlight w:val="none"/>
        </w:rPr>
      </w:pPr>
      <w:r>
        <w:rPr>
          <w:rFonts w:hint="eastAsia" w:ascii="宋体" w:hAnsi="宋体"/>
          <w:color w:val="auto"/>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5"/>
        </w:numPr>
        <w:rPr>
          <w:rFonts w:ascii="宋体" w:hAnsi="宋体"/>
          <w:color w:val="auto"/>
          <w:szCs w:val="21"/>
          <w:highlight w:val="none"/>
        </w:rPr>
      </w:pPr>
      <w:r>
        <w:rPr>
          <w:rFonts w:hint="eastAsia" w:ascii="宋体" w:hAnsi="宋体"/>
          <w:color w:val="auto"/>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5"/>
        </w:numPr>
        <w:rPr>
          <w:rFonts w:ascii="宋体" w:hAnsi="宋体"/>
          <w:color w:val="auto"/>
          <w:szCs w:val="21"/>
          <w:highlight w:val="none"/>
        </w:rPr>
      </w:pPr>
      <w:r>
        <w:rPr>
          <w:rFonts w:hint="eastAsia" w:ascii="宋体" w:hAnsi="宋体"/>
          <w:color w:val="auto"/>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5"/>
        </w:numPr>
        <w:rPr>
          <w:rFonts w:ascii="宋体" w:hAnsi="宋体"/>
          <w:color w:val="auto"/>
          <w:szCs w:val="21"/>
          <w:highlight w:val="none"/>
        </w:rPr>
      </w:pPr>
      <w:r>
        <w:rPr>
          <w:rFonts w:hint="eastAsia" w:ascii="宋体" w:hAnsi="宋体"/>
          <w:color w:val="auto"/>
          <w:szCs w:val="21"/>
          <w:highlight w:val="none"/>
        </w:rPr>
        <w:t>磋商小组确定响应文件的响应性，只根据响应文件本身的内容，而不寻找外部的证据。</w:t>
      </w:r>
    </w:p>
    <w:p>
      <w:pPr>
        <w:numPr>
          <w:ilvl w:val="1"/>
          <w:numId w:val="5"/>
        </w:numPr>
        <w:rPr>
          <w:rFonts w:ascii="宋体" w:hAnsi="宋体"/>
          <w:color w:val="auto"/>
          <w:szCs w:val="21"/>
          <w:highlight w:val="none"/>
        </w:rPr>
      </w:pPr>
      <w:r>
        <w:rPr>
          <w:rFonts w:hint="eastAsia" w:ascii="宋体" w:hAnsi="宋体"/>
          <w:color w:val="auto"/>
          <w:szCs w:val="21"/>
          <w:highlight w:val="none"/>
        </w:rPr>
        <w:t>实质上没有响应磋商文件要求的响应文件将被拒绝。供应商不得通过修正或撤销不合要求的偏离或保留从而使其响应成为实质上的响应。</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5"/>
        </w:numPr>
        <w:rPr>
          <w:rFonts w:ascii="宋体" w:hAnsi="宋体"/>
          <w:color w:val="auto"/>
          <w:szCs w:val="21"/>
          <w:highlight w:val="none"/>
        </w:rPr>
      </w:pPr>
      <w:r>
        <w:rPr>
          <w:rFonts w:hint="eastAsia" w:ascii="宋体" w:hAnsi="宋体"/>
          <w:color w:val="auto"/>
          <w:szCs w:val="21"/>
          <w:highlight w:val="none"/>
        </w:rPr>
        <w:t>磋商小组所有成员应当集中与单一供应商分别进行磋商，并给予所有参加磋商的供应商平等的磋商机会。其磋商顺序以供应商签到顺序为准。</w:t>
      </w:r>
    </w:p>
    <w:p>
      <w:pPr>
        <w:numPr>
          <w:ilvl w:val="1"/>
          <w:numId w:val="5"/>
        </w:numPr>
        <w:rPr>
          <w:rFonts w:ascii="宋体" w:hAnsi="宋体"/>
          <w:color w:val="auto"/>
          <w:szCs w:val="21"/>
          <w:highlight w:val="none"/>
        </w:rPr>
      </w:pPr>
      <w:r>
        <w:rPr>
          <w:rFonts w:hint="eastAsia" w:ascii="宋体" w:hAnsi="宋体"/>
          <w:color w:val="auto"/>
          <w:szCs w:val="21"/>
          <w:highlight w:val="none"/>
        </w:rPr>
        <w:t>磋商使用语言为中文。</w:t>
      </w:r>
    </w:p>
    <w:p>
      <w:pPr>
        <w:numPr>
          <w:ilvl w:val="1"/>
          <w:numId w:val="5"/>
        </w:numPr>
        <w:rPr>
          <w:rFonts w:ascii="宋体" w:hAnsi="宋体"/>
          <w:color w:val="auto"/>
          <w:szCs w:val="21"/>
          <w:highlight w:val="none"/>
        </w:rPr>
      </w:pPr>
      <w:r>
        <w:rPr>
          <w:rFonts w:hint="eastAsia" w:ascii="宋体" w:hAnsi="宋体"/>
          <w:color w:val="auto"/>
          <w:szCs w:val="21"/>
          <w:highlight w:val="none"/>
        </w:rPr>
        <w:t>磋商小组将拒绝与出现以下情况的供应商授权代表进行磋商：</w:t>
      </w:r>
    </w:p>
    <w:p>
      <w:pPr>
        <w:pStyle w:val="7"/>
        <w:numPr>
          <w:ilvl w:val="0"/>
          <w:numId w:val="16"/>
        </w:numPr>
        <w:spacing w:before="0"/>
        <w:rPr>
          <w:color w:val="auto"/>
          <w:sz w:val="21"/>
          <w:szCs w:val="21"/>
          <w:highlight w:val="none"/>
        </w:rPr>
      </w:pPr>
      <w:r>
        <w:rPr>
          <w:rFonts w:hint="eastAsia"/>
          <w:color w:val="auto"/>
          <w:sz w:val="21"/>
          <w:szCs w:val="21"/>
          <w:highlight w:val="none"/>
        </w:rPr>
        <w:t>供应商授权代表无有效授权的；</w:t>
      </w:r>
    </w:p>
    <w:p>
      <w:pPr>
        <w:pStyle w:val="7"/>
        <w:numPr>
          <w:ilvl w:val="0"/>
          <w:numId w:val="16"/>
        </w:numPr>
        <w:spacing w:before="0"/>
        <w:rPr>
          <w:color w:val="auto"/>
          <w:sz w:val="21"/>
          <w:szCs w:val="21"/>
          <w:highlight w:val="none"/>
        </w:rPr>
      </w:pPr>
      <w:r>
        <w:rPr>
          <w:rFonts w:hint="eastAsia"/>
          <w:color w:val="auto"/>
          <w:sz w:val="21"/>
          <w:szCs w:val="21"/>
          <w:highlight w:val="none"/>
        </w:rPr>
        <w:t>供应商响应文件中的授权代表与现场进行磋商的授权代表不一致的；</w:t>
      </w:r>
    </w:p>
    <w:p>
      <w:pPr>
        <w:pStyle w:val="7"/>
        <w:numPr>
          <w:ilvl w:val="0"/>
          <w:numId w:val="16"/>
        </w:numPr>
        <w:spacing w:before="0"/>
        <w:rPr>
          <w:color w:val="auto"/>
          <w:sz w:val="21"/>
          <w:szCs w:val="21"/>
          <w:highlight w:val="none"/>
        </w:rPr>
      </w:pPr>
      <w:r>
        <w:rPr>
          <w:rFonts w:hint="eastAsia"/>
          <w:color w:val="auto"/>
          <w:sz w:val="21"/>
          <w:szCs w:val="21"/>
          <w:highlight w:val="none"/>
        </w:rPr>
        <w:t>法人参加磋商但无法定代表人证明书的；</w:t>
      </w:r>
    </w:p>
    <w:p>
      <w:pPr>
        <w:pStyle w:val="7"/>
        <w:numPr>
          <w:ilvl w:val="0"/>
          <w:numId w:val="16"/>
        </w:numPr>
        <w:spacing w:before="0"/>
        <w:rPr>
          <w:color w:val="auto"/>
          <w:sz w:val="21"/>
          <w:szCs w:val="21"/>
          <w:highlight w:val="none"/>
        </w:rPr>
      </w:pPr>
      <w:r>
        <w:rPr>
          <w:rFonts w:hint="eastAsia"/>
          <w:color w:val="auto"/>
          <w:sz w:val="21"/>
          <w:szCs w:val="21"/>
          <w:highlight w:val="none"/>
        </w:rPr>
        <w:t>授权代表现场不能出具可证明其身份信息的证件或文件的；</w:t>
      </w:r>
    </w:p>
    <w:p>
      <w:pPr>
        <w:pStyle w:val="7"/>
        <w:numPr>
          <w:ilvl w:val="0"/>
          <w:numId w:val="16"/>
        </w:numPr>
        <w:spacing w:before="0"/>
        <w:rPr>
          <w:color w:val="auto"/>
          <w:sz w:val="21"/>
          <w:szCs w:val="21"/>
          <w:highlight w:val="none"/>
        </w:rPr>
      </w:pPr>
      <w:r>
        <w:rPr>
          <w:rFonts w:hint="eastAsia"/>
          <w:color w:val="auto"/>
          <w:sz w:val="21"/>
          <w:szCs w:val="21"/>
          <w:highlight w:val="none"/>
        </w:rPr>
        <w:t>供应商一次报价超出采购文件所规定的预算或最高限价的；</w:t>
      </w:r>
    </w:p>
    <w:p>
      <w:pPr>
        <w:pStyle w:val="7"/>
        <w:numPr>
          <w:ilvl w:val="0"/>
          <w:numId w:val="16"/>
        </w:numPr>
        <w:spacing w:before="0"/>
        <w:rPr>
          <w:color w:val="auto"/>
          <w:sz w:val="21"/>
          <w:szCs w:val="21"/>
          <w:highlight w:val="none"/>
        </w:rPr>
      </w:pPr>
      <w:r>
        <w:rPr>
          <w:rFonts w:hint="eastAsia"/>
          <w:color w:val="auto"/>
          <w:sz w:val="21"/>
          <w:szCs w:val="21"/>
          <w:highlight w:val="none"/>
        </w:rPr>
        <w:t>扰乱磋商秩序，干扰采购工作正常进行的；</w:t>
      </w:r>
    </w:p>
    <w:p>
      <w:pPr>
        <w:pStyle w:val="7"/>
        <w:numPr>
          <w:ilvl w:val="0"/>
          <w:numId w:val="16"/>
        </w:numPr>
        <w:spacing w:before="0"/>
        <w:rPr>
          <w:color w:val="auto"/>
          <w:sz w:val="21"/>
          <w:szCs w:val="21"/>
          <w:highlight w:val="none"/>
        </w:rPr>
      </w:pPr>
      <w:r>
        <w:rPr>
          <w:rFonts w:hint="eastAsia"/>
          <w:color w:val="auto"/>
          <w:sz w:val="21"/>
          <w:szCs w:val="21"/>
          <w:highlight w:val="none"/>
        </w:rPr>
        <w:t>直接或间接影响其他供应商进行最终报价的；</w:t>
      </w:r>
    </w:p>
    <w:p>
      <w:pPr>
        <w:pStyle w:val="7"/>
        <w:numPr>
          <w:ilvl w:val="0"/>
          <w:numId w:val="16"/>
        </w:numPr>
        <w:spacing w:before="0"/>
        <w:rPr>
          <w:color w:val="auto"/>
          <w:sz w:val="21"/>
          <w:szCs w:val="21"/>
          <w:highlight w:val="none"/>
        </w:rPr>
      </w:pPr>
      <w:r>
        <w:rPr>
          <w:rFonts w:hint="eastAsia"/>
          <w:color w:val="auto"/>
          <w:sz w:val="21"/>
          <w:szCs w:val="21"/>
          <w:highlight w:val="none"/>
        </w:rPr>
        <w:t>磋商小组认定为违规的情况；</w:t>
      </w:r>
    </w:p>
    <w:p>
      <w:pPr>
        <w:pStyle w:val="7"/>
        <w:numPr>
          <w:ilvl w:val="0"/>
          <w:numId w:val="16"/>
        </w:numPr>
        <w:spacing w:before="0"/>
        <w:rPr>
          <w:color w:val="auto"/>
          <w:sz w:val="21"/>
          <w:szCs w:val="21"/>
          <w:highlight w:val="none"/>
        </w:rPr>
      </w:pPr>
      <w:r>
        <w:rPr>
          <w:rFonts w:hint="eastAsia"/>
          <w:color w:val="auto"/>
          <w:sz w:val="21"/>
          <w:szCs w:val="21"/>
          <w:highlight w:val="none"/>
        </w:rPr>
        <w:t>采购文件规定的其他情况。</w:t>
      </w:r>
    </w:p>
    <w:p>
      <w:pPr>
        <w:numPr>
          <w:ilvl w:val="1"/>
          <w:numId w:val="5"/>
        </w:numPr>
        <w:rPr>
          <w:rFonts w:ascii="宋体" w:hAnsi="宋体"/>
          <w:color w:val="auto"/>
          <w:szCs w:val="21"/>
          <w:highlight w:val="none"/>
        </w:rPr>
      </w:pPr>
      <w:r>
        <w:rPr>
          <w:rFonts w:hint="eastAsia" w:ascii="宋体" w:hAnsi="宋体"/>
          <w:color w:val="auto"/>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5"/>
        </w:numPr>
        <w:rPr>
          <w:rFonts w:ascii="宋体" w:hAnsi="宋体"/>
          <w:color w:val="auto"/>
          <w:szCs w:val="21"/>
          <w:highlight w:val="none"/>
        </w:rPr>
      </w:pPr>
      <w:r>
        <w:rPr>
          <w:rFonts w:hint="eastAsia" w:ascii="宋体" w:hAnsi="宋体"/>
          <w:color w:val="auto"/>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5"/>
        </w:numPr>
        <w:rPr>
          <w:rFonts w:ascii="宋体" w:hAnsi="宋体"/>
          <w:color w:val="auto"/>
          <w:szCs w:val="21"/>
          <w:highlight w:val="none"/>
        </w:rPr>
      </w:pPr>
      <w:r>
        <w:rPr>
          <w:rFonts w:hint="eastAsia" w:ascii="宋体" w:hAnsi="宋体"/>
          <w:color w:val="auto"/>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5"/>
        </w:numPr>
        <w:rPr>
          <w:rFonts w:ascii="宋体" w:hAnsi="宋体"/>
          <w:color w:val="auto"/>
          <w:szCs w:val="21"/>
          <w:highlight w:val="none"/>
        </w:rPr>
      </w:pPr>
      <w:r>
        <w:rPr>
          <w:rFonts w:hint="eastAsia" w:ascii="宋体" w:hAnsi="宋体"/>
          <w:color w:val="auto"/>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5"/>
        </w:numPr>
        <w:rPr>
          <w:rFonts w:ascii="宋体" w:hAnsi="宋体"/>
          <w:color w:val="auto"/>
          <w:szCs w:val="21"/>
          <w:highlight w:val="none"/>
        </w:rPr>
      </w:pPr>
      <w:r>
        <w:rPr>
          <w:rFonts w:hint="eastAsia" w:ascii="宋体" w:hAnsi="宋体"/>
          <w:color w:val="auto"/>
          <w:szCs w:val="21"/>
          <w:highlight w:val="none"/>
        </w:rPr>
        <w:t>通过初审，但未在规定时间内进行最终报价的供应商，其报价文件上的报价视为其最终报价。</w:t>
      </w:r>
    </w:p>
    <w:p>
      <w:pPr>
        <w:numPr>
          <w:ilvl w:val="1"/>
          <w:numId w:val="5"/>
        </w:numPr>
        <w:rPr>
          <w:rFonts w:ascii="宋体" w:hAnsi="宋体"/>
          <w:color w:val="auto"/>
          <w:szCs w:val="21"/>
          <w:highlight w:val="none"/>
        </w:rPr>
      </w:pPr>
      <w:r>
        <w:rPr>
          <w:rFonts w:hint="eastAsia" w:ascii="宋体" w:hAnsi="宋体"/>
          <w:color w:val="auto"/>
          <w:szCs w:val="21"/>
          <w:highlight w:val="none"/>
        </w:rPr>
        <w:t>已提交响应文件的供应商，在提交最后报价之前，可以根据磋商情况退出磋商。响应文件不予退还，磋商保证金按采购文件规定进行退还。退出磋商的供应商不进入综合评分环节。</w:t>
      </w:r>
    </w:p>
    <w:p>
      <w:pPr>
        <w:rPr>
          <w:color w:val="auto"/>
          <w:highlight w:val="none"/>
        </w:rPr>
      </w:pPr>
    </w:p>
    <w:bookmarkEnd w:id="135"/>
    <w:p>
      <w:pPr>
        <w:pStyle w:val="4"/>
        <w:keepNext w:val="0"/>
        <w:keepLines w:val="0"/>
        <w:numPr>
          <w:ilvl w:val="0"/>
          <w:numId w:val="5"/>
        </w:numPr>
        <w:adjustRightInd/>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5"/>
        </w:numPr>
        <w:rPr>
          <w:rFonts w:ascii="宋体" w:hAnsi="宋体"/>
          <w:color w:val="auto"/>
          <w:szCs w:val="21"/>
          <w:highlight w:val="none"/>
        </w:rPr>
      </w:pPr>
      <w:r>
        <w:rPr>
          <w:rFonts w:hint="eastAsia" w:ascii="宋体" w:hAnsi="宋体"/>
          <w:color w:val="auto"/>
          <w:szCs w:val="21"/>
          <w:highlight w:val="none"/>
        </w:rPr>
        <w:t>经磋商确定最终采购需求和提交最后报价的供应商后，由磋商小组采用综合评分法对提交最后报价的供应商的响应文件和最后报价进行综合评分。</w:t>
      </w:r>
    </w:p>
    <w:p>
      <w:pPr>
        <w:numPr>
          <w:ilvl w:val="1"/>
          <w:numId w:val="5"/>
        </w:numPr>
        <w:rPr>
          <w:rFonts w:ascii="宋体" w:hAnsi="宋体"/>
          <w:color w:val="auto"/>
          <w:szCs w:val="21"/>
          <w:highlight w:val="none"/>
        </w:rPr>
      </w:pPr>
      <w:r>
        <w:rPr>
          <w:rFonts w:hint="eastAsia" w:ascii="宋体" w:hAnsi="宋体"/>
          <w:color w:val="auto"/>
          <w:szCs w:val="21"/>
          <w:highlight w:val="none"/>
        </w:rPr>
        <w:t>价格评审：</w:t>
      </w:r>
    </w:p>
    <w:p>
      <w:pPr>
        <w:pStyle w:val="7"/>
        <w:numPr>
          <w:ilvl w:val="0"/>
          <w:numId w:val="17"/>
        </w:numPr>
        <w:spacing w:before="0"/>
        <w:rPr>
          <w:color w:val="auto"/>
          <w:sz w:val="21"/>
          <w:szCs w:val="21"/>
          <w:highlight w:val="none"/>
        </w:rPr>
      </w:pPr>
      <w:r>
        <w:rPr>
          <w:rFonts w:hint="eastAsia"/>
          <w:color w:val="auto"/>
          <w:sz w:val="21"/>
          <w:szCs w:val="21"/>
          <w:highlight w:val="none"/>
        </w:rPr>
        <w:t>以各供应商最终报价进行评审；</w:t>
      </w:r>
    </w:p>
    <w:p>
      <w:pPr>
        <w:pStyle w:val="7"/>
        <w:numPr>
          <w:ilvl w:val="0"/>
          <w:numId w:val="17"/>
        </w:numPr>
        <w:spacing w:before="0"/>
        <w:rPr>
          <w:color w:val="auto"/>
          <w:sz w:val="21"/>
          <w:szCs w:val="21"/>
          <w:highlight w:val="none"/>
        </w:rPr>
      </w:pPr>
      <w:r>
        <w:rPr>
          <w:rFonts w:hint="eastAsia"/>
          <w:color w:val="auto"/>
          <w:sz w:val="21"/>
          <w:szCs w:val="21"/>
          <w:highlight w:val="none"/>
        </w:rPr>
        <w:t>报价错误修正原则：</w:t>
      </w:r>
    </w:p>
    <w:p>
      <w:pPr>
        <w:pStyle w:val="7"/>
        <w:spacing w:before="0"/>
        <w:ind w:left="420"/>
        <w:rPr>
          <w:color w:val="auto"/>
          <w:sz w:val="21"/>
          <w:szCs w:val="21"/>
          <w:highlight w:val="none"/>
        </w:rPr>
      </w:pPr>
      <w:r>
        <w:rPr>
          <w:rFonts w:hint="eastAsia"/>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spacing w:before="0"/>
        <w:ind w:left="420"/>
        <w:rPr>
          <w:color w:val="auto"/>
          <w:sz w:val="21"/>
          <w:szCs w:val="21"/>
          <w:highlight w:val="none"/>
        </w:rPr>
      </w:pPr>
      <w:r>
        <w:rPr>
          <w:rFonts w:hint="eastAsia"/>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numPr>
          <w:ilvl w:val="0"/>
          <w:numId w:val="17"/>
        </w:numPr>
        <w:spacing w:before="0"/>
        <w:rPr>
          <w:color w:val="auto"/>
          <w:sz w:val="21"/>
          <w:szCs w:val="21"/>
          <w:highlight w:val="none"/>
        </w:rPr>
      </w:pPr>
      <w:r>
        <w:rPr>
          <w:rFonts w:hint="eastAsia"/>
          <w:color w:val="auto"/>
          <w:sz w:val="21"/>
          <w:szCs w:val="21"/>
          <w:highlight w:val="none"/>
        </w:rPr>
        <w:t>对报价服务报价漏项的，作非实质性响应处理。</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技术商务评审要求详见《商务技术评分及价格权重表》。</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5"/>
        </w:numPr>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48" w:name="_Toc30725"/>
      <w:bookmarkStart w:id="149" w:name="_Toc23560"/>
      <w:r>
        <w:rPr>
          <w:rFonts w:hint="eastAsia" w:hAnsi="宋体"/>
          <w:color w:val="auto"/>
          <w:sz w:val="21"/>
          <w:szCs w:val="21"/>
          <w:highlight w:val="none"/>
        </w:rPr>
        <w:t>优惠政策</w:t>
      </w:r>
      <w:bookmarkEnd w:id="148"/>
      <w:bookmarkEnd w:id="149"/>
    </w:p>
    <w:p>
      <w:pPr>
        <w:numPr>
          <w:ilvl w:val="1"/>
          <w:numId w:val="5"/>
        </w:numPr>
        <w:rPr>
          <w:rFonts w:ascii="宋体" w:hAnsi="宋体"/>
          <w:color w:val="auto"/>
          <w:szCs w:val="21"/>
          <w:highlight w:val="none"/>
        </w:rPr>
      </w:pPr>
      <w:r>
        <w:rPr>
          <w:rFonts w:hint="eastAsia" w:ascii="宋体" w:hAnsi="宋体"/>
          <w:color w:val="auto"/>
          <w:szCs w:val="21"/>
          <w:highlight w:val="none"/>
        </w:rPr>
        <w:t>对小型或微型企业、监狱企业、残疾人福利性单位报价的扶持：</w:t>
      </w:r>
    </w:p>
    <w:p>
      <w:pPr>
        <w:ind w:firstLine="420" w:firstLineChars="200"/>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5"/>
        </w:numPr>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5"/>
        </w:numPr>
        <w:rPr>
          <w:rFonts w:ascii="宋体" w:hAnsi="宋体"/>
          <w:color w:val="auto"/>
          <w:szCs w:val="21"/>
          <w:highlight w:val="none"/>
        </w:rPr>
      </w:pPr>
      <w:r>
        <w:rPr>
          <w:rFonts w:hint="eastAsia" w:ascii="宋体" w:hAnsi="宋体"/>
          <w:color w:val="auto"/>
          <w:szCs w:val="21"/>
          <w:highlight w:val="none"/>
        </w:rPr>
        <w:t>供应商为小型或微型企业且响应产品含小型或微型企业产品时，其对应产品价格的扣除详见磋商资料表。</w:t>
      </w:r>
    </w:p>
    <w:p>
      <w:pPr>
        <w:numPr>
          <w:ilvl w:val="1"/>
          <w:numId w:val="5"/>
        </w:numPr>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5"/>
        </w:numPr>
        <w:rPr>
          <w:rFonts w:ascii="宋体" w:hAnsi="宋体"/>
          <w:color w:val="auto"/>
          <w:szCs w:val="21"/>
          <w:highlight w:val="none"/>
        </w:rPr>
      </w:pPr>
      <w:r>
        <w:rPr>
          <w:rFonts w:hint="eastAsia" w:ascii="宋体" w:hAnsi="宋体"/>
          <w:color w:val="auto"/>
          <w:szCs w:val="21"/>
          <w:highlight w:val="none"/>
        </w:rPr>
        <w:t>供应商同时为小型、微型企业、监狱企业、残疾人福利性单位任两种或以上情况的，评审中只享受一次价格扣除，不重复进行价格扣除。</w:t>
      </w:r>
    </w:p>
    <w:p>
      <w:pPr>
        <w:numPr>
          <w:ilvl w:val="1"/>
          <w:numId w:val="5"/>
        </w:numPr>
        <w:rPr>
          <w:rFonts w:ascii="宋体" w:hAnsi="宋体"/>
          <w:color w:val="auto"/>
          <w:szCs w:val="21"/>
          <w:highlight w:val="none"/>
        </w:rPr>
      </w:pPr>
      <w:r>
        <w:rPr>
          <w:rFonts w:hint="eastAsia" w:ascii="宋体" w:hAnsi="宋体"/>
          <w:color w:val="auto"/>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5"/>
        </w:numPr>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pStyle w:val="7"/>
        <w:numPr>
          <w:ilvl w:val="0"/>
          <w:numId w:val="18"/>
        </w:numPr>
        <w:spacing w:before="0"/>
        <w:rPr>
          <w:color w:val="auto"/>
          <w:sz w:val="21"/>
          <w:szCs w:val="21"/>
          <w:highlight w:val="none"/>
        </w:rPr>
      </w:pPr>
      <w:r>
        <w:rPr>
          <w:rFonts w:hint="eastAsia"/>
          <w:color w:val="auto"/>
          <w:sz w:val="21"/>
          <w:szCs w:val="21"/>
          <w:highlight w:val="none"/>
        </w:rPr>
        <w:t>安置的残疾人占本单位在职职工人数的比例不低于25%（含25%），并且安置的残疾人人数不少于10人（含10人）；</w:t>
      </w:r>
    </w:p>
    <w:p>
      <w:pPr>
        <w:pStyle w:val="7"/>
        <w:numPr>
          <w:ilvl w:val="0"/>
          <w:numId w:val="18"/>
        </w:numPr>
        <w:spacing w:before="0"/>
        <w:rPr>
          <w:color w:val="auto"/>
          <w:sz w:val="21"/>
          <w:szCs w:val="21"/>
          <w:highlight w:val="none"/>
        </w:rPr>
      </w:pPr>
      <w:r>
        <w:rPr>
          <w:rFonts w:hint="eastAsia"/>
          <w:color w:val="auto"/>
          <w:sz w:val="21"/>
          <w:szCs w:val="21"/>
          <w:highlight w:val="none"/>
        </w:rPr>
        <w:t>依法与安置的每位残疾人签订了一年以上（含一年）的劳动合同或服务协议；</w:t>
      </w:r>
    </w:p>
    <w:p>
      <w:pPr>
        <w:pStyle w:val="7"/>
        <w:numPr>
          <w:ilvl w:val="0"/>
          <w:numId w:val="18"/>
        </w:numPr>
        <w:spacing w:before="0"/>
        <w:rPr>
          <w:color w:val="auto"/>
          <w:sz w:val="21"/>
          <w:szCs w:val="21"/>
          <w:highlight w:val="none"/>
        </w:rPr>
      </w:pPr>
      <w:r>
        <w:rPr>
          <w:rFonts w:hint="eastAsia"/>
          <w:color w:val="auto"/>
          <w:sz w:val="21"/>
          <w:szCs w:val="21"/>
          <w:highlight w:val="none"/>
        </w:rPr>
        <w:t>为安置的每位残疾人按月足额缴纳了基本养老保险、基本医疗保险、失业保险、工伤保险和生育保险等社会保险费；</w:t>
      </w:r>
    </w:p>
    <w:p>
      <w:pPr>
        <w:pStyle w:val="7"/>
        <w:numPr>
          <w:ilvl w:val="0"/>
          <w:numId w:val="18"/>
        </w:numPr>
        <w:spacing w:before="0"/>
        <w:rPr>
          <w:color w:val="auto"/>
          <w:sz w:val="21"/>
          <w:szCs w:val="21"/>
          <w:highlight w:val="none"/>
        </w:rPr>
      </w:pPr>
      <w:r>
        <w:rPr>
          <w:rFonts w:hint="eastAsia"/>
          <w:color w:val="auto"/>
          <w:sz w:val="21"/>
          <w:szCs w:val="21"/>
          <w:highlight w:val="none"/>
        </w:rPr>
        <w:t>通过银行等金融机构向安置的每位残疾人，按月支付了不低于单位所在区县适用的经省级人民政府批准的月最低工资标准的工资；</w:t>
      </w:r>
    </w:p>
    <w:p>
      <w:pPr>
        <w:pStyle w:val="7"/>
        <w:numPr>
          <w:ilvl w:val="0"/>
          <w:numId w:val="18"/>
        </w:numPr>
        <w:spacing w:before="0"/>
        <w:rPr>
          <w:color w:val="auto"/>
          <w:sz w:val="21"/>
          <w:szCs w:val="21"/>
          <w:highlight w:val="none"/>
        </w:rPr>
      </w:pPr>
      <w:r>
        <w:rPr>
          <w:rFonts w:hint="eastAsia"/>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5"/>
        </w:numPr>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5"/>
        </w:numPr>
        <w:rPr>
          <w:rFonts w:ascii="宋体" w:hAnsi="宋体"/>
          <w:color w:val="auto"/>
          <w:szCs w:val="21"/>
          <w:highlight w:val="none"/>
        </w:rPr>
      </w:pPr>
      <w:r>
        <w:rPr>
          <w:rFonts w:hint="eastAsia" w:ascii="宋体" w:hAnsi="宋体"/>
          <w:color w:val="auto"/>
          <w:szCs w:val="21"/>
          <w:highlight w:val="none"/>
        </w:rPr>
        <w:t>对节能产品或环境标志产品的扶持：</w:t>
      </w:r>
    </w:p>
    <w:p>
      <w:pPr>
        <w:ind w:firstLine="420" w:firstLineChars="200"/>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环境标志产品政府采购执行机制的通知》（粤财采购函〔2020〕1号）的规定，对提供节能产品或环境标志产品的响应单位的价格给予一定比例扣除（扣除比例详见磋商资料表）。</w:t>
      </w:r>
    </w:p>
    <w:p>
      <w:pPr>
        <w:numPr>
          <w:ilvl w:val="1"/>
          <w:numId w:val="5"/>
        </w:numPr>
        <w:rPr>
          <w:rFonts w:ascii="宋体" w:hAnsi="宋体"/>
          <w:color w:val="auto"/>
          <w:szCs w:val="21"/>
          <w:highlight w:val="none"/>
        </w:rPr>
      </w:pPr>
      <w:r>
        <w:rPr>
          <w:rFonts w:hint="eastAsia" w:ascii="宋体" w:hAnsi="宋体"/>
          <w:color w:val="auto"/>
          <w:szCs w:val="21"/>
          <w:highlight w:val="none"/>
        </w:rPr>
        <w:t>提供节能产品或环境标志产品的供应商其产品应符合以下规定：</w:t>
      </w:r>
    </w:p>
    <w:p>
      <w:pPr>
        <w:pStyle w:val="7"/>
        <w:numPr>
          <w:ilvl w:val="0"/>
          <w:numId w:val="19"/>
        </w:numPr>
        <w:spacing w:before="0"/>
        <w:rPr>
          <w:color w:val="auto"/>
          <w:sz w:val="21"/>
          <w:szCs w:val="21"/>
          <w:highlight w:val="none"/>
        </w:rPr>
      </w:pPr>
      <w:r>
        <w:rPr>
          <w:rFonts w:hint="eastAsia"/>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numPr>
          <w:ilvl w:val="0"/>
          <w:numId w:val="19"/>
        </w:numPr>
        <w:spacing w:before="0"/>
        <w:rPr>
          <w:color w:val="auto"/>
          <w:sz w:val="21"/>
          <w:szCs w:val="21"/>
          <w:highlight w:val="none"/>
        </w:rPr>
      </w:pPr>
      <w:r>
        <w:rPr>
          <w:rFonts w:hint="eastAsia"/>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numPr>
          <w:ilvl w:val="0"/>
          <w:numId w:val="19"/>
        </w:numPr>
        <w:spacing w:before="0"/>
        <w:rPr>
          <w:color w:val="auto"/>
          <w:sz w:val="21"/>
          <w:szCs w:val="21"/>
          <w:highlight w:val="none"/>
        </w:rPr>
      </w:pPr>
      <w:r>
        <w:rPr>
          <w:rFonts w:hint="eastAsia"/>
          <w:color w:val="auto"/>
          <w:sz w:val="21"/>
          <w:szCs w:val="21"/>
          <w:highlight w:val="none"/>
        </w:rPr>
        <w:t>若用户需求中含有《节能产品政府采购品目清单》中的政府强制采购产品，供应商应根据要求提供所对应的节能产品，否则做响应无效处理。</w:t>
      </w:r>
    </w:p>
    <w:p>
      <w:pPr>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rPr>
        <w:t>第六章确定成交供应商</w:t>
      </w:r>
      <w:bookmarkEnd w:id="150"/>
      <w:bookmarkEnd w:id="151"/>
    </w:p>
    <w:p>
      <w:pPr>
        <w:pStyle w:val="4"/>
        <w:keepNext w:val="0"/>
        <w:keepLines w:val="0"/>
        <w:numPr>
          <w:ilvl w:val="0"/>
          <w:numId w:val="5"/>
        </w:numPr>
        <w:adjustRightInd/>
        <w:rPr>
          <w:rFonts w:hAnsi="宋体"/>
          <w:color w:val="auto"/>
          <w:sz w:val="21"/>
          <w:szCs w:val="21"/>
          <w:highlight w:val="none"/>
        </w:rPr>
      </w:pPr>
      <w:bookmarkStart w:id="152" w:name="_Toc29068"/>
      <w:bookmarkStart w:id="153" w:name="_Toc19359"/>
      <w:r>
        <w:rPr>
          <w:rFonts w:hint="eastAsia" w:hAnsi="宋体"/>
          <w:color w:val="auto"/>
          <w:sz w:val="21"/>
          <w:szCs w:val="21"/>
          <w:highlight w:val="none"/>
        </w:rPr>
        <w:t>确定成交</w:t>
      </w:r>
      <w:bookmarkEnd w:id="152"/>
      <w:bookmarkEnd w:id="153"/>
    </w:p>
    <w:p>
      <w:pPr>
        <w:numPr>
          <w:ilvl w:val="1"/>
          <w:numId w:val="5"/>
        </w:numPr>
        <w:rPr>
          <w:rFonts w:ascii="宋体" w:hAnsi="宋体"/>
          <w:color w:val="auto"/>
          <w:szCs w:val="21"/>
          <w:highlight w:val="none"/>
        </w:rPr>
      </w:pPr>
      <w:r>
        <w:rPr>
          <w:rFonts w:hint="eastAsia" w:ascii="宋体" w:hAnsi="宋体"/>
          <w:color w:val="auto"/>
          <w:szCs w:val="21"/>
          <w:highlight w:val="none"/>
        </w:rPr>
        <w:t>磋商小组完成评审工作后，出具评审报告，推荐3名以上成交候选供应商。符合法律法规允许的情况的，可以推荐2家成交候选供应商。</w:t>
      </w:r>
    </w:p>
    <w:p>
      <w:pPr>
        <w:numPr>
          <w:ilvl w:val="1"/>
          <w:numId w:val="5"/>
        </w:numPr>
        <w:rPr>
          <w:rFonts w:ascii="宋体" w:hAnsi="宋体"/>
          <w:color w:val="auto"/>
          <w:szCs w:val="21"/>
          <w:highlight w:val="none"/>
        </w:rPr>
      </w:pPr>
      <w:r>
        <w:rPr>
          <w:rFonts w:hint="eastAsia" w:ascii="宋体" w:hAnsi="宋体"/>
          <w:color w:val="auto"/>
          <w:szCs w:val="21"/>
          <w:highlight w:val="none"/>
        </w:rPr>
        <w:t>采购人从成交候选供应商名单中按照综合得分排序确定1名成交供应商。</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54" w:name="_Toc3941"/>
      <w:bookmarkStart w:id="155" w:name="_Toc17569"/>
      <w:r>
        <w:rPr>
          <w:rFonts w:hint="eastAsia" w:hAnsi="宋体"/>
          <w:color w:val="auto"/>
          <w:sz w:val="21"/>
          <w:szCs w:val="21"/>
          <w:highlight w:val="none"/>
        </w:rPr>
        <w:t>发布采购结果</w:t>
      </w:r>
      <w:bookmarkEnd w:id="154"/>
      <w:bookmarkEnd w:id="155"/>
    </w:p>
    <w:p>
      <w:pPr>
        <w:numPr>
          <w:ilvl w:val="1"/>
          <w:numId w:val="5"/>
        </w:numPr>
        <w:rPr>
          <w:rFonts w:ascii="宋体" w:hAnsi="宋体"/>
          <w:color w:val="auto"/>
          <w:szCs w:val="21"/>
          <w:highlight w:val="none"/>
        </w:rPr>
      </w:pPr>
      <w:r>
        <w:rPr>
          <w:rFonts w:hint="eastAsia" w:ascii="宋体" w:hAnsi="宋体"/>
          <w:color w:val="auto"/>
          <w:szCs w:val="21"/>
          <w:highlight w:val="none"/>
        </w:rPr>
        <w:t>磋商小组提出评标书面报告和推荐成交意见报采购人确认后，采购代理机构将在指定的信息发布媒体上发布公告。</w:t>
      </w:r>
    </w:p>
    <w:p>
      <w:pPr>
        <w:numPr>
          <w:ilvl w:val="1"/>
          <w:numId w:val="5"/>
        </w:numPr>
        <w:rPr>
          <w:rFonts w:ascii="宋体" w:hAnsi="宋体"/>
          <w:color w:val="auto"/>
          <w:szCs w:val="21"/>
          <w:highlight w:val="none"/>
        </w:rPr>
      </w:pPr>
      <w:r>
        <w:rPr>
          <w:rFonts w:hint="eastAsia" w:ascii="宋体" w:hAnsi="宋体"/>
          <w:color w:val="auto"/>
          <w:szCs w:val="21"/>
          <w:highlight w:val="none"/>
        </w:rPr>
        <w:t>公告期限为1个工作日。</w:t>
      </w:r>
    </w:p>
    <w:p>
      <w:pPr>
        <w:numPr>
          <w:ilvl w:val="1"/>
          <w:numId w:val="5"/>
        </w:numPr>
        <w:rPr>
          <w:rFonts w:ascii="宋体" w:hAnsi="宋体"/>
          <w:color w:val="auto"/>
          <w:szCs w:val="21"/>
          <w:highlight w:val="none"/>
        </w:rPr>
      </w:pPr>
      <w:r>
        <w:rPr>
          <w:rFonts w:hint="eastAsia" w:ascii="宋体" w:hAnsi="宋体"/>
          <w:color w:val="auto"/>
          <w:szCs w:val="21"/>
          <w:highlight w:val="none"/>
        </w:rPr>
        <w:t>结果公示发布后，成交单位应及时领取成交通知书。《成交通知书》是合同的一个组成部分，《成交通知书》对采购人和成交供应商均具有同等法律效力。</w:t>
      </w:r>
    </w:p>
    <w:p>
      <w:pPr>
        <w:numPr>
          <w:ilvl w:val="1"/>
          <w:numId w:val="5"/>
        </w:numPr>
        <w:rPr>
          <w:rFonts w:ascii="宋体" w:hAnsi="宋体"/>
          <w:color w:val="auto"/>
          <w:szCs w:val="21"/>
          <w:highlight w:val="none"/>
        </w:rPr>
      </w:pPr>
      <w:r>
        <w:rPr>
          <w:rFonts w:hint="eastAsia" w:ascii="宋体" w:hAnsi="宋体"/>
          <w:color w:val="auto"/>
          <w:szCs w:val="21"/>
          <w:highlight w:val="none"/>
        </w:rPr>
        <w:t>成交供应商无正当理由不得放弃中标，因成交供应商放弃中标而对采购人造成的损失由放弃中标的成交供应商承担。</w:t>
      </w:r>
    </w:p>
    <w:p>
      <w:pPr>
        <w:pStyle w:val="7"/>
        <w:rPr>
          <w:color w:val="auto"/>
          <w:sz w:val="21"/>
          <w:szCs w:val="21"/>
          <w:highlight w:val="none"/>
        </w:rPr>
      </w:pPr>
    </w:p>
    <w:p>
      <w:pPr>
        <w:pStyle w:val="4"/>
        <w:keepNext w:val="0"/>
        <w:keepLines w:val="0"/>
        <w:numPr>
          <w:ilvl w:val="0"/>
          <w:numId w:val="5"/>
        </w:numPr>
        <w:adjustRightInd/>
        <w:rPr>
          <w:rFonts w:hAnsi="宋体"/>
          <w:color w:val="auto"/>
          <w:sz w:val="21"/>
          <w:szCs w:val="21"/>
          <w:highlight w:val="none"/>
        </w:rPr>
      </w:pPr>
      <w:bookmarkStart w:id="156" w:name="_Toc29067"/>
      <w:bookmarkStart w:id="157" w:name="_Toc32414"/>
      <w:r>
        <w:rPr>
          <w:rFonts w:hint="eastAsia" w:hAnsi="宋体"/>
          <w:color w:val="auto"/>
          <w:sz w:val="21"/>
          <w:szCs w:val="21"/>
          <w:highlight w:val="none"/>
        </w:rPr>
        <w:t>原件核查</w:t>
      </w:r>
      <w:bookmarkEnd w:id="156"/>
      <w:bookmarkEnd w:id="157"/>
    </w:p>
    <w:p>
      <w:pPr>
        <w:numPr>
          <w:ilvl w:val="1"/>
          <w:numId w:val="5"/>
        </w:numPr>
        <w:rPr>
          <w:rFonts w:ascii="宋体" w:hAnsi="宋体"/>
          <w:color w:val="auto"/>
          <w:szCs w:val="21"/>
          <w:highlight w:val="none"/>
        </w:rPr>
      </w:pPr>
      <w:r>
        <w:rPr>
          <w:rFonts w:hint="eastAsia" w:ascii="宋体" w:hAnsi="宋体"/>
          <w:color w:val="auto"/>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5"/>
        </w:numPr>
        <w:rPr>
          <w:rFonts w:ascii="宋体" w:hAnsi="宋体"/>
          <w:color w:val="auto"/>
          <w:szCs w:val="21"/>
          <w:highlight w:val="none"/>
        </w:rPr>
      </w:pPr>
      <w:r>
        <w:rPr>
          <w:rFonts w:hint="eastAsia" w:ascii="宋体" w:hAnsi="宋体"/>
          <w:color w:val="auto"/>
          <w:szCs w:val="21"/>
          <w:highlight w:val="none"/>
        </w:rPr>
        <w:t>成交供应商有下列情形之一的，取消中标资格：</w:t>
      </w:r>
    </w:p>
    <w:p>
      <w:pPr>
        <w:pStyle w:val="7"/>
        <w:numPr>
          <w:ilvl w:val="0"/>
          <w:numId w:val="20"/>
        </w:numPr>
        <w:rPr>
          <w:color w:val="auto"/>
          <w:sz w:val="21"/>
          <w:szCs w:val="21"/>
          <w:highlight w:val="none"/>
        </w:rPr>
      </w:pPr>
      <w:r>
        <w:rPr>
          <w:rFonts w:hint="eastAsia"/>
          <w:color w:val="auto"/>
          <w:sz w:val="21"/>
          <w:szCs w:val="21"/>
          <w:highlight w:val="none"/>
        </w:rPr>
        <w:t>拒绝采购人或采购代理机构原件核查要求的；</w:t>
      </w:r>
    </w:p>
    <w:p>
      <w:pPr>
        <w:pStyle w:val="7"/>
        <w:numPr>
          <w:ilvl w:val="0"/>
          <w:numId w:val="20"/>
        </w:numPr>
        <w:rPr>
          <w:color w:val="auto"/>
          <w:sz w:val="21"/>
          <w:szCs w:val="21"/>
          <w:highlight w:val="none"/>
        </w:rPr>
      </w:pPr>
      <w:r>
        <w:rPr>
          <w:rFonts w:hint="eastAsia"/>
          <w:color w:val="auto"/>
          <w:sz w:val="21"/>
          <w:szCs w:val="21"/>
          <w:highlight w:val="none"/>
        </w:rPr>
        <w:t>未在规定时间内将原件递交到到采购代理机构办公地址或采购人指定地址进行核查的；</w:t>
      </w:r>
    </w:p>
    <w:p>
      <w:pPr>
        <w:pStyle w:val="7"/>
        <w:numPr>
          <w:ilvl w:val="0"/>
          <w:numId w:val="20"/>
        </w:numPr>
        <w:rPr>
          <w:color w:val="auto"/>
          <w:sz w:val="21"/>
          <w:szCs w:val="21"/>
          <w:highlight w:val="none"/>
        </w:rPr>
      </w:pPr>
      <w:r>
        <w:rPr>
          <w:rFonts w:hint="eastAsia"/>
          <w:color w:val="auto"/>
          <w:sz w:val="21"/>
          <w:szCs w:val="21"/>
          <w:highlight w:val="none"/>
        </w:rPr>
        <w:t>在规定时间内递交的原件数量、内容与采购人、采购代理机构要求不一致的；</w:t>
      </w:r>
    </w:p>
    <w:p>
      <w:pPr>
        <w:pStyle w:val="7"/>
        <w:numPr>
          <w:ilvl w:val="0"/>
          <w:numId w:val="20"/>
        </w:numPr>
        <w:rPr>
          <w:color w:val="auto"/>
          <w:sz w:val="21"/>
          <w:szCs w:val="21"/>
          <w:highlight w:val="none"/>
        </w:rPr>
      </w:pPr>
      <w:r>
        <w:rPr>
          <w:rFonts w:hint="eastAsia"/>
          <w:color w:val="auto"/>
          <w:sz w:val="21"/>
          <w:szCs w:val="21"/>
          <w:highlight w:val="none"/>
        </w:rPr>
        <w:t>因原件续期、更改等原因不能按时递交原件且未能在规定时间内提供相应部门开具的变更、续期等证明的；</w:t>
      </w:r>
    </w:p>
    <w:p>
      <w:pPr>
        <w:pStyle w:val="7"/>
        <w:numPr>
          <w:ilvl w:val="0"/>
          <w:numId w:val="20"/>
        </w:numPr>
        <w:rPr>
          <w:color w:val="auto"/>
          <w:sz w:val="21"/>
          <w:szCs w:val="21"/>
          <w:highlight w:val="none"/>
        </w:rPr>
      </w:pPr>
      <w:r>
        <w:rPr>
          <w:rFonts w:hint="eastAsia"/>
          <w:color w:val="auto"/>
          <w:sz w:val="21"/>
          <w:szCs w:val="21"/>
          <w:highlight w:val="none"/>
        </w:rPr>
        <w:t>经查原件，响应文件内容有造假行为的。</w:t>
      </w:r>
    </w:p>
    <w:p>
      <w:pPr>
        <w:numPr>
          <w:ilvl w:val="1"/>
          <w:numId w:val="5"/>
        </w:numPr>
        <w:rPr>
          <w:rFonts w:ascii="宋体" w:hAnsi="宋体"/>
          <w:color w:val="auto"/>
          <w:szCs w:val="21"/>
          <w:highlight w:val="none"/>
        </w:rPr>
      </w:pPr>
      <w:r>
        <w:rPr>
          <w:rFonts w:hint="eastAsia" w:ascii="宋体" w:hAnsi="宋体"/>
          <w:color w:val="auto"/>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5"/>
        </w:numPr>
        <w:rPr>
          <w:rFonts w:ascii="宋体" w:hAnsi="宋体"/>
          <w:color w:val="auto"/>
          <w:szCs w:val="21"/>
          <w:highlight w:val="none"/>
        </w:rPr>
      </w:pPr>
      <w:r>
        <w:rPr>
          <w:rFonts w:hint="eastAsia" w:ascii="宋体" w:hAnsi="宋体"/>
          <w:color w:val="auto"/>
          <w:szCs w:val="21"/>
          <w:highlight w:val="none"/>
        </w:rPr>
        <w:t>供应商有下列情形之一的，响应文件作无效处理，其报价无效：</w:t>
      </w:r>
    </w:p>
    <w:p>
      <w:pPr>
        <w:pStyle w:val="7"/>
        <w:numPr>
          <w:ilvl w:val="0"/>
          <w:numId w:val="21"/>
        </w:numPr>
        <w:spacing w:before="0"/>
        <w:rPr>
          <w:color w:val="auto"/>
          <w:sz w:val="21"/>
          <w:szCs w:val="21"/>
          <w:highlight w:val="none"/>
        </w:rPr>
      </w:pPr>
      <w:r>
        <w:rPr>
          <w:rFonts w:hint="eastAsia"/>
          <w:color w:val="auto"/>
          <w:sz w:val="21"/>
          <w:szCs w:val="21"/>
          <w:highlight w:val="none"/>
        </w:rPr>
        <w:t>拒绝采购人或采购代理机构原件核查要求的；</w:t>
      </w:r>
    </w:p>
    <w:p>
      <w:pPr>
        <w:pStyle w:val="7"/>
        <w:numPr>
          <w:ilvl w:val="0"/>
          <w:numId w:val="21"/>
        </w:numPr>
        <w:spacing w:before="0"/>
        <w:rPr>
          <w:color w:val="auto"/>
          <w:sz w:val="21"/>
          <w:szCs w:val="21"/>
          <w:highlight w:val="none"/>
        </w:rPr>
      </w:pPr>
      <w:r>
        <w:rPr>
          <w:rFonts w:hint="eastAsia"/>
          <w:color w:val="auto"/>
          <w:sz w:val="21"/>
          <w:szCs w:val="21"/>
          <w:highlight w:val="none"/>
        </w:rPr>
        <w:t>未在规定时间内将原件递交到到采购代理机构办公地址或采购人指定地址进行核查的；</w:t>
      </w:r>
    </w:p>
    <w:p>
      <w:pPr>
        <w:pStyle w:val="7"/>
        <w:numPr>
          <w:ilvl w:val="0"/>
          <w:numId w:val="21"/>
        </w:numPr>
        <w:spacing w:before="0"/>
        <w:rPr>
          <w:color w:val="auto"/>
          <w:sz w:val="21"/>
          <w:szCs w:val="21"/>
          <w:highlight w:val="none"/>
        </w:rPr>
      </w:pPr>
      <w:r>
        <w:rPr>
          <w:rFonts w:hint="eastAsia"/>
          <w:color w:val="auto"/>
          <w:sz w:val="21"/>
          <w:szCs w:val="21"/>
          <w:highlight w:val="none"/>
        </w:rPr>
        <w:t>在规定时间内递交的原件数量、内容不符合采购人、采购代理机构要求的；</w:t>
      </w:r>
    </w:p>
    <w:p>
      <w:pPr>
        <w:pStyle w:val="7"/>
        <w:numPr>
          <w:ilvl w:val="0"/>
          <w:numId w:val="21"/>
        </w:numPr>
        <w:spacing w:before="0"/>
        <w:rPr>
          <w:color w:val="auto"/>
          <w:sz w:val="21"/>
          <w:szCs w:val="21"/>
          <w:highlight w:val="none"/>
        </w:rPr>
      </w:pPr>
      <w:r>
        <w:rPr>
          <w:rFonts w:hint="eastAsia"/>
          <w:color w:val="auto"/>
          <w:sz w:val="21"/>
          <w:szCs w:val="21"/>
          <w:highlight w:val="none"/>
        </w:rPr>
        <w:t>因原件续期、更改等原因不能按时递交原件且未能在规定时间内提供相应部门开具的变更、续期等证明的；</w:t>
      </w:r>
    </w:p>
    <w:p>
      <w:pPr>
        <w:pStyle w:val="7"/>
        <w:numPr>
          <w:ilvl w:val="0"/>
          <w:numId w:val="21"/>
        </w:numPr>
        <w:spacing w:before="0"/>
        <w:rPr>
          <w:color w:val="auto"/>
          <w:sz w:val="21"/>
          <w:szCs w:val="21"/>
          <w:highlight w:val="none"/>
        </w:rPr>
      </w:pPr>
      <w:r>
        <w:rPr>
          <w:rFonts w:hint="eastAsia"/>
          <w:color w:val="auto"/>
          <w:sz w:val="21"/>
          <w:szCs w:val="21"/>
          <w:highlight w:val="none"/>
        </w:rPr>
        <w:t>经查原件，响应文件内容有造假行为的。</w:t>
      </w:r>
    </w:p>
    <w:p>
      <w:pPr>
        <w:numPr>
          <w:ilvl w:val="1"/>
          <w:numId w:val="5"/>
        </w:numPr>
        <w:rPr>
          <w:rFonts w:ascii="宋体" w:hAnsi="宋体"/>
          <w:color w:val="auto"/>
          <w:szCs w:val="21"/>
          <w:highlight w:val="none"/>
        </w:rPr>
      </w:pPr>
      <w:r>
        <w:rPr>
          <w:rFonts w:hint="eastAsia" w:ascii="宋体" w:hAnsi="宋体"/>
          <w:color w:val="auto"/>
          <w:szCs w:val="21"/>
          <w:highlight w:val="none"/>
        </w:rPr>
        <w:t>若供应商出现虚假应标情况，响应文件作无效处理，其报价、成交无效。并根据相关法律上报相关监管部门。</w:t>
      </w:r>
    </w:p>
    <w:p>
      <w:pPr>
        <w:numPr>
          <w:ilvl w:val="1"/>
          <w:numId w:val="5"/>
        </w:numPr>
        <w:rPr>
          <w:rFonts w:ascii="宋体" w:hAnsi="宋体"/>
          <w:color w:val="auto"/>
          <w:szCs w:val="21"/>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8" w:name="_Toc110953852"/>
      <w:bookmarkStart w:id="159" w:name="_Toc37756778"/>
      <w:bookmarkStart w:id="160" w:name="_Toc31756"/>
      <w:bookmarkStart w:id="161" w:name="_Toc3829"/>
      <w:bookmarkStart w:id="162" w:name="_Toc475249143"/>
      <w:r>
        <w:rPr>
          <w:rFonts w:hint="eastAsia" w:ascii="宋体" w:hAnsi="宋体" w:eastAsia="宋体"/>
          <w:color w:val="auto"/>
          <w:sz w:val="24"/>
          <w:szCs w:val="21"/>
          <w:highlight w:val="none"/>
        </w:rPr>
        <w:t>第七章签订合同</w:t>
      </w:r>
      <w:bookmarkEnd w:id="158"/>
      <w:bookmarkEnd w:id="159"/>
      <w:bookmarkEnd w:id="160"/>
      <w:bookmarkEnd w:id="161"/>
    </w:p>
    <w:p>
      <w:pPr>
        <w:pStyle w:val="4"/>
        <w:keepNext w:val="0"/>
        <w:keepLines w:val="0"/>
        <w:numPr>
          <w:ilvl w:val="0"/>
          <w:numId w:val="5"/>
        </w:numPr>
        <w:adjustRightInd/>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5"/>
        </w:numPr>
        <w:rPr>
          <w:rFonts w:ascii="宋体" w:hAnsi="宋体"/>
          <w:color w:val="auto"/>
          <w:szCs w:val="21"/>
          <w:highlight w:val="none"/>
        </w:rPr>
      </w:pPr>
      <w:r>
        <w:rPr>
          <w:rFonts w:hint="eastAsia" w:ascii="宋体" w:hAnsi="宋体"/>
          <w:color w:val="auto"/>
          <w:szCs w:val="21"/>
          <w:highlight w:val="none"/>
        </w:rPr>
        <w:t>采购人与成交供应商应当在成交通知书发出之日起30日内，按照采购文件确定的事项签订政府采购合同。</w:t>
      </w:r>
    </w:p>
    <w:p>
      <w:pPr>
        <w:numPr>
          <w:ilvl w:val="1"/>
          <w:numId w:val="5"/>
        </w:numPr>
        <w:rPr>
          <w:rFonts w:ascii="宋体" w:hAnsi="宋体"/>
          <w:color w:val="auto"/>
          <w:szCs w:val="21"/>
          <w:highlight w:val="none"/>
        </w:rPr>
      </w:pPr>
      <w:r>
        <w:rPr>
          <w:rFonts w:hint="eastAsia" w:ascii="宋体" w:hAnsi="宋体"/>
          <w:color w:val="auto"/>
          <w:szCs w:val="21"/>
          <w:highlight w:val="none"/>
        </w:rPr>
        <w:t>合同内容不得与磋商文件和响应文件内容有实质性偏离。</w:t>
      </w:r>
    </w:p>
    <w:p>
      <w:pPr>
        <w:numPr>
          <w:ilvl w:val="1"/>
          <w:numId w:val="5"/>
        </w:numPr>
        <w:rPr>
          <w:rFonts w:ascii="宋体" w:hAnsi="宋体"/>
          <w:color w:val="auto"/>
          <w:szCs w:val="21"/>
          <w:highlight w:val="none"/>
        </w:rPr>
      </w:pPr>
      <w:r>
        <w:rPr>
          <w:rFonts w:hint="eastAsia" w:ascii="宋体" w:hAnsi="宋体"/>
          <w:color w:val="auto"/>
          <w:szCs w:val="21"/>
          <w:highlight w:val="none"/>
        </w:rPr>
        <w:t>合同签订之日起2个工作日内，成交供应商应将所签订的合同副本（加盖公章）交至广东政通招标有限公司归档。</w:t>
      </w:r>
    </w:p>
    <w:p>
      <w:pPr>
        <w:numPr>
          <w:ilvl w:val="1"/>
          <w:numId w:val="5"/>
        </w:numPr>
        <w:rPr>
          <w:rFonts w:ascii="宋体" w:hAnsi="宋体"/>
          <w:color w:val="auto"/>
          <w:szCs w:val="21"/>
          <w:highlight w:val="none"/>
        </w:rPr>
      </w:pPr>
      <w:r>
        <w:rPr>
          <w:rFonts w:hint="eastAsia" w:ascii="宋体" w:hAnsi="宋体"/>
          <w:color w:val="auto"/>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5"/>
        </w:numPr>
        <w:rPr>
          <w:rFonts w:ascii="宋体" w:hAnsi="宋体"/>
          <w:color w:val="auto"/>
          <w:szCs w:val="21"/>
          <w:highlight w:val="none"/>
        </w:rPr>
      </w:pPr>
      <w:r>
        <w:rPr>
          <w:rFonts w:hint="eastAsia" w:ascii="宋体" w:hAnsi="宋体"/>
          <w:color w:val="auto"/>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rPr>
        <w:t>第八章询问或质疑</w:t>
      </w:r>
      <w:bookmarkEnd w:id="165"/>
      <w:bookmarkEnd w:id="166"/>
    </w:p>
    <w:p>
      <w:pPr>
        <w:pStyle w:val="4"/>
        <w:keepNext w:val="0"/>
        <w:keepLines w:val="0"/>
        <w:numPr>
          <w:ilvl w:val="0"/>
          <w:numId w:val="5"/>
        </w:numPr>
        <w:adjustRightInd/>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5"/>
        </w:numPr>
        <w:rPr>
          <w:rFonts w:ascii="宋体" w:hAnsi="宋体"/>
          <w:color w:val="auto"/>
          <w:szCs w:val="21"/>
          <w:highlight w:val="none"/>
        </w:rPr>
      </w:pPr>
      <w:r>
        <w:rPr>
          <w:rFonts w:hint="eastAsia" w:ascii="宋体" w:hAnsi="宋体"/>
          <w:color w:val="auto"/>
          <w:szCs w:val="21"/>
          <w:highlight w:val="none"/>
        </w:rPr>
        <w:t>供应商对政府采购活动事项（采购文件、采购过程和采购结果）有疑问的，可以按规定向采购代理机构提出询问。</w:t>
      </w:r>
    </w:p>
    <w:p>
      <w:pPr>
        <w:rPr>
          <w:color w:val="auto"/>
          <w:highlight w:val="none"/>
        </w:rPr>
      </w:pPr>
    </w:p>
    <w:p>
      <w:pPr>
        <w:pStyle w:val="4"/>
        <w:keepNext w:val="0"/>
        <w:keepLines w:val="0"/>
        <w:numPr>
          <w:ilvl w:val="0"/>
          <w:numId w:val="5"/>
        </w:numPr>
        <w:adjustRightInd/>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pPr>
        <w:numPr>
          <w:ilvl w:val="1"/>
          <w:numId w:val="5"/>
        </w:numPr>
        <w:rPr>
          <w:rFonts w:ascii="宋体" w:hAnsi="宋体"/>
          <w:color w:val="auto"/>
          <w:szCs w:val="21"/>
          <w:highlight w:val="none"/>
        </w:rPr>
      </w:pPr>
      <w:r>
        <w:rPr>
          <w:rFonts w:hint="eastAsia" w:ascii="宋体" w:hAnsi="宋体"/>
          <w:color w:val="auto"/>
          <w:szCs w:val="21"/>
          <w:highlight w:val="none"/>
        </w:rPr>
        <w:t>提出质疑的供应商应当是参与所质疑项目采购活动的供应商或是在规定的时间内已依法获取其可质疑的磋商文件的潜在供应商。</w:t>
      </w:r>
    </w:p>
    <w:p>
      <w:pPr>
        <w:numPr>
          <w:ilvl w:val="1"/>
          <w:numId w:val="5"/>
        </w:numPr>
        <w:rPr>
          <w:rFonts w:ascii="宋体" w:hAnsi="宋体"/>
          <w:color w:val="auto"/>
          <w:szCs w:val="21"/>
          <w:highlight w:val="none"/>
        </w:rPr>
      </w:pPr>
      <w:r>
        <w:rPr>
          <w:rFonts w:hint="eastAsia" w:ascii="宋体" w:hAnsi="宋体"/>
          <w:color w:val="auto"/>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5"/>
        </w:numPr>
        <w:rPr>
          <w:rFonts w:ascii="宋体" w:hAnsi="宋体"/>
          <w:color w:val="auto"/>
          <w:szCs w:val="21"/>
          <w:highlight w:val="none"/>
        </w:rPr>
      </w:pPr>
      <w:r>
        <w:rPr>
          <w:rFonts w:hint="eastAsia" w:ascii="宋体" w:hAnsi="宋体"/>
          <w:color w:val="auto"/>
          <w:szCs w:val="21"/>
          <w:highlight w:val="none"/>
        </w:rPr>
        <w:t>供应商在法定质疑期内须一次性提出针对同一采购程序环节的质疑，对同一采购程序环节的二次质疑采购代理机构不予受理。</w:t>
      </w:r>
    </w:p>
    <w:p>
      <w:pPr>
        <w:numPr>
          <w:ilvl w:val="1"/>
          <w:numId w:val="5"/>
        </w:numPr>
        <w:rPr>
          <w:rFonts w:ascii="宋体" w:hAnsi="宋体"/>
          <w:color w:val="auto"/>
          <w:szCs w:val="21"/>
          <w:highlight w:val="none"/>
        </w:rPr>
      </w:pPr>
      <w:r>
        <w:rPr>
          <w:rFonts w:hint="eastAsia" w:ascii="宋体" w:hAnsi="宋体"/>
          <w:color w:val="auto"/>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5"/>
        </w:numPr>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numPr>
          <w:ilvl w:val="1"/>
          <w:numId w:val="5"/>
        </w:numPr>
        <w:rPr>
          <w:rFonts w:ascii="宋体" w:hAnsi="宋体"/>
          <w:color w:val="auto"/>
          <w:szCs w:val="21"/>
          <w:highlight w:val="none"/>
        </w:rPr>
      </w:pPr>
      <w:r>
        <w:rPr>
          <w:rFonts w:hint="eastAsia" w:ascii="宋体" w:hAnsi="宋体"/>
          <w:color w:val="auto"/>
          <w:szCs w:val="21"/>
          <w:highlight w:val="none"/>
        </w:rPr>
        <w:t>供应商提出质疑应当提交质疑函和必要的证明材料（须注明法律依据），因缺少相关证明材料或证明材料存在不真实而导致的后果由供应商自行承担。</w:t>
      </w:r>
    </w:p>
    <w:p>
      <w:pPr>
        <w:numPr>
          <w:ilvl w:val="1"/>
          <w:numId w:val="5"/>
        </w:numPr>
        <w:rPr>
          <w:rFonts w:ascii="宋体" w:hAnsi="宋体"/>
          <w:color w:val="auto"/>
          <w:szCs w:val="21"/>
          <w:highlight w:val="none"/>
        </w:rPr>
      </w:pPr>
      <w:r>
        <w:rPr>
          <w:rFonts w:hint="eastAsia" w:ascii="宋体" w:hAnsi="宋体"/>
          <w:color w:val="auto"/>
          <w:szCs w:val="21"/>
          <w:highlight w:val="none"/>
        </w:rPr>
        <w:t>不涉及对供应商利益造成损害的相关内容，不能作为质疑内容提交。</w:t>
      </w:r>
    </w:p>
    <w:p>
      <w:pPr>
        <w:numPr>
          <w:ilvl w:val="1"/>
          <w:numId w:val="5"/>
        </w:numPr>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numPr>
          <w:ilvl w:val="1"/>
          <w:numId w:val="5"/>
        </w:numPr>
        <w:rPr>
          <w:rFonts w:ascii="宋体" w:hAnsi="宋体"/>
          <w:color w:val="auto"/>
          <w:szCs w:val="21"/>
          <w:highlight w:val="none"/>
        </w:rPr>
      </w:pPr>
      <w:r>
        <w:rPr>
          <w:rFonts w:hint="eastAsia" w:ascii="宋体" w:hAnsi="宋体"/>
          <w:color w:val="auto"/>
          <w:szCs w:val="21"/>
          <w:highlight w:val="none"/>
        </w:rPr>
        <w:t>投诉人有下列行为之一的，属于虚假、恶意投诉，由财政部门列入不良行为记录名单，禁止其1至3年内参加全国范围内的政府采购活动：</w:t>
      </w:r>
    </w:p>
    <w:p>
      <w:pPr>
        <w:tabs>
          <w:tab w:val="left" w:pos="907"/>
        </w:tabs>
        <w:ind w:left="567"/>
        <w:rPr>
          <w:rFonts w:ascii="宋体" w:hAnsi="宋体"/>
          <w:color w:val="auto"/>
          <w:szCs w:val="21"/>
          <w:highlight w:val="none"/>
        </w:rPr>
      </w:pPr>
      <w:r>
        <w:rPr>
          <w:rFonts w:hint="eastAsia" w:ascii="宋体" w:hAnsi="宋体"/>
          <w:color w:val="auto"/>
          <w:szCs w:val="21"/>
          <w:highlight w:val="none"/>
        </w:rPr>
        <w:t>（一）捏造事实;</w:t>
      </w:r>
    </w:p>
    <w:p>
      <w:pPr>
        <w:tabs>
          <w:tab w:val="left" w:pos="907"/>
        </w:tabs>
        <w:ind w:left="567"/>
        <w:rPr>
          <w:rFonts w:ascii="宋体" w:hAnsi="宋体"/>
          <w:color w:val="auto"/>
          <w:szCs w:val="21"/>
          <w:highlight w:val="none"/>
        </w:rPr>
      </w:pPr>
      <w:r>
        <w:rPr>
          <w:rFonts w:hint="eastAsia" w:ascii="宋体" w:hAnsi="宋体"/>
          <w:color w:val="auto"/>
          <w:szCs w:val="21"/>
          <w:highlight w:val="none"/>
        </w:rPr>
        <w:t>（二）提供虚假材料;</w:t>
      </w:r>
    </w:p>
    <w:p>
      <w:pPr>
        <w:tabs>
          <w:tab w:val="left" w:pos="907"/>
        </w:tabs>
        <w:ind w:left="567"/>
        <w:rPr>
          <w:rFonts w:ascii="宋体" w:hAnsi="宋体"/>
          <w:color w:val="auto"/>
          <w:szCs w:val="21"/>
          <w:highlight w:val="none"/>
        </w:rPr>
      </w:pPr>
      <w:r>
        <w:rPr>
          <w:rFonts w:hint="eastAsia" w:ascii="宋体" w:hAnsi="宋体"/>
          <w:color w:val="auto"/>
          <w:szCs w:val="21"/>
          <w:highlight w:val="none"/>
        </w:rPr>
        <w:t>（三）以非法手段取得证明材料。证据来源的合法性存在明显疑问，投诉人无法证明其取得方式合法的，视为以非法手段取得证明材料。</w:t>
      </w:r>
    </w:p>
    <w:p>
      <w:pPr>
        <w:numPr>
          <w:ilvl w:val="1"/>
          <w:numId w:val="5"/>
        </w:numPr>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以联合体形式参加政府采购活动的，其质疑应当由组成联合体的所有供应商共同提出。</w:t>
      </w:r>
    </w:p>
    <w:p>
      <w:pPr>
        <w:rPr>
          <w:color w:val="auto"/>
          <w:highlight w:val="none"/>
        </w:rPr>
      </w:pPr>
    </w:p>
    <w:bookmarkEnd w:id="162"/>
    <w:p>
      <w:pPr>
        <w:pStyle w:val="3"/>
        <w:keepNext w:val="0"/>
        <w:keepLines w:val="0"/>
        <w:spacing w:before="0" w:after="0" w:line="360" w:lineRule="auto"/>
        <w:jc w:val="center"/>
        <w:rPr>
          <w:rFonts w:ascii="宋体" w:hAnsi="宋体" w:eastAsia="宋体"/>
          <w:color w:val="auto"/>
          <w:sz w:val="24"/>
          <w:szCs w:val="21"/>
          <w:highlight w:val="none"/>
        </w:rPr>
      </w:pPr>
      <w:bookmarkStart w:id="171" w:name="_Toc5551"/>
      <w:bookmarkStart w:id="172" w:name="_Toc5474"/>
      <w:r>
        <w:rPr>
          <w:rFonts w:hint="eastAsia" w:ascii="宋体" w:hAnsi="宋体" w:eastAsia="宋体"/>
          <w:color w:val="auto"/>
          <w:sz w:val="24"/>
          <w:szCs w:val="21"/>
          <w:highlight w:val="none"/>
        </w:rPr>
        <w:t>第九章成交服务费</w:t>
      </w:r>
      <w:bookmarkEnd w:id="171"/>
      <w:bookmarkEnd w:id="172"/>
    </w:p>
    <w:p>
      <w:pPr>
        <w:pStyle w:val="4"/>
        <w:keepNext w:val="0"/>
        <w:keepLines w:val="0"/>
        <w:numPr>
          <w:ilvl w:val="0"/>
          <w:numId w:val="5"/>
        </w:numPr>
        <w:adjustRightInd/>
        <w:rPr>
          <w:rFonts w:hAnsi="宋体"/>
          <w:color w:val="auto"/>
          <w:sz w:val="21"/>
          <w:szCs w:val="21"/>
          <w:highlight w:val="none"/>
        </w:rPr>
      </w:pPr>
      <w:bookmarkStart w:id="173" w:name="_Toc26991"/>
      <w:bookmarkStart w:id="174" w:name="_Toc9437"/>
      <w:r>
        <w:rPr>
          <w:rFonts w:hint="eastAsia" w:hAnsi="宋体"/>
          <w:color w:val="auto"/>
          <w:sz w:val="21"/>
          <w:szCs w:val="21"/>
          <w:highlight w:val="none"/>
        </w:rPr>
        <w:t>成交服务费</w:t>
      </w:r>
      <w:bookmarkEnd w:id="173"/>
      <w:bookmarkEnd w:id="174"/>
    </w:p>
    <w:p>
      <w:pPr>
        <w:numPr>
          <w:ilvl w:val="1"/>
          <w:numId w:val="5"/>
        </w:numPr>
        <w:rPr>
          <w:rFonts w:ascii="宋体" w:hAnsi="宋体"/>
          <w:color w:val="auto"/>
          <w:szCs w:val="21"/>
          <w:highlight w:val="none"/>
        </w:rPr>
      </w:pPr>
      <w:r>
        <w:rPr>
          <w:rFonts w:hint="eastAsia" w:ascii="宋体" w:hAnsi="宋体"/>
          <w:color w:val="auto"/>
          <w:szCs w:val="21"/>
          <w:highlight w:val="none"/>
        </w:rPr>
        <w:t>成交供应商须向招标代理机构按如下标准和规定交纳成交服务费。</w:t>
      </w:r>
    </w:p>
    <w:p>
      <w:pPr>
        <w:numPr>
          <w:ilvl w:val="1"/>
          <w:numId w:val="5"/>
        </w:numPr>
        <w:rPr>
          <w:rFonts w:ascii="宋体" w:hAnsi="宋体"/>
          <w:color w:val="auto"/>
          <w:szCs w:val="21"/>
          <w:highlight w:val="none"/>
        </w:rPr>
      </w:pPr>
      <w:r>
        <w:rPr>
          <w:rFonts w:hint="eastAsia" w:ascii="宋体" w:hAnsi="宋体"/>
          <w:color w:val="auto"/>
          <w:szCs w:val="21"/>
          <w:highlight w:val="none"/>
        </w:rPr>
        <w:t>以《成交通知书》中规定的成交总金额作为收费的计算基数。</w:t>
      </w:r>
    </w:p>
    <w:p>
      <w:pPr>
        <w:numPr>
          <w:ilvl w:val="1"/>
          <w:numId w:val="5"/>
        </w:numPr>
        <w:rPr>
          <w:rFonts w:ascii="宋体" w:hAnsi="宋体"/>
          <w:color w:val="auto"/>
          <w:szCs w:val="21"/>
          <w:highlight w:val="none"/>
        </w:rPr>
      </w:pPr>
      <w:r>
        <w:rPr>
          <w:rFonts w:hint="eastAsia" w:ascii="宋体" w:hAnsi="宋体"/>
          <w:color w:val="auto"/>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ind w:firstLine="567"/>
        <w:rPr>
          <w:rFonts w:ascii="宋体" w:hAnsi="宋体"/>
          <w:color w:val="auto"/>
          <w:szCs w:val="21"/>
          <w:highlight w:val="none"/>
        </w:rPr>
      </w:pPr>
      <w:r>
        <w:rPr>
          <w:rFonts w:hint="eastAsia" w:ascii="宋体" w:hAnsi="宋体"/>
          <w:color w:val="auto"/>
          <w:szCs w:val="21"/>
          <w:highlight w:val="none"/>
        </w:rPr>
        <w:t>服务费的货币为人民币。</w:t>
      </w:r>
    </w:p>
    <w:p>
      <w:pPr>
        <w:ind w:firstLine="567"/>
        <w:rPr>
          <w:rFonts w:ascii="宋体" w:hAnsi="宋体"/>
          <w:color w:val="auto"/>
          <w:szCs w:val="21"/>
          <w:highlight w:val="none"/>
        </w:rPr>
      </w:pPr>
      <w:r>
        <w:rPr>
          <w:rFonts w:hint="eastAsia" w:ascii="宋体" w:hAnsi="宋体"/>
          <w:color w:val="auto"/>
          <w:szCs w:val="21"/>
          <w:highlight w:val="none"/>
        </w:rPr>
        <w:t>服务费应由成交人在采购结果公示发出之后，成交通知书发出前交纳，不在报价中单列。</w:t>
      </w:r>
    </w:p>
    <w:p>
      <w:pPr>
        <w:ind w:firstLine="567"/>
        <w:rPr>
          <w:rFonts w:ascii="宋体" w:hAnsi="宋体"/>
          <w:color w:val="auto"/>
          <w:szCs w:val="21"/>
          <w:highlight w:val="none"/>
        </w:rPr>
      </w:pPr>
      <w:r>
        <w:rPr>
          <w:rFonts w:hint="eastAsia" w:ascii="宋体" w:hAnsi="宋体"/>
          <w:color w:val="auto"/>
          <w:szCs w:val="21"/>
          <w:highlight w:val="none"/>
        </w:rPr>
        <w:t>服务费以转账或现金的形式支付，</w:t>
      </w:r>
      <w:bookmarkStart w:id="175" w:name="_Ref179619574"/>
      <w:r>
        <w:rPr>
          <w:rFonts w:hint="eastAsia" w:ascii="宋体" w:hAnsi="宋体"/>
          <w:color w:val="auto"/>
          <w:szCs w:val="21"/>
          <w:highlight w:val="none"/>
        </w:rPr>
        <w:t>成交人应按照磋商文件中的规定交纳成交服务费。</w:t>
      </w:r>
      <w:bookmarkEnd w:id="175"/>
    </w:p>
    <w:p>
      <w:pPr>
        <w:ind w:firstLine="567"/>
        <w:rPr>
          <w:rFonts w:ascii="宋体" w:hAnsi="宋体"/>
          <w:color w:val="auto"/>
          <w:szCs w:val="21"/>
          <w:highlight w:val="none"/>
        </w:rPr>
      </w:pPr>
      <w:r>
        <w:rPr>
          <w:rFonts w:hint="eastAsia" w:ascii="宋体" w:hAnsi="宋体"/>
          <w:color w:val="auto"/>
          <w:szCs w:val="21"/>
          <w:highlight w:val="none"/>
        </w:rPr>
        <w:t>招标代理服务费汇入账号：</w:t>
      </w:r>
    </w:p>
    <w:p>
      <w:pPr>
        <w:ind w:firstLine="567"/>
        <w:rPr>
          <w:rFonts w:ascii="宋体" w:hAnsi="宋体"/>
          <w:color w:val="auto"/>
          <w:szCs w:val="21"/>
          <w:highlight w:val="none"/>
        </w:rPr>
      </w:pPr>
      <w:r>
        <w:rPr>
          <w:rFonts w:hint="eastAsia" w:ascii="宋体" w:hAnsi="宋体"/>
          <w:color w:val="auto"/>
          <w:szCs w:val="21"/>
          <w:highlight w:val="none"/>
        </w:rPr>
        <w:t>收 款 人：广东政通招标有限公司</w:t>
      </w:r>
    </w:p>
    <w:p>
      <w:pPr>
        <w:ind w:firstLine="567"/>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ind w:firstLine="567"/>
        <w:rPr>
          <w:rFonts w:ascii="宋体" w:hAnsi="宋体"/>
          <w:color w:val="auto"/>
          <w:szCs w:val="21"/>
          <w:highlight w:val="none"/>
        </w:rPr>
      </w:pPr>
      <w:r>
        <w:rPr>
          <w:rFonts w:hint="eastAsia" w:ascii="宋体" w:hAnsi="宋体"/>
          <w:color w:val="auto"/>
          <w:szCs w:val="21"/>
          <w:highlight w:val="none"/>
        </w:rPr>
        <w:t>账　　号：9550880331235700173</w:t>
      </w:r>
    </w:p>
    <w:p>
      <w:pPr>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highlight w:val="none"/>
        </w:rPr>
      </w:pPr>
      <w:bookmarkStart w:id="176" w:name="_Toc18389"/>
      <w:bookmarkStart w:id="177" w:name="_Toc7834"/>
      <w:bookmarkStart w:id="178" w:name="_Toc467050236"/>
      <w:bookmarkStart w:id="179" w:name="_Toc51756491"/>
      <w:bookmarkStart w:id="180" w:name="_Toc56353011"/>
      <w:bookmarkStart w:id="181" w:name="_Toc467236766"/>
      <w:bookmarkStart w:id="182" w:name="_Toc52027926"/>
      <w:bookmarkStart w:id="183" w:name="_Toc486671570"/>
      <w:bookmarkStart w:id="184" w:name="_Toc476976198"/>
      <w:bookmarkStart w:id="185" w:name="_Toc52021538"/>
      <w:bookmarkStart w:id="186" w:name="_Toc457975339"/>
      <w:bookmarkStart w:id="187" w:name="_Toc467049706"/>
      <w:bookmarkStart w:id="188" w:name="_Toc51939456"/>
      <w:r>
        <w:rPr>
          <w:rFonts w:hint="eastAsia" w:ascii="宋体" w:hAnsi="宋体" w:eastAsia="宋体"/>
          <w:color w:val="auto"/>
          <w:sz w:val="24"/>
          <w:szCs w:val="21"/>
          <w:highlight w:val="none"/>
        </w:rPr>
        <w:t>第十章其他</w:t>
      </w:r>
      <w:bookmarkEnd w:id="176"/>
      <w:bookmarkEnd w:id="177"/>
    </w:p>
    <w:p>
      <w:pPr>
        <w:pStyle w:val="4"/>
        <w:keepNext w:val="0"/>
        <w:keepLines w:val="0"/>
        <w:numPr>
          <w:ilvl w:val="0"/>
          <w:numId w:val="5"/>
        </w:numPr>
        <w:adjustRightInd/>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pPr>
        <w:numPr>
          <w:ilvl w:val="1"/>
          <w:numId w:val="5"/>
        </w:numPr>
        <w:rPr>
          <w:rFonts w:ascii="宋体" w:hAnsi="宋体"/>
          <w:color w:val="auto"/>
          <w:szCs w:val="21"/>
          <w:highlight w:val="none"/>
        </w:rPr>
      </w:pPr>
      <w:r>
        <w:rPr>
          <w:rFonts w:hint="eastAsia" w:ascii="宋体" w:hAnsi="宋体"/>
          <w:color w:val="auto"/>
          <w:szCs w:val="21"/>
          <w:highlight w:val="none"/>
        </w:rPr>
        <w:t>采购文件版本号：广东政通20210618。</w:t>
      </w:r>
    </w:p>
    <w:p>
      <w:pPr>
        <w:numPr>
          <w:ilvl w:val="1"/>
          <w:numId w:val="5"/>
        </w:numPr>
        <w:rPr>
          <w:rFonts w:ascii="宋体" w:hAnsi="宋体"/>
          <w:color w:val="auto"/>
          <w:szCs w:val="21"/>
          <w:highlight w:val="none"/>
        </w:rPr>
      </w:pPr>
      <w:r>
        <w:rPr>
          <w:rFonts w:hint="eastAsia" w:ascii="宋体" w:hAnsi="宋体"/>
          <w:color w:val="auto"/>
          <w:szCs w:val="21"/>
          <w:highlight w:val="none"/>
        </w:rPr>
        <w:t>本采购文件是根据国家有关法律、法规以及政府采购管理有关规定和参照国际惯例编制，解释权属本采购代理机构。</w:t>
      </w:r>
    </w:p>
    <w:p>
      <w:pPr>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3"/>
        <w:spacing w:before="0" w:after="0" w:line="240" w:lineRule="auto"/>
        <w:rPr>
          <w:color w:val="auto"/>
          <w:sz w:val="28"/>
          <w:szCs w:val="28"/>
          <w:highlight w:val="none"/>
        </w:rPr>
      </w:pPr>
      <w:bookmarkStart w:id="191" w:name="_Toc31854"/>
      <w:bookmarkStart w:id="192" w:name="_Toc7011"/>
      <w:bookmarkStart w:id="193" w:name="_Toc3162"/>
      <w:r>
        <w:rPr>
          <w:rFonts w:hint="eastAsia"/>
          <w:color w:val="auto"/>
          <w:sz w:val="28"/>
          <w:szCs w:val="28"/>
          <w:highlight w:val="none"/>
        </w:rPr>
        <w:t>第五部分 用户需求书</w:t>
      </w:r>
      <w:bookmarkEnd w:id="191"/>
      <w:bookmarkEnd w:id="192"/>
      <w:bookmarkEnd w:id="193"/>
    </w:p>
    <w:p>
      <w:pPr>
        <w:pStyle w:val="4"/>
        <w:jc w:val="center"/>
        <w:rPr>
          <w:rFonts w:ascii="宋体" w:hAnsi="宋体"/>
          <w:color w:val="auto"/>
          <w:highlight w:val="none"/>
        </w:rPr>
      </w:pPr>
      <w:bookmarkStart w:id="194" w:name="_Toc31162"/>
      <w:r>
        <w:rPr>
          <w:rFonts w:hint="eastAsia" w:ascii="宋体" w:hAnsi="宋体"/>
          <w:color w:val="auto"/>
          <w:highlight w:val="none"/>
        </w:rPr>
        <w:t>第一章 商务需求书</w:t>
      </w:r>
      <w:bookmarkEnd w:id="19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1468"/>
        <w:gridCol w:w="6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6413"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1</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供应商资格要求</w:t>
            </w:r>
          </w:p>
        </w:tc>
        <w:tc>
          <w:tcPr>
            <w:tcW w:w="6413" w:type="dxa"/>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详见磋商文件“供应商资格要求”。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2</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服务期</w:t>
            </w:r>
          </w:p>
        </w:tc>
        <w:tc>
          <w:tcPr>
            <w:tcW w:w="6413" w:type="dxa"/>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服务期为一年，自合同签订之日起计算。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3</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6413" w:type="dxa"/>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4</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报价要求</w:t>
            </w:r>
          </w:p>
        </w:tc>
        <w:tc>
          <w:tcPr>
            <w:tcW w:w="6413" w:type="dxa"/>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 xml:space="preserve">报价采取打包报价的方式，报价包括材料、工具、人工、管理费、利润、税金、风险、招标代理费用等一切因素所有应该和可能发生的费用因素。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5</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验收方式</w:t>
            </w:r>
          </w:p>
        </w:tc>
        <w:tc>
          <w:tcPr>
            <w:tcW w:w="6413" w:type="dxa"/>
            <w:vAlign w:val="center"/>
          </w:tcPr>
          <w:p>
            <w:pPr>
              <w:ind w:firstLine="420" w:firstLineChars="200"/>
              <w:rPr>
                <w:rFonts w:ascii="宋体" w:hAnsi="宋体" w:cs="宋体"/>
                <w:color w:val="auto"/>
                <w:szCs w:val="24"/>
                <w:highlight w:val="none"/>
              </w:rPr>
            </w:pPr>
            <w:r>
              <w:rPr>
                <w:rFonts w:hint="eastAsia" w:ascii="宋体" w:hAnsi="宋体" w:cs="宋体"/>
                <w:color w:val="auto"/>
                <w:szCs w:val="21"/>
                <w:highlight w:val="none"/>
                <w:lang w:bidi="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6</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6413" w:type="dxa"/>
            <w:vAlign w:val="center"/>
          </w:tcPr>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lang w:eastAsia="zh-CN"/>
              </w:rPr>
              <w:t>）</w:t>
            </w:r>
            <w:r>
              <w:rPr>
                <w:rFonts w:hint="eastAsia" w:ascii="宋体" w:hAnsi="宋体" w:cs="宋体"/>
                <w:color w:val="auto"/>
                <w:szCs w:val="24"/>
                <w:highlight w:val="none"/>
              </w:rPr>
              <w:t>采购人按月支付 “慧眼”算力服务费。</w:t>
            </w:r>
          </w:p>
          <w:p>
            <w:pPr>
              <w:ind w:firstLine="420" w:firstLineChars="200"/>
              <w:rPr>
                <w:rFonts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2</w:t>
            </w:r>
            <w:r>
              <w:rPr>
                <w:rFonts w:hint="eastAsia" w:ascii="宋体" w:hAnsi="宋体" w:cs="宋体"/>
                <w:color w:val="auto"/>
                <w:szCs w:val="24"/>
                <w:highlight w:val="none"/>
                <w:lang w:eastAsia="zh-CN"/>
              </w:rPr>
              <w:t>）</w:t>
            </w:r>
            <w:r>
              <w:rPr>
                <w:rFonts w:hint="eastAsia" w:ascii="宋体" w:hAnsi="宋体" w:cs="宋体"/>
                <w:color w:val="auto"/>
                <w:szCs w:val="24"/>
                <w:highlight w:val="none"/>
              </w:rPr>
              <w:t>中标人在申请付款时须同时提交等额的发票给采购人。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7</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其它要求</w:t>
            </w:r>
          </w:p>
        </w:tc>
        <w:tc>
          <w:tcPr>
            <w:tcW w:w="6413" w:type="dxa"/>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供应商</w:t>
            </w:r>
            <w:r>
              <w:rPr>
                <w:rFonts w:hint="eastAsia" w:ascii="宋体" w:hAnsi="宋体" w:cs="宋体"/>
                <w:color w:val="auto"/>
                <w:szCs w:val="24"/>
                <w:highlight w:val="none"/>
                <w:lang w:val="zh-CN"/>
              </w:rPr>
              <w:t>应充分结合本磋商文件上下文了解项目招标需求、采购文件未尽事宜，将在合同签订或项目执行过程中双方协商确定，供应商须无条件满足采购单位的合理要求。</w:t>
            </w:r>
          </w:p>
        </w:tc>
      </w:tr>
    </w:tbl>
    <w:p>
      <w:pPr>
        <w:rPr>
          <w:color w:val="auto"/>
          <w:highlight w:val="none"/>
        </w:rPr>
      </w:pPr>
    </w:p>
    <w:p>
      <w:pPr>
        <w:rPr>
          <w:rFonts w:ascii="宋体" w:hAnsi="宋体"/>
          <w:color w:val="auto"/>
          <w:highlight w:val="none"/>
        </w:rPr>
      </w:pPr>
      <w:bookmarkStart w:id="195" w:name="_Toc19981"/>
      <w:r>
        <w:rPr>
          <w:rFonts w:hint="eastAsia" w:ascii="宋体" w:hAnsi="宋体"/>
          <w:color w:val="auto"/>
          <w:highlight w:val="none"/>
        </w:rPr>
        <w:br w:type="page"/>
      </w:r>
    </w:p>
    <w:p>
      <w:pPr>
        <w:pStyle w:val="4"/>
        <w:jc w:val="center"/>
        <w:rPr>
          <w:rFonts w:ascii="宋体" w:hAnsi="宋体"/>
          <w:color w:val="auto"/>
          <w:highlight w:val="none"/>
        </w:rPr>
      </w:pPr>
      <w:r>
        <w:rPr>
          <w:rFonts w:hint="eastAsia" w:ascii="宋体" w:hAnsi="宋体"/>
          <w:color w:val="auto"/>
          <w:highlight w:val="none"/>
        </w:rPr>
        <w:t>第二章 技术需求书</w:t>
      </w:r>
      <w:bookmarkEnd w:id="195"/>
      <w:bookmarkStart w:id="196" w:name="_Toc24679"/>
      <w:bookmarkStart w:id="197" w:name="_Toc14462"/>
      <w:bookmarkStart w:id="198" w:name="_Toc13112"/>
      <w:bookmarkStart w:id="199" w:name="_Toc31278"/>
    </w:p>
    <w:p>
      <w:pPr>
        <w:pStyle w:val="63"/>
        <w:keepNext w:val="0"/>
        <w:keepLines w:val="0"/>
        <w:pageBreakBefore w:val="0"/>
        <w:widowControl w:val="0"/>
        <w:numPr>
          <w:ilvl w:val="0"/>
          <w:numId w:val="0"/>
        </w:numPr>
        <w:kinsoku/>
        <w:wordWrap/>
        <w:overflowPunct/>
        <w:topLinePunct w:val="0"/>
        <w:autoSpaceDE/>
        <w:autoSpaceDN/>
        <w:bidi w:val="0"/>
        <w:adjustRightInd/>
        <w:snapToGrid/>
        <w:spacing w:beforeLines="0"/>
        <w:textAlignment w:val="auto"/>
        <w:rPr>
          <w:rFonts w:ascii="宋体" w:hAnsi="宋体" w:eastAsia="宋体"/>
          <w:color w:val="auto"/>
          <w:sz w:val="21"/>
          <w:szCs w:val="21"/>
          <w:highlight w:val="none"/>
        </w:rPr>
      </w:pPr>
      <w:bookmarkStart w:id="200" w:name="_Toc78205342"/>
      <w:bookmarkStart w:id="201" w:name="_Toc36664797"/>
      <w:r>
        <w:rPr>
          <w:rFonts w:hint="eastAsia" w:ascii="宋体" w:hAnsi="宋体" w:eastAsia="宋体"/>
          <w:color w:val="auto"/>
          <w:sz w:val="21"/>
          <w:szCs w:val="21"/>
          <w:highlight w:val="none"/>
        </w:rPr>
        <w:t>一、项目背景</w:t>
      </w:r>
      <w:bookmarkEnd w:id="200"/>
      <w:bookmarkEnd w:id="201"/>
    </w:p>
    <w:p>
      <w:pPr>
        <w:ind w:firstLine="420" w:firstLineChars="200"/>
        <w:rPr>
          <w:rFonts w:ascii="宋体" w:hAnsi="宋体" w:cs="宋体"/>
          <w:color w:val="auto"/>
          <w:szCs w:val="21"/>
          <w:highlight w:val="none"/>
        </w:rPr>
      </w:pPr>
      <w:bookmarkStart w:id="202" w:name="_Toc74322198"/>
      <w:r>
        <w:rPr>
          <w:rFonts w:hint="eastAsia" w:ascii="宋体" w:hAnsi="宋体" w:cs="宋体"/>
          <w:color w:val="auto"/>
          <w:szCs w:val="21"/>
          <w:highlight w:val="none"/>
        </w:rPr>
        <w:t>近年来，我市大力推进一、二类视频监控系统建设，基本实现对重点区域、人流密集场所的全覆盖，在打击犯罪、治安防范社会管理等方面发挥了重大作用。然而，对工厂企业、商铺、居民社区等三类自建视频，由于分散建设、标准不一、缺乏维护等因素，长期以来得不到有效统筹和利用，形成社会资源的闲置和浪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为进一步加大我市视频监控建设力度，2019年东莞市公安局联合电信运营商，在全市范围内实施了“慧眼”视频监控建设工程，目前已建成12万路具备人脸图片抓拍功能的“慧眼”前端，覆盖了全市沿街商铺、居民楼宇、内街小巷等重点治安路段、场所，极大的提升了我市视频监控覆盖率。前端视频及图像存储在各电信运营商机房，为公安机关后续开展各类视频图像应用</w:t>
      </w:r>
      <w:r>
        <w:rPr>
          <w:rFonts w:ascii="宋体" w:hAnsi="宋体" w:cs="宋体"/>
          <w:color w:val="auto"/>
          <w:szCs w:val="21"/>
          <w:highlight w:val="none"/>
        </w:rPr>
        <w:t>提供基础数据</w:t>
      </w:r>
      <w:r>
        <w:rPr>
          <w:rFonts w:hint="eastAsia" w:ascii="宋体" w:hAnsi="宋体" w:cs="宋体"/>
          <w:color w:val="auto"/>
          <w:szCs w:val="21"/>
          <w:highlight w:val="none"/>
        </w:rPr>
        <w:t>。</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为了建设视频图像智能化应用，充分挖掘“慧眼”视频图像资源应用价值，东莞市公安局统筹全市公安机关建设“慧眼”图像智能应用系统，对“慧眼”视频图像进行人脸结构化分析，进一步提升智能化应用水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东莞市“慧眼”图像智能应用系统以集群化部署、弹性扩容、按需分阶段建设为原则，由市公安局统筹建设规模、制定建设标准、部署解析应用软件，各分局提供算力硬件资源，共同完成“慧眼”图像智能应用系统建设。</w:t>
      </w:r>
    </w:p>
    <w:bookmarkEnd w:id="202"/>
    <w:p>
      <w:pPr>
        <w:pStyle w:val="63"/>
        <w:numPr>
          <w:ilvl w:val="0"/>
          <w:numId w:val="0"/>
        </w:numPr>
        <w:spacing w:before="180"/>
        <w:rPr>
          <w:rFonts w:ascii="宋体" w:hAnsi="宋体" w:eastAsia="宋体"/>
          <w:color w:val="auto"/>
          <w:sz w:val="21"/>
          <w:szCs w:val="21"/>
          <w:highlight w:val="none"/>
        </w:rPr>
      </w:pPr>
      <w:bookmarkStart w:id="203" w:name="_Toc78205343"/>
      <w:r>
        <w:rPr>
          <w:rFonts w:hint="eastAsia" w:ascii="宋体" w:hAnsi="宋体" w:eastAsia="宋体"/>
          <w:color w:val="auto"/>
          <w:sz w:val="21"/>
          <w:szCs w:val="21"/>
          <w:highlight w:val="none"/>
        </w:rPr>
        <w:t>二、项目目的</w:t>
      </w:r>
      <w:bookmarkEnd w:id="203"/>
    </w:p>
    <w:p>
      <w:pPr>
        <w:ind w:firstLine="422" w:firstLineChars="200"/>
        <w:rPr>
          <w:rFonts w:ascii="宋体" w:hAnsi="宋体" w:cs="宋体"/>
          <w:b/>
          <w:color w:val="auto"/>
          <w:szCs w:val="21"/>
          <w:highlight w:val="none"/>
        </w:rPr>
      </w:pPr>
      <w:bookmarkStart w:id="204" w:name="_Toc74322199"/>
      <w:r>
        <w:rPr>
          <w:rFonts w:ascii="宋体" w:hAnsi="宋体" w:cs="宋体"/>
          <w:b/>
          <w:color w:val="auto"/>
          <w:szCs w:val="21"/>
          <w:highlight w:val="none"/>
        </w:rPr>
        <w:t>1</w:t>
      </w:r>
      <w:r>
        <w:rPr>
          <w:rFonts w:hint="eastAsia" w:ascii="宋体" w:hAnsi="宋体" w:cs="宋体"/>
          <w:b/>
          <w:color w:val="auto"/>
          <w:szCs w:val="21"/>
          <w:highlight w:val="none"/>
        </w:rPr>
        <w:t>、有利于提升社会治安管理水平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通过系统的建设实施，为社会视频提供智能化应用，推进社会准确了解下情，决策及时而正确，增强政府处理突发事件的能力。</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系统不仅可以节省值班人员，一旦发生问题时也方便值班警员及时掌握发现扰乱、影响社会治安的的各类事件，获取犯罪分子的作案证据。各级领导也能及时、准确地了解现场情况，及时正确地作出决策，增强政府处理突发事件的能力。</w:t>
      </w:r>
    </w:p>
    <w:p>
      <w:pPr>
        <w:ind w:firstLine="422" w:firstLineChars="200"/>
        <w:rPr>
          <w:rFonts w:ascii="宋体" w:hAnsi="宋体" w:cs="宋体"/>
          <w:b/>
          <w:color w:val="auto"/>
          <w:szCs w:val="21"/>
          <w:highlight w:val="none"/>
        </w:rPr>
      </w:pPr>
      <w:r>
        <w:rPr>
          <w:rFonts w:ascii="宋体" w:hAnsi="宋体" w:cs="宋体"/>
          <w:b/>
          <w:color w:val="auto"/>
          <w:szCs w:val="21"/>
          <w:highlight w:val="none"/>
        </w:rPr>
        <w:t>2</w:t>
      </w:r>
      <w:r>
        <w:rPr>
          <w:rFonts w:hint="eastAsia" w:ascii="宋体" w:hAnsi="宋体" w:cs="宋体"/>
          <w:b/>
          <w:color w:val="auto"/>
          <w:szCs w:val="21"/>
          <w:highlight w:val="none"/>
        </w:rPr>
        <w:t>、有利于提升群众对社会治安管理的满意率</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在系统的良好支撑下，各级公安机关可以依托大量的、丰富的视频图像信息，形成以信息化为重要组成部分的社会治安整体防控体系，及时解决群众关注的街面违法犯罪等治安难点、热点问题，加强打击违法犯罪，降低发案率，提高破案率，全面提升公共安全管理水平，进一步提高服务群众的能力和水平，从而大幅提升群众的安全感以及对社会治安的满意率。</w:t>
      </w:r>
    </w:p>
    <w:p>
      <w:pPr>
        <w:ind w:firstLine="422" w:firstLineChars="200"/>
        <w:rPr>
          <w:rFonts w:ascii="宋体" w:hAnsi="宋体" w:cs="宋体"/>
          <w:b/>
          <w:color w:val="auto"/>
          <w:szCs w:val="21"/>
          <w:highlight w:val="none"/>
        </w:rPr>
      </w:pPr>
      <w:r>
        <w:rPr>
          <w:rFonts w:ascii="宋体" w:hAnsi="宋体" w:cs="宋体"/>
          <w:b/>
          <w:color w:val="auto"/>
          <w:szCs w:val="21"/>
          <w:highlight w:val="none"/>
        </w:rPr>
        <w:t>3</w:t>
      </w:r>
      <w:r>
        <w:rPr>
          <w:rFonts w:hint="eastAsia" w:ascii="宋体" w:hAnsi="宋体" w:cs="宋体"/>
          <w:b/>
          <w:color w:val="auto"/>
          <w:szCs w:val="21"/>
          <w:highlight w:val="none"/>
        </w:rPr>
        <w:t>、有利于促进政府管理部门信息化发展</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系统的建设实施，对促进政府管理部门推动信息化发展作用巨大，主要体现在以下几个方面：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是视频监控共享平台汇聚了大量的公共安全视频监控信息资源，能够为城市管理、服务群众、侦查破案、反恐防爆、维稳处突、应急救援等提供直接的视频信息来源，必将持续推动公共安全视频系统的可持续性发展。</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二是为确保视频监控共享及应用平台建设、管理、应用的科学、有序发展，以及保护公民隐私权益，平台配套的各项管理办法和技术规范的出台，也必将进一步推进地方法制、标准体系建设。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三是系统建设充分考虑开放共享互通，为各级行政机关、企业和民众开放视频图像资源，为信息化建设起到示范和拉动作用。</w:t>
      </w:r>
    </w:p>
    <w:p>
      <w:pPr>
        <w:ind w:firstLine="422" w:firstLineChars="200"/>
        <w:rPr>
          <w:rFonts w:ascii="宋体" w:hAnsi="宋体" w:cs="宋体"/>
          <w:b/>
          <w:color w:val="auto"/>
          <w:szCs w:val="21"/>
          <w:highlight w:val="none"/>
        </w:rPr>
      </w:pPr>
      <w:r>
        <w:rPr>
          <w:rFonts w:ascii="宋体" w:hAnsi="宋体" w:cs="宋体"/>
          <w:b/>
          <w:color w:val="auto"/>
          <w:szCs w:val="21"/>
          <w:highlight w:val="none"/>
        </w:rPr>
        <w:t>4</w:t>
      </w:r>
      <w:r>
        <w:rPr>
          <w:rFonts w:hint="eastAsia" w:ascii="宋体" w:hAnsi="宋体" w:cs="宋体"/>
          <w:b/>
          <w:color w:val="auto"/>
          <w:szCs w:val="21"/>
          <w:highlight w:val="none"/>
        </w:rPr>
        <w:t>、有利于提升公安破案效率</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有利于节省警力，降低工作强度，节省治安管理成本。把图像监控与治安巡逻有机的结合起来，将最大限度的扩大警力的控制范围，同时降低警察的工作强度及巡逻成本。同时，监控系统提供的信息作为有效的线索、有力的证据，可以大幅提升公安机关开展巡逻防控、打击违法犯罪、维护社会稳定、服务人民群众等工作效率，大大节省了办案人员取证所花的时间、人力、物力和财力。</w:t>
      </w:r>
    </w:p>
    <w:p>
      <w:pPr>
        <w:pStyle w:val="63"/>
        <w:numPr>
          <w:ilvl w:val="0"/>
          <w:numId w:val="0"/>
        </w:numPr>
        <w:spacing w:before="180"/>
        <w:rPr>
          <w:rFonts w:ascii="宋体" w:hAnsi="宋体" w:eastAsia="宋体"/>
          <w:color w:val="auto"/>
          <w:sz w:val="21"/>
          <w:szCs w:val="21"/>
          <w:highlight w:val="none"/>
        </w:rPr>
      </w:pPr>
      <w:bookmarkStart w:id="205" w:name="_Toc78205344"/>
      <w:r>
        <w:rPr>
          <w:rFonts w:hint="eastAsia" w:ascii="宋体" w:hAnsi="宋体" w:eastAsia="宋体"/>
          <w:color w:val="auto"/>
          <w:sz w:val="21"/>
          <w:szCs w:val="21"/>
          <w:highlight w:val="none"/>
        </w:rPr>
        <w:t>三、项目要求</w:t>
      </w:r>
      <w:bookmarkEnd w:id="205"/>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1、图像智能应用系统基于集群架构总体规划，通过弹性扩容、算法加载，对图像智能应用系统进行部署，短平快实现对图片进行二次智能分析处理的能力。</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2、平台按照GA/T 1400标准规范建设要求，实现结构化和半结构化数据、目标图像、案件相关信息的存储，其中大图存储90天，人脸小图和结构化数据存储180天。</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人脸解析和比对功能。通过人脸识别技术对前端采集的人脸图片进行人脸的二次提取、质量评估和矫正、人脸结构化、人脸属性提取和人脸比对告警功能。同时平台与市局人像库互通，实现动态人脸的统一应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4、人脸搜索：平台采用大数据技术架构，支持万亿条数据级的以图搜图、属性过滤和融合搜索等功能。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5、信息安全方面，数据传输到视频专网，须通过安全边界（性能需考虑实际并发带宽，视频、图片通过安全边界进入视频专网），确保有效隔离。</w:t>
      </w:r>
    </w:p>
    <w:p>
      <w:pPr>
        <w:pStyle w:val="63"/>
        <w:numPr>
          <w:ilvl w:val="0"/>
          <w:numId w:val="0"/>
        </w:numPr>
        <w:spacing w:before="180"/>
        <w:rPr>
          <w:rFonts w:ascii="宋体" w:hAnsi="宋体" w:eastAsia="宋体"/>
          <w:color w:val="auto"/>
          <w:sz w:val="21"/>
          <w:szCs w:val="21"/>
          <w:highlight w:val="none"/>
        </w:rPr>
      </w:pPr>
      <w:bookmarkStart w:id="206" w:name="_Toc78205345"/>
      <w:r>
        <w:rPr>
          <w:rFonts w:hint="eastAsia" w:ascii="宋体" w:hAnsi="宋体" w:eastAsia="宋体"/>
          <w:color w:val="auto"/>
          <w:sz w:val="21"/>
          <w:szCs w:val="21"/>
          <w:highlight w:val="none"/>
        </w:rPr>
        <w:t>四、项目</w:t>
      </w:r>
      <w:r>
        <w:rPr>
          <w:rFonts w:ascii="宋体" w:hAnsi="宋体" w:eastAsia="宋体"/>
          <w:color w:val="auto"/>
          <w:sz w:val="21"/>
          <w:szCs w:val="21"/>
          <w:highlight w:val="none"/>
        </w:rPr>
        <w:t>内容</w:t>
      </w:r>
      <w:bookmarkEnd w:id="204"/>
      <w:bookmarkEnd w:id="206"/>
    </w:p>
    <w:p>
      <w:pPr>
        <w:ind w:firstLine="420" w:firstLineChars="200"/>
        <w:rPr>
          <w:rFonts w:ascii="宋体" w:hAnsi="宋体" w:cs="宋体"/>
          <w:color w:val="auto"/>
          <w:szCs w:val="21"/>
          <w:highlight w:val="none"/>
        </w:rPr>
      </w:pPr>
      <w:bookmarkStart w:id="207" w:name="_Toc3133365"/>
      <w:r>
        <w:rPr>
          <w:rFonts w:hint="eastAsia" w:ascii="宋体" w:hAnsi="宋体" w:cs="宋体"/>
          <w:color w:val="auto"/>
          <w:szCs w:val="21"/>
          <w:highlight w:val="none"/>
        </w:rPr>
        <w:t xml:space="preserve"> “慧眼”图像智能应用系统算力</w:t>
      </w:r>
      <w:r>
        <w:rPr>
          <w:rFonts w:ascii="宋体" w:hAnsi="宋体" w:cs="宋体"/>
          <w:color w:val="auto"/>
          <w:szCs w:val="21"/>
          <w:highlight w:val="none"/>
        </w:rPr>
        <w:t>服务</w:t>
      </w:r>
      <w:r>
        <w:rPr>
          <w:rFonts w:hint="eastAsia" w:ascii="宋体" w:hAnsi="宋体" w:cs="宋体"/>
          <w:color w:val="auto"/>
          <w:szCs w:val="21"/>
          <w:highlight w:val="none"/>
        </w:rPr>
        <w:t>是通过市公安局建设的图像传输的安全边界，确保图片全量通过安全边界传输至视频专网进行存储，人脸小图及特征值通过安全边界传输至公安网进行应用分析。在市公安局人脸图片解析能力的人像解析系统，提供数据转发、数据分析、数据搜索系统进行数据分析和应用的算力服务。</w:t>
      </w:r>
      <w:r>
        <w:rPr>
          <w:rFonts w:ascii="宋体" w:hAnsi="宋体" w:cs="宋体"/>
          <w:color w:val="auto"/>
          <w:szCs w:val="21"/>
          <w:highlight w:val="none"/>
        </w:rPr>
        <w:t>本项目主要是</w:t>
      </w:r>
      <w:r>
        <w:rPr>
          <w:rFonts w:hint="eastAsia" w:ascii="宋体" w:hAnsi="宋体" w:cs="宋体"/>
          <w:color w:val="auto"/>
          <w:szCs w:val="21"/>
          <w:highlight w:val="none"/>
        </w:rPr>
        <w:t>租赁</w:t>
      </w:r>
      <w:r>
        <w:rPr>
          <w:rFonts w:ascii="宋体" w:hAnsi="宋体" w:cs="宋体"/>
          <w:color w:val="auto"/>
          <w:szCs w:val="21"/>
          <w:highlight w:val="none"/>
        </w:rPr>
        <w:t>820</w:t>
      </w:r>
      <w:r>
        <w:rPr>
          <w:rFonts w:hint="eastAsia" w:ascii="宋体" w:hAnsi="宋体" w:cs="宋体"/>
          <w:color w:val="auto"/>
          <w:szCs w:val="21"/>
          <w:highlight w:val="none"/>
        </w:rPr>
        <w:t>路横沥镇“慧眼”图像智能应用系统算力</w:t>
      </w:r>
      <w:r>
        <w:rPr>
          <w:rFonts w:ascii="宋体" w:hAnsi="宋体" w:cs="宋体"/>
          <w:color w:val="auto"/>
          <w:szCs w:val="21"/>
          <w:highlight w:val="none"/>
        </w:rPr>
        <w:t>服务。</w:t>
      </w:r>
      <w:r>
        <w:rPr>
          <w:rFonts w:hint="eastAsia" w:ascii="宋体" w:hAnsi="宋体" w:cs="宋体"/>
          <w:color w:val="auto"/>
          <w:szCs w:val="21"/>
          <w:highlight w:val="none"/>
        </w:rPr>
        <w:t>服务期为</w:t>
      </w:r>
      <w:r>
        <w:rPr>
          <w:rFonts w:ascii="宋体" w:hAnsi="宋体" w:cs="宋体"/>
          <w:color w:val="auto"/>
          <w:szCs w:val="21"/>
          <w:highlight w:val="none"/>
        </w:rPr>
        <w:t>1</w:t>
      </w:r>
      <w:r>
        <w:rPr>
          <w:rFonts w:hint="eastAsia" w:ascii="宋体" w:hAnsi="宋体" w:cs="宋体"/>
          <w:color w:val="auto"/>
          <w:szCs w:val="21"/>
          <w:highlight w:val="none"/>
        </w:rPr>
        <w:t>年</w:t>
      </w:r>
      <w:r>
        <w:rPr>
          <w:rFonts w:ascii="宋体" w:hAnsi="宋体" w:cs="宋体"/>
          <w:color w:val="auto"/>
          <w:szCs w:val="21"/>
          <w:highlight w:val="none"/>
        </w:rPr>
        <w:t>。820</w:t>
      </w:r>
      <w:r>
        <w:rPr>
          <w:rFonts w:hint="eastAsia" w:ascii="宋体" w:hAnsi="宋体" w:cs="宋体"/>
          <w:color w:val="auto"/>
          <w:szCs w:val="21"/>
          <w:highlight w:val="none"/>
        </w:rPr>
        <w:t>路“慧眼”图像存储在市公安局视频图像数据库，其中全景大图在视频专网存储90天，人脸小图及特征值在视频专网存储7天，在公安网存储180天。具体如下：</w:t>
      </w:r>
    </w:p>
    <w:tbl>
      <w:tblPr>
        <w:tblStyle w:val="23"/>
        <w:tblW w:w="4550" w:type="pct"/>
        <w:jc w:val="center"/>
        <w:tblLayout w:type="fixed"/>
        <w:tblCellMar>
          <w:top w:w="0" w:type="dxa"/>
          <w:left w:w="108" w:type="dxa"/>
          <w:bottom w:w="0" w:type="dxa"/>
          <w:right w:w="108" w:type="dxa"/>
        </w:tblCellMar>
      </w:tblPr>
      <w:tblGrid>
        <w:gridCol w:w="4746"/>
        <w:gridCol w:w="1406"/>
        <w:gridCol w:w="1603"/>
      </w:tblGrid>
      <w:tr>
        <w:tblPrEx>
          <w:tblCellMar>
            <w:top w:w="0" w:type="dxa"/>
            <w:left w:w="108" w:type="dxa"/>
            <w:bottom w:w="0" w:type="dxa"/>
            <w:right w:w="108" w:type="dxa"/>
          </w:tblCellMar>
        </w:tblPrEx>
        <w:trPr>
          <w:trHeight w:val="520" w:hRule="atLeast"/>
          <w:jc w:val="center"/>
        </w:trPr>
        <w:tc>
          <w:tcPr>
            <w:tcW w:w="3060"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color w:val="auto"/>
                <w:szCs w:val="21"/>
                <w:highlight w:val="none"/>
              </w:rPr>
            </w:pPr>
            <w:r>
              <w:rPr>
                <w:rFonts w:hint="eastAsia" w:ascii="宋体" w:hAnsi="宋体" w:cs="Arial"/>
                <w:color w:val="auto"/>
                <w:szCs w:val="21"/>
                <w:highlight w:val="none"/>
              </w:rPr>
              <w:t>业务名称</w:t>
            </w:r>
          </w:p>
        </w:tc>
        <w:tc>
          <w:tcPr>
            <w:tcW w:w="907" w:type="pct"/>
            <w:tcBorders>
              <w:top w:val="single" w:color="auto" w:sz="4" w:space="0"/>
              <w:left w:val="nil"/>
              <w:bottom w:val="single" w:color="auto" w:sz="4" w:space="0"/>
              <w:right w:val="single" w:color="auto" w:sz="4" w:space="0"/>
            </w:tcBorders>
            <w:noWrap/>
            <w:vAlign w:val="center"/>
          </w:tcPr>
          <w:p>
            <w:pPr>
              <w:jc w:val="center"/>
              <w:rPr>
                <w:rFonts w:ascii="宋体" w:hAnsi="宋体" w:cs="Arial"/>
                <w:color w:val="auto"/>
                <w:szCs w:val="21"/>
                <w:highlight w:val="none"/>
              </w:rPr>
            </w:pPr>
            <w:r>
              <w:rPr>
                <w:rFonts w:hint="eastAsia" w:ascii="宋体" w:hAnsi="宋体" w:cs="Arial"/>
                <w:color w:val="auto"/>
                <w:szCs w:val="21"/>
                <w:highlight w:val="none"/>
              </w:rPr>
              <w:t>数量</w:t>
            </w:r>
          </w:p>
          <w:p>
            <w:pPr>
              <w:jc w:val="center"/>
              <w:rPr>
                <w:rFonts w:ascii="宋体" w:hAnsi="宋体" w:cs="Arial"/>
                <w:color w:val="auto"/>
                <w:szCs w:val="21"/>
                <w:highlight w:val="none"/>
              </w:rPr>
            </w:pPr>
            <w:r>
              <w:rPr>
                <w:rFonts w:hint="eastAsia" w:ascii="宋体" w:hAnsi="宋体" w:cs="Arial"/>
                <w:color w:val="auto"/>
                <w:szCs w:val="21"/>
                <w:highlight w:val="none"/>
              </w:rPr>
              <w:t>（路）</w:t>
            </w:r>
          </w:p>
        </w:tc>
        <w:tc>
          <w:tcPr>
            <w:tcW w:w="1033" w:type="pct"/>
            <w:tcBorders>
              <w:top w:val="single" w:color="auto" w:sz="4" w:space="0"/>
              <w:left w:val="nil"/>
              <w:bottom w:val="single" w:color="auto" w:sz="4" w:space="0"/>
              <w:right w:val="single" w:color="auto" w:sz="4" w:space="0"/>
            </w:tcBorders>
            <w:noWrap/>
            <w:vAlign w:val="center"/>
          </w:tcPr>
          <w:p>
            <w:pPr>
              <w:jc w:val="center"/>
              <w:rPr>
                <w:rFonts w:ascii="宋体" w:hAnsi="宋体" w:cs="Arial"/>
                <w:color w:val="auto"/>
                <w:szCs w:val="21"/>
                <w:highlight w:val="none"/>
              </w:rPr>
            </w:pPr>
            <w:r>
              <w:rPr>
                <w:rFonts w:hint="eastAsia" w:ascii="宋体" w:hAnsi="宋体" w:cs="Arial"/>
                <w:color w:val="auto"/>
                <w:szCs w:val="21"/>
                <w:highlight w:val="none"/>
              </w:rPr>
              <w:t>服务期</w:t>
            </w:r>
          </w:p>
          <w:p>
            <w:pPr>
              <w:jc w:val="center"/>
              <w:rPr>
                <w:rFonts w:ascii="宋体" w:hAnsi="宋体" w:cs="Arial"/>
                <w:color w:val="auto"/>
                <w:szCs w:val="21"/>
                <w:highlight w:val="none"/>
              </w:rPr>
            </w:pPr>
            <w:r>
              <w:rPr>
                <w:rFonts w:hint="eastAsia" w:ascii="宋体" w:hAnsi="宋体" w:cs="Arial"/>
                <w:color w:val="auto"/>
                <w:szCs w:val="21"/>
                <w:highlight w:val="none"/>
              </w:rPr>
              <w:t>（月）</w:t>
            </w:r>
          </w:p>
        </w:tc>
      </w:tr>
      <w:tr>
        <w:tblPrEx>
          <w:tblCellMar>
            <w:top w:w="0" w:type="dxa"/>
            <w:left w:w="108" w:type="dxa"/>
            <w:bottom w:w="0" w:type="dxa"/>
            <w:right w:w="108" w:type="dxa"/>
          </w:tblCellMar>
        </w:tblPrEx>
        <w:trPr>
          <w:trHeight w:val="520" w:hRule="atLeast"/>
          <w:jc w:val="center"/>
        </w:trPr>
        <w:tc>
          <w:tcPr>
            <w:tcW w:w="3060" w:type="pct"/>
            <w:tcBorders>
              <w:top w:val="nil"/>
              <w:left w:val="single" w:color="auto" w:sz="4" w:space="0"/>
              <w:bottom w:val="single" w:color="auto" w:sz="4" w:space="0"/>
              <w:right w:val="single" w:color="auto" w:sz="4" w:space="0"/>
            </w:tcBorders>
            <w:noWrap/>
            <w:vAlign w:val="center"/>
          </w:tcPr>
          <w:p>
            <w:pPr>
              <w:jc w:val="center"/>
              <w:rPr>
                <w:rFonts w:hint="eastAsia" w:ascii="宋体" w:hAnsi="宋体" w:eastAsia="宋体" w:cs="Arial"/>
                <w:color w:val="auto"/>
                <w:szCs w:val="21"/>
                <w:highlight w:val="none"/>
                <w:lang w:eastAsia="zh-CN"/>
              </w:rPr>
            </w:pPr>
            <w:r>
              <w:rPr>
                <w:rFonts w:hint="eastAsia" w:ascii="宋体" w:hAnsi="宋体" w:cs="Arial"/>
                <w:color w:val="auto"/>
                <w:szCs w:val="21"/>
                <w:highlight w:val="none"/>
                <w:lang w:eastAsia="zh-CN"/>
              </w:rPr>
              <w:t>横沥镇“慧眼”图像智能应用系统算力建设服务项目</w:t>
            </w:r>
          </w:p>
        </w:tc>
        <w:tc>
          <w:tcPr>
            <w:tcW w:w="907" w:type="pct"/>
            <w:tcBorders>
              <w:top w:val="nil"/>
              <w:left w:val="nil"/>
              <w:bottom w:val="single" w:color="auto" w:sz="4" w:space="0"/>
              <w:right w:val="single" w:color="auto" w:sz="4" w:space="0"/>
            </w:tcBorders>
            <w:noWrap/>
            <w:vAlign w:val="center"/>
          </w:tcPr>
          <w:p>
            <w:pPr>
              <w:jc w:val="center"/>
              <w:rPr>
                <w:rFonts w:ascii="宋体" w:hAnsi="宋体" w:cs="Arial"/>
                <w:color w:val="auto"/>
                <w:szCs w:val="21"/>
                <w:highlight w:val="none"/>
              </w:rPr>
            </w:pPr>
            <w:r>
              <w:rPr>
                <w:rFonts w:ascii="宋体" w:hAnsi="宋体" w:cs="Arial"/>
                <w:color w:val="auto"/>
                <w:szCs w:val="21"/>
                <w:highlight w:val="none"/>
              </w:rPr>
              <w:t>820</w:t>
            </w:r>
          </w:p>
        </w:tc>
        <w:tc>
          <w:tcPr>
            <w:tcW w:w="1033" w:type="pct"/>
            <w:tcBorders>
              <w:top w:val="nil"/>
              <w:left w:val="nil"/>
              <w:bottom w:val="single" w:color="auto" w:sz="4" w:space="0"/>
              <w:right w:val="single" w:color="auto" w:sz="4" w:space="0"/>
            </w:tcBorders>
            <w:noWrap/>
            <w:vAlign w:val="center"/>
          </w:tcPr>
          <w:p>
            <w:pPr>
              <w:jc w:val="center"/>
              <w:rPr>
                <w:rFonts w:ascii="宋体" w:hAnsi="宋体" w:cs="Arial"/>
                <w:color w:val="auto"/>
                <w:szCs w:val="21"/>
                <w:highlight w:val="none"/>
              </w:rPr>
            </w:pPr>
            <w:r>
              <w:rPr>
                <w:rFonts w:ascii="宋体" w:hAnsi="宋体" w:cs="Arial"/>
                <w:color w:val="auto"/>
                <w:szCs w:val="21"/>
                <w:highlight w:val="none"/>
              </w:rPr>
              <w:t>12</w:t>
            </w:r>
          </w:p>
        </w:tc>
      </w:tr>
      <w:bookmarkEnd w:id="207"/>
    </w:tbl>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bookmarkEnd w:id="196"/>
    <w:bookmarkEnd w:id="197"/>
    <w:bookmarkEnd w:id="198"/>
    <w:bookmarkEnd w:id="199"/>
    <w:p>
      <w:pPr>
        <w:pStyle w:val="3"/>
        <w:spacing w:before="0" w:after="0" w:line="240" w:lineRule="auto"/>
        <w:rPr>
          <w:color w:val="auto"/>
          <w:sz w:val="28"/>
          <w:szCs w:val="28"/>
          <w:highlight w:val="none"/>
        </w:rPr>
      </w:pPr>
      <w:bookmarkStart w:id="208" w:name="_Toc21448"/>
      <w:bookmarkStart w:id="209" w:name="_Toc12485"/>
      <w:bookmarkStart w:id="210" w:name="_Toc17329"/>
      <w:r>
        <w:rPr>
          <w:rFonts w:hint="eastAsia"/>
          <w:color w:val="auto"/>
          <w:sz w:val="28"/>
          <w:szCs w:val="28"/>
          <w:highlight w:val="none"/>
        </w:rPr>
        <w:t>第六部分 合同格式（仅供参考）</w:t>
      </w:r>
      <w:bookmarkEnd w:id="208"/>
      <w:bookmarkEnd w:id="209"/>
      <w:bookmarkEnd w:id="210"/>
      <w:bookmarkStart w:id="211" w:name="_Toc1534"/>
      <w:bookmarkStart w:id="212" w:name="_Toc21155"/>
      <w:bookmarkStart w:id="213" w:name="_Toc13430"/>
    </w:p>
    <w:p>
      <w:pPr>
        <w:pStyle w:val="4"/>
        <w:spacing w:line="240" w:lineRule="auto"/>
        <w:jc w:val="center"/>
        <w:rPr>
          <w:rFonts w:ascii="宋体" w:hAnsi="宋体" w:cs="宋体"/>
          <w:color w:val="auto"/>
          <w:highlight w:val="none"/>
        </w:rPr>
      </w:pPr>
      <w:bookmarkStart w:id="214" w:name="_Toc19575"/>
      <w:bookmarkStart w:id="215" w:name="_Toc16730"/>
      <w:bookmarkStart w:id="216" w:name="_Toc29470"/>
      <w:r>
        <w:rPr>
          <w:rFonts w:hint="eastAsia" w:ascii="宋体" w:hAnsi="宋体" w:cs="宋体"/>
          <w:color w:val="auto"/>
          <w:highlight w:val="none"/>
        </w:rPr>
        <w:t>合同格式</w:t>
      </w:r>
      <w:bookmarkEnd w:id="211"/>
      <w:bookmarkEnd w:id="212"/>
      <w:bookmarkEnd w:id="213"/>
      <w:bookmarkEnd w:id="214"/>
      <w:bookmarkEnd w:id="215"/>
      <w:bookmarkEnd w:id="216"/>
    </w:p>
    <w:p>
      <w:pPr>
        <w:spacing w:after="200" w:line="420" w:lineRule="atLeast"/>
        <w:ind w:right="560"/>
        <w:rPr>
          <w:rFonts w:ascii="宋体" w:hAnsi="宋体" w:cs="宋体"/>
          <w:color w:val="auto"/>
          <w:szCs w:val="21"/>
          <w:highlight w:val="none"/>
        </w:rPr>
      </w:pPr>
      <w:r>
        <w:rPr>
          <w:rFonts w:hint="eastAsia" w:ascii="宋体" w:hAnsi="宋体" w:cs="宋体"/>
          <w:color w:val="auto"/>
          <w:szCs w:val="21"/>
          <w:highlight w:val="none"/>
        </w:rPr>
        <w:t>合同编号：</w:t>
      </w:r>
    </w:p>
    <w:p>
      <w:pPr>
        <w:spacing w:after="200" w:line="420" w:lineRule="atLeast"/>
        <w:rPr>
          <w:rFonts w:ascii="宋体" w:hAnsi="宋体" w:cs="宋体"/>
          <w:color w:val="auto"/>
          <w:szCs w:val="21"/>
          <w:highlight w:val="none"/>
        </w:rPr>
      </w:pPr>
      <w:r>
        <w:rPr>
          <w:rFonts w:hint="eastAsia" w:ascii="宋体" w:hAnsi="宋体" w:cs="宋体"/>
          <w:color w:val="auto"/>
          <w:szCs w:val="21"/>
          <w:highlight w:val="none"/>
        </w:rPr>
        <w:t>甲方：</w:t>
      </w:r>
    </w:p>
    <w:p>
      <w:pPr>
        <w:spacing w:after="200" w:line="420" w:lineRule="atLeast"/>
        <w:rPr>
          <w:rFonts w:ascii="宋体" w:hAnsi="宋体" w:cs="宋体"/>
          <w:color w:val="auto"/>
          <w:szCs w:val="21"/>
          <w:highlight w:val="none"/>
        </w:rPr>
      </w:pPr>
      <w:r>
        <w:rPr>
          <w:rFonts w:hint="eastAsia" w:ascii="宋体" w:hAnsi="宋体" w:cs="宋体"/>
          <w:color w:val="auto"/>
          <w:szCs w:val="21"/>
          <w:highlight w:val="none"/>
        </w:rPr>
        <w:t xml:space="preserve">乙方：“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”为成交单位</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受甲方委托，</w:t>
      </w:r>
      <w:r>
        <w:rPr>
          <w:rFonts w:hint="eastAsia" w:ascii="宋体" w:hAnsi="宋体" w:cs="宋体"/>
          <w:color w:val="auto"/>
          <w:szCs w:val="21"/>
          <w:highlight w:val="none"/>
          <w:u w:val="single"/>
        </w:rPr>
        <w:t xml:space="preserve">           (采购代理机构)</w:t>
      </w:r>
      <w:r>
        <w:rPr>
          <w:rFonts w:hint="eastAsia" w:ascii="宋体" w:hAnsi="宋体" w:cs="宋体"/>
          <w:color w:val="auto"/>
          <w:szCs w:val="21"/>
          <w:highlight w:val="none"/>
        </w:rPr>
        <w:t>组织对</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采购项目（采购编号为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）进行采购，于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日通过磋商，经磋商小组评定乙方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为成交单位。为了保护甲、乙双方合法权益，根据《中华人民共和国政府采购法》及其实施条例、《中华人民共和国民法典》，在平等自愿的基础上，按照下面的条款和条件，签署本合同。</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第一条 合同项目</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1、项目名称：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2、采购编号：                   。</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第二条 合同组成</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1、合同文件组成内容包括：本合同书 、成交通知书、响应文件（含澄清内容）、磋商文件（含磋商文件澄清通知）等。</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第三条 服务内容、标准及要求</w:t>
      </w:r>
    </w:p>
    <w:p>
      <w:pPr>
        <w:rPr>
          <w:rFonts w:ascii="宋体" w:hAnsi="宋体" w:cs="宋体"/>
          <w:color w:val="auto"/>
          <w:szCs w:val="21"/>
          <w:highlight w:val="none"/>
          <w:u w:val="single"/>
          <w:shd w:val="clear" w:color="auto" w:fill="FFFFFF"/>
        </w:rPr>
      </w:pPr>
      <w:r>
        <w:rPr>
          <w:rFonts w:hint="eastAsia" w:ascii="宋体" w:hAnsi="宋体" w:cs="宋体"/>
          <w:color w:val="auto"/>
          <w:szCs w:val="21"/>
          <w:highlight w:val="none"/>
          <w:shd w:val="clear" w:color="auto" w:fill="FFFFFF"/>
        </w:rPr>
        <w:t>1、采购内容：</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2、采购标准：</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3、采购要求：</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4、具体采购内容采购标准及要求以磋商文件用户需求书及乙方响应文件承诺条款及方案为准。</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第四条 价格</w:t>
      </w:r>
    </w:p>
    <w:p>
      <w:pPr>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ind w:firstLine="399" w:firstLineChars="190"/>
        <w:rPr>
          <w:rFonts w:ascii="宋体" w:hAnsi="宋体" w:cs="宋体"/>
          <w:color w:val="auto"/>
          <w:szCs w:val="21"/>
          <w:highlight w:val="none"/>
        </w:rPr>
      </w:pPr>
      <w:r>
        <w:rPr>
          <w:rFonts w:hint="eastAsia" w:ascii="宋体" w:hAnsi="宋体" w:cs="宋体"/>
          <w:color w:val="auto"/>
          <w:szCs w:val="21"/>
          <w:highlight w:val="none"/>
        </w:rPr>
        <w:t xml:space="preserve">2、合同总价：（人民币）大写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ind w:firstLine="399" w:firstLineChars="190"/>
        <w:rPr>
          <w:rFonts w:ascii="宋体" w:hAnsi="宋体" w:cs="宋体"/>
          <w:color w:val="auto"/>
          <w:szCs w:val="21"/>
          <w:highlight w:val="none"/>
        </w:rPr>
      </w:pPr>
      <w:r>
        <w:rPr>
          <w:rFonts w:hint="eastAsia" w:ascii="宋体" w:hAnsi="宋体" w:cs="宋体"/>
          <w:color w:val="auto"/>
          <w:szCs w:val="21"/>
          <w:highlight w:val="none"/>
        </w:rPr>
        <w:t>3、本合同价为固定不变价。</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第五条 服务期限及地点</w:t>
      </w:r>
    </w:p>
    <w:p>
      <w:pPr>
        <w:ind w:firstLine="495" w:firstLineChars="236"/>
        <w:rPr>
          <w:rFonts w:ascii="宋体" w:hAnsi="宋体" w:cs="宋体"/>
          <w:color w:val="auto"/>
          <w:szCs w:val="21"/>
          <w:highlight w:val="none"/>
        </w:rPr>
      </w:pPr>
      <w:r>
        <w:rPr>
          <w:rFonts w:hint="eastAsia" w:ascii="宋体" w:hAnsi="宋体" w:cs="宋体"/>
          <w:color w:val="auto"/>
          <w:szCs w:val="21"/>
          <w:highlight w:val="none"/>
        </w:rPr>
        <w:t>1、服务期：  年，合同生效之日自       年  月  日至     年  月  日止。</w:t>
      </w:r>
    </w:p>
    <w:p>
      <w:pPr>
        <w:ind w:firstLine="495" w:firstLineChars="236"/>
        <w:rPr>
          <w:rFonts w:ascii="宋体" w:hAnsi="宋体" w:cs="宋体"/>
          <w:color w:val="auto"/>
          <w:szCs w:val="21"/>
          <w:highlight w:val="none"/>
        </w:rPr>
      </w:pPr>
      <w:r>
        <w:rPr>
          <w:rFonts w:hint="eastAsia" w:ascii="宋体" w:hAnsi="宋体" w:cs="宋体"/>
          <w:color w:val="auto"/>
          <w:szCs w:val="21"/>
          <w:highlight w:val="none"/>
        </w:rPr>
        <w:t>2、服务地点：              或甲方指定地点。</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第六条 付款方式</w:t>
      </w:r>
    </w:p>
    <w:p>
      <w:pPr>
        <w:pStyle w:val="21"/>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第七条 竣工与验收</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1、验收应在甲乙双方共同参加下进行，依据采购文件及本合同的有关规定制定的方案进行验收，并按国家有关规定、规范进行。</w:t>
      </w:r>
    </w:p>
    <w:p>
      <w:pPr>
        <w:pStyle w:val="21"/>
        <w:ind w:firstLine="480"/>
        <w:rPr>
          <w:rFonts w:ascii="宋体" w:hAnsi="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cs="Times New Roman"/>
          <w:color w:val="auto"/>
          <w:sz w:val="21"/>
          <w:szCs w:val="21"/>
          <w:highlight w:val="none"/>
        </w:rPr>
        <w:t>与验收。</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3、对验收不合格的部分，乙方应在甲方规定时间内及时整改完善直至合格。</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4、乙方保证向甲方提供的所有设计文件均自主设计的，不存在知识产权方面的纠纷。</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5、乙方的设计文件应达到一定的高度、深度和广度，应严格按照采购文件的内容、规模和要求进行设计。设计中必须贯彻 “完整性、统一性、先进性”和“经济、高效、安全”的基本原则，同时应充分考虑智慧道路路网的整体智慧需求及前沿技术的应用。</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6、设计中引用、套用国家和部颁相关专业的设计规范、标准及新的相关专业的技术标准和要求时，应准确引用和套用。</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7、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8、乙方的设计文件应对施工中的安全注意事项进行说明。</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9、乙方的设计文件的编印应符合规范化、标准化的要求，包括：设计说明书页张篇幅及各号图纸大小篇幅应符合国家标准规定尺寸；设计文件册的封面必须能表示出工程设计项目的全名、分册编号及工程名称。设计文件的分册由甲乙双方协商后决定。</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10、乙方设计文件的编制和装订应利于甲方归档保存及保养。</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11、接到设计任务后，按合同要求工期完成初步设计及施工图设计,并通过甲方审核确认。</w:t>
      </w:r>
    </w:p>
    <w:p>
      <w:pPr>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第八条 税和关税</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1、中国政府根据现行税法对甲方征收的与本合同有关的一切税费均应由甲方承担。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2、中国政府根据现行税法规定对乙方或其雇员征收的与本合同有关的一切税费应由乙方承担。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3、在中国境外发生的与本合同执行有关的一切税费均应由乙方承担。</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第九条 其它约定</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1、严禁转包，未经甲方书面同意不得分包。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2、乙方全部工作人员，须符合东莞市政府用工标准要求。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3、乙方服务人员进行服务期间的过失或故意行为，造成甲方经济损失的，由乙方负责赔偿。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第十条 违约责任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1、合同双方任何一方不履行合同条款或不按合同约定履行条款的其它情况，均属违约，由违约方承担违约责任，赔偿因其违约造成的损失，并支付合同价款总额   %的违约金。</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2、由于乙方的原因，导致双方签订的合同终止，乙方因此而遭受的损失，将由乙方独立承担，甲方对此不负任何责任，也不作任何赔偿。</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4、本合同按照中华人民共和国的法律进行解释。</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第十二条 合同生效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2、本合同一式    份，其中甲方    份、乙方    份，采购代理机构 壹 份（须在合同签订之日起7个工作日内递交）。</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第十三条 其它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1、本合同未尽事宜，双方可签订补充合同，补充合同与所有附件均为合同的有效组成部分，与本合同具有同等法律效力。</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本合同合计   页A4纸张，缺页之合同为无效合同。</w:t>
      </w:r>
    </w:p>
    <w:p>
      <w:pPr>
        <w:pStyle w:val="7"/>
        <w:ind w:firstLine="420" w:firstLineChars="200"/>
        <w:rPr>
          <w:color w:val="auto"/>
          <w:sz w:val="21"/>
          <w:szCs w:val="21"/>
          <w:highlight w:val="none"/>
        </w:rPr>
      </w:pPr>
      <w:r>
        <w:rPr>
          <w:rFonts w:hint="eastAsia"/>
          <w:color w:val="auto"/>
          <w:sz w:val="21"/>
          <w:szCs w:val="21"/>
          <w:highlight w:val="none"/>
        </w:rPr>
        <w:t>以下无正文</w:t>
      </w:r>
    </w:p>
    <w:p>
      <w:pPr>
        <w:rPr>
          <w:rFonts w:ascii="宋体" w:hAnsi="宋体" w:cs="宋体"/>
          <w:color w:val="auto"/>
          <w:szCs w:val="21"/>
          <w:highlight w:val="none"/>
        </w:rPr>
      </w:pPr>
      <w:r>
        <w:rPr>
          <w:rFonts w:hint="eastAsia" w:ascii="宋体" w:hAnsi="宋体" w:cs="宋体"/>
          <w:color w:val="auto"/>
          <w:szCs w:val="21"/>
          <w:highlight w:val="none"/>
        </w:rPr>
        <w:t>甲方（盖章）：                      乙方（盖章）：</w:t>
      </w:r>
    </w:p>
    <w:p>
      <w:pPr>
        <w:rPr>
          <w:rFonts w:ascii="宋体" w:hAnsi="宋体" w:cs="宋体"/>
          <w:color w:val="auto"/>
          <w:szCs w:val="21"/>
          <w:highlight w:val="none"/>
        </w:rPr>
      </w:pPr>
      <w:r>
        <w:rPr>
          <w:rFonts w:hint="eastAsia" w:ascii="宋体" w:hAnsi="宋体" w:cs="宋体"/>
          <w:color w:val="auto"/>
          <w:szCs w:val="21"/>
          <w:highlight w:val="none"/>
        </w:rPr>
        <w:t>法定代表(签字)：                   法定代表(签字)：</w:t>
      </w:r>
    </w:p>
    <w:p>
      <w:pPr>
        <w:rPr>
          <w:rFonts w:ascii="宋体" w:hAnsi="宋体" w:cs="宋体"/>
          <w:color w:val="auto"/>
          <w:szCs w:val="21"/>
          <w:highlight w:val="none"/>
        </w:rPr>
      </w:pPr>
      <w:r>
        <w:rPr>
          <w:rFonts w:hint="eastAsia" w:ascii="宋体" w:hAnsi="宋体" w:cs="宋体"/>
          <w:color w:val="auto"/>
          <w:szCs w:val="21"/>
          <w:highlight w:val="none"/>
        </w:rPr>
        <w:t xml:space="preserve">地址：                             地址： </w:t>
      </w:r>
    </w:p>
    <w:p>
      <w:pPr>
        <w:rPr>
          <w:rFonts w:ascii="宋体" w:hAnsi="宋体" w:cs="宋体"/>
          <w:color w:val="auto"/>
          <w:szCs w:val="21"/>
          <w:highlight w:val="none"/>
        </w:rPr>
      </w:pPr>
      <w:r>
        <w:rPr>
          <w:rFonts w:hint="eastAsia" w:ascii="宋体" w:hAnsi="宋体" w:cs="宋体"/>
          <w:color w:val="auto"/>
          <w:szCs w:val="21"/>
          <w:highlight w:val="none"/>
        </w:rPr>
        <w:t>电话：                             电话：</w:t>
      </w:r>
    </w:p>
    <w:p>
      <w:pPr>
        <w:rPr>
          <w:rFonts w:ascii="宋体" w:hAnsi="宋体" w:cs="宋体"/>
          <w:color w:val="auto"/>
          <w:szCs w:val="21"/>
          <w:highlight w:val="none"/>
        </w:rPr>
      </w:pPr>
      <w:r>
        <w:rPr>
          <w:rFonts w:hint="eastAsia" w:ascii="宋体" w:hAnsi="宋体" w:cs="宋体"/>
          <w:color w:val="auto"/>
          <w:szCs w:val="21"/>
          <w:highlight w:val="none"/>
        </w:rPr>
        <w:t>传真：</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 xml:space="preserve"> 传真：</w:t>
      </w:r>
    </w:p>
    <w:p>
      <w:pPr>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rPr>
        <w:tab/>
      </w:r>
      <w:r>
        <w:rPr>
          <w:rFonts w:hint="eastAsia" w:ascii="宋体" w:hAnsi="宋体" w:cs="宋体"/>
          <w:color w:val="auto"/>
          <w:szCs w:val="21"/>
          <w:highlight w:val="none"/>
        </w:rPr>
        <w:t xml:space="preserve">                     开户银行：</w:t>
      </w:r>
    </w:p>
    <w:p>
      <w:pPr>
        <w:rPr>
          <w:rFonts w:ascii="宋体" w:hAnsi="宋体" w:cs="宋体"/>
          <w:color w:val="auto"/>
          <w:szCs w:val="21"/>
          <w:highlight w:val="none"/>
        </w:rPr>
      </w:pPr>
      <w:r>
        <w:rPr>
          <w:rFonts w:hint="eastAsia" w:ascii="宋体" w:hAnsi="宋体" w:cs="宋体"/>
          <w:color w:val="auto"/>
          <w:szCs w:val="21"/>
          <w:highlight w:val="none"/>
        </w:rPr>
        <w:t>账号：                             账号：</w:t>
      </w:r>
    </w:p>
    <w:p>
      <w:pPr>
        <w:rPr>
          <w:rFonts w:ascii="宋体" w:hAnsi="宋体" w:cs="宋体"/>
          <w:color w:val="auto"/>
          <w:szCs w:val="21"/>
          <w:highlight w:val="none"/>
        </w:rPr>
      </w:pPr>
      <w:r>
        <w:rPr>
          <w:rFonts w:hint="eastAsia" w:ascii="宋体" w:hAnsi="宋体" w:cs="宋体"/>
          <w:color w:val="auto"/>
          <w:szCs w:val="21"/>
          <w:highlight w:val="none"/>
        </w:rPr>
        <w:t>签约时间：</w:t>
      </w:r>
    </w:p>
    <w:p>
      <w:pPr>
        <w:rPr>
          <w:rFonts w:ascii="宋体" w:hAnsi="宋体" w:cs="宋体"/>
          <w:color w:val="auto"/>
          <w:szCs w:val="21"/>
          <w:highlight w:val="none"/>
        </w:rPr>
      </w:pPr>
      <w:r>
        <w:rPr>
          <w:rFonts w:hint="eastAsia" w:ascii="宋体" w:hAnsi="宋体" w:cs="宋体"/>
          <w:color w:val="auto"/>
          <w:szCs w:val="21"/>
          <w:highlight w:val="none"/>
        </w:rPr>
        <w:t>签约地点：</w:t>
      </w:r>
    </w:p>
    <w:p>
      <w:pPr>
        <w:rPr>
          <w:rFonts w:ascii="宋体" w:hAnsi="宋体"/>
          <w:b/>
          <w:color w:val="auto"/>
          <w:szCs w:val="21"/>
          <w:highlight w:val="none"/>
        </w:rPr>
      </w:pPr>
    </w:p>
    <w:p>
      <w:pPr>
        <w:rPr>
          <w:rFonts w:ascii="宋体" w:hAnsi="宋体"/>
          <w:b/>
          <w:color w:val="auto"/>
          <w:szCs w:val="21"/>
          <w:highlight w:val="none"/>
        </w:rPr>
      </w:pPr>
      <w:r>
        <w:rPr>
          <w:rFonts w:hint="eastAsia" w:ascii="宋体" w:hAnsi="宋体"/>
          <w:b/>
          <w:color w:val="auto"/>
          <w:szCs w:val="21"/>
          <w:highlight w:val="none"/>
        </w:rPr>
        <w:t>此仅为合同书样本，成交供应商需根据实际情况和甲方签订相应的合同！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217" w:name="_Toc23749"/>
      <w:bookmarkStart w:id="218" w:name="_Toc15158"/>
      <w:bookmarkStart w:id="219" w:name="_Toc31587"/>
      <w:r>
        <w:rPr>
          <w:rFonts w:hint="eastAsia"/>
          <w:color w:val="auto"/>
          <w:sz w:val="28"/>
          <w:szCs w:val="28"/>
          <w:highlight w:val="none"/>
        </w:rPr>
        <w:t>第七部分  响应文件格式</w:t>
      </w:r>
      <w:bookmarkEnd w:id="217"/>
      <w:bookmarkEnd w:id="218"/>
      <w:bookmarkEnd w:id="219"/>
    </w:p>
    <w:p>
      <w:pPr>
        <w:rPr>
          <w:color w:val="auto"/>
          <w:highlight w:val="none"/>
        </w:rPr>
      </w:pPr>
    </w:p>
    <w:p>
      <w:pPr>
        <w:pStyle w:val="4"/>
        <w:rPr>
          <w:color w:val="auto"/>
          <w:highlight w:val="none"/>
        </w:rPr>
      </w:pPr>
      <w:bookmarkStart w:id="220" w:name="_Toc6790"/>
      <w:bookmarkStart w:id="221" w:name="_Toc26830"/>
      <w:bookmarkStart w:id="222" w:name="_Toc2434"/>
      <w:r>
        <w:rPr>
          <w:rFonts w:hint="eastAsia"/>
          <w:color w:val="auto"/>
          <w:highlight w:val="none"/>
        </w:rPr>
        <w:t>响应文件目录</w:t>
      </w:r>
      <w:bookmarkEnd w:id="220"/>
      <w:bookmarkEnd w:id="221"/>
      <w:bookmarkEnd w:id="222"/>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23" w:name="_Toc18893"/>
      <w:bookmarkStart w:id="224" w:name="_Toc25502"/>
      <w:bookmarkStart w:id="225" w:name="_Toc28116"/>
      <w:r>
        <w:rPr>
          <w:rFonts w:hint="eastAsia"/>
          <w:color w:val="auto"/>
          <w:highlight w:val="none"/>
        </w:rPr>
        <w:t>评分标准索引表</w:t>
      </w:r>
      <w:bookmarkEnd w:id="223"/>
      <w:bookmarkEnd w:id="224"/>
      <w:bookmarkEnd w:id="225"/>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0"/>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color w:val="auto"/>
                <w:szCs w:val="21"/>
                <w:highlight w:val="none"/>
              </w:rPr>
            </w:pPr>
          </w:p>
        </w:tc>
        <w:tc>
          <w:tcPr>
            <w:tcW w:w="5028" w:type="dxa"/>
            <w:vAlign w:val="center"/>
          </w:tcPr>
          <w:p>
            <w:pPr>
              <w:pStyle w:val="30"/>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22"/>
        </w:numPr>
        <w:rPr>
          <w:rFonts w:ascii="宋体" w:hAnsi="宋体"/>
          <w:color w:val="auto"/>
          <w:szCs w:val="21"/>
          <w:highlight w:val="none"/>
        </w:rPr>
      </w:pPr>
      <w:r>
        <w:rPr>
          <w:rFonts w:hint="eastAsia" w:ascii="宋体" w:hAnsi="宋体"/>
          <w:color w:val="auto"/>
          <w:szCs w:val="21"/>
          <w:highlight w:val="none"/>
        </w:rPr>
        <w:t>该表格为参考格式，供应商可按实际情况自行制订评分标准索引表。</w:t>
      </w:r>
    </w:p>
    <w:p>
      <w:pPr>
        <w:pStyle w:val="7"/>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26" w:name="_Toc22080"/>
      <w:bookmarkStart w:id="227" w:name="_Toc19057"/>
      <w:bookmarkStart w:id="228" w:name="_Toc30640"/>
      <w:r>
        <w:rPr>
          <w:rFonts w:hint="eastAsia"/>
          <w:color w:val="auto"/>
          <w:highlight w:val="none"/>
        </w:rPr>
        <w:t>第一章价格文件</w:t>
      </w:r>
      <w:bookmarkEnd w:id="226"/>
      <w:bookmarkEnd w:id="227"/>
    </w:p>
    <w:p>
      <w:pPr>
        <w:pStyle w:val="4"/>
        <w:jc w:val="center"/>
        <w:rPr>
          <w:color w:val="auto"/>
          <w:highlight w:val="none"/>
        </w:rPr>
      </w:pPr>
      <w:bookmarkStart w:id="229" w:name="_Toc29262"/>
      <w:bookmarkStart w:id="230" w:name="_Toc4168"/>
      <w:r>
        <w:rPr>
          <w:rFonts w:hint="eastAsia"/>
          <w:color w:val="auto"/>
          <w:highlight w:val="none"/>
        </w:rPr>
        <w:t>一、报价一览表</w:t>
      </w:r>
      <w:bookmarkEnd w:id="229"/>
      <w:bookmarkEnd w:id="230"/>
    </w:p>
    <w:p>
      <w:pPr>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响应总价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供应商代表签字：</w:t>
      </w:r>
    </w:p>
    <w:p>
      <w:pPr>
        <w:ind w:firstLine="359" w:firstLineChars="171"/>
        <w:rPr>
          <w:rFonts w:ascii="宋体" w:hAnsi="宋体"/>
          <w:color w:val="auto"/>
          <w:szCs w:val="21"/>
          <w:highlight w:val="none"/>
        </w:rPr>
      </w:pPr>
      <w:r>
        <w:rPr>
          <w:rFonts w:hint="eastAsia" w:ascii="宋体" w:hAnsi="宋体"/>
          <w:color w:val="auto"/>
          <w:szCs w:val="21"/>
          <w:highlight w:val="none"/>
        </w:rPr>
        <w:t>供应商盖章：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注：1、响应总价栏须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w:t>
      </w:r>
      <w:r>
        <w:rPr>
          <w:rFonts w:hint="eastAsia" w:ascii="宋体" w:hAnsi="宋体"/>
          <w:color w:val="auto"/>
          <w:szCs w:val="21"/>
          <w:highlight w:val="none"/>
        </w:rPr>
        <w:t>响应</w:t>
      </w:r>
      <w:r>
        <w:rPr>
          <w:rFonts w:ascii="宋体" w:hAnsi="宋体"/>
          <w:color w:val="auto"/>
          <w:szCs w:val="21"/>
          <w:highlight w:val="none"/>
        </w:rPr>
        <w:t>总价</w:t>
      </w:r>
      <w:r>
        <w:rPr>
          <w:rFonts w:hint="eastAsia" w:ascii="宋体" w:hAnsi="宋体"/>
          <w:color w:val="auto"/>
          <w:szCs w:val="21"/>
          <w:highlight w:val="none"/>
        </w:rPr>
        <w:t>，报价保留小数点后两位。响应总价大小写不一致，以大写为准。响应总价必须准确唯一且应包含磋商文件要求的所有费用。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2、此表应按供应商须知的规定密封标记并与《授权委托书》一同密封单独提交。</w:t>
      </w:r>
    </w:p>
    <w:p>
      <w:pPr>
        <w:rPr>
          <w:color w:val="auto"/>
          <w:highlight w:val="none"/>
        </w:rPr>
      </w:pPr>
    </w:p>
    <w:p>
      <w:pPr>
        <w:pStyle w:val="7"/>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pStyle w:val="8"/>
        <w:ind w:firstLine="240"/>
        <w:rPr>
          <w:color w:val="auto"/>
          <w:highlight w:val="none"/>
        </w:rPr>
      </w:pPr>
    </w:p>
    <w:p>
      <w:pPr>
        <w:rPr>
          <w:color w:val="auto"/>
          <w:highlight w:val="none"/>
        </w:rPr>
      </w:pPr>
    </w:p>
    <w:p>
      <w:pPr>
        <w:pStyle w:val="4"/>
        <w:jc w:val="center"/>
        <w:rPr>
          <w:color w:val="auto"/>
          <w:highlight w:val="none"/>
        </w:rPr>
      </w:pPr>
      <w:bookmarkStart w:id="231" w:name="_Toc29258"/>
      <w:bookmarkStart w:id="232" w:name="_Toc31062"/>
      <w:r>
        <w:rPr>
          <w:rFonts w:hint="eastAsia"/>
          <w:color w:val="auto"/>
          <w:highlight w:val="none"/>
        </w:rPr>
        <w:t>二、报价明细表</w:t>
      </w:r>
      <w:bookmarkEnd w:id="231"/>
      <w:bookmarkEnd w:id="232"/>
    </w:p>
    <w:p>
      <w:pPr>
        <w:pStyle w:val="30"/>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0"/>
        <w:rPr>
          <w:rFonts w:ascii="黑体" w:eastAsia="黑体"/>
          <w:color w:val="auto"/>
          <w:sz w:val="32"/>
          <w:szCs w:val="32"/>
          <w:highlight w:val="none"/>
        </w:rPr>
      </w:pPr>
    </w:p>
    <w:p>
      <w:pPr>
        <w:pStyle w:val="30"/>
        <w:rPr>
          <w:rFonts w:ascii="黑体" w:eastAsia="黑体"/>
          <w:color w:val="auto"/>
          <w:sz w:val="32"/>
          <w:szCs w:val="32"/>
          <w:highlight w:val="none"/>
        </w:rPr>
      </w:pPr>
    </w:p>
    <w:p>
      <w:pPr>
        <w:pStyle w:val="4"/>
        <w:jc w:val="center"/>
        <w:rPr>
          <w:color w:val="auto"/>
          <w:highlight w:val="none"/>
        </w:rPr>
      </w:pPr>
      <w:bookmarkStart w:id="233" w:name="_Toc20974"/>
      <w:bookmarkStart w:id="234" w:name="_Toc14734"/>
      <w:r>
        <w:rPr>
          <w:rFonts w:hint="eastAsia"/>
          <w:color w:val="auto"/>
          <w:highlight w:val="none"/>
        </w:rPr>
        <w:t>三、小型或微型企业（货物/服务/承担的工程）明细表</w:t>
      </w:r>
      <w:bookmarkEnd w:id="233"/>
      <w:bookmarkEnd w:id="234"/>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pStyle w:val="33"/>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pPr>
        <w:pStyle w:val="33"/>
        <w:ind w:firstLine="422"/>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应该如实填写，如</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35" w:name="_Toc17483"/>
      <w:bookmarkStart w:id="236" w:name="_Toc16718"/>
      <w:r>
        <w:rPr>
          <w:rFonts w:hint="eastAsia"/>
          <w:color w:val="auto"/>
          <w:highlight w:val="none"/>
        </w:rPr>
        <w:t>四、节能产品或环境标志产品明细表</w:t>
      </w:r>
      <w:bookmarkEnd w:id="235"/>
      <w:bookmarkEnd w:id="236"/>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0"/>
        <w:rPr>
          <w:color w:val="auto"/>
          <w:highlight w:val="none"/>
        </w:rPr>
      </w:pPr>
    </w:p>
    <w:p>
      <w:pPr>
        <w:tabs>
          <w:tab w:val="left" w:pos="284"/>
        </w:tabs>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tabs>
          <w:tab w:val="left" w:pos="284"/>
        </w:tabs>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应该如实填写，如</w:t>
      </w:r>
      <w:r>
        <w:rPr>
          <w:rStyle w:val="43"/>
          <w:rFonts w:hint="eastAsia" w:ascii="宋体" w:hAnsi="宋体" w:cs="宋体"/>
          <w:b/>
          <w:color w:val="auto"/>
          <w:sz w:val="21"/>
          <w:szCs w:val="21"/>
          <w:highlight w:val="none"/>
        </w:rPr>
        <w:t>供应商</w:t>
      </w:r>
      <w:r>
        <w:rPr>
          <w:rStyle w:val="43"/>
          <w:rFonts w:hint="eastAsia" w:ascii="宋体" w:hAnsi="宋体" w:eastAsia="宋体" w:cs="宋体"/>
          <w:b/>
          <w:color w:val="auto"/>
          <w:sz w:val="21"/>
          <w:szCs w:val="21"/>
          <w:highlight w:val="none"/>
        </w:rPr>
        <w:t>所投产品中无节能或环保产品的，请留空或删除此表！</w:t>
      </w:r>
    </w:p>
    <w:p>
      <w:pPr>
        <w:pStyle w:val="4"/>
        <w:jc w:val="center"/>
        <w:rPr>
          <w:color w:val="auto"/>
          <w:highlight w:val="none"/>
        </w:rPr>
      </w:pPr>
      <w:bookmarkStart w:id="237" w:name="_Toc10853"/>
      <w:bookmarkStart w:id="238" w:name="_Toc8170"/>
      <w:r>
        <w:rPr>
          <w:rFonts w:hint="eastAsia"/>
          <w:color w:val="auto"/>
          <w:highlight w:val="none"/>
        </w:rPr>
        <w:t>五、中小企业声明函</w:t>
      </w:r>
      <w:bookmarkEnd w:id="237"/>
      <w:bookmarkEnd w:id="238"/>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注：若供应商不属于规定的中小企业范围，或提供的产品不是中小企业制造的，则无需提供此表。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注：若供应商不属于规定的中小企业范围，或提供的产品不是中小企业制造的，则无需提供此表。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供应商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供应商应该在《报价明细表》中单独列明属于小型和微型企业产品（货物、承担的工程或者服务）的报价，若供应商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39" w:name="_Toc8560"/>
      <w:bookmarkStart w:id="240" w:name="_Toc312"/>
      <w:r>
        <w:rPr>
          <w:rFonts w:hint="eastAsia"/>
          <w:color w:val="auto"/>
          <w:highlight w:val="none"/>
        </w:rPr>
        <w:t>六、残疾人福利性单位声明函</w:t>
      </w:r>
      <w:bookmarkEnd w:id="239"/>
      <w:bookmarkEnd w:id="240"/>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41" w:name="_Toc30247"/>
      <w:bookmarkStart w:id="242" w:name="_Toc508960153"/>
      <w:bookmarkStart w:id="243" w:name="_Toc509927455"/>
      <w:bookmarkStart w:id="244" w:name="_Toc30277"/>
      <w:bookmarkStart w:id="245" w:name="_Toc509844825"/>
      <w:bookmarkStart w:id="246" w:name="_Toc510171693"/>
      <w:bookmarkStart w:id="247" w:name="_Toc22970"/>
      <w:bookmarkStart w:id="248" w:name="_Toc20910"/>
      <w:bookmarkStart w:id="249" w:name="_Toc509479530"/>
      <w:bookmarkStart w:id="250" w:name="_Toc17761"/>
      <w:bookmarkStart w:id="251" w:name="_Toc508898066"/>
      <w:bookmarkStart w:id="252" w:name="_Toc508958703"/>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41"/>
      <w:bookmarkEnd w:id="242"/>
      <w:bookmarkEnd w:id="243"/>
      <w:bookmarkEnd w:id="244"/>
      <w:bookmarkEnd w:id="245"/>
      <w:bookmarkEnd w:id="246"/>
      <w:bookmarkEnd w:id="247"/>
      <w:bookmarkEnd w:id="248"/>
      <w:bookmarkEnd w:id="249"/>
      <w:bookmarkEnd w:id="250"/>
      <w:bookmarkEnd w:id="251"/>
      <w:bookmarkEnd w:id="252"/>
    </w:p>
    <w:p>
      <w:pPr>
        <w:pStyle w:val="7"/>
        <w:rPr>
          <w:color w:val="auto"/>
          <w:highlight w:val="none"/>
        </w:rPr>
      </w:pPr>
    </w:p>
    <w:p>
      <w:pPr>
        <w:ind w:firstLine="420" w:firstLineChars="200"/>
        <w:rPr>
          <w:rFonts w:ascii="宋体" w:hAnsi="宋体"/>
          <w:color w:val="auto"/>
          <w:szCs w:val="21"/>
          <w:highlight w:val="none"/>
        </w:rPr>
      </w:pPr>
      <w:bookmarkStart w:id="253" w:name="_Toc31520"/>
      <w:bookmarkStart w:id="254" w:name="_Toc508958704"/>
      <w:bookmarkStart w:id="255" w:name="_Toc510171694"/>
      <w:bookmarkStart w:id="256" w:name="_Toc509479531"/>
      <w:bookmarkStart w:id="257" w:name="_Toc26216"/>
      <w:bookmarkStart w:id="258" w:name="_Toc509927456"/>
      <w:bookmarkStart w:id="259" w:name="_Toc509844826"/>
      <w:bookmarkStart w:id="260" w:name="_Toc5447"/>
      <w:bookmarkStart w:id="261" w:name="_Toc21053"/>
      <w:bookmarkStart w:id="262" w:name="_Toc28527"/>
      <w:bookmarkStart w:id="263" w:name="_Toc508898067"/>
      <w:bookmarkStart w:id="264" w:name="_Toc508960154"/>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53"/>
      <w:bookmarkEnd w:id="254"/>
      <w:bookmarkEnd w:id="255"/>
      <w:bookmarkEnd w:id="256"/>
      <w:bookmarkEnd w:id="257"/>
      <w:bookmarkEnd w:id="258"/>
      <w:bookmarkEnd w:id="259"/>
      <w:bookmarkEnd w:id="260"/>
      <w:bookmarkEnd w:id="261"/>
      <w:bookmarkEnd w:id="262"/>
      <w:bookmarkEnd w:id="263"/>
      <w:bookmarkEnd w:id="264"/>
    </w:p>
    <w:p>
      <w:pPr>
        <w:ind w:firstLine="420" w:firstLineChars="200"/>
        <w:rPr>
          <w:rFonts w:ascii="宋体" w:hAnsi="宋体"/>
          <w:color w:val="auto"/>
          <w:szCs w:val="21"/>
          <w:highlight w:val="none"/>
        </w:rPr>
      </w:pPr>
      <w:bookmarkStart w:id="265" w:name="_Toc9148"/>
      <w:bookmarkStart w:id="266" w:name="_Toc24848"/>
      <w:bookmarkStart w:id="267" w:name="_Toc509844827"/>
      <w:bookmarkStart w:id="268" w:name="_Toc510171695"/>
      <w:bookmarkStart w:id="269" w:name="_Toc508960155"/>
      <w:bookmarkStart w:id="270" w:name="_Toc509927457"/>
      <w:bookmarkStart w:id="271" w:name="_Toc508898068"/>
      <w:bookmarkStart w:id="272" w:name="_Toc28126"/>
      <w:bookmarkStart w:id="273" w:name="_Toc508958705"/>
      <w:bookmarkStart w:id="274" w:name="_Toc509479532"/>
      <w:bookmarkStart w:id="275" w:name="_Toc28626"/>
      <w:bookmarkStart w:id="276" w:name="_Toc14653"/>
      <w:r>
        <w:rPr>
          <w:rFonts w:hint="eastAsia" w:ascii="宋体" w:hAnsi="宋体"/>
          <w:color w:val="auto"/>
          <w:szCs w:val="21"/>
          <w:highlight w:val="none"/>
        </w:rPr>
        <w:t>（2）成交人为残疾人福利性单位的，采购代理机构将随中标结果同时公告其《残疾人福利性单位声明函》，接受社会监督。</w:t>
      </w:r>
      <w:bookmarkEnd w:id="265"/>
      <w:bookmarkEnd w:id="266"/>
      <w:bookmarkEnd w:id="267"/>
      <w:bookmarkEnd w:id="268"/>
      <w:bookmarkEnd w:id="269"/>
      <w:bookmarkEnd w:id="270"/>
      <w:bookmarkEnd w:id="271"/>
      <w:bookmarkEnd w:id="272"/>
      <w:bookmarkEnd w:id="273"/>
      <w:bookmarkEnd w:id="274"/>
      <w:bookmarkEnd w:id="275"/>
      <w:bookmarkEnd w:id="276"/>
    </w:p>
    <w:p>
      <w:pPr>
        <w:ind w:firstLine="420" w:firstLineChars="200"/>
        <w:rPr>
          <w:rFonts w:ascii="宋体" w:hAnsi="宋体"/>
          <w:color w:val="auto"/>
          <w:szCs w:val="21"/>
          <w:highlight w:val="none"/>
        </w:rPr>
      </w:pPr>
      <w:bookmarkStart w:id="277" w:name="_Toc508960156"/>
      <w:bookmarkStart w:id="278" w:name="_Toc7858"/>
      <w:bookmarkStart w:id="279" w:name="_Toc508958706"/>
      <w:bookmarkStart w:id="280" w:name="_Toc509844828"/>
      <w:bookmarkStart w:id="281" w:name="_Toc22981"/>
      <w:bookmarkStart w:id="282" w:name="_Toc510171696"/>
      <w:bookmarkStart w:id="283" w:name="_Toc509479533"/>
      <w:bookmarkStart w:id="284" w:name="_Toc9837"/>
      <w:bookmarkStart w:id="285" w:name="_Toc28686"/>
      <w:bookmarkStart w:id="286" w:name="_Toc509927458"/>
      <w:bookmarkStart w:id="287" w:name="_Toc508898069"/>
      <w:bookmarkStart w:id="288" w:name="_Toc28044"/>
      <w:r>
        <w:rPr>
          <w:rFonts w:hint="eastAsia" w:ascii="宋体" w:hAnsi="宋体"/>
          <w:color w:val="auto"/>
          <w:szCs w:val="21"/>
          <w:highlight w:val="none"/>
        </w:rPr>
        <w:t>（3）供应商提供的《残疾人福利性单位声明函》与事实不符的，依照《政府采购法》第七十七条第一款的规定追究法律责任。</w:t>
      </w:r>
      <w:bookmarkEnd w:id="277"/>
      <w:bookmarkEnd w:id="278"/>
      <w:bookmarkEnd w:id="279"/>
      <w:bookmarkEnd w:id="280"/>
      <w:bookmarkEnd w:id="281"/>
      <w:bookmarkEnd w:id="282"/>
      <w:bookmarkEnd w:id="283"/>
      <w:bookmarkEnd w:id="284"/>
      <w:bookmarkEnd w:id="285"/>
      <w:bookmarkEnd w:id="286"/>
      <w:bookmarkEnd w:id="287"/>
      <w:bookmarkEnd w:id="288"/>
    </w:p>
    <w:p>
      <w:pPr>
        <w:ind w:firstLine="420" w:firstLineChars="200"/>
        <w:rPr>
          <w:rFonts w:ascii="宋体" w:hAnsi="宋体"/>
          <w:color w:val="auto"/>
          <w:szCs w:val="21"/>
          <w:highlight w:val="none"/>
        </w:rPr>
      </w:pPr>
      <w:bookmarkStart w:id="289" w:name="_Toc509927459"/>
      <w:bookmarkStart w:id="290" w:name="_Toc510171697"/>
      <w:bookmarkStart w:id="291" w:name="_Toc508898070"/>
      <w:bookmarkStart w:id="292" w:name="_Toc508960157"/>
      <w:bookmarkStart w:id="293" w:name="_Toc18843"/>
      <w:bookmarkStart w:id="294" w:name="_Toc5289"/>
      <w:bookmarkStart w:id="295" w:name="_Toc508958707"/>
      <w:bookmarkStart w:id="296" w:name="_Toc509844829"/>
      <w:bookmarkStart w:id="297" w:name="_Toc509479534"/>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89"/>
      <w:bookmarkEnd w:id="290"/>
      <w:bookmarkEnd w:id="291"/>
      <w:bookmarkEnd w:id="292"/>
      <w:bookmarkEnd w:id="293"/>
      <w:bookmarkEnd w:id="294"/>
      <w:bookmarkEnd w:id="295"/>
      <w:bookmarkEnd w:id="296"/>
      <w:bookmarkEnd w:id="297"/>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（5）若供应商不属于规定的残疾人福利性单位，或提供的产品不是残疾人福利单位制造的，则无需提供此表。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98" w:name="_Toc2486"/>
      <w:bookmarkStart w:id="299" w:name="_Toc23948"/>
      <w:r>
        <w:rPr>
          <w:rFonts w:hint="eastAsia"/>
          <w:color w:val="auto"/>
          <w:highlight w:val="none"/>
        </w:rPr>
        <w:t>第二章商务文件</w:t>
      </w:r>
      <w:bookmarkEnd w:id="298"/>
      <w:bookmarkEnd w:id="299"/>
    </w:p>
    <w:bookmarkEnd w:id="228"/>
    <w:p>
      <w:pPr>
        <w:pStyle w:val="4"/>
        <w:jc w:val="center"/>
        <w:rPr>
          <w:color w:val="auto"/>
          <w:highlight w:val="none"/>
        </w:rPr>
      </w:pPr>
      <w:bookmarkStart w:id="300" w:name="_Toc23787"/>
      <w:bookmarkStart w:id="301" w:name="_Toc4151"/>
      <w:r>
        <w:rPr>
          <w:rFonts w:hint="eastAsia"/>
          <w:color w:val="auto"/>
          <w:highlight w:val="none"/>
        </w:rPr>
        <w:t>一、响应函</w:t>
      </w:r>
      <w:bookmarkEnd w:id="300"/>
      <w:bookmarkEnd w:id="301"/>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经正式授权并代表供应商</w:t>
      </w:r>
      <w:r>
        <w:rPr>
          <w:rFonts w:hint="eastAsia" w:ascii="宋体" w:hAnsi="宋体"/>
          <w:color w:val="auto"/>
          <w:szCs w:val="21"/>
          <w:highlight w:val="none"/>
          <w:u w:val="single"/>
        </w:rPr>
        <w:t>（供应商名称、地址）</w:t>
      </w:r>
      <w:r>
        <w:rPr>
          <w:rFonts w:hint="eastAsia" w:ascii="宋体" w:cs="宋体"/>
          <w:color w:val="auto"/>
          <w:sz w:val="22"/>
          <w:highlight w:val="none"/>
        </w:rPr>
        <w:t>进行有关本次磋商的一切事宜。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在此提交的响应文件，正本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套，报价信封及电子文件各1份。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完全明白磋商文件的所有条款要求，并重申以下几点：</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我方将按磋商文件的规定履行合同责任和义务。 </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本响应有效期为自开标日起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本公司同意按照贵公司可能提出的要求而提供与磋商有关的任何其它数据、信息或资料。</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本公司如果中标，将保证履行磋商文件及其澄清、修改文件（如果有）中的全部责任和义务，按质、按量、按期完成《采购需求书》及《合同书》中的全部任务。</w:t>
      </w:r>
    </w:p>
    <w:p>
      <w:pPr>
        <w:widowControl w:val="0"/>
        <w:numPr>
          <w:ilvl w:val="0"/>
          <w:numId w:val="2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与本磋商有关的一切正式信函请寄：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供应商代表签字：                    </w:t>
      </w:r>
    </w:p>
    <w:p>
      <w:pPr>
        <w:rPr>
          <w:rFonts w:ascii="宋体" w:hAnsi="宋体"/>
          <w:color w:val="auto"/>
          <w:szCs w:val="21"/>
          <w:highlight w:val="none"/>
        </w:rPr>
      </w:pPr>
      <w:r>
        <w:rPr>
          <w:rFonts w:hint="eastAsia" w:ascii="宋体" w:hAnsi="宋体"/>
          <w:color w:val="auto"/>
          <w:szCs w:val="21"/>
          <w:highlight w:val="none"/>
        </w:rPr>
        <w:t xml:space="preserve">供应商名称（加盖公章）：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302" w:name="_Toc27961"/>
      <w:bookmarkStart w:id="303" w:name="_Toc15719"/>
      <w:r>
        <w:rPr>
          <w:rFonts w:hint="eastAsia"/>
          <w:color w:val="auto"/>
          <w:highlight w:val="none"/>
        </w:rPr>
        <w:t>二、资格申明函</w:t>
      </w:r>
      <w:bookmarkEnd w:id="302"/>
      <w:bookmarkEnd w:id="303"/>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的磋商</w:t>
      </w:r>
      <w:r>
        <w:rPr>
          <w:rFonts w:ascii="宋体" w:hAnsi="宋体"/>
          <w:color w:val="auto"/>
          <w:szCs w:val="21"/>
          <w:highlight w:val="none"/>
        </w:rPr>
        <w:t>邀请，参与</w:t>
      </w:r>
      <w:r>
        <w:rPr>
          <w:rFonts w:hint="eastAsia" w:ascii="宋体" w:hAnsi="宋体"/>
          <w:color w:val="auto"/>
          <w:szCs w:val="21"/>
          <w:highlight w:val="none"/>
        </w:rPr>
        <w:t>报价</w:t>
      </w:r>
      <w:r>
        <w:rPr>
          <w:rFonts w:ascii="宋体" w:hAnsi="宋体"/>
          <w:color w:val="auto"/>
          <w:szCs w:val="21"/>
          <w:highlight w:val="none"/>
        </w:rPr>
        <w:t>，提供用户需求书中规定的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磋商文件</w:t>
      </w:r>
      <w:r>
        <w:rPr>
          <w:rFonts w:ascii="宋体" w:hAnsi="宋体"/>
          <w:color w:val="auto"/>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2、我方已清楚磋商文件所有要求及有关规定；并承诺参加本次政府采购活动中，如有违法、违规、弄虚作假行为，所造成的损失、不良后果及法律责任，一律由我方承担；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highlight w:val="none"/>
        </w:rPr>
      </w:pPr>
    </w:p>
    <w:p>
      <w:pPr>
        <w:rPr>
          <w:color w:val="auto"/>
          <w:highlight w:val="none"/>
        </w:rPr>
      </w:pPr>
      <w:bookmarkStart w:id="304" w:name="_Toc16412"/>
    </w:p>
    <w:p>
      <w:pPr>
        <w:pStyle w:val="4"/>
        <w:jc w:val="center"/>
        <w:rPr>
          <w:color w:val="auto"/>
          <w:highlight w:val="none"/>
        </w:rPr>
      </w:pPr>
      <w:bookmarkStart w:id="305" w:name="_Toc21273"/>
      <w:bookmarkStart w:id="306" w:name="_Toc21335"/>
      <w:r>
        <w:rPr>
          <w:rFonts w:hint="eastAsia"/>
          <w:color w:val="auto"/>
          <w:highlight w:val="none"/>
        </w:rPr>
        <w:t>三、在参与政府采购活动前三年未有重大违法记录、没有不良信用记录的声明函</w:t>
      </w:r>
      <w:bookmarkEnd w:id="305"/>
      <w:bookmarkEnd w:id="306"/>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响应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304"/>
    </w:p>
    <w:p>
      <w:pPr>
        <w:pStyle w:val="4"/>
        <w:jc w:val="center"/>
        <w:rPr>
          <w:color w:val="auto"/>
          <w:highlight w:val="none"/>
        </w:rPr>
      </w:pPr>
      <w:bookmarkStart w:id="307" w:name="_Toc13243"/>
      <w:bookmarkStart w:id="308" w:name="_Toc32128"/>
      <w:r>
        <w:rPr>
          <w:rFonts w:hint="eastAsia"/>
          <w:color w:val="auto"/>
          <w:highlight w:val="none"/>
        </w:rPr>
        <w:t>四、法定代表人证明书</w:t>
      </w:r>
      <w:bookmarkEnd w:id="307"/>
      <w:bookmarkEnd w:id="308"/>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（供应商名称）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309" w:name="_Toc5918"/>
      <w:bookmarkStart w:id="310" w:name="_Toc11689"/>
      <w:r>
        <w:rPr>
          <w:rFonts w:hint="eastAsia"/>
          <w:color w:val="auto"/>
          <w:highlight w:val="none"/>
        </w:rPr>
        <w:t>五、法定代表人授权书</w:t>
      </w:r>
      <w:bookmarkEnd w:id="309"/>
      <w:bookmarkEnd w:id="310"/>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（供应商名称）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）响应文件、签订合同和处理有关事宜，其法律后果由我方承担。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311"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312" w:name="_Toc1197"/>
      <w:bookmarkStart w:id="313" w:name="_Toc24013"/>
      <w:r>
        <w:rPr>
          <w:rFonts w:hint="eastAsia"/>
          <w:color w:val="auto"/>
          <w:highlight w:val="none"/>
        </w:rPr>
        <w:t>六、供应商基本情况说明</w:t>
      </w:r>
      <w:bookmarkEnd w:id="312"/>
      <w:bookmarkEnd w:id="313"/>
    </w:p>
    <w:p>
      <w:pPr>
        <w:rPr>
          <w:rFonts w:ascii="宋体" w:hAnsi="宋体" w:cs="宋体"/>
          <w:color w:val="auto"/>
          <w:szCs w:val="21"/>
          <w:highlight w:val="none"/>
        </w:rPr>
      </w:pPr>
      <w:r>
        <w:rPr>
          <w:rFonts w:hint="eastAsia" w:ascii="宋体" w:hAnsi="宋体" w:cs="宋体"/>
          <w:color w:val="auto"/>
          <w:szCs w:val="21"/>
          <w:highlight w:val="none"/>
        </w:rPr>
        <w:t>一、供应商基本情况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1、供应商名称：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5、供应商开户银行名称及账号：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7、供应商简介:</w:t>
      </w:r>
    </w:p>
    <w:p>
      <w:pPr>
        <w:rPr>
          <w:rFonts w:ascii="宋体" w:hAnsi="宋体" w:cs="宋体"/>
          <w:b/>
          <w:color w:val="auto"/>
          <w:szCs w:val="21"/>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供应商名称（加盖公章）：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4"/>
        <w:jc w:val="center"/>
        <w:rPr>
          <w:color w:val="auto"/>
          <w:highlight w:val="none"/>
        </w:rPr>
      </w:pPr>
      <w:bookmarkStart w:id="314" w:name="_Toc24210"/>
      <w:bookmarkStart w:id="315" w:name="_Toc4926"/>
      <w:bookmarkStart w:id="316" w:name="_Toc17470"/>
      <w:bookmarkStart w:id="317" w:name="_Toc11992"/>
      <w:bookmarkStart w:id="318" w:name="_Toc29995"/>
      <w:bookmarkStart w:id="319" w:name="_Toc1511"/>
      <w:bookmarkStart w:id="320" w:name="_Toc5919"/>
      <w:r>
        <w:rPr>
          <w:rFonts w:hint="eastAsia"/>
          <w:color w:val="auto"/>
          <w:highlight w:val="none"/>
        </w:rPr>
        <w:t>七、营业执照</w:t>
      </w:r>
      <w:bookmarkEnd w:id="314"/>
      <w:bookmarkEnd w:id="315"/>
      <w:bookmarkEnd w:id="316"/>
      <w:bookmarkEnd w:id="317"/>
      <w:bookmarkEnd w:id="318"/>
      <w:bookmarkEnd w:id="319"/>
      <w:bookmarkEnd w:id="320"/>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11"/>
    <w:p>
      <w:pPr>
        <w:pStyle w:val="4"/>
        <w:jc w:val="center"/>
        <w:rPr>
          <w:color w:val="auto"/>
          <w:highlight w:val="none"/>
        </w:rPr>
      </w:pPr>
      <w:bookmarkStart w:id="321" w:name="_Toc29439"/>
      <w:bookmarkStart w:id="322" w:name="_Toc12706"/>
      <w:r>
        <w:rPr>
          <w:rFonts w:hint="eastAsia"/>
          <w:color w:val="auto"/>
          <w:highlight w:val="none"/>
        </w:rPr>
        <w:t>八、特殊资格要求证明文件</w:t>
      </w:r>
      <w:bookmarkEnd w:id="321"/>
      <w:bookmarkEnd w:id="322"/>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pStyle w:val="4"/>
        <w:jc w:val="center"/>
        <w:rPr>
          <w:color w:val="auto"/>
          <w:highlight w:val="none"/>
        </w:rPr>
      </w:pPr>
      <w:bookmarkStart w:id="323" w:name="_Toc14482"/>
      <w:bookmarkStart w:id="324" w:name="_Toc23341"/>
      <w:r>
        <w:rPr>
          <w:rFonts w:hint="eastAsia"/>
          <w:color w:val="auto"/>
          <w:highlight w:val="none"/>
        </w:rPr>
        <w:t>九、承诺书</w:t>
      </w:r>
      <w:bookmarkEnd w:id="323"/>
      <w:bookmarkEnd w:id="324"/>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6"/>
        <w:spacing w:line="420" w:lineRule="exact"/>
        <w:ind w:firstLine="433"/>
        <w:rPr>
          <w:rFonts w:ascii="宋体" w:eastAsia="宋体" w:cs="宋体"/>
          <w:color w:val="auto"/>
          <w:sz w:val="21"/>
          <w:szCs w:val="21"/>
          <w:highlight w:val="none"/>
        </w:rPr>
      </w:pPr>
      <w:bookmarkStart w:id="325"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）磋商文件的所有内容（包括澄清，以及所有已提供的参考资料和有关附件），并完全理解上述文件所表达的意思，该项目递交响应文件时间截止后，我方承诺不再对上述文件内容进行询问或质疑。</w:t>
      </w:r>
      <w:bookmarkEnd w:id="325"/>
      <w:r>
        <w:rPr>
          <w:rFonts w:hint="eastAsia" w:ascii="宋体" w:eastAsia="宋体" w:cs="宋体"/>
          <w:color w:val="auto"/>
          <w:sz w:val="21"/>
          <w:szCs w:val="21"/>
          <w:highlight w:val="none"/>
        </w:rPr>
        <w:cr/>
      </w:r>
    </w:p>
    <w:p>
      <w:pPr>
        <w:pStyle w:val="36"/>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26" w:name="_Toc31815"/>
      <w:bookmarkStart w:id="327" w:name="_Toc13653"/>
      <w:r>
        <w:rPr>
          <w:rFonts w:hint="eastAsia"/>
          <w:color w:val="auto"/>
          <w:highlight w:val="none"/>
        </w:rPr>
        <w:t>十、招标代理服务费承诺书</w:t>
      </w:r>
      <w:bookmarkEnd w:id="326"/>
      <w:bookmarkEnd w:id="327"/>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（供应商名称）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供应商名称（加盖公章）：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28" w:name="_Toc1975"/>
      <w:bookmarkStart w:id="329" w:name="_Toc21582"/>
      <w:r>
        <w:rPr>
          <w:rFonts w:hint="eastAsia"/>
          <w:color w:val="auto"/>
          <w:highlight w:val="none"/>
        </w:rPr>
        <w:t>十一、商务条款偏离表</w:t>
      </w:r>
      <w:bookmarkEnd w:id="328"/>
      <w:bookmarkEnd w:id="329"/>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磋商文件要求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1、供应商应对照磋商文件商务要求，在“偏离情况”项中填写“无偏离”、“正偏离”或“负偏离”，逐条说明已对磋商文件的商务内容做出了实质性的响应，并申明与磋商文件的偏差和例外。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2、商务条款包括但不限于合格供应商资格、合同期限、付款方式、报价要求、履约保证金、售后服务、检验及验收等要求。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30" w:name="_Toc32183"/>
    </w:p>
    <w:p>
      <w:pPr>
        <w:pStyle w:val="4"/>
        <w:jc w:val="center"/>
        <w:rPr>
          <w:color w:val="auto"/>
          <w:highlight w:val="none"/>
        </w:rPr>
      </w:pPr>
      <w:bookmarkStart w:id="331" w:name="_Toc7350"/>
      <w:bookmarkStart w:id="332" w:name="_Toc25391"/>
      <w:r>
        <w:rPr>
          <w:rFonts w:hint="eastAsia"/>
          <w:color w:val="auto"/>
          <w:highlight w:val="none"/>
        </w:rPr>
        <w:t>十二、业绩表</w:t>
      </w:r>
      <w:bookmarkEnd w:id="331"/>
      <w:bookmarkEnd w:id="332"/>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pStyle w:val="7"/>
        <w:ind w:left="0"/>
        <w:rPr>
          <w:color w:val="auto"/>
          <w:highlight w:val="none"/>
        </w:rPr>
      </w:pPr>
    </w:p>
    <w:p>
      <w:pPr>
        <w:pStyle w:val="4"/>
        <w:jc w:val="center"/>
        <w:rPr>
          <w:rFonts w:ascii="黑体" w:eastAsia="黑体"/>
          <w:color w:val="auto"/>
          <w:szCs w:val="28"/>
          <w:highlight w:val="none"/>
        </w:rPr>
      </w:pPr>
      <w:bookmarkStart w:id="333" w:name="_Toc14688"/>
      <w:bookmarkStart w:id="334" w:name="_Toc25650"/>
      <w:r>
        <w:rPr>
          <w:rFonts w:hint="eastAsia"/>
          <w:color w:val="auto"/>
          <w:highlight w:val="none"/>
        </w:rPr>
        <w:t>第三章技术文件</w:t>
      </w:r>
      <w:bookmarkEnd w:id="330"/>
      <w:bookmarkEnd w:id="333"/>
      <w:bookmarkEnd w:id="334"/>
    </w:p>
    <w:p>
      <w:pPr>
        <w:pStyle w:val="4"/>
        <w:jc w:val="center"/>
        <w:rPr>
          <w:color w:val="auto"/>
          <w:highlight w:val="none"/>
        </w:rPr>
      </w:pPr>
      <w:bookmarkStart w:id="335" w:name="_Toc7092"/>
      <w:bookmarkStart w:id="336" w:name="_Toc13588"/>
      <w:r>
        <w:rPr>
          <w:rFonts w:hint="eastAsia"/>
          <w:color w:val="auto"/>
          <w:highlight w:val="none"/>
        </w:rPr>
        <w:t>一、技术规格偏离表</w:t>
      </w:r>
      <w:bookmarkEnd w:id="335"/>
      <w:bookmarkEnd w:id="336"/>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磋商文件要求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注：供应商应对照磋商文件技术要求，在“偏离情况”项中填写“无偏离”、“正偏离”或“负偏离”，逐条说明已对磋商文件的技术内容做出了实质性的响应，并申明与磋商文件的偏差和例外。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37" w:name="_Toc17691"/>
      <w:r>
        <w:rPr>
          <w:rFonts w:hint="eastAsia" w:ascii="宋体" w:hAnsi="宋体"/>
          <w:color w:val="auto"/>
          <w:szCs w:val="21"/>
          <w:highlight w:val="none"/>
        </w:rPr>
        <w:br w:type="page"/>
      </w:r>
      <w:bookmarkEnd w:id="337"/>
      <w:bookmarkStart w:id="338" w:name="_Toc18668"/>
      <w:bookmarkStart w:id="339" w:name="_Toc4464"/>
      <w:bookmarkStart w:id="340" w:name="_Toc1274"/>
      <w:bookmarkStart w:id="341" w:name="_Toc6080"/>
      <w:bookmarkStart w:id="342" w:name="_Toc4827"/>
      <w:bookmarkStart w:id="343" w:name="_Toc26078"/>
    </w:p>
    <w:p>
      <w:pPr>
        <w:pStyle w:val="4"/>
        <w:jc w:val="center"/>
        <w:rPr>
          <w:color w:val="auto"/>
          <w:highlight w:val="none"/>
        </w:rPr>
      </w:pPr>
      <w:bookmarkStart w:id="344" w:name="_Toc10734"/>
      <w:bookmarkStart w:id="345" w:name="_Toc28702"/>
      <w:r>
        <w:rPr>
          <w:rFonts w:hint="eastAsia"/>
          <w:color w:val="auto"/>
          <w:highlight w:val="none"/>
        </w:rPr>
        <w:t>二、重要技术参数（▲）响应表</w:t>
      </w:r>
      <w:bookmarkEnd w:id="338"/>
      <w:bookmarkEnd w:id="339"/>
      <w:bookmarkEnd w:id="340"/>
      <w:bookmarkEnd w:id="341"/>
      <w:bookmarkEnd w:id="342"/>
      <w:bookmarkEnd w:id="343"/>
      <w:bookmarkEnd w:id="344"/>
      <w:bookmarkEnd w:id="345"/>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46" w:name="_Toc2784"/>
            <w:bookmarkStart w:id="347" w:name="_Toc29560"/>
            <w:bookmarkStart w:id="348" w:name="_Toc29642"/>
            <w:bookmarkStart w:id="349" w:name="_Toc27079"/>
            <w:r>
              <w:rPr>
                <w:rFonts w:hint="eastAsia" w:ascii="宋体" w:hAnsi="宋体" w:cs="宋体"/>
                <w:b w:val="0"/>
                <w:bCs w:val="0"/>
                <w:color w:val="auto"/>
                <w:sz w:val="21"/>
                <w:szCs w:val="21"/>
                <w:highlight w:val="none"/>
              </w:rPr>
              <w:t>序号</w:t>
            </w:r>
            <w:bookmarkEnd w:id="346"/>
            <w:bookmarkEnd w:id="347"/>
            <w:bookmarkEnd w:id="348"/>
            <w:bookmarkEnd w:id="34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0" w:name="_Toc10045"/>
            <w:bookmarkStart w:id="351" w:name="_Toc15368"/>
            <w:bookmarkStart w:id="352" w:name="_Toc27090"/>
            <w:bookmarkStart w:id="353" w:name="_Toc2700"/>
            <w:bookmarkStart w:id="354" w:name="_Toc1016"/>
            <w:bookmarkStart w:id="355" w:name="_Toc6189"/>
            <w:bookmarkStart w:id="356" w:name="_Toc22448"/>
            <w:bookmarkStart w:id="357" w:name="_Toc16872"/>
            <w:bookmarkStart w:id="358" w:name="_Toc12049"/>
            <w:bookmarkStart w:id="359" w:name="_Toc14815"/>
            <w:bookmarkStart w:id="360" w:name="_Toc15903"/>
            <w:bookmarkStart w:id="361" w:name="_Toc21739"/>
            <w:bookmarkStart w:id="362" w:name="_Toc26124"/>
            <w:bookmarkStart w:id="363" w:name="_Toc4304"/>
            <w:bookmarkStart w:id="364" w:name="_Toc22879"/>
            <w:bookmarkStart w:id="365" w:name="_Toc19251"/>
            <w:bookmarkStart w:id="366" w:name="_Toc27442"/>
            <w:bookmarkStart w:id="367" w:name="_Toc7333"/>
            <w:bookmarkStart w:id="368" w:name="_Toc22917"/>
            <w:bookmarkStart w:id="369" w:name="_Toc24662"/>
            <w:bookmarkStart w:id="370" w:name="_Toc21809"/>
            <w:bookmarkStart w:id="371" w:name="_Toc8312"/>
            <w:bookmarkStart w:id="372" w:name="_Toc8490"/>
            <w:bookmarkStart w:id="373" w:name="_Toc32531"/>
            <w:r>
              <w:rPr>
                <w:rFonts w:hint="eastAsia" w:ascii="宋体" w:hAnsi="宋体" w:cs="宋体"/>
                <w:b w:val="0"/>
                <w:bCs w:val="0"/>
                <w:color w:val="auto"/>
                <w:sz w:val="21"/>
                <w:szCs w:val="21"/>
                <w:highlight w:val="none"/>
              </w:rPr>
              <w:t>重要技术参数评分条款（▲）</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bookmarkEnd w:id="364"/>
          <w:bookmarkEnd w:id="365"/>
          <w:bookmarkEnd w:id="366"/>
          <w:bookmarkEnd w:id="367"/>
          <w:bookmarkEnd w:id="368"/>
          <w:bookmarkEnd w:id="369"/>
          <w:bookmarkEnd w:id="370"/>
          <w:bookmarkEnd w:id="371"/>
          <w:bookmarkEnd w:id="372"/>
          <w:bookmarkEnd w:id="373"/>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74" w:name="_Toc2408"/>
            <w:bookmarkStart w:id="375" w:name="_Toc22153"/>
            <w:bookmarkStart w:id="376" w:name="_Toc21496"/>
            <w:bookmarkStart w:id="377" w:name="_Toc10122"/>
            <w:r>
              <w:rPr>
                <w:rFonts w:hint="eastAsia" w:ascii="宋体" w:hAnsi="宋体" w:cs="宋体"/>
                <w:b w:val="0"/>
                <w:bCs w:val="0"/>
                <w:color w:val="auto"/>
                <w:sz w:val="21"/>
                <w:szCs w:val="21"/>
                <w:highlight w:val="none"/>
              </w:rPr>
              <w:t>响应文件响应内容</w:t>
            </w:r>
            <w:bookmarkEnd w:id="374"/>
            <w:bookmarkEnd w:id="375"/>
            <w:bookmarkEnd w:id="376"/>
            <w:bookmarkEnd w:id="377"/>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78" w:name="_Toc27285"/>
            <w:bookmarkStart w:id="379" w:name="_Toc29838"/>
            <w:bookmarkStart w:id="380" w:name="_Toc16003"/>
            <w:bookmarkStart w:id="381" w:name="_Toc16432"/>
            <w:bookmarkStart w:id="382" w:name="_Toc3701"/>
            <w:bookmarkStart w:id="383" w:name="_Toc1330"/>
            <w:bookmarkStart w:id="384" w:name="_Toc5992"/>
            <w:bookmarkStart w:id="385" w:name="_Toc27185"/>
            <w:bookmarkStart w:id="386" w:name="_Toc1912"/>
            <w:bookmarkStart w:id="387" w:name="_Toc17642"/>
            <w:bookmarkStart w:id="388" w:name="_Toc5563"/>
            <w:bookmarkStart w:id="389" w:name="_Toc17296"/>
            <w:bookmarkStart w:id="390" w:name="_Toc20820"/>
            <w:bookmarkStart w:id="391" w:name="_Toc20139"/>
            <w:r>
              <w:rPr>
                <w:rFonts w:hint="eastAsia" w:ascii="宋体" w:hAnsi="宋体" w:cs="宋体"/>
                <w:b w:val="0"/>
                <w:bCs w:val="0"/>
                <w:color w:val="auto"/>
                <w:sz w:val="21"/>
                <w:szCs w:val="21"/>
                <w:highlight w:val="none"/>
              </w:rPr>
              <w:t>说明</w:t>
            </w:r>
            <w:bookmarkEnd w:id="378"/>
            <w:bookmarkEnd w:id="379"/>
            <w:bookmarkEnd w:id="380"/>
            <w:bookmarkEnd w:id="381"/>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92" w:name="_Toc31920"/>
            <w:bookmarkStart w:id="393" w:name="_Toc857"/>
            <w:bookmarkStart w:id="394" w:name="_Toc19105"/>
            <w:bookmarkStart w:id="395" w:name="_Toc3520"/>
            <w:r>
              <w:rPr>
                <w:rFonts w:hint="eastAsia" w:ascii="宋体" w:hAnsi="宋体" w:cs="宋体"/>
                <w:b w:val="0"/>
                <w:bCs w:val="0"/>
                <w:color w:val="auto"/>
                <w:sz w:val="21"/>
                <w:szCs w:val="21"/>
                <w:highlight w:val="none"/>
              </w:rPr>
              <w:t>页码范围</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w:t>
      </w:r>
    </w:p>
    <w:p>
      <w:pPr>
        <w:pStyle w:val="33"/>
        <w:rPr>
          <w:rFonts w:ascii="宋体" w:hAnsi="宋体"/>
          <w:color w:val="auto"/>
          <w:szCs w:val="21"/>
          <w:highlight w:val="none"/>
        </w:rPr>
      </w:pPr>
      <w:r>
        <w:rPr>
          <w:rFonts w:hint="eastAsia" w:ascii="宋体" w:hAnsi="宋体"/>
          <w:color w:val="auto"/>
          <w:szCs w:val="21"/>
          <w:highlight w:val="none"/>
        </w:rPr>
        <w:t>1、供应商应逐条对照磋商文件重要评分条款，如实地说明响应情况。</w:t>
      </w:r>
    </w:p>
    <w:p>
      <w:pPr>
        <w:pStyle w:val="33"/>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3"/>
        <w:ind w:firstLine="422"/>
        <w:rPr>
          <w:rFonts w:ascii="宋体" w:hAnsi="宋体"/>
          <w:b/>
          <w:bCs/>
          <w:color w:val="auto"/>
          <w:szCs w:val="21"/>
          <w:highlight w:val="none"/>
        </w:rPr>
      </w:pPr>
      <w:r>
        <w:rPr>
          <w:rFonts w:hint="eastAsia" w:ascii="宋体" w:hAnsi="宋体"/>
          <w:b/>
          <w:bCs/>
          <w:color w:val="auto"/>
          <w:szCs w:val="21"/>
          <w:highlight w:val="none"/>
        </w:rPr>
        <w:t>3、若磋商文件未设定重要技术参数（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3"/>
        <w:rPr>
          <w:rFonts w:ascii="宋体" w:hAnsi="宋体"/>
          <w:color w:val="auto"/>
          <w:szCs w:val="21"/>
          <w:highlight w:val="none"/>
        </w:rPr>
      </w:pPr>
    </w:p>
    <w:p>
      <w:pPr>
        <w:pStyle w:val="33"/>
        <w:numPr>
          <w:ilvl w:val="0"/>
          <w:numId w:val="24"/>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96" w:name="_Toc25570"/>
      <w:bookmarkStart w:id="397" w:name="_Toc19349"/>
      <w:r>
        <w:rPr>
          <w:rFonts w:hint="eastAsia"/>
          <w:color w:val="auto"/>
          <w:highlight w:val="none"/>
        </w:rPr>
        <w:t>三、实质性条款（标记★）响应表</w:t>
      </w:r>
      <w:bookmarkEnd w:id="396"/>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磋商文件实质性条款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响应文件响应内容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1、供应商应逐条对照磋商文件实质性条款，如实地说明响应情况。不满足的按无效响应文件处理。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2、若该实质性条款规定提交相关证明材料的，供应商应当提供，并附于本格式后。未按要求提供或提供不符合要求的证明材料，视为不满足，按无效响应文件处理。</w:t>
      </w:r>
    </w:p>
    <w:p>
      <w:pPr>
        <w:ind w:firstLine="420" w:firstLineChars="200"/>
        <w:rPr>
          <w:color w:val="auto"/>
          <w:highlight w:val="none"/>
        </w:rPr>
      </w:pPr>
      <w:r>
        <w:rPr>
          <w:rFonts w:hint="eastAsia"/>
          <w:color w:val="auto"/>
          <w:highlight w:val="none"/>
        </w:rPr>
        <w:t>3、若磋商文件未设定实质性条款的，可删除本格式。</w:t>
      </w:r>
    </w:p>
    <w:p>
      <w:pPr>
        <w:pStyle w:val="4"/>
        <w:jc w:val="center"/>
        <w:rPr>
          <w:color w:val="auto"/>
          <w:highlight w:val="none"/>
        </w:rPr>
      </w:pPr>
      <w:bookmarkStart w:id="398" w:name="_Toc14250"/>
      <w:r>
        <w:rPr>
          <w:rFonts w:hint="eastAsia"/>
          <w:color w:val="auto"/>
          <w:highlight w:val="none"/>
        </w:rPr>
        <w:t>四、项目技术方案</w:t>
      </w:r>
      <w:bookmarkEnd w:id="397"/>
      <w:bookmarkEnd w:id="398"/>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99" w:name="_Toc16328"/>
      <w:bookmarkStart w:id="400" w:name="_Toc16875"/>
      <w:r>
        <w:rPr>
          <w:rFonts w:hint="eastAsia"/>
          <w:color w:val="auto"/>
          <w:highlight w:val="none"/>
        </w:rPr>
        <w:t>五、项目负责人及团队成员资料表</w:t>
      </w:r>
      <w:bookmarkEnd w:id="399"/>
      <w:bookmarkEnd w:id="400"/>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7"/>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401" w:name="_Toc27978"/>
      <w:bookmarkStart w:id="402" w:name="_Toc15431"/>
      <w:r>
        <w:rPr>
          <w:rFonts w:hint="eastAsia"/>
          <w:color w:val="auto"/>
          <w:highlight w:val="none"/>
        </w:rPr>
        <w:t>六、响应货物明细一览表</w:t>
      </w:r>
      <w:bookmarkEnd w:id="401"/>
      <w:bookmarkEnd w:id="402"/>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供应商代表签字：</w:t>
      </w:r>
    </w:p>
    <w:p>
      <w:pPr>
        <w:rPr>
          <w:rFonts w:ascii="宋体" w:hAnsi="宋体"/>
          <w:color w:val="auto"/>
          <w:szCs w:val="21"/>
          <w:highlight w:val="none"/>
        </w:rPr>
      </w:pPr>
      <w:r>
        <w:rPr>
          <w:rFonts w:hint="eastAsia" w:ascii="宋体" w:hAnsi="宋体" w:cs="Times New Roman"/>
          <w:color w:val="auto"/>
          <w:szCs w:val="21"/>
          <w:highlight w:val="none"/>
        </w:rPr>
        <w:t>供应商盖章：</w:t>
      </w:r>
      <w:r>
        <w:rPr>
          <w:rFonts w:hint="eastAsia" w:ascii="宋体" w:hAnsi="宋体"/>
          <w:color w:val="auto"/>
          <w:szCs w:val="21"/>
          <w:highlight w:val="none"/>
        </w:rPr>
        <w:br w:type="page"/>
      </w:r>
    </w:p>
    <w:p>
      <w:pPr>
        <w:pStyle w:val="4"/>
        <w:jc w:val="center"/>
        <w:rPr>
          <w:color w:val="auto"/>
          <w:highlight w:val="none"/>
        </w:rPr>
      </w:pPr>
      <w:bookmarkStart w:id="403" w:name="_Toc31841"/>
      <w:r>
        <w:rPr>
          <w:rFonts w:hint="eastAsia"/>
          <w:color w:val="auto"/>
          <w:highlight w:val="none"/>
        </w:rPr>
        <w:t>七、政府采购履约担保函</w:t>
      </w:r>
      <w:bookmarkEnd w:id="40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1．将中标项目转让给他人，或者在响应文件中未说明，且未经采购招标机构人同意，将中标项目分包给他人的；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（1）此格式为履约担保函格式，无需在响应文件中提供此格式。</w:t>
      </w:r>
    </w:p>
    <w:p>
      <w:pPr>
        <w:pStyle w:val="7"/>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404" w:name="_Toc26782"/>
      <w:bookmarkStart w:id="405" w:name="_Toc17348"/>
      <w:r>
        <w:rPr>
          <w:rFonts w:hint="eastAsia"/>
          <w:color w:val="auto"/>
          <w:highlight w:val="none"/>
        </w:rPr>
        <w:t>第四章报价信封（单独封装）</w:t>
      </w:r>
      <w:bookmarkEnd w:id="404"/>
      <w:bookmarkEnd w:id="40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40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rPr>
          <w:color w:val="auto"/>
          <w:highlight w:val="none"/>
        </w:rPr>
      </w:pPr>
      <w:bookmarkStart w:id="407" w:name="_Toc22736"/>
      <w:bookmarkStart w:id="408" w:name="_Toc13881"/>
      <w:r>
        <w:rPr>
          <w:rFonts w:hint="eastAsia"/>
          <w:color w:val="auto"/>
          <w:highlight w:val="none"/>
        </w:rPr>
        <w:t>第五章联合体共同报价协议书（如有需要）</w:t>
      </w:r>
      <w:bookmarkEnd w:id="407"/>
      <w:bookmarkEnd w:id="40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以一个报价供应商的身份共同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的报价响应。经协商一致，就本</w:t>
      </w:r>
      <w:r>
        <w:rPr>
          <w:rFonts w:hint="eastAsia" w:ascii="宋体" w:hAnsi="宋体" w:cs="宋体"/>
          <w:color w:val="auto"/>
          <w:kern w:val="10"/>
          <w:szCs w:val="21"/>
          <w:highlight w:val="none"/>
        </w:rPr>
        <w:t>项目的报价响应和合同实施阶段的有关事务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2.联合体报价工作由联合体共同负责，由联合体各方组成的响应小组具体实施。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w:t>
      </w:r>
      <w:r>
        <w:rPr>
          <w:rFonts w:hint="eastAsia" w:ascii="宋体" w:hAnsi="宋体" w:cs="宋体"/>
          <w:color w:val="auto"/>
          <w:szCs w:val="21"/>
          <w:highlight w:val="none"/>
        </w:rPr>
        <w:tab/>
      </w:r>
      <w:r>
        <w:rPr>
          <w:rFonts w:hint="eastAsia" w:ascii="宋体" w:hAnsi="宋体" w:cs="宋体"/>
          <w:color w:val="auto"/>
          <w:szCs w:val="21"/>
          <w:highlight w:val="none"/>
        </w:rPr>
        <w:t xml:space="preserve"> </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406"/>
    <w:p>
      <w:pPr>
        <w:jc w:val="both"/>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rPr>
          <w:color w:val="auto"/>
          <w:highlight w:val="none"/>
        </w:rPr>
      </w:pPr>
    </w:p>
    <w:p>
      <w:pPr>
        <w:pStyle w:val="7"/>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3"/>
        <w:tblW w:w="4998" w:type="pct"/>
        <w:tblInd w:w="0" w:type="dxa"/>
        <w:tblLayout w:type="fixed"/>
        <w:tblCellMar>
          <w:top w:w="0" w:type="dxa"/>
          <w:left w:w="108" w:type="dxa"/>
          <w:bottom w:w="0" w:type="dxa"/>
          <w:right w:w="108" w:type="dxa"/>
        </w:tblCellMar>
      </w:tblPr>
      <w:tblGrid>
        <w:gridCol w:w="2768"/>
        <w:gridCol w:w="2354"/>
        <w:gridCol w:w="1440"/>
        <w:gridCol w:w="1956"/>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获取磋商文件时间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2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本公司对磋商文件的内容已经了解，并自愿购买该磋商文件。</w:t>
            </w:r>
          </w:p>
          <w:p>
            <w:pPr>
              <w:numPr>
                <w:ilvl w:val="0"/>
                <w:numId w:val="2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2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磋商文件售后不退。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磋商文件领取人签名: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磋商文件售价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人民币300元/份</w:t>
            </w:r>
          </w:p>
        </w:tc>
      </w:tr>
    </w:tbl>
    <w:p>
      <w:pPr>
        <w:pStyle w:val="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29"/>
        </w:rPr>
        <w:footnoteRef/>
      </w:r>
      <w:r>
        <w:t xml:space="preserve"> </w:t>
      </w:r>
      <w:r>
        <w:rPr>
          <w:rFonts w:hint="eastAsia"/>
        </w:rPr>
        <w:t>从业人员、营业人员、资产总额填报上一年度数据，无上一年度数据的新成立企业可不填报。</w:t>
      </w:r>
    </w:p>
  </w:footnote>
  <w:footnote w:id="1">
    <w:p>
      <w:pPr>
        <w:pStyle w:val="19"/>
      </w:pPr>
      <w:r>
        <w:rPr>
          <w:rStyle w:val="29"/>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4A7D5900"/>
    <w:multiLevelType w:val="multilevel"/>
    <w:tmpl w:val="4A7D5900"/>
    <w:lvl w:ilvl="0" w:tentative="0">
      <w:start w:val="1"/>
      <w:numFmt w:val="chineseCountingThousand"/>
      <w:suff w:val="nothing"/>
      <w:lvlText w:val="第%1章 "/>
      <w:lvlJc w:val="left"/>
      <w:pPr>
        <w:ind w:left="0" w:firstLine="0"/>
      </w:pPr>
      <w:rPr>
        <w:rFonts w:hint="eastAsia"/>
        <w:lang w:val="en-US"/>
      </w:rPr>
    </w:lvl>
    <w:lvl w:ilvl="1" w:tentative="0">
      <w:start w:val="1"/>
      <w:numFmt w:val="decimal"/>
      <w:isLgl/>
      <w:suff w:val="nothing"/>
      <w:lvlText w:val="%1.%2 "/>
      <w:lvlJc w:val="left"/>
      <w:pPr>
        <w:ind w:left="-113" w:firstLine="113"/>
      </w:pPr>
      <w:rPr>
        <w:rFonts w:hint="eastAsia"/>
      </w:rPr>
    </w:lvl>
    <w:lvl w:ilvl="2" w:tentative="0">
      <w:start w:val="1"/>
      <w:numFmt w:val="decimal"/>
      <w:isLgl/>
      <w:suff w:val="nothing"/>
      <w:lvlText w:val="%1.%2.%3"/>
      <w:lvlJc w:val="left"/>
      <w:pPr>
        <w:ind w:left="0" w:firstLine="227"/>
      </w:pPr>
      <w:rPr>
        <w:rFonts w:hint="eastAsia"/>
      </w:rPr>
    </w:lvl>
    <w:lvl w:ilvl="3" w:tentative="0">
      <w:start w:val="1"/>
      <w:numFmt w:val="decimal"/>
      <w:pStyle w:val="56"/>
      <w:isLgl/>
      <w:suff w:val="nothing"/>
      <w:lvlText w:val="%1.%2.%3.%4"/>
      <w:lvlJc w:val="left"/>
      <w:pPr>
        <w:ind w:left="0" w:firstLine="340"/>
      </w:pPr>
      <w:rPr>
        <w:rFonts w:hint="eastAsia"/>
      </w:rPr>
    </w:lvl>
    <w:lvl w:ilvl="4" w:tentative="0">
      <w:start w:val="1"/>
      <w:numFmt w:val="decimal"/>
      <w:isLgl/>
      <w:suff w:val="nothing"/>
      <w:lvlText w:val="%1.%2.%3.%4.%5"/>
      <w:lvlJc w:val="left"/>
      <w:pPr>
        <w:ind w:left="0" w:firstLine="454"/>
      </w:pPr>
      <w:rPr>
        <w:rFonts w:hint="eastAsia"/>
      </w:rPr>
    </w:lvl>
    <w:lvl w:ilvl="5" w:tentative="0">
      <w:start w:val="1"/>
      <w:numFmt w:val="decimal"/>
      <w:isLgl/>
      <w:suff w:val="nothing"/>
      <w:lvlText w:val="%6.1.1.1.1.1"/>
      <w:lvlJc w:val="left"/>
      <w:pPr>
        <w:ind w:left="0" w:firstLine="567"/>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4">
    <w:nsid w:val="7CF87882"/>
    <w:multiLevelType w:val="multilevel"/>
    <w:tmpl w:val="7CF87882"/>
    <w:lvl w:ilvl="0" w:tentative="0">
      <w:start w:val="1"/>
      <w:numFmt w:val="chineseCountingThousand"/>
      <w:pStyle w:val="65"/>
      <w:lvlText w:val="第%1部分"/>
      <w:lvlJc w:val="left"/>
      <w:pPr>
        <w:ind w:left="420" w:hanging="420"/>
      </w:pPr>
      <w:rPr>
        <w:b/>
        <w:bCs w:val="0"/>
        <w:i w:val="0"/>
        <w:iCs w:val="0"/>
        <w:caps w:val="0"/>
        <w:smallCaps w:val="0"/>
        <w:strike w:val="0"/>
        <w:dstrike w:val="0"/>
        <w:vanish w:val="0"/>
        <w:color w:val="000000"/>
        <w:spacing w:val="0"/>
        <w:position w:val="0"/>
        <w:sz w:val="36"/>
        <w:szCs w:val="36"/>
        <w:u w:val="none"/>
        <w:vertAlign w:val="baseline"/>
      </w:rPr>
    </w:lvl>
    <w:lvl w:ilvl="1" w:tentative="0">
      <w:start w:val="1"/>
      <w:numFmt w:val="chineseCountingThousand"/>
      <w:pStyle w:val="63"/>
      <w:lvlText w:val="%2、"/>
      <w:lvlJc w:val="left"/>
      <w:pPr>
        <w:ind w:left="0" w:firstLine="0"/>
      </w:pPr>
      <w:rPr>
        <w:rFonts w:hint="eastAsia"/>
        <w:sz w:val="32"/>
      </w:rPr>
    </w:lvl>
    <w:lvl w:ilvl="2" w:tentative="0">
      <w:start w:val="1"/>
      <w:numFmt w:val="decimal"/>
      <w:pStyle w:val="66"/>
      <w:isLgl/>
      <w:lvlText w:val="%1.%2.%3"/>
      <w:lvlJc w:val="left"/>
      <w:pPr>
        <w:ind w:left="0" w:firstLine="0"/>
      </w:pPr>
      <w:rPr>
        <w:b w:val="0"/>
        <w:bCs w:val="0"/>
        <w:i w:val="0"/>
        <w:iCs w:val="0"/>
        <w:caps w:val="0"/>
        <w:smallCaps w:val="0"/>
        <w:strike w:val="0"/>
        <w:dstrike w:val="0"/>
        <w:vanish w:val="0"/>
        <w:color w:val="000000"/>
        <w:spacing w:val="0"/>
        <w:position w:val="0"/>
        <w:sz w:val="28"/>
        <w:szCs w:val="32"/>
        <w:u w:val="none"/>
        <w:vertAlign w:val="baseline"/>
      </w:rPr>
    </w:lvl>
    <w:lvl w:ilvl="3" w:tentative="0">
      <w:start w:val="1"/>
      <w:numFmt w:val="decimal"/>
      <w:pStyle w:val="64"/>
      <w:isLgl/>
      <w:lvlText w:val="%1.%2.%3.%4"/>
      <w:lvlJc w:val="left"/>
      <w:pPr>
        <w:ind w:left="0" w:firstLine="0"/>
      </w:pPr>
      <w:rPr>
        <w:b/>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9"/>
  </w:num>
  <w:num w:numId="2">
    <w:abstractNumId w:val="24"/>
  </w:num>
  <w:num w:numId="3">
    <w:abstractNumId w:val="22"/>
  </w:num>
  <w:num w:numId="4">
    <w:abstractNumId w:val="17"/>
  </w:num>
  <w:num w:numId="5">
    <w:abstractNumId w:val="10"/>
  </w:num>
  <w:num w:numId="6">
    <w:abstractNumId w:val="23"/>
  </w:num>
  <w:num w:numId="7">
    <w:abstractNumId w:val="18"/>
  </w:num>
  <w:num w:numId="8">
    <w:abstractNumId w:val="4"/>
  </w:num>
  <w:num w:numId="9">
    <w:abstractNumId w:val="5"/>
  </w:num>
  <w:num w:numId="10">
    <w:abstractNumId w:val="0"/>
  </w:num>
  <w:num w:numId="11">
    <w:abstractNumId w:val="1"/>
  </w:num>
  <w:num w:numId="12">
    <w:abstractNumId w:val="16"/>
  </w:num>
  <w:num w:numId="13">
    <w:abstractNumId w:val="14"/>
  </w:num>
  <w:num w:numId="14">
    <w:abstractNumId w:val="7"/>
  </w:num>
  <w:num w:numId="15">
    <w:abstractNumId w:val="6"/>
  </w:num>
  <w:num w:numId="16">
    <w:abstractNumId w:val="20"/>
  </w:num>
  <w:num w:numId="17">
    <w:abstractNumId w:val="3"/>
  </w:num>
  <w:num w:numId="18">
    <w:abstractNumId w:val="9"/>
  </w:num>
  <w:num w:numId="19">
    <w:abstractNumId w:val="12"/>
  </w:num>
  <w:num w:numId="20">
    <w:abstractNumId w:val="13"/>
  </w:num>
  <w:num w:numId="21">
    <w:abstractNumId w:val="21"/>
  </w:num>
  <w:num w:numId="22">
    <w:abstractNumId w:val="8"/>
  </w:num>
  <w:num w:numId="23">
    <w:abstractNumId w:val="11"/>
  </w:num>
  <w:num w:numId="24">
    <w:abstractNumId w:val="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64ACE"/>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68C4"/>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0435"/>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09B2"/>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268F"/>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54EB5"/>
    <w:rsid w:val="00B5541E"/>
    <w:rsid w:val="00B60DAB"/>
    <w:rsid w:val="00B7194E"/>
    <w:rsid w:val="00B763B0"/>
    <w:rsid w:val="00B93045"/>
    <w:rsid w:val="00BA0F1D"/>
    <w:rsid w:val="00BA4130"/>
    <w:rsid w:val="00BB2CAF"/>
    <w:rsid w:val="00BC3E74"/>
    <w:rsid w:val="00BC535F"/>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209"/>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31F5"/>
    <w:rsid w:val="00D555D8"/>
    <w:rsid w:val="00D60778"/>
    <w:rsid w:val="00D64D28"/>
    <w:rsid w:val="00D6604D"/>
    <w:rsid w:val="00D677F1"/>
    <w:rsid w:val="00D74601"/>
    <w:rsid w:val="00D83E46"/>
    <w:rsid w:val="00D847B6"/>
    <w:rsid w:val="00DA6169"/>
    <w:rsid w:val="00DB15C5"/>
    <w:rsid w:val="00DB5480"/>
    <w:rsid w:val="00DB6317"/>
    <w:rsid w:val="00DC5AD9"/>
    <w:rsid w:val="00DC691F"/>
    <w:rsid w:val="00DD02DE"/>
    <w:rsid w:val="00DD07B7"/>
    <w:rsid w:val="00DD113C"/>
    <w:rsid w:val="00DE0BEB"/>
    <w:rsid w:val="00DE4856"/>
    <w:rsid w:val="00DF3E35"/>
    <w:rsid w:val="00DF485B"/>
    <w:rsid w:val="00E04812"/>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4E2E49"/>
    <w:rsid w:val="02A741FD"/>
    <w:rsid w:val="02C16E5D"/>
    <w:rsid w:val="02D964CF"/>
    <w:rsid w:val="02DC3F04"/>
    <w:rsid w:val="0340787C"/>
    <w:rsid w:val="03707410"/>
    <w:rsid w:val="037F03E3"/>
    <w:rsid w:val="0381296F"/>
    <w:rsid w:val="03A0770F"/>
    <w:rsid w:val="03A27BF9"/>
    <w:rsid w:val="03A448B8"/>
    <w:rsid w:val="03A4578A"/>
    <w:rsid w:val="03AD071E"/>
    <w:rsid w:val="03D10969"/>
    <w:rsid w:val="04DF1036"/>
    <w:rsid w:val="050F6021"/>
    <w:rsid w:val="05A97DEC"/>
    <w:rsid w:val="05C81981"/>
    <w:rsid w:val="065250E2"/>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5D1459"/>
    <w:rsid w:val="0AA534D5"/>
    <w:rsid w:val="0AA650EB"/>
    <w:rsid w:val="0AB8066A"/>
    <w:rsid w:val="0ACD1B33"/>
    <w:rsid w:val="0AF47339"/>
    <w:rsid w:val="0B22594B"/>
    <w:rsid w:val="0B6709D0"/>
    <w:rsid w:val="0B797387"/>
    <w:rsid w:val="0B9A670B"/>
    <w:rsid w:val="0BC044BE"/>
    <w:rsid w:val="0BDF26F7"/>
    <w:rsid w:val="0C264099"/>
    <w:rsid w:val="0C2B4952"/>
    <w:rsid w:val="0C5B112B"/>
    <w:rsid w:val="0C7B2220"/>
    <w:rsid w:val="0D527BA9"/>
    <w:rsid w:val="0D7A35B6"/>
    <w:rsid w:val="0D890E47"/>
    <w:rsid w:val="0DC64A00"/>
    <w:rsid w:val="0DFC60BA"/>
    <w:rsid w:val="0DFF4FAE"/>
    <w:rsid w:val="0E236A8E"/>
    <w:rsid w:val="0E4249F1"/>
    <w:rsid w:val="0F6C5A53"/>
    <w:rsid w:val="0F7C5FF6"/>
    <w:rsid w:val="0FC63FBD"/>
    <w:rsid w:val="0FD647F4"/>
    <w:rsid w:val="106C564D"/>
    <w:rsid w:val="107B7B8F"/>
    <w:rsid w:val="107C67CE"/>
    <w:rsid w:val="108F06C9"/>
    <w:rsid w:val="109D68CB"/>
    <w:rsid w:val="10A949B8"/>
    <w:rsid w:val="10C54639"/>
    <w:rsid w:val="10DC50D7"/>
    <w:rsid w:val="11200D07"/>
    <w:rsid w:val="11DA73AF"/>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5735E00"/>
    <w:rsid w:val="157D38E3"/>
    <w:rsid w:val="15D359D7"/>
    <w:rsid w:val="15D81E0F"/>
    <w:rsid w:val="161771F3"/>
    <w:rsid w:val="16222D6D"/>
    <w:rsid w:val="16397C2F"/>
    <w:rsid w:val="163C77BE"/>
    <w:rsid w:val="16453F42"/>
    <w:rsid w:val="16632F86"/>
    <w:rsid w:val="1679588C"/>
    <w:rsid w:val="16994962"/>
    <w:rsid w:val="169E6A82"/>
    <w:rsid w:val="16A71041"/>
    <w:rsid w:val="16AA24BF"/>
    <w:rsid w:val="16F72341"/>
    <w:rsid w:val="17680CAB"/>
    <w:rsid w:val="176E4128"/>
    <w:rsid w:val="1783371F"/>
    <w:rsid w:val="17E62B67"/>
    <w:rsid w:val="180C0192"/>
    <w:rsid w:val="180F4499"/>
    <w:rsid w:val="18213E65"/>
    <w:rsid w:val="18221ECE"/>
    <w:rsid w:val="190B7894"/>
    <w:rsid w:val="19135859"/>
    <w:rsid w:val="196F5988"/>
    <w:rsid w:val="19A2789F"/>
    <w:rsid w:val="1A3109F9"/>
    <w:rsid w:val="1A460CF5"/>
    <w:rsid w:val="1A7F297D"/>
    <w:rsid w:val="1AB16AC1"/>
    <w:rsid w:val="1B034A52"/>
    <w:rsid w:val="1B1F34AD"/>
    <w:rsid w:val="1B8D5DC6"/>
    <w:rsid w:val="1B961E96"/>
    <w:rsid w:val="1BA7712F"/>
    <w:rsid w:val="1BFC5B8F"/>
    <w:rsid w:val="1BFE1D3B"/>
    <w:rsid w:val="1C2775EC"/>
    <w:rsid w:val="1C45234D"/>
    <w:rsid w:val="1C750ECE"/>
    <w:rsid w:val="1CA22168"/>
    <w:rsid w:val="1CAD36B1"/>
    <w:rsid w:val="1D0836D7"/>
    <w:rsid w:val="1D196139"/>
    <w:rsid w:val="1D3A2A58"/>
    <w:rsid w:val="1DB85900"/>
    <w:rsid w:val="1DF051AF"/>
    <w:rsid w:val="1E010AF7"/>
    <w:rsid w:val="1E0178EB"/>
    <w:rsid w:val="1E301173"/>
    <w:rsid w:val="1E38333E"/>
    <w:rsid w:val="1E5C7612"/>
    <w:rsid w:val="1E6B54C1"/>
    <w:rsid w:val="1EA40BB4"/>
    <w:rsid w:val="1F43381C"/>
    <w:rsid w:val="1F84495C"/>
    <w:rsid w:val="1FA4148D"/>
    <w:rsid w:val="1FA86F5D"/>
    <w:rsid w:val="200E7BD0"/>
    <w:rsid w:val="20121621"/>
    <w:rsid w:val="201A421D"/>
    <w:rsid w:val="20341172"/>
    <w:rsid w:val="204E554F"/>
    <w:rsid w:val="20590035"/>
    <w:rsid w:val="20C35213"/>
    <w:rsid w:val="20FC799E"/>
    <w:rsid w:val="21D825CF"/>
    <w:rsid w:val="22154DDD"/>
    <w:rsid w:val="22213E42"/>
    <w:rsid w:val="22336873"/>
    <w:rsid w:val="22753A7D"/>
    <w:rsid w:val="22CB610F"/>
    <w:rsid w:val="23175889"/>
    <w:rsid w:val="2373706C"/>
    <w:rsid w:val="238C2182"/>
    <w:rsid w:val="239015D1"/>
    <w:rsid w:val="23BB4E7D"/>
    <w:rsid w:val="23C172D6"/>
    <w:rsid w:val="23F04F64"/>
    <w:rsid w:val="24814CBE"/>
    <w:rsid w:val="24AC168B"/>
    <w:rsid w:val="25114AC3"/>
    <w:rsid w:val="258C3BEC"/>
    <w:rsid w:val="25A92CDD"/>
    <w:rsid w:val="25E44366"/>
    <w:rsid w:val="25E576CC"/>
    <w:rsid w:val="260E3862"/>
    <w:rsid w:val="262569FC"/>
    <w:rsid w:val="26344C98"/>
    <w:rsid w:val="26E009A8"/>
    <w:rsid w:val="26F56CE2"/>
    <w:rsid w:val="27435D49"/>
    <w:rsid w:val="27A34F71"/>
    <w:rsid w:val="27B36A67"/>
    <w:rsid w:val="27EB0D9B"/>
    <w:rsid w:val="286602C8"/>
    <w:rsid w:val="28665C95"/>
    <w:rsid w:val="28825773"/>
    <w:rsid w:val="28872B17"/>
    <w:rsid w:val="28A64522"/>
    <w:rsid w:val="28CC5B40"/>
    <w:rsid w:val="28FB7971"/>
    <w:rsid w:val="290B3EB9"/>
    <w:rsid w:val="291418C2"/>
    <w:rsid w:val="2950768C"/>
    <w:rsid w:val="297A5FC4"/>
    <w:rsid w:val="2A1113BC"/>
    <w:rsid w:val="2A1E2AFB"/>
    <w:rsid w:val="2A586210"/>
    <w:rsid w:val="2A8D4F8F"/>
    <w:rsid w:val="2A911082"/>
    <w:rsid w:val="2A917B34"/>
    <w:rsid w:val="2AE3766F"/>
    <w:rsid w:val="2B7E4054"/>
    <w:rsid w:val="2BF22742"/>
    <w:rsid w:val="2C987C56"/>
    <w:rsid w:val="2CFF149A"/>
    <w:rsid w:val="2D201865"/>
    <w:rsid w:val="2D352080"/>
    <w:rsid w:val="2D4B5CEA"/>
    <w:rsid w:val="2D652658"/>
    <w:rsid w:val="2DC80C49"/>
    <w:rsid w:val="2DCA6355"/>
    <w:rsid w:val="2DF0699F"/>
    <w:rsid w:val="2DF36FAB"/>
    <w:rsid w:val="2E166748"/>
    <w:rsid w:val="2E556F01"/>
    <w:rsid w:val="2E8E20B4"/>
    <w:rsid w:val="2ED06066"/>
    <w:rsid w:val="2ED1223D"/>
    <w:rsid w:val="2EE470F7"/>
    <w:rsid w:val="2F000139"/>
    <w:rsid w:val="2F3C426E"/>
    <w:rsid w:val="2F561B8A"/>
    <w:rsid w:val="2F9F42DC"/>
    <w:rsid w:val="2FE04319"/>
    <w:rsid w:val="2FF37AB3"/>
    <w:rsid w:val="30AD49F0"/>
    <w:rsid w:val="30FF27D2"/>
    <w:rsid w:val="311573CF"/>
    <w:rsid w:val="31170995"/>
    <w:rsid w:val="31264A30"/>
    <w:rsid w:val="31884E67"/>
    <w:rsid w:val="31A0275E"/>
    <w:rsid w:val="31B7357A"/>
    <w:rsid w:val="31E14405"/>
    <w:rsid w:val="31ED6B08"/>
    <w:rsid w:val="31F915C9"/>
    <w:rsid w:val="322650EA"/>
    <w:rsid w:val="32610CE6"/>
    <w:rsid w:val="328464CE"/>
    <w:rsid w:val="32AB70C5"/>
    <w:rsid w:val="32DC33E0"/>
    <w:rsid w:val="335D0AF5"/>
    <w:rsid w:val="33614D0F"/>
    <w:rsid w:val="3370088C"/>
    <w:rsid w:val="33A3154A"/>
    <w:rsid w:val="33DC2F78"/>
    <w:rsid w:val="3428227C"/>
    <w:rsid w:val="343B1793"/>
    <w:rsid w:val="34672D35"/>
    <w:rsid w:val="34EB1864"/>
    <w:rsid w:val="35260F83"/>
    <w:rsid w:val="35602226"/>
    <w:rsid w:val="356B72E7"/>
    <w:rsid w:val="3572424F"/>
    <w:rsid w:val="35FC3844"/>
    <w:rsid w:val="36213401"/>
    <w:rsid w:val="36794DEF"/>
    <w:rsid w:val="36AD519D"/>
    <w:rsid w:val="36B57705"/>
    <w:rsid w:val="37406AD8"/>
    <w:rsid w:val="374F1A0B"/>
    <w:rsid w:val="37A103ED"/>
    <w:rsid w:val="37EA5E6E"/>
    <w:rsid w:val="37FF016F"/>
    <w:rsid w:val="38427C0B"/>
    <w:rsid w:val="387C5ABE"/>
    <w:rsid w:val="389B3A1E"/>
    <w:rsid w:val="38B85F4F"/>
    <w:rsid w:val="38EB6119"/>
    <w:rsid w:val="39577CB8"/>
    <w:rsid w:val="399E320F"/>
    <w:rsid w:val="39DE33DA"/>
    <w:rsid w:val="39FA5B4A"/>
    <w:rsid w:val="39FE0BE9"/>
    <w:rsid w:val="3A152386"/>
    <w:rsid w:val="3A3C1AAF"/>
    <w:rsid w:val="3A4B7CC1"/>
    <w:rsid w:val="3A51228C"/>
    <w:rsid w:val="3A552E60"/>
    <w:rsid w:val="3A5D642F"/>
    <w:rsid w:val="3AB210FC"/>
    <w:rsid w:val="3ACE216B"/>
    <w:rsid w:val="3AD95C13"/>
    <w:rsid w:val="3B261E51"/>
    <w:rsid w:val="3B8D031E"/>
    <w:rsid w:val="3B973F88"/>
    <w:rsid w:val="3BC95762"/>
    <w:rsid w:val="3BCD72F7"/>
    <w:rsid w:val="3C414142"/>
    <w:rsid w:val="3C9121FF"/>
    <w:rsid w:val="3CE114D9"/>
    <w:rsid w:val="3CF737A2"/>
    <w:rsid w:val="3CF7509A"/>
    <w:rsid w:val="3D10295A"/>
    <w:rsid w:val="3D2C126C"/>
    <w:rsid w:val="3E0572FD"/>
    <w:rsid w:val="3E1A5292"/>
    <w:rsid w:val="3E501C99"/>
    <w:rsid w:val="3E5A7FE7"/>
    <w:rsid w:val="3EC8179E"/>
    <w:rsid w:val="3EEA70F2"/>
    <w:rsid w:val="3EF66B2E"/>
    <w:rsid w:val="3F217914"/>
    <w:rsid w:val="3F2944D1"/>
    <w:rsid w:val="3FD70BB0"/>
    <w:rsid w:val="3FFB55AC"/>
    <w:rsid w:val="3FFF7438"/>
    <w:rsid w:val="401C5F9D"/>
    <w:rsid w:val="401C690C"/>
    <w:rsid w:val="401D7195"/>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A7D24"/>
    <w:rsid w:val="42FD694D"/>
    <w:rsid w:val="434A6D8F"/>
    <w:rsid w:val="4397723B"/>
    <w:rsid w:val="43D522BF"/>
    <w:rsid w:val="43FA5777"/>
    <w:rsid w:val="44044D92"/>
    <w:rsid w:val="441C1611"/>
    <w:rsid w:val="44212CEC"/>
    <w:rsid w:val="443C440B"/>
    <w:rsid w:val="443F7DBF"/>
    <w:rsid w:val="44514F52"/>
    <w:rsid w:val="446D66E7"/>
    <w:rsid w:val="448965CB"/>
    <w:rsid w:val="44C5497E"/>
    <w:rsid w:val="44FA2D53"/>
    <w:rsid w:val="4571374F"/>
    <w:rsid w:val="458B1BB0"/>
    <w:rsid w:val="45A67760"/>
    <w:rsid w:val="4611075B"/>
    <w:rsid w:val="46214818"/>
    <w:rsid w:val="467A0297"/>
    <w:rsid w:val="468B7125"/>
    <w:rsid w:val="46C4691F"/>
    <w:rsid w:val="4781737D"/>
    <w:rsid w:val="47841568"/>
    <w:rsid w:val="479D1D34"/>
    <w:rsid w:val="47B609C0"/>
    <w:rsid w:val="47CF543E"/>
    <w:rsid w:val="47DF6EA2"/>
    <w:rsid w:val="480220DE"/>
    <w:rsid w:val="48044F7F"/>
    <w:rsid w:val="482D31EA"/>
    <w:rsid w:val="485970A0"/>
    <w:rsid w:val="48847961"/>
    <w:rsid w:val="48A41906"/>
    <w:rsid w:val="48B65C71"/>
    <w:rsid w:val="48BB5EC4"/>
    <w:rsid w:val="48F303D7"/>
    <w:rsid w:val="492837FF"/>
    <w:rsid w:val="492E6A57"/>
    <w:rsid w:val="49B86103"/>
    <w:rsid w:val="49E62540"/>
    <w:rsid w:val="4A0030EE"/>
    <w:rsid w:val="4A243364"/>
    <w:rsid w:val="4AB75B3A"/>
    <w:rsid w:val="4AC36065"/>
    <w:rsid w:val="4B2A5930"/>
    <w:rsid w:val="4B560086"/>
    <w:rsid w:val="4B5F264E"/>
    <w:rsid w:val="4B7501F5"/>
    <w:rsid w:val="4B8C2DEB"/>
    <w:rsid w:val="4BDD54E6"/>
    <w:rsid w:val="4BFA3C9F"/>
    <w:rsid w:val="4C0E3379"/>
    <w:rsid w:val="4C107F48"/>
    <w:rsid w:val="4C173FDB"/>
    <w:rsid w:val="4C3277BC"/>
    <w:rsid w:val="4C686851"/>
    <w:rsid w:val="4CC353EB"/>
    <w:rsid w:val="4CDB1AE6"/>
    <w:rsid w:val="4CF36F3C"/>
    <w:rsid w:val="4CFC69A5"/>
    <w:rsid w:val="4D1C7703"/>
    <w:rsid w:val="4D4F67BA"/>
    <w:rsid w:val="4D603399"/>
    <w:rsid w:val="4D867EE1"/>
    <w:rsid w:val="4DBC4C65"/>
    <w:rsid w:val="4DF6568D"/>
    <w:rsid w:val="4E2E1A80"/>
    <w:rsid w:val="4E550010"/>
    <w:rsid w:val="4E5F14CB"/>
    <w:rsid w:val="4ED109FE"/>
    <w:rsid w:val="4ED95E04"/>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D851D8"/>
    <w:rsid w:val="51E44D3C"/>
    <w:rsid w:val="524A036B"/>
    <w:rsid w:val="52506DA7"/>
    <w:rsid w:val="529D471C"/>
    <w:rsid w:val="533B2B84"/>
    <w:rsid w:val="535F3BF1"/>
    <w:rsid w:val="537A7243"/>
    <w:rsid w:val="539C1B81"/>
    <w:rsid w:val="53AA6184"/>
    <w:rsid w:val="53AE750F"/>
    <w:rsid w:val="53EB0895"/>
    <w:rsid w:val="53F263AD"/>
    <w:rsid w:val="54693932"/>
    <w:rsid w:val="549A6BFA"/>
    <w:rsid w:val="54A6423F"/>
    <w:rsid w:val="54D97571"/>
    <w:rsid w:val="54E72921"/>
    <w:rsid w:val="55230792"/>
    <w:rsid w:val="55806F07"/>
    <w:rsid w:val="55A44ACC"/>
    <w:rsid w:val="55D9752F"/>
    <w:rsid w:val="55FA2961"/>
    <w:rsid w:val="565E7F4F"/>
    <w:rsid w:val="56775789"/>
    <w:rsid w:val="56857D06"/>
    <w:rsid w:val="56914056"/>
    <w:rsid w:val="569F0E63"/>
    <w:rsid w:val="56A05DC4"/>
    <w:rsid w:val="56DB613D"/>
    <w:rsid w:val="573810DA"/>
    <w:rsid w:val="57FC2169"/>
    <w:rsid w:val="58096275"/>
    <w:rsid w:val="580E4560"/>
    <w:rsid w:val="581C04F1"/>
    <w:rsid w:val="582E6EF7"/>
    <w:rsid w:val="58434392"/>
    <w:rsid w:val="584E30E6"/>
    <w:rsid w:val="587627C6"/>
    <w:rsid w:val="589932AA"/>
    <w:rsid w:val="59014D02"/>
    <w:rsid w:val="592E16F6"/>
    <w:rsid w:val="597B384D"/>
    <w:rsid w:val="59996DA8"/>
    <w:rsid w:val="59AC3CE9"/>
    <w:rsid w:val="59C30F1B"/>
    <w:rsid w:val="5A0D5854"/>
    <w:rsid w:val="5A20156F"/>
    <w:rsid w:val="5A2A32CF"/>
    <w:rsid w:val="5A2F40E0"/>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8F5F4A"/>
    <w:rsid w:val="5CB23AE6"/>
    <w:rsid w:val="5CF55792"/>
    <w:rsid w:val="5CFD533A"/>
    <w:rsid w:val="5D2F72C2"/>
    <w:rsid w:val="5D893B14"/>
    <w:rsid w:val="5E2810D5"/>
    <w:rsid w:val="5E2B7D62"/>
    <w:rsid w:val="5E4324B5"/>
    <w:rsid w:val="5E71411E"/>
    <w:rsid w:val="5EA06921"/>
    <w:rsid w:val="5ED5006A"/>
    <w:rsid w:val="5F236957"/>
    <w:rsid w:val="5F576E4B"/>
    <w:rsid w:val="5F5D4EDE"/>
    <w:rsid w:val="5F7A2C30"/>
    <w:rsid w:val="5FBE370A"/>
    <w:rsid w:val="5FD62906"/>
    <w:rsid w:val="60292845"/>
    <w:rsid w:val="60403E3A"/>
    <w:rsid w:val="61027308"/>
    <w:rsid w:val="612E1A5D"/>
    <w:rsid w:val="614F559F"/>
    <w:rsid w:val="616A73F6"/>
    <w:rsid w:val="61816046"/>
    <w:rsid w:val="62182687"/>
    <w:rsid w:val="62213901"/>
    <w:rsid w:val="62391564"/>
    <w:rsid w:val="62816669"/>
    <w:rsid w:val="62BA0953"/>
    <w:rsid w:val="62D03A7C"/>
    <w:rsid w:val="62F16BCB"/>
    <w:rsid w:val="62F648FE"/>
    <w:rsid w:val="63341DB1"/>
    <w:rsid w:val="633B5479"/>
    <w:rsid w:val="63447612"/>
    <w:rsid w:val="63883BB1"/>
    <w:rsid w:val="63907004"/>
    <w:rsid w:val="639A73C1"/>
    <w:rsid w:val="63A10995"/>
    <w:rsid w:val="63A573AB"/>
    <w:rsid w:val="63B73E59"/>
    <w:rsid w:val="63C23EFA"/>
    <w:rsid w:val="63E52E10"/>
    <w:rsid w:val="64210135"/>
    <w:rsid w:val="643A070A"/>
    <w:rsid w:val="644C573D"/>
    <w:rsid w:val="64660CBB"/>
    <w:rsid w:val="648667A7"/>
    <w:rsid w:val="64DB383A"/>
    <w:rsid w:val="65032F85"/>
    <w:rsid w:val="65136B50"/>
    <w:rsid w:val="657E2A35"/>
    <w:rsid w:val="6588751C"/>
    <w:rsid w:val="65A94E9D"/>
    <w:rsid w:val="65C60A92"/>
    <w:rsid w:val="65C7105B"/>
    <w:rsid w:val="65F3550D"/>
    <w:rsid w:val="662203DD"/>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396D51"/>
    <w:rsid w:val="6B577FA5"/>
    <w:rsid w:val="6B723594"/>
    <w:rsid w:val="6B805156"/>
    <w:rsid w:val="6B9A1267"/>
    <w:rsid w:val="6BD50977"/>
    <w:rsid w:val="6BEA0C87"/>
    <w:rsid w:val="6BEA2A9B"/>
    <w:rsid w:val="6BEE7CFA"/>
    <w:rsid w:val="6C9C0875"/>
    <w:rsid w:val="6C9D1F03"/>
    <w:rsid w:val="6CAA3931"/>
    <w:rsid w:val="6D3933CA"/>
    <w:rsid w:val="6D7B61EC"/>
    <w:rsid w:val="6D83111E"/>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B86567"/>
    <w:rsid w:val="71E96309"/>
    <w:rsid w:val="71EA1FED"/>
    <w:rsid w:val="72284A0C"/>
    <w:rsid w:val="72854629"/>
    <w:rsid w:val="72C16204"/>
    <w:rsid w:val="730313F6"/>
    <w:rsid w:val="731E1007"/>
    <w:rsid w:val="73370D24"/>
    <w:rsid w:val="7359268C"/>
    <w:rsid w:val="739503EB"/>
    <w:rsid w:val="73A05B28"/>
    <w:rsid w:val="73C07D69"/>
    <w:rsid w:val="73E352ED"/>
    <w:rsid w:val="74351555"/>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F70999"/>
    <w:rsid w:val="79FE1DDD"/>
    <w:rsid w:val="7A075767"/>
    <w:rsid w:val="7A212062"/>
    <w:rsid w:val="7A282A11"/>
    <w:rsid w:val="7A9E3ACF"/>
    <w:rsid w:val="7AB90FF6"/>
    <w:rsid w:val="7AC21562"/>
    <w:rsid w:val="7AD474A4"/>
    <w:rsid w:val="7B115232"/>
    <w:rsid w:val="7B401C35"/>
    <w:rsid w:val="7B416BDC"/>
    <w:rsid w:val="7B5350AD"/>
    <w:rsid w:val="7B6867EB"/>
    <w:rsid w:val="7B697C89"/>
    <w:rsid w:val="7B7635D5"/>
    <w:rsid w:val="7B8D34C3"/>
    <w:rsid w:val="7B971D84"/>
    <w:rsid w:val="7BF32F03"/>
    <w:rsid w:val="7C1724A5"/>
    <w:rsid w:val="7C8E3CCF"/>
    <w:rsid w:val="7CA54112"/>
    <w:rsid w:val="7CE50CE4"/>
    <w:rsid w:val="7D2E5ABF"/>
    <w:rsid w:val="7DCA1E7A"/>
    <w:rsid w:val="7E2142A2"/>
    <w:rsid w:val="7E4F5384"/>
    <w:rsid w:val="7E5A6DFA"/>
    <w:rsid w:val="7E613B0F"/>
    <w:rsid w:val="7E7B0BF2"/>
    <w:rsid w:val="7E7C7A78"/>
    <w:rsid w:val="7E8D75B6"/>
    <w:rsid w:val="7EA34F14"/>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4"/>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outlineLvl w:val="2"/>
    </w:pPr>
    <w:rPr>
      <w:b/>
      <w:bCs/>
      <w:sz w:val="28"/>
      <w:szCs w:val="32"/>
    </w:rPr>
  </w:style>
  <w:style w:type="paragraph" w:styleId="5">
    <w:name w:val="heading 4"/>
    <w:basedOn w:val="1"/>
    <w:next w:val="1"/>
    <w:link w:val="34"/>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60"/>
    <w:semiHidden/>
    <w:unhideWhenUsed/>
    <w:qFormat/>
    <w:uiPriority w:val="99"/>
  </w:style>
  <w:style w:type="paragraph" w:styleId="7">
    <w:name w:val="Body Text"/>
    <w:basedOn w:val="1"/>
    <w:next w:val="8"/>
    <w:qFormat/>
    <w:uiPriority w:val="1"/>
    <w:pPr>
      <w:spacing w:before="161"/>
      <w:ind w:left="120"/>
    </w:pPr>
    <w:rPr>
      <w:rFonts w:ascii="宋体" w:hAnsi="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5"/>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8"/>
    <w:semiHidden/>
    <w:unhideWhenUsed/>
    <w:qFormat/>
    <w:uiPriority w:val="99"/>
    <w:rPr>
      <w:sz w:val="18"/>
      <w:szCs w:val="18"/>
    </w:rPr>
  </w:style>
  <w:style w:type="paragraph" w:styleId="13">
    <w:name w:val="footer"/>
    <w:basedOn w:val="1"/>
    <w:link w:val="47"/>
    <w:unhideWhenUsed/>
    <w:qFormat/>
    <w:uiPriority w:val="99"/>
    <w:pPr>
      <w:tabs>
        <w:tab w:val="center" w:pos="4153"/>
        <w:tab w:val="right" w:pos="8306"/>
      </w:tabs>
    </w:pPr>
    <w:rPr>
      <w:sz w:val="18"/>
      <w:szCs w:val="18"/>
    </w:rPr>
  </w:style>
  <w:style w:type="paragraph" w:styleId="14">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0"/>
    <w:qFormat/>
    <w:uiPriority w:val="0"/>
    <w:pPr>
      <w:widowControl w:val="0"/>
      <w:adjustRightInd/>
      <w:snapToGrid/>
      <w:jc w:val="both"/>
    </w:pPr>
    <w:rPr>
      <w:rFonts w:asciiTheme="minorHAnsi" w:hAnsiTheme="minorHAnsi"/>
      <w:kern w:val="2"/>
      <w:sz w:val="24"/>
      <w:szCs w:val="24"/>
    </w:rPr>
  </w:style>
  <w:style w:type="paragraph" w:styleId="22">
    <w:name w:val="annotation subject"/>
    <w:basedOn w:val="6"/>
    <w:next w:val="6"/>
    <w:link w:val="61"/>
    <w:semiHidden/>
    <w:unhideWhenUsed/>
    <w:qFormat/>
    <w:uiPriority w:val="99"/>
    <w:rPr>
      <w:b/>
      <w:bCs/>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djustRightInd/>
      <w:spacing w:before="25" w:after="25"/>
    </w:pPr>
    <w:rPr>
      <w:rFonts w:ascii="Times New Roman"/>
      <w:bCs/>
      <w:spacing w:val="10"/>
      <w:szCs w:val="20"/>
    </w:rPr>
  </w:style>
  <w:style w:type="character" w:customStyle="1" w:styleId="31">
    <w:name w:val="标题 2 字符"/>
    <w:basedOn w:val="25"/>
    <w:link w:val="3"/>
    <w:qFormat/>
    <w:uiPriority w:val="9"/>
    <w:rPr>
      <w:rFonts w:asciiTheme="majorHAnsi" w:hAnsiTheme="majorHAnsi" w:eastAsiaTheme="majorEastAsia" w:cstheme="majorBidi"/>
      <w:b/>
      <w:bCs/>
      <w:sz w:val="32"/>
      <w:szCs w:val="32"/>
    </w:rPr>
  </w:style>
  <w:style w:type="character" w:customStyle="1" w:styleId="32">
    <w:name w:val="标题 3 字符"/>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字符"/>
    <w:basedOn w:val="25"/>
    <w:link w:val="5"/>
    <w:qFormat/>
    <w:uiPriority w:val="9"/>
    <w:rPr>
      <w:rFonts w:eastAsia="宋体" w:asciiTheme="majorHAnsi" w:hAnsiTheme="majorHAns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字符"/>
    <w:basedOn w:val="25"/>
    <w:link w:val="10"/>
    <w:semiHidden/>
    <w:qFormat/>
    <w:uiPriority w:val="99"/>
    <w:rPr>
      <w:rFonts w:ascii="宋体" w:hAnsi="Courier New" w:eastAsia="宋体" w:cs="Courier New"/>
      <w:sz w:val="21"/>
      <w:szCs w:val="21"/>
    </w:rPr>
  </w:style>
  <w:style w:type="character" w:customStyle="1" w:styleId="46">
    <w:name w:val="页眉 字符"/>
    <w:basedOn w:val="25"/>
    <w:link w:val="14"/>
    <w:qFormat/>
    <w:uiPriority w:val="99"/>
    <w:rPr>
      <w:rFonts w:ascii="Tahoma" w:hAnsi="Tahoma"/>
      <w:sz w:val="18"/>
      <w:szCs w:val="18"/>
    </w:rPr>
  </w:style>
  <w:style w:type="character" w:customStyle="1" w:styleId="47">
    <w:name w:val="页脚 字符"/>
    <w:basedOn w:val="25"/>
    <w:link w:val="13"/>
    <w:qFormat/>
    <w:uiPriority w:val="99"/>
    <w:rPr>
      <w:rFonts w:ascii="Tahoma" w:hAnsi="Tahoma"/>
      <w:sz w:val="18"/>
      <w:szCs w:val="18"/>
    </w:rPr>
  </w:style>
  <w:style w:type="character" w:customStyle="1" w:styleId="48">
    <w:name w:val="批注框文本 字符"/>
    <w:basedOn w:val="25"/>
    <w:link w:val="12"/>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0">
    <w:name w:val="普通(网站) 字符"/>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4">
    <w:name w:val="正文无缩进"/>
    <w:basedOn w:val="36"/>
    <w:qFormat/>
    <w:uiPriority w:val="0"/>
    <w:pPr>
      <w:ind w:firstLine="0" w:firstLineChars="0"/>
    </w:pPr>
  </w:style>
  <w:style w:type="paragraph" w:customStyle="1" w:styleId="55">
    <w:name w:val="段落"/>
    <w:qFormat/>
    <w:uiPriority w:val="0"/>
    <w:pPr>
      <w:adjustRightInd w:val="0"/>
      <w:snapToGrid w:val="0"/>
      <w:spacing w:before="120" w:after="120" w:line="360" w:lineRule="auto"/>
      <w:ind w:firstLine="560" w:firstLineChars="200"/>
      <w:jc w:val="both"/>
    </w:pPr>
    <w:rPr>
      <w:rFonts w:ascii="仿宋_GB2312" w:hAnsi="宋体" w:eastAsia="仿宋_GB2312" w:cs="Times New Roman"/>
      <w:sz w:val="28"/>
      <w:szCs w:val="28"/>
      <w:lang w:val="en-US" w:eastAsia="zh-CN" w:bidi="ar-SA"/>
    </w:rPr>
  </w:style>
  <w:style w:type="paragraph" w:customStyle="1" w:styleId="56">
    <w:name w:val="GW-标题4"/>
    <w:basedOn w:val="1"/>
    <w:qFormat/>
    <w:uiPriority w:val="0"/>
    <w:pPr>
      <w:numPr>
        <w:ilvl w:val="3"/>
        <w:numId w:val="1"/>
      </w:numPr>
      <w:tabs>
        <w:tab w:val="left" w:pos="8286"/>
      </w:tabs>
      <w:spacing w:line="600" w:lineRule="exact"/>
      <w:ind w:firstLine="0"/>
      <w:outlineLvl w:val="3"/>
    </w:pPr>
    <w:rPr>
      <w:rFonts w:ascii="黑体" w:hAnsi="宋体" w:eastAsia="黑体" w:cs="宋体"/>
      <w:color w:val="000000"/>
      <w:spacing w:val="15"/>
      <w:sz w:val="30"/>
    </w:rPr>
  </w:style>
  <w:style w:type="paragraph" w:customStyle="1" w:styleId="57">
    <w:name w:val="正文 首行缩进:  2 字符 Char"/>
    <w:basedOn w:val="1"/>
    <w:qFormat/>
    <w:uiPriority w:val="0"/>
    <w:pPr>
      <w:ind w:firstLine="480"/>
    </w:pPr>
    <w:rPr>
      <w:rFonts w:ascii="Calibri" w:hAnsi="Calibri"/>
      <w:kern w:val="2"/>
      <w:sz w:val="24"/>
      <w:szCs w:val="20"/>
    </w:rPr>
  </w:style>
  <w:style w:type="paragraph" w:customStyle="1" w:styleId="58">
    <w:name w:val="infoblue"/>
    <w:basedOn w:val="1"/>
    <w:qFormat/>
    <w:uiPriority w:val="0"/>
    <w:pPr>
      <w:spacing w:before="100" w:beforeAutospacing="1" w:after="100" w:afterAutospacing="1" w:line="240" w:lineRule="atLeast"/>
      <w:ind w:firstLine="200"/>
    </w:pPr>
    <w:rPr>
      <w:i/>
      <w:iCs/>
      <w:color w:val="0000FF"/>
      <w:szCs w:val="20"/>
    </w:rPr>
  </w:style>
  <w:style w:type="paragraph" w:customStyle="1" w:styleId="59">
    <w:name w:val="_Style 18"/>
    <w:basedOn w:val="1"/>
    <w:next w:val="33"/>
    <w:qFormat/>
    <w:uiPriority w:val="34"/>
    <w:pPr>
      <w:ind w:firstLine="420" w:firstLineChars="200"/>
    </w:pPr>
  </w:style>
  <w:style w:type="character" w:customStyle="1" w:styleId="60">
    <w:name w:val="批注文字 字符"/>
    <w:basedOn w:val="25"/>
    <w:link w:val="6"/>
    <w:semiHidden/>
    <w:qFormat/>
    <w:uiPriority w:val="99"/>
    <w:rPr>
      <w:rFonts w:ascii="Tahoma" w:hAnsi="Tahoma" w:cstheme="minorBidi"/>
      <w:sz w:val="21"/>
      <w:szCs w:val="22"/>
    </w:rPr>
  </w:style>
  <w:style w:type="character" w:customStyle="1" w:styleId="61">
    <w:name w:val="批注主题 字符"/>
    <w:basedOn w:val="60"/>
    <w:link w:val="22"/>
    <w:semiHidden/>
    <w:qFormat/>
    <w:uiPriority w:val="99"/>
    <w:rPr>
      <w:rFonts w:ascii="Tahoma" w:hAnsi="Tahoma" w:cstheme="minorBidi"/>
      <w:b/>
      <w:bCs/>
      <w:sz w:val="21"/>
      <w:szCs w:val="22"/>
    </w:rPr>
  </w:style>
  <w:style w:type="character" w:customStyle="1" w:styleId="62">
    <w:name w:val="G2级标题 Char"/>
    <w:link w:val="63"/>
    <w:qFormat/>
    <w:uiPriority w:val="0"/>
    <w:rPr>
      <w:rFonts w:ascii="华文细黑" w:hAnsi="华文细黑" w:eastAsia="华文细黑"/>
      <w:b/>
      <w:color w:val="000000"/>
      <w:sz w:val="32"/>
    </w:rPr>
  </w:style>
  <w:style w:type="paragraph" w:customStyle="1" w:styleId="63">
    <w:name w:val="G2级标题"/>
    <w:basedOn w:val="1"/>
    <w:link w:val="62"/>
    <w:qFormat/>
    <w:uiPriority w:val="0"/>
    <w:pPr>
      <w:widowControl w:val="0"/>
      <w:numPr>
        <w:ilvl w:val="1"/>
        <w:numId w:val="2"/>
      </w:numPr>
      <w:adjustRightInd/>
      <w:snapToGrid/>
      <w:spacing w:beforeLines="50"/>
      <w:outlineLvl w:val="1"/>
    </w:pPr>
    <w:rPr>
      <w:rFonts w:ascii="华文细黑" w:hAnsi="华文细黑" w:eastAsia="华文细黑" w:cs="Times New Roman"/>
      <w:b/>
      <w:color w:val="000000"/>
      <w:sz w:val="32"/>
      <w:szCs w:val="20"/>
    </w:rPr>
  </w:style>
  <w:style w:type="paragraph" w:customStyle="1" w:styleId="64">
    <w:name w:val="G4级标题"/>
    <w:basedOn w:val="1"/>
    <w:qFormat/>
    <w:uiPriority w:val="0"/>
    <w:pPr>
      <w:widowControl w:val="0"/>
      <w:numPr>
        <w:ilvl w:val="3"/>
        <w:numId w:val="2"/>
      </w:numPr>
      <w:adjustRightInd/>
      <w:spacing w:beforeLines="50"/>
      <w:outlineLvl w:val="3"/>
    </w:pPr>
    <w:rPr>
      <w:rFonts w:ascii="华文细黑" w:hAnsi="华文细黑" w:eastAsia="华文细黑" w:cs="Times New Roman"/>
      <w:b/>
      <w:sz w:val="28"/>
      <w:szCs w:val="20"/>
    </w:rPr>
  </w:style>
  <w:style w:type="paragraph" w:customStyle="1" w:styleId="65">
    <w:name w:val="G1级标题"/>
    <w:basedOn w:val="1"/>
    <w:qFormat/>
    <w:uiPriority w:val="0"/>
    <w:pPr>
      <w:widowControl w:val="0"/>
      <w:numPr>
        <w:ilvl w:val="0"/>
        <w:numId w:val="2"/>
      </w:numPr>
      <w:adjustRightInd/>
      <w:snapToGrid/>
      <w:jc w:val="center"/>
      <w:outlineLvl w:val="0"/>
    </w:pPr>
    <w:rPr>
      <w:rFonts w:ascii="华文细黑" w:hAnsi="华文细黑" w:eastAsia="华文细黑" w:cs="Times New Roman"/>
      <w:b/>
      <w:bCs/>
      <w:sz w:val="44"/>
      <w:szCs w:val="32"/>
    </w:rPr>
  </w:style>
  <w:style w:type="paragraph" w:customStyle="1" w:styleId="66">
    <w:name w:val="G3级标题"/>
    <w:basedOn w:val="1"/>
    <w:qFormat/>
    <w:uiPriority w:val="0"/>
    <w:pPr>
      <w:widowControl w:val="0"/>
      <w:numPr>
        <w:ilvl w:val="2"/>
        <w:numId w:val="2"/>
      </w:numPr>
      <w:adjustRightInd/>
      <w:snapToGrid/>
      <w:spacing w:beforeLines="50"/>
      <w:outlineLvl w:val="2"/>
    </w:pPr>
    <w:rPr>
      <w:rFonts w:ascii="华文细黑" w:hAnsi="华文细黑" w:eastAsia="华文细黑" w:cs="Times New Roman"/>
      <w:b/>
      <w:color w:val="000000"/>
      <w:sz w:val="3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72</Pages>
  <Words>31655</Words>
  <Characters>32407</Characters>
  <Lines>308</Lines>
  <Paragraphs>86</Paragraphs>
  <TotalTime>11</TotalTime>
  <ScaleCrop>false</ScaleCrop>
  <LinksUpToDate>false</LinksUpToDate>
  <CharactersWithSpaces>36519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2023-09-25T01:57:00Z</dcterms:created>
  <dc:creator>MyPC</dc:creator>
  <cp:keywords>文件格式版本</cp:keywords>
  <cp:lastModifiedBy>Windowns</cp:lastModifiedBy>
  <cp:lastPrinted>2021-04-23T09:50:00Z</cp:lastPrinted>
  <dcterms:modified xsi:type="dcterms:W3CDTF">2023-10-13T02:01:58Z</dcterms:modified>
  <dc:subject>公开招标文件版本</dc:subject>
  <dc:title>公开招标文件版本</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65E9A028B7B945488E88B262A2D87124_13</vt:lpwstr>
  </property>
</Properties>
</file>