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2"/>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GDZT2023149B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kern w:val="2"/>
                <w:sz w:val="32"/>
                <w:szCs w:val="24"/>
                <w:highlight w:val="none"/>
                <w:lang w:eastAsia="zh-CN"/>
              </w:rPr>
              <w:t>东莞新锋光伏能源科技有限公司主山振兴路128号分布式光伏发电项目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东莞新锋光伏能源科技有限公司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请各供应商缴纳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保证金前务必核对正确的缴纳账户，由于错缴、误缴而导致未按项目缴纳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保证金的情况将由供应商自行负责。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保证金必须于</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w:t>
      </w:r>
      <w:r>
        <w:rPr>
          <w:rFonts w:hint="eastAsia" w:ascii="宋体" w:hAnsi="宋体" w:cs="宋体"/>
          <w:b/>
          <w:bCs w:val="0"/>
          <w:color w:val="auto"/>
          <w:sz w:val="21"/>
          <w:szCs w:val="21"/>
          <w:highlight w:val="none"/>
          <w:u w:val="none"/>
          <w:lang w:val="en-US" w:eastAsia="zh-CN"/>
        </w:rPr>
        <w:t>磋商文件</w:t>
      </w:r>
      <w:r>
        <w:rPr>
          <w:rFonts w:hint="eastAsia" w:ascii="宋体" w:hAnsi="宋体" w:eastAsia="宋体" w:cs="宋体"/>
          <w:b/>
          <w:bCs w:val="0"/>
          <w:color w:val="auto"/>
          <w:sz w:val="21"/>
          <w:szCs w:val="21"/>
          <w:highlight w:val="none"/>
          <w:u w:val="none"/>
        </w:rPr>
        <w:t>。由于转账当天不能确保实时到账，为避免因</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七、磋商保证金汇入情况说明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八、采购磋商担保函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_Toc4096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7988"/>
      <w:bookmarkStart w:id="4" w:name="_Toc885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b/>
          <w:color w:val="auto"/>
          <w:sz w:val="21"/>
          <w:szCs w:val="21"/>
          <w:highlight w:val="none"/>
          <w:u w:val="single"/>
          <w:lang w:eastAsia="zh-CN"/>
        </w:rPr>
        <w:t>东莞新锋光伏能源科技有限公司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东莞新锋光伏能源科技有限公司主山振兴路128号分布式光伏发电项目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GDZT2023149B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东莞新锋光伏能源科技有限公司主山振兴路128号分布式光伏发电项目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4793"/>
        <w:gridCol w:w="69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r>
              <w:rPr>
                <w:rFonts w:hint="eastAsia" w:ascii="宋体" w:hAnsi="宋体"/>
                <w:color w:val="auto"/>
                <w:sz w:val="21"/>
                <w:szCs w:val="21"/>
                <w:highlight w:val="none"/>
                <w:lang w:val="en-US" w:eastAsia="zh-CN"/>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cs="宋体"/>
                <w:b/>
                <w:bCs/>
                <w:color w:val="auto"/>
                <w:sz w:val="22"/>
                <w:szCs w:val="22"/>
                <w:highlight w:val="none"/>
                <w:u w:val="single"/>
                <w:lang w:val="en-US" w:eastAsia="zh-CN"/>
              </w:rPr>
              <w:t>东莞新锋光伏能源科技有限公司主山振兴路128号分布式光伏发电项目</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2,357,471.56</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供应商</w:t>
      </w:r>
      <w:r>
        <w:rPr>
          <w:rFonts w:hint="eastAsia" w:ascii="宋体" w:hAnsi="宋体" w:eastAsia="宋体"/>
          <w:color w:val="auto"/>
          <w:sz w:val="21"/>
          <w:szCs w:val="21"/>
          <w:highlight w:val="none"/>
          <w:lang w:eastAsia="zh-CN"/>
        </w:rPr>
        <w:t>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或采购严重违法失信行为”记录名单；不处于中国政府采购网(www.ccgp.gov.cn )“采购严重违法失信行为信息记录”中的禁止参加采购活动期间。以代理机构于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w:t>
      </w:r>
      <w:r>
        <w:rPr>
          <w:rFonts w:hint="eastAsia" w:ascii="宋体" w:hAnsi="宋体"/>
          <w:color w:val="auto"/>
          <w:sz w:val="21"/>
          <w:szCs w:val="21"/>
          <w:highlight w:val="none"/>
          <w:lang w:val="en-US" w:eastAsia="zh-CN"/>
        </w:rPr>
        <w:t>是</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3" w:firstLineChars="196"/>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2、特殊要求：</w:t>
      </w:r>
    </w:p>
    <w:p>
      <w:pPr>
        <w:keepNext w:val="0"/>
        <w:keepLines w:val="0"/>
        <w:pageBreakBefore w:val="0"/>
        <w:widowControl/>
        <w:kinsoku/>
        <w:wordWrap/>
        <w:overflowPunct/>
        <w:topLinePunct w:val="0"/>
        <w:autoSpaceDE/>
        <w:autoSpaceDN/>
        <w:bidi w:val="0"/>
        <w:spacing w:after="0" w:line="400" w:lineRule="exact"/>
        <w:ind w:firstLine="422" w:firstLineChars="200"/>
        <w:textAlignment w:val="auto"/>
        <w:rPr>
          <w:rFonts w:hint="default"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2.1 施工单位</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须</w:t>
      </w:r>
      <w:r>
        <w:rPr>
          <w:rFonts w:hint="eastAsia" w:ascii="宋体" w:hAnsi="宋体" w:eastAsia="宋体" w:cs="宋体"/>
          <w:color w:val="auto"/>
          <w:highlight w:val="none"/>
        </w:rPr>
        <w:t>具有以下其中一种</w:t>
      </w:r>
      <w:r>
        <w:rPr>
          <w:rFonts w:hint="eastAsia" w:ascii="宋体" w:hAnsi="宋体" w:cs="宋体"/>
          <w:color w:val="auto"/>
          <w:highlight w:val="none"/>
          <w:lang w:val="en-US" w:eastAsia="zh-CN"/>
        </w:rPr>
        <w:t>有效期内</w:t>
      </w:r>
      <w:r>
        <w:rPr>
          <w:rFonts w:hint="eastAsia" w:ascii="宋体" w:hAnsi="宋体" w:eastAsia="宋体" w:cs="宋体"/>
          <w:color w:val="auto"/>
          <w:highlight w:val="none"/>
        </w:rPr>
        <w:t>资质：①电力工程施工总承包三级（或以上）资质；②机电工程施工总承包三级（或以上）资质；③输变电工程专业承包三级（或以上）资质；</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须</w:t>
      </w:r>
      <w:r>
        <w:rPr>
          <w:rFonts w:hint="eastAsia" w:ascii="宋体" w:hAnsi="宋体" w:eastAsia="宋体" w:cs="宋体"/>
          <w:color w:val="auto"/>
          <w:highlight w:val="none"/>
        </w:rPr>
        <w:t>具有《承装（修、试）电力设施许可证》承装类别五级或以上资质；</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须</w:t>
      </w:r>
      <w:r>
        <w:rPr>
          <w:rFonts w:hint="eastAsia" w:ascii="宋体" w:hAnsi="宋体" w:eastAsia="宋体" w:cs="宋体"/>
          <w:color w:val="auto"/>
          <w:highlight w:val="none"/>
        </w:rPr>
        <w:t>具有在效期内的《安全生产许可证》。</w:t>
      </w:r>
    </w:p>
    <w:p>
      <w:pPr>
        <w:keepNext w:val="0"/>
        <w:keepLines w:val="0"/>
        <w:pageBreakBefore w:val="0"/>
        <w:widowControl/>
        <w:kinsoku/>
        <w:wordWrap/>
        <w:overflowPunct/>
        <w:topLinePunct w:val="0"/>
        <w:autoSpaceDE/>
        <w:autoSpaceDN/>
        <w:bidi w:val="0"/>
        <w:adjustRightInd/>
        <w:snapToGrid/>
        <w:spacing w:after="0" w:line="400" w:lineRule="exact"/>
        <w:ind w:firstLine="422" w:firstLineChars="200"/>
        <w:textAlignment w:val="auto"/>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2.2 设计单位</w:t>
      </w:r>
    </w:p>
    <w:p>
      <w:pPr>
        <w:keepNext w:val="0"/>
        <w:keepLines w:val="0"/>
        <w:pageBreakBefore w:val="0"/>
        <w:widowControl/>
        <w:kinsoku/>
        <w:wordWrap/>
        <w:overflowPunct/>
        <w:topLinePunct w:val="0"/>
        <w:autoSpaceDE/>
        <w:autoSpaceDN/>
        <w:bidi w:val="0"/>
        <w:adjustRightInd/>
        <w:snapToGrid/>
        <w:spacing w:after="0" w:line="400" w:lineRule="exact"/>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s="宋体"/>
          <w:color w:val="auto"/>
          <w:highlight w:val="none"/>
          <w:lang w:val="en-US" w:eastAsia="zh-CN"/>
        </w:rPr>
        <w:t>须</w:t>
      </w:r>
      <w:r>
        <w:rPr>
          <w:rFonts w:hint="eastAsia" w:ascii="宋体" w:hAnsi="宋体" w:eastAsia="宋体" w:cs="宋体"/>
          <w:color w:val="auto"/>
          <w:highlight w:val="none"/>
        </w:rPr>
        <w:t>具有以下其中一种</w:t>
      </w:r>
      <w:r>
        <w:rPr>
          <w:rFonts w:hint="eastAsia" w:ascii="宋体" w:hAnsi="宋体" w:cs="宋体"/>
          <w:color w:val="auto"/>
          <w:highlight w:val="none"/>
          <w:lang w:val="en-US" w:eastAsia="zh-CN"/>
        </w:rPr>
        <w:t>有效期内</w:t>
      </w:r>
      <w:r>
        <w:rPr>
          <w:rFonts w:hint="eastAsia" w:ascii="宋体" w:hAnsi="宋体" w:eastAsia="宋体" w:cs="宋体"/>
          <w:color w:val="auto"/>
          <w:highlight w:val="none"/>
        </w:rPr>
        <w:t>资质：①</w:t>
      </w:r>
      <w:r>
        <w:rPr>
          <w:rFonts w:hint="default" w:ascii="宋体" w:hAnsi="宋体" w:eastAsia="宋体"/>
          <w:color w:val="auto"/>
          <w:sz w:val="21"/>
          <w:szCs w:val="21"/>
          <w:highlight w:val="none"/>
          <w:lang w:val="en-US" w:eastAsia="zh-CN"/>
        </w:rPr>
        <w:t>工程设计综合资质</w:t>
      </w:r>
      <w:r>
        <w:rPr>
          <w:rFonts w:hint="eastAsia" w:ascii="宋体" w:hAnsi="宋体"/>
          <w:color w:val="auto"/>
          <w:sz w:val="21"/>
          <w:szCs w:val="21"/>
          <w:highlight w:val="none"/>
          <w:lang w:val="en-US" w:eastAsia="zh-CN"/>
        </w:rPr>
        <w:t>；</w:t>
      </w:r>
      <w:r>
        <w:rPr>
          <w:rFonts w:hint="eastAsia" w:ascii="宋体" w:hAnsi="宋体" w:eastAsia="宋体" w:cs="宋体"/>
          <w:color w:val="auto"/>
          <w:highlight w:val="none"/>
        </w:rPr>
        <w:t>②</w:t>
      </w:r>
      <w:r>
        <w:rPr>
          <w:rFonts w:hint="default" w:ascii="宋体" w:hAnsi="宋体" w:eastAsia="宋体"/>
          <w:color w:val="auto"/>
          <w:sz w:val="21"/>
          <w:szCs w:val="21"/>
          <w:highlight w:val="none"/>
          <w:lang w:val="en-US" w:eastAsia="zh-CN"/>
        </w:rPr>
        <w:t>电力行业设计丙级（或以上）资质</w:t>
      </w:r>
      <w:r>
        <w:rPr>
          <w:rFonts w:hint="eastAsia" w:ascii="宋体" w:hAnsi="宋体"/>
          <w:color w:val="auto"/>
          <w:sz w:val="21"/>
          <w:szCs w:val="21"/>
          <w:highlight w:val="none"/>
          <w:lang w:val="en-US" w:eastAsia="zh-CN"/>
        </w:rPr>
        <w:t>；</w:t>
      </w:r>
      <w:r>
        <w:rPr>
          <w:rFonts w:hint="eastAsia" w:ascii="宋体" w:hAnsi="宋体" w:eastAsia="宋体" w:cs="宋体"/>
          <w:color w:val="auto"/>
          <w:highlight w:val="none"/>
        </w:rPr>
        <w:t>③</w:t>
      </w:r>
      <w:r>
        <w:rPr>
          <w:rFonts w:hint="default" w:ascii="宋体" w:hAnsi="宋体" w:eastAsia="宋体"/>
          <w:color w:val="auto"/>
          <w:sz w:val="21"/>
          <w:szCs w:val="21"/>
          <w:highlight w:val="none"/>
          <w:lang w:val="en-US" w:eastAsia="zh-CN"/>
        </w:rPr>
        <w:t>送电（或变电）工程专业设计丙级（或以上）资质</w:t>
      </w:r>
      <w:r>
        <w:rPr>
          <w:rFonts w:hint="eastAsia" w:ascii="宋体" w:hAnsi="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④</w:t>
      </w:r>
      <w:r>
        <w:rPr>
          <w:rFonts w:hint="default" w:ascii="宋体" w:hAnsi="宋体" w:eastAsia="宋体"/>
          <w:color w:val="auto"/>
          <w:sz w:val="21"/>
          <w:szCs w:val="21"/>
          <w:highlight w:val="none"/>
          <w:lang w:val="en-US" w:eastAsia="zh-CN"/>
        </w:rPr>
        <w:t>或新能源发电专业设计丙级（或以上）资质。</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注：</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资质证书已过期的按《住房和城乡建设部办公厅关于建设工程企业资质有关事宜的通知（建办市函〔2022〕361号）》、《广东省住房和城乡建设厅关于建设工程企业资质有关事宜的通知（粤建许函〔2022〕846号》执行，相关文件如有更新，以最新发布的文件规定为准。</w:t>
      </w:r>
    </w:p>
    <w:p>
      <w:pPr>
        <w:bidi w:val="0"/>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安全生产许可证已过期的按《广东省住房和城乡建设厅关于建筑施工企业安全生产许可证和安全生产管理人员证书延期工作的公告》（粤建公告〔2023〕9号）执行，相关文件如有更新，以最新发布的文件规定为准。</w:t>
      </w:r>
    </w:p>
    <w:p>
      <w:pPr>
        <w:bidi w:val="0"/>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以联合体形式参加</w:t>
      </w:r>
      <w:r>
        <w:rPr>
          <w:rFonts w:hint="eastAsia" w:ascii="宋体" w:hAnsi="宋体" w:eastAsia="宋体" w:cs="宋体"/>
          <w:color w:val="auto"/>
          <w:highlight w:val="none"/>
          <w:lang w:val="en-US" w:eastAsia="zh-CN"/>
        </w:rPr>
        <w:t>响应</w:t>
      </w:r>
      <w:r>
        <w:rPr>
          <w:rFonts w:hint="eastAsia" w:ascii="宋体" w:hAnsi="宋体" w:eastAsia="宋体" w:cs="宋体"/>
          <w:color w:val="auto"/>
          <w:highlight w:val="none"/>
        </w:rPr>
        <w:t>的，联合体各方中至少有一方符合以上特定资格条件</w:t>
      </w:r>
      <w:r>
        <w:rPr>
          <w:rFonts w:hint="eastAsia" w:ascii="宋体" w:hAnsi="宋体" w:eastAsia="宋体" w:cs="宋体"/>
          <w:color w:val="auto"/>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w:t>
      </w:r>
      <w:bookmarkStart w:id="338" w:name="_GoBack"/>
      <w:bookmarkEnd w:id="338"/>
      <w:r>
        <w:rPr>
          <w:rFonts w:hint="eastAsia" w:ascii="宋体" w:hAnsi="宋体"/>
          <w:color w:val="auto"/>
          <w:sz w:val="21"/>
          <w:szCs w:val="21"/>
          <w:highlight w:val="none"/>
          <w:lang w:eastAsia="zh-CN"/>
        </w:rPr>
        <w:t>3年</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26</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26</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采购人联系人：翟先生</w:t>
      </w:r>
    </w:p>
    <w:p>
      <w:pPr>
        <w:spacing w:after="0" w:line="360" w:lineRule="auto"/>
        <w:ind w:firstLine="420" w:firstLineChars="20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地址：东莞市松山湖园区新城路5号道弘·龙怡智谷A栋6楼</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联系电话：0769-22899883</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3"/>
        <w:spacing w:before="0" w:after="0" w:line="240" w:lineRule="auto"/>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531"/>
        <w:gridCol w:w="77"/>
        <w:gridCol w:w="1158"/>
        <w:gridCol w:w="1455"/>
        <w:gridCol w:w="231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b/>
                <w:color w:val="auto"/>
                <w:sz w:val="21"/>
                <w:szCs w:val="21"/>
                <w:highlight w:val="none"/>
                <w:lang w:val="en-US"/>
              </w:rPr>
            </w:pPr>
            <w:r>
              <w:rPr>
                <w:rFonts w:hint="eastAsia" w:ascii="宋体" w:hAnsi="宋体" w:eastAsia="宋体"/>
                <w:b/>
                <w:color w:val="auto"/>
                <w:sz w:val="21"/>
                <w:szCs w:val="21"/>
                <w:highlight w:val="none"/>
                <w:lang w:val="en-US" w:eastAsia="zh-CN"/>
              </w:rPr>
              <w:t>东莞</w:t>
            </w:r>
            <w:r>
              <w:rPr>
                <w:rFonts w:hint="eastAsia" w:ascii="宋体" w:hAnsi="宋体"/>
                <w:b/>
                <w:color w:val="auto"/>
                <w:sz w:val="21"/>
                <w:szCs w:val="21"/>
                <w:highlight w:val="none"/>
                <w:lang w:val="en-US" w:eastAsia="zh-CN"/>
              </w:rPr>
              <w:t>市能源投资集团</w:t>
            </w:r>
            <w:r>
              <w:rPr>
                <w:rFonts w:hint="eastAsia" w:ascii="宋体" w:hAnsi="宋体" w:eastAsia="宋体"/>
                <w:b/>
                <w:color w:val="auto"/>
                <w:sz w:val="21"/>
                <w:szCs w:val="21"/>
                <w:highlight w:val="none"/>
                <w:lang w:val="en-US" w:eastAsia="zh-CN"/>
              </w:rPr>
              <w:t>有限公司</w:t>
            </w:r>
            <w:r>
              <w:rPr>
                <w:rFonts w:hint="eastAsia" w:ascii="宋体" w:hAnsi="宋体"/>
                <w:b/>
                <w:color w:val="auto"/>
                <w:sz w:val="21"/>
                <w:szCs w:val="21"/>
                <w:highlight w:val="none"/>
                <w:lang w:val="en-US" w:eastAsia="zh-CN"/>
              </w:rPr>
              <w:t>网站</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4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http://www.dg-energy.com/</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5"/>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5"/>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5"/>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color w:val="auto"/>
                <w:sz w:val="21"/>
                <w:szCs w:val="21"/>
                <w:highlight w:val="none"/>
              </w:rPr>
              <w:t>★</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spacing w:after="0"/>
              <w:jc w:val="both"/>
              <w:rPr>
                <w:rFonts w:hint="eastAsia" w:ascii="宋体" w:hAnsi="宋体" w:eastAsia="宋体"/>
                <w:b/>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保证金金额：人民币</w:t>
            </w:r>
            <w:r>
              <w:rPr>
                <w:rFonts w:hint="eastAsia" w:ascii="宋体" w:hAnsi="宋体"/>
                <w:b/>
                <w:color w:val="auto"/>
                <w:sz w:val="21"/>
                <w:szCs w:val="21"/>
                <w:highlight w:val="none"/>
                <w:lang w:val="en-US" w:eastAsia="zh-CN"/>
              </w:rPr>
              <w:t>贰万肆仟</w:t>
            </w:r>
            <w:r>
              <w:rPr>
                <w:rFonts w:hint="eastAsia" w:ascii="宋体" w:hAnsi="宋体" w:eastAsia="宋体"/>
                <w:color w:val="auto"/>
                <w:sz w:val="21"/>
                <w:szCs w:val="21"/>
                <w:highlight w:val="none"/>
              </w:rPr>
              <w:t>元整（￥</w:t>
            </w:r>
            <w:r>
              <w:rPr>
                <w:rFonts w:hint="eastAsia" w:ascii="宋体" w:hAnsi="宋体"/>
                <w:b/>
                <w:bCs/>
                <w:color w:val="auto"/>
                <w:sz w:val="21"/>
                <w:szCs w:val="21"/>
                <w:highlight w:val="none"/>
                <w:lang w:val="en-US" w:eastAsia="zh-CN"/>
              </w:rPr>
              <w:t>24,000.00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spacing w:after="0"/>
              <w:jc w:val="both"/>
              <w:rPr>
                <w:rFonts w:hint="eastAsia" w:ascii="宋体" w:hAnsi="宋体" w:eastAsia="宋体"/>
                <w:b/>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val="zh-CN"/>
              </w:rPr>
              <w:t>磋商</w:t>
            </w:r>
            <w:r>
              <w:rPr>
                <w:rFonts w:hint="eastAsia" w:ascii="宋体" w:hAnsi="宋体" w:eastAsia="宋体"/>
                <w:color w:val="auto"/>
                <w:sz w:val="21"/>
                <w:szCs w:val="21"/>
                <w:highlight w:val="none"/>
                <w:lang w:val="zh-CN"/>
              </w:rPr>
              <w:t>保证金须严格按“</w:t>
            </w:r>
            <w:r>
              <w:rPr>
                <w:rFonts w:hint="eastAsia" w:ascii="宋体" w:hAnsi="宋体"/>
                <w:color w:val="auto"/>
                <w:sz w:val="21"/>
                <w:szCs w:val="21"/>
                <w:highlight w:val="none"/>
                <w:lang w:val="zh-CN"/>
              </w:rPr>
              <w:t>磋商文件</w:t>
            </w:r>
            <w:r>
              <w:rPr>
                <w:rFonts w:hint="eastAsia" w:ascii="宋体" w:hAnsi="宋体" w:eastAsia="宋体"/>
                <w:color w:val="auto"/>
                <w:sz w:val="21"/>
                <w:szCs w:val="21"/>
                <w:highlight w:val="none"/>
                <w:lang w:val="zh-CN"/>
              </w:rPr>
              <w:t>第</w:t>
            </w:r>
            <w:r>
              <w:rPr>
                <w:rFonts w:hint="eastAsia" w:ascii="宋体" w:hAnsi="宋体" w:eastAsia="宋体"/>
                <w:color w:val="auto"/>
                <w:sz w:val="21"/>
                <w:szCs w:val="21"/>
                <w:highlight w:val="none"/>
              </w:rPr>
              <w:t>四部分</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lang w:val="zh-CN"/>
              </w:rPr>
              <w:t>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0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highlight w:val="none"/>
                <w:lang w:val="en-US" w:eastAsia="zh-CN"/>
              </w:rPr>
            </w:pPr>
          </w:p>
        </w:tc>
        <w:tc>
          <w:tcPr>
            <w:tcW w:w="7532" w:type="dxa"/>
            <w:gridSpan w:val="5"/>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（3）保证金递交账户：6232590699050063450</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收款人：广东政通招标有限公司</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开户行：广发银行股份有限公司东莞新城支行</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帐  号：</w:t>
            </w:r>
          </w:p>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zh-CN"/>
              </w:rPr>
              <w:t>（各</w:t>
            </w:r>
            <w:r>
              <w:rPr>
                <w:rFonts w:hint="eastAsia" w:ascii="宋体" w:hAnsi="宋体"/>
                <w:color w:val="auto"/>
                <w:sz w:val="21"/>
                <w:szCs w:val="21"/>
                <w:highlight w:val="none"/>
                <w:lang w:val="zh-CN"/>
              </w:rPr>
              <w:t>供应商</w:t>
            </w:r>
            <w:r>
              <w:rPr>
                <w:rFonts w:hint="eastAsia" w:ascii="宋体" w:hAnsi="宋体" w:eastAsia="宋体"/>
                <w:color w:val="auto"/>
                <w:sz w:val="21"/>
                <w:szCs w:val="21"/>
                <w:highlight w:val="none"/>
                <w:lang w:val="zh-CN"/>
              </w:rPr>
              <w:t>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532" w:type="dxa"/>
            <w:gridSpan w:val="5"/>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532"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shd w:val="clear" w:color="auto" w:fill="auto"/>
            <w:vAlign w:val="center"/>
          </w:tcPr>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履约保证金形式：采用银行转账或者以专业担保机构、金融机构出具的担保函的形式。</w:t>
            </w:r>
          </w:p>
          <w:p>
            <w:pPr>
              <w:spacing w:after="0"/>
              <w:jc w:val="both"/>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履约保证金金额：</w:t>
            </w:r>
            <w:r>
              <w:rPr>
                <w:rFonts w:hint="eastAsia" w:ascii="宋体" w:hAnsi="宋体"/>
                <w:color w:val="auto"/>
                <w:sz w:val="21"/>
                <w:szCs w:val="21"/>
                <w:highlight w:val="none"/>
                <w:lang w:val="en-US" w:eastAsia="zh-CN"/>
              </w:rPr>
              <w:t>采购合同总金额的5%</w:t>
            </w:r>
          </w:p>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s="宋体"/>
                <w:b/>
                <w:color w:val="auto"/>
                <w:sz w:val="21"/>
                <w:szCs w:val="21"/>
                <w:highlight w:val="none"/>
              </w:rPr>
              <w:t>中标</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s="宋体"/>
                <w:bCs/>
                <w:color w:val="auto"/>
                <w:sz w:val="21"/>
                <w:szCs w:val="21"/>
                <w:highlight w:val="none"/>
              </w:rPr>
              <w:t>成交服务费根据国家计委[计价格[2002]1980号]文和国家发改委[发改价格[2011]534号]文及相关规定收取，按差额定率累进法计算，以成交通知书中确定的成交总金额作为收费的计算依据；成交服务费最低收费标准为</w:t>
            </w:r>
            <w:r>
              <w:rPr>
                <w:rFonts w:hint="eastAsia" w:ascii="宋体" w:hAnsi="宋体" w:eastAsia="宋体" w:cs="宋体"/>
                <w:bCs/>
                <w:color w:val="auto"/>
                <w:sz w:val="21"/>
                <w:szCs w:val="21"/>
                <w:highlight w:val="none"/>
                <w:lang w:val="en-US" w:eastAsia="zh-CN"/>
              </w:rPr>
              <w:t>陆</w:t>
            </w:r>
            <w:r>
              <w:rPr>
                <w:rFonts w:hint="eastAsia" w:ascii="宋体" w:hAnsi="宋体" w:eastAsia="宋体" w:cs="宋体"/>
                <w:bCs/>
                <w:color w:val="auto"/>
                <w:sz w:val="21"/>
                <w:szCs w:val="21"/>
                <w:highlight w:val="none"/>
              </w:rPr>
              <w:t>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6"/>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textWrapping"/>
      </w: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ind w:left="0" w:leftChars="0" w:firstLine="0" w:firstLineChars="0"/>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4043"/>
      <w:bookmarkStart w:id="9" w:name="_Hlk55300595"/>
      <w:bookmarkStart w:id="10" w:name="_Toc13473"/>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hAnsi="宋体" w:eastAsia="宋体" w:cs="宋体"/>
                <w:bCs/>
                <w:color w:val="auto"/>
                <w:sz w:val="21"/>
                <w:szCs w:val="21"/>
                <w:highlight w:val="none"/>
                <w:lang w:val="zh-CN" w:eastAsia="zh-CN"/>
              </w:rPr>
              <w:t>磋商文件</w:t>
            </w:r>
            <w:r>
              <w:rPr>
                <w:rFonts w:hint="eastAsia" w:ascii="宋体" w:hAnsi="宋体" w:eastAsia="宋体" w:cs="宋体"/>
                <w:bCs/>
                <w:color w:val="auto"/>
                <w:sz w:val="21"/>
                <w:szCs w:val="21"/>
                <w:highlight w:val="none"/>
                <w:lang w:val="zh-CN"/>
              </w:rPr>
              <w:t>要求且价格最低的</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报价得分=(评标基准价／</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光伏发电（或供电或</w:t>
            </w:r>
            <w:r>
              <w:rPr>
                <w:rFonts w:hint="eastAsia" w:ascii="宋体" w:hAnsi="宋体" w:eastAsia="宋体" w:cs="宋体"/>
                <w:bCs/>
                <w:color w:val="auto"/>
                <w:sz w:val="21"/>
                <w:szCs w:val="21"/>
                <w:highlight w:val="none"/>
              </w:rPr>
              <w:t>配电</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工程</w:t>
            </w:r>
            <w:r>
              <w:rPr>
                <w:rFonts w:hint="eastAsia" w:ascii="宋体" w:hAnsi="宋体" w:eastAsia="宋体" w:cs="宋体"/>
                <w:bCs/>
                <w:color w:val="auto"/>
                <w:sz w:val="21"/>
                <w:szCs w:val="21"/>
                <w:highlight w:val="none"/>
              </w:rPr>
              <w:t>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团队力量</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根据投标人拟投入的团队人员进行综合评审：</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1、团队人员中具有机电工程专业二级（或以上）注册建造师资格证书</w:t>
            </w:r>
            <w:r>
              <w:rPr>
                <w:rFonts w:hint="eastAsia" w:ascii="宋体" w:eastAsia="宋体" w:cs="宋体"/>
                <w:bCs/>
                <w:color w:val="auto"/>
                <w:sz w:val="21"/>
                <w:szCs w:val="21"/>
                <w:highlight w:val="none"/>
                <w:lang w:val="en-US" w:eastAsia="zh-CN"/>
              </w:rPr>
              <w:t>且</w:t>
            </w:r>
            <w:r>
              <w:rPr>
                <w:rFonts w:hint="eastAsia" w:ascii="宋体" w:hAnsi="宋体" w:eastAsia="宋体" w:cs="宋体"/>
                <w:bCs/>
                <w:color w:val="auto"/>
                <w:sz w:val="21"/>
                <w:szCs w:val="21"/>
                <w:highlight w:val="none"/>
              </w:rPr>
              <w:t>注册于</w:t>
            </w:r>
            <w:r>
              <w:rPr>
                <w:rFonts w:hint="eastAsia" w:ascii="宋体" w:eastAsia="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rPr>
              <w:t>本单位的，得3分</w:t>
            </w:r>
            <w:r>
              <w:rPr>
                <w:rFonts w:hint="eastAsia" w:asci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本项最高得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ascii="宋体" w:eastAsia="宋体" w:cs="宋体"/>
                <w:bCs/>
                <w:color w:val="auto"/>
                <w:sz w:val="21"/>
                <w:szCs w:val="21"/>
                <w:highlight w:val="none"/>
                <w:lang w:eastAsia="zh-CN"/>
              </w:rPr>
              <w:t>；</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2、团队人员中具有高压或低压电工证的，每提供一人得1分，最高得2分</w:t>
            </w:r>
            <w:r>
              <w:rPr>
                <w:rFonts w:hint="eastAsia" w:asci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eastAsia="宋体" w:cs="宋体"/>
                <w:bCs/>
                <w:color w:val="auto"/>
                <w:sz w:val="21"/>
                <w:szCs w:val="21"/>
                <w:highlight w:val="none"/>
                <w:lang w:eastAsia="zh-CN"/>
              </w:rPr>
              <w:t>。</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注：以上人员不得重复得分；须提供有效的证书复印件加盖供应商公章, 并提供社保部门出具的供应商为其购买的</w:t>
            </w:r>
            <w:r>
              <w:rPr>
                <w:rFonts w:hint="eastAsia" w:ascii="宋体" w:eastAsia="宋体" w:cs="宋体"/>
                <w:bCs/>
                <w:color w:val="auto"/>
                <w:sz w:val="21"/>
                <w:szCs w:val="21"/>
                <w:highlight w:val="none"/>
                <w:lang w:val="en-US" w:eastAsia="zh-CN"/>
              </w:rPr>
              <w:t>距开标前</w:t>
            </w:r>
            <w:r>
              <w:rPr>
                <w:rFonts w:hint="eastAsia" w:ascii="宋体" w:hAnsi="宋体" w:eastAsia="宋体" w:cs="宋体"/>
                <w:bCs/>
                <w:color w:val="auto"/>
                <w:sz w:val="21"/>
                <w:szCs w:val="21"/>
                <w:highlight w:val="none"/>
              </w:rPr>
              <w:t>六个月</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不含开标当月</w:t>
            </w:r>
            <w:r>
              <w:rPr>
                <w:rFonts w:hint="eastAsia" w:asci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内任意</w:t>
            </w:r>
            <w:r>
              <w:rPr>
                <w:rFonts w:hint="eastAsia" w:ascii="宋体" w:eastAsia="宋体" w:cs="宋体"/>
                <w:bCs/>
                <w:color w:val="auto"/>
                <w:sz w:val="21"/>
                <w:szCs w:val="21"/>
                <w:highlight w:val="none"/>
                <w:lang w:val="en-US" w:eastAsia="zh-CN"/>
              </w:rPr>
              <w:t>一</w:t>
            </w:r>
            <w:r>
              <w:rPr>
                <w:rFonts w:hint="eastAsia" w:ascii="宋体" w:hAnsi="宋体" w:eastAsia="宋体" w:cs="宋体"/>
                <w:bCs/>
                <w:color w:val="auto"/>
                <w:sz w:val="21"/>
                <w:szCs w:val="21"/>
                <w:highlight w:val="none"/>
              </w:rPr>
              <w:t>个月的社会保险证明材料加盖供应商公章，否则不得分。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总体施工方案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进度保障计划方案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制定的进度保障计划方案进行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方案详尽完整、科学合理、能高效地保障项目实施的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合理、有利于项目实施的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方案缺乏合理性或可行性的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安全文明施工制度及保障措施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制定的安全文明施工制度及保障措施进行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安全文明施工制度及保障措施详尽完整、科学合理，制度严谨规范、能高效地保障项目实施的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合理，制度较规范、有利于保障项目实施的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完整、</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合理，制度</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rPr>
              <w:t>规范、</w:t>
            </w:r>
            <w:r>
              <w:rPr>
                <w:rFonts w:hint="eastAsia" w:ascii="宋体" w:hAnsi="宋体" w:eastAsia="宋体" w:cs="宋体"/>
                <w:bCs/>
                <w:color w:val="auto"/>
                <w:sz w:val="21"/>
                <w:szCs w:val="21"/>
                <w:highlight w:val="none"/>
                <w:lang w:val="en-US" w:eastAsia="zh-CN"/>
              </w:rPr>
              <w:t>满足</w:t>
            </w:r>
            <w:r>
              <w:rPr>
                <w:rFonts w:hint="eastAsia" w:ascii="宋体" w:hAnsi="宋体" w:eastAsia="宋体" w:cs="宋体"/>
                <w:bCs/>
                <w:color w:val="auto"/>
                <w:sz w:val="21"/>
                <w:szCs w:val="21"/>
                <w:highlight w:val="none"/>
              </w:rPr>
              <w:t>项目实施</w:t>
            </w:r>
            <w:r>
              <w:rPr>
                <w:rFonts w:hint="eastAsia" w:ascii="宋体" w:hAnsi="宋体" w:eastAsia="宋体" w:cs="宋体"/>
                <w:bCs/>
                <w:color w:val="auto"/>
                <w:sz w:val="21"/>
                <w:szCs w:val="21"/>
                <w:highlight w:val="none"/>
                <w:lang w:val="en-US" w:eastAsia="zh-CN"/>
              </w:rPr>
              <w:t>要求的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安全文明施工制度及保障措施缺乏可行性及</w:t>
            </w:r>
            <w:r>
              <w:rPr>
                <w:rFonts w:hint="eastAsia" w:ascii="宋体" w:hAnsi="宋体" w:eastAsia="宋体" w:cs="宋体"/>
                <w:bCs/>
                <w:color w:val="auto"/>
                <w:sz w:val="21"/>
                <w:szCs w:val="21"/>
                <w:highlight w:val="none"/>
                <w:lang w:val="en-US" w:eastAsia="zh-CN"/>
              </w:rPr>
              <w:t>合理</w:t>
            </w:r>
            <w:r>
              <w:rPr>
                <w:rFonts w:hint="eastAsia" w:ascii="宋体" w:hAnsi="宋体" w:eastAsia="宋体" w:cs="宋体"/>
                <w:bCs/>
                <w:color w:val="auto"/>
                <w:sz w:val="21"/>
                <w:szCs w:val="21"/>
                <w:highlight w:val="none"/>
              </w:rPr>
              <w:t>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项目质量控制和检验方法</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所提供项目质量控制和检验方法的详细性、合理性、针对性等进行综合评审：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项目质量控制和检验方法详细完整合理，方案针对性高，切合本项目需求，得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完整合理，方案针对性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高，</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lang w:val="zh-CN"/>
              </w:rPr>
              <w:t>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lang w:val="zh-CN"/>
              </w:rPr>
              <w:t>，方案针对性和合理性一般，基本满足本项目需求，得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项目质量控制和检验方法缺漏较多，方案针对性和合理性较差，得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应急预案及服务承诺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针对本项目制定的应急预案及服务承诺方案进行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应急预案及应对措施科学合理，服务承诺方案详尽完整、可行性高的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具备应急预案及应对措施，服务承诺方案完整的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应急方案措施完整性或可行性差的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rPr>
          <w:color w:val="auto"/>
          <w:highlight w:val="none"/>
        </w:rPr>
      </w:pPr>
    </w:p>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29685"/>
      <w:bookmarkStart w:id="18" w:name="_Toc24511"/>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28014"/>
      <w:bookmarkStart w:id="22" w:name="_Toc24057"/>
      <w:bookmarkStart w:id="23" w:name="_Toc6882675"/>
      <w:bookmarkStart w:id="24" w:name="_Toc466786434"/>
      <w:bookmarkStart w:id="25" w:name="_Toc102277756"/>
      <w:bookmarkStart w:id="26" w:name="_Toc507407359"/>
      <w:bookmarkStart w:id="27" w:name="_Toc6968687"/>
      <w:bookmarkStart w:id="28" w:name="_Toc480021037"/>
      <w:bookmarkStart w:id="29" w:name="_Toc479991566"/>
      <w:bookmarkStart w:id="30" w:name="_Toc48207756"/>
      <w:bookmarkStart w:id="31" w:name="_Toc480020241"/>
      <w:bookmarkStart w:id="32" w:name="_Toc467987807"/>
      <w:bookmarkStart w:id="33" w:name="_Toc467236724"/>
      <w:bookmarkStart w:id="34" w:name="_Toc468606013"/>
      <w:bookmarkStart w:id="35" w:name="_Toc458262599"/>
      <w:bookmarkStart w:id="36" w:name="_Toc480171863"/>
      <w:bookmarkStart w:id="37" w:name="_Toc480010692"/>
      <w:bookmarkStart w:id="38" w:name="_Toc468157520"/>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475249114"/>
      <w:bookmarkStart w:id="40" w:name="_Toc17291"/>
      <w:bookmarkStart w:id="41" w:name="_Toc10228"/>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eastAsia="宋体"/>
          <w:color w:val="auto"/>
          <w:sz w:val="21"/>
          <w:szCs w:val="21"/>
          <w:highlight w:val="none"/>
          <w:lang w:eastAsia="zh-CN"/>
        </w:rPr>
        <w:t>东莞新锋光伏能源科技有限公司</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466786435"/>
      <w:bookmarkStart w:id="47" w:name="_Toc6968688"/>
      <w:bookmarkStart w:id="48" w:name="_Toc6882676"/>
      <w:bookmarkStart w:id="49" w:name="_Toc102277757"/>
      <w:bookmarkStart w:id="50" w:name="_Toc507407360"/>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810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110953836"/>
      <w:bookmarkStart w:id="71" w:name="_Toc21439"/>
      <w:bookmarkStart w:id="72" w:name="_Toc4511"/>
      <w:bookmarkStart w:id="73" w:name="_Toc507407361"/>
      <w:bookmarkStart w:id="74" w:name="_Toc6968689"/>
      <w:bookmarkStart w:id="75" w:name="_Toc466786436"/>
      <w:bookmarkStart w:id="76" w:name="_Toc6882677"/>
      <w:bookmarkStart w:id="77" w:name="_Toc102277758"/>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6882678"/>
      <w:bookmarkStart w:id="82" w:name="_Toc6968690"/>
      <w:bookmarkStart w:id="83" w:name="_Toc507407362"/>
      <w:bookmarkStart w:id="84" w:name="_Toc466786437"/>
      <w:bookmarkStart w:id="85" w:name="_Toc102277759"/>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报价文件内还须包括并不限于：磋商保证金支付凭证银行汇款底单（复印件加盖公章，原件随身携带，以备查核）和磋商保证金汇入情况说明（加盖公章）。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w:t>
      </w:r>
      <w:r>
        <w:rPr>
          <w:rFonts w:hint="eastAsia" w:ascii="宋体" w:hAnsi="宋体"/>
          <w:bCs/>
          <w:color w:val="auto"/>
          <w:sz w:val="21"/>
          <w:szCs w:val="21"/>
          <w:highlight w:val="none"/>
          <w:lang w:eastAsia="zh-CN"/>
        </w:rPr>
        <w:t>（</w:t>
      </w:r>
      <w:r>
        <w:rPr>
          <w:rFonts w:hint="eastAsia" w:ascii="宋体" w:hAnsi="宋体" w:eastAsia="宋体"/>
          <w:bCs/>
          <w:color w:val="auto"/>
          <w:sz w:val="21"/>
          <w:szCs w:val="21"/>
          <w:highlight w:val="none"/>
        </w:rPr>
        <w:t>税费</w:t>
      </w:r>
      <w:r>
        <w:rPr>
          <w:rFonts w:hint="eastAsia" w:ascii="宋体" w:hAnsi="宋体"/>
          <w:bCs/>
          <w:color w:val="auto"/>
          <w:sz w:val="21"/>
          <w:szCs w:val="21"/>
          <w:highlight w:val="none"/>
          <w:lang w:val="en-US" w:eastAsia="zh-CN"/>
        </w:rPr>
        <w:t>除外）</w:t>
      </w:r>
      <w:r>
        <w:rPr>
          <w:rFonts w:hint="eastAsia" w:ascii="宋体" w:hAnsi="宋体" w:eastAsia="宋体"/>
          <w:bCs/>
          <w:color w:val="auto"/>
          <w:sz w:val="21"/>
          <w:szCs w:val="21"/>
          <w:highlight w:val="none"/>
        </w:rPr>
        <w:t>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110953840"/>
      <w:bookmarkStart w:id="92" w:name="_Toc26897"/>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662"/>
      <w:bookmarkStart w:id="95" w:name="_Toc15387"/>
      <w:bookmarkStart w:id="96" w:name="_Toc110953841"/>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21656"/>
      <w:bookmarkStart w:id="98" w:name="_Toc1898"/>
      <w:r>
        <w:rPr>
          <w:rFonts w:hint="eastAsia" w:ascii="宋体" w:hAnsi="宋体" w:eastAsia="宋体"/>
          <w:color w:val="auto"/>
          <w:sz w:val="21"/>
          <w:szCs w:val="21"/>
          <w:highlight w:val="none"/>
        </w:rPr>
        <w:t>★</w:t>
      </w:r>
      <w:r>
        <w:rPr>
          <w:rFonts w:hint="eastAsia" w:hAnsi="宋体"/>
          <w:color w:val="auto"/>
          <w:sz w:val="21"/>
          <w:szCs w:val="21"/>
          <w:highlight w:val="none"/>
        </w:rPr>
        <w:t>磋商保证金</w:t>
      </w:r>
      <w:bookmarkEnd w:id="97"/>
      <w:bookmarkEnd w:id="98"/>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80020258"/>
      <w:bookmarkStart w:id="100" w:name="_Toc458262615"/>
      <w:bookmarkStart w:id="101" w:name="_Toc468606030"/>
      <w:bookmarkStart w:id="102" w:name="_Toc10456"/>
      <w:bookmarkStart w:id="103" w:name="_Toc25734"/>
      <w:bookmarkStart w:id="104" w:name="_Toc467987824"/>
      <w:bookmarkStart w:id="105" w:name="_Toc454701382"/>
      <w:bookmarkStart w:id="106" w:name="_Toc479991583"/>
      <w:bookmarkStart w:id="107" w:name="_Toc480171880"/>
      <w:bookmarkStart w:id="108" w:name="_Toc110953842"/>
      <w:bookmarkStart w:id="109" w:name="_Toc480010709"/>
      <w:bookmarkStart w:id="110" w:name="_Toc467236741"/>
      <w:bookmarkStart w:id="111" w:name="_Toc468157537"/>
      <w:bookmarkStart w:id="112" w:name="_Toc503758471"/>
      <w:bookmarkStart w:id="113" w:name="_Toc480021054"/>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110953843"/>
      <w:bookmarkStart w:id="115" w:name="_Toc32392"/>
      <w:bookmarkStart w:id="116" w:name="_Toc7006"/>
      <w:bookmarkStart w:id="117" w:name="_Toc102277760"/>
      <w:bookmarkStart w:id="118" w:name="_Toc507407363"/>
      <w:bookmarkStart w:id="119" w:name="_Toc6882679"/>
      <w:bookmarkStart w:id="120" w:name="_Toc6968691"/>
      <w:bookmarkStart w:id="121" w:name="_Toc466786438"/>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4400"/>
      <w:bookmarkStart w:id="123" w:name="_Toc110953844"/>
      <w:bookmarkStart w:id="124" w:name="_Toc13611"/>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5658"/>
      <w:bookmarkStart w:id="126" w:name="_Toc110953845"/>
      <w:bookmarkStart w:id="127" w:name="_Toc642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080"/>
      <w:bookmarkStart w:id="137" w:name="_Toc1080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37121259"/>
      <w:bookmarkStart w:id="139" w:name="_Toc535141844"/>
      <w:bookmarkStart w:id="140" w:name="_Toc17157"/>
      <w:bookmarkStart w:id="141" w:name="_Toc17978"/>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磋商保证金瑕疵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包括但不限于：①供应商未按采购文件要求提交磋商保证金；②提交方式、提交时间、提交金额不符合采购文件要求；③磋商保证金有效期不符合采购文件要求。</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48" w:name="_Toc1066"/>
      <w:bookmarkStart w:id="149"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48"/>
      <w:bookmarkEnd w:id="149"/>
    </w:p>
    <w:p>
      <w:pPr>
        <w:pStyle w:val="4"/>
        <w:keepNext w:val="0"/>
        <w:keepLines w:val="0"/>
        <w:numPr>
          <w:ilvl w:val="0"/>
          <w:numId w:val="3"/>
        </w:numPr>
        <w:adjustRightInd/>
        <w:spacing w:before="0" w:after="0" w:line="360" w:lineRule="auto"/>
        <w:rPr>
          <w:rFonts w:hAnsi="宋体"/>
          <w:color w:val="auto"/>
          <w:sz w:val="21"/>
          <w:szCs w:val="21"/>
          <w:highlight w:val="none"/>
        </w:rPr>
      </w:pPr>
      <w:bookmarkStart w:id="150" w:name="_Toc19359"/>
      <w:bookmarkStart w:id="151" w:name="_Toc29068"/>
      <w:r>
        <w:rPr>
          <w:rFonts w:hint="eastAsia" w:hAnsi="宋体"/>
          <w:color w:val="auto"/>
          <w:sz w:val="21"/>
          <w:szCs w:val="21"/>
          <w:highlight w:val="none"/>
        </w:rPr>
        <w:t>确定成交</w:t>
      </w:r>
      <w:bookmarkEnd w:id="150"/>
      <w:bookmarkEnd w:id="15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7569"/>
      <w:bookmarkStart w:id="153" w:name="_Toc3941"/>
      <w:r>
        <w:rPr>
          <w:rFonts w:hint="eastAsia" w:hAnsi="宋体"/>
          <w:color w:val="auto"/>
          <w:sz w:val="21"/>
          <w:szCs w:val="21"/>
          <w:highlight w:val="none"/>
        </w:rPr>
        <w:t>发布采购结果</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32414"/>
      <w:bookmarkStart w:id="155" w:name="_Toc29067"/>
      <w:r>
        <w:rPr>
          <w:rFonts w:hint="eastAsia" w:hAnsi="宋体"/>
          <w:color w:val="auto"/>
          <w:sz w:val="21"/>
          <w:szCs w:val="21"/>
          <w:highlight w:val="none"/>
        </w:rPr>
        <w:t>原件核查</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6" w:name="_Toc3829"/>
      <w:bookmarkStart w:id="157" w:name="_Toc37756778"/>
      <w:bookmarkStart w:id="158" w:name="_Toc110953852"/>
      <w:bookmarkStart w:id="159" w:name="_Toc31756"/>
      <w:bookmarkStart w:id="160"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6"/>
      <w:bookmarkEnd w:id="157"/>
      <w:bookmarkEnd w:id="158"/>
      <w:bookmarkEnd w:id="159"/>
    </w:p>
    <w:p>
      <w:pPr>
        <w:pStyle w:val="4"/>
        <w:keepNext w:val="0"/>
        <w:keepLines w:val="0"/>
        <w:numPr>
          <w:ilvl w:val="0"/>
          <w:numId w:val="3"/>
        </w:numPr>
        <w:adjustRightInd/>
        <w:spacing w:before="0" w:after="0" w:line="360" w:lineRule="auto"/>
        <w:rPr>
          <w:rFonts w:hAnsi="宋体"/>
          <w:color w:val="auto"/>
          <w:sz w:val="21"/>
          <w:szCs w:val="21"/>
          <w:highlight w:val="none"/>
        </w:rPr>
      </w:pPr>
      <w:bookmarkStart w:id="161" w:name="_Toc29253"/>
      <w:bookmarkStart w:id="162" w:name="_Toc18000"/>
      <w:r>
        <w:rPr>
          <w:rFonts w:hint="eastAsia" w:hAnsi="宋体"/>
          <w:color w:val="auto"/>
          <w:sz w:val="21"/>
          <w:szCs w:val="21"/>
          <w:highlight w:val="none"/>
        </w:rPr>
        <w:t>签订合同</w:t>
      </w:r>
      <w:bookmarkEnd w:id="161"/>
      <w:bookmarkEnd w:id="16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采购合同的，采购人可以按照评审报告中推荐的其他成交候选人以由高到低原则确定其他供应商作为成交供应商并签订采购合同，也可以重新开展采购活动。拒绝签订采购合同的成交供应商不得参加对该项目重新开展的采购活动。</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3" w:name="_Toc12802"/>
      <w:bookmarkStart w:id="164"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3"/>
      <w:bookmarkEnd w:id="164"/>
    </w:p>
    <w:p>
      <w:pPr>
        <w:pStyle w:val="4"/>
        <w:keepNext w:val="0"/>
        <w:keepLines w:val="0"/>
        <w:numPr>
          <w:ilvl w:val="0"/>
          <w:numId w:val="3"/>
        </w:numPr>
        <w:adjustRightInd/>
        <w:spacing w:before="0" w:after="0" w:line="360" w:lineRule="auto"/>
        <w:rPr>
          <w:rFonts w:hAnsi="宋体"/>
          <w:color w:val="auto"/>
          <w:sz w:val="21"/>
          <w:szCs w:val="21"/>
          <w:highlight w:val="none"/>
        </w:rPr>
      </w:pPr>
      <w:bookmarkStart w:id="165" w:name="_Toc18663"/>
      <w:bookmarkStart w:id="166" w:name="_Toc452"/>
      <w:r>
        <w:rPr>
          <w:rFonts w:hint="eastAsia" w:hAnsi="宋体"/>
          <w:color w:val="auto"/>
          <w:sz w:val="21"/>
          <w:szCs w:val="21"/>
          <w:highlight w:val="none"/>
        </w:rPr>
        <w:t>询问</w:t>
      </w:r>
      <w:bookmarkEnd w:id="165"/>
      <w:bookmarkEnd w:id="166"/>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17155"/>
      <w:bookmarkStart w:id="168" w:name="_Toc20114"/>
      <w:r>
        <w:rPr>
          <w:rFonts w:hint="eastAsia" w:hAnsi="宋体"/>
          <w:color w:val="auto"/>
          <w:sz w:val="21"/>
          <w:szCs w:val="21"/>
          <w:highlight w:val="none"/>
        </w:rPr>
        <w:t>质疑</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部门列入不良行为记录名单，禁止其1至3年内参加全国范围内的采购活动：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以联合体形式参加采购活动的，其质疑应当由组成联合体的所有供应商共同提出。</w:t>
      </w:r>
    </w:p>
    <w:p>
      <w:pPr>
        <w:bidi w:val="0"/>
        <w:rPr>
          <w:color w:val="auto"/>
          <w:highlight w:val="none"/>
        </w:rPr>
      </w:pPr>
    </w:p>
    <w:bookmarkEnd w:id="160"/>
    <w:p>
      <w:pPr>
        <w:pStyle w:val="3"/>
        <w:keepNext w:val="0"/>
        <w:keepLines w:val="0"/>
        <w:spacing w:before="0" w:after="0" w:line="360" w:lineRule="auto"/>
        <w:jc w:val="center"/>
        <w:rPr>
          <w:rFonts w:ascii="宋体" w:hAnsi="宋体" w:eastAsia="宋体"/>
          <w:color w:val="auto"/>
          <w:sz w:val="24"/>
          <w:szCs w:val="21"/>
          <w:highlight w:val="none"/>
        </w:rPr>
      </w:pPr>
      <w:bookmarkStart w:id="169" w:name="_Toc5474"/>
      <w:bookmarkStart w:id="170"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69"/>
      <w:bookmarkEnd w:id="170"/>
    </w:p>
    <w:p>
      <w:pPr>
        <w:pStyle w:val="4"/>
        <w:keepNext w:val="0"/>
        <w:keepLines w:val="0"/>
        <w:numPr>
          <w:ilvl w:val="0"/>
          <w:numId w:val="3"/>
        </w:numPr>
        <w:adjustRightInd/>
        <w:spacing w:before="0" w:after="0" w:line="360" w:lineRule="auto"/>
        <w:rPr>
          <w:rFonts w:hAnsi="宋体"/>
          <w:color w:val="auto"/>
          <w:sz w:val="21"/>
          <w:szCs w:val="21"/>
          <w:highlight w:val="none"/>
        </w:rPr>
      </w:pPr>
      <w:bookmarkStart w:id="171" w:name="_Toc9437"/>
      <w:bookmarkStart w:id="172" w:name="_Toc26991"/>
      <w:r>
        <w:rPr>
          <w:rFonts w:hint="eastAsia" w:hAnsi="宋体"/>
          <w:color w:val="auto"/>
          <w:sz w:val="21"/>
          <w:szCs w:val="21"/>
          <w:highlight w:val="none"/>
        </w:rPr>
        <w:t>成交服务费</w:t>
      </w:r>
      <w:bookmarkEnd w:id="171"/>
      <w:bookmarkEnd w:id="17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3" w:name="_Ref179619574"/>
      <w:r>
        <w:rPr>
          <w:rFonts w:hint="eastAsia" w:ascii="宋体" w:hAnsi="宋体" w:eastAsia="宋体"/>
          <w:color w:val="auto"/>
          <w:sz w:val="21"/>
          <w:szCs w:val="21"/>
          <w:highlight w:val="none"/>
        </w:rPr>
        <w:t>成交人应按照磋商文件中的规定交纳成交服务费。</w:t>
      </w:r>
      <w:bookmarkEnd w:id="173"/>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4" w:name="_Toc7834"/>
      <w:bookmarkStart w:id="175" w:name="_Toc18389"/>
      <w:bookmarkStart w:id="176" w:name="_Toc457975339"/>
      <w:bookmarkStart w:id="177" w:name="_Toc467049706"/>
      <w:bookmarkStart w:id="178" w:name="_Toc52021538"/>
      <w:bookmarkStart w:id="179" w:name="_Toc476976198"/>
      <w:bookmarkStart w:id="180" w:name="_Toc56353011"/>
      <w:bookmarkStart w:id="181" w:name="_Toc467050236"/>
      <w:bookmarkStart w:id="182" w:name="_Toc51939456"/>
      <w:bookmarkStart w:id="183" w:name="_Toc486671570"/>
      <w:bookmarkStart w:id="184" w:name="_Toc467236766"/>
      <w:bookmarkStart w:id="185" w:name="_Toc51756491"/>
      <w:bookmarkStart w:id="186" w:name="_Toc5202792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4"/>
      <w:bookmarkEnd w:id="175"/>
    </w:p>
    <w:p>
      <w:pPr>
        <w:pStyle w:val="4"/>
        <w:keepNext w:val="0"/>
        <w:keepLines w:val="0"/>
        <w:numPr>
          <w:ilvl w:val="0"/>
          <w:numId w:val="3"/>
        </w:numPr>
        <w:adjustRightInd/>
        <w:spacing w:before="0" w:after="0" w:line="360" w:lineRule="auto"/>
        <w:rPr>
          <w:rFonts w:hAnsi="宋体"/>
          <w:color w:val="auto"/>
          <w:sz w:val="21"/>
          <w:szCs w:val="21"/>
          <w:highlight w:val="none"/>
        </w:rPr>
      </w:pPr>
      <w:bookmarkStart w:id="187" w:name="_Toc10953"/>
      <w:bookmarkStart w:id="188" w:name="_Toc31522"/>
      <w:r>
        <w:rPr>
          <w:rFonts w:hint="eastAsia" w:hAnsi="宋体"/>
          <w:color w:val="auto"/>
          <w:sz w:val="21"/>
          <w:szCs w:val="21"/>
          <w:highlight w:val="none"/>
        </w:rPr>
        <w:t>磋商文件的解释权</w:t>
      </w:r>
      <w:bookmarkEnd w:id="187"/>
      <w:bookmarkEnd w:id="18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本采购文件是根据国家有关法律、法规以及采购管理有关规定和参照国际惯例编制，解释权属本采购代理机构。</w:t>
      </w:r>
    </w:p>
    <w:p>
      <w:pPr>
        <w:bidi w:val="0"/>
        <w:rPr>
          <w:color w:val="auto"/>
          <w:highlight w:val="none"/>
        </w:rPr>
      </w:pPr>
      <w:r>
        <w:rPr>
          <w:color w:val="auto"/>
          <w:highlight w:val="none"/>
        </w:rPr>
        <w:br w:type="page"/>
      </w:r>
      <w:bookmarkEnd w:id="176"/>
      <w:bookmarkEnd w:id="177"/>
      <w:bookmarkEnd w:id="178"/>
      <w:bookmarkEnd w:id="179"/>
      <w:bookmarkEnd w:id="180"/>
      <w:bookmarkEnd w:id="181"/>
      <w:bookmarkEnd w:id="182"/>
      <w:bookmarkEnd w:id="183"/>
      <w:bookmarkEnd w:id="184"/>
      <w:bookmarkEnd w:id="185"/>
      <w:bookmarkEnd w:id="186"/>
    </w:p>
    <w:bookmarkEnd w:id="20"/>
    <w:p>
      <w:pPr>
        <w:pStyle w:val="3"/>
        <w:spacing w:before="0" w:after="0" w:line="240" w:lineRule="auto"/>
        <w:rPr>
          <w:rFonts w:hint="eastAsia"/>
          <w:color w:val="auto"/>
          <w:sz w:val="28"/>
          <w:szCs w:val="28"/>
          <w:highlight w:val="none"/>
        </w:rPr>
      </w:pPr>
      <w:bookmarkStart w:id="189" w:name="_Toc31854"/>
      <w:bookmarkStart w:id="190" w:name="_Toc7011"/>
      <w:bookmarkStart w:id="191" w:name="_Toc316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89"/>
      <w:bookmarkEnd w:id="190"/>
      <w:bookmarkEnd w:id="191"/>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2" w:name="_Toc31162"/>
      <w:r>
        <w:rPr>
          <w:rFonts w:hint="eastAsia" w:ascii="宋体" w:hAnsi="宋体"/>
          <w:color w:val="auto"/>
          <w:highlight w:val="none"/>
          <w:lang w:val="en-US" w:eastAsia="zh-CN"/>
        </w:rPr>
        <w:t>第一章 商务需求书</w:t>
      </w:r>
      <w:bookmarkEnd w:id="192"/>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61"/>
        <w:gridCol w:w="6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Times New Roman"/>
                <w:b/>
                <w:color w:val="auto"/>
                <w:kern w:val="2"/>
                <w:sz w:val="24"/>
                <w:szCs w:val="22"/>
                <w:highlight w:val="none"/>
                <w:vertAlign w:val="baseline"/>
                <w:lang w:val="en-US" w:eastAsia="zh-CN" w:bidi="ar-SA"/>
              </w:rPr>
            </w:pPr>
            <w:r>
              <w:rPr>
                <w:rFonts w:hint="eastAsia" w:ascii="宋体" w:hAnsi="宋体" w:eastAsia="宋体" w:cs="宋体"/>
                <w:b/>
                <w:bCs w:val="0"/>
                <w:color w:val="auto"/>
                <w:kern w:val="2"/>
                <w:sz w:val="21"/>
                <w:szCs w:val="21"/>
                <w:highlight w:val="none"/>
                <w:lang w:val="en-US" w:eastAsia="zh-CN" w:bidi="ar-SA"/>
              </w:rPr>
              <w:t>序号</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仿宋_GB2312" w:cs="Times New Roman"/>
                <w:b/>
                <w:color w:val="auto"/>
                <w:kern w:val="2"/>
                <w:sz w:val="24"/>
                <w:szCs w:val="20"/>
                <w:highlight w:val="none"/>
                <w:vertAlign w:val="baseline"/>
                <w:lang w:val="en-US" w:eastAsia="zh-CN"/>
              </w:rPr>
            </w:pPr>
            <w:r>
              <w:rPr>
                <w:rFonts w:hint="eastAsia" w:ascii="宋体" w:hAnsi="宋体" w:eastAsia="宋体" w:cs="宋体"/>
                <w:b/>
                <w:bCs w:val="0"/>
                <w:color w:val="auto"/>
                <w:kern w:val="2"/>
                <w:sz w:val="21"/>
                <w:szCs w:val="21"/>
                <w:highlight w:val="none"/>
              </w:rPr>
              <w:t>需求名称</w:t>
            </w:r>
          </w:p>
        </w:tc>
        <w:tc>
          <w:tcPr>
            <w:tcW w:w="7488"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仿宋_GB2312" w:cs="Times New Roman"/>
                <w:b/>
                <w:color w:val="auto"/>
                <w:kern w:val="2"/>
                <w:sz w:val="24"/>
                <w:szCs w:val="20"/>
                <w:highlight w:val="none"/>
                <w:vertAlign w:val="baseline"/>
                <w:lang w:val="en-US" w:eastAsia="zh-CN"/>
              </w:rPr>
            </w:pPr>
            <w:r>
              <w:rPr>
                <w:rFonts w:hint="eastAsia" w:ascii="宋体" w:hAnsi="宋体" w:eastAsia="宋体" w:cs="宋体"/>
                <w:b/>
                <w:bCs w:val="0"/>
                <w:color w:val="auto"/>
                <w:kern w:val="2"/>
                <w:sz w:val="21"/>
                <w:szCs w:val="21"/>
                <w:highlight w:val="none"/>
              </w:rPr>
              <w:t>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1</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w:t>
            </w:r>
            <w:r>
              <w:rPr>
                <w:rFonts w:hint="eastAsia" w:ascii="宋体" w:hAnsi="宋体" w:eastAsia="宋体" w:cs="宋体"/>
                <w:b w:val="0"/>
                <w:bCs/>
                <w:color w:val="auto"/>
                <w:kern w:val="2"/>
                <w:sz w:val="21"/>
                <w:szCs w:val="21"/>
                <w:highlight w:val="none"/>
                <w:lang w:eastAsia="zh-CN"/>
              </w:rPr>
              <w:t>完工期</w:t>
            </w:r>
          </w:p>
        </w:tc>
        <w:tc>
          <w:tcPr>
            <w:tcW w:w="7488" w:type="dxa"/>
            <w:noWrap w:val="0"/>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288"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签订合同后，</w:t>
            </w:r>
            <w:r>
              <w:rPr>
                <w:rFonts w:hint="eastAsia" w:hAnsi="宋体" w:cs="宋体"/>
                <w:color w:val="auto"/>
                <w:kern w:val="2"/>
                <w:sz w:val="21"/>
                <w:szCs w:val="21"/>
                <w:highlight w:val="none"/>
                <w:lang w:val="en-US" w:eastAsia="zh-CN"/>
              </w:rPr>
              <w:t>60</w:t>
            </w:r>
            <w:r>
              <w:rPr>
                <w:rFonts w:hint="eastAsia" w:ascii="宋体" w:hAnsi="宋体" w:eastAsia="宋体" w:cs="宋体"/>
                <w:color w:val="auto"/>
                <w:kern w:val="2"/>
                <w:sz w:val="21"/>
                <w:szCs w:val="21"/>
                <w:highlight w:val="none"/>
              </w:rPr>
              <w:t>天内完成（包括</w:t>
            </w:r>
            <w:r>
              <w:rPr>
                <w:rFonts w:hint="eastAsia" w:ascii="宋体" w:hAnsi="宋体" w:cs="宋体"/>
                <w:color w:val="auto"/>
                <w:kern w:val="2"/>
                <w:sz w:val="21"/>
                <w:szCs w:val="21"/>
                <w:highlight w:val="none"/>
                <w:lang w:val="en-US" w:eastAsia="zh-CN"/>
              </w:rPr>
              <w:t>设计</w:t>
            </w:r>
            <w:r>
              <w:rPr>
                <w:rFonts w:hint="eastAsia" w:ascii="宋体" w:hAnsi="宋体" w:eastAsia="宋体" w:cs="宋体"/>
                <w:color w:val="auto"/>
                <w:kern w:val="2"/>
                <w:sz w:val="21"/>
                <w:szCs w:val="21"/>
                <w:highlight w:val="none"/>
              </w:rPr>
              <w:t>、施工、调试、验收</w:t>
            </w:r>
            <w:r>
              <w:rPr>
                <w:rFonts w:hint="eastAsia" w:ascii="宋体" w:hAnsi="宋体" w:eastAsia="宋体" w:cs="宋体"/>
                <w:color w:val="auto"/>
                <w:kern w:val="2"/>
                <w:sz w:val="21"/>
                <w:szCs w:val="21"/>
                <w:highlight w:val="none"/>
                <w:lang w:eastAsia="zh-CN"/>
              </w:rPr>
              <w:t>等</w:t>
            </w:r>
            <w:r>
              <w:rPr>
                <w:rFonts w:hint="eastAsia" w:ascii="宋体" w:hAnsi="宋体" w:eastAsia="宋体" w:cs="宋体"/>
                <w:color w:val="auto"/>
                <w:kern w:val="2"/>
                <w:sz w:val="21"/>
                <w:szCs w:val="21"/>
                <w:highlight w:val="none"/>
              </w:rPr>
              <w:t>工作）</w:t>
            </w:r>
            <w:r>
              <w:rPr>
                <w:rFonts w:hint="eastAsia" w:ascii="宋体" w:hAnsi="宋体" w:eastAsia="宋体" w:cs="宋体"/>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2</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eastAsia="zh-CN"/>
              </w:rPr>
              <w:t>服务地点</w:t>
            </w:r>
          </w:p>
        </w:tc>
        <w:tc>
          <w:tcPr>
            <w:tcW w:w="7488" w:type="dxa"/>
            <w:noWrap w:val="0"/>
            <w:vAlign w:val="center"/>
          </w:tcPr>
          <w:p>
            <w:pPr>
              <w:keepNext w:val="0"/>
              <w:keepLines w:val="0"/>
              <w:pageBreakBefore w:val="0"/>
              <w:widowControl/>
              <w:tabs>
                <w:tab w:val="left" w:pos="709"/>
              </w:tabs>
              <w:kinsoku/>
              <w:wordWrap/>
              <w:overflowPunct/>
              <w:topLinePunct w:val="0"/>
              <w:autoSpaceDE/>
              <w:autoSpaceDN/>
              <w:bidi w:val="0"/>
              <w:adjustRightInd w:val="0"/>
              <w:snapToGrid w:val="0"/>
              <w:spacing w:after="0" w:line="288" w:lineRule="auto"/>
              <w:ind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hAnsi="宋体" w:cs="宋体"/>
                <w:b w:val="0"/>
                <w:bCs/>
                <w:color w:val="auto"/>
                <w:kern w:val="2"/>
                <w:sz w:val="21"/>
                <w:szCs w:val="21"/>
                <w:highlight w:val="none"/>
                <w:lang w:eastAsia="zh-CN"/>
              </w:rPr>
              <w:t>采购人</w:t>
            </w:r>
            <w:r>
              <w:rPr>
                <w:rFonts w:hint="eastAsia" w:ascii="宋体" w:hAnsi="宋体" w:eastAsia="宋体" w:cs="宋体"/>
                <w:b w:val="0"/>
                <w:bCs/>
                <w:color w:val="auto"/>
                <w:kern w:val="2"/>
                <w:sz w:val="21"/>
                <w:szCs w:val="21"/>
                <w:highlight w:val="none"/>
              </w:rPr>
              <w:t>指定地点。（如有变化另行确定）。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9"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3</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★报价要求</w:t>
            </w:r>
          </w:p>
        </w:tc>
        <w:tc>
          <w:tcPr>
            <w:tcW w:w="7488" w:type="dxa"/>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1、本次报价为不含税价，具体税费须符合现行国家税务部门要求，结算时根据双方确定的销项税额由</w:t>
            </w:r>
            <w:r>
              <w:rPr>
                <w:rFonts w:hint="eastAsia" w:ascii="宋体" w:hAnsi="宋体" w:cs="宋体"/>
                <w:b w:val="0"/>
                <w:bCs/>
                <w:color w:val="auto"/>
                <w:kern w:val="2"/>
                <w:sz w:val="21"/>
                <w:szCs w:val="21"/>
                <w:highlight w:val="none"/>
                <w:lang w:val="en-US" w:eastAsia="zh-CN" w:bidi="ar-SA"/>
              </w:rPr>
              <w:t>采购人</w:t>
            </w:r>
            <w:r>
              <w:rPr>
                <w:rFonts w:hint="eastAsia" w:ascii="宋体" w:hAnsi="宋体" w:eastAsia="宋体" w:cs="宋体"/>
                <w:b w:val="0"/>
                <w:bCs/>
                <w:color w:val="auto"/>
                <w:kern w:val="2"/>
                <w:sz w:val="21"/>
                <w:szCs w:val="21"/>
                <w:highlight w:val="none"/>
                <w:lang w:val="en-US" w:eastAsia="zh-CN" w:bidi="ar-SA"/>
              </w:rPr>
              <w:t>承担。</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2</w:t>
            </w:r>
            <w:r>
              <w:rPr>
                <w:rFonts w:hint="eastAsia" w:ascii="宋体" w:hAnsi="宋体" w:eastAsia="宋体" w:cs="宋体"/>
                <w:b w:val="0"/>
                <w:bCs/>
                <w:color w:val="auto"/>
                <w:kern w:val="2"/>
                <w:sz w:val="21"/>
                <w:szCs w:val="21"/>
                <w:highlight w:val="none"/>
                <w:lang w:val="en-US" w:eastAsia="zh-CN" w:bidi="ar-SA"/>
              </w:rPr>
              <w:t>、供应商的报价包括但不限于设计费用、绿色施工安全防护措施费、其他措施项目费、货物及零配件的购置和安装费、人工费、材料费、运输费、质保期售后服务费以及履行合同所需的费用、所有风险、责任等其他一切隐含及不可预见的费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3</w:t>
            </w:r>
            <w:r>
              <w:rPr>
                <w:rFonts w:hint="eastAsia" w:ascii="宋体" w:hAnsi="宋体" w:eastAsia="宋体" w:cs="宋体"/>
                <w:b w:val="0"/>
                <w:bCs/>
                <w:color w:val="auto"/>
                <w:kern w:val="2"/>
                <w:sz w:val="21"/>
                <w:szCs w:val="21"/>
                <w:highlight w:val="none"/>
                <w:lang w:val="en-US" w:eastAsia="zh-CN" w:bidi="ar-SA"/>
              </w:rPr>
              <w:t>、设计、供电部门、用能方及其他相关方协调工作及费用一切由总包方负责，在不增加装机容量的前提，不得增加费用。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0" w:leftChars="0"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、本项目预算包含绿色施工安全防护措施费：</w:t>
            </w:r>
            <w:r>
              <w:rPr>
                <w:rFonts w:hint="eastAsia" w:ascii="宋体" w:hAnsi="宋体" w:cs="宋体"/>
                <w:b/>
                <w:bCs w:val="0"/>
                <w:color w:val="auto"/>
                <w:kern w:val="2"/>
                <w:sz w:val="21"/>
                <w:szCs w:val="21"/>
                <w:highlight w:val="none"/>
                <w:lang w:val="en-US" w:eastAsia="zh-CN" w:bidi="ar-SA"/>
              </w:rPr>
              <w:t>140,000.00</w:t>
            </w:r>
            <w:r>
              <w:rPr>
                <w:rFonts w:hint="eastAsia" w:ascii="宋体" w:hAnsi="宋体" w:eastAsia="宋体" w:cs="宋体"/>
                <w:b/>
                <w:bCs w:val="0"/>
                <w:color w:val="auto"/>
                <w:kern w:val="2"/>
                <w:sz w:val="21"/>
                <w:szCs w:val="21"/>
                <w:highlight w:val="none"/>
                <w:lang w:val="en-US" w:eastAsia="zh-CN" w:bidi="ar-SA"/>
              </w:rPr>
              <w:t>元</w:t>
            </w:r>
            <w:r>
              <w:rPr>
                <w:rFonts w:hint="eastAsia" w:ascii="宋体" w:hAnsi="宋体" w:eastAsia="宋体" w:cs="宋体"/>
                <w:b w:val="0"/>
                <w:bCs/>
                <w:color w:val="auto"/>
                <w:kern w:val="2"/>
                <w:sz w:val="21"/>
                <w:szCs w:val="21"/>
                <w:highlight w:val="none"/>
                <w:lang w:val="en-US" w:eastAsia="zh-CN" w:bidi="ar-SA"/>
              </w:rPr>
              <w:t xml:space="preserve">，绿色施工安全防护措施费按给定固定金额进行填报，不作下浮。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7"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4</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★付款方式</w:t>
            </w:r>
          </w:p>
        </w:tc>
        <w:tc>
          <w:tcPr>
            <w:tcW w:w="748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ind w:firstLine="422" w:firstLineChars="200"/>
              <w:jc w:val="left"/>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cs="宋体"/>
                <w:b/>
                <w:bCs w:val="0"/>
                <w:color w:val="auto"/>
                <w:kern w:val="2"/>
                <w:sz w:val="21"/>
                <w:szCs w:val="21"/>
                <w:highlight w:val="none"/>
                <w:lang w:val="en-US" w:eastAsia="zh-CN" w:bidi="ar-SA"/>
              </w:rPr>
              <w:t>1、</w:t>
            </w:r>
            <w:r>
              <w:rPr>
                <w:rFonts w:hint="eastAsia" w:ascii="宋体" w:hAnsi="宋体" w:eastAsia="宋体" w:cs="宋体"/>
                <w:b/>
                <w:bCs w:val="0"/>
                <w:color w:val="auto"/>
                <w:kern w:val="2"/>
                <w:sz w:val="21"/>
                <w:szCs w:val="21"/>
                <w:highlight w:val="none"/>
                <w:lang w:val="en-US" w:eastAsia="zh-CN" w:bidi="ar-SA"/>
              </w:rPr>
              <w:t>预付款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预付款支付</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(1)预付款的金额或比例为：合同金额的10%。</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(2)预付款支付期限：签合同后配合完成备案许可证后15天内。</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(3)预付款扣回的方式：第二次进度款中扣减。</w:t>
            </w:r>
          </w:p>
          <w:p>
            <w:pPr>
              <w:keepNext w:val="0"/>
              <w:keepLines w:val="0"/>
              <w:pageBreakBefore w:val="0"/>
              <w:widowControl/>
              <w:kinsoku/>
              <w:wordWrap/>
              <w:overflowPunct/>
              <w:topLinePunct w:val="0"/>
              <w:autoSpaceDE/>
              <w:autoSpaceDN/>
              <w:bidi w:val="0"/>
              <w:adjustRightInd w:val="0"/>
              <w:snapToGrid w:val="0"/>
              <w:spacing w:after="0" w:line="288" w:lineRule="auto"/>
              <w:ind w:firstLine="422" w:firstLineChars="200"/>
              <w:jc w:val="left"/>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cs="宋体"/>
                <w:b/>
                <w:bCs w:val="0"/>
                <w:color w:val="auto"/>
                <w:kern w:val="2"/>
                <w:sz w:val="21"/>
                <w:szCs w:val="21"/>
                <w:highlight w:val="none"/>
                <w:lang w:val="en-US" w:eastAsia="zh-CN" w:bidi="ar-SA"/>
              </w:rPr>
              <w:t>2、</w:t>
            </w:r>
            <w:r>
              <w:rPr>
                <w:rFonts w:hint="eastAsia" w:ascii="宋体" w:hAnsi="宋体" w:eastAsia="宋体" w:cs="宋体"/>
                <w:b/>
                <w:bCs w:val="0"/>
                <w:color w:val="auto"/>
                <w:kern w:val="2"/>
                <w:sz w:val="21"/>
                <w:szCs w:val="21"/>
                <w:highlight w:val="none"/>
                <w:lang w:val="en-US" w:eastAsia="zh-CN" w:bidi="ar-SA"/>
              </w:rPr>
              <w:t>工程进度款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工程进度付款申请</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工程进度付款申请方式：按工程进度分阶段申请支付</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办理完成各种工程相关的报批、报建、报装申报手续及施工所需许可、证件、批件，包括但不限于办理施工许可证（或临时施工许可或夜间施工）、报监手续、余泥排放证、排水手续、排水接驳、排水许可证等及交纳散装水泥专项资金等工作，承包人向发包人申请支付合同金额的20%的进度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(2)提交全套合同约定的施工图设计文件、工程的主设备（组件、逆变器）全部进场并验收合格后，承包人向发包人申请支付合同金额的30%的进度款。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(3)工程现场安装施工完毕并经发包人初步验收确认后，承包人向发包人申请支付合同金额的30%的进度款。</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(4)经相关部门验收合格、并网送电并完成本工程全套竣工图设计文件、竣工结算资料后，按发包人要求承包人向发包人申请支付至合同总结算金额的97%工程款，剩余合同总结算金额3%为质保金。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5</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t>结算说明</w:t>
            </w:r>
          </w:p>
        </w:tc>
        <w:tc>
          <w:tcPr>
            <w:tcW w:w="748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ind w:firstLine="422" w:firstLineChars="200"/>
              <w:jc w:val="left"/>
              <w:textAlignment w:val="auto"/>
              <w:rPr>
                <w:rFonts w:hint="eastAsia" w:ascii="宋体" w:hAnsi="宋体" w:eastAsia="宋体" w:cs="宋体"/>
                <w:b/>
                <w:bCs w:val="0"/>
                <w:color w:val="auto"/>
                <w:kern w:val="2"/>
                <w:sz w:val="21"/>
                <w:szCs w:val="21"/>
                <w:highlight w:val="none"/>
                <w:lang w:val="en-US" w:eastAsia="zh-CN"/>
              </w:rPr>
            </w:pPr>
            <w:r>
              <w:rPr>
                <w:rFonts w:hint="eastAsia" w:ascii="宋体" w:hAnsi="宋体" w:eastAsia="宋体" w:cs="宋体"/>
                <w:b/>
                <w:bCs w:val="0"/>
                <w:color w:val="auto"/>
                <w:kern w:val="2"/>
                <w:sz w:val="21"/>
                <w:szCs w:val="21"/>
                <w:highlight w:val="none"/>
                <w:lang w:val="en-US" w:eastAsia="zh-CN"/>
              </w:rPr>
              <w:t>1、市场价格波动引起的调整</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（1）关于是否采用《价格指数权重表》的约定：否。</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（2）关于采用其他方式调整合同价款的约定：不作调整。</w:t>
            </w:r>
          </w:p>
          <w:p>
            <w:pPr>
              <w:keepNext w:val="0"/>
              <w:keepLines w:val="0"/>
              <w:pageBreakBefore w:val="0"/>
              <w:widowControl/>
              <w:kinsoku/>
              <w:wordWrap/>
              <w:overflowPunct/>
              <w:topLinePunct w:val="0"/>
              <w:autoSpaceDE/>
              <w:autoSpaceDN/>
              <w:bidi w:val="0"/>
              <w:adjustRightInd w:val="0"/>
              <w:snapToGrid w:val="0"/>
              <w:spacing w:after="0" w:line="288" w:lineRule="auto"/>
              <w:ind w:firstLine="422" w:firstLineChars="200"/>
              <w:jc w:val="left"/>
              <w:textAlignment w:val="auto"/>
              <w:rPr>
                <w:rFonts w:hint="eastAsia" w:ascii="宋体" w:hAnsi="宋体" w:eastAsia="宋体" w:cs="宋体"/>
                <w:b/>
                <w:bCs w:val="0"/>
                <w:color w:val="auto"/>
                <w:kern w:val="2"/>
                <w:sz w:val="21"/>
                <w:szCs w:val="21"/>
                <w:highlight w:val="none"/>
                <w:lang w:val="en-US" w:eastAsia="zh-CN"/>
              </w:rPr>
            </w:pPr>
            <w:r>
              <w:rPr>
                <w:rFonts w:hint="eastAsia" w:ascii="宋体" w:hAnsi="宋体" w:eastAsia="宋体" w:cs="宋体"/>
                <w:b/>
                <w:bCs w:val="0"/>
                <w:color w:val="auto"/>
                <w:kern w:val="2"/>
                <w:sz w:val="21"/>
                <w:szCs w:val="21"/>
                <w:highlight w:val="none"/>
                <w:lang w:val="en-US" w:eastAsia="zh-CN"/>
              </w:rPr>
              <w:t>2、合同价格形式</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（1）关于合同价格形式的约定：总承包价。</w:t>
            </w:r>
          </w:p>
          <w:p>
            <w:pPr>
              <w:keepNext w:val="0"/>
              <w:keepLines w:val="0"/>
              <w:pageBreakBefore w:val="0"/>
              <w:widowControl/>
              <w:kinsoku/>
              <w:wordWrap/>
              <w:overflowPunct/>
              <w:topLinePunct w:val="0"/>
              <w:autoSpaceDE/>
              <w:autoSpaceDN/>
              <w:bidi w:val="0"/>
              <w:adjustRightInd w:val="0"/>
              <w:snapToGrid w:val="0"/>
              <w:spacing w:after="0" w:line="288"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rPr>
              <w:t>（2）关于合同价格调整的约定：根据最终报装容量及国家相关法律法规作相应调整。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6</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合同条款</w:t>
            </w:r>
          </w:p>
        </w:tc>
        <w:tc>
          <w:tcPr>
            <w:tcW w:w="748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rPr>
              <w:t>供应商响应本项目合同各项条款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eastAsia="宋体" w:cs="Times New Roman"/>
                <w:b w:val="0"/>
                <w:bCs/>
                <w:color w:val="auto"/>
                <w:kern w:val="2"/>
                <w:sz w:val="21"/>
                <w:szCs w:val="20"/>
                <w:highlight w:val="none"/>
                <w:vertAlign w:val="baseline"/>
                <w:lang w:val="en-US" w:eastAsia="zh-CN" w:bidi="ar-SA"/>
              </w:rPr>
              <w:t>7</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rPr>
              <w:t>★</w:t>
            </w:r>
            <w:r>
              <w:rPr>
                <w:rFonts w:hint="eastAsia" w:ascii="宋体" w:hAnsi="宋体" w:eastAsia="宋体" w:cs="宋体"/>
                <w:b w:val="0"/>
                <w:bCs/>
                <w:color w:val="auto"/>
                <w:kern w:val="2"/>
                <w:sz w:val="21"/>
                <w:szCs w:val="21"/>
                <w:highlight w:val="none"/>
                <w:lang w:val="en-US" w:eastAsia="zh-CN"/>
              </w:rPr>
              <w:t>工程质量要求</w:t>
            </w:r>
          </w:p>
        </w:tc>
        <w:tc>
          <w:tcPr>
            <w:tcW w:w="748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2" w:firstLineChars="200"/>
              <w:jc w:val="both"/>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一、设计质量要求：</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本项目的设计过程和成果必须符合国家、广东省、东莞市颁布的有关设计方面的现行标准、规范、规程、定额、办法，满足招标人的相关功能需求，并通过招标人及有关部门或专业审图机构的审查。在设计过程中，如果国家或有关部门颁发了新的技术标准或规范，应采用新的标准或规范进行设计。</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2" w:firstLineChars="200"/>
              <w:jc w:val="both"/>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二、施工总承包要求的质量标准：</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执行国家、省或行业现行的工程建设质量验收标准及规范，须达到合格标准，并通过当地相关供电部门的并网验收。</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2" w:firstLineChars="200"/>
              <w:jc w:val="both"/>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三、安全文明施工要求:</w:t>
            </w:r>
          </w:p>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符合国家、省、市安全生产、文明施工管理相关规定，承诺达到合格标准。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7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Times New Roman"/>
                <w:b w:val="0"/>
                <w:bCs/>
                <w:color w:val="auto"/>
                <w:kern w:val="2"/>
                <w:sz w:val="21"/>
                <w:szCs w:val="20"/>
                <w:highlight w:val="none"/>
                <w:vertAlign w:val="baseline"/>
                <w:lang w:val="en-US" w:eastAsia="zh-CN" w:bidi="ar-SA"/>
              </w:rPr>
            </w:pPr>
            <w:r>
              <w:rPr>
                <w:rFonts w:hint="eastAsia" w:ascii="宋体" w:hAnsi="宋体" w:cs="Times New Roman"/>
                <w:b w:val="0"/>
                <w:bCs/>
                <w:color w:val="auto"/>
                <w:kern w:val="2"/>
                <w:sz w:val="21"/>
                <w:szCs w:val="20"/>
                <w:highlight w:val="none"/>
                <w:vertAlign w:val="baseline"/>
                <w:lang w:val="en-US" w:eastAsia="zh-CN" w:bidi="ar-SA"/>
              </w:rPr>
              <w:t>8</w:t>
            </w:r>
          </w:p>
        </w:tc>
        <w:tc>
          <w:tcPr>
            <w:tcW w:w="1265" w:type="dxa"/>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val="0"/>
                <w:bCs/>
                <w:color w:val="auto"/>
                <w:kern w:val="2"/>
                <w:sz w:val="21"/>
                <w:szCs w:val="21"/>
                <w:highlight w:val="none"/>
              </w:rPr>
            </w:pPr>
            <w:r>
              <w:rPr>
                <w:rFonts w:hint="eastAsia" w:ascii="宋体" w:hAnsi="宋体" w:eastAsia="宋体" w:cs="宋体"/>
                <w:b w:val="0"/>
                <w:bCs/>
                <w:color w:val="auto"/>
                <w:kern w:val="2"/>
                <w:sz w:val="21"/>
                <w:szCs w:val="21"/>
                <w:highlight w:val="none"/>
              </w:rPr>
              <w:t>★</w:t>
            </w:r>
            <w:r>
              <w:rPr>
                <w:rFonts w:hint="eastAsia" w:ascii="宋体" w:hAnsi="宋体" w:eastAsia="宋体" w:cs="宋体"/>
                <w:b w:val="0"/>
                <w:bCs/>
                <w:color w:val="auto"/>
                <w:kern w:val="2"/>
                <w:sz w:val="21"/>
                <w:szCs w:val="21"/>
                <w:highlight w:val="none"/>
                <w:lang w:val="en-US" w:eastAsia="zh-CN"/>
              </w:rPr>
              <w:t>施工要求</w:t>
            </w:r>
          </w:p>
        </w:tc>
        <w:tc>
          <w:tcPr>
            <w:tcW w:w="748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88" w:lineRule="auto"/>
              <w:ind w:left="0" w:leftChars="0" w:firstLine="420" w:firstLineChars="200"/>
              <w:jc w:val="both"/>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遵守采购人下属工程技术部编制的《工程管理制度汇编》中的承包商管理条款。</w:t>
            </w:r>
          </w:p>
        </w:tc>
      </w:tr>
    </w:tbl>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93" w:name="_Toc19981"/>
      <w:r>
        <w:rPr>
          <w:rFonts w:hint="eastAsia" w:ascii="宋体" w:hAnsi="宋体"/>
          <w:color w:val="auto"/>
          <w:highlight w:val="none"/>
          <w:lang w:val="en-US" w:eastAsia="zh-CN"/>
        </w:rPr>
        <w:t>第二章 技术需求书</w:t>
      </w:r>
      <w:bookmarkEnd w:id="193"/>
    </w:p>
    <w:p>
      <w:pPr>
        <w:pStyle w:val="5"/>
        <w:bidi w:val="0"/>
        <w:rPr>
          <w:rFonts w:hint="eastAsia"/>
          <w:color w:val="auto"/>
          <w:highlight w:val="none"/>
          <w:lang w:val="en-US" w:eastAsia="zh-CN"/>
        </w:rPr>
      </w:pPr>
      <w:bookmarkStart w:id="194" w:name="_Toc24679"/>
      <w:bookmarkStart w:id="195" w:name="_Toc13112"/>
      <w:bookmarkStart w:id="196" w:name="_Toc14462"/>
      <w:bookmarkStart w:id="197" w:name="_Toc31278"/>
      <w:r>
        <w:rPr>
          <w:rFonts w:hint="eastAsia"/>
          <w:color w:val="auto"/>
          <w:highlight w:val="none"/>
        </w:rPr>
        <w:t xml:space="preserve"> </w:t>
      </w:r>
      <w:r>
        <w:rPr>
          <w:rFonts w:hint="eastAsia"/>
          <w:color w:val="auto"/>
          <w:highlight w:val="none"/>
          <w:lang w:val="en-US" w:eastAsia="zh-CN"/>
        </w:rPr>
        <w:t>一、项目概况</w:t>
      </w:r>
    </w:p>
    <w:p>
      <w:pPr>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1.1现场图片</w:t>
      </w:r>
    </w:p>
    <w:p>
      <w:pPr>
        <w:numPr>
          <w:ilvl w:val="0"/>
          <w:numId w:val="0"/>
        </w:num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5207635" cy="3921125"/>
            <wp:effectExtent l="0" t="0" r="12065" b="3175"/>
            <wp:docPr id="16" name="图片 16" descr="169173573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1735736690"/>
                    <pic:cNvPicPr>
                      <a:picLocks noChangeAspect="1"/>
                    </pic:cNvPicPr>
                  </pic:nvPicPr>
                  <pic:blipFill>
                    <a:blip r:embed="rId16"/>
                    <a:stretch>
                      <a:fillRect/>
                    </a:stretch>
                  </pic:blipFill>
                  <pic:spPr>
                    <a:xfrm>
                      <a:off x="0" y="0"/>
                      <a:ext cx="5207635" cy="3921125"/>
                    </a:xfrm>
                    <a:prstGeom prst="rect">
                      <a:avLst/>
                    </a:prstGeom>
                  </pic:spPr>
                </pic:pic>
              </a:graphicData>
            </a:graphic>
          </wp:inline>
        </w:drawing>
      </w:r>
    </w:p>
    <w:p>
      <w:pPr>
        <w:numPr>
          <w:ilvl w:val="0"/>
          <w:numId w:val="0"/>
        </w:num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图 1-1 现场航拍图</w:t>
      </w:r>
    </w:p>
    <w:p>
      <w:pPr>
        <w:numPr>
          <w:ilvl w:val="0"/>
          <w:numId w:val="0"/>
        </w:num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271770" cy="3052445"/>
            <wp:effectExtent l="0" t="0" r="5080" b="146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7"/>
                    <a:stretch>
                      <a:fillRect/>
                    </a:stretch>
                  </pic:blipFill>
                  <pic:spPr>
                    <a:xfrm>
                      <a:off x="0" y="0"/>
                      <a:ext cx="5271770" cy="3052445"/>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图 1-2 现场航拍图</w:t>
      </w:r>
    </w:p>
    <w:p>
      <w:pPr>
        <w:numPr>
          <w:ilvl w:val="0"/>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 项目基本概况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6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项目名称</w:t>
            </w:r>
          </w:p>
        </w:tc>
        <w:tc>
          <w:tcPr>
            <w:tcW w:w="671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东莞新锋光伏能源科技有限公司主山振兴路128号分布式光伏发电项目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项目地址</w:t>
            </w:r>
          </w:p>
        </w:tc>
        <w:tc>
          <w:tcPr>
            <w:tcW w:w="671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东莞市东城街道主山振兴路128号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安装面积</w:t>
            </w:r>
          </w:p>
        </w:tc>
        <w:tc>
          <w:tcPr>
            <w:tcW w:w="671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楼面类型</w:t>
            </w:r>
          </w:p>
        </w:tc>
        <w:tc>
          <w:tcPr>
            <w:tcW w:w="671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混凝土屋顶、彩钢瓦屋面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变压器容量</w:t>
            </w:r>
          </w:p>
        </w:tc>
        <w:tc>
          <w:tcPr>
            <w:tcW w:w="671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1×800+1×200kVA = 1000kVA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装机容量</w:t>
            </w:r>
          </w:p>
        </w:tc>
        <w:tc>
          <w:tcPr>
            <w:tcW w:w="6716" w:type="dxa"/>
          </w:tcPr>
          <w:p>
            <w:pPr>
              <w:numPr>
                <w:ilvl w:val="0"/>
                <w:numId w:val="0"/>
              </w:numP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623.7kWp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安装方式</w:t>
            </w:r>
          </w:p>
        </w:tc>
        <w:tc>
          <w:tcPr>
            <w:tcW w:w="6716" w:type="dxa"/>
          </w:tcPr>
          <w:p>
            <w:pPr>
              <w:numPr>
                <w:ilvl w:val="0"/>
                <w:numId w:val="0"/>
              </w:numP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搭棚式，平铺式，自发自用，余电上网</w:t>
            </w:r>
          </w:p>
        </w:tc>
      </w:tr>
    </w:tbl>
    <w:p>
      <w:pPr>
        <w:bidi w:val="0"/>
        <w:rPr>
          <w:rFonts w:hint="eastAsia"/>
          <w:color w:val="auto"/>
          <w:highlight w:val="none"/>
          <w:lang w:val="en-US" w:eastAsia="zh-CN"/>
        </w:rPr>
      </w:pPr>
    </w:p>
    <w:p>
      <w:pPr>
        <w:pStyle w:val="5"/>
        <w:bidi w:val="0"/>
        <w:rPr>
          <w:rFonts w:hint="eastAsia"/>
          <w:color w:val="auto"/>
          <w:highlight w:val="none"/>
          <w:lang w:val="en-US" w:eastAsia="zh-CN"/>
        </w:rPr>
      </w:pPr>
      <w:r>
        <w:rPr>
          <w:rFonts w:hint="eastAsia"/>
          <w:color w:val="auto"/>
          <w:highlight w:val="none"/>
          <w:lang w:val="en-US" w:eastAsia="zh-CN"/>
        </w:rPr>
        <w:t>二、光伏发电设施技术要求</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1.光伏支架、基础技术要求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（1）图纸要求</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本项目必须在正式施工前出具完整的施工图纸。</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（2）如需进行深化设计时的设计要求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①本项目光伏系统的支架应按照国家规范所规定的50年一遇风压进行支架结构及基础设计。</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②彩钢瓦屋面光伏系统安装后的总荷载原则上必须≤15kG/m2，混凝土屋面光伏系统安装后的总荷载原则上必须≤150kG/m2,且必须找设计院核算是否满足屋面结构荷载要求，出具屋面承重报告。</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彩钢瓦屋面的支架应采用轻质铝合金材料作为支架及基础，用6005-T5及以上材质，要求做到阳极氧化处理以达到充分的防腐效果。彩钢瓦铝合金夹具的厚度应在4mm及以上；铝合金导轨的厚度在2mm及以上；铝合金中压块的厚度应在3mm及以上，铝合金边压块的厚度应在4mm及以上。采取的支架和夹具必须只能夹在屋面瓦楞上，不得在屋面开孔、开洞、打钉，以充分保证原屋面的防水效果。</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项目混凝土屋顶支架形式采用固定式钢支架，用Q235及以上钢材，钢材防腐采用热浸锌和镀镁铝锌两种方式。若采用热浸锌防腐，锌层平均厚度不低于65um；若采用镀镁铝锌防腐，双面镀层重量不少于275g/m2。主梁和立柱的厚度不小于2.5mm，用于次梁的板厚不小于2.0mm，用于主次构件连接的钢板和构件厚度不得小于3mm。为防止混凝土开裂，按规范要求配置钢筋，混凝土强度等级用C25以上。</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⑤棚架结构采用固定式钢支架，用Q235B及以上钢材，锌层厚度不低于65um。棚架的檐口高度不得低于2.5m，最高点不得高于2.8m，安装倾角经模拟后判断后确定，整体棚架设计必须通过供电部门验收。</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⑥混凝土屋面不得采用膨胀螺栓或化学锚栓固定支架的方式，而应采用混凝土支墩基础的方案来达到抗风荷载的要求；若因光伏项目造成屋面漏水的，由投标单位负责处理完好。</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⑦光伏支架设计应满足10年内可拆卸再利用和25年内安全使用的要求。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⑧设计时，整个支架结构的强度、挠度、稳定性应符合国家结构设计相关规范的安全性要求；同时，支架结构的的节点连接也应满足国家结构设计规范的结构安全性的要求。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（3）安装要求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光伏组件安装时必须在天窗周边、天沟周边、女儿墙边、出屋面风管等设备周边、采光带周边、高低跨交界面边等位置设置检修维护通道和空间，检修通道宽度、尺寸必须满足检修人员及工具正常通行和作业，并利于紧急情况下快速撤离。</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②屋顶光伏安装区域的维护通道、参观通道、洞口、屋顶坠落高度基准面2</w:t>
      </w:r>
      <w:r>
        <w:rPr>
          <w:rFonts w:ascii="宋体" w:hAnsi="宋体" w:eastAsia="宋体" w:cs="宋体"/>
          <w:color w:val="auto"/>
          <w:kern w:val="2"/>
          <w:sz w:val="21"/>
          <w:szCs w:val="21"/>
          <w:highlight w:val="none"/>
        </w:rPr>
        <w:t xml:space="preserve">m </w:t>
      </w:r>
      <w:r>
        <w:rPr>
          <w:rFonts w:hint="eastAsia" w:ascii="宋体" w:hAnsi="宋体" w:eastAsia="宋体" w:cs="宋体"/>
          <w:color w:val="auto"/>
          <w:kern w:val="2"/>
          <w:sz w:val="21"/>
          <w:szCs w:val="21"/>
          <w:highlight w:val="none"/>
        </w:rPr>
        <w:t>及以上的临空一侧需要安装防坠落保护设施，在临空一侧设置高度≥1</w:t>
      </w:r>
      <w:r>
        <w:rPr>
          <w:rFonts w:ascii="宋体" w:hAnsi="宋体" w:eastAsia="宋体" w:cs="宋体"/>
          <w:color w:val="auto"/>
          <w:kern w:val="2"/>
          <w:sz w:val="21"/>
          <w:szCs w:val="21"/>
          <w:highlight w:val="none"/>
        </w:rPr>
        <w:t>.2m</w:t>
      </w:r>
      <w:r>
        <w:rPr>
          <w:rFonts w:hint="eastAsia" w:ascii="宋体" w:hAnsi="宋体" w:eastAsia="宋体" w:cs="宋体"/>
          <w:color w:val="auto"/>
          <w:kern w:val="2"/>
          <w:sz w:val="21"/>
          <w:szCs w:val="21"/>
          <w:highlight w:val="none"/>
        </w:rPr>
        <w:t>的防护栏杆，并采用密目式安全立网或工具式栏板封闭，确保登上屋顶人员的人身安全和防止高空坠物，防护栏杆应满足25年内安全使用的要求。相关防护设施的参数需要满足《建筑施工高处作业安全技术规范》J</w:t>
      </w:r>
      <w:r>
        <w:rPr>
          <w:rFonts w:ascii="宋体" w:hAnsi="宋体" w:eastAsia="宋体" w:cs="宋体"/>
          <w:color w:val="auto"/>
          <w:kern w:val="2"/>
          <w:sz w:val="21"/>
          <w:szCs w:val="21"/>
          <w:highlight w:val="none"/>
        </w:rPr>
        <w:t>GJ80-2016</w:t>
      </w:r>
      <w:r>
        <w:rPr>
          <w:rFonts w:hint="eastAsia" w:ascii="宋体" w:hAnsi="宋体" w:eastAsia="宋体" w:cs="宋体"/>
          <w:color w:val="auto"/>
          <w:kern w:val="2"/>
          <w:sz w:val="21"/>
          <w:szCs w:val="21"/>
          <w:highlight w:val="none"/>
        </w:rPr>
        <w:t>及国家相关规范和我司安全管理的相关要求。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③组件安装时，必须对屋面板做好相应的保护措施，避免光伏板安装过程中对屋面板造成损坏(尤其是屋面板的油漆层)。如不慎造成损坏，必须无条件维修好，因此造成厂房漏雨的，中标单位应按照</w:t>
      </w:r>
      <w:r>
        <w:rPr>
          <w:rFonts w:hint="eastAsia" w:ascii="Calibri" w:hAnsi="宋体" w:eastAsia="宋体" w:cs="宋体"/>
          <w:color w:val="auto"/>
          <w:kern w:val="2"/>
          <w:sz w:val="21"/>
          <w:szCs w:val="21"/>
          <w:highlight w:val="none"/>
        </w:rPr>
        <w:t>采购人</w:t>
      </w:r>
      <w:r>
        <w:rPr>
          <w:rFonts w:hint="eastAsia" w:ascii="宋体" w:hAnsi="宋体" w:eastAsia="宋体" w:cs="宋体"/>
          <w:color w:val="auto"/>
          <w:kern w:val="2"/>
          <w:sz w:val="21"/>
          <w:szCs w:val="21"/>
          <w:highlight w:val="none"/>
        </w:rPr>
        <w:t>遭受的连带损失统一进行赔偿。</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④组件安装螺栓选用不锈钢304及以上材质，表面需钝化，安装前须点胶或采用防松动螺母。</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⑤本项目的部分屋面的利用率，各投标单位在投标前认真查看图纸核算。</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2.光伏系统的电气接入(并网)技术要求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（1）投标单位需完成接入系统部分电网部门的备案、相关报验流程及验收手续。</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项目的电气接入电压等级、接线等应满足国标及南方电网有关的技术规程规范的要求。并网接入须考虑接入点、接入条件、变压器容量、功率因数及负荷情况。应根据有关光伏系统接入规程规范做接入系统的技术经济研究，确定最优的、满足当地电网公司相关要求的电气接入系统方案，并需得到当地供电部门的批准。</w:t>
      </w:r>
    </w:p>
    <w:p>
      <w:pPr>
        <w:widowControl w:val="0"/>
        <w:wordWrap w:val="0"/>
        <w:adjustRightInd/>
        <w:snapToGrid/>
        <w:spacing w:after="0" w:line="288" w:lineRule="auto"/>
        <w:ind w:firstLine="420" w:firstLineChars="200"/>
        <w:rPr>
          <w:rFonts w:ascii="宋体" w:hAnsi="宋体" w:eastAsia="宋体" w:cs="Times New Roman"/>
          <w:b/>
          <w:bCs/>
          <w:color w:val="auto"/>
          <w:kern w:val="2"/>
          <w:sz w:val="24"/>
          <w:szCs w:val="24"/>
          <w:highlight w:val="none"/>
        </w:rPr>
      </w:pPr>
      <w:r>
        <w:rPr>
          <w:rFonts w:hint="eastAsia" w:ascii="宋体" w:hAnsi="宋体" w:eastAsia="宋体" w:cs="宋体"/>
          <w:color w:val="auto"/>
          <w:kern w:val="2"/>
          <w:sz w:val="21"/>
          <w:szCs w:val="21"/>
          <w:highlight w:val="none"/>
        </w:rPr>
        <w:t>（3）光伏系统接入后应不降低原有配电系统的供电稳定性、可靠性，应把对原配电系统的影响降低到最小限度。</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3.光伏组件技术要求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采用高效率单晶硅550Wp及以上的太阳能光伏组件，使用寿命不低于25年，功率质保不少于25年，且必须为线性功率质保，投标文件中提供质保说明书，若采用单晶硅550Wp及以上的太阳能光伏组件，技术参数要求如下表：</w:t>
      </w:r>
    </w:p>
    <w:p>
      <w:pPr>
        <w:widowControl w:val="0"/>
        <w:wordWrap w:val="0"/>
        <w:adjustRightInd/>
        <w:snapToGrid/>
        <w:spacing w:after="0" w:line="288" w:lineRule="auto"/>
        <w:jc w:val="center"/>
        <w:rPr>
          <w:rFonts w:ascii="宋体" w:hAnsi="宋体" w:eastAsia="宋体" w:cs="宋体"/>
          <w:b/>
          <w:bCs/>
          <w:color w:val="auto"/>
          <w:kern w:val="2"/>
          <w:sz w:val="21"/>
          <w:szCs w:val="21"/>
          <w:highlight w:val="none"/>
        </w:rPr>
      </w:pPr>
      <w:r>
        <w:rPr>
          <w:rFonts w:hint="eastAsia" w:ascii="宋体" w:hAnsi="宋体" w:eastAsia="宋体" w:cs="宋体"/>
          <w:b/>
          <w:bCs/>
          <w:color w:val="auto"/>
          <w:spacing w:val="13"/>
          <w:kern w:val="2"/>
          <w:sz w:val="21"/>
          <w:szCs w:val="21"/>
          <w:highlight w:val="none"/>
        </w:rPr>
        <w:t>组</w:t>
      </w:r>
      <w:r>
        <w:rPr>
          <w:rFonts w:hint="eastAsia" w:ascii="宋体" w:hAnsi="宋体" w:eastAsia="宋体" w:cs="宋体"/>
          <w:b/>
          <w:bCs/>
          <w:color w:val="auto"/>
          <w:spacing w:val="8"/>
          <w:kern w:val="2"/>
          <w:sz w:val="21"/>
          <w:szCs w:val="21"/>
          <w:highlight w:val="none"/>
        </w:rPr>
        <w:t>件主要技术参数表</w:t>
      </w:r>
    </w:p>
    <w:tbl>
      <w:tblPr>
        <w:tblStyle w:val="5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54"/>
        <w:gridCol w:w="40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型号规</w:t>
            </w:r>
            <w:r>
              <w:rPr>
                <w:rFonts w:hint="eastAsia" w:ascii="宋体" w:hAnsi="宋体" w:eastAsia="宋体" w:cs="宋体"/>
                <w:color w:val="auto"/>
                <w:spacing w:val="5"/>
                <w:kern w:val="2"/>
                <w:sz w:val="21"/>
                <w:szCs w:val="21"/>
                <w:highlight w:val="none"/>
              </w:rPr>
              <w:t>格</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单晶</w:t>
            </w:r>
            <w:r>
              <w:rPr>
                <w:rFonts w:hint="eastAsia" w:ascii="宋体" w:hAnsi="宋体" w:eastAsia="宋体" w:cs="宋体"/>
                <w:color w:val="auto"/>
                <w:spacing w:val="-2"/>
                <w:kern w:val="2"/>
                <w:sz w:val="21"/>
                <w:szCs w:val="21"/>
                <w:highlight w:val="none"/>
              </w:rPr>
              <w:t>550Wp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标称功率</w:t>
            </w:r>
            <w:r>
              <w:rPr>
                <w:rFonts w:hint="eastAsia" w:ascii="宋体" w:hAnsi="宋体" w:eastAsia="宋体" w:cs="宋体"/>
                <w:color w:val="auto"/>
                <w:kern w:val="2"/>
                <w:sz w:val="21"/>
                <w:szCs w:val="21"/>
                <w:highlight w:val="none"/>
              </w:rPr>
              <w:t>Pma(W)</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功率公差(</w:t>
            </w:r>
            <w:r>
              <w:rPr>
                <w:rFonts w:hint="eastAsia" w:ascii="宋体" w:hAnsi="宋体" w:eastAsia="宋体" w:cs="宋体"/>
                <w:color w:val="auto"/>
                <w:kern w:val="2"/>
                <w:sz w:val="21"/>
                <w:szCs w:val="21"/>
                <w:highlight w:val="none"/>
              </w:rPr>
              <w:t>W</w:t>
            </w:r>
            <w:r>
              <w:rPr>
                <w:rFonts w:hint="eastAsia" w:ascii="宋体" w:hAnsi="宋体" w:eastAsia="宋体" w:cs="宋体"/>
                <w:color w:val="auto"/>
                <w:spacing w:val="5"/>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position w:val="-1"/>
                <w:sz w:val="21"/>
                <w:szCs w:val="21"/>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组</w:t>
            </w:r>
            <w:r>
              <w:rPr>
                <w:rFonts w:hint="eastAsia" w:ascii="宋体" w:hAnsi="宋体" w:eastAsia="宋体" w:cs="宋体"/>
                <w:color w:val="auto"/>
                <w:spacing w:val="-5"/>
                <w:kern w:val="2"/>
                <w:sz w:val="21"/>
                <w:szCs w:val="21"/>
                <w:highlight w:val="none"/>
              </w:rPr>
              <w:t>件效率μm(W)</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2</w:t>
            </w:r>
            <w:r>
              <w:rPr>
                <w:rFonts w:hint="eastAsia" w:ascii="宋体" w:hAnsi="宋体" w:eastAsia="宋体" w:cs="宋体"/>
                <w:color w:val="auto"/>
                <w:spacing w:val="-1"/>
                <w:kern w:val="2"/>
                <w:sz w:val="21"/>
                <w:szCs w:val="21"/>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开路电压</w:t>
            </w:r>
            <w:r>
              <w:rPr>
                <w:rFonts w:hint="eastAsia" w:ascii="宋体" w:hAnsi="宋体" w:eastAsia="宋体" w:cs="宋体"/>
                <w:color w:val="auto"/>
                <w:kern w:val="2"/>
                <w:sz w:val="21"/>
                <w:szCs w:val="21"/>
                <w:highlight w:val="none"/>
              </w:rPr>
              <w:t>Uoc(%)</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3</w:t>
            </w:r>
            <w:r>
              <w:rPr>
                <w:rFonts w:hint="eastAsia" w:ascii="宋体" w:hAnsi="宋体" w:eastAsia="宋体" w:cs="宋体"/>
                <w:color w:val="auto"/>
                <w:spacing w:val="3"/>
                <w:kern w:val="2"/>
                <w:sz w:val="21"/>
                <w:szCs w:val="21"/>
                <w:highlight w:val="none"/>
              </w:rPr>
              <w:t>7</w:t>
            </w:r>
            <w:r>
              <w:rPr>
                <w:rFonts w:hint="eastAsia" w:ascii="宋体" w:hAnsi="宋体" w:eastAsia="宋体" w:cs="宋体"/>
                <w:color w:val="auto"/>
                <w:spacing w:val="2"/>
                <w:kern w:val="2"/>
                <w:sz w:val="21"/>
                <w:szCs w:val="21"/>
                <w:highlight w:val="no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短路</w:t>
            </w:r>
            <w:r>
              <w:rPr>
                <w:rFonts w:hint="eastAsia" w:ascii="宋体" w:hAnsi="宋体" w:eastAsia="宋体" w:cs="宋体"/>
                <w:color w:val="auto"/>
                <w:kern w:val="2"/>
                <w:sz w:val="21"/>
                <w:szCs w:val="21"/>
                <w:highlight w:val="none"/>
              </w:rPr>
              <w:t>电流Isc(A)</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18.</w:t>
            </w:r>
            <w:r>
              <w:rPr>
                <w:rFonts w:hint="eastAsia" w:ascii="宋体" w:hAnsi="宋体" w:eastAsia="宋体" w:cs="宋体"/>
                <w:color w:val="auto"/>
                <w:kern w:val="2"/>
                <w:sz w:val="21"/>
                <w:szCs w:val="21"/>
                <w:highlight w:val="none"/>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6"/>
                <w:kern w:val="2"/>
                <w:sz w:val="21"/>
                <w:szCs w:val="21"/>
                <w:highlight w:val="none"/>
              </w:rPr>
              <w:t>最</w:t>
            </w:r>
            <w:r>
              <w:rPr>
                <w:rFonts w:hint="eastAsia" w:ascii="宋体" w:hAnsi="宋体" w:eastAsia="宋体" w:cs="宋体"/>
                <w:color w:val="auto"/>
                <w:spacing w:val="14"/>
                <w:kern w:val="2"/>
                <w:sz w:val="21"/>
                <w:szCs w:val="21"/>
                <w:highlight w:val="none"/>
              </w:rPr>
              <w:t>佳工作点电压</w:t>
            </w:r>
            <w:r>
              <w:rPr>
                <w:rFonts w:hint="eastAsia" w:ascii="宋体" w:hAnsi="宋体" w:eastAsia="宋体" w:cs="宋体"/>
                <w:color w:val="auto"/>
                <w:kern w:val="2"/>
                <w:sz w:val="21"/>
                <w:szCs w:val="21"/>
                <w:highlight w:val="none"/>
              </w:rPr>
              <w:t>Um</w:t>
            </w:r>
            <w:r>
              <w:rPr>
                <w:rFonts w:hint="eastAsia" w:ascii="宋体" w:hAnsi="宋体" w:eastAsia="宋体" w:cs="宋体"/>
                <w:color w:val="auto"/>
                <w:spacing w:val="14"/>
                <w:kern w:val="2"/>
                <w:sz w:val="21"/>
                <w:szCs w:val="21"/>
                <w:highlight w:val="none"/>
              </w:rPr>
              <w:t>(</w:t>
            </w:r>
            <w:r>
              <w:rPr>
                <w:rFonts w:hint="eastAsia" w:ascii="宋体" w:hAnsi="宋体" w:eastAsia="宋体" w:cs="宋体"/>
                <w:color w:val="auto"/>
                <w:kern w:val="2"/>
                <w:sz w:val="21"/>
                <w:szCs w:val="21"/>
                <w:highlight w:val="none"/>
              </w:rPr>
              <w:t>V</w:t>
            </w:r>
            <w:r>
              <w:rPr>
                <w:rFonts w:hint="eastAsia" w:ascii="宋体" w:hAnsi="宋体" w:eastAsia="宋体" w:cs="宋体"/>
                <w:color w:val="auto"/>
                <w:spacing w:val="14"/>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31.6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最佳工作点电流</w:t>
            </w:r>
            <w:r>
              <w:rPr>
                <w:rFonts w:hint="eastAsia" w:ascii="宋体" w:hAnsi="宋体" w:eastAsia="宋体" w:cs="宋体"/>
                <w:color w:val="auto"/>
                <w:kern w:val="2"/>
                <w:sz w:val="21"/>
                <w:szCs w:val="21"/>
                <w:highlight w:val="none"/>
              </w:rPr>
              <w:t>ImA</w:t>
            </w:r>
            <w:r>
              <w:rPr>
                <w:rFonts w:hint="eastAsia" w:ascii="宋体" w:hAnsi="宋体" w:eastAsia="宋体" w:cs="宋体"/>
                <w:color w:val="auto"/>
                <w:spacing w:val="3"/>
                <w:kern w:val="2"/>
                <w:sz w:val="21"/>
                <w:szCs w:val="21"/>
                <w:highlight w:val="none"/>
              </w:rPr>
              <w:t>(</w:t>
            </w:r>
            <w:r>
              <w:rPr>
                <w:rFonts w:hint="eastAsia" w:ascii="宋体" w:hAnsi="宋体" w:eastAsia="宋体" w:cs="宋体"/>
                <w:color w:val="auto"/>
                <w:kern w:val="2"/>
                <w:sz w:val="21"/>
                <w:szCs w:val="21"/>
                <w:highlight w:val="none"/>
              </w:rPr>
              <w:t>A</w:t>
            </w:r>
            <w:r>
              <w:rPr>
                <w:rFonts w:hint="eastAsia" w:ascii="宋体" w:hAnsi="宋体" w:eastAsia="宋体" w:cs="宋体"/>
                <w:color w:val="auto"/>
                <w:spacing w:val="2"/>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17.4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功</w:t>
            </w:r>
            <w:r>
              <w:rPr>
                <w:rFonts w:hint="eastAsia" w:ascii="宋体" w:hAnsi="宋体" w:eastAsia="宋体" w:cs="宋体"/>
                <w:color w:val="auto"/>
                <w:spacing w:val="5"/>
                <w:kern w:val="2"/>
                <w:sz w:val="21"/>
                <w:szCs w:val="21"/>
                <w:highlight w:val="none"/>
              </w:rPr>
              <w:t>率误差(%)</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2"/>
                <w:kern w:val="2"/>
                <w:position w:val="1"/>
                <w:sz w:val="21"/>
                <w:szCs w:val="21"/>
                <w:highlight w:val="none"/>
              </w:rPr>
              <w:t>±</w:t>
            </w:r>
            <w:r>
              <w:rPr>
                <w:rFonts w:hint="eastAsia" w:ascii="宋体" w:hAnsi="宋体" w:eastAsia="宋体" w:cs="宋体"/>
                <w:color w:val="auto"/>
                <w:spacing w:val="-11"/>
                <w:kern w:val="2"/>
                <w:position w:val="1"/>
                <w:sz w:val="21"/>
                <w:szCs w:val="21"/>
                <w:highlight w:val="none"/>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短路电流温度系数(%/℃</w:t>
            </w:r>
            <w:r>
              <w:rPr>
                <w:rFonts w:hint="eastAsia" w:ascii="宋体" w:hAnsi="宋体" w:eastAsia="宋体" w:cs="宋体"/>
                <w:color w:val="auto"/>
                <w:spacing w:val="6"/>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position w:val="1"/>
                <w:sz w:val="21"/>
                <w:szCs w:val="21"/>
                <w:highlight w:val="none"/>
              </w:rPr>
              <w:t>+0.0</w:t>
            </w:r>
            <w:r>
              <w:rPr>
                <w:rFonts w:hint="eastAsia" w:ascii="宋体" w:hAnsi="宋体" w:eastAsia="宋体" w:cs="宋体"/>
                <w:color w:val="auto"/>
                <w:spacing w:val="2"/>
                <w:kern w:val="2"/>
                <w:position w:val="1"/>
                <w:sz w:val="21"/>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开</w:t>
            </w:r>
            <w:r>
              <w:rPr>
                <w:rFonts w:hint="eastAsia" w:ascii="宋体" w:hAnsi="宋体" w:eastAsia="宋体" w:cs="宋体"/>
                <w:color w:val="auto"/>
                <w:spacing w:val="7"/>
                <w:kern w:val="2"/>
                <w:sz w:val="21"/>
                <w:szCs w:val="21"/>
                <w:highlight w:val="none"/>
              </w:rPr>
              <w:t>路电压温度系数(%/℃)</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3"/>
                <w:kern w:val="2"/>
                <w:sz w:val="21"/>
                <w:szCs w:val="21"/>
                <w:highlight w:val="none"/>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最大功率温度系数(%/℃</w:t>
            </w:r>
            <w:r>
              <w:rPr>
                <w:rFonts w:hint="eastAsia" w:ascii="宋体" w:hAnsi="宋体" w:eastAsia="宋体" w:cs="宋体"/>
                <w:color w:val="auto"/>
                <w:spacing w:val="6"/>
                <w:kern w:val="2"/>
                <w:sz w:val="21"/>
                <w:szCs w:val="21"/>
                <w:highlight w:val="none"/>
              </w:rPr>
              <w:t>)</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w:t>
            </w:r>
            <w:r>
              <w:rPr>
                <w:rFonts w:hint="eastAsia" w:ascii="宋体" w:hAnsi="宋体" w:eastAsia="宋体" w:cs="宋体"/>
                <w:color w:val="auto"/>
                <w:spacing w:val="3"/>
                <w:kern w:val="2"/>
                <w:sz w:val="21"/>
                <w:szCs w:val="21"/>
                <w:highlight w:val="none"/>
              </w:rPr>
              <w:t>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最大系统电</w:t>
            </w:r>
            <w:r>
              <w:rPr>
                <w:rFonts w:hint="eastAsia" w:ascii="宋体" w:hAnsi="宋体" w:eastAsia="宋体" w:cs="宋体"/>
                <w:color w:val="auto"/>
                <w:spacing w:val="7"/>
                <w:kern w:val="2"/>
                <w:sz w:val="21"/>
                <w:szCs w:val="21"/>
                <w:highlight w:val="none"/>
              </w:rPr>
              <w:t>压</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DC</w:t>
            </w:r>
            <w:r>
              <w:rPr>
                <w:rFonts w:hint="eastAsia" w:ascii="宋体" w:hAnsi="宋体" w:eastAsia="宋体" w:cs="宋体"/>
                <w:color w:val="auto"/>
                <w:spacing w:val="9"/>
                <w:kern w:val="2"/>
                <w:sz w:val="21"/>
                <w:szCs w:val="21"/>
                <w:highlight w:val="none"/>
              </w:rPr>
              <w:t>1</w:t>
            </w:r>
            <w:r>
              <w:rPr>
                <w:rFonts w:hint="eastAsia" w:ascii="宋体" w:hAnsi="宋体" w:eastAsia="宋体" w:cs="宋体"/>
                <w:color w:val="auto"/>
                <w:spacing w:val="7"/>
                <w:kern w:val="2"/>
                <w:sz w:val="21"/>
                <w:szCs w:val="21"/>
                <w:highlight w:val="none"/>
              </w:rPr>
              <w:t>500</w:t>
            </w:r>
            <w:r>
              <w:rPr>
                <w:rFonts w:hint="eastAsia" w:ascii="宋体" w:hAnsi="宋体" w:eastAsia="宋体" w:cs="宋体"/>
                <w:color w:val="auto"/>
                <w:kern w:val="2"/>
                <w:sz w:val="21"/>
                <w:szCs w:val="21"/>
                <w:highlight w:val="none"/>
              </w:rPr>
              <w:t>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温度范围</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w:t>
            </w:r>
            <w:r>
              <w:rPr>
                <w:rFonts w:hint="eastAsia" w:ascii="宋体" w:hAnsi="宋体" w:eastAsia="宋体" w:cs="宋体"/>
                <w:color w:val="auto"/>
                <w:spacing w:val="5"/>
                <w:kern w:val="2"/>
                <w:sz w:val="21"/>
                <w:szCs w:val="21"/>
                <w:highlight w:val="none"/>
              </w:rPr>
              <w:t>40℃~+85℃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sz w:val="21"/>
                <w:szCs w:val="21"/>
                <w:highlight w:val="none"/>
              </w:rPr>
              <w:t>接</w:t>
            </w:r>
            <w:r>
              <w:rPr>
                <w:rFonts w:hint="eastAsia" w:ascii="宋体" w:hAnsi="宋体" w:eastAsia="宋体" w:cs="宋体"/>
                <w:color w:val="auto"/>
                <w:spacing w:val="8"/>
                <w:kern w:val="2"/>
                <w:sz w:val="21"/>
                <w:szCs w:val="21"/>
                <w:highlight w:val="none"/>
              </w:rPr>
              <w:t>线盒类型</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密封防水型防护等级</w:t>
            </w:r>
            <w:r>
              <w:rPr>
                <w:rFonts w:hint="eastAsia" w:ascii="宋体" w:hAnsi="宋体" w:eastAsia="宋体" w:cs="宋体"/>
                <w:color w:val="auto"/>
                <w:kern w:val="2"/>
                <w:sz w:val="21"/>
                <w:szCs w:val="21"/>
                <w:highlight w:val="none"/>
              </w:rPr>
              <w:t>IP</w:t>
            </w:r>
            <w:r>
              <w:rPr>
                <w:rFonts w:hint="eastAsia" w:ascii="宋体" w:hAnsi="宋体" w:eastAsia="宋体" w:cs="宋体"/>
                <w:color w:val="auto"/>
                <w:spacing w:val="4"/>
                <w:kern w:val="2"/>
                <w:sz w:val="21"/>
                <w:szCs w:val="21"/>
                <w:highlight w:val="none"/>
              </w:rPr>
              <w:t>6</w:t>
            </w:r>
            <w:r>
              <w:rPr>
                <w:rFonts w:hint="eastAsia" w:ascii="宋体" w:hAnsi="宋体" w:eastAsia="宋体" w:cs="宋体"/>
                <w:color w:val="auto"/>
                <w:spacing w:val="1"/>
                <w:kern w:val="2"/>
                <w:sz w:val="21"/>
                <w:szCs w:val="21"/>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重</w:t>
            </w:r>
            <w:r>
              <w:rPr>
                <w:rFonts w:hint="eastAsia" w:ascii="宋体" w:hAnsi="宋体" w:eastAsia="宋体" w:cs="宋体"/>
                <w:color w:val="auto"/>
                <w:spacing w:val="4"/>
                <w:kern w:val="2"/>
                <w:sz w:val="21"/>
                <w:szCs w:val="21"/>
                <w:highlight w:val="none"/>
              </w:rPr>
              <w:t>量</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position w:val="1"/>
                <w:sz w:val="21"/>
                <w:szCs w:val="21"/>
                <w:highlight w:val="none"/>
              </w:rPr>
              <w:t>2</w:t>
            </w:r>
            <w:r>
              <w:rPr>
                <w:rFonts w:hint="eastAsia" w:ascii="宋体" w:hAnsi="宋体" w:eastAsia="宋体" w:cs="宋体"/>
                <w:color w:val="auto"/>
                <w:spacing w:val="4"/>
                <w:kern w:val="2"/>
                <w:position w:val="1"/>
                <w:sz w:val="21"/>
                <w:szCs w:val="21"/>
                <w:highlight w:val="none"/>
              </w:rPr>
              <w:t>8.6</w:t>
            </w:r>
            <w:r>
              <w:rPr>
                <w:rFonts w:hint="eastAsia" w:ascii="宋体" w:hAnsi="宋体" w:eastAsia="宋体" w:cs="宋体"/>
                <w:color w:val="auto"/>
                <w:kern w:val="2"/>
                <w:position w:val="1"/>
                <w:sz w:val="21"/>
                <w:szCs w:val="21"/>
                <w:highlight w:val="none"/>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559"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外形尺寸(</w:t>
            </w:r>
            <w:r>
              <w:rPr>
                <w:rFonts w:hint="eastAsia" w:ascii="宋体" w:hAnsi="宋体" w:eastAsia="宋体" w:cs="宋体"/>
                <w:color w:val="auto"/>
                <w:kern w:val="2"/>
                <w:sz w:val="21"/>
                <w:szCs w:val="21"/>
                <w:highlight w:val="none"/>
              </w:rPr>
              <w:t>mm</w:t>
            </w:r>
            <w:r>
              <w:rPr>
                <w:rFonts w:hint="eastAsia"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L</w:t>
            </w:r>
            <w:r>
              <w:rPr>
                <w:rFonts w:hint="eastAsia"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W</w:t>
            </w:r>
            <w:r>
              <w:rPr>
                <w:rFonts w:hint="eastAsia"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H</w:t>
            </w:r>
          </w:p>
        </w:tc>
        <w:tc>
          <w:tcPr>
            <w:tcW w:w="2440"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position w:val="1"/>
                <w:sz w:val="21"/>
                <w:szCs w:val="21"/>
                <w:highlight w:val="none"/>
              </w:rPr>
              <w:t>2384*1096*3</w:t>
            </w:r>
            <w:r>
              <w:rPr>
                <w:rFonts w:hint="eastAsia" w:ascii="宋体" w:hAnsi="宋体" w:eastAsia="宋体" w:cs="宋体"/>
                <w:color w:val="auto"/>
                <w:spacing w:val="3"/>
                <w:kern w:val="2"/>
                <w:position w:val="1"/>
                <w:sz w:val="21"/>
                <w:szCs w:val="21"/>
                <w:highlight w:val="none"/>
              </w:rPr>
              <w:t>5</w:t>
            </w:r>
          </w:p>
        </w:tc>
      </w:tr>
    </w:tbl>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（2）光伏组件型号获得抗PID认证、抗盐雾腐蚀认证、荷载认证、产品定型认证(金太阳认证或是TUV、CSA、UL、SGS、VDE、JET等国际认证)，并附实验报告、认证证书全部内容。</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（3）光伏组件首年功率衰减率不得低于2%，次年后每年衰减率不得低于0.55%，当衰减率低于80%时，必须更换光伏组件。</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（4）负责组件装卸货及保管，按原包装存放，开箱必须有监理在场旁站确认组件完好，如开箱时有破损则需现场拍照取证，如有损坏需承担更换所需全部费用。</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（5）组件安装方式：根据建筑类型采用镀锌钢或铝合金支架安装。</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（6）施工时禁止直接踩踏组件，如有损坏需承担更换所需全部费用。</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（7）组件的布置方案需兼顾发电量、抗风、总容量等因素。</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8</w:t>
      </w:r>
      <w:r>
        <w:rPr>
          <w:rFonts w:hint="eastAsia" w:ascii="宋体" w:hAnsi="宋体" w:cs="宋体"/>
          <w:color w:val="auto"/>
          <w:kern w:val="2"/>
          <w:sz w:val="21"/>
          <w:szCs w:val="21"/>
          <w:highlight w:val="none"/>
          <w:lang w:eastAsia="zh-CN"/>
        </w:rPr>
        <w:t>）光伏组件推荐厂家品牌：隆基绿能、晶科能源、天合光能、晶澳科技或同等及以上的品牌型号。</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4.并网逆变器技术要求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（1）根据场景合理设计选型光伏系统匹配的逆变器，使用寿命不低于12年，产品质保不少于5年，在投标文件中提供质保说明书，若采用110KW组串型逆变器，其技术参数要求如下表：</w:t>
      </w:r>
    </w:p>
    <w:p>
      <w:pPr>
        <w:widowControl w:val="0"/>
        <w:wordWrap w:val="0"/>
        <w:adjustRightInd/>
        <w:snapToGrid/>
        <w:spacing w:after="0" w:line="288" w:lineRule="auto"/>
        <w:jc w:val="center"/>
        <w:rPr>
          <w:rFonts w:ascii="Calibri" w:hAnsi="Calibri" w:eastAsia="宋体" w:cs="Times New Roman"/>
          <w:color w:val="auto"/>
          <w:kern w:val="2"/>
          <w:sz w:val="21"/>
          <w:szCs w:val="24"/>
          <w:highlight w:val="none"/>
        </w:rPr>
      </w:pPr>
      <w:r>
        <w:rPr>
          <w:rFonts w:hint="eastAsia" w:ascii="宋体" w:hAnsi="宋体" w:eastAsia="宋体" w:cs="宋体"/>
          <w:b/>
          <w:bCs/>
          <w:color w:val="auto"/>
          <w:kern w:val="2"/>
          <w:sz w:val="21"/>
          <w:szCs w:val="21"/>
          <w:highlight w:val="none"/>
        </w:rPr>
        <w:t>并网逆变器主要技术参数表</w:t>
      </w:r>
    </w:p>
    <w:tbl>
      <w:tblPr>
        <w:tblStyle w:val="55"/>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63"/>
        <w:gridCol w:w="2595"/>
        <w:gridCol w:w="38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0"/>
                <w:kern w:val="2"/>
                <w:sz w:val="21"/>
                <w:szCs w:val="21"/>
                <w:highlight w:val="none"/>
              </w:rPr>
              <w:t>直</w:t>
            </w:r>
            <w:r>
              <w:rPr>
                <w:rFonts w:hint="eastAsia" w:ascii="宋体" w:hAnsi="宋体" w:eastAsia="宋体" w:cs="宋体"/>
                <w:color w:val="auto"/>
                <w:spacing w:val="7"/>
                <w:kern w:val="2"/>
                <w:sz w:val="21"/>
                <w:szCs w:val="21"/>
                <w:highlight w:val="none"/>
              </w:rPr>
              <w:t>流侧参数</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2"/>
                <w:kern w:val="2"/>
                <w:sz w:val="21"/>
                <w:szCs w:val="21"/>
                <w:highlight w:val="none"/>
              </w:rPr>
              <w:t>最</w:t>
            </w:r>
            <w:r>
              <w:rPr>
                <w:rFonts w:hint="eastAsia" w:ascii="宋体" w:hAnsi="宋体" w:eastAsia="宋体" w:cs="宋体"/>
                <w:color w:val="auto"/>
                <w:spacing w:val="20"/>
                <w:kern w:val="2"/>
                <w:sz w:val="21"/>
                <w:szCs w:val="21"/>
                <w:highlight w:val="none"/>
              </w:rPr>
              <w:t>大输入电压</w:t>
            </w:r>
            <w:r>
              <w:rPr>
                <w:rFonts w:hint="eastAsia" w:ascii="宋体" w:hAnsi="宋体" w:eastAsia="宋体" w:cs="宋体"/>
                <w:color w:val="auto"/>
                <w:kern w:val="2"/>
                <w:sz w:val="21"/>
                <w:szCs w:val="21"/>
                <w:highlight w:val="none"/>
              </w:rPr>
              <w:t>Vdc</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1100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1"/>
                <w:kern w:val="2"/>
                <w:sz w:val="21"/>
                <w:szCs w:val="21"/>
                <w:highlight w:val="none"/>
              </w:rPr>
              <w:t>额定输入电</w:t>
            </w:r>
            <w:r>
              <w:rPr>
                <w:rFonts w:hint="eastAsia" w:ascii="宋体" w:hAnsi="宋体" w:eastAsia="宋体" w:cs="宋体"/>
                <w:color w:val="auto"/>
                <w:spacing w:val="20"/>
                <w:kern w:val="2"/>
                <w:sz w:val="21"/>
                <w:szCs w:val="21"/>
                <w:highlight w:val="none"/>
              </w:rPr>
              <w:t>压</w:t>
            </w:r>
            <w:r>
              <w:rPr>
                <w:rFonts w:hint="eastAsia" w:ascii="宋体" w:hAnsi="宋体" w:eastAsia="宋体" w:cs="宋体"/>
                <w:color w:val="auto"/>
                <w:kern w:val="2"/>
                <w:sz w:val="21"/>
                <w:szCs w:val="21"/>
                <w:highlight w:val="none"/>
              </w:rPr>
              <w:t>Vdc</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MPPT电压范围Vd</w:t>
            </w:r>
            <w:r>
              <w:rPr>
                <w:rFonts w:hint="eastAsia" w:ascii="宋体" w:hAnsi="宋体" w:eastAsia="宋体" w:cs="宋体"/>
                <w:color w:val="auto"/>
                <w:spacing w:val="-1"/>
                <w:kern w:val="2"/>
                <w:sz w:val="21"/>
                <w:szCs w:val="21"/>
                <w:highlight w:val="none"/>
              </w:rPr>
              <w:t>c</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2</w:t>
            </w:r>
            <w:r>
              <w:rPr>
                <w:rFonts w:hint="eastAsia" w:ascii="宋体" w:hAnsi="宋体" w:eastAsia="宋体" w:cs="宋体"/>
                <w:color w:val="auto"/>
                <w:spacing w:val="3"/>
                <w:kern w:val="2"/>
                <w:sz w:val="21"/>
                <w:szCs w:val="21"/>
                <w:highlight w:val="none"/>
              </w:rPr>
              <w:t>00~1000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最大输入路</w:t>
            </w:r>
            <w:r>
              <w:rPr>
                <w:rFonts w:hint="eastAsia" w:ascii="宋体" w:hAnsi="宋体" w:eastAsia="宋体" w:cs="宋体"/>
                <w:color w:val="auto"/>
                <w:spacing w:val="7"/>
                <w:kern w:val="2"/>
                <w:sz w:val="21"/>
                <w:szCs w:val="21"/>
                <w:highlight w:val="none"/>
              </w:rPr>
              <w:t>数</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position w:val="1"/>
                <w:sz w:val="21"/>
                <w:szCs w:val="21"/>
                <w:highlight w:val="no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交流测参数</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0"/>
                <w:kern w:val="2"/>
                <w:sz w:val="21"/>
                <w:szCs w:val="21"/>
                <w:highlight w:val="none"/>
              </w:rPr>
              <w:t>额定输出功率</w:t>
            </w:r>
            <w:r>
              <w:rPr>
                <w:rFonts w:hint="eastAsia" w:ascii="宋体" w:hAnsi="宋体" w:eastAsia="宋体" w:cs="宋体"/>
                <w:color w:val="auto"/>
                <w:kern w:val="2"/>
                <w:sz w:val="21"/>
                <w:szCs w:val="21"/>
                <w:highlight w:val="none"/>
              </w:rPr>
              <w:t>kW</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1</w:t>
            </w:r>
            <w:r>
              <w:rPr>
                <w:rFonts w:hint="eastAsia" w:ascii="宋体" w:hAnsi="宋体" w:eastAsia="宋体" w:cs="宋体"/>
                <w:color w:val="auto"/>
                <w:spacing w:val="-4"/>
                <w:kern w:val="2"/>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2"/>
                <w:kern w:val="2"/>
                <w:sz w:val="21"/>
                <w:szCs w:val="21"/>
                <w:highlight w:val="none"/>
              </w:rPr>
              <w:t>最</w:t>
            </w:r>
            <w:r>
              <w:rPr>
                <w:rFonts w:hint="eastAsia" w:ascii="宋体" w:hAnsi="宋体" w:eastAsia="宋体" w:cs="宋体"/>
                <w:color w:val="auto"/>
                <w:spacing w:val="19"/>
                <w:kern w:val="2"/>
                <w:sz w:val="21"/>
                <w:szCs w:val="21"/>
                <w:highlight w:val="none"/>
              </w:rPr>
              <w:t>大输出功率</w:t>
            </w:r>
            <w:r>
              <w:rPr>
                <w:rFonts w:hint="eastAsia" w:ascii="宋体" w:hAnsi="宋体" w:eastAsia="宋体" w:cs="宋体"/>
                <w:color w:val="auto"/>
                <w:kern w:val="2"/>
                <w:sz w:val="21"/>
                <w:szCs w:val="21"/>
                <w:highlight w:val="none"/>
              </w:rPr>
              <w:t>kW</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1</w:t>
            </w:r>
            <w:r>
              <w:rPr>
                <w:rFonts w:hint="eastAsia" w:ascii="宋体" w:hAnsi="宋体" w:eastAsia="宋体" w:cs="宋体"/>
                <w:color w:val="auto"/>
                <w:spacing w:val="-4"/>
                <w:kern w:val="2"/>
                <w:sz w:val="21"/>
                <w:szCs w:val="21"/>
                <w:highlight w:val="none"/>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额定输出电流A</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167.2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最大输</w:t>
            </w:r>
            <w:r>
              <w:rPr>
                <w:rFonts w:hint="eastAsia" w:ascii="宋体" w:hAnsi="宋体" w:eastAsia="宋体" w:cs="宋体"/>
                <w:color w:val="auto"/>
                <w:kern w:val="2"/>
                <w:sz w:val="21"/>
                <w:szCs w:val="21"/>
                <w:highlight w:val="none"/>
              </w:rPr>
              <w:t>出电流A</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185</w:t>
            </w:r>
            <w:r>
              <w:rPr>
                <w:rFonts w:hint="eastAsia" w:ascii="宋体" w:hAnsi="宋体" w:eastAsia="宋体" w:cs="宋体"/>
                <w:color w:val="auto"/>
                <w:spacing w:val="1"/>
                <w:kern w:val="2"/>
                <w:sz w:val="21"/>
                <w:szCs w:val="21"/>
                <w:highlight w:val="no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额定电网电压V</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5"/>
                <w:kern w:val="2"/>
                <w:sz w:val="21"/>
                <w:szCs w:val="21"/>
                <w:highlight w:val="none"/>
              </w:rPr>
              <w:t>三相380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允许电网电压V</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320~48</w:t>
            </w:r>
            <w:r>
              <w:rPr>
                <w:rFonts w:hint="eastAsia" w:ascii="宋体" w:hAnsi="宋体" w:eastAsia="宋体" w:cs="宋体"/>
                <w:color w:val="auto"/>
                <w:spacing w:val="2"/>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0"/>
                <w:kern w:val="2"/>
                <w:sz w:val="21"/>
                <w:szCs w:val="21"/>
                <w:highlight w:val="none"/>
              </w:rPr>
              <w:t>额定电网频率</w:t>
            </w:r>
            <w:r>
              <w:rPr>
                <w:rFonts w:hint="eastAsia" w:ascii="宋体" w:hAnsi="宋体" w:eastAsia="宋体" w:cs="宋体"/>
                <w:color w:val="auto"/>
                <w:kern w:val="2"/>
                <w:sz w:val="21"/>
                <w:szCs w:val="21"/>
                <w:highlight w:val="none"/>
              </w:rPr>
              <w:t>Hz</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5</w:t>
            </w:r>
            <w:r>
              <w:rPr>
                <w:rFonts w:hint="eastAsia" w:ascii="宋体" w:hAnsi="宋体" w:eastAsia="宋体" w:cs="宋体"/>
                <w:color w:val="auto"/>
                <w:spacing w:val="-2"/>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sz w:val="21"/>
                <w:szCs w:val="21"/>
                <w:highlight w:val="none"/>
              </w:rPr>
              <w:t>总</w:t>
            </w:r>
            <w:r>
              <w:rPr>
                <w:rFonts w:hint="eastAsia" w:ascii="宋体" w:hAnsi="宋体" w:eastAsia="宋体" w:cs="宋体"/>
                <w:color w:val="auto"/>
                <w:spacing w:val="7"/>
                <w:kern w:val="2"/>
                <w:sz w:val="21"/>
                <w:szCs w:val="21"/>
                <w:highlight w:val="none"/>
              </w:rPr>
              <w:t>电流畸变率</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position w:val="1"/>
                <w:sz w:val="21"/>
                <w:szCs w:val="21"/>
                <w:highlight w:val="none"/>
              </w:rPr>
              <w:t>≤</w:t>
            </w:r>
            <w:r>
              <w:rPr>
                <w:rFonts w:hint="eastAsia" w:ascii="宋体" w:hAnsi="宋体" w:eastAsia="宋体" w:cs="宋体"/>
                <w:color w:val="auto"/>
                <w:spacing w:val="-2"/>
                <w:kern w:val="2"/>
                <w:position w:val="1"/>
                <w:sz w:val="21"/>
                <w:szCs w:val="21"/>
                <w:highlight w:val="none"/>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功</w:t>
            </w:r>
            <w:r>
              <w:rPr>
                <w:rFonts w:hint="eastAsia" w:ascii="宋体" w:hAnsi="宋体" w:eastAsia="宋体" w:cs="宋体"/>
                <w:color w:val="auto"/>
                <w:spacing w:val="6"/>
                <w:kern w:val="2"/>
                <w:sz w:val="21"/>
                <w:szCs w:val="21"/>
                <w:highlight w:val="none"/>
              </w:rPr>
              <w:t>率因数</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＞0.990</w:t>
            </w:r>
            <w:r>
              <w:rPr>
                <w:rFonts w:hint="eastAsia" w:ascii="宋体" w:hAnsi="宋体" w:eastAsia="宋体" w:cs="宋体"/>
                <w:color w:val="auto"/>
                <w:spacing w:val="-1"/>
                <w:kern w:val="2"/>
                <w:sz w:val="21"/>
                <w:szCs w:val="21"/>
                <w:highlight w:val="none"/>
              </w:rPr>
              <w:t>.8超前...0.8滞后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系</w:t>
            </w:r>
            <w:r>
              <w:rPr>
                <w:rFonts w:hint="eastAsia" w:ascii="宋体" w:hAnsi="宋体" w:eastAsia="宋体" w:cs="宋体"/>
                <w:color w:val="auto"/>
                <w:spacing w:val="6"/>
                <w:kern w:val="2"/>
                <w:sz w:val="21"/>
                <w:szCs w:val="21"/>
                <w:highlight w:val="none"/>
              </w:rPr>
              <w:t>统特性</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最</w:t>
            </w:r>
            <w:r>
              <w:rPr>
                <w:rFonts w:hint="eastAsia" w:ascii="宋体" w:hAnsi="宋体" w:eastAsia="宋体" w:cs="宋体"/>
                <w:color w:val="auto"/>
                <w:spacing w:val="6"/>
                <w:kern w:val="2"/>
                <w:sz w:val="21"/>
                <w:szCs w:val="21"/>
                <w:highlight w:val="none"/>
              </w:rPr>
              <w:t>大效率%</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98.</w:t>
            </w:r>
            <w:r>
              <w:rPr>
                <w:rFonts w:hint="eastAsia" w:ascii="宋体" w:hAnsi="宋体" w:eastAsia="宋体" w:cs="宋体"/>
                <w:color w:val="auto"/>
                <w:spacing w:val="3"/>
                <w:kern w:val="2"/>
                <w:sz w:val="21"/>
                <w:szCs w:val="21"/>
                <w:highlight w:val="none"/>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中</w:t>
            </w:r>
            <w:r>
              <w:rPr>
                <w:rFonts w:hint="eastAsia" w:ascii="宋体" w:hAnsi="宋体" w:eastAsia="宋体" w:cs="宋体"/>
                <w:color w:val="auto"/>
                <w:spacing w:val="3"/>
                <w:kern w:val="2"/>
                <w:sz w:val="21"/>
                <w:szCs w:val="21"/>
                <w:highlight w:val="none"/>
              </w:rPr>
              <w:t>国</w:t>
            </w:r>
            <w:r>
              <w:rPr>
                <w:rFonts w:hint="eastAsia" w:ascii="宋体" w:hAnsi="宋体" w:eastAsia="宋体" w:cs="宋体"/>
                <w:color w:val="auto"/>
                <w:spacing w:val="2"/>
                <w:kern w:val="2"/>
                <w:sz w:val="21"/>
                <w:szCs w:val="21"/>
                <w:highlight w:val="none"/>
              </w:rPr>
              <w:t>效率%</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98.</w:t>
            </w:r>
            <w:r>
              <w:rPr>
                <w:rFonts w:hint="eastAsia" w:ascii="宋体" w:hAnsi="宋体" w:eastAsia="宋体" w:cs="宋体"/>
                <w:color w:val="auto"/>
                <w:spacing w:val="3"/>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sz w:val="21"/>
                <w:szCs w:val="21"/>
                <w:highlight w:val="none"/>
              </w:rPr>
              <w:t>防护等</w:t>
            </w:r>
            <w:r>
              <w:rPr>
                <w:rFonts w:hint="eastAsia" w:ascii="宋体" w:hAnsi="宋体" w:eastAsia="宋体" w:cs="宋体"/>
                <w:color w:val="auto"/>
                <w:spacing w:val="3"/>
                <w:kern w:val="2"/>
                <w:sz w:val="21"/>
                <w:szCs w:val="21"/>
                <w:highlight w:val="none"/>
              </w:rPr>
              <w:t>级</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I</w:t>
            </w:r>
            <w:r>
              <w:rPr>
                <w:rFonts w:hint="eastAsia" w:ascii="宋体" w:hAnsi="宋体" w:eastAsia="宋体" w:cs="宋体"/>
                <w:color w:val="auto"/>
                <w:kern w:val="2"/>
                <w:sz w:val="21"/>
                <w:szCs w:val="21"/>
                <w:highlight w:val="none"/>
              </w:rPr>
              <w:t>P</w:t>
            </w:r>
            <w:r>
              <w:rPr>
                <w:rFonts w:hint="eastAsia" w:ascii="宋体" w:hAnsi="宋体" w:eastAsia="宋体" w:cs="宋体"/>
                <w:color w:val="auto"/>
                <w:spacing w:val="-1"/>
                <w:kern w:val="2"/>
                <w:sz w:val="21"/>
                <w:szCs w:val="21"/>
                <w:highlight w:val="none"/>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夜间自耗电W</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position w:val="1"/>
                <w:sz w:val="21"/>
                <w:szCs w:val="21"/>
                <w:highlight w:val="none"/>
              </w:rPr>
              <w:t>≤</w:t>
            </w:r>
            <w:r>
              <w:rPr>
                <w:rFonts w:hint="eastAsia" w:ascii="宋体" w:hAnsi="宋体" w:eastAsia="宋体" w:cs="宋体"/>
                <w:color w:val="auto"/>
                <w:spacing w:val="-5"/>
                <w:kern w:val="2"/>
                <w:position w:val="1"/>
                <w:sz w:val="21"/>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环境温度℃</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position w:val="1"/>
                <w:sz w:val="21"/>
                <w:szCs w:val="21"/>
                <w:highlight w:val="none"/>
              </w:rPr>
              <w:t>-30~+6</w:t>
            </w:r>
            <w:r>
              <w:rPr>
                <w:rFonts w:hint="eastAsia" w:ascii="宋体" w:hAnsi="宋体" w:eastAsia="宋体" w:cs="宋体"/>
                <w:color w:val="auto"/>
                <w:spacing w:val="3"/>
                <w:kern w:val="2"/>
                <w:position w:val="1"/>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冷却方式</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rPr>
              <w:t>智能风冷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continue"/>
            <w:tcBorders>
              <w:top w:val="nil"/>
              <w:bottom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允许相对湿度</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0</w:t>
            </w:r>
            <w:r>
              <w:rPr>
                <w:rFonts w:hint="eastAsia" w:ascii="宋体" w:hAnsi="宋体" w:eastAsia="宋体" w:cs="宋体"/>
                <w:color w:val="auto"/>
                <w:spacing w:val="5"/>
                <w:kern w:val="2"/>
                <w:sz w:val="21"/>
                <w:szCs w:val="21"/>
                <w:highlight w:val="none"/>
              </w:rPr>
              <w:t>-100%无冷凝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8"/>
                <w:kern w:val="2"/>
                <w:sz w:val="21"/>
                <w:szCs w:val="21"/>
                <w:highlight w:val="none"/>
              </w:rPr>
              <w:t>允许相对海</w:t>
            </w:r>
            <w:r>
              <w:rPr>
                <w:rFonts w:hint="eastAsia" w:ascii="宋体" w:hAnsi="宋体" w:eastAsia="宋体" w:cs="宋体"/>
                <w:color w:val="auto"/>
                <w:spacing w:val="17"/>
                <w:kern w:val="2"/>
                <w:sz w:val="21"/>
                <w:szCs w:val="21"/>
                <w:highlight w:val="none"/>
              </w:rPr>
              <w:t>拔</w:t>
            </w:r>
            <w:r>
              <w:rPr>
                <w:rFonts w:hint="eastAsia" w:ascii="宋体" w:hAnsi="宋体" w:eastAsia="宋体" w:cs="宋体"/>
                <w:color w:val="auto"/>
                <w:kern w:val="2"/>
                <w:sz w:val="21"/>
                <w:szCs w:val="21"/>
                <w:highlight w:val="none"/>
              </w:rPr>
              <w:t>m</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3"/>
                <w:kern w:val="2"/>
                <w:sz w:val="21"/>
                <w:szCs w:val="21"/>
                <w:highlight w:val="none"/>
              </w:rPr>
              <w:t>400</w:t>
            </w:r>
            <w:r>
              <w:rPr>
                <w:rFonts w:hint="eastAsia" w:ascii="宋体" w:hAnsi="宋体" w:eastAsia="宋体" w:cs="宋体"/>
                <w:color w:val="auto"/>
                <w:spacing w:val="2"/>
                <w:kern w:val="2"/>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7"/>
                <w:kern w:val="2"/>
                <w:sz w:val="21"/>
                <w:szCs w:val="21"/>
                <w:highlight w:val="none"/>
              </w:rPr>
              <w:t>显示与通</w:t>
            </w:r>
            <w:r>
              <w:rPr>
                <w:rFonts w:hint="eastAsia" w:ascii="宋体" w:hAnsi="宋体" w:eastAsia="宋体" w:cs="宋体"/>
                <w:color w:val="auto"/>
                <w:spacing w:val="6"/>
                <w:kern w:val="2"/>
                <w:sz w:val="21"/>
                <w:szCs w:val="21"/>
                <w:highlight w:val="none"/>
              </w:rPr>
              <w:t>讯</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
                <w:kern w:val="2"/>
                <w:sz w:val="21"/>
                <w:szCs w:val="21"/>
                <w:highlight w:val="none"/>
              </w:rPr>
              <w:t>显示</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LED</w:t>
            </w:r>
            <w:r>
              <w:rPr>
                <w:rFonts w:hint="eastAsia" w:ascii="宋体" w:hAnsi="宋体" w:eastAsia="宋体" w:cs="宋体"/>
                <w:color w:val="auto"/>
                <w:spacing w:val="4"/>
                <w:kern w:val="2"/>
                <w:sz w:val="21"/>
                <w:szCs w:val="21"/>
                <w:highlight w:val="none"/>
              </w:rPr>
              <w:t>指示灯、蓝牙+</w:t>
            </w:r>
            <w:r>
              <w:rPr>
                <w:rFonts w:hint="eastAsia" w:ascii="宋体" w:hAnsi="宋体" w:eastAsia="宋体" w:cs="宋体"/>
                <w:color w:val="auto"/>
                <w:kern w:val="2"/>
                <w:sz w:val="21"/>
                <w:szCs w:val="21"/>
                <w:highlight w:val="none"/>
              </w:rPr>
              <w:t>APP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9"/>
                <w:kern w:val="2"/>
                <w:sz w:val="21"/>
                <w:szCs w:val="21"/>
                <w:highlight w:val="none"/>
              </w:rPr>
              <w:t>通</w:t>
            </w:r>
            <w:r>
              <w:rPr>
                <w:rFonts w:hint="eastAsia" w:ascii="宋体" w:hAnsi="宋体" w:eastAsia="宋体" w:cs="宋体"/>
                <w:color w:val="auto"/>
                <w:spacing w:val="7"/>
                <w:kern w:val="2"/>
                <w:sz w:val="21"/>
                <w:szCs w:val="21"/>
                <w:highlight w:val="none"/>
              </w:rPr>
              <w:t>讯方式</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RS</w:t>
            </w:r>
            <w:r>
              <w:rPr>
                <w:rFonts w:hint="eastAsia" w:ascii="宋体" w:hAnsi="宋体" w:eastAsia="宋体" w:cs="宋体"/>
                <w:color w:val="auto"/>
                <w:spacing w:val="17"/>
                <w:kern w:val="2"/>
                <w:sz w:val="21"/>
                <w:szCs w:val="21"/>
                <w:highlight w:val="none"/>
              </w:rPr>
              <w:t>4</w:t>
            </w:r>
            <w:r>
              <w:rPr>
                <w:rFonts w:hint="eastAsia" w:ascii="宋体" w:hAnsi="宋体" w:eastAsia="宋体" w:cs="宋体"/>
                <w:color w:val="auto"/>
                <w:spacing w:val="15"/>
                <w:kern w:val="2"/>
                <w:sz w:val="21"/>
                <w:szCs w:val="21"/>
                <w:highlight w:val="none"/>
              </w:rPr>
              <w:t>85、</w:t>
            </w:r>
            <w:r>
              <w:rPr>
                <w:rFonts w:hint="eastAsia" w:ascii="宋体" w:hAnsi="宋体" w:eastAsia="宋体" w:cs="宋体"/>
                <w:color w:val="auto"/>
                <w:kern w:val="2"/>
                <w:sz w:val="21"/>
                <w:szCs w:val="21"/>
                <w:highlight w:val="none"/>
              </w:rPr>
              <w:t>USB</w:t>
            </w:r>
            <w:r>
              <w:rPr>
                <w:rFonts w:hint="eastAsia" w:ascii="宋体" w:hAnsi="宋体" w:eastAsia="宋体" w:cs="宋体"/>
                <w:color w:val="auto"/>
                <w:spacing w:val="15"/>
                <w:kern w:val="2"/>
                <w:sz w:val="21"/>
                <w:szCs w:val="21"/>
                <w:highlight w:val="none"/>
              </w:rPr>
              <w:t>、</w:t>
            </w:r>
            <w:r>
              <w:rPr>
                <w:rFonts w:hint="eastAsia" w:ascii="宋体" w:hAnsi="宋体" w:eastAsia="宋体" w:cs="宋体"/>
                <w:color w:val="auto"/>
                <w:kern w:val="2"/>
                <w:sz w:val="21"/>
                <w:szCs w:val="21"/>
                <w:highlight w:val="none"/>
              </w:rPr>
              <w:t>WIFI</w:t>
            </w:r>
            <w:r>
              <w:rPr>
                <w:rFonts w:hint="eastAsia" w:ascii="宋体" w:hAnsi="宋体" w:eastAsia="宋体" w:cs="宋体"/>
                <w:color w:val="auto"/>
                <w:spacing w:val="15"/>
                <w:kern w:val="2"/>
                <w:sz w:val="21"/>
                <w:szCs w:val="21"/>
                <w:highlight w:val="none"/>
              </w:rPr>
              <w:t>、4</w:t>
            </w:r>
            <w:r>
              <w:rPr>
                <w:rFonts w:hint="eastAsia" w:ascii="宋体" w:hAnsi="宋体" w:eastAsia="宋体" w:cs="宋体"/>
                <w:color w:val="auto"/>
                <w:kern w:val="2"/>
                <w:sz w:val="21"/>
                <w:szCs w:val="21"/>
                <w:highlight w:val="none"/>
              </w:rPr>
              <w:t>G</w:t>
            </w:r>
            <w:r>
              <w:rPr>
                <w:rFonts w:hint="eastAsia" w:ascii="宋体" w:hAnsi="宋体" w:eastAsia="宋体" w:cs="宋体"/>
                <w:color w:val="auto"/>
                <w:spacing w:val="15"/>
                <w:kern w:val="2"/>
                <w:sz w:val="21"/>
                <w:szCs w:val="21"/>
                <w:highlight w:val="none"/>
              </w:rPr>
              <w:t>、</w:t>
            </w:r>
            <w:r>
              <w:rPr>
                <w:rFonts w:hint="eastAsia" w:ascii="宋体" w:hAnsi="宋体" w:eastAsia="宋体" w:cs="宋体"/>
                <w:color w:val="auto"/>
                <w:kern w:val="2"/>
                <w:sz w:val="21"/>
                <w:szCs w:val="21"/>
                <w:highlight w:val="none"/>
              </w:rPr>
              <w:t>MBUS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121" w:type="pct"/>
            <w:vMerge w:val="restart"/>
            <w:tcBorders>
              <w:bottom w:val="nil"/>
            </w:tcBorders>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机械参</w:t>
            </w:r>
            <w:r>
              <w:rPr>
                <w:rFonts w:hint="eastAsia" w:ascii="宋体" w:hAnsi="宋体" w:eastAsia="宋体" w:cs="宋体"/>
                <w:color w:val="auto"/>
                <w:spacing w:val="7"/>
                <w:kern w:val="2"/>
                <w:sz w:val="21"/>
                <w:szCs w:val="21"/>
                <w:highlight w:val="none"/>
              </w:rPr>
              <w:t>数</w:t>
            </w: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20"/>
                <w:kern w:val="2"/>
                <w:sz w:val="21"/>
                <w:szCs w:val="21"/>
                <w:highlight w:val="none"/>
              </w:rPr>
              <w:t>宽</w:t>
            </w:r>
            <w:r>
              <w:rPr>
                <w:rFonts w:hint="eastAsia" w:ascii="宋体" w:hAnsi="宋体" w:eastAsia="宋体" w:cs="宋体"/>
                <w:color w:val="auto"/>
                <w:spacing w:val="17"/>
                <w:kern w:val="2"/>
                <w:sz w:val="21"/>
                <w:szCs w:val="21"/>
                <w:highlight w:val="none"/>
              </w:rPr>
              <w:t>*高*深</w:t>
            </w:r>
            <w:r>
              <w:rPr>
                <w:rFonts w:hint="eastAsia" w:ascii="宋体" w:hAnsi="宋体" w:eastAsia="宋体" w:cs="宋体"/>
                <w:color w:val="auto"/>
                <w:kern w:val="2"/>
                <w:sz w:val="21"/>
                <w:szCs w:val="21"/>
                <w:highlight w:val="none"/>
              </w:rPr>
              <w:t>mm</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4"/>
                <w:kern w:val="2"/>
                <w:position w:val="1"/>
                <w:sz w:val="21"/>
                <w:szCs w:val="21"/>
                <w:highlight w:val="none"/>
              </w:rPr>
              <w:t>1035</w:t>
            </w:r>
            <w:r>
              <w:rPr>
                <w:rFonts w:hint="eastAsia" w:ascii="宋体" w:hAnsi="宋体" w:eastAsia="宋体" w:cs="宋体"/>
                <w:color w:val="auto"/>
                <w:spacing w:val="2"/>
                <w:kern w:val="2"/>
                <w:position w:val="1"/>
                <w:sz w:val="21"/>
                <w:szCs w:val="21"/>
                <w:highlight w:val="none"/>
              </w:rPr>
              <w:t>*700*365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1121" w:type="pct"/>
            <w:vMerge w:val="continue"/>
            <w:tcBorders>
              <w:top w:val="nil"/>
            </w:tcBorders>
            <w:vAlign w:val="center"/>
          </w:tcPr>
          <w:p>
            <w:pPr>
              <w:spacing w:after="0" w:line="288" w:lineRule="auto"/>
              <w:jc w:val="center"/>
              <w:rPr>
                <w:rFonts w:ascii="宋体" w:hAnsi="宋体" w:eastAsia="宋体" w:cs="宋体"/>
                <w:color w:val="auto"/>
                <w:kern w:val="2"/>
                <w:sz w:val="21"/>
                <w:szCs w:val="21"/>
                <w:highlight w:val="none"/>
              </w:rPr>
            </w:pPr>
          </w:p>
        </w:tc>
        <w:tc>
          <w:tcPr>
            <w:tcW w:w="1561"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8"/>
                <w:kern w:val="2"/>
                <w:sz w:val="21"/>
                <w:szCs w:val="21"/>
                <w:highlight w:val="none"/>
              </w:rPr>
              <w:t>重</w:t>
            </w:r>
            <w:r>
              <w:rPr>
                <w:rFonts w:hint="eastAsia" w:ascii="宋体" w:hAnsi="宋体" w:eastAsia="宋体" w:cs="宋体"/>
                <w:color w:val="auto"/>
                <w:spacing w:val="-7"/>
                <w:kern w:val="2"/>
                <w:sz w:val="21"/>
                <w:szCs w:val="21"/>
                <w:highlight w:val="none"/>
              </w:rPr>
              <w:t>量kg</w:t>
            </w:r>
          </w:p>
        </w:tc>
        <w:tc>
          <w:tcPr>
            <w:tcW w:w="2317" w:type="pct"/>
            <w:vAlign w:val="center"/>
          </w:tcPr>
          <w:p>
            <w:pPr>
              <w:spacing w:after="0" w:line="288" w:lineRule="auto"/>
              <w:jc w:val="center"/>
              <w:rPr>
                <w:rFonts w:ascii="宋体" w:hAnsi="宋体" w:eastAsia="宋体" w:cs="宋体"/>
                <w:color w:val="auto"/>
                <w:kern w:val="2"/>
                <w:sz w:val="21"/>
                <w:szCs w:val="21"/>
                <w:highlight w:val="none"/>
              </w:rPr>
            </w:pPr>
            <w:r>
              <w:rPr>
                <w:rFonts w:hint="eastAsia" w:ascii="宋体" w:hAnsi="宋体" w:eastAsia="宋体" w:cs="宋体"/>
                <w:color w:val="auto"/>
                <w:spacing w:val="-1"/>
                <w:kern w:val="2"/>
                <w:sz w:val="21"/>
                <w:szCs w:val="21"/>
                <w:highlight w:val="none"/>
              </w:rPr>
              <w:t>8</w:t>
            </w:r>
            <w:r>
              <w:rPr>
                <w:rFonts w:hint="eastAsia" w:ascii="宋体" w:hAnsi="宋体" w:eastAsia="宋体" w:cs="宋体"/>
                <w:color w:val="auto"/>
                <w:kern w:val="2"/>
                <w:sz w:val="21"/>
                <w:szCs w:val="21"/>
                <w:highlight w:val="none"/>
              </w:rPr>
              <w:t>5</w:t>
            </w:r>
          </w:p>
        </w:tc>
      </w:tr>
    </w:tbl>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（2）逆变器应具有最大功率跟踪、绝缘阻抗检测、温度保护、直流反接保护、交流短路保护、漏电流保护、过电流保护、残余电流检测、并网保护、电网监控、防孤岛效应等基本功能并可发出告警信号。</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（3）逆变器内置交直流防雷和直流开关，交直流浪涌保护II级以上，具备良好的电气隔离性，整机符合国家相关标准。</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（4）可进行高精度组串检测及智能I-V曲线扫描诊断，精确定位异常组串方便后期运维。</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（5）支持PLC通讯，项目并网后投标单位负责注册APP监控软件，并将光伏电站现场实时监测数据联通传送至东莞新锋光伏能源科技有限公司数据控制中心PC端，实现集中监控。</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（6）逆变器与光伏组件布置采用就近原则，逆变器对应的最近距离的光伏组串不能超过5m。</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（7）为避免烈日暴晒或雨淋，逆变器须安装遮阳棚。</w:t>
      </w:r>
    </w:p>
    <w:p>
      <w:pPr>
        <w:widowControl w:val="0"/>
        <w:wordWrap w:val="0"/>
        <w:adjustRightInd/>
        <w:snapToGrid/>
        <w:spacing w:after="0" w:line="288" w:lineRule="auto"/>
        <w:ind w:firstLine="420" w:firstLineChars="200"/>
        <w:rPr>
          <w:rFonts w:hint="eastAsia" w:ascii="宋体" w:hAnsi="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（8）并网逆变器推荐厂家品牌：华为、阳光电源、上能电气或同等及以上的品牌型号</w:t>
      </w:r>
      <w:r>
        <w:rPr>
          <w:rFonts w:hint="eastAsia" w:ascii="宋体" w:hAnsi="宋体" w:cs="宋体"/>
          <w:color w:val="auto"/>
          <w:kern w:val="2"/>
          <w:sz w:val="21"/>
          <w:szCs w:val="21"/>
          <w:highlight w:val="none"/>
          <w:lang w:eastAsia="zh-CN"/>
        </w:rPr>
        <w:t>；</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5.交流汇流箱技术要求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（1）产品质保不少于2年，在投标文件中提供质保说明书。</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（2）电气元件应使用国际国内知名品牌，汇流箱与电气元件均具备国内3C认证。</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（3）内置漏电保护和浪涌保护，采用交直II级防雷保护，整体符合国家相关标准。</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（4）箱体的防护等级不低于IP65，适合户外安装，满足防水、防尘、防紫外线、防盐雾、耐腐蚀等，安装位置干燥、通风良好。</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（5）箱体采用冷扎钢板制作，钢板的厚度≥1.5mm，经过静电喷塑处理，内部全部的金属结构都需经过防腐处理，内外表面平整、光洁，无锈蚀、涂层脱落和磕碰损伤现象。</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（6）箱体内部结构具有足够的机械强度，保证元器件安装后及操作时无摇晃、不变形；元器件安装走线应整齐、可靠、合理布置；电器间绝缘应符合国家有关标准，进出线必须通过接线端子。</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（7）箱体内应该针对接入的设备及线路，拥有明显的电气开断元件，能够确保检修时能够逐级断开系统，每个汇流箱必须给出一次及二次接线图。</w:t>
      </w:r>
    </w:p>
    <w:p>
      <w:pPr>
        <w:widowControl w:val="0"/>
        <w:wordWrap w:val="0"/>
        <w:adjustRightInd/>
        <w:snapToGrid/>
        <w:spacing w:after="0" w:line="288" w:lineRule="auto"/>
        <w:ind w:firstLine="420" w:firstLineChars="200"/>
        <w:rPr>
          <w:rFonts w:ascii="Arial"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（8）为避免烈日暴晒或雨淋，交流汇流箱须安装遮阳棚。</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6.光伏并网柜技术要求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（1）产品质保不少于2年，在投标文件中提供质保说明书。</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（2）电气元件应使用国际国内知名品牌，并网柜与电气元件均具备国内3C认证。</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并网柜具备被动孤岛检测、有压自动重合闸、失压跳闸、过欠压保护、过电流保护、防雷保护、短路保护、高低频保护、防孤岛保护等基本功能，若当地供电部门要求，还需配置逆功率保护；同时具备智能通讯功能，可以和后台系统通讯组网，远程操作断路器分合闸，远程查看并网柜各种电参量及开关位置信息。</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光伏并网柜可以加装计量仓，计量仓带铅封装置，可以有效防止窃电。计量仓内可以安装计量装置和负控装置(一般当地供电局提供)，能很好的记录发电量情况，计量表具备双向计量功能，计量电表数据均接入到监控系统后台。</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（5）柜体的防护等级不低于IP30，配电房内安装，柜型按照原有配电房开关柜定做，整体符合国家相关标准。</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（6）柜体采用冷扎钢板制作，钢板的厚度≥1.5mm，经过静电喷塑处理，内部全部的金属结构都需经过防腐处理，内外表面平整、光洁，无锈蚀、涂层脱落和磕碰损伤现象。</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（7）柜体内部结构具有足够的机械强度，保证元器件安装后及操作时无摇晃、不变形；元器件安装走线应整齐、可靠、合理布置；电器间绝缘应符合国家有关标准，进出线必须通过接线端子。</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（8）柜体内应该针对接入的设备及线路，拥有明显的电气开断元件，能够确保检修时能够逐级断开系统，每个并网柜必须给出一次及二次接线图。</w:t>
      </w:r>
    </w:p>
    <w:p>
      <w:pPr>
        <w:widowControl w:val="0"/>
        <w:wordWrap w:val="0"/>
        <w:adjustRightInd/>
        <w:snapToGrid/>
        <w:spacing w:after="0" w:line="288" w:lineRule="auto"/>
        <w:ind w:firstLine="420" w:firstLineChars="200"/>
        <w:rPr>
          <w:rFonts w:ascii="Arial" w:hAnsi="Calibri" w:eastAsia="宋体" w:cs="Times New Roman"/>
          <w:color w:val="auto"/>
          <w:kern w:val="2"/>
          <w:sz w:val="21"/>
          <w:szCs w:val="24"/>
          <w:highlight w:val="none"/>
        </w:rPr>
      </w:pPr>
      <w:r>
        <w:rPr>
          <w:rFonts w:hint="eastAsia" w:ascii="宋体" w:hAnsi="宋体" w:eastAsia="宋体" w:cs="宋体"/>
          <w:color w:val="auto"/>
          <w:kern w:val="2"/>
          <w:sz w:val="21"/>
          <w:szCs w:val="21"/>
          <w:highlight w:val="none"/>
        </w:rPr>
        <w:t>（9）有光伏系统接入的配电房需配置含有光伏并网柜的电力系统图版。</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7.电缆桥架技术要求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（1）本项目涉及的所有电缆走廊均属投标单位工作范围。</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电缆走廊均采用底部开放的梯形桥架或封闭式电缆沟，所有电缆桥架及套管应采用金属材质，桥架表面应有防火涂料，涂料耐火时间不低于1h。电缆沟内桥架采用金属托架。所有电缆桥架均密闭，不能看到电缆及接头外露，且保证桥架内的通风、散热，电缆在桥架里占的空间不超过35%。</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彩钢瓦屋面要求在选用底部开放的梯形桥架时，应在底部铺满防火隔热板，防止电缆发生火灾时，燃烧物溅落至彩钢瓦屋面，烧坏屋顶。桥架结合处用非自攻螺钉连接，所有联接件为304及以上不锈钢质材料。</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（4）所有桥架每隔一定距离均必须用金属抱箍(扎带)固定，避免桥架上下部分变形与移位，且考虑25年使用寿命。汇流箱和逆变器线缆进出线也需考虑转弯半径，预留操作空间。桥架壁厚不少于2.0mm</w:t>
      </w:r>
      <w:r>
        <w:rPr>
          <w:rFonts w:hint="eastAsia" w:ascii="宋体" w:hAnsi="宋体" w:eastAsia="宋体" w:cs="宋体"/>
          <w:color w:val="auto"/>
          <w:kern w:val="2"/>
          <w:sz w:val="21"/>
          <w:szCs w:val="21"/>
          <w:highlight w:val="none"/>
          <w:lang w:eastAsia="zh-CN"/>
        </w:rPr>
        <w:t>。</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8.防雷系统技术要求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（1）光伏系统的防雷设计,应满足雷电防护分区、分级确定的防雷等级要求。各连接点的连接电阻应小于4Ω。接地网的制作应符合国家相关规范要求。屋顶必须有等电位接地地网作为接地连接。</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（2）提供的并网逆变器安全可靠，能确保25年内有效防止光伏组件PID现象的发生。</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（3）带边框的光伏太阳能组件防雷接地要牢靠，并网逆变器将外壳可靠接地，避雷针、避雷扁钢、接地线及接地级要符合规范要求，保障每年防雷接地检测合格。</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（4）组件与组件之间、组件与导轨之间用接地线连接，线槽做好等电位连接与接地。</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光伏组件作为建筑一部分，本身要具备很好的防雷措施，能够与建筑物的防雷带有很明显的防雷连接点。在并网逆变器、交流汇流箱，光伏并网柜都应该有分级别的防雷防浪涌保护模块，保护相关的电气设备和线路。</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ascii="宋体" w:hAnsi="宋体" w:eastAsia="宋体" w:cs="宋体"/>
          <w:color w:val="auto"/>
          <w:kern w:val="2"/>
          <w:sz w:val="21"/>
          <w:szCs w:val="21"/>
          <w:highlight w:val="none"/>
        </w:rPr>
        <w:t>6</w:t>
      </w:r>
      <w:r>
        <w:rPr>
          <w:rFonts w:hint="eastAsia" w:ascii="宋体" w:hAnsi="宋体" w:eastAsia="宋体" w:cs="宋体"/>
          <w:color w:val="auto"/>
          <w:kern w:val="2"/>
          <w:sz w:val="21"/>
          <w:szCs w:val="21"/>
          <w:highlight w:val="none"/>
        </w:rPr>
        <w:t>）防雷设施安装必须符合《建筑物防雷设计规范》GB50057及国家相关规范要求。</w:t>
      </w:r>
    </w:p>
    <w:p>
      <w:pPr>
        <w:widowControl w:val="0"/>
        <w:adjustRightInd/>
        <w:snapToGrid/>
        <w:spacing w:after="0" w:line="360" w:lineRule="auto"/>
        <w:jc w:val="both"/>
        <w:rPr>
          <w:rFonts w:ascii="宋体" w:hAnsi="宋体" w:eastAsia="宋体" w:cs="Times New Roman"/>
          <w:b/>
          <w:bCs/>
          <w:color w:val="auto"/>
          <w:kern w:val="2"/>
          <w:highlight w:val="none"/>
        </w:rPr>
      </w:pPr>
      <w:r>
        <w:rPr>
          <w:rFonts w:hint="eastAsia" w:ascii="宋体" w:hAnsi="宋体" w:eastAsia="宋体" w:cs="Times New Roman"/>
          <w:b/>
          <w:bCs/>
          <w:color w:val="auto"/>
          <w:kern w:val="2"/>
          <w:highlight w:val="none"/>
        </w:rPr>
        <w:t>9.综合自动化监控系统技术要求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单位提供整套光伏项目的智能型综合自动化系统，实时监测系统的运行情况；该系统集电站设备监控、电站发电量整体分析、生产报表等于一体，充分利用数据分析与挖掘等智能化手段，使光伏电站实现安全、规范、高效、智能的运行，保证电站获得持续稳定的发电收益。本项目中系统监控管理由中标方提供，中标方负责安装调试及配合业主后期维护。</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屋面阵列、逆变器及配电室配备实时视频监控系统，招标方能通过投标单位提供的网络地址实施远程对电站过程实施监控，且所有摄像头均可360。自由转动巡检，所有摄像头均须接入到MIS系统以及招标方集中监控系统中，具体要求如下：</w:t>
      </w:r>
    </w:p>
    <w:tbl>
      <w:tblPr>
        <w:tblStyle w:val="55"/>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28"/>
        <w:gridCol w:w="1990"/>
        <w:gridCol w:w="52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jc w:val="center"/>
        </w:trPr>
        <w:tc>
          <w:tcPr>
            <w:tcW w:w="678" w:type="pct"/>
            <w:vAlign w:val="center"/>
          </w:tcPr>
          <w:p>
            <w:pPr>
              <w:spacing w:after="0" w:line="288" w:lineRule="auto"/>
              <w:jc w:val="center"/>
              <w:rPr>
                <w:rFonts w:ascii="宋体" w:hAnsi="宋体" w:eastAsia="宋体" w:cs="宋体"/>
                <w:b/>
                <w:bCs/>
                <w:color w:val="auto"/>
                <w:kern w:val="2"/>
                <w:sz w:val="21"/>
                <w:szCs w:val="21"/>
                <w:highlight w:val="none"/>
              </w:rPr>
            </w:pPr>
            <w:r>
              <w:rPr>
                <w:rFonts w:ascii="宋体" w:hAnsi="宋体" w:eastAsia="宋体" w:cs="宋体"/>
                <w:b/>
                <w:bCs/>
                <w:color w:val="auto"/>
                <w:spacing w:val="-5"/>
                <w:kern w:val="2"/>
                <w:sz w:val="21"/>
                <w:szCs w:val="21"/>
                <w:highlight w:val="none"/>
              </w:rPr>
              <w:t>区</w:t>
            </w:r>
            <w:r>
              <w:rPr>
                <w:rFonts w:ascii="宋体" w:hAnsi="宋体" w:eastAsia="宋体" w:cs="宋体"/>
                <w:b/>
                <w:bCs/>
                <w:color w:val="auto"/>
                <w:spacing w:val="-3"/>
                <w:kern w:val="2"/>
                <w:sz w:val="21"/>
                <w:szCs w:val="21"/>
                <w:highlight w:val="none"/>
              </w:rPr>
              <w:t>域</w:t>
            </w:r>
          </w:p>
        </w:tc>
        <w:tc>
          <w:tcPr>
            <w:tcW w:w="1196" w:type="pct"/>
            <w:vAlign w:val="center"/>
          </w:tcPr>
          <w:p>
            <w:pPr>
              <w:spacing w:after="0" w:line="288" w:lineRule="auto"/>
              <w:jc w:val="center"/>
              <w:rPr>
                <w:rFonts w:ascii="宋体" w:hAnsi="宋体" w:eastAsia="宋体" w:cs="宋体"/>
                <w:b/>
                <w:bCs/>
                <w:color w:val="auto"/>
                <w:kern w:val="2"/>
                <w:sz w:val="21"/>
                <w:szCs w:val="21"/>
                <w:highlight w:val="none"/>
              </w:rPr>
            </w:pPr>
            <w:r>
              <w:rPr>
                <w:rFonts w:ascii="宋体" w:hAnsi="宋体" w:eastAsia="宋体" w:cs="宋体"/>
                <w:b/>
                <w:bCs/>
                <w:color w:val="auto"/>
                <w:spacing w:val="8"/>
                <w:kern w:val="2"/>
                <w:sz w:val="21"/>
                <w:szCs w:val="21"/>
                <w:highlight w:val="none"/>
              </w:rPr>
              <w:t>摄像头数量</w:t>
            </w:r>
          </w:p>
        </w:tc>
        <w:tc>
          <w:tcPr>
            <w:tcW w:w="3125" w:type="pct"/>
            <w:vAlign w:val="center"/>
          </w:tcPr>
          <w:p>
            <w:pPr>
              <w:spacing w:after="0" w:line="288" w:lineRule="auto"/>
              <w:jc w:val="center"/>
              <w:rPr>
                <w:rFonts w:ascii="宋体" w:hAnsi="宋体" w:eastAsia="宋体" w:cs="宋体"/>
                <w:b/>
                <w:bCs/>
                <w:color w:val="auto"/>
                <w:kern w:val="2"/>
                <w:sz w:val="21"/>
                <w:szCs w:val="21"/>
                <w:highlight w:val="none"/>
              </w:rPr>
            </w:pPr>
            <w:r>
              <w:rPr>
                <w:rFonts w:ascii="宋体" w:hAnsi="宋体" w:eastAsia="宋体" w:cs="宋体"/>
                <w:b/>
                <w:bCs/>
                <w:color w:val="auto"/>
                <w:spacing w:val="4"/>
                <w:kern w:val="2"/>
                <w:sz w:val="21"/>
                <w:szCs w:val="21"/>
                <w:highlight w:val="none"/>
              </w:rPr>
              <w:t>备</w:t>
            </w:r>
            <w:r>
              <w:rPr>
                <w:rFonts w:ascii="宋体" w:hAnsi="宋体" w:eastAsia="宋体" w:cs="宋体"/>
                <w:b/>
                <w:bCs/>
                <w:color w:val="auto"/>
                <w:spacing w:val="3"/>
                <w:kern w:val="2"/>
                <w:sz w:val="21"/>
                <w:szCs w:val="21"/>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jc w:val="center"/>
        </w:trPr>
        <w:tc>
          <w:tcPr>
            <w:tcW w:w="678" w:type="pct"/>
            <w:vAlign w:val="center"/>
          </w:tcPr>
          <w:p>
            <w:pPr>
              <w:spacing w:after="0" w:line="288" w:lineRule="auto"/>
              <w:jc w:val="center"/>
              <w:rPr>
                <w:rFonts w:ascii="宋体" w:hAnsi="宋体" w:eastAsia="宋体" w:cs="宋体"/>
                <w:color w:val="auto"/>
                <w:kern w:val="2"/>
                <w:sz w:val="21"/>
                <w:szCs w:val="21"/>
                <w:highlight w:val="none"/>
              </w:rPr>
            </w:pPr>
            <w:r>
              <w:rPr>
                <w:rFonts w:ascii="宋体" w:hAnsi="宋体" w:eastAsia="宋体" w:cs="宋体"/>
                <w:color w:val="auto"/>
                <w:spacing w:val="4"/>
                <w:kern w:val="2"/>
                <w:sz w:val="21"/>
                <w:szCs w:val="21"/>
                <w:highlight w:val="none"/>
              </w:rPr>
              <w:t>屋面</w:t>
            </w:r>
          </w:p>
        </w:tc>
        <w:tc>
          <w:tcPr>
            <w:tcW w:w="1196" w:type="pct"/>
            <w:vMerge w:val="restart"/>
            <w:vAlign w:val="center"/>
          </w:tcPr>
          <w:p>
            <w:pPr>
              <w:spacing w:after="0" w:line="288" w:lineRule="auto"/>
              <w:jc w:val="center"/>
              <w:rPr>
                <w:rFonts w:ascii="宋体" w:hAnsi="宋体" w:eastAsia="宋体" w:cs="宋体"/>
                <w:color w:val="auto"/>
                <w:kern w:val="2"/>
                <w:sz w:val="21"/>
                <w:szCs w:val="21"/>
                <w:highlight w:val="none"/>
              </w:rPr>
            </w:pPr>
          </w:p>
          <w:p>
            <w:pPr>
              <w:spacing w:after="0" w:line="288" w:lineRule="auto"/>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根据设计图纸</w:t>
            </w:r>
            <w:r>
              <w:rPr>
                <w:rFonts w:hint="eastAsia" w:ascii="宋体" w:hAnsi="宋体" w:cs="宋体"/>
                <w:color w:val="auto"/>
                <w:kern w:val="2"/>
                <w:sz w:val="21"/>
                <w:szCs w:val="21"/>
                <w:highlight w:val="none"/>
                <w:lang w:val="en-US" w:eastAsia="zh-CN"/>
              </w:rPr>
              <w:t>待定</w:t>
            </w:r>
          </w:p>
          <w:p>
            <w:pPr>
              <w:spacing w:after="0" w:line="288" w:lineRule="auto"/>
              <w:jc w:val="center"/>
              <w:rPr>
                <w:rFonts w:ascii="宋体" w:hAnsi="宋体" w:eastAsia="宋体" w:cs="宋体"/>
                <w:color w:val="auto"/>
                <w:kern w:val="2"/>
                <w:sz w:val="21"/>
                <w:szCs w:val="21"/>
                <w:highlight w:val="none"/>
              </w:rPr>
            </w:pPr>
          </w:p>
        </w:tc>
        <w:tc>
          <w:tcPr>
            <w:tcW w:w="3125" w:type="pct"/>
            <w:vMerge w:val="restart"/>
            <w:tcBorders>
              <w:bottom w:val="nil"/>
            </w:tcBorders>
            <w:vAlign w:val="center"/>
          </w:tcPr>
          <w:p>
            <w:pPr>
              <w:spacing w:after="0" w:line="288" w:lineRule="auto"/>
              <w:ind w:right="203"/>
              <w:rPr>
                <w:rFonts w:ascii="宋体" w:hAnsi="宋体" w:eastAsia="宋体" w:cs="宋体"/>
                <w:color w:val="auto"/>
                <w:spacing w:val="-2"/>
                <w:kern w:val="2"/>
                <w:sz w:val="21"/>
                <w:szCs w:val="21"/>
                <w:highlight w:val="none"/>
              </w:rPr>
            </w:pPr>
            <w:r>
              <w:rPr>
                <w:rFonts w:ascii="宋体" w:hAnsi="宋体" w:eastAsia="宋体" w:cs="宋体"/>
                <w:color w:val="auto"/>
                <w:spacing w:val="-4"/>
                <w:kern w:val="2"/>
                <w:sz w:val="21"/>
                <w:szCs w:val="21"/>
                <w:highlight w:val="none"/>
              </w:rPr>
              <w:t>1.直接</w:t>
            </w:r>
            <w:r>
              <w:rPr>
                <w:rFonts w:ascii="宋体" w:hAnsi="宋体" w:eastAsia="宋体" w:cs="宋体"/>
                <w:color w:val="auto"/>
                <w:spacing w:val="-2"/>
                <w:kern w:val="2"/>
                <w:sz w:val="21"/>
                <w:szCs w:val="21"/>
                <w:highlight w:val="none"/>
              </w:rPr>
              <w:t>插移动4G手机卡；</w:t>
            </w:r>
          </w:p>
          <w:p>
            <w:pPr>
              <w:spacing w:after="0" w:line="288" w:lineRule="auto"/>
              <w:ind w:right="203"/>
              <w:rPr>
                <w:rFonts w:ascii="宋体" w:hAnsi="宋体" w:eastAsia="宋体" w:cs="宋体"/>
                <w:color w:val="auto"/>
                <w:kern w:val="2"/>
                <w:sz w:val="21"/>
                <w:szCs w:val="21"/>
                <w:highlight w:val="none"/>
              </w:rPr>
            </w:pPr>
            <w:r>
              <w:rPr>
                <w:rFonts w:ascii="宋体" w:hAnsi="宋体" w:eastAsia="宋体" w:cs="宋体"/>
                <w:color w:val="auto"/>
                <w:spacing w:val="1"/>
                <w:kern w:val="2"/>
                <w:sz w:val="21"/>
                <w:szCs w:val="21"/>
                <w:highlight w:val="none"/>
              </w:rPr>
              <w:t>2.支持手机远程监控，</w:t>
            </w:r>
            <w:r>
              <w:rPr>
                <w:rFonts w:ascii="宋体" w:hAnsi="宋体" w:eastAsia="宋体" w:cs="宋体"/>
                <w:color w:val="auto"/>
                <w:kern w:val="2"/>
                <w:sz w:val="21"/>
                <w:szCs w:val="21"/>
                <w:highlight w:val="none"/>
              </w:rPr>
              <w:t>TF卡容量不小于32G；</w:t>
            </w:r>
          </w:p>
          <w:p>
            <w:pPr>
              <w:spacing w:after="0" w:line="288" w:lineRule="auto"/>
              <w:ind w:right="203"/>
              <w:rPr>
                <w:rFonts w:ascii="宋体" w:hAnsi="宋体" w:eastAsia="宋体" w:cs="宋体"/>
                <w:color w:val="auto"/>
                <w:spacing w:val="8"/>
                <w:kern w:val="2"/>
                <w:sz w:val="21"/>
                <w:szCs w:val="21"/>
                <w:highlight w:val="none"/>
              </w:rPr>
            </w:pPr>
            <w:r>
              <w:rPr>
                <w:rFonts w:ascii="宋体" w:hAnsi="宋体" w:eastAsia="宋体" w:cs="宋体"/>
                <w:color w:val="auto"/>
                <w:spacing w:val="11"/>
                <w:kern w:val="2"/>
                <w:sz w:val="21"/>
                <w:szCs w:val="21"/>
                <w:highlight w:val="none"/>
              </w:rPr>
              <w:t>3</w:t>
            </w:r>
            <w:r>
              <w:rPr>
                <w:rFonts w:ascii="宋体" w:hAnsi="宋体" w:eastAsia="宋体" w:cs="宋体"/>
                <w:color w:val="auto"/>
                <w:spacing w:val="8"/>
                <w:kern w:val="2"/>
                <w:sz w:val="21"/>
                <w:szCs w:val="21"/>
                <w:highlight w:val="none"/>
              </w:rPr>
              <w:t>.</w:t>
            </w:r>
            <w:r>
              <w:rPr>
                <w:rFonts w:hint="eastAsia" w:ascii="宋体" w:hAnsi="宋体" w:eastAsia="宋体" w:cs="宋体"/>
                <w:color w:val="auto"/>
                <w:kern w:val="2"/>
                <w:sz w:val="21"/>
                <w:szCs w:val="21"/>
                <w:highlight w:val="none"/>
              </w:rPr>
              <w:t>摄像头为高清、</w:t>
            </w:r>
            <w:r>
              <w:rPr>
                <w:rFonts w:ascii="宋体" w:hAnsi="宋体" w:eastAsia="宋体" w:cs="宋体"/>
                <w:color w:val="auto"/>
                <w:spacing w:val="8"/>
                <w:kern w:val="2"/>
                <w:sz w:val="21"/>
                <w:szCs w:val="21"/>
                <w:highlight w:val="none"/>
              </w:rPr>
              <w:t>具有夜视功能，支持移动侦测报警</w:t>
            </w:r>
            <w:r>
              <w:rPr>
                <w:rFonts w:hint="eastAsia" w:ascii="宋体" w:hAnsi="宋体" w:eastAsia="宋体" w:cs="宋体"/>
                <w:color w:val="auto"/>
                <w:spacing w:val="8"/>
                <w:kern w:val="2"/>
                <w:sz w:val="21"/>
                <w:szCs w:val="21"/>
                <w:highlight w:val="none"/>
              </w:rPr>
              <w:t>；</w:t>
            </w:r>
          </w:p>
          <w:p>
            <w:pPr>
              <w:spacing w:after="0" w:line="288" w:lineRule="auto"/>
              <w:ind w:right="203"/>
              <w:rPr>
                <w:rFonts w:hint="eastAsia" w:ascii="宋体" w:hAnsi="宋体" w:eastAsia="宋体" w:cs="宋体"/>
                <w:color w:val="auto"/>
                <w:kern w:val="2"/>
                <w:sz w:val="21"/>
                <w:szCs w:val="21"/>
                <w:highlight w:val="none"/>
              </w:rPr>
            </w:pPr>
            <w:r>
              <w:rPr>
                <w:rFonts w:ascii="宋体" w:hAnsi="宋体" w:eastAsia="宋体" w:cs="宋体"/>
                <w:color w:val="auto"/>
                <w:spacing w:val="8"/>
                <w:kern w:val="2"/>
                <w:sz w:val="21"/>
                <w:szCs w:val="21"/>
                <w:highlight w:val="none"/>
              </w:rPr>
              <w:t>4.</w:t>
            </w:r>
            <w:r>
              <w:rPr>
                <w:rFonts w:hint="eastAsia" w:ascii="宋体" w:hAnsi="宋体" w:eastAsia="宋体" w:cs="宋体"/>
                <w:color w:val="auto"/>
                <w:spacing w:val="8"/>
                <w:kern w:val="2"/>
                <w:sz w:val="21"/>
                <w:szCs w:val="21"/>
                <w:highlight w:val="none"/>
              </w:rPr>
              <w:t>视频监控画面必须覆盖所有光伏板面、逆变器区域，不得存在盲区。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jc w:val="center"/>
        </w:trPr>
        <w:tc>
          <w:tcPr>
            <w:tcW w:w="678" w:type="pct"/>
            <w:vAlign w:val="center"/>
          </w:tcPr>
          <w:p>
            <w:pPr>
              <w:spacing w:after="0" w:line="288" w:lineRule="auto"/>
              <w:jc w:val="center"/>
              <w:rPr>
                <w:rFonts w:ascii="宋体" w:hAnsi="宋体" w:eastAsia="宋体" w:cs="宋体"/>
                <w:color w:val="auto"/>
                <w:kern w:val="2"/>
                <w:sz w:val="21"/>
                <w:szCs w:val="21"/>
                <w:highlight w:val="none"/>
              </w:rPr>
            </w:pPr>
            <w:r>
              <w:rPr>
                <w:rFonts w:ascii="宋体" w:hAnsi="宋体" w:eastAsia="宋体" w:cs="宋体"/>
                <w:color w:val="auto"/>
                <w:spacing w:val="7"/>
                <w:kern w:val="2"/>
                <w:sz w:val="21"/>
                <w:szCs w:val="21"/>
                <w:highlight w:val="none"/>
              </w:rPr>
              <w:t>监</w:t>
            </w:r>
            <w:r>
              <w:rPr>
                <w:rFonts w:ascii="宋体" w:hAnsi="宋体" w:eastAsia="宋体" w:cs="宋体"/>
                <w:color w:val="auto"/>
                <w:spacing w:val="6"/>
                <w:kern w:val="2"/>
                <w:sz w:val="21"/>
                <w:szCs w:val="21"/>
                <w:highlight w:val="none"/>
              </w:rPr>
              <w:t>控室</w:t>
            </w:r>
          </w:p>
        </w:tc>
        <w:tc>
          <w:tcPr>
            <w:tcW w:w="1196" w:type="pct"/>
            <w:vMerge w:val="continue"/>
            <w:vAlign w:val="center"/>
          </w:tcPr>
          <w:p>
            <w:pPr>
              <w:spacing w:after="0" w:line="288" w:lineRule="auto"/>
              <w:jc w:val="center"/>
              <w:rPr>
                <w:rFonts w:ascii="宋体" w:hAnsi="宋体" w:eastAsia="宋体" w:cs="宋体"/>
                <w:color w:val="auto"/>
                <w:kern w:val="2"/>
                <w:sz w:val="21"/>
                <w:szCs w:val="21"/>
                <w:highlight w:val="none"/>
              </w:rPr>
            </w:pPr>
          </w:p>
        </w:tc>
        <w:tc>
          <w:tcPr>
            <w:tcW w:w="3125" w:type="pct"/>
            <w:vMerge w:val="continue"/>
            <w:tcBorders>
              <w:top w:val="nil"/>
            </w:tcBorders>
            <w:vAlign w:val="center"/>
          </w:tcPr>
          <w:p>
            <w:pPr>
              <w:spacing w:after="0" w:line="288" w:lineRule="auto"/>
              <w:jc w:val="center"/>
              <w:rPr>
                <w:rFonts w:ascii="Arial" w:hAnsi="Calibri" w:eastAsia="宋体" w:cs="Times New Roman"/>
                <w:color w:val="auto"/>
                <w:kern w:val="2"/>
                <w:sz w:val="21"/>
                <w:szCs w:val="21"/>
                <w:highlight w:val="none"/>
              </w:rPr>
            </w:pPr>
          </w:p>
        </w:tc>
      </w:tr>
    </w:tbl>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三、电气安装要求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（1）光伏电站必须在逆变器输出汇总点设置易于操作、可闭锁、且具有明显断开点的并网总断路器，以保证电力设备检修维护人员的人身安全。</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（2）光伏电站和并网点设备的防雷和接地应符合南方电网公司规定要求，光伏电站接地网接地电阻合格，接地电阻应按规定周期进行测试。</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（3）光伏电站或电网异常、故障时为保护设备和人身安全，应具有相应继电保护功能，保护 电网和光伏设备的安全运行，确保维护人员和公众人身安全。光伏电站的保护应符合南方电网规定的可靠性、选择性、灵活性和速动性的要求。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（4）光伏电站的过流与短路保护、防孤岛能力、逆变器保护、恢复并网等应满足南方电网规定的要求。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（5）光伏电站的二次用直流系统的设计配置及蓄电池的放电容量应符合相关规程的技术要求。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（6）光伏电站的电能质量满足规程要求，电压谐波和波形畸变、电压偏差、电压波动和闪变、电压不平衡度、直流分量在南方电网规定的范围内，保证功率因素在 0.98 以上。</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（7）光伏电站的安全自动装置应按国家规定配置齐全。</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（8）直流部分和交流低压部分的总线路损耗应控制在 2%以内。</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（9）配线线槽在建筑物上的布置应美观，与整个建筑协调一致，布线应隐蔽，从底部不能明显的看到线缆。各方阵的线缆便于连接，并有足够的强度，线缆连接附件应防水、抗老化。</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（10）直流侧电缆要以减少线损并防止外界干扰的原则选型，选用双绝缘防紫外线阻燃铜芯电 缆，电缆性能符合 GB/T18950-2003 性能测试的要求；交流侧需要考虑敷设的形式和安全来选择，采用铜芯阻燃电缆。</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（11）各类线缆通过 TUV、UL、VDE 认证，能满足室外 30 年的使用年限。</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（12）光伏线缆 MC4 插头制作应严格按规范进行，各类线缆不能裸露。</w:t>
      </w: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四、本工程设备采用的设计规范和设计依据</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（1）建筑平面、总平面；其他相关专业提出的要求。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（2）建设方所提供的设计任务委托书、设计要点、经批准的扩初设计文件、配电房管线资料等。</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（3）国家及省的有关规范、标准、规程：</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光伏发电站防雷技术规程 DL/T 1364-2014(国家能源局)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光伏发电并网逆变器技术规范 NB/T 32004-2013(国家能源局)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光伏发电站电能质量检测技术规程 NB/T 32006-2013(国家能源局)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光伏发电站功率预测系统技术要求 NB/T 32011-2013(国家能源局)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光伏发电站防孤岛效应检测技术规程 NB/T 32014-2013(国家能源局)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并网光伏发电监控系统技术规范 NB/T 32016-2013(国家能源局)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太阳能光伏系统防雷技术规范 QX/T 263-2015(中国气象局)</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光伏发电接入配电网设计规范 GB/T 50865-2013</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光伏发电站接入电力系统设计规范 GB/T 50866-2013</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光伏发电站继电保护技术规范 GB/T_32900-2016</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分布式光伏发电系统接入电网技术规范 Q/CSG_1211001-2014</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光伏发电站接入电网技术规范 Q/CSG_1211002-2014</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光伏发电并网技术标准 Q/CSG_1211006-2016</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并网光伏发电站监控系统技术规范 Q/CSG_1211011-2016</w:t>
      </w:r>
    </w:p>
    <w:p>
      <w:pPr>
        <w:widowControl w:val="0"/>
        <w:wordWrap w:val="0"/>
        <w:adjustRightInd/>
        <w:snapToGrid/>
        <w:spacing w:after="0" w:line="288"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建筑结构荷载规范 GB50009-2012</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建筑物防雷设计规范 GB50057-2010</w:t>
      </w:r>
    </w:p>
    <w:p>
      <w:pPr>
        <w:keepNext/>
        <w:keepLines/>
        <w:widowControl w:val="0"/>
        <w:spacing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五、施工技术要求</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 执行的标准和规范</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光伏发电工程验收规范 GB 50796-2012</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屋面工程质量验收规范 GB 50207-2012</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建筑结构加固工程施工质量验收规范 GB 50550-2010</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建筑工程施工质量验收统一标准 GB 50300-2013</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 施工组织布署</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（1）建立项目管理组织机构，健全安全质量保证体系。</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（2）组织建设所用的机械、劳动力等保障资源，以满足建设进度的要求。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（3）采购项目所需的组件等设备、支架等材料。</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（4）项目设计图纸、施工方案满足项目建设要求。</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 质量要求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（1）达到国家或行业质量检验评定的</w:t>
      </w:r>
      <w:r>
        <w:rPr>
          <w:rFonts w:hint="eastAsia" w:ascii="宋体" w:hAnsi="宋体" w:eastAsia="宋体" w:cs="宋体"/>
          <w:color w:val="auto"/>
          <w:kern w:val="2"/>
          <w:sz w:val="21"/>
          <w:szCs w:val="21"/>
          <w:highlight w:val="none"/>
          <w:u w:val="single"/>
        </w:rPr>
        <w:t xml:space="preserve"> 合格 </w:t>
      </w:r>
      <w:r>
        <w:rPr>
          <w:rFonts w:hint="eastAsia" w:ascii="宋体" w:hAnsi="宋体" w:eastAsia="宋体" w:cs="宋体"/>
          <w:color w:val="auto"/>
          <w:kern w:val="2"/>
          <w:sz w:val="21"/>
          <w:szCs w:val="21"/>
          <w:highlight w:val="none"/>
        </w:rPr>
        <w:t>标准。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（2）建立健全质量保证体系，并保证其正常运作。</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（3）加强施工过程控制，设专人对施工质量进行跟踪检查。</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（4）对工程质量的检查严格执行三检制（自检、互检、专检）。</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 安全保证措施</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（1）建立安全生产体系，制定详细的安全保证措施，加强安全管理，保证安全生产无事故。</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（2）施工现场的布置符合防火、防爆、防雷电等安全规定及文明施工的要求。施工现场生活办公用房、仓库、材料堆放场按批准的总平面布置图进行布置。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（3）现场道路保持畅通，危险地点悬挂安全警示标牌，施工现场设置安全宣传标语。</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（4）各类房屋、库棚、料场等安全消防距离符合有关规定，现场易燃杂物随时清理，严禁在有火种的场所或其近旁堆放易燃物品。</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（5）施工现场的临时用电严格按照《施工现场临时用电安全技术规范》JGJ46-2005 的规定执行。</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（6）施工现场用电严格按照三相五线制布设电线，做到二级保护，三级控制，一机一闸。</w:t>
      </w:r>
    </w:p>
    <w:p>
      <w:pPr>
        <w:widowControl w:val="0"/>
        <w:tabs>
          <w:tab w:val="left" w:pos="360"/>
        </w:tabs>
        <w:adjustRightInd/>
        <w:snapToGrid/>
        <w:spacing w:after="0" w:line="288" w:lineRule="auto"/>
        <w:ind w:firstLine="420" w:firstLineChars="200"/>
        <w:jc w:val="both"/>
        <w:rPr>
          <w:rFonts w:ascii="宋体" w:hAnsi="宋体" w:eastAsia="宋体" w:cs="宋体"/>
          <w:b/>
          <w:bCs/>
          <w:color w:val="auto"/>
          <w:kern w:val="2"/>
          <w:sz w:val="21"/>
          <w:szCs w:val="21"/>
          <w:highlight w:val="none"/>
        </w:rPr>
      </w:pPr>
      <w:r>
        <w:rPr>
          <w:rFonts w:hint="eastAsia" w:ascii="宋体" w:hAnsi="宋体" w:eastAsia="宋体" w:cs="宋体"/>
          <w:color w:val="auto"/>
          <w:kern w:val="2"/>
          <w:sz w:val="21"/>
          <w:szCs w:val="21"/>
          <w:highlight w:val="none"/>
        </w:rPr>
        <w:t>（7）施工现场设立安全标志。危险地区悬挂“危险 ”或“禁止通行 ”、“严禁烟火 ”等标志，夜间设红灯警示。</w:t>
      </w: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六、安全运维技术要求</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 运维要求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（1）设施投入运行后，投资方应当制定相应的运维制度，成立专门的管理团队，确保光伏设施的安全运行；投标方在质保期内需配合投资方运维管理。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（2）设施运行经营期最高不得超过 25 年；最低不得低于 10 年；</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（3）质保期内投标方应确保系统安全、稳定、可靠运行，定期派人检查、监管和记录项目的运行情况，并定期汇总给投资方。</w:t>
      </w:r>
      <w:r>
        <w:rPr>
          <w:rFonts w:hint="eastAsia" w:ascii="宋体" w:hAnsi="宋体" w:eastAsia="宋体" w:cs="宋体"/>
          <w:color w:val="auto"/>
          <w:kern w:val="2"/>
          <w:sz w:val="21"/>
          <w:szCs w:val="21"/>
          <w:highlight w:val="none"/>
          <w:lang w:val="en-US" w:eastAsia="zh-CN"/>
        </w:rPr>
        <w:t>施工</w:t>
      </w:r>
      <w:r>
        <w:rPr>
          <w:rFonts w:hint="eastAsia" w:ascii="宋体" w:hAnsi="宋体" w:eastAsia="宋体" w:cs="宋体"/>
          <w:color w:val="auto"/>
          <w:kern w:val="2"/>
          <w:sz w:val="21"/>
          <w:szCs w:val="21"/>
          <w:highlight w:val="none"/>
        </w:rPr>
        <w:t>方承诺对节能设备提供合同期内维修保养服务，并由</w:t>
      </w:r>
      <w:r>
        <w:rPr>
          <w:rFonts w:hint="eastAsia" w:ascii="宋体" w:hAnsi="宋体" w:eastAsia="宋体" w:cs="宋体"/>
          <w:color w:val="auto"/>
          <w:kern w:val="2"/>
          <w:sz w:val="21"/>
          <w:szCs w:val="21"/>
          <w:highlight w:val="none"/>
          <w:lang w:val="en-US" w:eastAsia="zh-CN"/>
        </w:rPr>
        <w:t>施工</w:t>
      </w:r>
      <w:r>
        <w:rPr>
          <w:rFonts w:hint="eastAsia" w:ascii="宋体" w:hAnsi="宋体" w:eastAsia="宋体" w:cs="宋体"/>
          <w:color w:val="auto"/>
          <w:kern w:val="2"/>
          <w:sz w:val="21"/>
          <w:szCs w:val="21"/>
          <w:highlight w:val="none"/>
        </w:rPr>
        <w:t>方承担维修保养费用。</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 维护设施</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（1）上水系统</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考虑到后期清洗，每个光伏屋面设计上水系统，要求在组件排布屋面安装水龙头，并配置相应的计量水表。系统冲洗端设置增压泵，出口压力可调节，最小出口压力保证三个终端同时 开启时冲洗压力大于0.2MPa，泵入口设置可拆卸式滤网保证冲洗水不含杂质。所有的冲洗水管采用镀锌钢管，喷淋主管道为DN40镀锌钢管，喷淋管道为 DN32 镀锌钢管，清洗水管管网放在通道上。水管拖长不超过25米且不能放在组件板上，按只能走通道的原则来布置水龙头。</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（2）维护通道</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各项目根据组件排布设置合理的运维通道，运维通道可以确保运维人员方便的进行运维。运维通道应连成一体，并和水管、线槽等统一布置。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彩钢瓦屋面设置格栅板通道，通道能直达到每一路逆变器。且不影响光伏系统件的正常运行。运维格栅板要求如下：</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①格栅板材质为镀锌钢或其他金属材料，格栅板的重量在 15kg/m2 以内，宽度不低于400mm；</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②格栅能够满足并能覆盖整个屋面太阳能板区域运维过程中的清洗、检修等工作；</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③格栅与格栅衔接处可靠固定，格栅板与屋面可靠连接；</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④格栅强度和质量，满足如下要求：每间隔 500mm 在格栅底部加一道支撑，同时格栅两边用角铁支撑，确保格栅不移位晃动，不下垂并满足踩踏强度要求；</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⑤格栅板考虑防腐措施，寿命要求 25 年以上。</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（3）安全护栏、斜梯、采光带标识</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①若项目无护栏或女儿墙的屋顶，加装高度为1200mm的永久铝合金材质保护栏杆，铝合金栏杆的厚度应在4mm以上，栏杆立柱之间的间距小于1.5m，以保护人身安全，护栏按间隔可靠接地。另外设置安全绳挂钩点。</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②为方便运维和安全作业，未设置楼梯的屋面、彩瓦面、棚式光伏面，须增设钢斜梯，钢斜梯设置应符合《</w:t>
      </w:r>
      <w:r>
        <w:rPr>
          <w:rFonts w:ascii="宋体" w:hAnsi="宋体" w:eastAsia="宋体" w:cs="宋体"/>
          <w:color w:val="auto"/>
          <w:kern w:val="2"/>
          <w:sz w:val="21"/>
          <w:szCs w:val="21"/>
          <w:highlight w:val="none"/>
        </w:rPr>
        <w:t>固定式钢梯及平台安全要求.第2部分:钢斜梯</w:t>
      </w:r>
      <w:r>
        <w:rPr>
          <w:rFonts w:hint="eastAsia" w:ascii="宋体" w:hAnsi="宋体" w:eastAsia="宋体" w:cs="宋体"/>
          <w:color w:val="auto"/>
          <w:kern w:val="2"/>
          <w:sz w:val="21"/>
          <w:szCs w:val="21"/>
          <w:highlight w:val="none"/>
        </w:rPr>
        <w:t>》</w:t>
      </w:r>
      <w:r>
        <w:rPr>
          <w:rFonts w:ascii="宋体" w:hAnsi="宋体" w:eastAsia="宋体" w:cs="宋体"/>
          <w:color w:val="auto"/>
          <w:kern w:val="2"/>
          <w:sz w:val="21"/>
          <w:szCs w:val="21"/>
          <w:highlight w:val="none"/>
        </w:rPr>
        <w:t>GB4053.2-2009</w:t>
      </w:r>
      <w:r>
        <w:rPr>
          <w:rFonts w:hint="eastAsia" w:ascii="宋体" w:hAnsi="宋体" w:eastAsia="宋体" w:cs="宋体"/>
          <w:color w:val="auto"/>
          <w:kern w:val="2"/>
          <w:sz w:val="21"/>
          <w:szCs w:val="21"/>
          <w:highlight w:val="none"/>
        </w:rPr>
        <w:t>。钢斜梯入口要有带锁的活动门，钢斜梯旁边设置安全警示牌看板。</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③采光带周围用宽度不少于100mm黄色油漆标识，涂上荧光涂料，并喷上禁止踩踏字样；同时设置保护，起到保护人员不踩空的作用，同时对厂房采光影响较小。</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（4）视频监控</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①采用高清光口网络摄像机加光口高速摄像机的模式，能够在变电站本地、远端监控中心 都能够看到清晰的图像，图像分辨率达到 1280*960 以上，镜头变倍≥20 倍光学变焦，能够分辨出设备的外观及运行状态、识别出人员车辆等，防护等级要求达到IP67，TVS 8000V防雷、防浪涌、防突波，具有红外夜视功能，夜视距离≥150 米，使用先进的压缩编码技术，视频图像直接在前端进行压缩，通过网络传输回电站监控室，避免外界电磁场对图像的影响。摄像头设备提供公安部功能检验报告复印件，并加盖厂家投标专用章或公章。</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②系统既支持变电站全景展示又能进行细节展示，对于重要设备还具有从多个摄像机进行多角度监视的功能。对于监控室可展现全景图像，能够实现2048*1536的高清监控。</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③在本地及远端的视频监控工作站上可以可实时监视同一发电阵列多路实时图像信息并 实现一机同屏同时监视；也可同时实时监视多个发电阵列，并能够通过鼠标在画面上控制每个摄像机的旋转、变倍，其他摄像机不受影响，同时监控的发电阵列数量大于6个。</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④实时图像自动复位，即可对发电阵列内可旋转的摄像机设定默认监视位置，正常状态下摄像机保持默认位置；在控制完成后自动恢复到默认监视位置。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⑤每个屋顶、配电房、逆变器室的所有设备均在监控范围内，室外设备实现无死角监控。所有监控数据要保留6个月以上。</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⑥视频摄像头电源需引自市电电源。</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⑦本项目视频监控画面通过独立的数字电视展示；本项目投标方的工作范围为现场设备监控到监控PC。现场监控PC有预留无线传输数据传送接口，传送数据格式为统一规约格式。</w:t>
      </w: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七、消防要求</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1. 主要设计原则、功能及配置</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本项目依据国家有关消防条例、规范进行设计，本着“预防为主、防消结合 ”的消防工作方针，消防系统的设置以加强自身防范力量为主，立足于自救，同时与消防部门联防，做到“防患于未然 ”，从积极的方面预防火灾的发生及蔓延。变电站内电气设备较多，消防设计的重点是防止电气火灾。</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（1）对设有电气仪表设备的房间，应配置移动式气体灭火器和手动火灾报警（警铃）。</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（2）对光伏组件屋面应按方阵、逆变器数量配置干粉灭火器和消防沙，用于发电单元电气设备的灭火。</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（3）根据“预防为主、防消结合 ”的原则，本着减少着火机率，阻止电缆着火延燃及窜燃的目的，结合现场实际情况，主要采取“封 ”“堵 ”“隔 ”“涂 ”等技术措施，封堵施工按照国家及行业有关标准和以往的电缆防火封堵措施并结合电站实际情况进行 。施工主要达到《电气装置安装工程 电缆线路施工及验收标准》GB50168-2018。</w:t>
      </w:r>
    </w:p>
    <w:p>
      <w:pPr>
        <w:widowControl w:val="0"/>
        <w:wordWrap w:val="0"/>
        <w:adjustRightInd/>
        <w:snapToGrid/>
        <w:spacing w:after="0" w:line="288" w:lineRule="auto"/>
        <w:rPr>
          <w:rFonts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2. 消防设计及消防验收</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投标方须依据《中华人名共和国消防法》、《建设工程消防监督管理规定》等法律法规及当地消防管理部门的要求，完成如下事项（包括但不限于）:</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（1）光伏发电项目的消防设计及备案；</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（2）委托有资质的第三方机构进行消防检测，并取得消防设施检测合格证明文件；</w:t>
      </w:r>
    </w:p>
    <w:p>
      <w:pPr>
        <w:widowControl w:val="0"/>
        <w:tabs>
          <w:tab w:val="left" w:pos="360"/>
        </w:tabs>
        <w:adjustRightInd/>
        <w:snapToGrid/>
        <w:spacing w:after="0" w:line="288" w:lineRule="auto"/>
        <w:ind w:firstLine="420" w:firstLineChars="200"/>
        <w:jc w:val="both"/>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（3）竣工验收消防备案；</w:t>
      </w:r>
    </w:p>
    <w:p>
      <w:pPr>
        <w:widowControl w:val="0"/>
        <w:wordWrap w:val="0"/>
        <w:adjustRightInd/>
        <w:snapToGrid/>
        <w:spacing w:after="0" w:line="288" w:lineRule="auto"/>
        <w:ind w:left="420" w:left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（4）如本项目被确定为抽查对象，须通过当地消防管理部门的检测检验。</w:t>
      </w:r>
    </w:p>
    <w:p>
      <w:pPr>
        <w:keepNext/>
        <w:keepLines/>
        <w:widowControl w:val="0"/>
        <w:spacing w:after="0" w:line="360" w:lineRule="auto"/>
        <w:jc w:val="both"/>
        <w:outlineLvl w:val="3"/>
        <w:rPr>
          <w:rFonts w:ascii="Calibri Light" w:hAnsi="Calibri Light" w:eastAsia="宋体" w:cs="Times New Roman"/>
          <w:b/>
          <w:bCs/>
          <w:color w:val="auto"/>
          <w:kern w:val="2"/>
          <w:sz w:val="24"/>
          <w:szCs w:val="28"/>
          <w:highlight w:val="none"/>
        </w:rPr>
      </w:pPr>
      <w:r>
        <w:rPr>
          <w:rFonts w:hint="eastAsia" w:ascii="Calibri Light" w:hAnsi="Calibri Light" w:eastAsia="宋体" w:cs="Times New Roman"/>
          <w:b/>
          <w:bCs/>
          <w:color w:val="auto"/>
          <w:kern w:val="2"/>
          <w:sz w:val="24"/>
          <w:szCs w:val="28"/>
          <w:highlight w:val="none"/>
        </w:rPr>
        <w:t>八、特别要求</w:t>
      </w:r>
    </w:p>
    <w:p>
      <w:pPr>
        <w:widowControl w:val="0"/>
        <w:wordWrap w:val="0"/>
        <w:adjustRightInd/>
        <w:snapToGrid/>
        <w:spacing w:after="0" w:line="288" w:lineRule="auto"/>
        <w:ind w:firstLine="420" w:firstLineChars="200"/>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1、如涉及系统并网验收及报批，需与当地供电公司协调沟通。</w:t>
      </w:r>
      <w:r>
        <w:rPr>
          <w:rFonts w:hint="eastAsia" w:ascii="Calibri" w:hAnsi="Calibri" w:eastAsia="宋体" w:cs="Times New Roman"/>
          <w:color w:val="auto"/>
          <w:kern w:val="2"/>
          <w:sz w:val="21"/>
          <w:szCs w:val="21"/>
          <w:highlight w:val="none"/>
        </w:rPr>
        <w:t>业主、设计、供电部门及其他相关方协调工作及费用一切由总包方负责，在不增加装机容量的前提，不得增加费用</w:t>
      </w:r>
      <w:r>
        <w:rPr>
          <w:rFonts w:hint="eastAsia" w:ascii="宋体" w:hAnsi="宋体" w:eastAsia="宋体" w:cs="宋体"/>
          <w:color w:val="auto"/>
          <w:kern w:val="2"/>
          <w:sz w:val="21"/>
          <w:szCs w:val="21"/>
          <w:highlight w:val="none"/>
        </w:rPr>
        <w:t>。</w:t>
      </w:r>
    </w:p>
    <w:p>
      <w:pPr>
        <w:bidi w:val="0"/>
        <w:rPr>
          <w:rFonts w:hint="eastAsia"/>
          <w:color w:val="auto"/>
          <w:highlight w:val="none"/>
          <w:lang w:val="en-US" w:eastAsia="zh-CN"/>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4"/>
      <w:bookmarkEnd w:id="195"/>
      <w:bookmarkEnd w:id="196"/>
      <w:bookmarkEnd w:id="197"/>
      <w:bookmarkStart w:id="198" w:name="_Toc12485"/>
      <w:bookmarkStart w:id="199" w:name="_Toc21448"/>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8"/>
          <w:szCs w:val="28"/>
          <w:highlight w:val="none"/>
        </w:rPr>
      </w:pPr>
      <w:bookmarkStart w:id="200"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8"/>
      <w:bookmarkEnd w:id="199"/>
      <w:bookmarkEnd w:id="200"/>
      <w:bookmarkStart w:id="201" w:name="_Toc1534"/>
      <w:bookmarkStart w:id="202" w:name="_Toc21155"/>
      <w:bookmarkStart w:id="203" w:name="_Toc13430"/>
    </w:p>
    <w:p>
      <w:pPr>
        <w:pStyle w:val="4"/>
        <w:spacing w:before="0" w:after="0" w:line="240" w:lineRule="auto"/>
        <w:jc w:val="center"/>
        <w:rPr>
          <w:rFonts w:ascii="宋体" w:hAnsi="宋体" w:eastAsia="宋体" w:cs="宋体"/>
          <w:color w:val="auto"/>
          <w:highlight w:val="none"/>
        </w:rPr>
      </w:pPr>
      <w:bookmarkStart w:id="204" w:name="_Toc29470"/>
      <w:bookmarkStart w:id="205" w:name="_Toc19575"/>
      <w:bookmarkStart w:id="206" w:name="_Toc16730"/>
      <w:r>
        <w:rPr>
          <w:rFonts w:hint="eastAsia" w:ascii="宋体" w:hAnsi="宋体" w:eastAsia="宋体" w:cs="宋体"/>
          <w:color w:val="auto"/>
          <w:highlight w:val="none"/>
        </w:rPr>
        <w:t>合同格式</w:t>
      </w:r>
      <w:bookmarkEnd w:id="201"/>
      <w:bookmarkEnd w:id="202"/>
      <w:bookmarkEnd w:id="203"/>
      <w:bookmarkEnd w:id="204"/>
      <w:bookmarkEnd w:id="205"/>
      <w:bookmarkEnd w:id="206"/>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w:t>
      </w:r>
      <w:r>
        <w:rPr>
          <w:rFonts w:hint="eastAsia" w:ascii="宋体" w:hAnsi="宋体" w:eastAsia="宋体"/>
          <w:color w:val="auto"/>
          <w:sz w:val="21"/>
          <w:szCs w:val="21"/>
          <w:highlight w:val="none"/>
        </w:rPr>
        <w:t>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w:t>
      </w:r>
      <w:r>
        <w:rPr>
          <w:rFonts w:hint="eastAsia" w:ascii="宋体" w:hAnsi="宋体" w:eastAsia="宋体" w:cs="宋体"/>
          <w:color w:val="auto"/>
          <w:kern w:val="0"/>
          <w:sz w:val="21"/>
          <w:szCs w:val="21"/>
          <w:highlight w:val="none"/>
        </w:rPr>
        <w:t>、《中华人民共和国民法典》，在平等自愿的基础上，按照下面的条款和条件，签署本合同。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1、本次报价为不含税价，具体税费须符合现行国家税务部门要求，结算时根据双方确定的销项税额由采购人承担。</w:t>
      </w:r>
    </w:p>
    <w:p>
      <w:pPr>
        <w:widowControl/>
        <w:adjustRightInd w:val="0"/>
        <w:snapToGrid w:val="0"/>
        <w:spacing w:line="360" w:lineRule="auto"/>
        <w:ind w:firstLine="420" w:firstLineChars="200"/>
        <w:jc w:val="left"/>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2、供应商的报价包括但不限于设计费用、绿色施工安全防护措施费、其他措施项目费、货物及零配件的购置和安装费、人工费、材料费、运输费、质保期售后服务费以及履行合同所需的费用、所有风险、责任等其他一切隐含及不可预见的费用。</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rPr>
        <w:t>3、设计、供电部门、用能方及其他相关方协调工作及费用一切由总包方负责，在不增加装机容量的前提，不得增加费用。</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 xml:space="preserve">、合同总价：（人民币）大写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7" w:name="_Toc15158"/>
      <w:bookmarkStart w:id="208" w:name="_Toc23749"/>
      <w:bookmarkStart w:id="209"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7"/>
      <w:bookmarkEnd w:id="208"/>
      <w:bookmarkEnd w:id="209"/>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0" w:name="_Toc2434"/>
      <w:bookmarkStart w:id="211" w:name="_Toc6790"/>
      <w:bookmarkStart w:id="212" w:name="_Toc26830"/>
      <w:r>
        <w:rPr>
          <w:rFonts w:hint="eastAsia"/>
          <w:color w:val="auto"/>
          <w:highlight w:val="none"/>
          <w:lang w:eastAsia="zh-CN"/>
        </w:rPr>
        <w:t>响应文件</w:t>
      </w:r>
      <w:r>
        <w:rPr>
          <w:rFonts w:hint="eastAsia"/>
          <w:color w:val="auto"/>
          <w:highlight w:val="none"/>
        </w:rPr>
        <w:t>目录</w:t>
      </w:r>
      <w:bookmarkEnd w:id="210"/>
      <w:bookmarkEnd w:id="211"/>
      <w:bookmarkEnd w:id="212"/>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3" w:name="_Toc18893"/>
      <w:bookmarkStart w:id="214" w:name="_Toc25502"/>
      <w:bookmarkStart w:id="215" w:name="_Toc28116"/>
      <w:r>
        <w:rPr>
          <w:rFonts w:hint="eastAsia"/>
          <w:color w:val="auto"/>
          <w:highlight w:val="none"/>
        </w:rPr>
        <w:t>评分标准索引表</w:t>
      </w:r>
      <w:bookmarkEnd w:id="213"/>
      <w:bookmarkEnd w:id="214"/>
      <w:bookmarkEnd w:id="215"/>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6" w:name="_Toc22080"/>
      <w:bookmarkStart w:id="217" w:name="_Toc19057"/>
      <w:bookmarkStart w:id="218" w:name="_Toc30640"/>
      <w:r>
        <w:rPr>
          <w:rFonts w:hint="eastAsia"/>
          <w:color w:val="auto"/>
          <w:highlight w:val="none"/>
          <w:lang w:val="en-US" w:eastAsia="zh-CN"/>
        </w:rPr>
        <w:t>第一章价格文件</w:t>
      </w:r>
      <w:bookmarkEnd w:id="216"/>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29262"/>
      <w:bookmarkStart w:id="220" w:name="_Toc4168"/>
      <w:r>
        <w:rPr>
          <w:rFonts w:hint="eastAsia"/>
          <w:color w:val="auto"/>
          <w:highlight w:val="none"/>
          <w:lang w:val="en-US" w:eastAsia="zh-CN"/>
        </w:rPr>
        <w:t>一、报价一览表</w:t>
      </w:r>
      <w:bookmarkEnd w:id="219"/>
      <w:bookmarkEnd w:id="220"/>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磋商</w:t>
      </w:r>
      <w:r>
        <w:rPr>
          <w:rFonts w:hint="eastAsia" w:ascii="宋体" w:hAnsi="宋体" w:eastAsia="宋体"/>
          <w:color w:val="auto"/>
          <w:sz w:val="21"/>
          <w:szCs w:val="21"/>
          <w:highlight w:val="none"/>
        </w:rPr>
        <w:t>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58"/>
      <w:bookmarkStart w:id="222" w:name="_Toc31062"/>
      <w:r>
        <w:rPr>
          <w:rFonts w:hint="eastAsia"/>
          <w:color w:val="auto"/>
          <w:highlight w:val="none"/>
          <w:lang w:val="en-US" w:eastAsia="zh-CN"/>
        </w:rPr>
        <w:t>二、报价明细表</w:t>
      </w:r>
      <w:bookmarkEnd w:id="221"/>
      <w:bookmarkEnd w:id="222"/>
    </w:p>
    <w:p>
      <w:pPr>
        <w:adjustRightInd/>
        <w:snapToGrid/>
        <w:spacing w:line="276" w:lineRule="auto"/>
        <w:ind w:firstLine="420" w:firstLineChars="200"/>
        <w:rPr>
          <w:color w:val="auto"/>
          <w:highlight w:val="none"/>
        </w:rPr>
      </w:pPr>
      <w:r>
        <w:rPr>
          <w:rFonts w:hint="eastAsia" w:ascii="宋体" w:hAnsi="宋体"/>
          <w:bCs/>
          <w:color w:val="auto"/>
          <w:sz w:val="21"/>
          <w:szCs w:val="21"/>
          <w:highlight w:val="none"/>
          <w:lang w:val="en-US" w:eastAsia="zh-CN"/>
        </w:rPr>
        <w:t>自行编辑。（如不涉及可不提供）</w:t>
      </w: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3" w:name="_Toc23948"/>
      <w:bookmarkStart w:id="224" w:name="_Toc2486"/>
      <w:r>
        <w:rPr>
          <w:rFonts w:hint="eastAsia"/>
          <w:color w:val="auto"/>
          <w:highlight w:val="none"/>
          <w:lang w:val="en-US" w:eastAsia="zh-CN"/>
        </w:rPr>
        <w:t>第二章商务文件</w:t>
      </w:r>
      <w:bookmarkEnd w:id="223"/>
      <w:bookmarkEnd w:id="224"/>
    </w:p>
    <w:bookmarkEnd w:id="218"/>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4151"/>
      <w:bookmarkStart w:id="226" w:name="_Toc23787"/>
      <w:r>
        <w:rPr>
          <w:rFonts w:hint="eastAsia"/>
          <w:color w:val="auto"/>
          <w:highlight w:val="none"/>
          <w:lang w:val="en-US" w:eastAsia="zh-CN"/>
        </w:rPr>
        <w:t>一、响应函</w:t>
      </w:r>
      <w:bookmarkEnd w:id="225"/>
      <w:bookmarkEnd w:id="226"/>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须知中关于没收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保证金的规定。</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5719"/>
      <w:bookmarkStart w:id="228" w:name="_Toc27961"/>
      <w:r>
        <w:rPr>
          <w:rFonts w:hint="eastAsia"/>
          <w:color w:val="auto"/>
          <w:highlight w:val="none"/>
          <w:lang w:val="en-US" w:eastAsia="zh-CN"/>
        </w:rPr>
        <w:t>二、资格申明函</w:t>
      </w:r>
      <w:bookmarkEnd w:id="227"/>
      <w:bookmarkEnd w:id="228"/>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w:t>
      </w:r>
      <w:r>
        <w:rPr>
          <w:rFonts w:hint="eastAsia" w:ascii="宋体" w:hAnsi="宋体"/>
          <w:color w:val="auto"/>
          <w:szCs w:val="21"/>
          <w:highlight w:val="none"/>
          <w:lang w:val="en-US" w:eastAsia="zh-CN"/>
        </w:rPr>
        <w:t>本项目磋商</w:t>
      </w:r>
      <w:r>
        <w:rPr>
          <w:rFonts w:hint="eastAsia" w:ascii="宋体" w:hAnsi="宋体"/>
          <w:color w:val="auto"/>
          <w:szCs w:val="21"/>
          <w:highlight w:val="none"/>
        </w:rPr>
        <w:t>邀请</w:t>
      </w:r>
      <w:r>
        <w:rPr>
          <w:rFonts w:hint="eastAsia" w:ascii="宋体" w:hAnsi="宋体"/>
          <w:color w:val="auto"/>
          <w:szCs w:val="21"/>
          <w:highlight w:val="none"/>
          <w:lang w:val="en-US" w:eastAsia="zh-CN"/>
        </w:rPr>
        <w:t>书</w:t>
      </w:r>
      <w:r>
        <w:rPr>
          <w:rFonts w:hint="eastAsia" w:ascii="宋体" w:hAnsi="宋体"/>
          <w:color w:val="auto"/>
          <w:szCs w:val="21"/>
          <w:highlight w:val="none"/>
        </w:rPr>
        <w:t>中所要求</w:t>
      </w:r>
      <w:r>
        <w:rPr>
          <w:rFonts w:hint="eastAsia" w:ascii="宋体" w:hAnsi="宋体"/>
          <w:color w:val="auto"/>
          <w:szCs w:val="21"/>
          <w:highlight w:val="none"/>
          <w:lang w:val="en-US" w:eastAsia="zh-CN"/>
        </w:rPr>
        <w:t>的</w:t>
      </w:r>
      <w:r>
        <w:rPr>
          <w:rFonts w:hint="eastAsia" w:ascii="宋体" w:hAnsi="宋体"/>
          <w:color w:val="auto"/>
          <w:szCs w:val="21"/>
          <w:highlight w:val="none"/>
        </w:rPr>
        <w:t>资格条件，已清楚招标文件所有要求及有关规定；并承诺参加本次采购活动中，如有违法、违规、弄虚作假行为，所造成的损失、不良后果及法律责任，一律由我方承担；</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bookmarkStart w:id="229"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21335"/>
      <w:bookmarkStart w:id="231" w:name="_Toc21273"/>
      <w:r>
        <w:rPr>
          <w:rFonts w:hint="eastAsia"/>
          <w:color w:val="auto"/>
          <w:highlight w:val="none"/>
          <w:lang w:val="en-US" w:eastAsia="zh-CN"/>
        </w:rPr>
        <w:t>三、在参与采购活动前三年未有重大违法记录、没有不良信用记录的声明函</w:t>
      </w:r>
      <w:bookmarkEnd w:id="230"/>
      <w:bookmarkEnd w:id="231"/>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32128"/>
      <w:bookmarkStart w:id="233" w:name="_Toc13243"/>
      <w:r>
        <w:rPr>
          <w:rFonts w:hint="eastAsia"/>
          <w:color w:val="auto"/>
          <w:highlight w:val="none"/>
          <w:lang w:val="en-US" w:eastAsia="zh-CN"/>
        </w:rPr>
        <w:t>四、法定代表人证明书</w:t>
      </w:r>
      <w:bookmarkEnd w:id="232"/>
      <w:bookmarkEnd w:id="233"/>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4" w:name="_Toc5918"/>
      <w:bookmarkStart w:id="235" w:name="_Toc11689"/>
      <w:r>
        <w:rPr>
          <w:rFonts w:hint="eastAsia"/>
          <w:color w:val="auto"/>
          <w:highlight w:val="none"/>
          <w:lang w:val="en-US" w:eastAsia="zh-CN"/>
        </w:rPr>
        <w:t>五、法定代表人授权书</w:t>
      </w:r>
      <w:bookmarkEnd w:id="234"/>
      <w:bookmarkEnd w:id="235"/>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36"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7" w:name="_Toc24013"/>
      <w:bookmarkStart w:id="238" w:name="_Toc1197"/>
      <w:r>
        <w:rPr>
          <w:rFonts w:hint="eastAsia"/>
          <w:color w:val="auto"/>
          <w:highlight w:val="none"/>
          <w:lang w:val="en-US" w:eastAsia="zh-CN"/>
        </w:rPr>
        <w:t>六、供应商基本情况说明</w:t>
      </w:r>
      <w:bookmarkEnd w:id="237"/>
      <w:bookmarkEnd w:id="238"/>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39" w:name="_Toc4926"/>
      <w:bookmarkStart w:id="240" w:name="_Toc11992"/>
      <w:bookmarkStart w:id="241" w:name="_Toc29995"/>
      <w:bookmarkStart w:id="242" w:name="_Toc5919"/>
      <w:bookmarkStart w:id="243" w:name="_Toc1511"/>
      <w:bookmarkStart w:id="244" w:name="_Toc24210"/>
      <w:bookmarkStart w:id="245" w:name="_Toc17470"/>
      <w:r>
        <w:rPr>
          <w:rFonts w:hint="eastAsia"/>
          <w:color w:val="auto"/>
          <w:highlight w:val="none"/>
          <w:lang w:val="en-US" w:eastAsia="zh-CN"/>
        </w:rPr>
        <w:t>七、</w:t>
      </w:r>
      <w:r>
        <w:rPr>
          <w:rFonts w:hint="eastAsia"/>
          <w:color w:val="auto"/>
          <w:highlight w:val="none"/>
        </w:rPr>
        <w:t>营业执照</w:t>
      </w:r>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3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6" w:name="_Toc29439"/>
      <w:bookmarkStart w:id="247" w:name="_Toc12706"/>
      <w:r>
        <w:rPr>
          <w:rFonts w:hint="eastAsia"/>
          <w:color w:val="auto"/>
          <w:highlight w:val="none"/>
          <w:lang w:val="en-US" w:eastAsia="zh-CN"/>
        </w:rPr>
        <w:t>八、</w:t>
      </w:r>
      <w:r>
        <w:rPr>
          <w:rFonts w:hint="eastAsia"/>
          <w:color w:val="auto"/>
          <w:highlight w:val="none"/>
        </w:rPr>
        <w:t>特殊资格要求证明文件</w:t>
      </w:r>
      <w:bookmarkEnd w:id="246"/>
      <w:bookmarkEnd w:id="24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14482"/>
      <w:bookmarkStart w:id="249" w:name="_Toc23341"/>
      <w:r>
        <w:rPr>
          <w:rFonts w:hint="eastAsia"/>
          <w:color w:val="auto"/>
          <w:highlight w:val="none"/>
          <w:lang w:val="en-US" w:eastAsia="zh-CN"/>
        </w:rPr>
        <w:t>九、</w:t>
      </w:r>
      <w:r>
        <w:rPr>
          <w:rFonts w:hint="eastAsia"/>
          <w:color w:val="auto"/>
          <w:highlight w:val="none"/>
        </w:rPr>
        <w:t>承诺书</w:t>
      </w:r>
      <w:bookmarkEnd w:id="248"/>
      <w:bookmarkEnd w:id="249"/>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50"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250"/>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1" w:name="_Toc13653"/>
      <w:bookmarkStart w:id="252" w:name="_Toc31815"/>
      <w:r>
        <w:rPr>
          <w:rFonts w:hint="eastAsia"/>
          <w:color w:val="auto"/>
          <w:highlight w:val="none"/>
          <w:lang w:val="en-US" w:eastAsia="zh-CN"/>
        </w:rPr>
        <w:t>十、招标代理服务费承诺书</w:t>
      </w:r>
      <w:bookmarkEnd w:id="251"/>
      <w:bookmarkEnd w:id="252"/>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3" w:name="_Toc21582"/>
      <w:bookmarkStart w:id="254" w:name="_Toc1975"/>
      <w:r>
        <w:rPr>
          <w:rFonts w:hint="eastAsia"/>
          <w:color w:val="auto"/>
          <w:highlight w:val="none"/>
          <w:lang w:val="en-US" w:eastAsia="zh-CN"/>
        </w:rPr>
        <w:t>十一、</w:t>
      </w:r>
      <w:r>
        <w:rPr>
          <w:rFonts w:hint="eastAsia"/>
          <w:color w:val="auto"/>
          <w:highlight w:val="none"/>
        </w:rPr>
        <w:t>商务条款偏离表</w:t>
      </w:r>
      <w:bookmarkEnd w:id="253"/>
      <w:bookmarkEnd w:id="254"/>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55"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6" w:name="_Toc7350"/>
      <w:bookmarkStart w:id="257" w:name="_Toc25391"/>
      <w:r>
        <w:rPr>
          <w:rFonts w:hint="eastAsia"/>
          <w:color w:val="auto"/>
          <w:highlight w:val="none"/>
          <w:lang w:val="en-US" w:eastAsia="zh-CN"/>
        </w:rPr>
        <w:t>十二、</w:t>
      </w:r>
      <w:r>
        <w:rPr>
          <w:rFonts w:hint="eastAsia"/>
          <w:color w:val="auto"/>
          <w:highlight w:val="none"/>
        </w:rPr>
        <w:t>业绩表</w:t>
      </w:r>
      <w:bookmarkEnd w:id="256"/>
      <w:bookmarkEnd w:id="257"/>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58" w:name="_Toc25650"/>
      <w:bookmarkStart w:id="259" w:name="_Toc14688"/>
      <w:r>
        <w:rPr>
          <w:rFonts w:hint="eastAsia"/>
          <w:color w:val="auto"/>
          <w:highlight w:val="none"/>
          <w:lang w:val="en-US" w:eastAsia="zh-CN"/>
        </w:rPr>
        <w:t>第三章技术文件</w:t>
      </w:r>
      <w:bookmarkEnd w:id="255"/>
      <w:bookmarkEnd w:id="258"/>
      <w:bookmarkEnd w:id="25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0" w:name="_Toc7092"/>
      <w:bookmarkStart w:id="261" w:name="_Toc13588"/>
      <w:r>
        <w:rPr>
          <w:rFonts w:hint="eastAsia"/>
          <w:color w:val="auto"/>
          <w:highlight w:val="none"/>
          <w:lang w:val="en-US" w:eastAsia="zh-CN"/>
        </w:rPr>
        <w:t>一、</w:t>
      </w:r>
      <w:r>
        <w:rPr>
          <w:rFonts w:hint="eastAsia"/>
          <w:color w:val="auto"/>
          <w:highlight w:val="none"/>
        </w:rPr>
        <w:t>技术规格偏离表</w:t>
      </w:r>
      <w:bookmarkEnd w:id="260"/>
      <w:bookmarkEnd w:id="261"/>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62" w:name="_Toc17691"/>
      <w:r>
        <w:rPr>
          <w:rFonts w:hint="eastAsia" w:ascii="宋体" w:hAnsi="宋体" w:eastAsia="宋体"/>
          <w:color w:val="auto"/>
          <w:sz w:val="21"/>
          <w:szCs w:val="21"/>
          <w:highlight w:val="none"/>
        </w:rPr>
        <w:br w:type="page"/>
      </w:r>
      <w:bookmarkEnd w:id="262"/>
      <w:bookmarkStart w:id="263" w:name="_Toc1274"/>
      <w:bookmarkStart w:id="264" w:name="_Toc26078"/>
      <w:bookmarkStart w:id="265" w:name="_Toc18668"/>
      <w:bookmarkStart w:id="266" w:name="_Toc4464"/>
      <w:bookmarkStart w:id="267" w:name="_Toc6080"/>
      <w:bookmarkStart w:id="268"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9" w:name="_Toc10734"/>
      <w:bookmarkStart w:id="270" w:name="_Toc28702"/>
      <w:r>
        <w:rPr>
          <w:rFonts w:hint="eastAsia"/>
          <w:color w:val="auto"/>
          <w:highlight w:val="none"/>
          <w:lang w:val="en-US" w:eastAsia="zh-CN"/>
        </w:rPr>
        <w:t>二、</w:t>
      </w:r>
      <w:r>
        <w:rPr>
          <w:rFonts w:hint="eastAsia"/>
          <w:color w:val="auto"/>
          <w:highlight w:val="none"/>
        </w:rPr>
        <w:t>重要技术参数（▲）响应表</w:t>
      </w:r>
      <w:bookmarkEnd w:id="263"/>
      <w:bookmarkEnd w:id="264"/>
      <w:bookmarkEnd w:id="265"/>
      <w:bookmarkEnd w:id="266"/>
      <w:bookmarkEnd w:id="267"/>
      <w:bookmarkEnd w:id="268"/>
      <w:bookmarkEnd w:id="269"/>
      <w:bookmarkEnd w:id="270"/>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71" w:name="_Toc29642"/>
            <w:bookmarkStart w:id="272" w:name="_Toc2784"/>
            <w:bookmarkStart w:id="273" w:name="_Toc27079"/>
            <w:bookmarkStart w:id="274" w:name="_Toc29560"/>
            <w:r>
              <w:rPr>
                <w:rFonts w:hint="eastAsia" w:ascii="宋体" w:hAnsi="宋体" w:eastAsia="宋体" w:cs="宋体"/>
                <w:b w:val="0"/>
                <w:bCs w:val="0"/>
                <w:color w:val="auto"/>
                <w:sz w:val="21"/>
                <w:szCs w:val="21"/>
                <w:highlight w:val="none"/>
                <w:lang w:val="en-US" w:eastAsia="zh-CN"/>
              </w:rPr>
              <w:t>序号</w:t>
            </w:r>
            <w:bookmarkEnd w:id="271"/>
            <w:bookmarkEnd w:id="272"/>
            <w:bookmarkEnd w:id="273"/>
            <w:bookmarkEnd w:id="274"/>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75" w:name="_Toc6189"/>
            <w:bookmarkStart w:id="276" w:name="_Toc22448"/>
            <w:bookmarkStart w:id="277" w:name="_Toc15903"/>
            <w:bookmarkStart w:id="278" w:name="_Toc16872"/>
            <w:bookmarkStart w:id="279" w:name="_Toc26124"/>
            <w:bookmarkStart w:id="280" w:name="_Toc27090"/>
            <w:bookmarkStart w:id="281" w:name="_Toc12049"/>
            <w:bookmarkStart w:id="282" w:name="_Toc14815"/>
            <w:bookmarkStart w:id="283" w:name="_Toc1016"/>
            <w:bookmarkStart w:id="284" w:name="_Toc4304"/>
            <w:bookmarkStart w:id="285" w:name="_Toc10045"/>
            <w:bookmarkStart w:id="286" w:name="_Toc21739"/>
            <w:bookmarkStart w:id="287" w:name="_Toc2700"/>
            <w:bookmarkStart w:id="288" w:name="_Toc15368"/>
            <w:bookmarkStart w:id="289" w:name="_Toc7333"/>
            <w:bookmarkStart w:id="290" w:name="_Toc19251"/>
            <w:bookmarkStart w:id="291" w:name="_Toc22879"/>
            <w:bookmarkStart w:id="292" w:name="_Toc27442"/>
            <w:bookmarkStart w:id="293" w:name="_Toc8312"/>
            <w:bookmarkStart w:id="294" w:name="_Toc32531"/>
            <w:bookmarkStart w:id="295" w:name="_Toc8490"/>
            <w:bookmarkStart w:id="296" w:name="_Toc24662"/>
            <w:bookmarkStart w:id="297" w:name="_Toc21809"/>
            <w:bookmarkStart w:id="298" w:name="_Toc22917"/>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99" w:name="_Toc21496"/>
            <w:bookmarkStart w:id="300" w:name="_Toc10122"/>
            <w:bookmarkStart w:id="301" w:name="_Toc22153"/>
            <w:bookmarkStart w:id="302" w:name="_Toc2408"/>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299"/>
            <w:bookmarkEnd w:id="300"/>
            <w:bookmarkEnd w:id="301"/>
            <w:bookmarkEnd w:id="302"/>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03" w:name="_Toc29838"/>
            <w:bookmarkStart w:id="304" w:name="_Toc16432"/>
            <w:bookmarkStart w:id="305" w:name="_Toc16003"/>
            <w:bookmarkStart w:id="306" w:name="_Toc27285"/>
            <w:bookmarkStart w:id="307" w:name="_Toc5563"/>
            <w:bookmarkStart w:id="308" w:name="_Toc1912"/>
            <w:bookmarkStart w:id="309" w:name="_Toc27185"/>
            <w:bookmarkStart w:id="310" w:name="_Toc3701"/>
            <w:bookmarkStart w:id="311" w:name="_Toc1330"/>
            <w:bookmarkStart w:id="312" w:name="_Toc20820"/>
            <w:bookmarkStart w:id="313" w:name="_Toc17296"/>
            <w:bookmarkStart w:id="314" w:name="_Toc20139"/>
            <w:bookmarkStart w:id="315" w:name="_Toc17642"/>
            <w:bookmarkStart w:id="316" w:name="_Toc5992"/>
            <w:r>
              <w:rPr>
                <w:rFonts w:hint="eastAsia" w:ascii="宋体" w:hAnsi="宋体" w:eastAsia="宋体" w:cs="宋体"/>
                <w:b w:val="0"/>
                <w:bCs w:val="0"/>
                <w:color w:val="auto"/>
                <w:sz w:val="21"/>
                <w:szCs w:val="21"/>
                <w:highlight w:val="none"/>
                <w:lang w:val="en-US" w:eastAsia="zh-CN"/>
              </w:rPr>
              <w:t>说明</w:t>
            </w:r>
            <w:bookmarkEnd w:id="303"/>
            <w:bookmarkEnd w:id="304"/>
            <w:bookmarkEnd w:id="305"/>
            <w:bookmarkEnd w:id="306"/>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17" w:name="_Toc31920"/>
            <w:bookmarkStart w:id="318" w:name="_Toc857"/>
            <w:bookmarkStart w:id="319" w:name="_Toc19105"/>
            <w:bookmarkStart w:id="320" w:name="_Toc3520"/>
            <w:r>
              <w:rPr>
                <w:rFonts w:hint="eastAsia" w:ascii="宋体" w:hAnsi="宋体" w:eastAsia="宋体" w:cs="宋体"/>
                <w:b w:val="0"/>
                <w:bCs w:val="0"/>
                <w:color w:val="auto"/>
                <w:sz w:val="21"/>
                <w:szCs w:val="21"/>
                <w:highlight w:val="none"/>
              </w:rPr>
              <w:t>页码范围</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2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25570"/>
      <w:bookmarkStart w:id="322" w:name="_Toc19349"/>
      <w:r>
        <w:rPr>
          <w:rFonts w:hint="eastAsia"/>
          <w:color w:val="auto"/>
          <w:highlight w:val="none"/>
          <w:lang w:val="en-US" w:eastAsia="zh-CN"/>
        </w:rPr>
        <w:t>三、</w:t>
      </w:r>
      <w:r>
        <w:rPr>
          <w:rFonts w:hint="eastAsia"/>
          <w:color w:val="auto"/>
          <w:highlight w:val="none"/>
        </w:rPr>
        <w:t>实质性条款（标记★）响应表</w:t>
      </w:r>
      <w:bookmarkEnd w:id="321"/>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22"/>
      <w:bookmarkEnd w:id="323"/>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4" w:name="_Toc16328"/>
      <w:bookmarkStart w:id="325" w:name="_Toc16875"/>
      <w:r>
        <w:rPr>
          <w:rFonts w:hint="eastAsia"/>
          <w:color w:val="auto"/>
          <w:highlight w:val="none"/>
          <w:lang w:val="en-US" w:eastAsia="zh-CN"/>
        </w:rPr>
        <w:t>五、项目负责人及团队成员资料表</w:t>
      </w:r>
      <w:bookmarkEnd w:id="324"/>
      <w:bookmarkEnd w:id="325"/>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26" w:name="_Toc15431"/>
      <w:bookmarkStart w:id="327" w:name="_Toc27978"/>
      <w:r>
        <w:rPr>
          <w:rFonts w:hint="eastAsia"/>
          <w:color w:val="auto"/>
          <w:highlight w:val="none"/>
          <w:lang w:val="en-US" w:eastAsia="zh-CN"/>
        </w:rPr>
        <w:t>六、响应货物明细一览表</w:t>
      </w:r>
      <w:bookmarkEnd w:id="326"/>
      <w:bookmarkEnd w:id="327"/>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8" w:name="_Toc15352"/>
      <w:bookmarkStart w:id="329" w:name="_Toc21541"/>
      <w:r>
        <w:rPr>
          <w:rFonts w:hint="eastAsia"/>
          <w:color w:val="auto"/>
          <w:highlight w:val="none"/>
          <w:lang w:val="en-US" w:eastAsia="zh-CN"/>
        </w:rPr>
        <w:t>七、磋商保证金汇入情况说明</w:t>
      </w:r>
      <w:bookmarkEnd w:id="328"/>
      <w:bookmarkEnd w:id="329"/>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保证金的汇款情况：（详见附件－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中，又要按</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须知的规定与</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一览表</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保证金汇款底单复印件及授权委托书一同密封装入</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0" w:name="_Toc24545"/>
      <w:bookmarkStart w:id="331" w:name="_Toc4096"/>
      <w:r>
        <w:rPr>
          <w:rFonts w:hint="eastAsia"/>
          <w:color w:val="auto"/>
          <w:highlight w:val="none"/>
          <w:lang w:val="en-US" w:eastAsia="zh-CN"/>
        </w:rPr>
        <w:t>八、采购磋商担保函</w:t>
      </w:r>
      <w:bookmarkEnd w:id="330"/>
      <w:bookmarkEnd w:id="331"/>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，根据本项目</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，供应商参加</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时应向你方交纳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保证金，且可以</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担保函的形式交纳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保证金。应供应商的申请，我方以保证的方式向你方提供如下</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规定的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向你方支付</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的另行约定，全部或者部分免除</w:t>
      </w:r>
      <w:r>
        <w:rPr>
          <w:rFonts w:hint="eastAsia" w:ascii="宋体" w:hAnsi="宋体" w:cs="宋体"/>
          <w:color w:val="auto"/>
          <w:sz w:val="21"/>
          <w:szCs w:val="21"/>
          <w:highlight w:val="none"/>
          <w:lang w:eastAsia="zh-CN"/>
        </w:rPr>
        <w:t>供应商磋商</w:t>
      </w:r>
      <w:r>
        <w:rPr>
          <w:rFonts w:hint="eastAsia" w:ascii="宋体" w:hAnsi="宋体" w:eastAsia="宋体" w:cs="宋体"/>
          <w:color w:val="auto"/>
          <w:sz w:val="21"/>
          <w:szCs w:val="21"/>
          <w:highlight w:val="none"/>
        </w:rPr>
        <w:t>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保证金，则应将</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2" w:name="_Toc31841"/>
      <w:r>
        <w:rPr>
          <w:rFonts w:hint="eastAsia"/>
          <w:color w:val="auto"/>
          <w:highlight w:val="none"/>
          <w:lang w:val="en-US" w:eastAsia="zh-CN"/>
        </w:rPr>
        <w:t>九、采购履约担保函</w:t>
      </w:r>
      <w:bookmarkEnd w:id="332"/>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3" w:name="_Toc17348"/>
      <w:bookmarkStart w:id="334" w:name="_Toc26782"/>
      <w:r>
        <w:rPr>
          <w:rFonts w:hint="eastAsia"/>
          <w:color w:val="auto"/>
          <w:highlight w:val="none"/>
          <w:lang w:val="en-US" w:eastAsia="zh-CN"/>
        </w:rPr>
        <w:t>第四章报价信封（单独封装）</w:t>
      </w:r>
      <w:bookmarkEnd w:id="333"/>
      <w:bookmarkEnd w:id="33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磋商</w:t>
      </w:r>
      <w:r>
        <w:rPr>
          <w:rFonts w:hint="eastAsia"/>
          <w:color w:val="auto"/>
          <w:highlight w:val="none"/>
        </w:rPr>
        <w:t>保证金汇入情况说明</w:t>
      </w:r>
      <w:r>
        <w:rPr>
          <w:rFonts w:hint="eastAsia"/>
          <w:color w:val="auto"/>
          <w:highlight w:val="none"/>
          <w:lang w:val="en-US" w:eastAsia="zh-CN"/>
        </w:rPr>
        <w:t>及</w:t>
      </w:r>
      <w:r>
        <w:rPr>
          <w:rFonts w:hint="eastAsia"/>
          <w:color w:val="auto"/>
          <w:highlight w:val="none"/>
          <w:lang w:eastAsia="zh-CN"/>
        </w:rPr>
        <w:t>磋商</w:t>
      </w:r>
      <w:r>
        <w:rPr>
          <w:rFonts w:hint="eastAsia"/>
          <w:color w:val="auto"/>
          <w:highlight w:val="none"/>
        </w:rPr>
        <w:t>保证金汇款底单（复印件加盖公章）</w:t>
      </w:r>
      <w:r>
        <w:rPr>
          <w:rFonts w:hint="eastAsia"/>
          <w:color w:val="auto"/>
          <w:highlight w:val="none"/>
          <w:lang w:eastAsia="zh-CN"/>
        </w:rPr>
        <w:t>，</w:t>
      </w:r>
      <w:r>
        <w:rPr>
          <w:rFonts w:hint="eastAsia"/>
          <w:color w:val="auto"/>
          <w:highlight w:val="none"/>
          <w:lang w:val="en-US" w:eastAsia="zh-CN"/>
        </w:rPr>
        <w:t>或《采购磋商担保函》复印件。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35"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6" w:name="_Toc22736"/>
      <w:bookmarkStart w:id="337" w:name="_Toc13881"/>
      <w:r>
        <w:rPr>
          <w:rFonts w:hint="eastAsia"/>
          <w:color w:val="auto"/>
          <w:highlight w:val="none"/>
          <w:lang w:val="en-US" w:eastAsia="zh-CN"/>
        </w:rPr>
        <w:t>第五章联合体共同报价协议书（如有需要）</w:t>
      </w:r>
      <w:bookmarkEnd w:id="336"/>
      <w:bookmarkEnd w:id="337"/>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35"/>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2">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3">
    <w:nsid w:val="316010E5"/>
    <w:multiLevelType w:val="singleLevel"/>
    <w:tmpl w:val="316010E5"/>
    <w:lvl w:ilvl="0" w:tentative="0">
      <w:start w:val="1"/>
      <w:numFmt w:val="decimal"/>
      <w:suff w:val="nothing"/>
      <w:lvlText w:val="%1．"/>
      <w:lvlJc w:val="left"/>
    </w:lvl>
  </w:abstractNum>
  <w:abstractNum w:abstractNumId="14">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5">
    <w:nsid w:val="3B1B8417"/>
    <w:multiLevelType w:val="singleLevel"/>
    <w:tmpl w:val="3B1B8417"/>
    <w:lvl w:ilvl="0" w:tentative="0">
      <w:start w:val="1"/>
      <w:numFmt w:val="decimal"/>
      <w:suff w:val="nothing"/>
      <w:lvlText w:val="%1、"/>
      <w:lvlJc w:val="left"/>
    </w:lvl>
  </w:abstractNum>
  <w:abstractNum w:abstractNumId="16">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18">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19">
    <w:nsid w:val="6E5CE7BD"/>
    <w:multiLevelType w:val="singleLevel"/>
    <w:tmpl w:val="6E5CE7BD"/>
    <w:lvl w:ilvl="0" w:tentative="0">
      <w:start w:val="1"/>
      <w:numFmt w:val="chineseCounting"/>
      <w:suff w:val="nothing"/>
      <w:lvlText w:val="%1、"/>
      <w:lvlJc w:val="left"/>
      <w:rPr>
        <w:rFonts w:hint="eastAsia"/>
      </w:rPr>
    </w:lvl>
  </w:abstractNum>
  <w:abstractNum w:abstractNumId="20">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9"/>
  </w:num>
  <w:num w:numId="2">
    <w:abstractNumId w:val="15"/>
  </w:num>
  <w:num w:numId="3">
    <w:abstractNumId w:val="9"/>
  </w:num>
  <w:num w:numId="4">
    <w:abstractNumId w:val="20"/>
  </w:num>
  <w:num w:numId="5">
    <w:abstractNumId w:val="16"/>
  </w:num>
  <w:num w:numId="6">
    <w:abstractNumId w:val="4"/>
  </w:num>
  <w:num w:numId="7">
    <w:abstractNumId w:val="5"/>
  </w:num>
  <w:num w:numId="8">
    <w:abstractNumId w:val="0"/>
  </w:num>
  <w:num w:numId="9">
    <w:abstractNumId w:val="1"/>
  </w:num>
  <w:num w:numId="10">
    <w:abstractNumId w:val="14"/>
  </w:num>
  <w:num w:numId="11">
    <w:abstractNumId w:val="12"/>
  </w:num>
  <w:num w:numId="12">
    <w:abstractNumId w:val="7"/>
  </w:num>
  <w:num w:numId="13">
    <w:abstractNumId w:val="6"/>
  </w:num>
  <w:num w:numId="14">
    <w:abstractNumId w:val="17"/>
  </w:num>
  <w:num w:numId="15">
    <w:abstractNumId w:val="3"/>
  </w:num>
  <w:num w:numId="16">
    <w:abstractNumId w:val="11"/>
  </w:num>
  <w:num w:numId="17">
    <w:abstractNumId w:val="18"/>
  </w:num>
  <w:num w:numId="18">
    <w:abstractNumId w:val="8"/>
  </w:num>
  <w:num w:numId="19">
    <w:abstractNumId w:val="10"/>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2B5268"/>
    <w:rsid w:val="0340787C"/>
    <w:rsid w:val="03707410"/>
    <w:rsid w:val="037F03E3"/>
    <w:rsid w:val="03A0770F"/>
    <w:rsid w:val="03A27BF9"/>
    <w:rsid w:val="03A448B8"/>
    <w:rsid w:val="03A4578A"/>
    <w:rsid w:val="03AD071E"/>
    <w:rsid w:val="03C25BB2"/>
    <w:rsid w:val="03D10969"/>
    <w:rsid w:val="04DD1658"/>
    <w:rsid w:val="04DF1036"/>
    <w:rsid w:val="050C4E6A"/>
    <w:rsid w:val="050F6021"/>
    <w:rsid w:val="05A97DEC"/>
    <w:rsid w:val="05C81981"/>
    <w:rsid w:val="06BC41F2"/>
    <w:rsid w:val="06DF3DBD"/>
    <w:rsid w:val="07197D08"/>
    <w:rsid w:val="071C2CFD"/>
    <w:rsid w:val="071E5C55"/>
    <w:rsid w:val="073A47CB"/>
    <w:rsid w:val="073F7319"/>
    <w:rsid w:val="07536A42"/>
    <w:rsid w:val="07595F41"/>
    <w:rsid w:val="07615EC0"/>
    <w:rsid w:val="07627E5A"/>
    <w:rsid w:val="077005AB"/>
    <w:rsid w:val="078F4581"/>
    <w:rsid w:val="07995C5E"/>
    <w:rsid w:val="07AC538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C044BE"/>
    <w:rsid w:val="0BDF26F7"/>
    <w:rsid w:val="0C264099"/>
    <w:rsid w:val="0C2B4952"/>
    <w:rsid w:val="0C433CC7"/>
    <w:rsid w:val="0C7B2220"/>
    <w:rsid w:val="0D890E47"/>
    <w:rsid w:val="0DC64A00"/>
    <w:rsid w:val="0DFC60BA"/>
    <w:rsid w:val="0E194096"/>
    <w:rsid w:val="0E4249F1"/>
    <w:rsid w:val="0E67474D"/>
    <w:rsid w:val="0F6C5A53"/>
    <w:rsid w:val="0F7C5FF6"/>
    <w:rsid w:val="0FC63FBD"/>
    <w:rsid w:val="106C564D"/>
    <w:rsid w:val="107B7B8F"/>
    <w:rsid w:val="107C67CE"/>
    <w:rsid w:val="108F06C9"/>
    <w:rsid w:val="109D68CB"/>
    <w:rsid w:val="10A949B8"/>
    <w:rsid w:val="10C54639"/>
    <w:rsid w:val="11200D07"/>
    <w:rsid w:val="11DA73AF"/>
    <w:rsid w:val="12C60D80"/>
    <w:rsid w:val="12CA013F"/>
    <w:rsid w:val="131F7A3A"/>
    <w:rsid w:val="132645D0"/>
    <w:rsid w:val="134526D3"/>
    <w:rsid w:val="13455ABC"/>
    <w:rsid w:val="135033D0"/>
    <w:rsid w:val="1370322B"/>
    <w:rsid w:val="13B27845"/>
    <w:rsid w:val="13BE469F"/>
    <w:rsid w:val="13F87121"/>
    <w:rsid w:val="141A03E1"/>
    <w:rsid w:val="143B2E0B"/>
    <w:rsid w:val="14672B11"/>
    <w:rsid w:val="14780397"/>
    <w:rsid w:val="147E5E18"/>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9AB6BF7"/>
    <w:rsid w:val="1A297027"/>
    <w:rsid w:val="1A460CF5"/>
    <w:rsid w:val="1A676352"/>
    <w:rsid w:val="1A7F297D"/>
    <w:rsid w:val="1AB16AC1"/>
    <w:rsid w:val="1ABD10E6"/>
    <w:rsid w:val="1AFA7911"/>
    <w:rsid w:val="1B034A52"/>
    <w:rsid w:val="1B1F34AD"/>
    <w:rsid w:val="1B8D5DC6"/>
    <w:rsid w:val="1BFE1D3B"/>
    <w:rsid w:val="1C2775EC"/>
    <w:rsid w:val="1C750ECE"/>
    <w:rsid w:val="1CA22168"/>
    <w:rsid w:val="1D0836D7"/>
    <w:rsid w:val="1D196139"/>
    <w:rsid w:val="1D280EEA"/>
    <w:rsid w:val="1DB85900"/>
    <w:rsid w:val="1DF051AF"/>
    <w:rsid w:val="1E010AF7"/>
    <w:rsid w:val="1E0178EB"/>
    <w:rsid w:val="1E301173"/>
    <w:rsid w:val="1E311151"/>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DB7040"/>
    <w:rsid w:val="23F04F64"/>
    <w:rsid w:val="24591253"/>
    <w:rsid w:val="24814CBE"/>
    <w:rsid w:val="24AC168B"/>
    <w:rsid w:val="258C3BEC"/>
    <w:rsid w:val="25A92CDD"/>
    <w:rsid w:val="25E576CC"/>
    <w:rsid w:val="260E3862"/>
    <w:rsid w:val="26202A15"/>
    <w:rsid w:val="262569FC"/>
    <w:rsid w:val="26344C98"/>
    <w:rsid w:val="26F56CE2"/>
    <w:rsid w:val="27176ED6"/>
    <w:rsid w:val="27435D49"/>
    <w:rsid w:val="27A34F71"/>
    <w:rsid w:val="27B36A67"/>
    <w:rsid w:val="27EB0D9B"/>
    <w:rsid w:val="27F71B64"/>
    <w:rsid w:val="2862251F"/>
    <w:rsid w:val="286602C8"/>
    <w:rsid w:val="28665C95"/>
    <w:rsid w:val="28872B17"/>
    <w:rsid w:val="28A64522"/>
    <w:rsid w:val="28CC5B40"/>
    <w:rsid w:val="28E613C8"/>
    <w:rsid w:val="28FB7971"/>
    <w:rsid w:val="290B3EB9"/>
    <w:rsid w:val="291418C2"/>
    <w:rsid w:val="29471059"/>
    <w:rsid w:val="2950768C"/>
    <w:rsid w:val="297A5FC4"/>
    <w:rsid w:val="2A1113BC"/>
    <w:rsid w:val="2A586210"/>
    <w:rsid w:val="2A8D4F8F"/>
    <w:rsid w:val="2A911082"/>
    <w:rsid w:val="2A917B34"/>
    <w:rsid w:val="2AE3766F"/>
    <w:rsid w:val="2B7E4054"/>
    <w:rsid w:val="2BF22742"/>
    <w:rsid w:val="2C987C56"/>
    <w:rsid w:val="2CD56276"/>
    <w:rsid w:val="2CFF149A"/>
    <w:rsid w:val="2D201865"/>
    <w:rsid w:val="2D4B5CEA"/>
    <w:rsid w:val="2D652658"/>
    <w:rsid w:val="2DA65196"/>
    <w:rsid w:val="2DB31B82"/>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70995"/>
    <w:rsid w:val="31264A30"/>
    <w:rsid w:val="31884E67"/>
    <w:rsid w:val="31A0275E"/>
    <w:rsid w:val="31B7357A"/>
    <w:rsid w:val="31E14405"/>
    <w:rsid w:val="31ED6B08"/>
    <w:rsid w:val="31F915C9"/>
    <w:rsid w:val="32610CE6"/>
    <w:rsid w:val="328464CE"/>
    <w:rsid w:val="32AB70C5"/>
    <w:rsid w:val="32DC33E0"/>
    <w:rsid w:val="331B172D"/>
    <w:rsid w:val="335D0AF5"/>
    <w:rsid w:val="33614D0F"/>
    <w:rsid w:val="3370088C"/>
    <w:rsid w:val="33A3154A"/>
    <w:rsid w:val="33DC2F78"/>
    <w:rsid w:val="3428227C"/>
    <w:rsid w:val="35260F83"/>
    <w:rsid w:val="35463755"/>
    <w:rsid w:val="35602226"/>
    <w:rsid w:val="356B72E7"/>
    <w:rsid w:val="3572424F"/>
    <w:rsid w:val="35FC3844"/>
    <w:rsid w:val="361A2073"/>
    <w:rsid w:val="36794DEF"/>
    <w:rsid w:val="36AD519D"/>
    <w:rsid w:val="36B57705"/>
    <w:rsid w:val="374F1A0B"/>
    <w:rsid w:val="37A103ED"/>
    <w:rsid w:val="37EA5E6E"/>
    <w:rsid w:val="37FF016F"/>
    <w:rsid w:val="38427C0B"/>
    <w:rsid w:val="387C5ABE"/>
    <w:rsid w:val="389B3A1E"/>
    <w:rsid w:val="38EB6119"/>
    <w:rsid w:val="39557F91"/>
    <w:rsid w:val="39A262C3"/>
    <w:rsid w:val="39D709A6"/>
    <w:rsid w:val="39DE33DA"/>
    <w:rsid w:val="39FA5B4A"/>
    <w:rsid w:val="39FE0BE9"/>
    <w:rsid w:val="3A3C1AAF"/>
    <w:rsid w:val="3A4B7CC1"/>
    <w:rsid w:val="3A51228C"/>
    <w:rsid w:val="3A552E60"/>
    <w:rsid w:val="3A5D642F"/>
    <w:rsid w:val="3AB210FC"/>
    <w:rsid w:val="3ACE216B"/>
    <w:rsid w:val="3AD95C13"/>
    <w:rsid w:val="3B261E51"/>
    <w:rsid w:val="3B973F88"/>
    <w:rsid w:val="3BCD72F7"/>
    <w:rsid w:val="3C414142"/>
    <w:rsid w:val="3C7B0A33"/>
    <w:rsid w:val="3C9121FF"/>
    <w:rsid w:val="3CBF57BA"/>
    <w:rsid w:val="3CE114D9"/>
    <w:rsid w:val="3CF737A2"/>
    <w:rsid w:val="3CF7509A"/>
    <w:rsid w:val="3D10295A"/>
    <w:rsid w:val="3D3E702E"/>
    <w:rsid w:val="3D7518E2"/>
    <w:rsid w:val="3E0572FD"/>
    <w:rsid w:val="3E1A5292"/>
    <w:rsid w:val="3E5A7FE7"/>
    <w:rsid w:val="3E6510C7"/>
    <w:rsid w:val="3EC8179E"/>
    <w:rsid w:val="3EF66B2E"/>
    <w:rsid w:val="3F217914"/>
    <w:rsid w:val="3FD70BB0"/>
    <w:rsid w:val="3FE5635A"/>
    <w:rsid w:val="3FFB55AC"/>
    <w:rsid w:val="401C5F9D"/>
    <w:rsid w:val="401C690C"/>
    <w:rsid w:val="401D7195"/>
    <w:rsid w:val="40A51286"/>
    <w:rsid w:val="40CE3DC0"/>
    <w:rsid w:val="40D7455A"/>
    <w:rsid w:val="40E743E5"/>
    <w:rsid w:val="410F24FF"/>
    <w:rsid w:val="4110038E"/>
    <w:rsid w:val="41734CBA"/>
    <w:rsid w:val="41DD7057"/>
    <w:rsid w:val="420F7A65"/>
    <w:rsid w:val="4216611A"/>
    <w:rsid w:val="423E300F"/>
    <w:rsid w:val="425656C8"/>
    <w:rsid w:val="4257273C"/>
    <w:rsid w:val="425D7213"/>
    <w:rsid w:val="42677B61"/>
    <w:rsid w:val="42756DB0"/>
    <w:rsid w:val="428F2215"/>
    <w:rsid w:val="42B21AD2"/>
    <w:rsid w:val="42FD694D"/>
    <w:rsid w:val="434A6D8F"/>
    <w:rsid w:val="4397723B"/>
    <w:rsid w:val="43FA5777"/>
    <w:rsid w:val="44044D92"/>
    <w:rsid w:val="441C1611"/>
    <w:rsid w:val="443C440B"/>
    <w:rsid w:val="443F7DBF"/>
    <w:rsid w:val="44514F52"/>
    <w:rsid w:val="448965CB"/>
    <w:rsid w:val="44C5497E"/>
    <w:rsid w:val="44EF6B8D"/>
    <w:rsid w:val="44FA2D53"/>
    <w:rsid w:val="45201736"/>
    <w:rsid w:val="4571374F"/>
    <w:rsid w:val="458B1BB0"/>
    <w:rsid w:val="45A67760"/>
    <w:rsid w:val="4611075B"/>
    <w:rsid w:val="46214818"/>
    <w:rsid w:val="467A0297"/>
    <w:rsid w:val="468B7125"/>
    <w:rsid w:val="46C4691F"/>
    <w:rsid w:val="46CA3317"/>
    <w:rsid w:val="47841568"/>
    <w:rsid w:val="479D1D34"/>
    <w:rsid w:val="47B609C0"/>
    <w:rsid w:val="47CF543E"/>
    <w:rsid w:val="482D31EA"/>
    <w:rsid w:val="48485DC5"/>
    <w:rsid w:val="485970A0"/>
    <w:rsid w:val="48847961"/>
    <w:rsid w:val="48952BB8"/>
    <w:rsid w:val="48A41906"/>
    <w:rsid w:val="48B65C71"/>
    <w:rsid w:val="48BB5EC4"/>
    <w:rsid w:val="48F303D7"/>
    <w:rsid w:val="490256AB"/>
    <w:rsid w:val="492837FF"/>
    <w:rsid w:val="492E6A57"/>
    <w:rsid w:val="498A6710"/>
    <w:rsid w:val="49B86103"/>
    <w:rsid w:val="4A0030EE"/>
    <w:rsid w:val="4AA8184F"/>
    <w:rsid w:val="4AB75B3A"/>
    <w:rsid w:val="4AC36065"/>
    <w:rsid w:val="4B14423A"/>
    <w:rsid w:val="4B3C0AB7"/>
    <w:rsid w:val="4B560086"/>
    <w:rsid w:val="4B7501F5"/>
    <w:rsid w:val="4B7F360E"/>
    <w:rsid w:val="4B8C2DEB"/>
    <w:rsid w:val="4BA17066"/>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EFC358A"/>
    <w:rsid w:val="4F1F687A"/>
    <w:rsid w:val="4F3705F8"/>
    <w:rsid w:val="4F5709D7"/>
    <w:rsid w:val="4FAC3540"/>
    <w:rsid w:val="4FBB12F4"/>
    <w:rsid w:val="4FCF1583"/>
    <w:rsid w:val="4FFA7625"/>
    <w:rsid w:val="501B0BF9"/>
    <w:rsid w:val="507D2599"/>
    <w:rsid w:val="5096229D"/>
    <w:rsid w:val="50B44FCE"/>
    <w:rsid w:val="50DC4184"/>
    <w:rsid w:val="51475B39"/>
    <w:rsid w:val="514C3EA7"/>
    <w:rsid w:val="515D65AF"/>
    <w:rsid w:val="519849E5"/>
    <w:rsid w:val="51B36892"/>
    <w:rsid w:val="51E44D3C"/>
    <w:rsid w:val="524A036B"/>
    <w:rsid w:val="52506DA7"/>
    <w:rsid w:val="526535E5"/>
    <w:rsid w:val="529D471C"/>
    <w:rsid w:val="53120290"/>
    <w:rsid w:val="533B2B84"/>
    <w:rsid w:val="537A7243"/>
    <w:rsid w:val="539C1B81"/>
    <w:rsid w:val="53AA6184"/>
    <w:rsid w:val="53AE750F"/>
    <w:rsid w:val="53EB0895"/>
    <w:rsid w:val="53F263AD"/>
    <w:rsid w:val="540A4A9C"/>
    <w:rsid w:val="54693932"/>
    <w:rsid w:val="549A6BFA"/>
    <w:rsid w:val="54A6423F"/>
    <w:rsid w:val="54E36107"/>
    <w:rsid w:val="54E72921"/>
    <w:rsid w:val="55441C4B"/>
    <w:rsid w:val="55806F07"/>
    <w:rsid w:val="55A44ACC"/>
    <w:rsid w:val="55FA2961"/>
    <w:rsid w:val="56383368"/>
    <w:rsid w:val="565E7F4F"/>
    <w:rsid w:val="56775789"/>
    <w:rsid w:val="56857D06"/>
    <w:rsid w:val="56914056"/>
    <w:rsid w:val="569F0E63"/>
    <w:rsid w:val="56DB613D"/>
    <w:rsid w:val="573810DA"/>
    <w:rsid w:val="57FC2169"/>
    <w:rsid w:val="58096275"/>
    <w:rsid w:val="580E4560"/>
    <w:rsid w:val="581C04F1"/>
    <w:rsid w:val="582E6EF7"/>
    <w:rsid w:val="58335ADA"/>
    <w:rsid w:val="58434392"/>
    <w:rsid w:val="584E30E6"/>
    <w:rsid w:val="59014D02"/>
    <w:rsid w:val="591971F2"/>
    <w:rsid w:val="592E16F6"/>
    <w:rsid w:val="597B384D"/>
    <w:rsid w:val="59996DA8"/>
    <w:rsid w:val="59AC3CE9"/>
    <w:rsid w:val="59C30F1B"/>
    <w:rsid w:val="5A0D5854"/>
    <w:rsid w:val="5A20156F"/>
    <w:rsid w:val="5A2A32CF"/>
    <w:rsid w:val="5A9847F3"/>
    <w:rsid w:val="5A994E84"/>
    <w:rsid w:val="5AC7121C"/>
    <w:rsid w:val="5AD90B8D"/>
    <w:rsid w:val="5AE12927"/>
    <w:rsid w:val="5B2243E9"/>
    <w:rsid w:val="5B4E1A44"/>
    <w:rsid w:val="5B666742"/>
    <w:rsid w:val="5B6919B0"/>
    <w:rsid w:val="5B873201"/>
    <w:rsid w:val="5B89551D"/>
    <w:rsid w:val="5B967767"/>
    <w:rsid w:val="5B9E55DE"/>
    <w:rsid w:val="5BCA288C"/>
    <w:rsid w:val="5BEB3C95"/>
    <w:rsid w:val="5C1D18D2"/>
    <w:rsid w:val="5C286807"/>
    <w:rsid w:val="5C446BC8"/>
    <w:rsid w:val="5C4C687B"/>
    <w:rsid w:val="5C7C2768"/>
    <w:rsid w:val="5CB23AE6"/>
    <w:rsid w:val="5CC7019C"/>
    <w:rsid w:val="5CF55792"/>
    <w:rsid w:val="5CFD533A"/>
    <w:rsid w:val="5D2F72C2"/>
    <w:rsid w:val="5D893B14"/>
    <w:rsid w:val="5E2810D5"/>
    <w:rsid w:val="5E2B7D62"/>
    <w:rsid w:val="5E71411E"/>
    <w:rsid w:val="5EA06921"/>
    <w:rsid w:val="5ED5006A"/>
    <w:rsid w:val="5F46527F"/>
    <w:rsid w:val="5F576E4B"/>
    <w:rsid w:val="5F5D1728"/>
    <w:rsid w:val="5F5D4EDE"/>
    <w:rsid w:val="5F73164A"/>
    <w:rsid w:val="5F7A2C30"/>
    <w:rsid w:val="5FBE370A"/>
    <w:rsid w:val="5FD62906"/>
    <w:rsid w:val="60292845"/>
    <w:rsid w:val="60936B26"/>
    <w:rsid w:val="61027308"/>
    <w:rsid w:val="612E1A5D"/>
    <w:rsid w:val="61816046"/>
    <w:rsid w:val="62182687"/>
    <w:rsid w:val="62391564"/>
    <w:rsid w:val="62697E9C"/>
    <w:rsid w:val="62816669"/>
    <w:rsid w:val="62BA0953"/>
    <w:rsid w:val="62D03A7C"/>
    <w:rsid w:val="62E8765C"/>
    <w:rsid w:val="62F16BCB"/>
    <w:rsid w:val="62F62419"/>
    <w:rsid w:val="62F648FE"/>
    <w:rsid w:val="63341DB1"/>
    <w:rsid w:val="63447612"/>
    <w:rsid w:val="63907004"/>
    <w:rsid w:val="639A73C1"/>
    <w:rsid w:val="63A10995"/>
    <w:rsid w:val="63C23EFA"/>
    <w:rsid w:val="63E52E10"/>
    <w:rsid w:val="643A070A"/>
    <w:rsid w:val="644C573D"/>
    <w:rsid w:val="648667A7"/>
    <w:rsid w:val="64DB383A"/>
    <w:rsid w:val="64FC184A"/>
    <w:rsid w:val="65032F85"/>
    <w:rsid w:val="65136B50"/>
    <w:rsid w:val="657E2A35"/>
    <w:rsid w:val="65A94E9D"/>
    <w:rsid w:val="65C60A92"/>
    <w:rsid w:val="65F3550D"/>
    <w:rsid w:val="662203DD"/>
    <w:rsid w:val="666B723B"/>
    <w:rsid w:val="6678045A"/>
    <w:rsid w:val="66DD6702"/>
    <w:rsid w:val="67594131"/>
    <w:rsid w:val="679406CB"/>
    <w:rsid w:val="67C35C0B"/>
    <w:rsid w:val="681233D2"/>
    <w:rsid w:val="681D5EE5"/>
    <w:rsid w:val="68652AB3"/>
    <w:rsid w:val="689F1926"/>
    <w:rsid w:val="68AD17BB"/>
    <w:rsid w:val="68D94D22"/>
    <w:rsid w:val="6928354F"/>
    <w:rsid w:val="692B2E4A"/>
    <w:rsid w:val="694303FB"/>
    <w:rsid w:val="69693334"/>
    <w:rsid w:val="696A0B34"/>
    <w:rsid w:val="698D6A17"/>
    <w:rsid w:val="699309CE"/>
    <w:rsid w:val="69A233E7"/>
    <w:rsid w:val="69EE3535"/>
    <w:rsid w:val="69EE71FF"/>
    <w:rsid w:val="69F954C1"/>
    <w:rsid w:val="6A2031B6"/>
    <w:rsid w:val="6A440C53"/>
    <w:rsid w:val="6AC61F6F"/>
    <w:rsid w:val="6ADE74F0"/>
    <w:rsid w:val="6B1002C0"/>
    <w:rsid w:val="6B1565F5"/>
    <w:rsid w:val="6B1F5CFA"/>
    <w:rsid w:val="6B723594"/>
    <w:rsid w:val="6B805156"/>
    <w:rsid w:val="6B8D6DF1"/>
    <w:rsid w:val="6BD50977"/>
    <w:rsid w:val="6BEA2A9B"/>
    <w:rsid w:val="6C9C0875"/>
    <w:rsid w:val="6C9D1F03"/>
    <w:rsid w:val="6CAA3931"/>
    <w:rsid w:val="6D3933CA"/>
    <w:rsid w:val="6D7B61EC"/>
    <w:rsid w:val="6DBC16B3"/>
    <w:rsid w:val="6DD049FF"/>
    <w:rsid w:val="6E09491E"/>
    <w:rsid w:val="6E0D3655"/>
    <w:rsid w:val="6E223740"/>
    <w:rsid w:val="6E5F4465"/>
    <w:rsid w:val="6E8C54DA"/>
    <w:rsid w:val="6EF11E03"/>
    <w:rsid w:val="6F111C62"/>
    <w:rsid w:val="6F2176E5"/>
    <w:rsid w:val="6F3053CA"/>
    <w:rsid w:val="6F36242A"/>
    <w:rsid w:val="6F592303"/>
    <w:rsid w:val="6F5F5B74"/>
    <w:rsid w:val="6F9B1C65"/>
    <w:rsid w:val="6FD47A25"/>
    <w:rsid w:val="6FF44026"/>
    <w:rsid w:val="6FFB146E"/>
    <w:rsid w:val="70096DC1"/>
    <w:rsid w:val="701A5C74"/>
    <w:rsid w:val="706516C3"/>
    <w:rsid w:val="70864A71"/>
    <w:rsid w:val="70896E68"/>
    <w:rsid w:val="71181A12"/>
    <w:rsid w:val="714556B4"/>
    <w:rsid w:val="715B60E9"/>
    <w:rsid w:val="71E96309"/>
    <w:rsid w:val="71EA1FED"/>
    <w:rsid w:val="72284A0C"/>
    <w:rsid w:val="72854629"/>
    <w:rsid w:val="72C16204"/>
    <w:rsid w:val="72DB37AF"/>
    <w:rsid w:val="730313F6"/>
    <w:rsid w:val="730704A2"/>
    <w:rsid w:val="731E1007"/>
    <w:rsid w:val="73370D24"/>
    <w:rsid w:val="7359268C"/>
    <w:rsid w:val="739503EB"/>
    <w:rsid w:val="73A05B28"/>
    <w:rsid w:val="73C07D69"/>
    <w:rsid w:val="743C423C"/>
    <w:rsid w:val="749E2255"/>
    <w:rsid w:val="74B42AE4"/>
    <w:rsid w:val="750A429D"/>
    <w:rsid w:val="75167F59"/>
    <w:rsid w:val="755D38A7"/>
    <w:rsid w:val="755F5A0F"/>
    <w:rsid w:val="75614792"/>
    <w:rsid w:val="75784473"/>
    <w:rsid w:val="75790A02"/>
    <w:rsid w:val="757E044C"/>
    <w:rsid w:val="75977BC3"/>
    <w:rsid w:val="75B161B3"/>
    <w:rsid w:val="75E2563F"/>
    <w:rsid w:val="75E470E3"/>
    <w:rsid w:val="761E5750"/>
    <w:rsid w:val="7624548D"/>
    <w:rsid w:val="76736B32"/>
    <w:rsid w:val="76E3765E"/>
    <w:rsid w:val="76FC2AFA"/>
    <w:rsid w:val="773F0836"/>
    <w:rsid w:val="77653671"/>
    <w:rsid w:val="77837643"/>
    <w:rsid w:val="778546CC"/>
    <w:rsid w:val="77B339CD"/>
    <w:rsid w:val="77B56730"/>
    <w:rsid w:val="77C04A8B"/>
    <w:rsid w:val="77D85DB3"/>
    <w:rsid w:val="780252A0"/>
    <w:rsid w:val="78027772"/>
    <w:rsid w:val="78A50513"/>
    <w:rsid w:val="793B7339"/>
    <w:rsid w:val="796518DD"/>
    <w:rsid w:val="796D49EF"/>
    <w:rsid w:val="796E0C55"/>
    <w:rsid w:val="79850D10"/>
    <w:rsid w:val="79AA0532"/>
    <w:rsid w:val="79F70999"/>
    <w:rsid w:val="79FE1DDD"/>
    <w:rsid w:val="7A075767"/>
    <w:rsid w:val="7A212062"/>
    <w:rsid w:val="7A282A11"/>
    <w:rsid w:val="7A3D0290"/>
    <w:rsid w:val="7A874A29"/>
    <w:rsid w:val="7AB90FF6"/>
    <w:rsid w:val="7AC21562"/>
    <w:rsid w:val="7AD474A4"/>
    <w:rsid w:val="7B115232"/>
    <w:rsid w:val="7B401C35"/>
    <w:rsid w:val="7B416BDC"/>
    <w:rsid w:val="7B5350AD"/>
    <w:rsid w:val="7B6867EB"/>
    <w:rsid w:val="7B697C89"/>
    <w:rsid w:val="7B8D34C3"/>
    <w:rsid w:val="7B971D84"/>
    <w:rsid w:val="7BF32F03"/>
    <w:rsid w:val="7C1724A5"/>
    <w:rsid w:val="7C8E3CCF"/>
    <w:rsid w:val="7CA54112"/>
    <w:rsid w:val="7CE50CE4"/>
    <w:rsid w:val="7D2E5ABF"/>
    <w:rsid w:val="7DB576FB"/>
    <w:rsid w:val="7DCA1E7A"/>
    <w:rsid w:val="7E0C6B6D"/>
    <w:rsid w:val="7E2142A2"/>
    <w:rsid w:val="7E4F5384"/>
    <w:rsid w:val="7E5A6DFA"/>
    <w:rsid w:val="7E7B0BF2"/>
    <w:rsid w:val="7E7C7A78"/>
    <w:rsid w:val="7E8D75B6"/>
    <w:rsid w:val="7EB2417D"/>
    <w:rsid w:val="7EDC09FA"/>
    <w:rsid w:val="7EF760EE"/>
    <w:rsid w:val="7F2A21E7"/>
    <w:rsid w:val="7FA336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8"/>
    <w:semiHidden/>
    <w:unhideWhenUsed/>
    <w:qFormat/>
    <w:uiPriority w:val="99"/>
    <w:pPr>
      <w:spacing w:after="0"/>
    </w:pPr>
    <w:rPr>
      <w:sz w:val="18"/>
      <w:szCs w:val="18"/>
    </w:rPr>
  </w:style>
  <w:style w:type="paragraph" w:styleId="12">
    <w:name w:val="footer"/>
    <w:basedOn w:val="1"/>
    <w:link w:val="47"/>
    <w:unhideWhenUsed/>
    <w:qFormat/>
    <w:uiPriority w:val="99"/>
    <w:pPr>
      <w:tabs>
        <w:tab w:val="center" w:pos="4153"/>
        <w:tab w:val="right" w:pos="8306"/>
      </w:tabs>
    </w:pPr>
    <w:rPr>
      <w:sz w:val="18"/>
      <w:szCs w:val="18"/>
    </w:rPr>
  </w:style>
  <w:style w:type="paragraph" w:styleId="13">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6"/>
    <w:basedOn w:val="1"/>
    <w:next w:val="1"/>
    <w:qFormat/>
    <w:uiPriority w:val="0"/>
    <w:pPr>
      <w:ind w:left="1200"/>
    </w:pPr>
    <w:rPr>
      <w:rFonts w:ascii="Calibri" w:cs="Calibri"/>
      <w:sz w:val="18"/>
      <w:szCs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7"/>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9"/>
    <w:semiHidden/>
    <w:qFormat/>
    <w:uiPriority w:val="99"/>
    <w:rPr>
      <w:rFonts w:ascii="宋体" w:hAnsi="Courier New" w:eastAsia="宋体" w:cs="Courier New"/>
      <w:sz w:val="21"/>
      <w:szCs w:val="21"/>
    </w:rPr>
  </w:style>
  <w:style w:type="character" w:customStyle="1" w:styleId="46">
    <w:name w:val="页眉 Char"/>
    <w:basedOn w:val="25"/>
    <w:link w:val="13"/>
    <w:qFormat/>
    <w:uiPriority w:val="99"/>
    <w:rPr>
      <w:rFonts w:ascii="Tahoma" w:hAnsi="Tahoma"/>
      <w:sz w:val="18"/>
      <w:szCs w:val="18"/>
    </w:rPr>
  </w:style>
  <w:style w:type="character" w:customStyle="1" w:styleId="47">
    <w:name w:val="页脚 Char"/>
    <w:basedOn w:val="25"/>
    <w:link w:val="12"/>
    <w:qFormat/>
    <w:uiPriority w:val="99"/>
    <w:rPr>
      <w:rFonts w:ascii="Tahoma" w:hAnsi="Tahoma"/>
      <w:sz w:val="18"/>
      <w:szCs w:val="18"/>
    </w:rPr>
  </w:style>
  <w:style w:type="character" w:customStyle="1" w:styleId="48">
    <w:name w:val="批注框文本 Char"/>
    <w:basedOn w:val="25"/>
    <w:link w:val="11"/>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83</Pages>
  <Words>37770</Words>
  <Characters>39252</Characters>
  <Lines>264</Lines>
  <Paragraphs>74</Paragraphs>
  <TotalTime>0</TotalTime>
  <ScaleCrop>false</ScaleCrop>
  <LinksUpToDate>false</LinksUpToDate>
  <CharactersWithSpaces>41811</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2023-09-13T09:55:08Z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628A5B87BC9D480083F5F0CAB5B413FF_13</vt:lpwstr>
  </property>
</Properties>
</file>