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2"/>
        <w:rPr>
          <w:rFonts w:hint="eastAsia" w:ascii="黑体" w:eastAsia="黑体"/>
          <w:color w:val="auto"/>
          <w:szCs w:val="21"/>
          <w:highlight w:val="none"/>
          <w:lang w:eastAsia="zh-CN"/>
        </w:rPr>
      </w:pPr>
    </w:p>
    <w:p>
      <w:pPr>
        <w:pStyle w:val="22"/>
        <w:ind w:left="0" w:leftChars="0" w:firstLine="0" w:firstLineChars="0"/>
        <w:rPr>
          <w:rFonts w:hint="eastAsia" w:ascii="黑体" w:eastAsia="黑体"/>
          <w:color w:val="auto"/>
          <w:szCs w:val="21"/>
          <w:highlight w:val="none"/>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GDZT2023134C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kern w:val="2"/>
                <w:sz w:val="32"/>
                <w:szCs w:val="24"/>
                <w:highlight w:val="none"/>
                <w:lang w:eastAsia="zh-CN"/>
              </w:rPr>
              <w:t>蔡屋第六工业区及旧村停车管理服务项目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东莞市裕鑫经济发展有限公司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请各供应商缴纳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保证金前务必核对正确的缴纳账户，由于错缴、误缴而导致未按项目缴纳</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保证金的情况将由供应商自行负责。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9</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保证金必须于</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递交截止时间前到达</w:t>
      </w:r>
      <w:r>
        <w:rPr>
          <w:rFonts w:hint="eastAsia" w:ascii="宋体" w:hAnsi="宋体" w:eastAsia="宋体" w:cs="宋体"/>
          <w:b/>
          <w:bCs w:val="0"/>
          <w:color w:val="auto"/>
          <w:sz w:val="21"/>
          <w:szCs w:val="21"/>
          <w:highlight w:val="none"/>
          <w:u w:val="none"/>
          <w:lang w:val="zh-CN"/>
        </w:rPr>
        <w:t>广东政通招标有限公司</w:t>
      </w:r>
      <w:r>
        <w:rPr>
          <w:rFonts w:hint="eastAsia" w:ascii="宋体" w:hAnsi="宋体" w:eastAsia="宋体" w:cs="宋体"/>
          <w:b/>
          <w:bCs w:val="0"/>
          <w:color w:val="auto"/>
          <w:sz w:val="21"/>
          <w:szCs w:val="21"/>
          <w:highlight w:val="none"/>
          <w:u w:val="none"/>
        </w:rPr>
        <w:t>账户</w:t>
      </w:r>
      <w:r>
        <w:rPr>
          <w:rFonts w:hint="eastAsia" w:ascii="宋体" w:hAnsi="宋体" w:eastAsia="宋体" w:cs="宋体"/>
          <w:b/>
          <w:bCs w:val="0"/>
          <w:color w:val="auto"/>
          <w:sz w:val="21"/>
          <w:szCs w:val="21"/>
          <w:highlight w:val="none"/>
          <w:u w:val="none"/>
          <w:lang w:eastAsia="zh-CN"/>
        </w:rPr>
        <w:t>，</w:t>
      </w:r>
      <w:r>
        <w:rPr>
          <w:rFonts w:hint="eastAsia" w:ascii="宋体" w:hAnsi="宋体" w:eastAsia="宋体" w:cs="宋体"/>
          <w:b/>
          <w:bCs w:val="0"/>
          <w:color w:val="auto"/>
          <w:sz w:val="21"/>
          <w:szCs w:val="21"/>
          <w:highlight w:val="none"/>
          <w:u w:val="none"/>
          <w:lang w:val="en-US" w:eastAsia="zh-CN"/>
        </w:rPr>
        <w:t>账户详见</w:t>
      </w:r>
      <w:r>
        <w:rPr>
          <w:rFonts w:hint="eastAsia" w:ascii="宋体" w:hAnsi="宋体" w:cs="宋体"/>
          <w:b/>
          <w:bCs w:val="0"/>
          <w:color w:val="auto"/>
          <w:sz w:val="21"/>
          <w:szCs w:val="21"/>
          <w:highlight w:val="none"/>
          <w:u w:val="none"/>
          <w:lang w:val="en-US" w:eastAsia="zh-CN"/>
        </w:rPr>
        <w:t>磋商文件</w:t>
      </w:r>
      <w:r>
        <w:rPr>
          <w:rFonts w:hint="eastAsia" w:ascii="宋体" w:hAnsi="宋体" w:eastAsia="宋体" w:cs="宋体"/>
          <w:b/>
          <w:bCs w:val="0"/>
          <w:color w:val="auto"/>
          <w:sz w:val="21"/>
          <w:szCs w:val="21"/>
          <w:highlight w:val="none"/>
          <w:u w:val="none"/>
        </w:rPr>
        <w:t>。由于转账当天不能确保实时到账，为避免因</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10</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七、磋商保证金汇入情况说明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八、采购磋商担保函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_Toc4096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2"/>
        <w:spacing w:before="0" w:after="0" w:line="240" w:lineRule="auto"/>
        <w:rPr>
          <w:color w:val="auto"/>
          <w:sz w:val="28"/>
          <w:szCs w:val="28"/>
          <w:highlight w:val="none"/>
        </w:rPr>
      </w:pPr>
      <w:bookmarkStart w:id="0" w:name="_Toc17306"/>
      <w:bookmarkStart w:id="1" w:name="_Toc14033"/>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885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b/>
          <w:color w:val="auto"/>
          <w:sz w:val="21"/>
          <w:szCs w:val="21"/>
          <w:highlight w:val="none"/>
          <w:u w:val="single"/>
          <w:lang w:eastAsia="zh-CN"/>
        </w:rPr>
        <w:t>东莞市裕鑫经济发展有限公司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bCs/>
          <w:color w:val="auto"/>
          <w:sz w:val="21"/>
          <w:szCs w:val="21"/>
          <w:highlight w:val="none"/>
          <w:u w:val="single"/>
          <w:lang w:eastAsia="zh-CN"/>
        </w:rPr>
        <w:t>蔡屋第六工业区及旧村停车管理服务项目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GDZT2023134C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蔡屋第六工业区及旧村停车管理服务项目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3"/>
        <w:tblW w:w="47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4793"/>
        <w:gridCol w:w="69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0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02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u w:val="single"/>
                <w:lang w:val="en-US" w:eastAsia="zh-CN"/>
              </w:rPr>
              <w:t>蔡屋第六工业区及旧村停车管理服务项目</w:t>
            </w:r>
          </w:p>
        </w:tc>
        <w:tc>
          <w:tcPr>
            <w:tcW w:w="43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14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468,000.00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eastAsia="宋体"/>
          <w:color w:val="auto"/>
          <w:sz w:val="21"/>
          <w:szCs w:val="21"/>
          <w:highlight w:val="none"/>
          <w:lang w:val="en-US" w:eastAsia="zh-CN"/>
        </w:rPr>
        <w:t>供应商</w:t>
      </w:r>
      <w:r>
        <w:rPr>
          <w:rFonts w:hint="eastAsia" w:ascii="宋体" w:hAnsi="宋体" w:eastAsia="宋体"/>
          <w:color w:val="auto"/>
          <w:sz w:val="21"/>
          <w:szCs w:val="21"/>
          <w:highlight w:val="none"/>
          <w:lang w:eastAsia="zh-CN"/>
        </w:rPr>
        <w:t>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或采购严重违法失信行为”记录名单；不处于中国政府采购网(www.ccgp.gov.cn )“采购严重违法失信行为信息记录”中的禁止参加采购活动期间。以代理机构于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2023年</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color w:val="auto"/>
          <w:sz w:val="21"/>
          <w:szCs w:val="21"/>
          <w:highlight w:val="none"/>
          <w:lang w:val="en-US" w:eastAsia="zh-CN"/>
        </w:rPr>
        <w:t>徐先生</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徐先生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日上午9：</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2023年</w:t>
      </w:r>
      <w:r>
        <w:rPr>
          <w:rFonts w:hint="eastAsia" w:ascii="宋体" w:hAnsi="宋体"/>
          <w:bCs/>
          <w:color w:val="auto"/>
          <w:sz w:val="21"/>
          <w:szCs w:val="21"/>
          <w:highlight w:val="none"/>
          <w:lang w:val="en-US" w:eastAsia="zh-CN"/>
        </w:rPr>
        <w:t>8</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日上午</w:t>
      </w:r>
      <w:r>
        <w:rPr>
          <w:rFonts w:hint="eastAsia" w:ascii="宋体" w:hAnsi="宋体"/>
          <w:bCs/>
          <w:color w:val="auto"/>
          <w:sz w:val="21"/>
          <w:szCs w:val="21"/>
          <w:highlight w:val="none"/>
          <w:lang w:val="en-US" w:eastAsia="zh-CN"/>
        </w:rPr>
        <w:t>10</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采购人联系人：詹生</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东莞市长安镇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85332986</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2023年</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月</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2"/>
        <w:spacing w:before="0" w:after="0" w:line="240" w:lineRule="auto"/>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56"/>
        <w:gridCol w:w="3710"/>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82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政通招标网</w:t>
            </w:r>
          </w:p>
        </w:tc>
        <w:tc>
          <w:tcPr>
            <w:tcW w:w="3710" w:type="dxa"/>
            <w:vAlign w:val="center"/>
          </w:tcPr>
          <w:p>
            <w:pPr>
              <w:spacing w:after="0"/>
              <w:jc w:val="center"/>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822"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710" w:type="dxa"/>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6</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7</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8</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9</w:t>
            </w:r>
          </w:p>
        </w:tc>
        <w:tc>
          <w:tcPr>
            <w:tcW w:w="7532" w:type="dxa"/>
            <w:gridSpan w:val="4"/>
            <w:vAlign w:val="center"/>
          </w:tcPr>
          <w:p>
            <w:pPr>
              <w:spacing w:after="0"/>
              <w:jc w:val="both"/>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本项目无需提供</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12</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14</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15</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s="宋体"/>
                <w:b/>
                <w:color w:val="auto"/>
                <w:sz w:val="21"/>
                <w:szCs w:val="21"/>
                <w:highlight w:val="none"/>
              </w:rPr>
              <w:t>中标</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s="宋体"/>
                <w:bCs/>
                <w:color w:val="auto"/>
                <w:sz w:val="21"/>
                <w:szCs w:val="21"/>
                <w:highlight w:val="none"/>
              </w:rPr>
              <w:t>成交服务费根据国家计委[计价格[2002]1980号]文和国家发改委[发改价格[2011]534号]文及相关规定收取，按差额定率累进法计算，以成交通知书中确定的成交总金额作为收费的计算依据；成交服务费最低收费标准为</w:t>
            </w:r>
            <w:r>
              <w:rPr>
                <w:rFonts w:hint="eastAsia" w:ascii="宋体" w:hAnsi="宋体" w:eastAsia="宋体" w:cs="宋体"/>
                <w:bCs/>
                <w:color w:val="auto"/>
                <w:sz w:val="21"/>
                <w:szCs w:val="21"/>
                <w:highlight w:val="none"/>
                <w:lang w:val="en-US" w:eastAsia="zh-CN"/>
              </w:rPr>
              <w:t>陆</w:t>
            </w:r>
            <w:r>
              <w:rPr>
                <w:rFonts w:hint="eastAsia" w:ascii="宋体" w:hAnsi="宋体" w:eastAsia="宋体" w:cs="宋体"/>
                <w:bCs/>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p>
    <w:p>
      <w:pPr>
        <w:pStyle w:val="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textWrapping"/>
      </w: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4043"/>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停车管理服务类</w:t>
            </w:r>
            <w:r>
              <w:rPr>
                <w:rFonts w:hint="eastAsia" w:ascii="宋体" w:hAnsi="宋体" w:eastAsia="宋体" w:cs="宋体"/>
                <w:bCs/>
                <w:color w:val="auto"/>
                <w:sz w:val="21"/>
                <w:szCs w:val="21"/>
                <w:highlight w:val="none"/>
              </w:rPr>
              <w:t>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服务</w:t>
            </w:r>
            <w:r>
              <w:rPr>
                <w:rFonts w:hint="eastAsia" w:ascii="宋体" w:eastAsia="宋体" w:cs="宋体"/>
                <w:color w:val="auto"/>
                <w:sz w:val="21"/>
                <w:szCs w:val="21"/>
                <w:highlight w:val="none"/>
                <w:lang w:val="en-US" w:eastAsia="zh-CN"/>
              </w:rPr>
              <w:t>响应</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小时</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含</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w:t>
            </w:r>
            <w:r>
              <w:rPr>
                <w:rFonts w:hint="eastAsia" w:ascii="宋体" w:hAnsi="宋体" w:cs="宋体"/>
                <w:b w:val="0"/>
                <w:bCs/>
                <w:color w:val="auto"/>
                <w:kern w:val="2"/>
                <w:sz w:val="21"/>
                <w:szCs w:val="21"/>
                <w:highlight w:val="none"/>
                <w:lang w:val="en-US" w:eastAsia="zh-CN" w:bidi="ar-SA"/>
              </w:rPr>
              <w:t>，</w:t>
            </w:r>
            <w:r>
              <w:rPr>
                <w:rFonts w:hint="eastAsia" w:ascii="宋体" w:hAnsi="宋体" w:eastAsia="宋体" w:cs="宋体"/>
                <w:bCs/>
                <w:color w:val="auto"/>
                <w:sz w:val="21"/>
                <w:szCs w:val="21"/>
                <w:highlight w:val="none"/>
              </w:rPr>
              <w:t>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cs="宋体"/>
                <w:bCs/>
                <w:color w:val="auto"/>
                <w:sz w:val="21"/>
                <w:szCs w:val="21"/>
                <w:highlight w:val="none"/>
                <w:lang w:val="en-US" w:eastAsia="zh-CN"/>
              </w:rPr>
              <w:t>其他情况</w:t>
            </w:r>
            <w:r>
              <w:rPr>
                <w:rFonts w:hint="eastAsia" w:ascii="宋体" w:hAnsi="宋体" w:eastAsia="宋体" w:cs="宋体"/>
                <w:bCs/>
                <w:color w:val="auto"/>
                <w:sz w:val="21"/>
                <w:szCs w:val="21"/>
                <w:highlight w:val="none"/>
              </w:rPr>
              <w:t>，不得分。</w:t>
            </w:r>
          </w:p>
          <w:p>
            <w:pPr>
              <w:pStyle w:val="36"/>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75</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总体服务方案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eastAsia="zh-CN"/>
              </w:rPr>
              <w:t>提供</w:t>
            </w:r>
            <w:r>
              <w:rPr>
                <w:rFonts w:hint="eastAsia" w:ascii="宋体" w:hAnsi="宋体" w:eastAsia="宋体" w:cs="宋体"/>
                <w:bCs/>
                <w:color w:val="auto"/>
                <w:sz w:val="21"/>
                <w:szCs w:val="21"/>
                <w:highlight w:val="none"/>
              </w:rPr>
              <w:t>的总体服务方案</w:t>
            </w:r>
            <w:r>
              <w:rPr>
                <w:rFonts w:hint="eastAsia" w:ascii="宋体" w:hAnsi="宋体" w:eastAsia="宋体" w:cs="宋体"/>
                <w:bCs/>
                <w:color w:val="auto"/>
                <w:sz w:val="21"/>
                <w:szCs w:val="21"/>
                <w:highlight w:val="none"/>
                <w:lang w:eastAsia="zh-CN"/>
              </w:rPr>
              <w:t>包括但不限于现场分析、重难点分析及岗位设置等</w:t>
            </w:r>
            <w:r>
              <w:rPr>
                <w:rFonts w:hint="eastAsia" w:ascii="宋体" w:hAnsi="宋体" w:eastAsia="宋体" w:cs="宋体"/>
                <w:bCs/>
                <w:color w:val="auto"/>
                <w:sz w:val="21"/>
                <w:szCs w:val="21"/>
                <w:highlight w:val="none"/>
              </w:rPr>
              <w:t>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①服务</w:t>
            </w:r>
            <w:r>
              <w:rPr>
                <w:rFonts w:hint="eastAsia" w:ascii="宋体" w:hAnsi="宋体" w:eastAsia="宋体" w:cs="宋体"/>
                <w:bCs/>
                <w:color w:val="auto"/>
                <w:sz w:val="21"/>
                <w:szCs w:val="21"/>
                <w:highlight w:val="none"/>
              </w:rPr>
              <w:t>方案措施全面、可行，对</w:t>
            </w:r>
            <w:r>
              <w:rPr>
                <w:rFonts w:hint="eastAsia" w:ascii="宋体" w:hAnsi="宋体" w:eastAsia="宋体" w:cs="宋体"/>
                <w:bCs/>
                <w:color w:val="auto"/>
                <w:sz w:val="21"/>
                <w:szCs w:val="21"/>
                <w:highlight w:val="none"/>
                <w:lang w:eastAsia="zh-CN"/>
              </w:rPr>
              <w:t>现场</w:t>
            </w:r>
            <w:r>
              <w:rPr>
                <w:rFonts w:hint="eastAsia" w:ascii="宋体" w:hAnsi="宋体" w:eastAsia="宋体" w:cs="宋体"/>
                <w:bCs/>
                <w:color w:val="auto"/>
                <w:sz w:val="21"/>
                <w:szCs w:val="21"/>
                <w:highlight w:val="none"/>
              </w:rPr>
              <w:t>情况熟悉、对服务内容的策略重点、难点分析及解决方案详细、实效，岗位设置优于招标文件要求，且职责叙述详细、全面的，得</w:t>
            </w:r>
            <w:r>
              <w:rPr>
                <w:rFonts w:hint="eastAsia" w:ascii="宋体" w:hAnsi="宋体" w:cs="宋体"/>
                <w:bCs/>
                <w:color w:val="auto"/>
                <w:sz w:val="21"/>
                <w:szCs w:val="21"/>
                <w:highlight w:val="none"/>
                <w:lang w:val="en-US" w:eastAsia="zh-CN"/>
              </w:rPr>
              <w:t>25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②服务</w:t>
            </w:r>
            <w:r>
              <w:rPr>
                <w:rFonts w:hint="eastAsia" w:ascii="宋体" w:hAnsi="宋体" w:eastAsia="宋体" w:cs="宋体"/>
                <w:bCs/>
                <w:color w:val="auto"/>
                <w:sz w:val="21"/>
                <w:szCs w:val="21"/>
                <w:highlight w:val="none"/>
              </w:rPr>
              <w:t>方案措施全面、可行，对</w:t>
            </w:r>
            <w:r>
              <w:rPr>
                <w:rFonts w:hint="eastAsia" w:ascii="宋体" w:hAnsi="宋体" w:eastAsia="宋体" w:cs="宋体"/>
                <w:bCs/>
                <w:color w:val="auto"/>
                <w:sz w:val="21"/>
                <w:szCs w:val="21"/>
                <w:highlight w:val="none"/>
                <w:lang w:eastAsia="zh-CN"/>
              </w:rPr>
              <w:t>现场</w:t>
            </w:r>
            <w:r>
              <w:rPr>
                <w:rFonts w:hint="eastAsia" w:ascii="宋体" w:hAnsi="宋体" w:eastAsia="宋体" w:cs="宋体"/>
                <w:bCs/>
                <w:color w:val="auto"/>
                <w:sz w:val="21"/>
                <w:szCs w:val="21"/>
                <w:highlight w:val="none"/>
              </w:rPr>
              <w:t>情况熟悉、对服务内容的策略重点、难点分析及解决方案详细、实效，岗位设置符合招标文件要求，且职责叙述较为详细的，得</w:t>
            </w:r>
            <w:bookmarkStart w:id="338" w:name="_GoBack"/>
            <w:bookmarkEnd w:id="338"/>
            <w:r>
              <w:rPr>
                <w:rFonts w:hint="eastAsia" w:ascii="宋体" w:hAnsi="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③服务</w:t>
            </w:r>
            <w:r>
              <w:rPr>
                <w:rFonts w:hint="eastAsia" w:ascii="宋体" w:hAnsi="宋体" w:eastAsia="宋体" w:cs="宋体"/>
                <w:bCs/>
                <w:color w:val="auto"/>
                <w:sz w:val="21"/>
                <w:szCs w:val="21"/>
                <w:highlight w:val="none"/>
              </w:rPr>
              <w:t>方案有具体措施，对</w:t>
            </w:r>
            <w:r>
              <w:rPr>
                <w:rFonts w:hint="eastAsia" w:ascii="宋体" w:hAnsi="宋体" w:eastAsia="宋体" w:cs="宋体"/>
                <w:bCs/>
                <w:color w:val="auto"/>
                <w:sz w:val="21"/>
                <w:szCs w:val="21"/>
                <w:highlight w:val="none"/>
                <w:lang w:eastAsia="zh-CN"/>
              </w:rPr>
              <w:t>现场</w:t>
            </w:r>
            <w:r>
              <w:rPr>
                <w:rFonts w:hint="eastAsia" w:ascii="宋体" w:hAnsi="宋体" w:eastAsia="宋体" w:cs="宋体"/>
                <w:bCs/>
                <w:color w:val="auto"/>
                <w:sz w:val="21"/>
                <w:szCs w:val="21"/>
                <w:highlight w:val="none"/>
              </w:rPr>
              <w:t>情况熟悉、对服务内容有具体描述，岗位设置符合招标文件要求的，得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④服务</w:t>
            </w:r>
            <w:r>
              <w:rPr>
                <w:rFonts w:hint="eastAsia" w:ascii="宋体" w:hAnsi="宋体" w:eastAsia="宋体" w:cs="宋体"/>
                <w:bCs/>
                <w:color w:val="auto"/>
                <w:sz w:val="21"/>
                <w:szCs w:val="21"/>
                <w:highlight w:val="none"/>
              </w:rPr>
              <w:t>方案不满足本项目需求的，对</w:t>
            </w:r>
            <w:r>
              <w:rPr>
                <w:rFonts w:hint="eastAsia" w:ascii="宋体" w:hAnsi="宋体" w:eastAsia="宋体" w:cs="宋体"/>
                <w:bCs/>
                <w:color w:val="auto"/>
                <w:sz w:val="21"/>
                <w:szCs w:val="21"/>
                <w:highlight w:val="none"/>
                <w:lang w:eastAsia="zh-CN"/>
              </w:rPr>
              <w:t>现场</w:t>
            </w:r>
            <w:r>
              <w:rPr>
                <w:rFonts w:hint="eastAsia" w:ascii="宋体" w:hAnsi="宋体" w:eastAsia="宋体" w:cs="宋体"/>
                <w:bCs/>
                <w:color w:val="auto"/>
                <w:sz w:val="21"/>
                <w:szCs w:val="21"/>
                <w:highlight w:val="none"/>
              </w:rPr>
              <w:t>管理服务内容没有具体描述的，岗位设置不合理的，得</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eastAsia="zh-CN"/>
              </w:rPr>
              <w:t>⑤未提供相关方案的，不得分。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管理方案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提供的管理方案（包括但不限于）负责管理范围的安全防范管理工作，维护正常秩序，预防火灾、治安、盗窃等突发事件的发生等进行综合评审。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①</w:t>
            </w:r>
            <w:r>
              <w:rPr>
                <w:rFonts w:hint="eastAsia" w:ascii="宋体" w:eastAsia="宋体" w:cs="宋体"/>
                <w:color w:val="auto"/>
                <w:sz w:val="21"/>
                <w:szCs w:val="21"/>
                <w:highlight w:val="none"/>
              </w:rPr>
              <w:t>管理</w:t>
            </w:r>
            <w:r>
              <w:rPr>
                <w:rFonts w:hint="eastAsia" w:ascii="宋体" w:hAnsi="宋体" w:eastAsia="宋体" w:cs="宋体"/>
                <w:bCs/>
                <w:color w:val="auto"/>
                <w:sz w:val="21"/>
                <w:szCs w:val="21"/>
                <w:highlight w:val="none"/>
              </w:rPr>
              <w:t>方案详尽、清晰、合理、满足本项目需求的，得10分；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②</w:t>
            </w:r>
            <w:r>
              <w:rPr>
                <w:rFonts w:hint="eastAsia" w:ascii="宋体" w:eastAsia="宋体" w:cs="宋体"/>
                <w:color w:val="auto"/>
                <w:sz w:val="21"/>
                <w:szCs w:val="21"/>
                <w:highlight w:val="none"/>
              </w:rPr>
              <w:t>管理</w:t>
            </w:r>
            <w:r>
              <w:rPr>
                <w:rFonts w:hint="eastAsia" w:ascii="宋体" w:hAnsi="宋体" w:eastAsia="宋体" w:cs="宋体"/>
                <w:bCs/>
                <w:color w:val="auto"/>
                <w:sz w:val="21"/>
                <w:szCs w:val="21"/>
                <w:highlight w:val="none"/>
              </w:rPr>
              <w:t>方案合理、基本满足本项目需求的，得7分；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③</w:t>
            </w:r>
            <w:r>
              <w:rPr>
                <w:rFonts w:hint="eastAsia" w:ascii="宋体" w:eastAsia="宋体" w:cs="宋体"/>
                <w:color w:val="auto"/>
                <w:sz w:val="21"/>
                <w:szCs w:val="21"/>
                <w:highlight w:val="none"/>
              </w:rPr>
              <w:t>管理</w:t>
            </w:r>
            <w:r>
              <w:rPr>
                <w:rFonts w:hint="eastAsia" w:ascii="宋体" w:hAnsi="宋体" w:eastAsia="宋体" w:cs="宋体"/>
                <w:bCs/>
                <w:color w:val="auto"/>
                <w:sz w:val="21"/>
                <w:szCs w:val="21"/>
                <w:highlight w:val="none"/>
              </w:rPr>
              <w:t>方案仅基本满足本项目需求的，得4分；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④</w:t>
            </w:r>
            <w:r>
              <w:rPr>
                <w:rFonts w:hint="eastAsia" w:ascii="宋体" w:eastAsia="宋体" w:cs="宋体"/>
                <w:color w:val="auto"/>
                <w:sz w:val="21"/>
                <w:szCs w:val="21"/>
                <w:highlight w:val="none"/>
              </w:rPr>
              <w:t>管理</w:t>
            </w:r>
            <w:r>
              <w:rPr>
                <w:rFonts w:hint="eastAsia" w:ascii="宋体" w:hAnsi="宋体" w:eastAsia="宋体" w:cs="宋体"/>
                <w:bCs/>
                <w:color w:val="auto"/>
                <w:sz w:val="21"/>
                <w:szCs w:val="21"/>
                <w:highlight w:val="none"/>
              </w:rPr>
              <w:t>方案低于或不满足本项目需求的，得1分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eastAsia="zh-CN"/>
              </w:rPr>
              <w:t>⑤未提供相关方案的，不得分。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eastAsia="zh-CN"/>
              </w:rPr>
              <w:t>人员配备及培训方案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各岗位人员数量配备、服务时间安排，管理人员和各类人员服务经验和专业素质，对各类人员的培训计划、方式及行为规范的培训，员工录用与考核淘汰机制、协调关系、服务意识等进行综合评审：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①</w:t>
            </w:r>
            <w:r>
              <w:rPr>
                <w:rFonts w:hint="eastAsia" w:ascii="宋体" w:hAnsi="宋体" w:eastAsia="宋体" w:cs="宋体"/>
                <w:bCs/>
                <w:color w:val="auto"/>
                <w:sz w:val="21"/>
                <w:szCs w:val="21"/>
                <w:highlight w:val="none"/>
              </w:rPr>
              <w:t>人员配备充足，考核培训方案科学完整、可行性高的，得10分；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②</w:t>
            </w:r>
            <w:r>
              <w:rPr>
                <w:rFonts w:hint="eastAsia" w:ascii="宋体" w:hAnsi="宋体" w:eastAsia="宋体" w:cs="宋体"/>
                <w:bCs/>
                <w:color w:val="auto"/>
                <w:sz w:val="21"/>
                <w:szCs w:val="21"/>
                <w:highlight w:val="none"/>
              </w:rPr>
              <w:t>人员配备较充足，考核培训方案比较科学完整的，得7分；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③</w:t>
            </w:r>
            <w:r>
              <w:rPr>
                <w:rFonts w:hint="eastAsia" w:ascii="宋体" w:hAnsi="宋体" w:eastAsia="宋体" w:cs="宋体"/>
                <w:bCs/>
                <w:color w:val="auto"/>
                <w:sz w:val="21"/>
                <w:szCs w:val="21"/>
                <w:highlight w:val="none"/>
              </w:rPr>
              <w:t>人员配备基本满足要求，考核培训方案</w:t>
            </w:r>
            <w:r>
              <w:rPr>
                <w:rFonts w:hint="eastAsia" w:ascii="宋体" w:hAnsi="宋体" w:eastAsia="宋体" w:cs="宋体"/>
                <w:bCs/>
                <w:color w:val="auto"/>
                <w:sz w:val="21"/>
                <w:szCs w:val="21"/>
                <w:highlight w:val="none"/>
                <w:lang w:eastAsia="zh-CN"/>
              </w:rPr>
              <w:t>一般</w:t>
            </w:r>
            <w:r>
              <w:rPr>
                <w:rFonts w:hint="eastAsia" w:ascii="宋体" w:hAnsi="宋体" w:eastAsia="宋体" w:cs="宋体"/>
                <w:bCs/>
                <w:color w:val="auto"/>
                <w:sz w:val="21"/>
                <w:szCs w:val="21"/>
                <w:highlight w:val="none"/>
              </w:rPr>
              <w:t>的，得4分；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④</w:t>
            </w:r>
            <w:r>
              <w:rPr>
                <w:rFonts w:hint="eastAsia" w:ascii="宋体" w:hAnsi="宋体" w:eastAsia="宋体" w:cs="宋体"/>
                <w:bCs/>
                <w:color w:val="auto"/>
                <w:sz w:val="21"/>
                <w:szCs w:val="21"/>
                <w:highlight w:val="none"/>
              </w:rPr>
              <w:t>人员配备</w:t>
            </w:r>
            <w:r>
              <w:rPr>
                <w:rFonts w:hint="eastAsia" w:ascii="宋体" w:hAnsi="宋体" w:eastAsia="宋体" w:cs="宋体"/>
                <w:bCs/>
                <w:color w:val="auto"/>
                <w:sz w:val="21"/>
                <w:szCs w:val="21"/>
                <w:highlight w:val="none"/>
                <w:lang w:eastAsia="zh-CN"/>
              </w:rPr>
              <w:t>无法满足需求</w:t>
            </w:r>
            <w:r>
              <w:rPr>
                <w:rFonts w:hint="eastAsia" w:ascii="宋体" w:hAnsi="宋体" w:eastAsia="宋体" w:cs="宋体"/>
                <w:bCs/>
                <w:color w:val="auto"/>
                <w:sz w:val="21"/>
                <w:szCs w:val="21"/>
                <w:highlight w:val="none"/>
              </w:rPr>
              <w:t>，考核培训方案</w:t>
            </w:r>
            <w:r>
              <w:rPr>
                <w:rFonts w:hint="eastAsia" w:ascii="宋体" w:hAnsi="宋体" w:eastAsia="宋体" w:cs="宋体"/>
                <w:bCs/>
                <w:color w:val="auto"/>
                <w:sz w:val="21"/>
                <w:szCs w:val="21"/>
                <w:highlight w:val="none"/>
                <w:lang w:eastAsia="zh-CN"/>
              </w:rPr>
              <w:t>差</w:t>
            </w:r>
            <w:r>
              <w:rPr>
                <w:rFonts w:hint="eastAsia" w:ascii="宋体" w:hAnsi="宋体" w:eastAsia="宋体" w:cs="宋体"/>
                <w:bCs/>
                <w:color w:val="auto"/>
                <w:sz w:val="21"/>
                <w:szCs w:val="21"/>
                <w:highlight w:val="none"/>
              </w:rPr>
              <w:t>的</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得1分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eastAsia="zh-CN"/>
              </w:rPr>
              <w:t>⑤未提供相关方案的，不得分。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质量保证措施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对本项目的要求，提供详细的质量目标及分期目标，并提供具体可行、详细的保证措施等进行综合评审：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①</w:t>
            </w:r>
            <w:r>
              <w:rPr>
                <w:rFonts w:hint="eastAsia" w:ascii="宋体" w:hAnsi="宋体" w:eastAsia="宋体" w:cs="宋体"/>
                <w:bCs/>
                <w:color w:val="auto"/>
                <w:sz w:val="21"/>
                <w:szCs w:val="21"/>
                <w:highlight w:val="none"/>
              </w:rPr>
              <w:t>目标设置合理且完整、所采取的措施可行性强，完全满足并优于招标文件要求，得10分；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②</w:t>
            </w:r>
            <w:r>
              <w:rPr>
                <w:rFonts w:hint="eastAsia" w:ascii="宋体" w:hAnsi="宋体" w:eastAsia="宋体" w:cs="宋体"/>
                <w:bCs/>
                <w:color w:val="auto"/>
                <w:sz w:val="21"/>
                <w:szCs w:val="21"/>
                <w:highlight w:val="none"/>
              </w:rPr>
              <w:t>目标设置完整、所采取的措施可行性一般，符合招标文件要求，得7分；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③</w:t>
            </w:r>
            <w:r>
              <w:rPr>
                <w:rFonts w:hint="eastAsia" w:ascii="宋体" w:hAnsi="宋体" w:eastAsia="宋体" w:cs="宋体"/>
                <w:bCs/>
                <w:color w:val="auto"/>
                <w:sz w:val="21"/>
                <w:szCs w:val="21"/>
                <w:highlight w:val="none"/>
              </w:rPr>
              <w:t>目标设置基本合理，措施简单，基本符合招标文件要求，得4分；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④质量保证措施方案不合理，措施实施难度大</w:t>
            </w:r>
            <w:r>
              <w:rPr>
                <w:rFonts w:hint="eastAsia" w:ascii="宋体" w:hAnsi="宋体" w:eastAsia="宋体" w:cs="宋体"/>
                <w:bCs/>
                <w:color w:val="auto"/>
                <w:sz w:val="21"/>
                <w:szCs w:val="21"/>
                <w:highlight w:val="none"/>
              </w:rPr>
              <w:t>的，得1分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eastAsia="zh-CN"/>
              </w:rPr>
              <w:t>⑤未提供相关方案的，不得分。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应急处置方案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对项目发生突发事件的处理、应急处理预案，服务区域支援服务点进行评审：</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①</w:t>
            </w:r>
            <w:r>
              <w:rPr>
                <w:rFonts w:hint="eastAsia" w:ascii="宋体" w:hAnsi="宋体" w:eastAsia="宋体" w:cs="宋体"/>
                <w:bCs/>
                <w:color w:val="auto"/>
                <w:sz w:val="21"/>
                <w:szCs w:val="21"/>
                <w:highlight w:val="none"/>
              </w:rPr>
              <w:t>对项目发生突发事件的处理原则、流程、方法等制定有针对性强和可操作性高的应急处理预案，得10分；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②</w:t>
            </w:r>
            <w:r>
              <w:rPr>
                <w:rFonts w:hint="eastAsia" w:ascii="宋体" w:hAnsi="宋体" w:eastAsia="宋体" w:cs="宋体"/>
                <w:bCs/>
                <w:color w:val="auto"/>
                <w:sz w:val="21"/>
                <w:szCs w:val="21"/>
                <w:highlight w:val="none"/>
              </w:rPr>
              <w:t>对项目发生突发事件的处理原则、流程、方法等制定有针对性一般和可操作性一般的应急处理预案，得7分；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③</w:t>
            </w:r>
            <w:r>
              <w:rPr>
                <w:rFonts w:hint="eastAsia" w:ascii="宋体" w:hAnsi="宋体" w:eastAsia="宋体" w:cs="宋体"/>
                <w:bCs/>
                <w:color w:val="auto"/>
                <w:sz w:val="21"/>
                <w:szCs w:val="21"/>
                <w:highlight w:val="none"/>
              </w:rPr>
              <w:t>对项目发生突发事件的处理原则、流程、方法等简单，得4分。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④应急处置</w:t>
            </w:r>
            <w:r>
              <w:rPr>
                <w:rFonts w:hint="eastAsia" w:ascii="宋体" w:hAnsi="宋体" w:eastAsia="宋体" w:cs="宋体"/>
                <w:bCs/>
                <w:color w:val="auto"/>
                <w:sz w:val="21"/>
                <w:szCs w:val="21"/>
                <w:highlight w:val="none"/>
              </w:rPr>
              <w:t>方案</w:t>
            </w:r>
            <w:r>
              <w:rPr>
                <w:rFonts w:hint="eastAsia" w:ascii="宋体" w:hAnsi="宋体" w:eastAsia="宋体" w:cs="宋体"/>
                <w:bCs/>
                <w:color w:val="auto"/>
                <w:sz w:val="21"/>
                <w:szCs w:val="21"/>
                <w:highlight w:val="none"/>
                <w:lang w:eastAsia="zh-CN"/>
              </w:rPr>
              <w:t>不合理、不科学的</w:t>
            </w:r>
            <w:r>
              <w:rPr>
                <w:rFonts w:hint="eastAsia" w:ascii="宋体" w:hAnsi="宋体" w:eastAsia="宋体" w:cs="宋体"/>
                <w:bCs/>
                <w:color w:val="auto"/>
                <w:sz w:val="21"/>
                <w:szCs w:val="21"/>
                <w:highlight w:val="none"/>
              </w:rPr>
              <w:t>，得1分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eastAsia="zh-CN"/>
              </w:rPr>
              <w:t>⑤未提供相关方案的，不得分。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规章制度</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根据供应商的规章管理制度进行</w:t>
            </w:r>
            <w:r>
              <w:rPr>
                <w:rFonts w:hint="eastAsia" w:ascii="宋体" w:hAnsi="宋体" w:eastAsia="宋体" w:cs="宋体"/>
                <w:bCs/>
                <w:color w:val="auto"/>
                <w:sz w:val="21"/>
                <w:szCs w:val="21"/>
                <w:highlight w:val="none"/>
              </w:rPr>
              <w:t>综合评审：</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制度完善科学，可行性强，得</w:t>
            </w:r>
            <w:r>
              <w:rPr>
                <w:rFonts w:hint="eastAsia" w:asci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w:t>
            </w:r>
            <w:r>
              <w:rPr>
                <w:rFonts w:hint="eastAsia" w:asci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完善，可行性</w:t>
            </w:r>
            <w:r>
              <w:rPr>
                <w:rFonts w:hint="eastAsia" w:asci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强，得</w:t>
            </w:r>
            <w:r>
              <w:rPr>
                <w:rFonts w:hint="eastAsia" w:asci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zh-CN"/>
              </w:rPr>
              <w:t>；</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制度基本</w:t>
            </w:r>
            <w:r>
              <w:rPr>
                <w:rFonts w:hint="eastAsia" w:ascii="宋体" w:eastAsia="宋体" w:cs="宋体"/>
                <w:color w:val="auto"/>
                <w:sz w:val="21"/>
                <w:szCs w:val="21"/>
                <w:highlight w:val="none"/>
                <w:lang w:val="en-US" w:eastAsia="zh-CN"/>
              </w:rPr>
              <w:t>完善</w:t>
            </w:r>
            <w:r>
              <w:rPr>
                <w:rFonts w:hint="eastAsia" w:ascii="宋体" w:hAnsi="宋体" w:eastAsia="宋体" w:cs="宋体"/>
                <w:color w:val="auto"/>
                <w:sz w:val="21"/>
                <w:szCs w:val="21"/>
                <w:highlight w:val="none"/>
                <w:lang w:val="zh-CN"/>
              </w:rPr>
              <w:t>，可行性一般，得</w:t>
            </w:r>
            <w:r>
              <w:rPr>
                <w:rFonts w:hint="eastAsia" w:asci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pStyle w:val="36"/>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制度不</w:t>
            </w:r>
            <w:r>
              <w:rPr>
                <w:rFonts w:hint="eastAsia" w:ascii="宋体" w:eastAsia="宋体" w:cs="宋体"/>
                <w:color w:val="auto"/>
                <w:sz w:val="21"/>
                <w:szCs w:val="21"/>
                <w:highlight w:val="none"/>
                <w:lang w:val="en-US" w:eastAsia="zh-CN"/>
              </w:rPr>
              <w:t>完善</w:t>
            </w:r>
            <w:r>
              <w:rPr>
                <w:rFonts w:hint="eastAsia" w:ascii="宋体" w:hAnsi="宋体" w:eastAsia="宋体" w:cs="宋体"/>
                <w:color w:val="auto"/>
                <w:sz w:val="21"/>
                <w:szCs w:val="21"/>
                <w:highlight w:val="none"/>
                <w:lang w:val="zh-CN"/>
              </w:rPr>
              <w:t>，可行性较差，得</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zh-CN"/>
              </w:rPr>
              <w:t>未提供</w:t>
            </w:r>
            <w:r>
              <w:rPr>
                <w:rFonts w:hint="eastAsia" w:ascii="宋体" w:hAnsi="宋体" w:eastAsia="宋体" w:cs="宋体"/>
                <w:bCs/>
                <w:color w:val="auto"/>
                <w:sz w:val="21"/>
                <w:szCs w:val="21"/>
                <w:highlight w:val="none"/>
              </w:rPr>
              <w:t>制度</w:t>
            </w:r>
            <w:r>
              <w:rPr>
                <w:rFonts w:hint="eastAsia" w:ascii="宋体" w:hAnsi="宋体" w:eastAsia="宋体" w:cs="宋体"/>
                <w:bCs/>
                <w:color w:val="auto"/>
                <w:sz w:val="21"/>
                <w:szCs w:val="21"/>
                <w:highlight w:val="none"/>
                <w:lang w:val="zh-CN"/>
              </w:rPr>
              <w:t>，得0分。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highlight w:val="none"/>
        </w:rPr>
      </w:pPr>
    </w:p>
    <w:p>
      <w:pPr>
        <w:bidi w:val="0"/>
        <w:rPr>
          <w:rFonts w:hint="eastAsia"/>
          <w:color w:val="auto"/>
          <w:highlight w:val="none"/>
        </w:rPr>
      </w:pPr>
      <w:r>
        <w:rPr>
          <w:rFonts w:hint="eastAsia"/>
          <w:color w:val="auto"/>
          <w:highlight w:val="none"/>
        </w:rPr>
        <w:br w:type="page"/>
      </w:r>
    </w:p>
    <w:p>
      <w:pPr>
        <w:pStyle w:val="2"/>
        <w:spacing w:before="0" w:after="0" w:line="240" w:lineRule="auto"/>
        <w:rPr>
          <w:color w:val="auto"/>
          <w:sz w:val="24"/>
          <w:szCs w:val="24"/>
          <w:highlight w:val="none"/>
        </w:rPr>
      </w:pPr>
      <w:bookmarkStart w:id="17" w:name="_Toc2479"/>
      <w:bookmarkStart w:id="18" w:name="_Toc24511"/>
      <w:bookmarkStart w:id="19" w:name="_Toc29685"/>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2"/>
        <w:keepNext w:val="0"/>
        <w:keepLines w:val="0"/>
        <w:spacing w:before="0" w:after="0" w:line="360" w:lineRule="auto"/>
        <w:jc w:val="center"/>
        <w:rPr>
          <w:rFonts w:ascii="宋体" w:hAnsi="宋体" w:eastAsia="宋体"/>
          <w:color w:val="auto"/>
          <w:sz w:val="24"/>
          <w:szCs w:val="21"/>
          <w:highlight w:val="none"/>
        </w:rPr>
      </w:pPr>
      <w:bookmarkStart w:id="21" w:name="_Toc507407359"/>
      <w:bookmarkStart w:id="22" w:name="_Toc466786434"/>
      <w:bookmarkStart w:id="23" w:name="_Toc28014"/>
      <w:bookmarkStart w:id="24" w:name="_Toc6968687"/>
      <w:bookmarkStart w:id="25" w:name="_Toc24057"/>
      <w:bookmarkStart w:id="26" w:name="_Toc6882675"/>
      <w:bookmarkStart w:id="27" w:name="_Toc102277756"/>
      <w:bookmarkStart w:id="28" w:name="_Toc468157520"/>
      <w:bookmarkStart w:id="29" w:name="_Toc467236724"/>
      <w:bookmarkStart w:id="30" w:name="_Toc480010692"/>
      <w:bookmarkStart w:id="31" w:name="_Toc480021037"/>
      <w:bookmarkStart w:id="32" w:name="_Toc468606013"/>
      <w:bookmarkStart w:id="33" w:name="_Toc480171863"/>
      <w:bookmarkStart w:id="34" w:name="_Toc48207756"/>
      <w:bookmarkStart w:id="35" w:name="_Toc480020241"/>
      <w:bookmarkStart w:id="36" w:name="_Toc458262599"/>
      <w:bookmarkStart w:id="37" w:name="_Toc467987807"/>
      <w:bookmarkStart w:id="38" w:name="_Toc479991566"/>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0228"/>
      <w:bookmarkStart w:id="40" w:name="_Toc17291"/>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东莞市裕鑫经济发展有限公司</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466786435"/>
      <w:bookmarkStart w:id="48" w:name="_Toc507407360"/>
      <w:bookmarkStart w:id="49" w:name="_Toc102277757"/>
      <w:bookmarkStart w:id="50" w:name="_Toc6968688"/>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10953834"/>
      <w:bookmarkStart w:id="65" w:name="_Toc18108"/>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21439"/>
      <w:bookmarkStart w:id="71" w:name="_Toc110953836"/>
      <w:bookmarkStart w:id="72" w:name="_Toc4511"/>
      <w:bookmarkStart w:id="73" w:name="_Toc466786436"/>
      <w:bookmarkStart w:id="74" w:name="_Toc6882677"/>
      <w:bookmarkStart w:id="75" w:name="_Toc507407361"/>
      <w:bookmarkStart w:id="76" w:name="_Toc102277758"/>
      <w:bookmarkStart w:id="77" w:name="_Toc6968689"/>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2"/>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882678"/>
      <w:bookmarkStart w:id="82" w:name="_Toc102277759"/>
      <w:bookmarkStart w:id="83" w:name="_Toc6968690"/>
      <w:bookmarkStart w:id="84" w:name="_Toc507407362"/>
      <w:bookmarkStart w:id="85" w:name="_Toc466786437"/>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18228"/>
      <w:bookmarkStart w:id="90" w:name="_Toc25730"/>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报价文件内还须包括并不限于：磋商保证金支付凭证银行汇款底单（复印件加盖公章，原件随身携带，以备查核）和磋商保证金汇入情况说明（加盖公章）。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11910"/>
      <w:bookmarkStart w:id="92" w:name="_Toc26897"/>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5387"/>
      <w:bookmarkStart w:id="95" w:name="_Toc1662"/>
      <w:bookmarkStart w:id="96" w:name="_Toc110953841"/>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21656"/>
      <w:bookmarkStart w:id="98" w:name="_Toc1898"/>
      <w:r>
        <w:rPr>
          <w:rFonts w:hint="eastAsia" w:hAnsi="宋体"/>
          <w:color w:val="auto"/>
          <w:sz w:val="21"/>
          <w:szCs w:val="21"/>
          <w:highlight w:val="none"/>
        </w:rPr>
        <w:t>磋商保证金</w:t>
      </w:r>
      <w:bookmarkEnd w:id="97"/>
      <w:bookmarkEnd w:id="98"/>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本项目无需提供</w:t>
      </w:r>
      <w:r>
        <w:rPr>
          <w:rFonts w:hint="eastAsia" w:ascii="宋体" w:hAnsi="宋体"/>
          <w:b/>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58262615"/>
      <w:bookmarkStart w:id="100" w:name="_Toc467987824"/>
      <w:bookmarkStart w:id="101" w:name="_Toc110953842"/>
      <w:bookmarkStart w:id="102" w:name="_Toc479991583"/>
      <w:bookmarkStart w:id="103" w:name="_Toc10456"/>
      <w:bookmarkStart w:id="104" w:name="_Toc468606030"/>
      <w:bookmarkStart w:id="105" w:name="_Toc480010709"/>
      <w:bookmarkStart w:id="106" w:name="_Toc454701382"/>
      <w:bookmarkStart w:id="107" w:name="_Toc480171880"/>
      <w:bookmarkStart w:id="108" w:name="_Toc503758471"/>
      <w:bookmarkStart w:id="109" w:name="_Toc480021054"/>
      <w:bookmarkStart w:id="110" w:name="_Toc480020258"/>
      <w:bookmarkStart w:id="111" w:name="_Toc467236741"/>
      <w:bookmarkStart w:id="112" w:name="_Toc468157537"/>
      <w:bookmarkStart w:id="113" w:name="_Toc25734"/>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2"/>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110953843"/>
      <w:bookmarkStart w:id="116" w:name="_Toc32392"/>
      <w:bookmarkStart w:id="117" w:name="_Toc102277760"/>
      <w:bookmarkStart w:id="118" w:name="_Toc6968691"/>
      <w:bookmarkStart w:id="119" w:name="_Toc466786438"/>
      <w:bookmarkStart w:id="120" w:name="_Toc507407363"/>
      <w:bookmarkStart w:id="121" w:name="_Toc6882679"/>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4400"/>
      <w:bookmarkStart w:id="124" w:name="_Toc13611"/>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110953845"/>
      <w:bookmarkStart w:id="126" w:name="_Toc5658"/>
      <w:bookmarkStart w:id="127" w:name="_Toc642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23533"/>
      <w:bookmarkStart w:id="129" w:name="_Toc8440"/>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535141844"/>
      <w:bookmarkStart w:id="140" w:name="_Toc17157"/>
      <w:bookmarkStart w:id="141" w:name="_Toc17978"/>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磋商保证金瑕疵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包括但不限于：①供应商未按采购文件要求提交磋商保证金；②提交方式、提交时间、提交金额不符合采购文件要求；③磋商保证金有效期不符合采购文件要求。</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48" w:name="_Toc1066"/>
      <w:bookmarkStart w:id="149"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48"/>
      <w:bookmarkEnd w:id="149"/>
    </w:p>
    <w:p>
      <w:pPr>
        <w:pStyle w:val="4"/>
        <w:keepNext w:val="0"/>
        <w:keepLines w:val="0"/>
        <w:numPr>
          <w:ilvl w:val="0"/>
          <w:numId w:val="3"/>
        </w:numPr>
        <w:adjustRightInd/>
        <w:spacing w:before="0" w:after="0" w:line="360" w:lineRule="auto"/>
        <w:rPr>
          <w:rFonts w:hAnsi="宋体"/>
          <w:color w:val="auto"/>
          <w:sz w:val="21"/>
          <w:szCs w:val="21"/>
          <w:highlight w:val="none"/>
        </w:rPr>
      </w:pPr>
      <w:bookmarkStart w:id="150" w:name="_Toc29068"/>
      <w:bookmarkStart w:id="151" w:name="_Toc19359"/>
      <w:r>
        <w:rPr>
          <w:rFonts w:hint="eastAsia" w:hAnsi="宋体"/>
          <w:color w:val="auto"/>
          <w:sz w:val="21"/>
          <w:szCs w:val="21"/>
          <w:highlight w:val="none"/>
        </w:rPr>
        <w:t>确定成交</w:t>
      </w:r>
      <w:bookmarkEnd w:id="150"/>
      <w:bookmarkEnd w:id="15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3941"/>
      <w:bookmarkStart w:id="153" w:name="_Toc17569"/>
      <w:r>
        <w:rPr>
          <w:rFonts w:hint="eastAsia" w:hAnsi="宋体"/>
          <w:color w:val="auto"/>
          <w:sz w:val="21"/>
          <w:szCs w:val="21"/>
          <w:highlight w:val="none"/>
        </w:rPr>
        <w:t>发布采购结果</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2414"/>
      <w:bookmarkStart w:id="155" w:name="_Toc29067"/>
      <w:r>
        <w:rPr>
          <w:rFonts w:hint="eastAsia" w:hAnsi="宋体"/>
          <w:color w:val="auto"/>
          <w:sz w:val="21"/>
          <w:szCs w:val="21"/>
          <w:highlight w:val="none"/>
        </w:rPr>
        <w:t>原件核查</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6"/>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56" w:name="_Toc37756778"/>
      <w:bookmarkStart w:id="157" w:name="_Toc31756"/>
      <w:bookmarkStart w:id="158" w:name="_Toc110953852"/>
      <w:bookmarkStart w:id="159" w:name="_Toc3829"/>
      <w:bookmarkStart w:id="160"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6"/>
      <w:bookmarkEnd w:id="157"/>
      <w:bookmarkEnd w:id="158"/>
      <w:bookmarkEnd w:id="159"/>
    </w:p>
    <w:p>
      <w:pPr>
        <w:pStyle w:val="4"/>
        <w:keepNext w:val="0"/>
        <w:keepLines w:val="0"/>
        <w:numPr>
          <w:ilvl w:val="0"/>
          <w:numId w:val="3"/>
        </w:numPr>
        <w:adjustRightInd/>
        <w:spacing w:before="0" w:after="0" w:line="360" w:lineRule="auto"/>
        <w:rPr>
          <w:rFonts w:hAnsi="宋体"/>
          <w:color w:val="auto"/>
          <w:sz w:val="21"/>
          <w:szCs w:val="21"/>
          <w:highlight w:val="none"/>
        </w:rPr>
      </w:pPr>
      <w:bookmarkStart w:id="161" w:name="_Toc29253"/>
      <w:bookmarkStart w:id="162" w:name="_Toc18000"/>
      <w:r>
        <w:rPr>
          <w:rFonts w:hint="eastAsia" w:hAnsi="宋体"/>
          <w:color w:val="auto"/>
          <w:sz w:val="21"/>
          <w:szCs w:val="21"/>
          <w:highlight w:val="none"/>
        </w:rPr>
        <w:t>签订合同</w:t>
      </w:r>
      <w:bookmarkEnd w:id="161"/>
      <w:bookmarkEnd w:id="16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采购合同的，采购人可以按照评审报告中推荐的其他成交候选人以由高到低原则确定其他供应商作为成交供应商并签订采购合同，也可以重新开展采购活动。拒绝签订采购合同的成交供应商不得参加对该项目重新开展的采购活动。</w:t>
      </w:r>
    </w:p>
    <w:p>
      <w:pPr>
        <w:bidi w:val="0"/>
        <w:rPr>
          <w:color w:val="auto"/>
          <w:highlight w:val="none"/>
        </w:rPr>
      </w:pPr>
    </w:p>
    <w:p>
      <w:pPr>
        <w:pStyle w:val="2"/>
        <w:keepNext w:val="0"/>
        <w:keepLines w:val="0"/>
        <w:spacing w:before="0" w:after="0" w:line="360" w:lineRule="auto"/>
        <w:jc w:val="center"/>
        <w:rPr>
          <w:rFonts w:ascii="宋体" w:hAnsi="宋体" w:eastAsia="宋体"/>
          <w:color w:val="auto"/>
          <w:sz w:val="24"/>
          <w:szCs w:val="21"/>
          <w:highlight w:val="none"/>
        </w:rPr>
      </w:pPr>
      <w:bookmarkStart w:id="163" w:name="_Toc12802"/>
      <w:bookmarkStart w:id="164" w:name="_Toc8165"/>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3"/>
      <w:bookmarkEnd w:id="164"/>
    </w:p>
    <w:p>
      <w:pPr>
        <w:pStyle w:val="4"/>
        <w:keepNext w:val="0"/>
        <w:keepLines w:val="0"/>
        <w:numPr>
          <w:ilvl w:val="0"/>
          <w:numId w:val="3"/>
        </w:numPr>
        <w:adjustRightInd/>
        <w:spacing w:before="0" w:after="0" w:line="360" w:lineRule="auto"/>
        <w:rPr>
          <w:rFonts w:hAnsi="宋体"/>
          <w:color w:val="auto"/>
          <w:sz w:val="21"/>
          <w:szCs w:val="21"/>
          <w:highlight w:val="none"/>
        </w:rPr>
      </w:pPr>
      <w:bookmarkStart w:id="165" w:name="_Toc452"/>
      <w:bookmarkStart w:id="166" w:name="_Toc18663"/>
      <w:r>
        <w:rPr>
          <w:rFonts w:hint="eastAsia" w:hAnsi="宋体"/>
          <w:color w:val="auto"/>
          <w:sz w:val="21"/>
          <w:szCs w:val="21"/>
          <w:highlight w:val="none"/>
        </w:rPr>
        <w:t>询问</w:t>
      </w:r>
      <w:bookmarkEnd w:id="165"/>
      <w:bookmarkEnd w:id="166"/>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20114"/>
      <w:bookmarkStart w:id="168" w:name="_Toc17155"/>
      <w:r>
        <w:rPr>
          <w:rFonts w:hint="eastAsia" w:hAnsi="宋体"/>
          <w:color w:val="auto"/>
          <w:sz w:val="21"/>
          <w:szCs w:val="21"/>
          <w:highlight w:val="none"/>
        </w:rPr>
        <w:t>质疑</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w:t>
      </w:r>
      <w:r>
        <w:rPr>
          <w:rFonts w:hint="eastAsia" w:ascii="宋体" w:hAnsi="宋体"/>
          <w:color w:val="auto"/>
          <w:sz w:val="21"/>
          <w:szCs w:val="21"/>
          <w:highlight w:val="none"/>
          <w:lang w:val="en-US" w:eastAsia="zh-CN"/>
        </w:rPr>
        <w:t>相关</w:t>
      </w:r>
      <w:r>
        <w:rPr>
          <w:rFonts w:hint="eastAsia" w:ascii="宋体" w:hAnsi="宋体" w:eastAsia="宋体"/>
          <w:color w:val="auto"/>
          <w:sz w:val="21"/>
          <w:szCs w:val="21"/>
          <w:highlight w:val="none"/>
        </w:rPr>
        <w:t>部门列入不良行为记录名单，禁止其1至3年内参加全国范围内的采购活动：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以联合体形式参加采购活动的，其质疑应当由组成联合体的所有供应商共同提出。</w:t>
      </w:r>
    </w:p>
    <w:p>
      <w:pPr>
        <w:bidi w:val="0"/>
        <w:rPr>
          <w:color w:val="auto"/>
          <w:highlight w:val="none"/>
        </w:rPr>
      </w:pPr>
    </w:p>
    <w:bookmarkEnd w:id="160"/>
    <w:p>
      <w:pPr>
        <w:pStyle w:val="2"/>
        <w:keepNext w:val="0"/>
        <w:keepLines w:val="0"/>
        <w:spacing w:before="0" w:after="0" w:line="360" w:lineRule="auto"/>
        <w:jc w:val="center"/>
        <w:rPr>
          <w:rFonts w:ascii="宋体" w:hAnsi="宋体" w:eastAsia="宋体"/>
          <w:color w:val="auto"/>
          <w:sz w:val="24"/>
          <w:szCs w:val="21"/>
          <w:highlight w:val="none"/>
        </w:rPr>
      </w:pPr>
      <w:bookmarkStart w:id="169" w:name="_Toc5551"/>
      <w:bookmarkStart w:id="170"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69"/>
      <w:bookmarkEnd w:id="170"/>
    </w:p>
    <w:p>
      <w:pPr>
        <w:pStyle w:val="4"/>
        <w:keepNext w:val="0"/>
        <w:keepLines w:val="0"/>
        <w:numPr>
          <w:ilvl w:val="0"/>
          <w:numId w:val="3"/>
        </w:numPr>
        <w:adjustRightInd/>
        <w:spacing w:before="0" w:after="0" w:line="360" w:lineRule="auto"/>
        <w:rPr>
          <w:rFonts w:hAnsi="宋体"/>
          <w:color w:val="auto"/>
          <w:sz w:val="21"/>
          <w:szCs w:val="21"/>
          <w:highlight w:val="none"/>
        </w:rPr>
      </w:pPr>
      <w:bookmarkStart w:id="171" w:name="_Toc26991"/>
      <w:bookmarkStart w:id="172" w:name="_Toc9437"/>
      <w:r>
        <w:rPr>
          <w:rFonts w:hint="eastAsia" w:hAnsi="宋体"/>
          <w:color w:val="auto"/>
          <w:sz w:val="21"/>
          <w:szCs w:val="21"/>
          <w:highlight w:val="none"/>
        </w:rPr>
        <w:t>成交服务费</w:t>
      </w:r>
      <w:bookmarkEnd w:id="171"/>
      <w:bookmarkEnd w:id="172"/>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3" w:name="_Ref179619574"/>
      <w:r>
        <w:rPr>
          <w:rFonts w:hint="eastAsia" w:ascii="宋体" w:hAnsi="宋体" w:eastAsia="宋体"/>
          <w:color w:val="auto"/>
          <w:sz w:val="21"/>
          <w:szCs w:val="21"/>
          <w:highlight w:val="none"/>
        </w:rPr>
        <w:t>成交人应按照磋商文件中的规定交纳成交服务费。</w:t>
      </w:r>
      <w:bookmarkEnd w:id="173"/>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2"/>
        <w:keepNext w:val="0"/>
        <w:keepLines w:val="0"/>
        <w:spacing w:before="0" w:after="0" w:line="360" w:lineRule="auto"/>
        <w:jc w:val="center"/>
        <w:rPr>
          <w:rFonts w:ascii="宋体" w:hAnsi="宋体" w:eastAsia="宋体"/>
          <w:color w:val="auto"/>
          <w:sz w:val="24"/>
          <w:szCs w:val="21"/>
          <w:highlight w:val="none"/>
        </w:rPr>
      </w:pPr>
      <w:bookmarkStart w:id="174" w:name="_Toc18389"/>
      <w:bookmarkStart w:id="175" w:name="_Toc7834"/>
      <w:bookmarkStart w:id="176" w:name="_Toc457975339"/>
      <w:bookmarkStart w:id="177" w:name="_Toc467049706"/>
      <w:bookmarkStart w:id="178" w:name="_Toc476976198"/>
      <w:bookmarkStart w:id="179" w:name="_Toc51756491"/>
      <w:bookmarkStart w:id="180" w:name="_Toc51939456"/>
      <w:bookmarkStart w:id="181" w:name="_Toc467236766"/>
      <w:bookmarkStart w:id="182" w:name="_Toc467050236"/>
      <w:bookmarkStart w:id="183" w:name="_Toc486671570"/>
      <w:bookmarkStart w:id="184" w:name="_Toc52021538"/>
      <w:bookmarkStart w:id="185" w:name="_Toc52027926"/>
      <w:bookmarkStart w:id="186" w:name="_Toc56353011"/>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4"/>
      <w:bookmarkEnd w:id="175"/>
    </w:p>
    <w:p>
      <w:pPr>
        <w:pStyle w:val="4"/>
        <w:keepNext w:val="0"/>
        <w:keepLines w:val="0"/>
        <w:numPr>
          <w:ilvl w:val="0"/>
          <w:numId w:val="3"/>
        </w:numPr>
        <w:adjustRightInd/>
        <w:spacing w:before="0" w:after="0" w:line="360" w:lineRule="auto"/>
        <w:rPr>
          <w:rFonts w:hAnsi="宋体"/>
          <w:color w:val="auto"/>
          <w:sz w:val="21"/>
          <w:szCs w:val="21"/>
          <w:highlight w:val="none"/>
        </w:rPr>
      </w:pPr>
      <w:bookmarkStart w:id="187" w:name="_Toc10953"/>
      <w:bookmarkStart w:id="188" w:name="_Toc31522"/>
      <w:r>
        <w:rPr>
          <w:rFonts w:hint="eastAsia" w:hAnsi="宋体"/>
          <w:color w:val="auto"/>
          <w:sz w:val="21"/>
          <w:szCs w:val="21"/>
          <w:highlight w:val="none"/>
        </w:rPr>
        <w:t>磋商文件的解释权</w:t>
      </w:r>
      <w:bookmarkEnd w:id="187"/>
      <w:bookmarkEnd w:id="18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本采购文件是根据国家有关法律、法规以及采购管理有关规定和参照国际惯例编制，解释权属本采购代理机构。</w:t>
      </w:r>
    </w:p>
    <w:p>
      <w:pPr>
        <w:bidi w:val="0"/>
        <w:rPr>
          <w:color w:val="auto"/>
          <w:highlight w:val="none"/>
        </w:rPr>
      </w:pPr>
      <w:r>
        <w:rPr>
          <w:color w:val="auto"/>
          <w:highlight w:val="none"/>
        </w:rPr>
        <w:br w:type="page"/>
      </w:r>
      <w:bookmarkEnd w:id="176"/>
      <w:bookmarkEnd w:id="177"/>
      <w:bookmarkEnd w:id="178"/>
      <w:bookmarkEnd w:id="179"/>
      <w:bookmarkEnd w:id="180"/>
      <w:bookmarkEnd w:id="181"/>
      <w:bookmarkEnd w:id="182"/>
      <w:bookmarkEnd w:id="183"/>
      <w:bookmarkEnd w:id="184"/>
      <w:bookmarkEnd w:id="185"/>
      <w:bookmarkEnd w:id="186"/>
    </w:p>
    <w:bookmarkEnd w:id="20"/>
    <w:p>
      <w:pPr>
        <w:pStyle w:val="2"/>
        <w:spacing w:before="0" w:after="0" w:line="240" w:lineRule="auto"/>
        <w:rPr>
          <w:rFonts w:hint="eastAsia"/>
          <w:color w:val="auto"/>
          <w:sz w:val="28"/>
          <w:szCs w:val="28"/>
          <w:highlight w:val="none"/>
        </w:rPr>
      </w:pPr>
      <w:bookmarkStart w:id="189" w:name="_Toc31854"/>
      <w:bookmarkStart w:id="190" w:name="_Toc3162"/>
      <w:bookmarkStart w:id="191"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89"/>
      <w:bookmarkEnd w:id="190"/>
      <w:bookmarkEnd w:id="191"/>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2" w:name="_Toc31162"/>
      <w:r>
        <w:rPr>
          <w:rFonts w:hint="eastAsia" w:ascii="宋体" w:hAnsi="宋体"/>
          <w:color w:val="auto"/>
          <w:highlight w:val="none"/>
          <w:lang w:val="en-US" w:eastAsia="zh-CN"/>
        </w:rPr>
        <w:t>第一章 商务需求书</w:t>
      </w:r>
      <w:bookmarkEnd w:id="192"/>
    </w:p>
    <w:tbl>
      <w:tblPr>
        <w:tblStyle w:val="2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2"/>
        <w:gridCol w:w="1333"/>
        <w:gridCol w:w="65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条款名称</w:t>
            </w:r>
          </w:p>
        </w:tc>
        <w:tc>
          <w:tcPr>
            <w:tcW w:w="3846"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服务</w:t>
            </w:r>
            <w:r>
              <w:rPr>
                <w:rFonts w:hint="eastAsia" w:ascii="宋体" w:hAnsi="宋体" w:eastAsia="宋体" w:cs="Times New Roman"/>
                <w:color w:val="auto"/>
                <w:szCs w:val="21"/>
                <w:highlight w:val="none"/>
              </w:rPr>
              <w:t>期</w:t>
            </w:r>
          </w:p>
        </w:tc>
        <w:tc>
          <w:tcPr>
            <w:tcW w:w="3846" w:type="pct"/>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20" w:firstLineChars="200"/>
              <w:jc w:val="both"/>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eastAsia="zh-CN"/>
              </w:rPr>
              <w:t>自合同签订起三年。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4"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 w:val="22"/>
                <w:szCs w:val="21"/>
                <w:highlight w:val="none"/>
                <w:lang w:val="en-US" w:eastAsia="zh-CN" w:bidi="ar-SA"/>
              </w:rPr>
            </w:pPr>
            <w:r>
              <w:rPr>
                <w:rFonts w:hint="eastAsia" w:ascii="宋体" w:hAnsi="宋体" w:eastAsia="宋体" w:cs="Times New Roman"/>
                <w:color w:val="auto"/>
                <w:szCs w:val="21"/>
                <w:highlight w:val="none"/>
              </w:rPr>
              <w:t>付款方式</w:t>
            </w:r>
          </w:p>
        </w:tc>
        <w:tc>
          <w:tcPr>
            <w:tcW w:w="3846" w:type="pct"/>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40" w:firstLineChars="200"/>
              <w:jc w:val="both"/>
              <w:textAlignment w:val="auto"/>
              <w:rPr>
                <w:rFonts w:hint="eastAsia" w:ascii="宋体" w:hAnsi="宋体" w:eastAsia="宋体" w:cs="Times New Roman"/>
                <w:color w:val="auto"/>
                <w:sz w:val="22"/>
                <w:szCs w:val="21"/>
                <w:highlight w:val="none"/>
                <w:lang w:val="en-US" w:eastAsia="zh-CN" w:bidi="ar-SA"/>
              </w:rPr>
            </w:pPr>
            <w:r>
              <w:rPr>
                <w:rFonts w:hint="eastAsia" w:ascii="宋体" w:hAnsi="宋体" w:eastAsia="宋体" w:cs="Times New Roman"/>
                <w:color w:val="auto"/>
                <w:sz w:val="22"/>
                <w:szCs w:val="21"/>
                <w:highlight w:val="none"/>
                <w:lang w:val="en-US" w:eastAsia="zh-CN" w:bidi="ar-SA"/>
              </w:rPr>
              <w:t>1、按月平均支付管理费（每月服务费=中标总价÷36个月）；</w:t>
            </w:r>
          </w:p>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40" w:firstLineChars="200"/>
              <w:jc w:val="both"/>
              <w:textAlignment w:val="auto"/>
              <w:rPr>
                <w:rFonts w:ascii="宋体" w:hAnsi="宋体" w:eastAsia="宋体" w:cs="Times New Roman"/>
                <w:color w:val="auto"/>
                <w:sz w:val="22"/>
                <w:szCs w:val="21"/>
                <w:highlight w:val="none"/>
                <w:lang w:val="en-US" w:eastAsia="zh-CN" w:bidi="ar-SA"/>
              </w:rPr>
            </w:pPr>
            <w:r>
              <w:rPr>
                <w:rFonts w:hint="eastAsia" w:ascii="宋体" w:hAnsi="宋体" w:eastAsia="宋体" w:cs="Times New Roman"/>
                <w:color w:val="auto"/>
                <w:sz w:val="22"/>
                <w:szCs w:val="21"/>
                <w:highlight w:val="none"/>
                <w:lang w:val="en-US" w:eastAsia="zh-CN" w:bidi="ar-SA"/>
              </w:rPr>
              <w:t>2、合同生效且成交人进场履行管理义务后从第二个月起每月20日前，向成交人支付上月的管理费。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0"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项目地点</w:t>
            </w:r>
          </w:p>
        </w:tc>
        <w:tc>
          <w:tcPr>
            <w:tcW w:w="3846" w:type="pct"/>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20" w:firstLineChars="200"/>
              <w:jc w:val="both"/>
              <w:textAlignment w:val="auto"/>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16"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4</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报价</w:t>
            </w:r>
            <w:r>
              <w:rPr>
                <w:rFonts w:hint="eastAsia" w:ascii="宋体" w:hAnsi="宋体" w:eastAsia="宋体" w:cs="Times New Roman"/>
                <w:color w:val="auto"/>
                <w:szCs w:val="21"/>
                <w:highlight w:val="none"/>
                <w:lang w:eastAsia="zh-CN"/>
              </w:rPr>
              <w:t>说明</w:t>
            </w:r>
          </w:p>
        </w:tc>
        <w:tc>
          <w:tcPr>
            <w:tcW w:w="3846" w:type="pct"/>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20" w:firstLineChars="200"/>
              <w:jc w:val="both"/>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1、本项目</w:t>
            </w:r>
            <w:r>
              <w:rPr>
                <w:rFonts w:hint="eastAsia" w:ascii="宋体" w:hAnsi="宋体" w:eastAsia="宋体" w:cs="Times New Roman"/>
                <w:color w:val="auto"/>
                <w:szCs w:val="21"/>
                <w:highlight w:val="none"/>
              </w:rPr>
              <w:t>投标报价采取打包报价的方式，投标报价包括材料、工具、人工、管理</w:t>
            </w:r>
            <w:r>
              <w:rPr>
                <w:rFonts w:hint="eastAsia" w:ascii="宋体" w:hAnsi="宋体" w:cs="Times New Roman"/>
                <w:color w:val="auto"/>
                <w:szCs w:val="21"/>
                <w:highlight w:val="none"/>
                <w:lang w:val="en-US" w:eastAsia="zh-CN"/>
              </w:rPr>
              <w:t>及监督</w:t>
            </w:r>
            <w:r>
              <w:rPr>
                <w:rFonts w:hint="eastAsia" w:ascii="宋体" w:hAnsi="宋体" w:eastAsia="宋体" w:cs="Times New Roman"/>
                <w:color w:val="auto"/>
                <w:szCs w:val="21"/>
                <w:highlight w:val="none"/>
              </w:rPr>
              <w:t>费、利润、税金、风险、招标代理费用等一切因素所有应该和可能发生的费用因素</w:t>
            </w:r>
          </w:p>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20" w:firstLineChars="200"/>
              <w:jc w:val="both"/>
              <w:textAlignment w:val="auto"/>
              <w:rPr>
                <w:rFonts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2</w:t>
            </w:r>
            <w:r>
              <w:rPr>
                <w:rFonts w:hint="eastAsia" w:ascii="宋体" w:hAnsi="宋体" w:eastAsia="宋体" w:cs="Times New Roman"/>
                <w:color w:val="auto"/>
                <w:szCs w:val="21"/>
                <w:highlight w:val="none"/>
              </w:rPr>
              <w:t>、本项目的人工费用、材料费、水电费、维修费、税费等均由</w:t>
            </w:r>
            <w:r>
              <w:rPr>
                <w:rFonts w:hint="eastAsia" w:ascii="宋体" w:hAnsi="宋体" w:eastAsia="宋体" w:cs="Times New Roman"/>
                <w:color w:val="auto"/>
                <w:szCs w:val="21"/>
                <w:highlight w:val="none"/>
                <w:lang w:eastAsia="zh-CN"/>
              </w:rPr>
              <w:t>成交人</w:t>
            </w:r>
            <w:r>
              <w:rPr>
                <w:rFonts w:hint="eastAsia" w:ascii="宋体" w:hAnsi="宋体" w:eastAsia="宋体" w:cs="Times New Roman"/>
                <w:color w:val="auto"/>
                <w:szCs w:val="21"/>
                <w:highlight w:val="none"/>
              </w:rPr>
              <w:t>自行负责。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5"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 w:val="22"/>
                <w:szCs w:val="21"/>
                <w:highlight w:val="none"/>
                <w:lang w:val="en-US" w:eastAsia="zh-CN" w:bidi="ar-SA"/>
              </w:rPr>
            </w:pPr>
            <w:r>
              <w:rPr>
                <w:rFonts w:ascii="宋体" w:hAnsi="宋体" w:eastAsia="宋体" w:cs="Times New Roman"/>
                <w:color w:val="auto"/>
                <w:szCs w:val="21"/>
                <w:highlight w:val="none"/>
              </w:rPr>
              <w:t>合同条款</w:t>
            </w:r>
          </w:p>
        </w:tc>
        <w:tc>
          <w:tcPr>
            <w:tcW w:w="3846" w:type="pct"/>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20" w:firstLineChars="200"/>
              <w:jc w:val="both"/>
              <w:textAlignment w:val="auto"/>
              <w:rPr>
                <w:rFonts w:ascii="宋体" w:hAnsi="宋体" w:eastAsia="宋体" w:cs="Times New Roman"/>
                <w:color w:val="auto"/>
                <w:sz w:val="22"/>
                <w:szCs w:val="21"/>
                <w:highlight w:val="none"/>
                <w:lang w:val="en-US" w:eastAsia="zh-CN" w:bidi="ar-SA"/>
              </w:rPr>
            </w:pPr>
            <w:r>
              <w:rPr>
                <w:rFonts w:hint="eastAsia" w:ascii="宋体" w:hAnsi="宋体" w:eastAsia="宋体" w:cs="Times New Roman"/>
                <w:color w:val="auto"/>
                <w:szCs w:val="21"/>
                <w:highlight w:val="none"/>
              </w:rPr>
              <w:t>供应商</w:t>
            </w:r>
            <w:r>
              <w:rPr>
                <w:rFonts w:ascii="宋体" w:hAnsi="宋体" w:eastAsia="宋体" w:cs="Times New Roman"/>
                <w:color w:val="auto"/>
                <w:szCs w:val="21"/>
                <w:highlight w:val="none"/>
              </w:rPr>
              <w:t>实质响应合同各条款。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4" w:hRule="atLeast"/>
          <w:jc w:val="center"/>
        </w:trPr>
        <w:tc>
          <w:tcPr>
            <w:tcW w:w="371"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宋体" w:hAnsi="宋体" w:eastAsia="宋体" w:cs="Times New Roman"/>
                <w:color w:val="auto"/>
                <w:szCs w:val="21"/>
                <w:highlight w:val="none"/>
              </w:rPr>
            </w:pPr>
            <w:r>
              <w:rPr>
                <w:rFonts w:ascii="宋体" w:hAnsi="宋体" w:eastAsia="宋体" w:cs="Times New Roman"/>
                <w:color w:val="auto"/>
                <w:szCs w:val="21"/>
                <w:highlight w:val="none"/>
              </w:rPr>
              <w:t>其它要求</w:t>
            </w:r>
          </w:p>
        </w:tc>
        <w:tc>
          <w:tcPr>
            <w:tcW w:w="3846" w:type="pct"/>
            <w:vAlign w:val="center"/>
          </w:tcPr>
          <w:p>
            <w:pPr>
              <w:keepNext w:val="0"/>
              <w:keepLines w:val="0"/>
              <w:pageBreakBefore w:val="0"/>
              <w:widowControl/>
              <w:kinsoku/>
              <w:wordWrap/>
              <w:overflowPunct/>
              <w:topLinePunct w:val="0"/>
              <w:autoSpaceDE/>
              <w:autoSpaceDN/>
              <w:bidi w:val="0"/>
              <w:adjustRightInd/>
              <w:snapToGrid/>
              <w:spacing w:before="63" w:beforeLines="20" w:after="63" w:afterLines="20" w:line="240" w:lineRule="auto"/>
              <w:ind w:firstLine="420" w:firstLineChars="200"/>
              <w:jc w:val="both"/>
              <w:textAlignment w:val="auto"/>
              <w:rPr>
                <w:rFonts w:ascii="宋体" w:hAnsi="宋体" w:eastAsia="宋体" w:cs="Times New Roman"/>
                <w:b/>
                <w:color w:val="auto"/>
                <w:szCs w:val="21"/>
                <w:highlight w:val="none"/>
              </w:rPr>
            </w:pPr>
            <w:r>
              <w:rPr>
                <w:rFonts w:hint="eastAsia" w:ascii="宋体" w:hAnsi="宋体" w:eastAsia="宋体" w:cs="Times New Roman"/>
                <w:color w:val="auto"/>
                <w:szCs w:val="21"/>
                <w:highlight w:val="none"/>
              </w:rPr>
              <w:t>投标人应充分结合本招标文件上下文了解项目招标需求、采购文件未尽事宜，将在合同签订或项目执行过程中双方协商确定，供应商须无条件满足采购单位的合理要求。</w:t>
            </w:r>
          </w:p>
        </w:tc>
      </w:tr>
    </w:tbl>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bookmarkStart w:id="193" w:name="_Toc19981"/>
      <w:r>
        <w:rPr>
          <w:rFonts w:hint="eastAsia" w:ascii="宋体" w:hAnsi="宋体"/>
          <w:color w:val="auto"/>
          <w:highlight w:val="none"/>
          <w:lang w:val="en-US" w:eastAsia="zh-CN"/>
        </w:rPr>
        <w:t>第二章 技术需求书</w:t>
      </w:r>
      <w:bookmarkEnd w:id="193"/>
    </w:p>
    <w:p>
      <w:pPr>
        <w:pStyle w:val="5"/>
        <w:bidi w:val="0"/>
        <w:rPr>
          <w:rFonts w:hint="eastAsia"/>
          <w:color w:val="auto"/>
          <w:highlight w:val="none"/>
        </w:rPr>
      </w:pPr>
      <w:bookmarkStart w:id="194" w:name="_Toc13112"/>
      <w:bookmarkStart w:id="195" w:name="_Toc24679"/>
      <w:bookmarkStart w:id="196" w:name="_Toc14462"/>
      <w:bookmarkStart w:id="197" w:name="_Toc31278"/>
      <w:r>
        <w:rPr>
          <w:rFonts w:hint="eastAsia"/>
          <w:color w:val="auto"/>
          <w:highlight w:val="none"/>
        </w:rPr>
        <w:t>一、服务内容</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根据采购人需求提供停车场管理服务按照</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 xml:space="preserve">规章制度和履行相关岗位职责。 </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所有车场管理服务人员的人事、劳资、社会保险、基础培训等人事劳资管理工作，并为其提供办理劳动用工手续（签订劳动合同等）、结算发放工资、发放经济补偿金、缴纳社会保险、处理保险理赔、管理人事档案、进行员工培训、劳动防护等方面的管理服务，费用包含在</w:t>
      </w:r>
      <w:r>
        <w:rPr>
          <w:rFonts w:hint="eastAsia" w:ascii="宋体" w:hAnsi="宋体" w:eastAsia="宋体" w:cs="宋体"/>
          <w:color w:val="auto"/>
          <w:sz w:val="21"/>
          <w:szCs w:val="21"/>
          <w:highlight w:val="none"/>
          <w:lang w:eastAsia="zh-CN"/>
        </w:rPr>
        <w:t>服务费内</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负责车场管理人员的工作及生活中的食宿等日常安排，费用包含在</w:t>
      </w:r>
      <w:r>
        <w:rPr>
          <w:rFonts w:hint="eastAsia" w:ascii="宋体" w:hAnsi="宋体" w:eastAsia="宋体" w:cs="宋体"/>
          <w:color w:val="auto"/>
          <w:sz w:val="21"/>
          <w:szCs w:val="21"/>
          <w:highlight w:val="none"/>
          <w:lang w:eastAsia="zh-CN"/>
        </w:rPr>
        <w:t>服务费</w:t>
      </w:r>
      <w:r>
        <w:rPr>
          <w:rFonts w:hint="eastAsia" w:ascii="宋体" w:hAnsi="宋体" w:eastAsia="宋体" w:cs="宋体"/>
          <w:color w:val="auto"/>
          <w:sz w:val="21"/>
          <w:szCs w:val="21"/>
          <w:highlight w:val="none"/>
        </w:rPr>
        <w:t>内。</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4、车场管理服务人员与</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存在劳动法律关系（包括劳动合同关系、工资保险关系和劳动用工手续等），</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为用人单位，车场管理人员与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 xml:space="preserve">只存在工作管理关系，不存在劳动法律关系。 </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5、车场管理服务人员入职后，如</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及时向</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提供员工的有关资料，包括个人信息、健康证、劳动合同、社会保险证明、学历证明、培训证明等个人资料，</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 xml:space="preserve">承诺不随意对外泄露。 </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管理人员应每周列席</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周会、每月不少于1次与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就停车场管理服务人员的品德、技能、考勤、业绩等方面的相关信息进行沟通交流并交换意见。及时调查掌握员工的异常表现，对有特殊困难的员工给予必要的关怀，及时处理</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与车场管理人员之间的管理矛盾。</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7.每月不少于1次员工职业技能培训，内容包括但不限于制度、职责、工作流程、应急预案、职业礼仪和考核标准，每年不少于2次的员工职业知识和技能考核。</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应经常性地对车场管理服务人员进行职业道德教育，监督检查安全保卫人员落实遵守执行</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规章制度的情况，协助</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对违法违规员工进行处理，维护</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 xml:space="preserve">正常的经营秩序。 </w:t>
      </w:r>
    </w:p>
    <w:p>
      <w:pPr>
        <w:pStyle w:val="5"/>
        <w:bidi w:val="0"/>
        <w:rPr>
          <w:rFonts w:hint="eastAsia"/>
          <w:color w:val="auto"/>
          <w:highlight w:val="none"/>
        </w:rPr>
      </w:pPr>
      <w:r>
        <w:rPr>
          <w:rFonts w:hint="eastAsia"/>
          <w:color w:val="auto"/>
          <w:highlight w:val="none"/>
        </w:rPr>
        <w:t>二、服务要求</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项目经理应具有丰富的车场服务管理经验。其中：具有停车收费管理服务经验</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人。</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1.停车场的日常管理：</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（1）停车场控制室人员实行24小时值班，分三班（0时-8时、8时-16时、16时-0时）轮班制，并制定轮值排班表。主要负责</w:t>
      </w:r>
      <w:r>
        <w:rPr>
          <w:rFonts w:hint="eastAsia" w:ascii="宋体" w:hAnsi="宋体" w:eastAsia="宋体" w:cs="宋体"/>
          <w:color w:val="auto"/>
          <w:sz w:val="21"/>
          <w:szCs w:val="21"/>
          <w:highlight w:val="none"/>
          <w:lang w:eastAsia="zh-CN"/>
        </w:rPr>
        <w:t>车场</w:t>
      </w:r>
      <w:r>
        <w:rPr>
          <w:rFonts w:hint="eastAsia" w:ascii="宋体" w:hAnsi="宋体" w:eastAsia="宋体" w:cs="宋体"/>
          <w:color w:val="auto"/>
          <w:sz w:val="21"/>
          <w:szCs w:val="21"/>
          <w:highlight w:val="none"/>
        </w:rPr>
        <w:t>的安全运行情况，并做好日常车</w:t>
      </w:r>
      <w:r>
        <w:rPr>
          <w:rFonts w:hint="eastAsia" w:ascii="宋体" w:hAnsi="宋体" w:eastAsia="宋体" w:cs="宋体"/>
          <w:color w:val="auto"/>
          <w:sz w:val="21"/>
          <w:szCs w:val="21"/>
          <w:highlight w:val="none"/>
          <w:lang w:eastAsia="zh-CN"/>
        </w:rPr>
        <w:t>专场</w:t>
      </w:r>
      <w:r>
        <w:rPr>
          <w:rFonts w:hint="eastAsia" w:ascii="宋体" w:hAnsi="宋体" w:eastAsia="宋体" w:cs="宋体"/>
          <w:color w:val="auto"/>
          <w:sz w:val="21"/>
          <w:szCs w:val="21"/>
          <w:highlight w:val="none"/>
        </w:rPr>
        <w:t>的运行及维保记录。在岗时期间如果发生私自离岗或串岗的现象，按《停车场服务质控标准考核》每次扣一分，扣违约款300元，连续出现类此情况的，除扣除服务费外有权要求</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辞退该员工处理。</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（2）停车场在岗人员必须准时上班，路面各岗位务必要做好交通疏导，确保院内道路交通安全。同时做好每日预留预约车位及接待车位的分配管理工作。</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（3）遇突发事件，按应急预案作果断处理措施，制止事态进一步恶化，在无法控制的情况下，立即报警处理，并保护好现场，同时做好事件过程记录，确保院内安全，并及时向</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反馈情况。</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（4）每天对停车场设备、设施的安全检查，杜绝安全隐患，对设备设施、故障等特殊情况，一时难以解决时应作好标识围蔽，提醒告知，并及时与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通报情况。</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（5）加强停车场的安全巡查，杜绝车辆阻塞主通道或乱停乱放现象。</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车场</w:t>
      </w:r>
      <w:r>
        <w:rPr>
          <w:rFonts w:hint="eastAsia" w:ascii="宋体" w:hAnsi="宋体" w:eastAsia="宋体" w:cs="宋体"/>
          <w:color w:val="auto"/>
          <w:sz w:val="21"/>
          <w:szCs w:val="21"/>
          <w:highlight w:val="none"/>
        </w:rPr>
        <w:t>人员负责指引车辆按安全性能的要求有序停放，规范停车流程。</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（7）停车场收费员主要职责是做好停车收、缴费工作。业务上归属</w:t>
      </w:r>
      <w:r>
        <w:rPr>
          <w:rFonts w:hint="eastAsia" w:ascii="宋体" w:hAnsi="宋体" w:eastAsia="宋体" w:cs="宋体"/>
          <w:color w:val="auto"/>
          <w:sz w:val="21"/>
          <w:szCs w:val="21"/>
          <w:highlight w:val="none"/>
          <w:lang w:eastAsia="zh-CN"/>
        </w:rPr>
        <w:t>成交人负责</w:t>
      </w:r>
      <w:r>
        <w:rPr>
          <w:rFonts w:hint="eastAsia" w:ascii="宋体" w:hAnsi="宋体" w:eastAsia="宋体" w:cs="宋体"/>
          <w:color w:val="auto"/>
          <w:sz w:val="21"/>
          <w:szCs w:val="21"/>
          <w:highlight w:val="none"/>
        </w:rPr>
        <w:t>管理</w:t>
      </w:r>
      <w:r>
        <w:rPr>
          <w:rFonts w:hint="eastAsia" w:ascii="宋体" w:hAnsi="宋体" w:eastAsia="宋体" w:cs="宋体"/>
          <w:color w:val="auto"/>
          <w:sz w:val="21"/>
          <w:szCs w:val="21"/>
          <w:highlight w:val="none"/>
          <w:lang w:eastAsia="zh-CN"/>
        </w:rPr>
        <w:t>，采购人监督及结算</w:t>
      </w:r>
      <w:r>
        <w:rPr>
          <w:rFonts w:hint="eastAsia" w:ascii="宋体" w:hAnsi="宋体" w:eastAsia="宋体" w:cs="宋体"/>
          <w:color w:val="auto"/>
          <w:sz w:val="21"/>
          <w:szCs w:val="21"/>
          <w:highlight w:val="none"/>
        </w:rPr>
        <w:t>。严格执行</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的财务制度，做到日清月结，收、缴帐目相符。每发生收费员违规收费一例，按《停车场服务质控标准考核表》考核，每1例扣10分（合计扣款</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000元）。</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（8）停车场人员每月必须保证在岗人数，严格遵照停车场服务质控标准考核，每缺岗1人扣当月岗位服务费</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500元/人。</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（9）每日加强对路面自行车、电动车、摩托车、三轮车等车辆的管控，做好车辆指引到规定地点停放。如发现此类车辆占用汽车车位或严重阻塞院内交通的现象每次扣1分。</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（10）对不称职的人员，</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通过考评有权建议作出辞退或调离岗位，对严重失职的岗位人员将追究服务方管理责任，除了扣违约金为当月服务费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000元外，对情节严重的将追究法律责任。</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2.消防安全管理：</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（1）每日岗前组织防火检查，消除火灾隐患，及时处置影响消防安全的不良因素；对不符合安全要求的车辆禁止进入车库停放；</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（2）保持公共通道、安全出口、消防车通道畅通；对妨碍公共疏散通道、安全出口、消防车通道畅通以及破坏公共消防设施、器材的行为，及时制止；经劝告无效的立即报告</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（3）负责检查、维护、保养消防设施和器材，确保公共消防设施和器材完好、有效；</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（4）每季度至少组织1次消防安全培训，每年不少于</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次火灾演练。</w:t>
      </w:r>
    </w:p>
    <w:p>
      <w:pPr>
        <w:pStyle w:val="5"/>
        <w:bidi w:val="0"/>
        <w:rPr>
          <w:rFonts w:hint="eastAsia"/>
          <w:color w:val="auto"/>
          <w:highlight w:val="none"/>
        </w:rPr>
      </w:pPr>
      <w:r>
        <w:rPr>
          <w:rFonts w:hint="eastAsia"/>
          <w:color w:val="auto"/>
          <w:highlight w:val="none"/>
        </w:rPr>
        <w:t>三、配置人员的管理要求</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1.应符合</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的政审要求，所有上岗人员无违法犯罪记录，并具有相应岗位所要求的工作能力和素质要求。</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2.按编制人员如数配备，要求年龄18-50岁人员不少于60%，50-60岁占40%以内；男性比例不少于80％，女性比例不多于20％。</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3.停车场管理服务人员基本要求：</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（1）身体条件：男性身高原则在168cm以上，双眼视力1.0以上，身体健康，相貌端正，仪表大方，无传染性疾病；女性身高1.55米以上，双眼视力1.0以上，年龄50岁以内；</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（2）作风要求：遵纪守法，文明执勤，礼貌待人，敢于同违法犯罪现象作斗争。</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（3）业务技能要求：具备相关法律法规知识及安保知识和消防知识，需具备良好的语言和文字表达能力。</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（4）文化条件：具备初中以上文化，具备良好的语言表达及沟通协调能力。</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2.车场人员的管理要求</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（1）车场人员应服从</w:t>
      </w:r>
      <w:r>
        <w:rPr>
          <w:rFonts w:hint="eastAsia" w:ascii="宋体" w:hAnsi="宋体" w:eastAsia="宋体" w:cs="宋体"/>
          <w:color w:val="auto"/>
          <w:sz w:val="21"/>
          <w:szCs w:val="21"/>
          <w:highlight w:val="none"/>
          <w:lang w:eastAsia="zh-CN"/>
        </w:rPr>
        <w:t>甲</w:t>
      </w:r>
      <w:r>
        <w:rPr>
          <w:rFonts w:hint="eastAsia" w:ascii="宋体" w:hAnsi="宋体" w:eastAsia="宋体" w:cs="宋体"/>
          <w:color w:val="auto"/>
          <w:sz w:val="21"/>
          <w:szCs w:val="21"/>
          <w:highlight w:val="none"/>
        </w:rPr>
        <w:t>院及</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的双重管理。车场管理服务人员应认真履行岗位职责，遵守</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的规章制度，服从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根据工作需要做出的统一安排调配，遇紧急突发事件发生，必须积极作为。无条件服从指挥。</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（2）每月对人员的工作进行检查、督促、考核，对不称职的员工提出批评、教育及经济处罚，屡教不改者，</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有权提出更换车场管理服务人员，对公司履约情况进行监督考核，</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rPr>
        <w:t>适当处罚。</w:t>
      </w:r>
    </w:p>
    <w:p>
      <w:pPr>
        <w:keepNext w:val="0"/>
        <w:keepLines w:val="0"/>
        <w:pageBreakBefore w:val="0"/>
        <w:widowControl/>
        <w:kinsoku/>
        <w:wordWrap/>
        <w:overflowPunct/>
        <w:topLinePunct w:val="0"/>
        <w:bidi w:val="0"/>
        <w:spacing w:line="36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（3）公司要制订工作实施方案、经</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确认后按工作方案实施日常服务工作。</w:t>
      </w:r>
    </w:p>
    <w:p>
      <w:pPr>
        <w:pStyle w:val="5"/>
        <w:bidi w:val="0"/>
        <w:rPr>
          <w:rFonts w:hint="eastAsia"/>
          <w:color w:val="auto"/>
          <w:highlight w:val="none"/>
        </w:rPr>
      </w:pPr>
      <w:r>
        <w:rPr>
          <w:rFonts w:hint="eastAsia"/>
          <w:color w:val="auto"/>
          <w:highlight w:val="none"/>
          <w:lang w:eastAsia="zh-CN"/>
        </w:rPr>
        <w:t>四</w:t>
      </w:r>
      <w:r>
        <w:rPr>
          <w:rFonts w:hint="eastAsia"/>
          <w:color w:val="auto"/>
          <w:highlight w:val="none"/>
        </w:rPr>
        <w:t>、岗位配置计划表</w:t>
      </w:r>
    </w:p>
    <w:tbl>
      <w:tblPr>
        <w:tblStyle w:val="23"/>
        <w:tblW w:w="5000" w:type="pct"/>
        <w:jc w:val="center"/>
        <w:tblLayout w:type="autofit"/>
        <w:tblCellMar>
          <w:top w:w="0" w:type="dxa"/>
          <w:left w:w="30" w:type="dxa"/>
          <w:bottom w:w="0" w:type="dxa"/>
          <w:right w:w="30" w:type="dxa"/>
        </w:tblCellMar>
      </w:tblPr>
      <w:tblGrid>
        <w:gridCol w:w="581"/>
        <w:gridCol w:w="1710"/>
        <w:gridCol w:w="658"/>
        <w:gridCol w:w="1710"/>
        <w:gridCol w:w="589"/>
        <w:gridCol w:w="1579"/>
        <w:gridCol w:w="596"/>
        <w:gridCol w:w="943"/>
      </w:tblGrid>
      <w:tr>
        <w:tblPrEx>
          <w:tblCellMar>
            <w:top w:w="0" w:type="dxa"/>
            <w:left w:w="30" w:type="dxa"/>
            <w:bottom w:w="0" w:type="dxa"/>
            <w:right w:w="30" w:type="dxa"/>
          </w:tblCellMar>
        </w:tblPrEx>
        <w:trPr>
          <w:trHeight w:val="556" w:hRule="atLeast"/>
          <w:jc w:val="center"/>
        </w:trPr>
        <w:tc>
          <w:tcPr>
            <w:tcW w:w="347"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序号</w:t>
            </w:r>
          </w:p>
        </w:tc>
        <w:tc>
          <w:tcPr>
            <w:tcW w:w="1021"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早班岗位</w:t>
            </w:r>
          </w:p>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07:30-15:30</w:t>
            </w:r>
          </w:p>
        </w:tc>
        <w:tc>
          <w:tcPr>
            <w:tcW w:w="393"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人数</w:t>
            </w:r>
          </w:p>
        </w:tc>
        <w:tc>
          <w:tcPr>
            <w:tcW w:w="1021"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中班岗位</w:t>
            </w:r>
          </w:p>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15:30-23:30</w:t>
            </w:r>
          </w:p>
        </w:tc>
        <w:tc>
          <w:tcPr>
            <w:tcW w:w="352"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人数</w:t>
            </w:r>
          </w:p>
        </w:tc>
        <w:tc>
          <w:tcPr>
            <w:tcW w:w="943"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夜班岗位</w:t>
            </w:r>
          </w:p>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23:30-07:30</w:t>
            </w:r>
          </w:p>
        </w:tc>
        <w:tc>
          <w:tcPr>
            <w:tcW w:w="356" w:type="pct"/>
            <w:tcBorders>
              <w:top w:val="single" w:color="auto" w:sz="6" w:space="0"/>
              <w:left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人数</w:t>
            </w:r>
          </w:p>
        </w:tc>
        <w:tc>
          <w:tcPr>
            <w:tcW w:w="56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rPr>
              <w:t>合计</w:t>
            </w:r>
            <w:r>
              <w:rPr>
                <w:rFonts w:hint="eastAsia" w:ascii="宋体" w:hAnsi="宋体" w:eastAsia="宋体" w:cs="宋体"/>
                <w:b/>
                <w:color w:val="auto"/>
                <w:kern w:val="0"/>
                <w:sz w:val="21"/>
                <w:szCs w:val="21"/>
                <w:highlight w:val="none"/>
                <w:lang w:val="en-US" w:eastAsia="zh-CN"/>
              </w:rPr>
              <w:t>人数</w:t>
            </w:r>
          </w:p>
        </w:tc>
      </w:tr>
      <w:tr>
        <w:tblPrEx>
          <w:tblCellMar>
            <w:top w:w="0" w:type="dxa"/>
            <w:left w:w="30" w:type="dxa"/>
            <w:bottom w:w="0" w:type="dxa"/>
            <w:right w:w="30" w:type="dxa"/>
          </w:tblCellMar>
        </w:tblPrEx>
        <w:trPr>
          <w:trHeight w:val="554" w:hRule="atLeast"/>
          <w:jc w:val="center"/>
        </w:trPr>
        <w:tc>
          <w:tcPr>
            <w:tcW w:w="347"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1</w:t>
            </w:r>
          </w:p>
        </w:tc>
        <w:tc>
          <w:tcPr>
            <w:tcW w:w="10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路面收费监控交通岗</w:t>
            </w:r>
          </w:p>
        </w:tc>
        <w:tc>
          <w:tcPr>
            <w:tcW w:w="39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2</w:t>
            </w:r>
          </w:p>
        </w:tc>
        <w:tc>
          <w:tcPr>
            <w:tcW w:w="102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路面收费监控交通岗</w:t>
            </w:r>
          </w:p>
        </w:tc>
        <w:tc>
          <w:tcPr>
            <w:tcW w:w="35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2</w:t>
            </w:r>
          </w:p>
        </w:tc>
        <w:tc>
          <w:tcPr>
            <w:tcW w:w="94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路面收费监控交通岗</w:t>
            </w:r>
          </w:p>
        </w:tc>
        <w:tc>
          <w:tcPr>
            <w:tcW w:w="356"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kern w:val="0"/>
                <w:sz w:val="21"/>
                <w:szCs w:val="21"/>
                <w:highlight w:val="none"/>
                <w:lang w:val="en-US" w:eastAsia="zh-CN"/>
              </w:rPr>
            </w:pPr>
            <w:r>
              <w:rPr>
                <w:rFonts w:hint="eastAsia" w:ascii="宋体" w:hAnsi="宋体" w:eastAsia="宋体" w:cs="宋体"/>
                <w:b/>
                <w:color w:val="auto"/>
                <w:kern w:val="0"/>
                <w:sz w:val="21"/>
                <w:szCs w:val="21"/>
                <w:highlight w:val="none"/>
                <w:lang w:val="en-US" w:eastAsia="zh-CN"/>
              </w:rPr>
              <w:t>1</w:t>
            </w:r>
          </w:p>
        </w:tc>
        <w:tc>
          <w:tcPr>
            <w:tcW w:w="56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5</w:t>
            </w:r>
          </w:p>
        </w:tc>
      </w:tr>
    </w:tbl>
    <w:p>
      <w:pPr>
        <w:keepNext w:val="0"/>
        <w:keepLines w:val="0"/>
        <w:pageBreakBefore w:val="0"/>
        <w:kinsoku/>
        <w:wordWrap/>
        <w:overflowPunct/>
        <w:topLinePunct w:val="0"/>
        <w:bidi w:val="0"/>
        <w:spacing w:line="360" w:lineRule="auto"/>
        <w:ind w:left="0" w:leftChars="0"/>
        <w:textAlignment w:val="auto"/>
        <w:rPr>
          <w:rFonts w:hint="default" w:ascii="宋体" w:hAnsi="宋体" w:eastAsia="宋体" w:cs="宋体"/>
          <w:b/>
          <w:color w:val="auto"/>
          <w:sz w:val="21"/>
          <w:szCs w:val="21"/>
          <w:highlight w:val="none"/>
          <w:lang w:val="en-US" w:eastAsia="zh-CN"/>
        </w:rPr>
      </w:pPr>
    </w:p>
    <w:p>
      <w:pPr>
        <w:pStyle w:val="5"/>
        <w:bidi w:val="0"/>
        <w:rPr>
          <w:rFonts w:hint="eastAsia"/>
          <w:color w:val="auto"/>
          <w:highlight w:val="none"/>
        </w:rPr>
      </w:pPr>
      <w:r>
        <w:rPr>
          <w:rFonts w:hint="eastAsia"/>
          <w:color w:val="auto"/>
          <w:highlight w:val="none"/>
          <w:lang w:val="en-US" w:eastAsia="zh-CN"/>
        </w:rPr>
        <w:t>五、停车场管理工作质控标准考核表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595"/>
        <w:gridCol w:w="3262"/>
        <w:gridCol w:w="3321"/>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433" w:type="pc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类别</w:t>
            </w:r>
          </w:p>
        </w:tc>
        <w:tc>
          <w:tcPr>
            <w:tcW w:w="349" w:type="pct"/>
            <w:noWrap w:val="0"/>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1913" w:type="pct"/>
            <w:noWrap w:val="0"/>
            <w:vAlign w:val="center"/>
          </w:tcPr>
          <w:p>
            <w:pPr>
              <w:ind w:firstLine="413" w:firstLineChars="19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质控标准 (分值)</w:t>
            </w:r>
          </w:p>
        </w:tc>
        <w:tc>
          <w:tcPr>
            <w:tcW w:w="1949" w:type="pct"/>
            <w:noWrap w:val="0"/>
            <w:vAlign w:val="center"/>
          </w:tcPr>
          <w:p>
            <w:pPr>
              <w:ind w:left="363"/>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违规扣分标准 (分值)</w:t>
            </w:r>
          </w:p>
        </w:tc>
        <w:tc>
          <w:tcPr>
            <w:tcW w:w="353" w:type="pct"/>
            <w:noWrap w:val="0"/>
            <w:vAlign w:val="top"/>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实际</w:t>
            </w:r>
          </w:p>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433" w:type="pct"/>
            <w:noWrap w:val="0"/>
            <w:vAlign w:val="center"/>
          </w:tcPr>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仪容</w:t>
            </w: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仪表</w:t>
            </w:r>
          </w:p>
        </w:tc>
        <w:tc>
          <w:tcPr>
            <w:tcW w:w="3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1913"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1.按规定着装,上岗时佩带工作证, 必要时穿着交通服(4分)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2．姿态良好,举止文明(4分)</w:t>
            </w:r>
          </w:p>
        </w:tc>
        <w:tc>
          <w:tcPr>
            <w:tcW w:w="1949" w:type="pct"/>
            <w:noWrap w:val="0"/>
            <w:vAlign w:val="center"/>
          </w:tcPr>
          <w:p>
            <w:pPr>
              <w:ind w:left="48" w:leftChars="2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1.不按规定着装或混穿衣服,有损形象(一次扣1分)</w:t>
            </w:r>
          </w:p>
          <w:p>
            <w:pPr>
              <w:ind w:left="48" w:leftChars="23"/>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2.发现不文明行为(一次扣1分)</w:t>
            </w:r>
          </w:p>
        </w:tc>
        <w:tc>
          <w:tcPr>
            <w:tcW w:w="353" w:type="pct"/>
            <w:noWrap w:val="0"/>
            <w:vAlign w:val="top"/>
          </w:tcPr>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433" w:type="pct"/>
            <w:noWrap w:val="0"/>
            <w:vAlign w:val="center"/>
          </w:tcPr>
          <w:p>
            <w:pPr>
              <w:jc w:val="left"/>
              <w:rPr>
                <w:rFonts w:hint="eastAsia" w:ascii="宋体" w:hAnsi="宋体" w:eastAsia="宋体" w:cs="宋体"/>
                <w:b/>
                <w:color w:val="auto"/>
                <w:sz w:val="21"/>
                <w:szCs w:val="21"/>
                <w:highlight w:val="none"/>
              </w:rPr>
            </w:pPr>
          </w:p>
          <w:p>
            <w:pPr>
              <w:ind w:left="207" w:hanging="207" w:hangingChars="98"/>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工作</w:t>
            </w:r>
          </w:p>
          <w:p>
            <w:pPr>
              <w:ind w:left="207" w:hanging="207" w:hangingChars="98"/>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纪律</w:t>
            </w:r>
          </w:p>
          <w:p>
            <w:pPr>
              <w:jc w:val="left"/>
              <w:rPr>
                <w:rFonts w:hint="eastAsia" w:ascii="宋体" w:hAnsi="宋体" w:eastAsia="宋体" w:cs="宋体"/>
                <w:b/>
                <w:color w:val="auto"/>
                <w:sz w:val="21"/>
                <w:szCs w:val="21"/>
                <w:highlight w:val="none"/>
              </w:rPr>
            </w:pPr>
          </w:p>
        </w:tc>
        <w:tc>
          <w:tcPr>
            <w:tcW w:w="3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18分</w:t>
            </w:r>
          </w:p>
        </w:tc>
        <w:tc>
          <w:tcPr>
            <w:tcW w:w="1913"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1.上班时不迟到、早退(4分)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2.岗位上禁止吸烟、吃零食打闹嘻戏玩游戏等不良行为(4分)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3.严禁在岗位上睡觉(4分)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4.岗位上发生突发性事件要及时报告并处置(6分)</w:t>
            </w:r>
          </w:p>
        </w:tc>
        <w:tc>
          <w:tcPr>
            <w:tcW w:w="19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1.发现迟到或早退的(一次扣1分)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2.岗位上发现存在不良行为的(一次扣1分)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3.发现在岗位上睡觉的(一次扣1分)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4.岗位上发生突发性或存在安全隐患事件隐瞒不及时报告（一次扣3分）</w:t>
            </w:r>
          </w:p>
        </w:tc>
        <w:tc>
          <w:tcPr>
            <w:tcW w:w="353" w:type="pct"/>
            <w:noWrap w:val="0"/>
            <w:vAlign w:val="top"/>
          </w:tcPr>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trPr>
        <w:tc>
          <w:tcPr>
            <w:tcW w:w="433" w:type="pct"/>
            <w:noWrap w:val="0"/>
            <w:vAlign w:val="center"/>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岗位</w:t>
            </w: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职责</w:t>
            </w:r>
          </w:p>
        </w:tc>
        <w:tc>
          <w:tcPr>
            <w:tcW w:w="3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40分</w:t>
            </w:r>
          </w:p>
        </w:tc>
        <w:tc>
          <w:tcPr>
            <w:tcW w:w="1913"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1.保障固定岗位,发挥岗位职能(5分)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2.禁止在岗位上擅自脱离岗位(5分)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3.避免与车主产生矛盾纠纷(5分)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4.热情服务,履行岗位职能(5分)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5.车辆指挥业务水平熟悉(5分)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6禁止非机动车辆占用主通道(5分)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7.收费员履行财务制度情况（10分）</w:t>
            </w:r>
          </w:p>
        </w:tc>
        <w:tc>
          <w:tcPr>
            <w:tcW w:w="19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1.清查发现岗位上,缺岗1人( 一次扣4分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2.发现撤离岗位或串岗 (一次扣2.5分)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3.激发矛盾产生投诉的 (一次扣4分)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4.服务态度差,不认真履行岗位职责(一次扣4分)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5.本职业务不熟悉(一次扣2.5分)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6.非机动车占道停放（毎发现一台扣0.5分）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7.违规收缴停车费（一次扣10分）</w:t>
            </w:r>
          </w:p>
        </w:tc>
        <w:tc>
          <w:tcPr>
            <w:tcW w:w="353" w:type="pct"/>
            <w:noWrap w:val="0"/>
            <w:vAlign w:val="top"/>
          </w:tcPr>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433" w:type="pct"/>
            <w:noWrap w:val="0"/>
            <w:vAlign w:val="center"/>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安全</w:t>
            </w: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管理</w:t>
            </w:r>
          </w:p>
          <w:p>
            <w:pPr>
              <w:jc w:val="left"/>
              <w:rPr>
                <w:rFonts w:hint="eastAsia" w:ascii="宋体" w:hAnsi="宋体" w:eastAsia="宋体" w:cs="宋体"/>
                <w:b/>
                <w:color w:val="auto"/>
                <w:sz w:val="21"/>
                <w:szCs w:val="21"/>
                <w:highlight w:val="none"/>
              </w:rPr>
            </w:pPr>
          </w:p>
        </w:tc>
        <w:tc>
          <w:tcPr>
            <w:tcW w:w="3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14分</w:t>
            </w:r>
          </w:p>
        </w:tc>
        <w:tc>
          <w:tcPr>
            <w:tcW w:w="1913"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1.保障路面道路交通通畅 (4分)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2.智能停车库车辆指挥停放规范有序(3分)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3.停车场的消防安全管理,禁止存在安全隐患车辆进入停车库停放 (4分)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4.每季度至少组织一次消防培训，每半年组织一次火灾演练（3分）</w:t>
            </w:r>
          </w:p>
        </w:tc>
        <w:tc>
          <w:tcPr>
            <w:tcW w:w="19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1.疏导路面车辆不及时,影响院内车辆主道路通行(一次扣2分)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2.岗位指挥车辆停放违规操作停放(一次扣2分)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3.发现存在安全隐患车辆停放智能车库每台次(一次扣1分)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4.无消防培训演练记录（扣3分）</w:t>
            </w:r>
          </w:p>
        </w:tc>
        <w:tc>
          <w:tcPr>
            <w:tcW w:w="353" w:type="pct"/>
            <w:noWrap w:val="0"/>
            <w:vAlign w:val="top"/>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trPr>
        <w:tc>
          <w:tcPr>
            <w:tcW w:w="433" w:type="pct"/>
            <w:noWrap w:val="0"/>
            <w:vAlign w:val="center"/>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突发事件处置</w:t>
            </w:r>
          </w:p>
          <w:p>
            <w:pPr>
              <w:jc w:val="left"/>
              <w:rPr>
                <w:rFonts w:hint="eastAsia" w:ascii="宋体" w:hAnsi="宋体" w:eastAsia="宋体" w:cs="宋体"/>
                <w:b/>
                <w:color w:val="auto"/>
                <w:sz w:val="21"/>
                <w:szCs w:val="21"/>
                <w:highlight w:val="none"/>
              </w:rPr>
            </w:pPr>
          </w:p>
        </w:tc>
        <w:tc>
          <w:tcPr>
            <w:tcW w:w="3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1913"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1.保障路面通畅,及时处置道路事故车辆疏导(3分)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2.及时到达事故现场,主动协调事故车辆解决困难,必要时配合职能部门处置事故隐患(3分)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3.积极完成其他临时任务(2分)</w:t>
            </w:r>
          </w:p>
        </w:tc>
        <w:tc>
          <w:tcPr>
            <w:tcW w:w="1949" w:type="pct"/>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1路面车辆发生碰撞或交通意外阻塞通道不善于处置（一次扣1分）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2.事故现场不及时处置或消极对待产生负面影响的（一次扣1分）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3.院方代表临时交待的车辆管理或特定任务不能完成的（一次扣1分）</w:t>
            </w:r>
          </w:p>
        </w:tc>
        <w:tc>
          <w:tcPr>
            <w:tcW w:w="353" w:type="pct"/>
            <w:noWrap w:val="0"/>
            <w:vAlign w:val="top"/>
          </w:tcPr>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33" w:type="pct"/>
            <w:tcBorders>
              <w:bottom w:val="single" w:color="auto" w:sz="4" w:space="0"/>
            </w:tcBorders>
            <w:noWrap w:val="0"/>
            <w:vAlign w:val="center"/>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业务</w:t>
            </w: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培训</w:t>
            </w:r>
          </w:p>
        </w:tc>
        <w:tc>
          <w:tcPr>
            <w:tcW w:w="349" w:type="pct"/>
            <w:tcBorders>
              <w:bottom w:val="single" w:color="auto" w:sz="4" w:space="0"/>
            </w:tcBorders>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6分</w:t>
            </w:r>
          </w:p>
        </w:tc>
        <w:tc>
          <w:tcPr>
            <w:tcW w:w="1913" w:type="pct"/>
            <w:tcBorders>
              <w:bottom w:val="single" w:color="auto" w:sz="4" w:space="0"/>
            </w:tcBorders>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1.每月定期组织员进行业务技能培训(3分)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2.记录培训内容,保存培训资料(3分)</w:t>
            </w:r>
          </w:p>
        </w:tc>
        <w:tc>
          <w:tcPr>
            <w:tcW w:w="1949" w:type="pct"/>
            <w:tcBorders>
              <w:bottom w:val="single" w:color="auto" w:sz="4" w:space="0"/>
            </w:tcBorders>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1.每月至少组织一次业务技能培训、安全生产例会(不参加的一次扣1分)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2.无教育培训资料的(不保存资料的一次扣1分)</w:t>
            </w:r>
          </w:p>
        </w:tc>
        <w:tc>
          <w:tcPr>
            <w:tcW w:w="353" w:type="pct"/>
            <w:tcBorders>
              <w:bottom w:val="single" w:color="auto" w:sz="4" w:space="0"/>
            </w:tcBorders>
            <w:noWrap w:val="0"/>
            <w:vAlign w:val="top"/>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33" w:type="pct"/>
            <w:tcBorders>
              <w:bottom w:val="single" w:color="auto" w:sz="4" w:space="0"/>
            </w:tcBorders>
            <w:noWrap w:val="0"/>
            <w:vAlign w:val="center"/>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奖励制度</w:t>
            </w:r>
          </w:p>
        </w:tc>
        <w:tc>
          <w:tcPr>
            <w:tcW w:w="349" w:type="pct"/>
            <w:tcBorders>
              <w:bottom w:val="single" w:color="auto" w:sz="4" w:space="0"/>
            </w:tcBorders>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6分</w:t>
            </w:r>
          </w:p>
        </w:tc>
        <w:tc>
          <w:tcPr>
            <w:tcW w:w="1913" w:type="pct"/>
            <w:tcBorders>
              <w:bottom w:val="single" w:color="auto" w:sz="4" w:space="0"/>
            </w:tcBorders>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1.安全管理做到无差错(2分)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2.车辆指挥停放规范有序,业务技能水平突出表现(2分)</w:t>
            </w:r>
          </w:p>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3.煲奖好人好事或拾金不昧等行为(2分)</w:t>
            </w:r>
          </w:p>
        </w:tc>
        <w:tc>
          <w:tcPr>
            <w:tcW w:w="1949" w:type="pct"/>
            <w:tcBorders>
              <w:bottom w:val="single" w:color="auto" w:sz="4" w:space="0"/>
            </w:tcBorders>
            <w:noWrap w:val="0"/>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根据事件评估给予适当加分</w:t>
            </w:r>
          </w:p>
        </w:tc>
        <w:tc>
          <w:tcPr>
            <w:tcW w:w="353" w:type="pct"/>
            <w:tcBorders>
              <w:bottom w:val="single" w:color="auto" w:sz="4" w:space="0"/>
            </w:tcBorders>
            <w:noWrap w:val="0"/>
            <w:vAlign w:val="top"/>
          </w:tcPr>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p>
            <w:pPr>
              <w:jc w:val="left"/>
              <w:rPr>
                <w:rFonts w:hint="eastAsia" w:ascii="宋体" w:hAnsi="宋体" w:eastAsia="宋体" w:cs="宋体"/>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696" w:type="pct"/>
            <w:gridSpan w:val="3"/>
            <w:tcBorders>
              <w:right w:val="single" w:color="auto" w:sz="4" w:space="0"/>
            </w:tcBorders>
            <w:noWrap w:val="0"/>
            <w:vAlign w:val="center"/>
          </w:tcPr>
          <w:p>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合计得分：</w:t>
            </w:r>
          </w:p>
        </w:tc>
        <w:tc>
          <w:tcPr>
            <w:tcW w:w="2303" w:type="pct"/>
            <w:gridSpan w:val="2"/>
            <w:tcBorders>
              <w:bottom w:val="single" w:color="auto" w:sz="4" w:space="0"/>
              <w:right w:val="single" w:color="auto" w:sz="4" w:space="0"/>
            </w:tcBorders>
            <w:noWrap w:val="0"/>
            <w:vAlign w:val="center"/>
          </w:tcPr>
          <w:p>
            <w:pPr>
              <w:jc w:val="left"/>
              <w:rPr>
                <w:rFonts w:hint="eastAsia" w:ascii="宋体" w:hAnsi="宋体" w:eastAsia="宋体" w:cs="宋体"/>
                <w:b/>
                <w:color w:val="auto"/>
                <w:sz w:val="21"/>
                <w:szCs w:val="21"/>
                <w:highlight w:val="none"/>
              </w:rPr>
            </w:pPr>
          </w:p>
        </w:tc>
      </w:tr>
    </w:tbl>
    <w:p>
      <w:pPr>
        <w:pStyle w:val="36"/>
        <w:keepNext w:val="0"/>
        <w:keepLines w:val="0"/>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pStyle w:val="36"/>
        <w:keepNext w:val="0"/>
        <w:keepLines w:val="0"/>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本表为100分制，每月按服务费的</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0％作为</w:t>
      </w:r>
      <w:r>
        <w:rPr>
          <w:rFonts w:hint="eastAsia" w:ascii="宋体" w:hAnsi="宋体" w:eastAsia="宋体" w:cs="宋体"/>
          <w:color w:val="auto"/>
          <w:sz w:val="21"/>
          <w:szCs w:val="21"/>
          <w:highlight w:val="none"/>
          <w:lang w:val="en-US" w:eastAsia="zh-CN"/>
        </w:rPr>
        <w:t>考核</w:t>
      </w:r>
      <w:r>
        <w:rPr>
          <w:rFonts w:hint="eastAsia" w:ascii="宋体" w:hAnsi="宋体" w:eastAsia="宋体" w:cs="宋体"/>
          <w:color w:val="auto"/>
          <w:sz w:val="21"/>
          <w:szCs w:val="21"/>
          <w:highlight w:val="none"/>
        </w:rPr>
        <w:t>保证金，按《停车场保安工作质控标准考核表》考核，按考核结果每扣1分扣款300元，至服务</w:t>
      </w:r>
      <w:r>
        <w:rPr>
          <w:rFonts w:hint="eastAsia" w:ascii="宋体" w:hAnsi="宋体" w:eastAsia="宋体" w:cs="宋体"/>
          <w:color w:val="auto"/>
          <w:sz w:val="21"/>
          <w:szCs w:val="21"/>
          <w:highlight w:val="none"/>
          <w:lang w:val="en-US" w:eastAsia="zh-CN"/>
        </w:rPr>
        <w:t>考核</w:t>
      </w:r>
      <w:r>
        <w:rPr>
          <w:rFonts w:hint="eastAsia" w:ascii="宋体" w:hAnsi="宋体" w:eastAsia="宋体" w:cs="宋体"/>
          <w:color w:val="auto"/>
          <w:sz w:val="21"/>
          <w:szCs w:val="21"/>
          <w:highlight w:val="none"/>
        </w:rPr>
        <w:t>保证金扣完为止。</w:t>
      </w:r>
    </w:p>
    <w:p>
      <w:pPr>
        <w:pStyle w:val="36"/>
        <w:keepNext w:val="0"/>
        <w:keepLines w:val="0"/>
        <w:pageBreakBefore w:val="0"/>
        <w:kinsoku/>
        <w:wordWrap/>
        <w:overflowPunct/>
        <w:topLinePunct w:val="0"/>
        <w:bidi w:val="0"/>
        <w:spacing w:line="360" w:lineRule="auto"/>
        <w:ind w:left="0" w:leftChars="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2、同时需现场人员上岗照片作为证明附件，与本表一同提交。</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4"/>
      <w:bookmarkEnd w:id="195"/>
      <w:bookmarkEnd w:id="196"/>
      <w:bookmarkEnd w:id="197"/>
      <w:bookmarkStart w:id="198" w:name="_Toc21448"/>
      <w:bookmarkStart w:id="199" w:name="_Toc12485"/>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spacing w:before="0" w:after="0" w:line="240" w:lineRule="auto"/>
        <w:rPr>
          <w:color w:val="auto"/>
          <w:sz w:val="28"/>
          <w:szCs w:val="28"/>
          <w:highlight w:val="none"/>
        </w:rPr>
      </w:pPr>
      <w:bookmarkStart w:id="200" w:name="_Toc17329"/>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8"/>
      <w:bookmarkEnd w:id="199"/>
      <w:bookmarkEnd w:id="200"/>
      <w:bookmarkStart w:id="201" w:name="_Toc13430"/>
      <w:bookmarkStart w:id="202" w:name="_Toc1534"/>
      <w:bookmarkStart w:id="203" w:name="_Toc21155"/>
    </w:p>
    <w:p>
      <w:pPr>
        <w:pStyle w:val="4"/>
        <w:spacing w:before="0" w:after="0" w:line="240" w:lineRule="auto"/>
        <w:jc w:val="center"/>
        <w:rPr>
          <w:rFonts w:ascii="宋体" w:hAnsi="宋体" w:eastAsia="宋体" w:cs="宋体"/>
          <w:color w:val="auto"/>
          <w:highlight w:val="none"/>
        </w:rPr>
      </w:pPr>
      <w:bookmarkStart w:id="204" w:name="_Toc29470"/>
      <w:bookmarkStart w:id="205" w:name="_Toc19575"/>
      <w:bookmarkStart w:id="206" w:name="_Toc16730"/>
      <w:r>
        <w:rPr>
          <w:rFonts w:hint="eastAsia" w:ascii="宋体" w:hAnsi="宋体" w:eastAsia="宋体" w:cs="宋体"/>
          <w:color w:val="auto"/>
          <w:highlight w:val="none"/>
        </w:rPr>
        <w:t>合同格式</w:t>
      </w:r>
      <w:bookmarkEnd w:id="201"/>
      <w:bookmarkEnd w:id="202"/>
      <w:bookmarkEnd w:id="203"/>
      <w:bookmarkEnd w:id="204"/>
      <w:bookmarkEnd w:id="205"/>
      <w:bookmarkEnd w:id="206"/>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w:t>
      </w:r>
      <w:r>
        <w:rPr>
          <w:rFonts w:hint="eastAsia" w:ascii="宋体" w:hAnsi="宋体" w:eastAsia="宋体"/>
          <w:color w:val="auto"/>
          <w:sz w:val="21"/>
          <w:szCs w:val="21"/>
          <w:highlight w:val="none"/>
        </w:rPr>
        <w:t>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w:t>
      </w:r>
      <w:r>
        <w:rPr>
          <w:rFonts w:hint="eastAsia" w:ascii="宋体" w:hAnsi="宋体" w:eastAsia="宋体" w:cs="宋体"/>
          <w:color w:val="auto"/>
          <w:kern w:val="0"/>
          <w:sz w:val="21"/>
          <w:szCs w:val="21"/>
          <w:highlight w:val="none"/>
        </w:rPr>
        <w:t>、《中华人民共和国民法典》，在平等自愿的基础上，按照下面的条款和条件，签署本合同。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1"/>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1"/>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1"/>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207" w:name="_Toc23749"/>
      <w:bookmarkStart w:id="208" w:name="_Toc15158"/>
      <w:bookmarkStart w:id="209" w:name="_Toc31587"/>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7"/>
      <w:bookmarkEnd w:id="208"/>
      <w:bookmarkEnd w:id="209"/>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0" w:name="_Toc6790"/>
      <w:bookmarkStart w:id="211" w:name="_Toc2434"/>
      <w:bookmarkStart w:id="212" w:name="_Toc26830"/>
      <w:r>
        <w:rPr>
          <w:rFonts w:hint="eastAsia"/>
          <w:color w:val="auto"/>
          <w:highlight w:val="none"/>
          <w:lang w:eastAsia="zh-CN"/>
        </w:rPr>
        <w:t>响应文件</w:t>
      </w:r>
      <w:r>
        <w:rPr>
          <w:rFonts w:hint="eastAsia"/>
          <w:color w:val="auto"/>
          <w:highlight w:val="none"/>
        </w:rPr>
        <w:t>目录</w:t>
      </w:r>
      <w:bookmarkEnd w:id="210"/>
      <w:bookmarkEnd w:id="211"/>
      <w:bookmarkEnd w:id="212"/>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3" w:name="_Toc18893"/>
      <w:bookmarkStart w:id="214" w:name="_Toc28116"/>
      <w:bookmarkStart w:id="215" w:name="_Toc25502"/>
      <w:r>
        <w:rPr>
          <w:rFonts w:hint="eastAsia"/>
          <w:color w:val="auto"/>
          <w:highlight w:val="none"/>
        </w:rPr>
        <w:t>评分标准索引表</w:t>
      </w:r>
      <w:bookmarkEnd w:id="213"/>
      <w:bookmarkEnd w:id="214"/>
      <w:bookmarkEnd w:id="215"/>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highlight w:val="none"/>
              </w:rPr>
            </w:pPr>
          </w:p>
        </w:tc>
        <w:tc>
          <w:tcPr>
            <w:tcW w:w="5028" w:type="dxa"/>
            <w:noWrap w:val="0"/>
            <w:vAlign w:val="center"/>
          </w:tcPr>
          <w:p>
            <w:pPr>
              <w:pStyle w:val="30"/>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1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6" w:name="_Toc22080"/>
      <w:bookmarkStart w:id="217" w:name="_Toc19057"/>
      <w:bookmarkStart w:id="218" w:name="_Toc30640"/>
      <w:r>
        <w:rPr>
          <w:rFonts w:hint="eastAsia"/>
          <w:color w:val="auto"/>
          <w:highlight w:val="none"/>
          <w:lang w:val="en-US" w:eastAsia="zh-CN"/>
        </w:rPr>
        <w:t>第一章价格文件</w:t>
      </w:r>
      <w:bookmarkEnd w:id="216"/>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9" w:name="_Toc29262"/>
      <w:bookmarkStart w:id="220" w:name="_Toc4168"/>
      <w:r>
        <w:rPr>
          <w:rFonts w:hint="eastAsia"/>
          <w:color w:val="auto"/>
          <w:highlight w:val="none"/>
          <w:lang w:val="en-US" w:eastAsia="zh-CN"/>
        </w:rPr>
        <w:t>一、报价一览表</w:t>
      </w:r>
      <w:bookmarkEnd w:id="219"/>
      <w:bookmarkEnd w:id="220"/>
    </w:p>
    <w:p>
      <w:pPr>
        <w:spacing w:line="360" w:lineRule="auto"/>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磋商</w:t>
      </w:r>
      <w:r>
        <w:rPr>
          <w:rFonts w:hint="eastAsia" w:ascii="宋体" w:hAnsi="宋体" w:eastAsia="宋体"/>
          <w:color w:val="auto"/>
          <w:sz w:val="21"/>
          <w:szCs w:val="21"/>
          <w:highlight w:val="none"/>
        </w:rPr>
        <w:t>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58"/>
      <w:bookmarkStart w:id="222" w:name="_Toc31062"/>
      <w:r>
        <w:rPr>
          <w:rFonts w:hint="eastAsia"/>
          <w:color w:val="auto"/>
          <w:highlight w:val="none"/>
          <w:lang w:val="en-US" w:eastAsia="zh-CN"/>
        </w:rPr>
        <w:t>二、报价明细表</w:t>
      </w:r>
      <w:bookmarkEnd w:id="221"/>
      <w:bookmarkEnd w:id="222"/>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3" w:name="_Toc2486"/>
      <w:bookmarkStart w:id="224" w:name="_Toc23948"/>
      <w:r>
        <w:rPr>
          <w:rFonts w:hint="eastAsia"/>
          <w:color w:val="auto"/>
          <w:highlight w:val="none"/>
          <w:lang w:val="en-US" w:eastAsia="zh-CN"/>
        </w:rPr>
        <w:t>第二章商务文件</w:t>
      </w:r>
      <w:bookmarkEnd w:id="223"/>
      <w:bookmarkEnd w:id="224"/>
    </w:p>
    <w:bookmarkEnd w:id="218"/>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23787"/>
      <w:bookmarkStart w:id="226" w:name="_Toc4151"/>
      <w:r>
        <w:rPr>
          <w:rFonts w:hint="eastAsia"/>
          <w:color w:val="auto"/>
          <w:highlight w:val="none"/>
          <w:lang w:val="en-US" w:eastAsia="zh-CN"/>
        </w:rPr>
        <w:t>一、响应函</w:t>
      </w:r>
      <w:bookmarkEnd w:id="225"/>
      <w:bookmarkEnd w:id="226"/>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须知中关于没收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保证金的规定。</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1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27961"/>
      <w:bookmarkStart w:id="228" w:name="_Toc15719"/>
      <w:r>
        <w:rPr>
          <w:rFonts w:hint="eastAsia"/>
          <w:color w:val="auto"/>
          <w:highlight w:val="none"/>
          <w:lang w:val="en-US" w:eastAsia="zh-CN"/>
        </w:rPr>
        <w:t>二、资格申明函</w:t>
      </w:r>
      <w:bookmarkEnd w:id="227"/>
      <w:bookmarkEnd w:id="228"/>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w:t>
      </w:r>
      <w:r>
        <w:rPr>
          <w:rFonts w:hint="eastAsia" w:ascii="宋体" w:hAnsi="宋体"/>
          <w:color w:val="auto"/>
          <w:szCs w:val="21"/>
          <w:highlight w:val="none"/>
          <w:lang w:val="en-US" w:eastAsia="zh-CN"/>
        </w:rPr>
        <w:t>本项目磋商</w:t>
      </w:r>
      <w:r>
        <w:rPr>
          <w:rFonts w:hint="eastAsia" w:ascii="宋体" w:hAnsi="宋体"/>
          <w:color w:val="auto"/>
          <w:szCs w:val="21"/>
          <w:highlight w:val="none"/>
        </w:rPr>
        <w:t>邀请</w:t>
      </w:r>
      <w:r>
        <w:rPr>
          <w:rFonts w:hint="eastAsia" w:ascii="宋体" w:hAnsi="宋体"/>
          <w:color w:val="auto"/>
          <w:szCs w:val="21"/>
          <w:highlight w:val="none"/>
          <w:lang w:val="en-US" w:eastAsia="zh-CN"/>
        </w:rPr>
        <w:t>书</w:t>
      </w:r>
      <w:r>
        <w:rPr>
          <w:rFonts w:hint="eastAsia" w:ascii="宋体" w:hAnsi="宋体"/>
          <w:color w:val="auto"/>
          <w:szCs w:val="21"/>
          <w:highlight w:val="none"/>
        </w:rPr>
        <w:t>中所要求</w:t>
      </w:r>
      <w:r>
        <w:rPr>
          <w:rFonts w:hint="eastAsia" w:ascii="宋体" w:hAnsi="宋体"/>
          <w:color w:val="auto"/>
          <w:szCs w:val="21"/>
          <w:highlight w:val="none"/>
          <w:lang w:val="en-US" w:eastAsia="zh-CN"/>
        </w:rPr>
        <w:t>的</w:t>
      </w:r>
      <w:r>
        <w:rPr>
          <w:rFonts w:hint="eastAsia" w:ascii="宋体" w:hAnsi="宋体"/>
          <w:color w:val="auto"/>
          <w:szCs w:val="21"/>
          <w:highlight w:val="none"/>
        </w:rPr>
        <w:t>资格条件，已清楚招标文件所有要求及有关规定；并承诺参加本次采购活动中，如有违法、违规、弄虚作假行为，所造成的损失、不良后果及法律责任，一律由我方承担；</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bookmarkStart w:id="229"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0" w:name="_Toc21335"/>
      <w:bookmarkStart w:id="231" w:name="_Toc21273"/>
      <w:r>
        <w:rPr>
          <w:rFonts w:hint="eastAsia"/>
          <w:color w:val="auto"/>
          <w:highlight w:val="none"/>
          <w:lang w:val="en-US" w:eastAsia="zh-CN"/>
        </w:rPr>
        <w:t>三、在参与采购活动前三年未有重大违法记录、没有不良信用记录的声明函</w:t>
      </w:r>
      <w:bookmarkEnd w:id="230"/>
      <w:bookmarkEnd w:id="231"/>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2" w:name="_Toc32128"/>
      <w:bookmarkStart w:id="233" w:name="_Toc13243"/>
      <w:r>
        <w:rPr>
          <w:rFonts w:hint="eastAsia"/>
          <w:color w:val="auto"/>
          <w:highlight w:val="none"/>
          <w:lang w:val="en-US" w:eastAsia="zh-CN"/>
        </w:rPr>
        <w:t>四、法定代表人证明书</w:t>
      </w:r>
      <w:bookmarkEnd w:id="232"/>
      <w:bookmarkEnd w:id="233"/>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4" w:name="_Toc11689"/>
      <w:bookmarkStart w:id="235" w:name="_Toc5918"/>
      <w:r>
        <w:rPr>
          <w:rFonts w:hint="eastAsia"/>
          <w:color w:val="auto"/>
          <w:highlight w:val="none"/>
          <w:lang w:val="en-US" w:eastAsia="zh-CN"/>
        </w:rPr>
        <w:t>五、法定代表人授权书</w:t>
      </w:r>
      <w:bookmarkEnd w:id="234"/>
      <w:bookmarkEnd w:id="235"/>
    </w:p>
    <w:p>
      <w:pPr>
        <w:pStyle w:val="36"/>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6"/>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36"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7" w:name="_Toc1197"/>
      <w:bookmarkStart w:id="238" w:name="_Toc24013"/>
      <w:r>
        <w:rPr>
          <w:rFonts w:hint="eastAsia"/>
          <w:color w:val="auto"/>
          <w:highlight w:val="none"/>
          <w:lang w:val="en-US" w:eastAsia="zh-CN"/>
        </w:rPr>
        <w:t>六、供应商基本情况说明</w:t>
      </w:r>
      <w:bookmarkEnd w:id="237"/>
      <w:bookmarkEnd w:id="238"/>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9" w:name="_Toc11992"/>
      <w:bookmarkStart w:id="240" w:name="_Toc4926"/>
      <w:bookmarkStart w:id="241" w:name="_Toc17470"/>
      <w:bookmarkStart w:id="242" w:name="_Toc5919"/>
      <w:bookmarkStart w:id="243" w:name="_Toc24210"/>
      <w:bookmarkStart w:id="244" w:name="_Toc1511"/>
      <w:bookmarkStart w:id="245" w:name="_Toc29995"/>
      <w:r>
        <w:rPr>
          <w:rFonts w:hint="eastAsia"/>
          <w:color w:val="auto"/>
          <w:highlight w:val="none"/>
          <w:lang w:val="en-US" w:eastAsia="zh-CN"/>
        </w:rPr>
        <w:t>七、</w:t>
      </w:r>
      <w:r>
        <w:rPr>
          <w:rFonts w:hint="eastAsia"/>
          <w:color w:val="auto"/>
          <w:highlight w:val="none"/>
        </w:rPr>
        <w:t>营业执照</w:t>
      </w:r>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3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6" w:name="_Toc12706"/>
      <w:bookmarkStart w:id="247" w:name="_Toc29439"/>
      <w:r>
        <w:rPr>
          <w:rFonts w:hint="eastAsia"/>
          <w:color w:val="auto"/>
          <w:highlight w:val="none"/>
          <w:lang w:val="en-US" w:eastAsia="zh-CN"/>
        </w:rPr>
        <w:t>八、</w:t>
      </w:r>
      <w:r>
        <w:rPr>
          <w:rFonts w:hint="eastAsia"/>
          <w:color w:val="auto"/>
          <w:highlight w:val="none"/>
        </w:rPr>
        <w:t>特殊资格要求证明文件</w:t>
      </w:r>
      <w:bookmarkEnd w:id="246"/>
      <w:bookmarkEnd w:id="24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8" w:name="_Toc14482"/>
      <w:bookmarkStart w:id="249" w:name="_Toc23341"/>
      <w:r>
        <w:rPr>
          <w:rFonts w:hint="eastAsia"/>
          <w:color w:val="auto"/>
          <w:highlight w:val="none"/>
          <w:lang w:val="en-US" w:eastAsia="zh-CN"/>
        </w:rPr>
        <w:t>九、</w:t>
      </w:r>
      <w:r>
        <w:rPr>
          <w:rFonts w:hint="eastAsia"/>
          <w:color w:val="auto"/>
          <w:highlight w:val="none"/>
        </w:rPr>
        <w:t>承诺书</w:t>
      </w:r>
      <w:bookmarkEnd w:id="248"/>
      <w:bookmarkEnd w:id="249"/>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50"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250"/>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51" w:name="_Toc13653"/>
      <w:bookmarkStart w:id="252" w:name="_Toc31815"/>
      <w:r>
        <w:rPr>
          <w:rFonts w:hint="eastAsia"/>
          <w:color w:val="auto"/>
          <w:highlight w:val="none"/>
          <w:lang w:val="en-US" w:eastAsia="zh-CN"/>
        </w:rPr>
        <w:t>十、招标代理服务费承诺书</w:t>
      </w:r>
      <w:bookmarkEnd w:id="251"/>
      <w:bookmarkEnd w:id="252"/>
    </w:p>
    <w:p>
      <w:pPr>
        <w:pStyle w:val="36"/>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3" w:name="_Toc1975"/>
      <w:bookmarkStart w:id="254" w:name="_Toc21582"/>
      <w:r>
        <w:rPr>
          <w:rFonts w:hint="eastAsia"/>
          <w:color w:val="auto"/>
          <w:highlight w:val="none"/>
          <w:lang w:val="en-US" w:eastAsia="zh-CN"/>
        </w:rPr>
        <w:t>十一、</w:t>
      </w:r>
      <w:r>
        <w:rPr>
          <w:rFonts w:hint="eastAsia"/>
          <w:color w:val="auto"/>
          <w:highlight w:val="none"/>
        </w:rPr>
        <w:t>商务条款偏离表</w:t>
      </w:r>
      <w:bookmarkEnd w:id="253"/>
      <w:bookmarkEnd w:id="254"/>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55"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6" w:name="_Toc25391"/>
      <w:bookmarkStart w:id="257" w:name="_Toc7350"/>
      <w:r>
        <w:rPr>
          <w:rFonts w:hint="eastAsia"/>
          <w:color w:val="auto"/>
          <w:highlight w:val="none"/>
          <w:lang w:val="en-US" w:eastAsia="zh-CN"/>
        </w:rPr>
        <w:t>十二、</w:t>
      </w:r>
      <w:r>
        <w:rPr>
          <w:rFonts w:hint="eastAsia"/>
          <w:color w:val="auto"/>
          <w:highlight w:val="none"/>
        </w:rPr>
        <w:t>业绩表</w:t>
      </w:r>
      <w:bookmarkEnd w:id="256"/>
      <w:bookmarkEnd w:id="257"/>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highlight w:val="none"/>
        </w:rPr>
      </w:pPr>
    </w:p>
    <w:p>
      <w:pPr>
        <w:pStyle w:val="33"/>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58" w:name="_Toc25650"/>
      <w:bookmarkStart w:id="259" w:name="_Toc14688"/>
      <w:r>
        <w:rPr>
          <w:rFonts w:hint="eastAsia"/>
          <w:color w:val="auto"/>
          <w:highlight w:val="none"/>
          <w:lang w:val="en-US" w:eastAsia="zh-CN"/>
        </w:rPr>
        <w:t>第三章技术文件</w:t>
      </w:r>
      <w:bookmarkEnd w:id="255"/>
      <w:bookmarkEnd w:id="258"/>
      <w:bookmarkEnd w:id="25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0" w:name="_Toc13588"/>
      <w:bookmarkStart w:id="261" w:name="_Toc7092"/>
      <w:r>
        <w:rPr>
          <w:rFonts w:hint="eastAsia"/>
          <w:color w:val="auto"/>
          <w:highlight w:val="none"/>
          <w:lang w:val="en-US" w:eastAsia="zh-CN"/>
        </w:rPr>
        <w:t>一、</w:t>
      </w:r>
      <w:r>
        <w:rPr>
          <w:rFonts w:hint="eastAsia"/>
          <w:color w:val="auto"/>
          <w:highlight w:val="none"/>
        </w:rPr>
        <w:t>技术规格偏离表</w:t>
      </w:r>
      <w:bookmarkEnd w:id="260"/>
      <w:bookmarkEnd w:id="261"/>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62" w:name="_Toc17691"/>
      <w:r>
        <w:rPr>
          <w:rFonts w:hint="eastAsia" w:ascii="宋体" w:hAnsi="宋体" w:eastAsia="宋体"/>
          <w:color w:val="auto"/>
          <w:sz w:val="21"/>
          <w:szCs w:val="21"/>
          <w:highlight w:val="none"/>
        </w:rPr>
        <w:br w:type="page"/>
      </w:r>
      <w:bookmarkEnd w:id="262"/>
      <w:bookmarkStart w:id="263" w:name="_Toc4827"/>
      <w:bookmarkStart w:id="264" w:name="_Toc18668"/>
      <w:bookmarkStart w:id="265" w:name="_Toc6080"/>
      <w:bookmarkStart w:id="266" w:name="_Toc26078"/>
      <w:bookmarkStart w:id="267" w:name="_Toc1274"/>
      <w:bookmarkStart w:id="268" w:name="_Toc446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9" w:name="_Toc10734"/>
      <w:bookmarkStart w:id="270" w:name="_Toc28702"/>
      <w:r>
        <w:rPr>
          <w:rFonts w:hint="eastAsia"/>
          <w:color w:val="auto"/>
          <w:highlight w:val="none"/>
          <w:lang w:val="en-US" w:eastAsia="zh-CN"/>
        </w:rPr>
        <w:t>二、</w:t>
      </w:r>
      <w:r>
        <w:rPr>
          <w:rFonts w:hint="eastAsia"/>
          <w:color w:val="auto"/>
          <w:highlight w:val="none"/>
        </w:rPr>
        <w:t>重要技术参数（▲）响应表</w:t>
      </w:r>
      <w:bookmarkEnd w:id="263"/>
      <w:bookmarkEnd w:id="264"/>
      <w:bookmarkEnd w:id="265"/>
      <w:bookmarkEnd w:id="266"/>
      <w:bookmarkEnd w:id="267"/>
      <w:bookmarkEnd w:id="268"/>
      <w:bookmarkEnd w:id="269"/>
      <w:bookmarkEnd w:id="270"/>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71" w:name="_Toc29642"/>
            <w:bookmarkStart w:id="272" w:name="_Toc27079"/>
            <w:bookmarkStart w:id="273" w:name="_Toc2784"/>
            <w:bookmarkStart w:id="274" w:name="_Toc29560"/>
            <w:r>
              <w:rPr>
                <w:rFonts w:hint="eastAsia" w:ascii="宋体" w:hAnsi="宋体" w:eastAsia="宋体" w:cs="宋体"/>
                <w:b w:val="0"/>
                <w:bCs w:val="0"/>
                <w:color w:val="auto"/>
                <w:sz w:val="21"/>
                <w:szCs w:val="21"/>
                <w:highlight w:val="none"/>
                <w:lang w:val="en-US" w:eastAsia="zh-CN"/>
              </w:rPr>
              <w:t>序号</w:t>
            </w:r>
            <w:bookmarkEnd w:id="271"/>
            <w:bookmarkEnd w:id="272"/>
            <w:bookmarkEnd w:id="273"/>
            <w:bookmarkEnd w:id="27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75" w:name="_Toc22448"/>
            <w:bookmarkStart w:id="276" w:name="_Toc10045"/>
            <w:bookmarkStart w:id="277" w:name="_Toc27090"/>
            <w:bookmarkStart w:id="278" w:name="_Toc4304"/>
            <w:bookmarkStart w:id="279" w:name="_Toc14815"/>
            <w:bookmarkStart w:id="280" w:name="_Toc15903"/>
            <w:bookmarkStart w:id="281" w:name="_Toc2700"/>
            <w:bookmarkStart w:id="282" w:name="_Toc6189"/>
            <w:bookmarkStart w:id="283" w:name="_Toc16872"/>
            <w:bookmarkStart w:id="284" w:name="_Toc21739"/>
            <w:bookmarkStart w:id="285" w:name="_Toc15368"/>
            <w:bookmarkStart w:id="286" w:name="_Toc26124"/>
            <w:bookmarkStart w:id="287" w:name="_Toc1016"/>
            <w:bookmarkStart w:id="288" w:name="_Toc12049"/>
            <w:bookmarkStart w:id="289" w:name="_Toc32531"/>
            <w:bookmarkStart w:id="290" w:name="_Toc8312"/>
            <w:bookmarkStart w:id="291" w:name="_Toc22917"/>
            <w:bookmarkStart w:id="292" w:name="_Toc21809"/>
            <w:bookmarkStart w:id="293" w:name="_Toc24662"/>
            <w:bookmarkStart w:id="294" w:name="_Toc19251"/>
            <w:bookmarkStart w:id="295" w:name="_Toc7333"/>
            <w:bookmarkStart w:id="296" w:name="_Toc22879"/>
            <w:bookmarkStart w:id="297" w:name="_Toc8490"/>
            <w:bookmarkStart w:id="298" w:name="_Toc2744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99" w:name="_Toc10122"/>
            <w:bookmarkStart w:id="300" w:name="_Toc22153"/>
            <w:bookmarkStart w:id="301" w:name="_Toc21496"/>
            <w:bookmarkStart w:id="302" w:name="_Toc2408"/>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299"/>
            <w:bookmarkEnd w:id="300"/>
            <w:bookmarkEnd w:id="301"/>
            <w:bookmarkEnd w:id="302"/>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03" w:name="_Toc27285"/>
            <w:bookmarkStart w:id="304" w:name="_Toc16003"/>
            <w:bookmarkStart w:id="305" w:name="_Toc16432"/>
            <w:bookmarkStart w:id="306" w:name="_Toc29838"/>
            <w:bookmarkStart w:id="307" w:name="_Toc17642"/>
            <w:bookmarkStart w:id="308" w:name="_Toc5992"/>
            <w:bookmarkStart w:id="309" w:name="_Toc20139"/>
            <w:bookmarkStart w:id="310" w:name="_Toc1912"/>
            <w:bookmarkStart w:id="311" w:name="_Toc1330"/>
            <w:bookmarkStart w:id="312" w:name="_Toc3701"/>
            <w:bookmarkStart w:id="313" w:name="_Toc5563"/>
            <w:bookmarkStart w:id="314" w:name="_Toc20820"/>
            <w:bookmarkStart w:id="315" w:name="_Toc27185"/>
            <w:bookmarkStart w:id="316" w:name="_Toc17296"/>
            <w:r>
              <w:rPr>
                <w:rFonts w:hint="eastAsia" w:ascii="宋体" w:hAnsi="宋体" w:eastAsia="宋体" w:cs="宋体"/>
                <w:b w:val="0"/>
                <w:bCs w:val="0"/>
                <w:color w:val="auto"/>
                <w:sz w:val="21"/>
                <w:szCs w:val="21"/>
                <w:highlight w:val="none"/>
                <w:lang w:val="en-US" w:eastAsia="zh-CN"/>
              </w:rPr>
              <w:t>说明</w:t>
            </w:r>
            <w:bookmarkEnd w:id="303"/>
            <w:bookmarkEnd w:id="304"/>
            <w:bookmarkEnd w:id="305"/>
            <w:bookmarkEnd w:id="306"/>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17" w:name="_Toc31920"/>
            <w:bookmarkStart w:id="318" w:name="_Toc857"/>
            <w:bookmarkStart w:id="319" w:name="_Toc3520"/>
            <w:bookmarkStart w:id="320" w:name="_Toc19105"/>
            <w:r>
              <w:rPr>
                <w:rFonts w:hint="eastAsia" w:ascii="宋体" w:hAnsi="宋体" w:eastAsia="宋体" w:cs="宋体"/>
                <w:b w:val="0"/>
                <w:bCs w:val="0"/>
                <w:color w:val="auto"/>
                <w:sz w:val="21"/>
                <w:szCs w:val="21"/>
                <w:highlight w:val="none"/>
              </w:rPr>
              <w:t>页码范围</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3"/>
        <w:spacing w:after="0" w:line="360" w:lineRule="auto"/>
        <w:rPr>
          <w:rFonts w:ascii="宋体" w:hAnsi="宋体" w:eastAsia="宋体"/>
          <w:color w:val="auto"/>
          <w:sz w:val="21"/>
          <w:szCs w:val="21"/>
          <w:highlight w:val="none"/>
        </w:rPr>
      </w:pP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3"/>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3"/>
        <w:spacing w:after="0" w:line="360" w:lineRule="auto"/>
        <w:rPr>
          <w:rFonts w:ascii="宋体" w:hAnsi="宋体" w:eastAsia="宋体"/>
          <w:color w:val="auto"/>
          <w:sz w:val="21"/>
          <w:szCs w:val="21"/>
          <w:highlight w:val="none"/>
        </w:rPr>
      </w:pPr>
    </w:p>
    <w:p>
      <w:pPr>
        <w:pStyle w:val="33"/>
        <w:numPr>
          <w:ilvl w:val="0"/>
          <w:numId w:val="2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1" w:name="_Toc25570"/>
      <w:bookmarkStart w:id="322" w:name="_Toc19349"/>
      <w:r>
        <w:rPr>
          <w:rFonts w:hint="eastAsia"/>
          <w:color w:val="auto"/>
          <w:highlight w:val="none"/>
          <w:lang w:val="en-US" w:eastAsia="zh-CN"/>
        </w:rPr>
        <w:t>三、</w:t>
      </w:r>
      <w:r>
        <w:rPr>
          <w:rFonts w:hint="eastAsia"/>
          <w:color w:val="auto"/>
          <w:highlight w:val="none"/>
        </w:rPr>
        <w:t>实质性条款（标记★）响应表</w:t>
      </w:r>
      <w:bookmarkEnd w:id="321"/>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22"/>
      <w:bookmarkEnd w:id="323"/>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4" w:name="_Toc16328"/>
      <w:bookmarkStart w:id="325" w:name="_Toc16875"/>
      <w:r>
        <w:rPr>
          <w:rFonts w:hint="eastAsia"/>
          <w:color w:val="auto"/>
          <w:highlight w:val="none"/>
          <w:lang w:val="en-US" w:eastAsia="zh-CN"/>
        </w:rPr>
        <w:t>五、项目负责人及团队成员资料表</w:t>
      </w:r>
      <w:bookmarkEnd w:id="324"/>
      <w:bookmarkEnd w:id="325"/>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26" w:name="_Toc27978"/>
      <w:bookmarkStart w:id="327" w:name="_Toc15431"/>
      <w:r>
        <w:rPr>
          <w:rFonts w:hint="eastAsia"/>
          <w:color w:val="auto"/>
          <w:highlight w:val="none"/>
          <w:lang w:val="en-US" w:eastAsia="zh-CN"/>
        </w:rPr>
        <w:t>六、响应货物明细一览表</w:t>
      </w:r>
      <w:bookmarkEnd w:id="326"/>
      <w:bookmarkEnd w:id="327"/>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8" w:name="_Toc15352"/>
      <w:bookmarkStart w:id="329" w:name="_Toc21541"/>
      <w:r>
        <w:rPr>
          <w:rFonts w:hint="eastAsia"/>
          <w:color w:val="auto"/>
          <w:highlight w:val="none"/>
          <w:lang w:val="en-US" w:eastAsia="zh-CN"/>
        </w:rPr>
        <w:t>七、磋商保证金汇入情况说明</w:t>
      </w:r>
      <w:bookmarkEnd w:id="328"/>
      <w:bookmarkEnd w:id="329"/>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保证金的汇款情况：（详见附件－</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w:t>
      </w:r>
      <w:r>
        <w:rPr>
          <w:rFonts w:hint="eastAsia" w:ascii="宋体" w:hAnsi="宋体"/>
          <w:color w:val="auto"/>
          <w:sz w:val="21"/>
          <w:szCs w:val="21"/>
          <w:highlight w:val="none"/>
          <w:u w:val="single"/>
          <w:lang w:eastAsia="zh-CN"/>
        </w:rPr>
        <w:t>响应</w:t>
      </w:r>
      <w:r>
        <w:rPr>
          <w:rFonts w:hint="eastAsia" w:ascii="宋体" w:hAnsi="宋体" w:eastAsia="宋体"/>
          <w:color w:val="auto"/>
          <w:sz w:val="21"/>
          <w:szCs w:val="21"/>
          <w:highlight w:val="none"/>
          <w:u w:val="single"/>
        </w:rPr>
        <w:t xml:space="preserve">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中，又要按</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须知的规定与</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一览表</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保证金汇款底单复印件及授权委托书一同密封装入</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报价</w:t>
      </w:r>
      <w:r>
        <w:rPr>
          <w:rFonts w:hint="eastAsia" w:ascii="宋体" w:hAnsi="宋体" w:eastAsia="宋体"/>
          <w:b/>
          <w:bCs/>
          <w:color w:val="auto"/>
          <w:sz w:val="21"/>
          <w:szCs w:val="21"/>
          <w:highlight w:val="none"/>
          <w:lang w:eastAsia="zh-CN"/>
        </w:rPr>
        <w:t>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0" w:name="_Toc24545"/>
      <w:bookmarkStart w:id="331" w:name="_Toc4096"/>
      <w:r>
        <w:rPr>
          <w:rFonts w:hint="eastAsia"/>
          <w:color w:val="auto"/>
          <w:highlight w:val="none"/>
          <w:lang w:val="en-US" w:eastAsia="zh-CN"/>
        </w:rPr>
        <w:t>八、采购磋商担保函</w:t>
      </w:r>
      <w:bookmarkEnd w:id="330"/>
      <w:bookmarkEnd w:id="331"/>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，根据本项目</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，供应商参加</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时应向你方交纳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保证金，且可以</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担保函的形式交纳</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保证金。应供应商的申请，我方以保证的方式向你方提供如下</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规定的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向你方支付</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的另行约定，全部或者部分免除</w:t>
      </w:r>
      <w:r>
        <w:rPr>
          <w:rFonts w:hint="eastAsia" w:ascii="宋体" w:hAnsi="宋体" w:cs="宋体"/>
          <w:color w:val="auto"/>
          <w:sz w:val="21"/>
          <w:szCs w:val="21"/>
          <w:highlight w:val="none"/>
          <w:lang w:eastAsia="zh-CN"/>
        </w:rPr>
        <w:t>供应商磋商</w:t>
      </w:r>
      <w:r>
        <w:rPr>
          <w:rFonts w:hint="eastAsia" w:ascii="宋体" w:hAnsi="宋体" w:eastAsia="宋体" w:cs="宋体"/>
          <w:color w:val="auto"/>
          <w:sz w:val="21"/>
          <w:szCs w:val="21"/>
          <w:highlight w:val="none"/>
        </w:rPr>
        <w:t>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w:t>
      </w: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保证金，则无需在</w:t>
      </w:r>
      <w:r>
        <w:rPr>
          <w:rFonts w:hint="eastAsia" w:ascii="宋体" w:hAnsi="宋体"/>
          <w:b/>
          <w:bCs/>
          <w:color w:val="auto"/>
          <w:sz w:val="21"/>
          <w:szCs w:val="21"/>
          <w:highlight w:val="none"/>
          <w:lang w:eastAsia="zh-CN"/>
        </w:rPr>
        <w:t>响应文件</w:t>
      </w:r>
      <w:r>
        <w:rPr>
          <w:rFonts w:hint="eastAsia" w:ascii="宋体" w:hAnsi="宋体" w:eastAsia="宋体"/>
          <w:b/>
          <w:bCs/>
          <w:color w:val="auto"/>
          <w:sz w:val="21"/>
          <w:szCs w:val="21"/>
          <w:highlight w:val="none"/>
        </w:rPr>
        <w:t>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以</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担保函形式提交</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保证金，则应将</w:t>
      </w:r>
      <w:r>
        <w:rPr>
          <w:rFonts w:hint="eastAsia" w:ascii="宋体" w:hAnsi="宋体"/>
          <w:b/>
          <w:bCs/>
          <w:color w:val="auto"/>
          <w:sz w:val="21"/>
          <w:szCs w:val="21"/>
          <w:highlight w:val="none"/>
          <w:lang w:eastAsia="zh-CN"/>
        </w:rPr>
        <w:t>磋商</w:t>
      </w:r>
      <w:r>
        <w:rPr>
          <w:rFonts w:hint="eastAsia" w:ascii="宋体" w:hAnsi="宋体" w:eastAsia="宋体"/>
          <w:b/>
          <w:bCs/>
          <w:color w:val="auto"/>
          <w:sz w:val="21"/>
          <w:szCs w:val="21"/>
          <w:highlight w:val="none"/>
        </w:rPr>
        <w:t>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31841"/>
      <w:r>
        <w:rPr>
          <w:rFonts w:hint="eastAsia"/>
          <w:color w:val="auto"/>
          <w:highlight w:val="none"/>
          <w:lang w:val="en-US" w:eastAsia="zh-CN"/>
        </w:rPr>
        <w:t>九、采购履约担保函</w:t>
      </w:r>
      <w:bookmarkEnd w:id="332"/>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3" w:name="_Toc26782"/>
      <w:bookmarkStart w:id="334" w:name="_Toc17348"/>
      <w:r>
        <w:rPr>
          <w:rFonts w:hint="eastAsia"/>
          <w:color w:val="auto"/>
          <w:highlight w:val="none"/>
          <w:lang w:val="en-US" w:eastAsia="zh-CN"/>
        </w:rPr>
        <w:t>第四章报价信封（单独封装）</w:t>
      </w:r>
      <w:bookmarkEnd w:id="333"/>
      <w:bookmarkEnd w:id="334"/>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磋商</w:t>
      </w:r>
      <w:r>
        <w:rPr>
          <w:rFonts w:hint="eastAsia"/>
          <w:color w:val="auto"/>
          <w:highlight w:val="none"/>
        </w:rPr>
        <w:t>保证金汇入情况说明</w:t>
      </w:r>
      <w:r>
        <w:rPr>
          <w:rFonts w:hint="eastAsia"/>
          <w:color w:val="auto"/>
          <w:highlight w:val="none"/>
          <w:lang w:val="en-US" w:eastAsia="zh-CN"/>
        </w:rPr>
        <w:t>及</w:t>
      </w:r>
      <w:r>
        <w:rPr>
          <w:rFonts w:hint="eastAsia"/>
          <w:color w:val="auto"/>
          <w:highlight w:val="none"/>
          <w:lang w:eastAsia="zh-CN"/>
        </w:rPr>
        <w:t>磋商</w:t>
      </w:r>
      <w:r>
        <w:rPr>
          <w:rFonts w:hint="eastAsia"/>
          <w:color w:val="auto"/>
          <w:highlight w:val="none"/>
        </w:rPr>
        <w:t>保证金汇款底单（复印件加盖公章）</w:t>
      </w:r>
      <w:r>
        <w:rPr>
          <w:rFonts w:hint="eastAsia"/>
          <w:color w:val="auto"/>
          <w:highlight w:val="none"/>
          <w:lang w:eastAsia="zh-CN"/>
        </w:rPr>
        <w:t>，</w:t>
      </w:r>
      <w:r>
        <w:rPr>
          <w:rFonts w:hint="eastAsia"/>
          <w:color w:val="auto"/>
          <w:highlight w:val="none"/>
          <w:lang w:val="en-US" w:eastAsia="zh-CN"/>
        </w:rPr>
        <w:t>或《采购磋商担保函》复印件。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35"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6" w:name="_Toc13881"/>
      <w:bookmarkStart w:id="337" w:name="_Toc22736"/>
      <w:r>
        <w:rPr>
          <w:rFonts w:hint="eastAsia"/>
          <w:color w:val="auto"/>
          <w:highlight w:val="none"/>
          <w:lang w:val="en-US" w:eastAsia="zh-CN"/>
        </w:rPr>
        <w:t>第五章联合体共同报价协议书（如有需要）</w:t>
      </w:r>
      <w:bookmarkEnd w:id="336"/>
      <w:bookmarkEnd w:id="337"/>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35"/>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pStyle w:val="22"/>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2"/>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2">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3">
    <w:nsid w:val="316010E5"/>
    <w:multiLevelType w:val="singleLevel"/>
    <w:tmpl w:val="316010E5"/>
    <w:lvl w:ilvl="0" w:tentative="0">
      <w:start w:val="1"/>
      <w:numFmt w:val="decimal"/>
      <w:suff w:val="nothing"/>
      <w:lvlText w:val="%1．"/>
      <w:lvlJc w:val="left"/>
    </w:lvl>
  </w:abstractNum>
  <w:abstractNum w:abstractNumId="14">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5">
    <w:nsid w:val="3B1B8417"/>
    <w:multiLevelType w:val="singleLevel"/>
    <w:tmpl w:val="3B1B8417"/>
    <w:lvl w:ilvl="0" w:tentative="0">
      <w:start w:val="1"/>
      <w:numFmt w:val="decimal"/>
      <w:suff w:val="nothing"/>
      <w:lvlText w:val="%1、"/>
      <w:lvlJc w:val="left"/>
    </w:lvl>
  </w:abstractNum>
  <w:abstractNum w:abstractNumId="16">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7">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18">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19">
    <w:nsid w:val="6E5CE7BD"/>
    <w:multiLevelType w:val="singleLevel"/>
    <w:tmpl w:val="6E5CE7BD"/>
    <w:lvl w:ilvl="0" w:tentative="0">
      <w:start w:val="1"/>
      <w:numFmt w:val="chineseCounting"/>
      <w:suff w:val="nothing"/>
      <w:lvlText w:val="%1、"/>
      <w:lvlJc w:val="left"/>
      <w:rPr>
        <w:rFonts w:hint="eastAsia"/>
      </w:rPr>
    </w:lvl>
  </w:abstractNum>
  <w:abstractNum w:abstractNumId="20">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9"/>
  </w:num>
  <w:num w:numId="2">
    <w:abstractNumId w:val="15"/>
  </w:num>
  <w:num w:numId="3">
    <w:abstractNumId w:val="9"/>
  </w:num>
  <w:num w:numId="4">
    <w:abstractNumId w:val="20"/>
  </w:num>
  <w:num w:numId="5">
    <w:abstractNumId w:val="16"/>
  </w:num>
  <w:num w:numId="6">
    <w:abstractNumId w:val="4"/>
  </w:num>
  <w:num w:numId="7">
    <w:abstractNumId w:val="5"/>
  </w:num>
  <w:num w:numId="8">
    <w:abstractNumId w:val="0"/>
  </w:num>
  <w:num w:numId="9">
    <w:abstractNumId w:val="1"/>
  </w:num>
  <w:num w:numId="10">
    <w:abstractNumId w:val="14"/>
  </w:num>
  <w:num w:numId="11">
    <w:abstractNumId w:val="12"/>
  </w:num>
  <w:num w:numId="12">
    <w:abstractNumId w:val="7"/>
  </w:num>
  <w:num w:numId="13">
    <w:abstractNumId w:val="6"/>
  </w:num>
  <w:num w:numId="14">
    <w:abstractNumId w:val="17"/>
  </w:num>
  <w:num w:numId="15">
    <w:abstractNumId w:val="3"/>
  </w:num>
  <w:num w:numId="16">
    <w:abstractNumId w:val="11"/>
  </w:num>
  <w:num w:numId="17">
    <w:abstractNumId w:val="18"/>
  </w:num>
  <w:num w:numId="18">
    <w:abstractNumId w:val="8"/>
  </w:num>
  <w:num w:numId="19">
    <w:abstractNumId w:val="10"/>
  </w:num>
  <w:num w:numId="20">
    <w:abstractNumId w:val="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8767D1"/>
    <w:rsid w:val="03970A48"/>
    <w:rsid w:val="03A0770F"/>
    <w:rsid w:val="03A27BF9"/>
    <w:rsid w:val="03A448B8"/>
    <w:rsid w:val="03A4578A"/>
    <w:rsid w:val="03AD071E"/>
    <w:rsid w:val="03C25BB2"/>
    <w:rsid w:val="03D10969"/>
    <w:rsid w:val="04DD1658"/>
    <w:rsid w:val="04DF1036"/>
    <w:rsid w:val="050C4E6A"/>
    <w:rsid w:val="050F6021"/>
    <w:rsid w:val="05A97DEC"/>
    <w:rsid w:val="05C81981"/>
    <w:rsid w:val="06BC41F2"/>
    <w:rsid w:val="06DF3DBD"/>
    <w:rsid w:val="07197D08"/>
    <w:rsid w:val="071C2CFD"/>
    <w:rsid w:val="071E5C55"/>
    <w:rsid w:val="073A47CB"/>
    <w:rsid w:val="073F7319"/>
    <w:rsid w:val="07536A42"/>
    <w:rsid w:val="07595F41"/>
    <w:rsid w:val="07615EC0"/>
    <w:rsid w:val="07627E5A"/>
    <w:rsid w:val="077005AB"/>
    <w:rsid w:val="078F4581"/>
    <w:rsid w:val="07995C5E"/>
    <w:rsid w:val="07AC538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433CC7"/>
    <w:rsid w:val="0C7B2220"/>
    <w:rsid w:val="0D890E47"/>
    <w:rsid w:val="0DC64A00"/>
    <w:rsid w:val="0DFC60BA"/>
    <w:rsid w:val="0E194096"/>
    <w:rsid w:val="0E4249F1"/>
    <w:rsid w:val="0F6C5A53"/>
    <w:rsid w:val="0F7C5FF6"/>
    <w:rsid w:val="0FC63FBD"/>
    <w:rsid w:val="106C564D"/>
    <w:rsid w:val="107B7B8F"/>
    <w:rsid w:val="107C67CE"/>
    <w:rsid w:val="108F06C9"/>
    <w:rsid w:val="109D68CB"/>
    <w:rsid w:val="10A949B8"/>
    <w:rsid w:val="10C54639"/>
    <w:rsid w:val="11200D07"/>
    <w:rsid w:val="11DA73AF"/>
    <w:rsid w:val="12124B9A"/>
    <w:rsid w:val="12C60D80"/>
    <w:rsid w:val="131F7A3A"/>
    <w:rsid w:val="132645D0"/>
    <w:rsid w:val="134526D3"/>
    <w:rsid w:val="13455ABC"/>
    <w:rsid w:val="135033D0"/>
    <w:rsid w:val="1370322B"/>
    <w:rsid w:val="13B27845"/>
    <w:rsid w:val="13BE469F"/>
    <w:rsid w:val="13F87121"/>
    <w:rsid w:val="141A03E1"/>
    <w:rsid w:val="143B2E0B"/>
    <w:rsid w:val="1449014D"/>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9AB6BF7"/>
    <w:rsid w:val="1A297027"/>
    <w:rsid w:val="1A460CF5"/>
    <w:rsid w:val="1A676352"/>
    <w:rsid w:val="1A7F297D"/>
    <w:rsid w:val="1AB16AC1"/>
    <w:rsid w:val="1B034A52"/>
    <w:rsid w:val="1B132A8C"/>
    <w:rsid w:val="1B1F34AD"/>
    <w:rsid w:val="1B214FF1"/>
    <w:rsid w:val="1B8D5DC6"/>
    <w:rsid w:val="1BFE1D3B"/>
    <w:rsid w:val="1C2775EC"/>
    <w:rsid w:val="1C750ECE"/>
    <w:rsid w:val="1CA22168"/>
    <w:rsid w:val="1D0836D7"/>
    <w:rsid w:val="1D196139"/>
    <w:rsid w:val="1DB85900"/>
    <w:rsid w:val="1DF051AF"/>
    <w:rsid w:val="1E010AF7"/>
    <w:rsid w:val="1E0178EB"/>
    <w:rsid w:val="1E301173"/>
    <w:rsid w:val="1E311151"/>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2D14C08"/>
    <w:rsid w:val="23175889"/>
    <w:rsid w:val="238C2182"/>
    <w:rsid w:val="239015D1"/>
    <w:rsid w:val="23BB4E7D"/>
    <w:rsid w:val="23C172D6"/>
    <w:rsid w:val="23C60042"/>
    <w:rsid w:val="23DB7040"/>
    <w:rsid w:val="23F04F64"/>
    <w:rsid w:val="24814CBE"/>
    <w:rsid w:val="24AC168B"/>
    <w:rsid w:val="256B2DBE"/>
    <w:rsid w:val="258C3BEC"/>
    <w:rsid w:val="259572F8"/>
    <w:rsid w:val="25A92CDD"/>
    <w:rsid w:val="25E576CC"/>
    <w:rsid w:val="260E3862"/>
    <w:rsid w:val="26202A15"/>
    <w:rsid w:val="26206914"/>
    <w:rsid w:val="262569FC"/>
    <w:rsid w:val="26344C98"/>
    <w:rsid w:val="26F56CE2"/>
    <w:rsid w:val="27176ED6"/>
    <w:rsid w:val="27435D49"/>
    <w:rsid w:val="27A34F71"/>
    <w:rsid w:val="27B36A67"/>
    <w:rsid w:val="27EB0D9B"/>
    <w:rsid w:val="27F71B64"/>
    <w:rsid w:val="2862251F"/>
    <w:rsid w:val="286602C8"/>
    <w:rsid w:val="28665C95"/>
    <w:rsid w:val="28872B17"/>
    <w:rsid w:val="28A64522"/>
    <w:rsid w:val="28CC5B40"/>
    <w:rsid w:val="28E613C8"/>
    <w:rsid w:val="28FB7971"/>
    <w:rsid w:val="290B3EB9"/>
    <w:rsid w:val="291418C2"/>
    <w:rsid w:val="29471059"/>
    <w:rsid w:val="2950768C"/>
    <w:rsid w:val="297A5FC4"/>
    <w:rsid w:val="2A1113BC"/>
    <w:rsid w:val="2A586210"/>
    <w:rsid w:val="2A8D4F8F"/>
    <w:rsid w:val="2A911082"/>
    <w:rsid w:val="2A917B34"/>
    <w:rsid w:val="2AE3766F"/>
    <w:rsid w:val="2B7E4054"/>
    <w:rsid w:val="2BF22742"/>
    <w:rsid w:val="2C987C56"/>
    <w:rsid w:val="2CD56276"/>
    <w:rsid w:val="2CFF149A"/>
    <w:rsid w:val="2D201865"/>
    <w:rsid w:val="2D4B5CEA"/>
    <w:rsid w:val="2D652658"/>
    <w:rsid w:val="2DA65196"/>
    <w:rsid w:val="2DB31B82"/>
    <w:rsid w:val="2DC80C49"/>
    <w:rsid w:val="2DCA6355"/>
    <w:rsid w:val="2DF0699F"/>
    <w:rsid w:val="2E166748"/>
    <w:rsid w:val="2E556F01"/>
    <w:rsid w:val="2E8E20B4"/>
    <w:rsid w:val="2ED06066"/>
    <w:rsid w:val="2ED1223D"/>
    <w:rsid w:val="2EE470F7"/>
    <w:rsid w:val="2F000139"/>
    <w:rsid w:val="2F561B8A"/>
    <w:rsid w:val="2F9F42DC"/>
    <w:rsid w:val="2FE04319"/>
    <w:rsid w:val="2FF37AB3"/>
    <w:rsid w:val="304C58A4"/>
    <w:rsid w:val="30FF27D2"/>
    <w:rsid w:val="31170995"/>
    <w:rsid w:val="31264A30"/>
    <w:rsid w:val="31884E67"/>
    <w:rsid w:val="31A0275E"/>
    <w:rsid w:val="31B7357A"/>
    <w:rsid w:val="31E14405"/>
    <w:rsid w:val="31ED6B08"/>
    <w:rsid w:val="31F915C9"/>
    <w:rsid w:val="32610CE6"/>
    <w:rsid w:val="328464CE"/>
    <w:rsid w:val="32AB70C5"/>
    <w:rsid w:val="32DC33E0"/>
    <w:rsid w:val="331B172D"/>
    <w:rsid w:val="335D0AF5"/>
    <w:rsid w:val="33614D0F"/>
    <w:rsid w:val="3370088C"/>
    <w:rsid w:val="33A3154A"/>
    <w:rsid w:val="33DC2F78"/>
    <w:rsid w:val="3428227C"/>
    <w:rsid w:val="35260F83"/>
    <w:rsid w:val="35463755"/>
    <w:rsid w:val="35602226"/>
    <w:rsid w:val="356B72E7"/>
    <w:rsid w:val="3572424F"/>
    <w:rsid w:val="35FC3844"/>
    <w:rsid w:val="36794DEF"/>
    <w:rsid w:val="36AD519D"/>
    <w:rsid w:val="36B57705"/>
    <w:rsid w:val="374F1A0B"/>
    <w:rsid w:val="37A103ED"/>
    <w:rsid w:val="37EA5E6E"/>
    <w:rsid w:val="37FF016F"/>
    <w:rsid w:val="38427C0B"/>
    <w:rsid w:val="387C5ABE"/>
    <w:rsid w:val="389B3A1E"/>
    <w:rsid w:val="38EB6119"/>
    <w:rsid w:val="39557F91"/>
    <w:rsid w:val="39D709A6"/>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BF57BA"/>
    <w:rsid w:val="3CE114D9"/>
    <w:rsid w:val="3CF737A2"/>
    <w:rsid w:val="3CF7509A"/>
    <w:rsid w:val="3D10295A"/>
    <w:rsid w:val="3D3E702E"/>
    <w:rsid w:val="3D7518E2"/>
    <w:rsid w:val="3E0572FD"/>
    <w:rsid w:val="3E1A5292"/>
    <w:rsid w:val="3E5A7FE7"/>
    <w:rsid w:val="3E6510C7"/>
    <w:rsid w:val="3EC8179E"/>
    <w:rsid w:val="3EF66B2E"/>
    <w:rsid w:val="3F217914"/>
    <w:rsid w:val="3FD70BB0"/>
    <w:rsid w:val="3FE5635A"/>
    <w:rsid w:val="3FFB55AC"/>
    <w:rsid w:val="401C5F9D"/>
    <w:rsid w:val="401C690C"/>
    <w:rsid w:val="401D7195"/>
    <w:rsid w:val="40A51286"/>
    <w:rsid w:val="40CE3DC0"/>
    <w:rsid w:val="40D7455A"/>
    <w:rsid w:val="40E743E5"/>
    <w:rsid w:val="41050DA9"/>
    <w:rsid w:val="410F24FF"/>
    <w:rsid w:val="4110038E"/>
    <w:rsid w:val="41734CBA"/>
    <w:rsid w:val="41DD7057"/>
    <w:rsid w:val="420F7A65"/>
    <w:rsid w:val="4216611A"/>
    <w:rsid w:val="423E300F"/>
    <w:rsid w:val="425656C8"/>
    <w:rsid w:val="4257273C"/>
    <w:rsid w:val="425D7213"/>
    <w:rsid w:val="42677B61"/>
    <w:rsid w:val="42756DB0"/>
    <w:rsid w:val="428F2215"/>
    <w:rsid w:val="42B21AD2"/>
    <w:rsid w:val="42FD694D"/>
    <w:rsid w:val="434A6D8F"/>
    <w:rsid w:val="4397723B"/>
    <w:rsid w:val="43FA5777"/>
    <w:rsid w:val="44044D92"/>
    <w:rsid w:val="441C1611"/>
    <w:rsid w:val="443C440B"/>
    <w:rsid w:val="443F7DBF"/>
    <w:rsid w:val="444858D3"/>
    <w:rsid w:val="44514F52"/>
    <w:rsid w:val="448965CB"/>
    <w:rsid w:val="44C5497E"/>
    <w:rsid w:val="44EF6B8D"/>
    <w:rsid w:val="44FA2D53"/>
    <w:rsid w:val="45201736"/>
    <w:rsid w:val="4571374F"/>
    <w:rsid w:val="458B1BB0"/>
    <w:rsid w:val="45A67760"/>
    <w:rsid w:val="4611075B"/>
    <w:rsid w:val="46214818"/>
    <w:rsid w:val="467A0297"/>
    <w:rsid w:val="468B7125"/>
    <w:rsid w:val="46BF6A56"/>
    <w:rsid w:val="46C4691F"/>
    <w:rsid w:val="47841568"/>
    <w:rsid w:val="479D1D34"/>
    <w:rsid w:val="47B609C0"/>
    <w:rsid w:val="47CF543E"/>
    <w:rsid w:val="482D31EA"/>
    <w:rsid w:val="485970A0"/>
    <w:rsid w:val="48847961"/>
    <w:rsid w:val="48952BB8"/>
    <w:rsid w:val="48A41906"/>
    <w:rsid w:val="48B65C71"/>
    <w:rsid w:val="48BB5EC4"/>
    <w:rsid w:val="48F303D7"/>
    <w:rsid w:val="490256AB"/>
    <w:rsid w:val="492837FF"/>
    <w:rsid w:val="492E6A57"/>
    <w:rsid w:val="498A6710"/>
    <w:rsid w:val="49B86103"/>
    <w:rsid w:val="4A0030EE"/>
    <w:rsid w:val="4AB75B3A"/>
    <w:rsid w:val="4AC36065"/>
    <w:rsid w:val="4B560086"/>
    <w:rsid w:val="4B7501F5"/>
    <w:rsid w:val="4B8C2DEB"/>
    <w:rsid w:val="4BA17066"/>
    <w:rsid w:val="4BFA3C9F"/>
    <w:rsid w:val="4C0E3379"/>
    <w:rsid w:val="4C107F48"/>
    <w:rsid w:val="4C3277BC"/>
    <w:rsid w:val="4C630155"/>
    <w:rsid w:val="4C686851"/>
    <w:rsid w:val="4CC353EB"/>
    <w:rsid w:val="4CF301BE"/>
    <w:rsid w:val="4CF36F3C"/>
    <w:rsid w:val="4CFC69A5"/>
    <w:rsid w:val="4D4F67BA"/>
    <w:rsid w:val="4D603399"/>
    <w:rsid w:val="4D867EE1"/>
    <w:rsid w:val="4DBC4C65"/>
    <w:rsid w:val="4DF6568D"/>
    <w:rsid w:val="4E2E1A80"/>
    <w:rsid w:val="4E550010"/>
    <w:rsid w:val="4E5F14CB"/>
    <w:rsid w:val="4EED7FC5"/>
    <w:rsid w:val="4F3705F8"/>
    <w:rsid w:val="4F5709D7"/>
    <w:rsid w:val="4FAC3540"/>
    <w:rsid w:val="4FBB12F4"/>
    <w:rsid w:val="4FCF1583"/>
    <w:rsid w:val="4FFA7625"/>
    <w:rsid w:val="501B0BF9"/>
    <w:rsid w:val="507D2599"/>
    <w:rsid w:val="5096229D"/>
    <w:rsid w:val="50B44FCE"/>
    <w:rsid w:val="50DC4184"/>
    <w:rsid w:val="51475B39"/>
    <w:rsid w:val="514C3EA7"/>
    <w:rsid w:val="515D65AF"/>
    <w:rsid w:val="519849E5"/>
    <w:rsid w:val="51B36892"/>
    <w:rsid w:val="51E44D3C"/>
    <w:rsid w:val="524A036B"/>
    <w:rsid w:val="52506DA7"/>
    <w:rsid w:val="526535E5"/>
    <w:rsid w:val="529D471C"/>
    <w:rsid w:val="53120290"/>
    <w:rsid w:val="533B2B84"/>
    <w:rsid w:val="537A7243"/>
    <w:rsid w:val="539C1B81"/>
    <w:rsid w:val="53AA6184"/>
    <w:rsid w:val="53AE750F"/>
    <w:rsid w:val="53EB0895"/>
    <w:rsid w:val="53EF7EC9"/>
    <w:rsid w:val="53F263AD"/>
    <w:rsid w:val="54693932"/>
    <w:rsid w:val="549A6BFA"/>
    <w:rsid w:val="54A6423F"/>
    <w:rsid w:val="54E36107"/>
    <w:rsid w:val="54E72921"/>
    <w:rsid w:val="54F635B8"/>
    <w:rsid w:val="55441C4B"/>
    <w:rsid w:val="55806F07"/>
    <w:rsid w:val="55A44ACC"/>
    <w:rsid w:val="55FA2961"/>
    <w:rsid w:val="56383368"/>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994E84"/>
    <w:rsid w:val="5AC7121C"/>
    <w:rsid w:val="5AD90B8D"/>
    <w:rsid w:val="5AE12927"/>
    <w:rsid w:val="5B2243E9"/>
    <w:rsid w:val="5B4E1A44"/>
    <w:rsid w:val="5B666742"/>
    <w:rsid w:val="5B6919B0"/>
    <w:rsid w:val="5B873201"/>
    <w:rsid w:val="5B89551D"/>
    <w:rsid w:val="5B967767"/>
    <w:rsid w:val="5B9E55DE"/>
    <w:rsid w:val="5BCA288C"/>
    <w:rsid w:val="5BEB3C95"/>
    <w:rsid w:val="5C1D18D2"/>
    <w:rsid w:val="5C286807"/>
    <w:rsid w:val="5C446BC8"/>
    <w:rsid w:val="5C4C687B"/>
    <w:rsid w:val="5C7C2768"/>
    <w:rsid w:val="5CAB4E53"/>
    <w:rsid w:val="5CB23AE6"/>
    <w:rsid w:val="5CC7019C"/>
    <w:rsid w:val="5CF55792"/>
    <w:rsid w:val="5CFD533A"/>
    <w:rsid w:val="5D2F72C2"/>
    <w:rsid w:val="5D893B14"/>
    <w:rsid w:val="5E2810D5"/>
    <w:rsid w:val="5E2B7D62"/>
    <w:rsid w:val="5E71411E"/>
    <w:rsid w:val="5EA06921"/>
    <w:rsid w:val="5ED5006A"/>
    <w:rsid w:val="5F46527F"/>
    <w:rsid w:val="5F576E4B"/>
    <w:rsid w:val="5F5D1728"/>
    <w:rsid w:val="5F5D4EDE"/>
    <w:rsid w:val="5F73164A"/>
    <w:rsid w:val="5F7A2C30"/>
    <w:rsid w:val="5FBE370A"/>
    <w:rsid w:val="5FD62906"/>
    <w:rsid w:val="60292845"/>
    <w:rsid w:val="61027308"/>
    <w:rsid w:val="612E1A5D"/>
    <w:rsid w:val="61544D43"/>
    <w:rsid w:val="615F1579"/>
    <w:rsid w:val="61816046"/>
    <w:rsid w:val="62182687"/>
    <w:rsid w:val="62391564"/>
    <w:rsid w:val="62697E9C"/>
    <w:rsid w:val="62816669"/>
    <w:rsid w:val="62BA0953"/>
    <w:rsid w:val="62D03A7C"/>
    <w:rsid w:val="62E8765C"/>
    <w:rsid w:val="62F16BCB"/>
    <w:rsid w:val="62F62419"/>
    <w:rsid w:val="62F648FE"/>
    <w:rsid w:val="63341DB1"/>
    <w:rsid w:val="63447612"/>
    <w:rsid w:val="63907004"/>
    <w:rsid w:val="639A73C1"/>
    <w:rsid w:val="63A10995"/>
    <w:rsid w:val="63C23EFA"/>
    <w:rsid w:val="63E52E10"/>
    <w:rsid w:val="643A070A"/>
    <w:rsid w:val="644C573D"/>
    <w:rsid w:val="648667A7"/>
    <w:rsid w:val="64DB383A"/>
    <w:rsid w:val="64FC184A"/>
    <w:rsid w:val="65032F85"/>
    <w:rsid w:val="65136B50"/>
    <w:rsid w:val="657E2A35"/>
    <w:rsid w:val="65A94E9D"/>
    <w:rsid w:val="65C60A92"/>
    <w:rsid w:val="65DB7473"/>
    <w:rsid w:val="65F3550D"/>
    <w:rsid w:val="662203DD"/>
    <w:rsid w:val="666B723B"/>
    <w:rsid w:val="6678045A"/>
    <w:rsid w:val="66DD6702"/>
    <w:rsid w:val="679406CB"/>
    <w:rsid w:val="67C35C0B"/>
    <w:rsid w:val="681233D2"/>
    <w:rsid w:val="681D5EE5"/>
    <w:rsid w:val="68652AB3"/>
    <w:rsid w:val="689F1926"/>
    <w:rsid w:val="68AD17BB"/>
    <w:rsid w:val="68D94D22"/>
    <w:rsid w:val="6928354F"/>
    <w:rsid w:val="692B2E4A"/>
    <w:rsid w:val="694303FB"/>
    <w:rsid w:val="696A0B34"/>
    <w:rsid w:val="698D6A17"/>
    <w:rsid w:val="699309CE"/>
    <w:rsid w:val="69A233E7"/>
    <w:rsid w:val="69EE3535"/>
    <w:rsid w:val="69EE71FF"/>
    <w:rsid w:val="69F954C1"/>
    <w:rsid w:val="6A2031B6"/>
    <w:rsid w:val="6A440C53"/>
    <w:rsid w:val="6AC61F6F"/>
    <w:rsid w:val="6ADE74F0"/>
    <w:rsid w:val="6B1002C0"/>
    <w:rsid w:val="6B1565F5"/>
    <w:rsid w:val="6B1F5CFA"/>
    <w:rsid w:val="6B723594"/>
    <w:rsid w:val="6B805156"/>
    <w:rsid w:val="6B8D6DF1"/>
    <w:rsid w:val="6BD50977"/>
    <w:rsid w:val="6BEA2A9B"/>
    <w:rsid w:val="6C9C0875"/>
    <w:rsid w:val="6C9D1F03"/>
    <w:rsid w:val="6CAA3931"/>
    <w:rsid w:val="6D3933CA"/>
    <w:rsid w:val="6D7B61EC"/>
    <w:rsid w:val="6DD049FF"/>
    <w:rsid w:val="6E09491E"/>
    <w:rsid w:val="6E0D3655"/>
    <w:rsid w:val="6E5F4465"/>
    <w:rsid w:val="6E8C54DA"/>
    <w:rsid w:val="6EF11E03"/>
    <w:rsid w:val="6F111C62"/>
    <w:rsid w:val="6F2176E5"/>
    <w:rsid w:val="6F3053CA"/>
    <w:rsid w:val="6F36242A"/>
    <w:rsid w:val="6F592303"/>
    <w:rsid w:val="6F5F5B74"/>
    <w:rsid w:val="6F9B1C65"/>
    <w:rsid w:val="6FD47A25"/>
    <w:rsid w:val="6FF44026"/>
    <w:rsid w:val="6FFB146E"/>
    <w:rsid w:val="70096DC1"/>
    <w:rsid w:val="701A5C74"/>
    <w:rsid w:val="706516C3"/>
    <w:rsid w:val="70864A71"/>
    <w:rsid w:val="70896E68"/>
    <w:rsid w:val="71121B1F"/>
    <w:rsid w:val="71181A12"/>
    <w:rsid w:val="714556B4"/>
    <w:rsid w:val="715B60E9"/>
    <w:rsid w:val="71E96309"/>
    <w:rsid w:val="71EA1FED"/>
    <w:rsid w:val="72284A0C"/>
    <w:rsid w:val="72854629"/>
    <w:rsid w:val="72C16204"/>
    <w:rsid w:val="72DA5116"/>
    <w:rsid w:val="730313F6"/>
    <w:rsid w:val="730704A2"/>
    <w:rsid w:val="731E1007"/>
    <w:rsid w:val="73370D24"/>
    <w:rsid w:val="7359268C"/>
    <w:rsid w:val="739503EB"/>
    <w:rsid w:val="73A05B28"/>
    <w:rsid w:val="73C07D69"/>
    <w:rsid w:val="743C423C"/>
    <w:rsid w:val="749E2255"/>
    <w:rsid w:val="74B42AE4"/>
    <w:rsid w:val="750A429D"/>
    <w:rsid w:val="75167F59"/>
    <w:rsid w:val="755D38A7"/>
    <w:rsid w:val="755F5A0F"/>
    <w:rsid w:val="75614792"/>
    <w:rsid w:val="75784473"/>
    <w:rsid w:val="75790A02"/>
    <w:rsid w:val="757E044C"/>
    <w:rsid w:val="75977BC3"/>
    <w:rsid w:val="75B161B3"/>
    <w:rsid w:val="75E2563F"/>
    <w:rsid w:val="75E470E3"/>
    <w:rsid w:val="76736B32"/>
    <w:rsid w:val="767B1FA0"/>
    <w:rsid w:val="76E3765E"/>
    <w:rsid w:val="76FC2AFA"/>
    <w:rsid w:val="773F0836"/>
    <w:rsid w:val="77653671"/>
    <w:rsid w:val="77837643"/>
    <w:rsid w:val="778546CC"/>
    <w:rsid w:val="77B339CD"/>
    <w:rsid w:val="77B56730"/>
    <w:rsid w:val="77C04A8B"/>
    <w:rsid w:val="77D85DB3"/>
    <w:rsid w:val="780252A0"/>
    <w:rsid w:val="78027772"/>
    <w:rsid w:val="78A50513"/>
    <w:rsid w:val="793B7339"/>
    <w:rsid w:val="796518DD"/>
    <w:rsid w:val="796D49EF"/>
    <w:rsid w:val="796E0C55"/>
    <w:rsid w:val="79AA0532"/>
    <w:rsid w:val="79F70999"/>
    <w:rsid w:val="79FE1DDD"/>
    <w:rsid w:val="7A075767"/>
    <w:rsid w:val="7A212062"/>
    <w:rsid w:val="7A282A11"/>
    <w:rsid w:val="7A3D0290"/>
    <w:rsid w:val="7A874A29"/>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B576FB"/>
    <w:rsid w:val="7DCA1E7A"/>
    <w:rsid w:val="7E0C6B6D"/>
    <w:rsid w:val="7E2142A2"/>
    <w:rsid w:val="7E4F5384"/>
    <w:rsid w:val="7E5A6DFA"/>
    <w:rsid w:val="7E7B0BF2"/>
    <w:rsid w:val="7E7C7A78"/>
    <w:rsid w:val="7E8D75B6"/>
    <w:rsid w:val="7EB2417D"/>
    <w:rsid w:val="7EF760EE"/>
    <w:rsid w:val="7F2A21E7"/>
    <w:rsid w:val="7FA33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8"/>
    <w:semiHidden/>
    <w:unhideWhenUsed/>
    <w:qFormat/>
    <w:uiPriority w:val="99"/>
    <w:pPr>
      <w:spacing w:after="0"/>
    </w:pPr>
    <w:rPr>
      <w:sz w:val="18"/>
      <w:szCs w:val="18"/>
    </w:rPr>
  </w:style>
  <w:style w:type="paragraph" w:styleId="12">
    <w:name w:val="footer"/>
    <w:basedOn w:val="1"/>
    <w:link w:val="47"/>
    <w:unhideWhenUsed/>
    <w:qFormat/>
    <w:uiPriority w:val="99"/>
    <w:pPr>
      <w:tabs>
        <w:tab w:val="center" w:pos="4153"/>
        <w:tab w:val="right" w:pos="8306"/>
      </w:tabs>
    </w:pPr>
    <w:rPr>
      <w:sz w:val="18"/>
      <w:szCs w:val="18"/>
    </w:rPr>
  </w:style>
  <w:style w:type="paragraph" w:styleId="13">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6"/>
    <w:basedOn w:val="1"/>
    <w:next w:val="1"/>
    <w:qFormat/>
    <w:uiPriority w:val="0"/>
    <w:pPr>
      <w:ind w:left="1200"/>
    </w:pPr>
    <w:rPr>
      <w:rFonts w:ascii="Calibri" w:cs="Calibri"/>
      <w:sz w:val="18"/>
      <w:szCs w:val="18"/>
    </w:rPr>
  </w:style>
  <w:style w:type="paragraph" w:styleId="20">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1">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paragraph" w:styleId="22">
    <w:name w:val="Body Text First Indent"/>
    <w:basedOn w:val="7"/>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2"/>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9"/>
    <w:semiHidden/>
    <w:qFormat/>
    <w:uiPriority w:val="99"/>
    <w:rPr>
      <w:rFonts w:ascii="宋体" w:hAnsi="Courier New" w:eastAsia="宋体" w:cs="Courier New"/>
      <w:sz w:val="21"/>
      <w:szCs w:val="21"/>
    </w:rPr>
  </w:style>
  <w:style w:type="character" w:customStyle="1" w:styleId="46">
    <w:name w:val="页眉 Char"/>
    <w:basedOn w:val="25"/>
    <w:link w:val="13"/>
    <w:qFormat/>
    <w:uiPriority w:val="99"/>
    <w:rPr>
      <w:rFonts w:ascii="Tahoma" w:hAnsi="Tahoma"/>
      <w:sz w:val="18"/>
      <w:szCs w:val="18"/>
    </w:rPr>
  </w:style>
  <w:style w:type="character" w:customStyle="1" w:styleId="47">
    <w:name w:val="页脚 Char"/>
    <w:basedOn w:val="25"/>
    <w:link w:val="12"/>
    <w:qFormat/>
    <w:uiPriority w:val="99"/>
    <w:rPr>
      <w:rFonts w:ascii="Tahoma" w:hAnsi="Tahoma"/>
      <w:sz w:val="18"/>
      <w:szCs w:val="18"/>
    </w:rPr>
  </w:style>
  <w:style w:type="character" w:customStyle="1" w:styleId="48">
    <w:name w:val="批注框文本 Char"/>
    <w:basedOn w:val="25"/>
    <w:link w:val="11"/>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1"/>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table" w:customStyle="1" w:styleId="5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72</Pages>
  <Words>30868</Words>
  <Characters>31587</Characters>
  <Lines>264</Lines>
  <Paragraphs>74</Paragraphs>
  <TotalTime>31</TotalTime>
  <ScaleCrop>false</ScaleCrop>
  <LinksUpToDate>false</LinksUpToDate>
  <CharactersWithSpaces>34057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2023-08-14T03:59:58Z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62916D1AF2EB401E862603B79D107EE8_13</vt:lpwstr>
  </property>
</Properties>
</file>