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outlineLvl w:val="0"/>
        <w:rPr>
          <w:b/>
          <w:color w:val="auto"/>
          <w:sz w:val="72"/>
          <w:szCs w:val="32"/>
          <w:highlight w:val="none"/>
        </w:rPr>
      </w:pPr>
      <w:bookmarkStart w:id="0" w:name="_Toc14507"/>
      <w:r>
        <w:rPr>
          <w:rFonts w:hint="eastAsia" w:ascii="黑体" w:eastAsia="黑体"/>
          <w:b/>
          <w:color w:val="auto"/>
          <w:sz w:val="72"/>
          <w:szCs w:val="32"/>
          <w:highlight w:val="none"/>
        </w:rPr>
        <w:t>公开招标文件</w:t>
      </w:r>
      <w:bookmarkEnd w:id="0"/>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8"/>
        <w:ind w:left="0" w:firstLine="0" w:firstLineChars="0"/>
        <w:rPr>
          <w:rFonts w:ascii="黑体" w:eastAsia="黑体"/>
          <w:color w:val="auto"/>
          <w:szCs w:val="21"/>
          <w:highlight w:val="none"/>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GDZT2023140C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常平镇屋厦桥泵站干渠水质提升运维服务项目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东莞市常平镇水务工程运营中心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outlineLvl w:val="1"/>
        <w:rPr>
          <w:rFonts w:hint="eastAsia" w:ascii="宋体" w:hAnsi="宋体" w:eastAsia="宋体" w:cs="宋体"/>
          <w:b/>
          <w:bCs w:val="0"/>
          <w:color w:val="auto"/>
          <w:sz w:val="21"/>
          <w:szCs w:val="21"/>
          <w:highlight w:val="none"/>
          <w:u w:val="none"/>
        </w:rPr>
      </w:pPr>
      <w:bookmarkStart w:id="1" w:name="_Toc8878"/>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bookmarkEnd w:id="1"/>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outlineLvl w:val="1"/>
        <w:rPr>
          <w:rFonts w:hint="eastAsia" w:ascii="宋体" w:hAnsi="宋体" w:eastAsia="宋体" w:cs="宋体"/>
          <w:b/>
          <w:bCs w:val="0"/>
          <w:color w:val="auto"/>
          <w:sz w:val="21"/>
          <w:szCs w:val="21"/>
          <w:highlight w:val="none"/>
          <w:u w:val="none"/>
        </w:rPr>
      </w:pPr>
      <w:bookmarkStart w:id="2" w:name="_Toc28947"/>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bookmarkEnd w:id="2"/>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outlineLvl w:val="1"/>
        <w:rPr>
          <w:rFonts w:hint="eastAsia" w:ascii="宋体" w:hAnsi="宋体" w:eastAsia="宋体" w:cs="宋体"/>
          <w:b/>
          <w:bCs w:val="0"/>
          <w:color w:val="auto"/>
          <w:sz w:val="21"/>
          <w:szCs w:val="21"/>
          <w:highlight w:val="none"/>
          <w:u w:val="none"/>
        </w:rPr>
      </w:pPr>
      <w:bookmarkStart w:id="3" w:name="_Toc19015"/>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bookmarkEnd w:id="3"/>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outlineLvl w:val="1"/>
        <w:rPr>
          <w:rFonts w:hint="default" w:ascii="宋体" w:hAnsi="宋体" w:eastAsia="宋体" w:cs="宋体"/>
          <w:b/>
          <w:bCs w:val="0"/>
          <w:color w:val="auto"/>
          <w:sz w:val="21"/>
          <w:szCs w:val="21"/>
          <w:highlight w:val="none"/>
          <w:u w:val="none"/>
          <w:lang w:val="en-US" w:eastAsia="zh-CN"/>
        </w:rPr>
      </w:pPr>
      <w:bookmarkStart w:id="4" w:name="_Toc29808"/>
      <w:r>
        <w:rPr>
          <w:rFonts w:hint="eastAsia" w:ascii="宋体" w:hAnsi="宋体" w:eastAsia="宋体" w:cs="宋体"/>
          <w:b/>
          <w:bCs w:val="0"/>
          <w:color w:val="auto"/>
          <w:sz w:val="21"/>
          <w:szCs w:val="21"/>
          <w:highlight w:val="none"/>
          <w:u w:val="none"/>
          <w:lang w:val="en-US" w:eastAsia="zh-CN"/>
        </w:rPr>
        <w:t>9、公司位置：</w:t>
      </w:r>
      <w:bookmarkEnd w:id="4"/>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sdt>
      <w:sdtPr>
        <w:rPr>
          <w:rFonts w:ascii="宋体" w:hAnsi="宋体" w:eastAsia="宋体" w:cstheme="minorBidi"/>
          <w:b/>
          <w:bCs/>
          <w:color w:val="auto"/>
          <w:sz w:val="36"/>
          <w:szCs w:val="40"/>
          <w:highlight w:val="none"/>
          <w:lang w:val="en-US" w:eastAsia="zh-CN" w:bidi="ar-SA"/>
        </w:rPr>
        <w:id w:val="147481221"/>
        <w15:color w:val="DBDBDB"/>
        <w:docPartObj>
          <w:docPartGallery w:val="Table of Contents"/>
          <w:docPartUnique/>
        </w:docPartObj>
      </w:sdtPr>
      <w:sdtEndPr>
        <w:rPr>
          <w:rFonts w:ascii="Tahoma" w:hAnsi="Tahoma" w:eastAsia="宋体" w:cs="宋体"/>
          <w:b/>
          <w:bCs/>
          <w:color w:val="auto"/>
          <w:sz w:val="21"/>
          <w:szCs w:val="21"/>
          <w:highlight w:val="none"/>
          <w:lang w:val="en-US" w:eastAsia="zh-CN" w:bidi="ar-SA"/>
        </w:rPr>
      </w:sdtEndPr>
      <w:sdtContent>
        <w:p>
          <w:pPr>
            <w:spacing w:before="0" w:beforeLines="0" w:after="0" w:afterLines="0" w:line="240" w:lineRule="auto"/>
            <w:ind w:left="0" w:leftChars="0" w:right="0" w:rightChars="0" w:firstLine="0" w:firstLineChars="0"/>
            <w:jc w:val="center"/>
            <w:rPr>
              <w:b/>
              <w:bCs/>
              <w:color w:val="auto"/>
              <w:sz w:val="36"/>
              <w:szCs w:val="40"/>
              <w:highlight w:val="none"/>
            </w:rPr>
          </w:pPr>
          <w:r>
            <w:rPr>
              <w:rFonts w:ascii="宋体" w:hAnsi="宋体" w:eastAsia="宋体"/>
              <w:b/>
              <w:bCs/>
              <w:color w:val="auto"/>
              <w:sz w:val="36"/>
              <w:szCs w:val="40"/>
              <w:highlight w:val="none"/>
            </w:rPr>
            <w:t>目录</w:t>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"1-3"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_Toc24709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_Toc24709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_Toc22701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_Toc22701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_Toc16345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_Toc16345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_Toc16227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_Toc16227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_Toc26239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_Toc26239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_Toc16937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_Toc11577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_Toc11577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_Toc32451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_Toc32451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_Toc16236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_Toc16236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_Toc19499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_Toc19499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_Toc12387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_Toc12387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_Toc24461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_Toc19431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_Toc19431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_Toc9271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_Toc16226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_Toc16226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_Toc5356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_Toc5356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_Toc30685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_Toc28372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_Toc14526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_Toc20264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_Toc20264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1"/>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_Toc10260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_Toc10789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_Toc10789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_Toc19474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_Toc19474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_Toc9417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_Toc22560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_Toc22560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_Toc30649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_Toc11070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_Toc11070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_Toc8304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_Toc8304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72"/>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_Toc9773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sdtContent>
    </w:sdt>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outlineLvl w:val="0"/>
        <w:rPr>
          <w:color w:val="auto"/>
          <w:sz w:val="28"/>
          <w:szCs w:val="28"/>
          <w:highlight w:val="none"/>
        </w:rPr>
      </w:pPr>
      <w:bookmarkStart w:id="5" w:name="_Toc17306"/>
      <w:bookmarkStart w:id="6" w:name="_Toc2456"/>
      <w:bookmarkStart w:id="7" w:name="_Toc3033"/>
      <w:r>
        <w:rPr>
          <w:rFonts w:hint="eastAsia"/>
          <w:color w:val="auto"/>
          <w:sz w:val="28"/>
          <w:szCs w:val="28"/>
          <w:highlight w:val="none"/>
        </w:rPr>
        <w:t>第一部分 投标邀请</w:t>
      </w:r>
      <w:bookmarkEnd w:id="5"/>
      <w:bookmarkEnd w:id="6"/>
      <w:bookmarkEnd w:id="7"/>
    </w:p>
    <w:p>
      <w:pPr>
        <w:pStyle w:val="4"/>
        <w:jc w:val="center"/>
        <w:outlineLvl w:val="1"/>
        <w:rPr>
          <w:rFonts w:ascii="宋体" w:hAnsi="宋体" w:cs="宋体"/>
          <w:color w:val="auto"/>
          <w:highlight w:val="none"/>
        </w:rPr>
      </w:pPr>
      <w:bookmarkStart w:id="8" w:name="_Toc7779"/>
      <w:bookmarkStart w:id="9" w:name="_Toc8850"/>
      <w:bookmarkStart w:id="10" w:name="_Toc7123"/>
      <w:bookmarkStart w:id="11" w:name="_Toc1420"/>
      <w:r>
        <w:rPr>
          <w:rFonts w:hint="eastAsia" w:ascii="宋体" w:hAnsi="宋体" w:cs="宋体"/>
          <w:color w:val="auto"/>
          <w:highlight w:val="none"/>
        </w:rPr>
        <w:t>投标邀请书</w:t>
      </w:r>
      <w:bookmarkEnd w:id="8"/>
      <w:bookmarkEnd w:id="9"/>
      <w:bookmarkEnd w:id="10"/>
      <w:bookmarkEnd w:id="11"/>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东莞市常平镇水务工程运营中心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常平镇屋厦桥泵站干渠水质提升运维服务项目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outlineLvl w:val="1"/>
        <w:rPr>
          <w:rFonts w:ascii="宋体" w:hAnsi="宋体"/>
          <w:b/>
          <w:color w:val="auto"/>
          <w:szCs w:val="21"/>
          <w:highlight w:val="none"/>
        </w:rPr>
      </w:pPr>
      <w:bookmarkStart w:id="12" w:name="_Toc19751"/>
      <w:r>
        <w:rPr>
          <w:rFonts w:hint="eastAsia" w:ascii="宋体" w:hAnsi="宋体"/>
          <w:b/>
          <w:color w:val="auto"/>
          <w:szCs w:val="21"/>
          <w:highlight w:val="none"/>
        </w:rPr>
        <w:t>招标项目信息</w:t>
      </w:r>
      <w:bookmarkEnd w:id="12"/>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GDZT2023140C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常平镇屋厦桥泵站干渠水质提升运维</w:t>
      </w:r>
      <w:r>
        <w:rPr>
          <w:rFonts w:hint="eastAsia" w:ascii="宋体" w:hAnsi="宋体"/>
          <w:b w:val="0"/>
          <w:bCs w:val="0"/>
          <w:color w:val="auto"/>
          <w:szCs w:val="21"/>
          <w:highlight w:val="none"/>
          <w:u w:val="none"/>
          <w:lang w:eastAsia="zh-CN"/>
        </w:rPr>
        <w:t>服务</w:t>
      </w:r>
      <w:r>
        <w:rPr>
          <w:rFonts w:hint="eastAsia" w:ascii="宋体" w:hAnsi="宋体" w:cs="宋体"/>
          <w:color w:val="auto"/>
          <w:szCs w:val="21"/>
          <w:highlight w:val="none"/>
          <w:u w:val="none"/>
          <w:lang w:eastAsia="zh-CN"/>
        </w:rPr>
        <w:t>项</w:t>
      </w:r>
      <w:r>
        <w:rPr>
          <w:rFonts w:hint="eastAsia" w:ascii="宋体" w:hAnsi="宋体" w:cs="宋体"/>
          <w:color w:val="auto"/>
          <w:szCs w:val="21"/>
          <w:highlight w:val="none"/>
          <w:lang w:eastAsia="zh-CN"/>
        </w:rPr>
        <w:t>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7"/>
        <w:gridCol w:w="5621"/>
        <w:gridCol w:w="67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3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0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86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8"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371" w:type="pct"/>
            <w:noWrap/>
            <w:tcMar>
              <w:top w:w="15" w:type="dxa"/>
              <w:left w:w="15" w:type="dxa"/>
              <w:right w:w="15" w:type="dxa"/>
            </w:tcMar>
            <w:vAlign w:val="center"/>
          </w:tcPr>
          <w:p>
            <w:pPr>
              <w:spacing w:line="240" w:lineRule="auto"/>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常平镇屋厦桥泵站干渠水质提升运维</w:t>
            </w:r>
            <w:r>
              <w:rPr>
                <w:rFonts w:hint="eastAsia" w:ascii="宋体" w:hAnsi="宋体"/>
                <w:b/>
                <w:bCs/>
                <w:color w:val="auto"/>
                <w:szCs w:val="21"/>
                <w:highlight w:val="none"/>
                <w:u w:val="single"/>
                <w:lang w:eastAsia="zh-CN"/>
              </w:rPr>
              <w:t>服务</w:t>
            </w:r>
            <w:r>
              <w:rPr>
                <w:rFonts w:hint="eastAsia" w:ascii="宋体" w:hAnsi="宋体" w:cs="宋体"/>
                <w:b/>
                <w:bCs/>
                <w:color w:val="auto"/>
                <w:szCs w:val="21"/>
                <w:highlight w:val="none"/>
                <w:lang w:eastAsia="zh-CN"/>
              </w:rPr>
              <w:t>项目</w:t>
            </w:r>
          </w:p>
        </w:tc>
        <w:tc>
          <w:tcPr>
            <w:tcW w:w="401" w:type="pct"/>
            <w:noWrap/>
            <w:tcMar>
              <w:top w:w="15" w:type="dxa"/>
              <w:left w:w="15" w:type="dxa"/>
              <w:right w:w="15" w:type="dxa"/>
            </w:tcMar>
            <w:vAlign w:val="center"/>
          </w:tcPr>
          <w:p>
            <w:pPr>
              <w:spacing w:line="240" w:lineRule="auto"/>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1项</w:t>
            </w:r>
          </w:p>
        </w:tc>
        <w:tc>
          <w:tcPr>
            <w:tcW w:w="86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739,068.84</w:t>
            </w:r>
            <w:r>
              <w:rPr>
                <w:rFonts w:hint="eastAsia" w:ascii="宋体" w:hAnsi="宋体"/>
                <w:b/>
                <w:bCs/>
                <w:color w:val="auto"/>
                <w:szCs w:val="21"/>
                <w:highlight w:val="none"/>
              </w:rPr>
              <w:t>元</w:t>
            </w:r>
          </w:p>
        </w:tc>
      </w:tr>
    </w:tbl>
    <w:p>
      <w:pPr>
        <w:pStyle w:val="7"/>
        <w:spacing w:before="0"/>
        <w:ind w:left="0"/>
        <w:rPr>
          <w:color w:val="auto"/>
          <w:sz w:val="21"/>
          <w:szCs w:val="21"/>
          <w:highlight w:val="none"/>
        </w:rPr>
      </w:pPr>
    </w:p>
    <w:p>
      <w:pPr>
        <w:ind w:firstLine="413" w:firstLineChars="196"/>
        <w:outlineLvl w:val="1"/>
        <w:rPr>
          <w:rFonts w:ascii="宋体" w:hAnsi="宋体"/>
          <w:b/>
          <w:color w:val="auto"/>
          <w:szCs w:val="21"/>
          <w:highlight w:val="none"/>
        </w:rPr>
      </w:pPr>
      <w:bookmarkStart w:id="13" w:name="_Toc31652"/>
      <w:r>
        <w:rPr>
          <w:rFonts w:hint="eastAsia" w:ascii="宋体" w:hAnsi="宋体"/>
          <w:b/>
          <w:color w:val="auto"/>
          <w:szCs w:val="21"/>
          <w:highlight w:val="none"/>
        </w:rPr>
        <w:t>二、投标人资格要求</w:t>
      </w:r>
      <w:bookmarkEnd w:id="13"/>
    </w:p>
    <w:p>
      <w:pPr>
        <w:ind w:firstLine="411" w:firstLineChars="196"/>
        <w:outlineLvl w:val="2"/>
        <w:rPr>
          <w:rFonts w:ascii="宋体" w:hAnsi="宋体"/>
          <w:color w:val="auto"/>
          <w:szCs w:val="21"/>
          <w:highlight w:val="none"/>
        </w:rPr>
      </w:pPr>
      <w:bookmarkStart w:id="14" w:name="_Toc13829"/>
      <w:r>
        <w:rPr>
          <w:rFonts w:hint="eastAsia" w:ascii="宋体" w:hAnsi="宋体"/>
          <w:color w:val="auto"/>
          <w:szCs w:val="21"/>
          <w:highlight w:val="none"/>
        </w:rPr>
        <w:t>1、一般要求：</w:t>
      </w:r>
      <w:bookmarkEnd w:id="14"/>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outlineLvl w:val="2"/>
        <w:rPr>
          <w:rFonts w:ascii="宋体" w:hAnsi="宋体"/>
          <w:color w:val="auto"/>
          <w:szCs w:val="21"/>
          <w:highlight w:val="none"/>
        </w:rPr>
      </w:pPr>
      <w:bookmarkStart w:id="15" w:name="_Toc4807"/>
      <w:r>
        <w:rPr>
          <w:rFonts w:hint="eastAsia" w:ascii="宋体" w:hAnsi="宋体"/>
          <w:color w:val="auto"/>
          <w:szCs w:val="21"/>
          <w:highlight w:val="none"/>
        </w:rPr>
        <w:t>2、特殊要求：</w:t>
      </w:r>
      <w:bookmarkEnd w:id="15"/>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shd w:val="clear"/>
        <w:spacing w:after="0" w:line="360" w:lineRule="auto"/>
        <w:ind w:firstLine="411" w:firstLineChars="196"/>
        <w:rPr>
          <w:rFonts w:hint="eastAsia"/>
          <w:color w:val="auto"/>
          <w:highlight w:val="none"/>
          <w:lang w:eastAsia="zh-CN"/>
        </w:rPr>
      </w:pPr>
    </w:p>
    <w:p>
      <w:pPr>
        <w:ind w:firstLine="413" w:firstLineChars="196"/>
        <w:outlineLvl w:val="1"/>
        <w:rPr>
          <w:rFonts w:ascii="宋体" w:hAnsi="宋体"/>
          <w:b/>
          <w:color w:val="auto"/>
          <w:szCs w:val="21"/>
          <w:highlight w:val="none"/>
        </w:rPr>
      </w:pPr>
      <w:bookmarkStart w:id="16" w:name="_Toc128"/>
      <w:r>
        <w:rPr>
          <w:rFonts w:hint="eastAsia" w:ascii="宋体" w:hAnsi="宋体"/>
          <w:b/>
          <w:color w:val="auto"/>
          <w:szCs w:val="21"/>
          <w:highlight w:val="none"/>
        </w:rPr>
        <w:t>三、项目公示时间、招标文件领购时间、地点、方式</w:t>
      </w:r>
      <w:bookmarkEnd w:id="16"/>
    </w:p>
    <w:p>
      <w:pPr>
        <w:ind w:firstLine="420" w:firstLineChars="200"/>
        <w:outlineLvl w:val="2"/>
        <w:rPr>
          <w:rFonts w:ascii="宋体" w:hAnsi="宋体"/>
          <w:color w:val="auto"/>
          <w:szCs w:val="21"/>
          <w:highlight w:val="none"/>
        </w:rPr>
      </w:pPr>
      <w:bookmarkStart w:id="17" w:name="_Toc29773"/>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日。</w:t>
      </w:r>
      <w:bookmarkEnd w:id="17"/>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outlineLvl w:val="2"/>
        <w:rPr>
          <w:rFonts w:ascii="宋体" w:hAnsi="宋体"/>
          <w:color w:val="auto"/>
          <w:szCs w:val="21"/>
          <w:highlight w:val="none"/>
        </w:rPr>
      </w:pPr>
      <w:bookmarkStart w:id="18" w:name="_Toc18223"/>
      <w:r>
        <w:rPr>
          <w:rFonts w:hint="eastAsia" w:ascii="宋体" w:hAnsi="宋体"/>
          <w:color w:val="auto"/>
          <w:szCs w:val="21"/>
          <w:highlight w:val="none"/>
        </w:rPr>
        <w:t>4、招标文件领购方式：现场领购。</w:t>
      </w:r>
      <w:bookmarkEnd w:id="18"/>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outlineLvl w:val="1"/>
        <w:rPr>
          <w:rFonts w:ascii="宋体" w:hAnsi="宋体"/>
          <w:b/>
          <w:color w:val="auto"/>
          <w:szCs w:val="21"/>
          <w:highlight w:val="none"/>
        </w:rPr>
      </w:pPr>
      <w:bookmarkStart w:id="19" w:name="_Toc21531"/>
      <w:r>
        <w:rPr>
          <w:rFonts w:hint="eastAsia" w:ascii="宋体" w:hAnsi="宋体"/>
          <w:b/>
          <w:color w:val="auto"/>
          <w:szCs w:val="21"/>
          <w:highlight w:val="none"/>
        </w:rPr>
        <w:t>四、其他事项</w:t>
      </w:r>
      <w:bookmarkEnd w:id="19"/>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outlineLvl w:val="1"/>
        <w:rPr>
          <w:rFonts w:ascii="宋体" w:hAnsi="宋体"/>
          <w:b/>
          <w:color w:val="auto"/>
          <w:szCs w:val="21"/>
          <w:highlight w:val="none"/>
        </w:rPr>
      </w:pPr>
      <w:bookmarkStart w:id="20" w:name="_Toc11083"/>
      <w:r>
        <w:rPr>
          <w:rFonts w:hint="eastAsia" w:ascii="宋体" w:hAnsi="宋体"/>
          <w:b/>
          <w:color w:val="auto"/>
          <w:szCs w:val="21"/>
          <w:highlight w:val="none"/>
        </w:rPr>
        <w:t>五、投标截止时间、开标时间及地点</w:t>
      </w:r>
      <w:bookmarkEnd w:id="20"/>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outlineLvl w:val="2"/>
        <w:rPr>
          <w:rFonts w:ascii="宋体" w:hAnsi="宋体"/>
          <w:bCs/>
          <w:color w:val="auto"/>
          <w:szCs w:val="21"/>
          <w:highlight w:val="none"/>
        </w:rPr>
      </w:pPr>
      <w:bookmarkStart w:id="21" w:name="_Toc16335"/>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31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bookmarkEnd w:id="21"/>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outlineLvl w:val="1"/>
        <w:rPr>
          <w:rFonts w:ascii="宋体" w:hAnsi="宋体"/>
          <w:bCs/>
          <w:color w:val="auto"/>
          <w:szCs w:val="21"/>
          <w:highlight w:val="none"/>
        </w:rPr>
      </w:pPr>
      <w:bookmarkStart w:id="22" w:name="_Toc14394"/>
      <w:r>
        <w:rPr>
          <w:rFonts w:hint="eastAsia" w:ascii="宋体" w:hAnsi="宋体"/>
          <w:b/>
          <w:color w:val="auto"/>
          <w:szCs w:val="21"/>
          <w:highlight w:val="none"/>
        </w:rPr>
        <w:t>六、采购人及采购代理机构的名称、地址和联系方法：</w:t>
      </w:r>
      <w:bookmarkEnd w:id="22"/>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采购人联系人：何先生</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地址：东莞市常平镇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联系电话：0769-83399970</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bookmarkStart w:id="541" w:name="_GoBack"/>
      <w:bookmarkEnd w:id="541"/>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pPr>
        <w:pStyle w:val="7"/>
        <w:rPr>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240" w:lineRule="auto"/>
        <w:outlineLvl w:val="0"/>
        <w:rPr>
          <w:color w:val="auto"/>
          <w:sz w:val="28"/>
          <w:szCs w:val="28"/>
          <w:highlight w:val="none"/>
        </w:rPr>
      </w:pPr>
      <w:bookmarkStart w:id="23" w:name="_Toc28550"/>
      <w:bookmarkStart w:id="24" w:name="_Toc24709"/>
      <w:bookmarkStart w:id="25" w:name="_Toc24505"/>
      <w:r>
        <w:rPr>
          <w:rFonts w:hint="eastAsia"/>
          <w:color w:val="auto"/>
          <w:sz w:val="28"/>
          <w:szCs w:val="28"/>
          <w:highlight w:val="none"/>
        </w:rPr>
        <w:t xml:space="preserve">第二部分 </w:t>
      </w:r>
      <w:bookmarkStart w:id="26" w:name="_Toc20683"/>
      <w:r>
        <w:rPr>
          <w:rFonts w:hint="eastAsia"/>
          <w:color w:val="auto"/>
          <w:sz w:val="28"/>
          <w:szCs w:val="28"/>
          <w:highlight w:val="none"/>
        </w:rPr>
        <w:t>投标资料表</w:t>
      </w:r>
      <w:bookmarkEnd w:id="23"/>
      <w:bookmarkEnd w:id="24"/>
      <w:bookmarkEnd w:id="25"/>
      <w:bookmarkEnd w:id="26"/>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财政</w:t>
            </w:r>
            <w:r>
              <w:rPr>
                <w:rFonts w:hint="eastAsia" w:ascii="宋体" w:hAnsi="宋体"/>
                <w:b/>
                <w:color w:val="auto"/>
                <w:szCs w:val="21"/>
                <w:highlight w:val="none"/>
              </w:rPr>
              <w:t>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firstLine="21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8"/>
        <w:ind w:left="0" w:firstLine="0" w:firstLineChars="0"/>
        <w:rPr>
          <w:rFonts w:ascii="宋体" w:hAnsi="宋体" w:cs="宋体"/>
          <w:color w:val="auto"/>
          <w:sz w:val="21"/>
          <w:szCs w:val="21"/>
          <w:highlight w:val="none"/>
        </w:rPr>
      </w:pPr>
    </w:p>
    <w:p>
      <w:pPr>
        <w:pStyle w:val="2"/>
        <w:spacing w:before="0" w:after="0" w:line="360" w:lineRule="auto"/>
        <w:outlineLvl w:val="0"/>
        <w:rPr>
          <w:color w:val="auto"/>
          <w:highlight w:val="none"/>
        </w:rPr>
      </w:pPr>
      <w:bookmarkStart w:id="27" w:name="_Hlk55300595"/>
      <w:bookmarkStart w:id="28" w:name="_Toc22701"/>
      <w:bookmarkStart w:id="29" w:name="_Toc13473"/>
      <w:bookmarkStart w:id="30" w:name="_Toc5749"/>
      <w:bookmarkStart w:id="31" w:name="_Toc9572"/>
      <w:r>
        <w:rPr>
          <w:rFonts w:hint="eastAsia"/>
          <w:color w:val="auto"/>
          <w:sz w:val="28"/>
          <w:szCs w:val="28"/>
          <w:highlight w:val="none"/>
        </w:rPr>
        <w:t xml:space="preserve">第三部分 </w:t>
      </w:r>
      <w:bookmarkStart w:id="32" w:name="_Toc71133523"/>
      <w:bookmarkStart w:id="33" w:name="_Hlk55300643"/>
      <w:r>
        <w:rPr>
          <w:rFonts w:hint="eastAsia"/>
          <w:color w:val="auto"/>
          <w:sz w:val="28"/>
          <w:szCs w:val="28"/>
          <w:highlight w:val="none"/>
        </w:rPr>
        <w:t>评分</w:t>
      </w:r>
      <w:bookmarkStart w:id="34" w:name="_Hlk55209874"/>
      <w:r>
        <w:rPr>
          <w:rFonts w:hint="eastAsia"/>
          <w:color w:val="auto"/>
          <w:sz w:val="28"/>
          <w:szCs w:val="28"/>
          <w:highlight w:val="none"/>
        </w:rPr>
        <w:t>权重分配表</w:t>
      </w:r>
      <w:bookmarkEnd w:id="27"/>
      <w:bookmarkEnd w:id="28"/>
      <w:bookmarkEnd w:id="29"/>
      <w:bookmarkEnd w:id="30"/>
      <w:bookmarkEnd w:id="32"/>
      <w:bookmarkEnd w:id="33"/>
      <w:bookmarkEnd w:id="34"/>
    </w:p>
    <w:p>
      <w:pPr>
        <w:pStyle w:val="4"/>
        <w:spacing w:line="240" w:lineRule="auto"/>
        <w:jc w:val="center"/>
        <w:outlineLvl w:val="1"/>
        <w:rPr>
          <w:rFonts w:ascii="宋体" w:hAnsi="宋体" w:cs="宋体"/>
          <w:color w:val="auto"/>
          <w:sz w:val="24"/>
          <w:szCs w:val="24"/>
          <w:highlight w:val="none"/>
        </w:rPr>
      </w:pPr>
      <w:bookmarkStart w:id="35" w:name="_Toc21613"/>
      <w:bookmarkStart w:id="36" w:name="_Toc18413"/>
      <w:bookmarkStart w:id="37" w:name="_Toc27663"/>
      <w:r>
        <w:rPr>
          <w:rFonts w:hint="eastAsia" w:ascii="宋体" w:hAnsi="宋体" w:cs="宋体"/>
          <w:color w:val="auto"/>
          <w:sz w:val="24"/>
          <w:szCs w:val="24"/>
          <w:highlight w:val="none"/>
        </w:rPr>
        <w:t>价格及商务技术评分权重细则表</w:t>
      </w:r>
      <w:bookmarkEnd w:id="31"/>
      <w:bookmarkEnd w:id="35"/>
      <w:bookmarkEnd w:id="36"/>
      <w:bookmarkEnd w:id="37"/>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投标人自2018年1月1日至今（以合同签订时间为准）具有水质提升（或水污染处理或河涌整治或水生态修复）类项目业绩，每提供一个得5分，此项最高15分。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zh-CN"/>
              </w:rPr>
              <w:t>注：须提供合同复印件，并同时加盖投标人公章，不符合以上要求得不得分。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服务响应</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根据投标人提供的服务响应时间承诺进行评分。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（1）投标人承诺在接到采购人通知后1小时（含）内到现场，得5分；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（2）投标人承诺在接到采购人通知后2小时（含）内到现场，得3分；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（3）投标人承诺在接到采购人通知后3小时（含）内到现场，得1分；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（4）投标人未承诺或其他情况，不得分。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提供服务承诺书并加盖投标人公章。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对现状的了解</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根据投标人对项目现状（包括地质分析、地水体污染现状调查分析等）情况的了解程度进行评分：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对项目现状认识准确、透彻，基础资料调查详尽、清晰及完整的，得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对项目现状认识正确、完整，基础资料调查齐全、基本清晰及完整的，得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对项目现状认识基本正确，基础资料调查有缺漏、不完整的，得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对项目现状认识不正确，未提供基础资料调查的，得1分。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未</w:t>
            </w:r>
            <w:r>
              <w:rPr>
                <w:rFonts w:hint="eastAsia" w:ascii="宋体" w:hAnsi="宋体" w:eastAsia="宋体" w:cs="宋体"/>
                <w:bCs/>
                <w:color w:val="auto"/>
                <w:sz w:val="21"/>
                <w:szCs w:val="21"/>
                <w:highlight w:val="none"/>
                <w:lang w:val="en-US" w:eastAsia="zh-CN"/>
              </w:rPr>
              <w:t>提</w:t>
            </w:r>
            <w:r>
              <w:rPr>
                <w:rFonts w:hint="eastAsia" w:ascii="宋体" w:hAnsi="宋体" w:eastAsia="宋体" w:cs="宋体"/>
                <w:bCs/>
                <w:color w:val="auto"/>
                <w:sz w:val="21"/>
                <w:szCs w:val="21"/>
                <w:highlight w:val="none"/>
                <w:lang w:val="zh-CN"/>
              </w:rPr>
              <w:t>供现状了解的，得0分。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技术服务方案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根据投标人针对本项目实施的工作目标、工作内容、技术工艺、技术成熟度等情况进行评分：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项目实施技术方案全面、合理，能准确指出实施河道重点和难点，实施措施得力、工序衔接合理的，得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项目实施技术方案较合理，实施措施、工序衔接较合理的，得</w:t>
            </w:r>
            <w:r>
              <w:rPr>
                <w:rFonts w:hint="eastAsia" w:asci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项目实施技术方案基本合理，实施措施、工序衔接具有一定的合理性的，得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项目施工实施技术方案不合理，施工实施措施、工序衔接不具有可行性的，得1分；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未提出技术服务方案的，得0分。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整体进度计划及工期保证措施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根据投标人的</w:t>
            </w:r>
            <w:r>
              <w:rPr>
                <w:rFonts w:hint="eastAsia" w:ascii="宋体" w:hAnsi="宋体" w:eastAsia="宋体" w:cs="宋体"/>
                <w:color w:val="auto"/>
                <w:sz w:val="21"/>
                <w:szCs w:val="21"/>
                <w:highlight w:val="none"/>
              </w:rPr>
              <w:t>工作进度计划和保证措施（有可行的计划及保证措施）的完整性、可行性</w:t>
            </w:r>
            <w:r>
              <w:rPr>
                <w:rFonts w:hint="eastAsia" w:ascii="宋体" w:hAnsi="宋体" w:eastAsia="宋体" w:cs="宋体"/>
                <w:bCs/>
                <w:color w:val="auto"/>
                <w:sz w:val="21"/>
                <w:szCs w:val="21"/>
                <w:highlight w:val="none"/>
                <w:lang w:val="zh-CN"/>
              </w:rPr>
              <w:t>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进度计划及保证措施科学合理，可行性强，得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w:t>
            </w:r>
            <w:r>
              <w:rPr>
                <w:rFonts w:hint="eastAsia" w:ascii="宋体" w:hAnsi="宋体" w:eastAsia="宋体" w:cs="宋体"/>
                <w:color w:val="auto"/>
                <w:sz w:val="21"/>
                <w:szCs w:val="21"/>
                <w:highlight w:val="none"/>
                <w:lang w:val="en-US" w:eastAsia="zh-CN"/>
              </w:rPr>
              <w:t>较为</w:t>
            </w:r>
            <w:r>
              <w:rPr>
                <w:rFonts w:hint="eastAsia" w:ascii="宋体" w:hAnsi="宋体" w:eastAsia="宋体" w:cs="宋体"/>
                <w:color w:val="auto"/>
                <w:sz w:val="21"/>
                <w:szCs w:val="21"/>
                <w:highlight w:val="none"/>
              </w:rPr>
              <w:t>合理，</w:t>
            </w:r>
            <w:r>
              <w:rPr>
                <w:rFonts w:hint="eastAsia" w:ascii="宋体" w:hAnsi="宋体" w:eastAsia="宋体" w:cs="宋体"/>
                <w:color w:val="auto"/>
                <w:sz w:val="21"/>
                <w:szCs w:val="21"/>
                <w:highlight w:val="none"/>
                <w:lang w:val="en-US" w:eastAsia="zh-CN"/>
              </w:rPr>
              <w:t>基本可行</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合理，</w:t>
            </w:r>
            <w:r>
              <w:rPr>
                <w:rFonts w:hint="eastAsia" w:ascii="宋体" w:hAnsi="宋体" w:eastAsia="宋体" w:cs="宋体"/>
                <w:color w:val="auto"/>
                <w:sz w:val="21"/>
                <w:szCs w:val="21"/>
                <w:highlight w:val="none"/>
                <w:lang w:val="en-US" w:eastAsia="zh-CN"/>
              </w:rPr>
              <w:t>可行性一般</w:t>
            </w:r>
            <w:r>
              <w:rPr>
                <w:rFonts w:hint="eastAsia" w:ascii="宋体" w:hAnsi="宋体" w:eastAsia="宋体" w:cs="宋体"/>
                <w:color w:val="auto"/>
                <w:sz w:val="21"/>
                <w:szCs w:val="21"/>
                <w:highlight w:val="none"/>
              </w:rPr>
              <w:t>，得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投标人提供的</w:t>
            </w:r>
            <w:r>
              <w:rPr>
                <w:rFonts w:hint="eastAsia" w:ascii="宋体" w:hAnsi="宋体" w:eastAsia="宋体" w:cs="宋体"/>
                <w:color w:val="auto"/>
                <w:sz w:val="21"/>
                <w:szCs w:val="21"/>
                <w:highlight w:val="none"/>
              </w:rPr>
              <w:t>进度计划及保证措施不合理，可行性差，得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color w:val="auto"/>
                <w:sz w:val="21"/>
                <w:szCs w:val="21"/>
                <w:highlight w:val="none"/>
              </w:rPr>
              <w:t>整体进度计划及工期保证措施</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应急处理方案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根据投标对紧急情况的处理措施、预案以及抵抗风险的措施进行评分：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实施安排科学合理，提出的保证措施具体以及可操作性强，得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实施安排较合理，能提出的保证措施具有一定可操作性，得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实施安排基本合理，能提出的保证措施但可操作性一般，得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实施安排不合理，提出的保证措施不具体或可操作性差，得1分。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color w:val="auto"/>
                <w:sz w:val="21"/>
                <w:szCs w:val="21"/>
                <w:highlight w:val="none"/>
                <w:lang w:val="en-US" w:eastAsia="zh-CN"/>
              </w:rPr>
              <w:t>应急处理方案</w:t>
            </w:r>
            <w:r>
              <w:rPr>
                <w:rFonts w:hint="eastAsia" w:ascii="宋体" w:hAnsi="宋体" w:eastAsia="宋体" w:cs="宋体"/>
                <w:bCs/>
                <w:color w:val="auto"/>
                <w:sz w:val="21"/>
                <w:szCs w:val="21"/>
                <w:highlight w:val="none"/>
                <w:lang w:val="zh-CN"/>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服务承诺</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top"/>
          </w:tcPr>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根据投标人针对项目需求所作出的相关承诺进行评分：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服务承诺全面、合理，条理清晰，可操作性强的，得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服务承诺比较全面、合理，可操作性较强的，得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服务承诺基本全面、合理，有一定的可操作性的，</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服务承诺不合理、不具备可操作性的，得1分；</w:t>
            </w:r>
          </w:p>
          <w:p>
            <w:pPr>
              <w:pStyle w:val="3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w:t>
            </w:r>
            <w:r>
              <w:rPr>
                <w:rFonts w:hint="eastAsia" w:ascii="宋体" w:hAnsi="宋体" w:eastAsia="宋体" w:cs="宋体"/>
                <w:bCs/>
                <w:color w:val="auto"/>
                <w:sz w:val="21"/>
                <w:szCs w:val="21"/>
                <w:highlight w:val="none"/>
                <w:lang w:val="en-US" w:eastAsia="zh-CN"/>
              </w:rPr>
              <w:t>供</w:t>
            </w:r>
            <w:r>
              <w:rPr>
                <w:rFonts w:hint="eastAsia" w:ascii="宋体" w:hAnsi="宋体" w:eastAsia="宋体" w:cs="宋体"/>
                <w:bCs/>
                <w:color w:val="auto"/>
                <w:sz w:val="21"/>
                <w:szCs w:val="21"/>
                <w:highlight w:val="none"/>
                <w:lang w:val="zh-CN"/>
              </w:rPr>
              <w:t>服务承诺的，得0分。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rPr>
          <w:color w:val="auto"/>
          <w:highlight w:val="none"/>
        </w:rPr>
      </w:pPr>
      <w:r>
        <w:rPr>
          <w:rFonts w:hint="eastAsia"/>
          <w:color w:val="auto"/>
          <w:highlight w:val="none"/>
        </w:rPr>
        <w:br w:type="page"/>
      </w:r>
    </w:p>
    <w:p>
      <w:pPr>
        <w:pStyle w:val="2"/>
        <w:spacing w:before="0" w:after="0" w:line="240" w:lineRule="auto"/>
        <w:outlineLvl w:val="0"/>
        <w:rPr>
          <w:color w:val="auto"/>
          <w:sz w:val="24"/>
          <w:szCs w:val="24"/>
          <w:highlight w:val="none"/>
        </w:rPr>
      </w:pPr>
      <w:bookmarkStart w:id="38" w:name="_Toc29685"/>
      <w:bookmarkStart w:id="39" w:name="_Toc30638"/>
      <w:bookmarkStart w:id="40" w:name="_Toc2479"/>
      <w:bookmarkStart w:id="41" w:name="_Toc4487"/>
      <w:bookmarkStart w:id="42" w:name="_Toc14146"/>
      <w:r>
        <w:rPr>
          <w:rFonts w:hint="eastAsia"/>
          <w:color w:val="auto"/>
          <w:sz w:val="28"/>
          <w:szCs w:val="28"/>
          <w:highlight w:val="none"/>
        </w:rPr>
        <w:t>第四部分 投标人须知</w:t>
      </w:r>
      <w:bookmarkEnd w:id="38"/>
      <w:bookmarkEnd w:id="39"/>
      <w:bookmarkEnd w:id="40"/>
      <w:bookmarkEnd w:id="41"/>
    </w:p>
    <w:p>
      <w:pPr>
        <w:pStyle w:val="4"/>
        <w:spacing w:line="480" w:lineRule="auto"/>
        <w:jc w:val="center"/>
        <w:outlineLvl w:val="1"/>
        <w:rPr>
          <w:rFonts w:ascii="宋体" w:hAnsi="宋体"/>
          <w:color w:val="auto"/>
          <w:highlight w:val="none"/>
        </w:rPr>
      </w:pPr>
      <w:bookmarkStart w:id="43" w:name="_Toc18610"/>
      <w:bookmarkStart w:id="44" w:name="_Toc3095"/>
      <w:bookmarkStart w:id="45" w:name="_Toc19746"/>
      <w:bookmarkStart w:id="46" w:name="_Toc11105"/>
      <w:r>
        <w:rPr>
          <w:rFonts w:hint="eastAsia" w:ascii="宋体" w:hAnsi="宋体"/>
          <w:color w:val="auto"/>
          <w:highlight w:val="none"/>
        </w:rPr>
        <w:t>第一章说明</w:t>
      </w:r>
      <w:bookmarkEnd w:id="43"/>
      <w:bookmarkEnd w:id="44"/>
      <w:bookmarkEnd w:id="45"/>
      <w:bookmarkEnd w:id="46"/>
    </w:p>
    <w:p>
      <w:pPr>
        <w:pStyle w:val="5"/>
        <w:widowControl w:val="0"/>
        <w:overflowPunct w:val="0"/>
        <w:spacing w:line="240" w:lineRule="auto"/>
        <w:outlineLvl w:val="2"/>
        <w:rPr>
          <w:rFonts w:ascii="宋体" w:hAnsi="宋体"/>
          <w:color w:val="auto"/>
          <w:sz w:val="21"/>
          <w:szCs w:val="21"/>
          <w:highlight w:val="none"/>
        </w:rPr>
      </w:pPr>
      <w:bookmarkStart w:id="47" w:name="_Toc22803"/>
      <w:bookmarkStart w:id="48" w:name="_Toc22847"/>
      <w:bookmarkStart w:id="49" w:name="_Toc6439"/>
      <w:bookmarkStart w:id="50" w:name="_Toc18488"/>
      <w:r>
        <w:rPr>
          <w:rFonts w:hint="eastAsia" w:ascii="宋体" w:hAnsi="宋体"/>
          <w:color w:val="auto"/>
          <w:sz w:val="21"/>
          <w:szCs w:val="21"/>
          <w:highlight w:val="none"/>
        </w:rPr>
        <w:t>1.适用范围</w:t>
      </w:r>
      <w:bookmarkEnd w:id="47"/>
      <w:bookmarkEnd w:id="48"/>
      <w:bookmarkEnd w:id="49"/>
      <w:bookmarkEnd w:id="5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51" w:name="_Toc16345"/>
      <w:bookmarkStart w:id="52" w:name="_Toc13400"/>
      <w:bookmarkStart w:id="53" w:name="_Toc16848"/>
      <w:bookmarkStart w:id="54" w:name="_Toc21002"/>
      <w:r>
        <w:rPr>
          <w:rFonts w:hint="eastAsia" w:ascii="宋体" w:hAnsi="宋体"/>
          <w:color w:val="auto"/>
          <w:sz w:val="21"/>
          <w:szCs w:val="21"/>
          <w:highlight w:val="none"/>
        </w:rPr>
        <w:t>2.</w:t>
      </w:r>
      <w:bookmarkStart w:id="55" w:name="_Toc298847174"/>
      <w:bookmarkStart w:id="56" w:name="_Toc303084246"/>
      <w:bookmarkStart w:id="57" w:name="_Toc382049092"/>
      <w:bookmarkStart w:id="58" w:name="_Toc1530"/>
      <w:r>
        <w:rPr>
          <w:rFonts w:hint="eastAsia" w:ascii="宋体" w:hAnsi="宋体"/>
          <w:color w:val="auto"/>
          <w:sz w:val="21"/>
          <w:szCs w:val="21"/>
          <w:highlight w:val="none"/>
        </w:rPr>
        <w:t>定义</w:t>
      </w:r>
      <w:bookmarkEnd w:id="51"/>
      <w:bookmarkEnd w:id="52"/>
      <w:bookmarkEnd w:id="53"/>
      <w:bookmarkEnd w:id="54"/>
      <w:bookmarkEnd w:id="55"/>
      <w:bookmarkEnd w:id="56"/>
      <w:bookmarkEnd w:id="57"/>
      <w:bookmarkEnd w:id="5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59" w:name="_Toc9710"/>
      <w:bookmarkStart w:id="60" w:name="_Toc3780"/>
      <w:bookmarkStart w:id="61" w:name="_Toc21958"/>
      <w:bookmarkStart w:id="62" w:name="_Toc2996"/>
      <w:r>
        <w:rPr>
          <w:rFonts w:hint="eastAsia" w:ascii="宋体" w:hAnsi="宋体"/>
          <w:color w:val="auto"/>
          <w:sz w:val="21"/>
          <w:szCs w:val="21"/>
          <w:highlight w:val="none"/>
        </w:rPr>
        <w:t>3.货物和服务</w:t>
      </w:r>
      <w:bookmarkEnd w:id="59"/>
      <w:bookmarkEnd w:id="60"/>
      <w:bookmarkEnd w:id="61"/>
      <w:bookmarkEnd w:id="6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outlineLvl w:val="2"/>
        <w:rPr>
          <w:rFonts w:ascii="宋体" w:hAnsi="宋体"/>
          <w:color w:val="auto"/>
          <w:sz w:val="21"/>
          <w:szCs w:val="21"/>
          <w:highlight w:val="none"/>
        </w:rPr>
      </w:pPr>
      <w:bookmarkStart w:id="63" w:name="_Toc15945"/>
      <w:bookmarkStart w:id="64" w:name="_Toc13909"/>
      <w:bookmarkStart w:id="65" w:name="_Toc16227"/>
      <w:bookmarkStart w:id="66" w:name="_Toc12536"/>
      <w:r>
        <w:rPr>
          <w:rFonts w:hint="eastAsia" w:ascii="宋体" w:hAnsi="宋体"/>
          <w:color w:val="auto"/>
          <w:sz w:val="21"/>
          <w:szCs w:val="21"/>
          <w:highlight w:val="none"/>
        </w:rPr>
        <w:t>4.投标费用</w:t>
      </w:r>
      <w:bookmarkEnd w:id="63"/>
      <w:bookmarkEnd w:id="64"/>
      <w:bookmarkEnd w:id="65"/>
      <w:bookmarkEnd w:id="6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67" w:name="_Toc19532"/>
      <w:bookmarkStart w:id="68" w:name="_Toc25040"/>
      <w:bookmarkStart w:id="69" w:name="_Toc19094"/>
      <w:bookmarkStart w:id="70" w:name="_Toc25613"/>
      <w:r>
        <w:rPr>
          <w:rFonts w:hint="eastAsia" w:ascii="宋体" w:hAnsi="宋体"/>
          <w:color w:val="auto"/>
          <w:sz w:val="21"/>
          <w:szCs w:val="21"/>
          <w:highlight w:val="none"/>
        </w:rPr>
        <w:t>5.知识产权</w:t>
      </w:r>
      <w:bookmarkEnd w:id="67"/>
      <w:bookmarkEnd w:id="68"/>
      <w:bookmarkEnd w:id="69"/>
      <w:bookmarkEnd w:id="70"/>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71" w:name="_Toc21930"/>
      <w:bookmarkStart w:id="72" w:name="_Toc26239"/>
      <w:bookmarkStart w:id="73" w:name="_Toc8432"/>
      <w:bookmarkStart w:id="74" w:name="_Toc31885"/>
      <w:r>
        <w:rPr>
          <w:rFonts w:hint="eastAsia" w:ascii="宋体" w:hAnsi="宋体"/>
          <w:color w:val="auto"/>
          <w:sz w:val="21"/>
          <w:szCs w:val="21"/>
          <w:highlight w:val="none"/>
        </w:rPr>
        <w:t>6.关于联合体投标</w:t>
      </w:r>
      <w:bookmarkEnd w:id="71"/>
      <w:bookmarkEnd w:id="72"/>
      <w:bookmarkEnd w:id="73"/>
      <w:bookmarkEnd w:id="74"/>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outlineLvl w:val="2"/>
        <w:rPr>
          <w:rFonts w:ascii="宋体" w:hAnsi="宋体"/>
          <w:color w:val="auto"/>
          <w:sz w:val="21"/>
          <w:szCs w:val="21"/>
          <w:highlight w:val="none"/>
        </w:rPr>
      </w:pPr>
      <w:bookmarkStart w:id="75" w:name="_Toc13811"/>
      <w:bookmarkStart w:id="76" w:name="_Toc16571"/>
      <w:bookmarkStart w:id="77" w:name="_Toc32331"/>
      <w:bookmarkStart w:id="78" w:name="_Toc3852"/>
      <w:bookmarkStart w:id="79" w:name="_Toc17879"/>
      <w:r>
        <w:rPr>
          <w:rFonts w:hint="eastAsia" w:ascii="宋体" w:hAnsi="宋体"/>
          <w:color w:val="auto"/>
          <w:sz w:val="21"/>
          <w:szCs w:val="21"/>
          <w:highlight w:val="none"/>
        </w:rPr>
        <w:t>7.关于分支机构投标</w:t>
      </w:r>
      <w:bookmarkEnd w:id="75"/>
      <w:bookmarkEnd w:id="76"/>
      <w:bookmarkEnd w:id="77"/>
      <w:bookmarkEnd w:id="7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8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80"/>
    </w:p>
    <w:p>
      <w:pPr>
        <w:pStyle w:val="4"/>
        <w:spacing w:line="480" w:lineRule="auto"/>
        <w:jc w:val="center"/>
        <w:outlineLvl w:val="1"/>
        <w:rPr>
          <w:rFonts w:ascii="宋体" w:hAnsi="宋体"/>
          <w:color w:val="auto"/>
          <w:highlight w:val="none"/>
        </w:rPr>
      </w:pPr>
      <w:bookmarkStart w:id="81" w:name="_Toc27045"/>
      <w:bookmarkStart w:id="82" w:name="_Toc16937"/>
      <w:bookmarkStart w:id="83" w:name="_Toc18115"/>
      <w:r>
        <w:rPr>
          <w:rFonts w:hint="eastAsia" w:ascii="宋体" w:hAnsi="宋体"/>
          <w:color w:val="auto"/>
          <w:highlight w:val="none"/>
        </w:rPr>
        <w:t>第二章招标文件</w:t>
      </w:r>
      <w:bookmarkEnd w:id="79"/>
      <w:bookmarkEnd w:id="81"/>
      <w:bookmarkEnd w:id="82"/>
      <w:bookmarkEnd w:id="83"/>
    </w:p>
    <w:p>
      <w:pPr>
        <w:pStyle w:val="5"/>
        <w:widowControl w:val="0"/>
        <w:overflowPunct w:val="0"/>
        <w:spacing w:line="240" w:lineRule="auto"/>
        <w:outlineLvl w:val="2"/>
        <w:rPr>
          <w:rFonts w:ascii="宋体" w:hAnsi="宋体"/>
          <w:color w:val="auto"/>
          <w:sz w:val="21"/>
          <w:szCs w:val="21"/>
          <w:highlight w:val="none"/>
        </w:rPr>
      </w:pPr>
      <w:bookmarkStart w:id="84" w:name="_Toc13494"/>
      <w:bookmarkStart w:id="85" w:name="_Toc1423"/>
      <w:bookmarkStart w:id="86" w:name="_Toc21771"/>
      <w:bookmarkStart w:id="87" w:name="_Toc11577"/>
      <w:r>
        <w:rPr>
          <w:rFonts w:hint="eastAsia" w:ascii="宋体" w:hAnsi="宋体"/>
          <w:color w:val="auto"/>
          <w:sz w:val="21"/>
          <w:szCs w:val="21"/>
          <w:highlight w:val="none"/>
        </w:rPr>
        <w:t>8.招标文件的组成</w:t>
      </w:r>
      <w:bookmarkEnd w:id="84"/>
      <w:bookmarkEnd w:id="85"/>
      <w:bookmarkEnd w:id="86"/>
      <w:bookmarkEnd w:id="87"/>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outlineLvl w:val="2"/>
        <w:rPr>
          <w:rFonts w:ascii="宋体" w:hAnsi="宋体"/>
          <w:color w:val="auto"/>
          <w:sz w:val="21"/>
          <w:szCs w:val="21"/>
          <w:highlight w:val="none"/>
        </w:rPr>
      </w:pPr>
      <w:bookmarkStart w:id="88" w:name="_Toc32451"/>
      <w:bookmarkStart w:id="89" w:name="_Toc17274"/>
      <w:bookmarkStart w:id="90" w:name="_Toc7997"/>
      <w:bookmarkStart w:id="91" w:name="_Toc14217"/>
      <w:r>
        <w:rPr>
          <w:rFonts w:hint="eastAsia" w:ascii="宋体" w:hAnsi="宋体"/>
          <w:color w:val="auto"/>
          <w:sz w:val="21"/>
          <w:szCs w:val="21"/>
          <w:highlight w:val="none"/>
        </w:rPr>
        <w:t>9.招标文件的澄清或修改</w:t>
      </w:r>
      <w:bookmarkEnd w:id="88"/>
      <w:bookmarkEnd w:id="89"/>
      <w:bookmarkEnd w:id="90"/>
      <w:bookmarkEnd w:id="9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hint="eastAsia"/>
          <w:color w:val="auto"/>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bookmarkStart w:id="92" w:name="_Toc4773"/>
      <w:bookmarkStart w:id="93" w:name="_Toc23726"/>
      <w:bookmarkStart w:id="94" w:name="_Toc16712"/>
    </w:p>
    <w:p>
      <w:pPr>
        <w:pStyle w:val="7"/>
        <w:rPr>
          <w:rFonts w:hint="eastAsia"/>
          <w:color w:val="auto"/>
          <w:highlight w:val="none"/>
        </w:rPr>
      </w:pPr>
    </w:p>
    <w:p>
      <w:pPr>
        <w:pStyle w:val="4"/>
        <w:spacing w:line="480" w:lineRule="auto"/>
        <w:jc w:val="center"/>
        <w:outlineLvl w:val="1"/>
        <w:rPr>
          <w:rFonts w:ascii="宋体" w:hAnsi="宋体"/>
          <w:color w:val="auto"/>
          <w:highlight w:val="none"/>
        </w:rPr>
      </w:pPr>
      <w:bookmarkStart w:id="95" w:name="_Toc12837"/>
      <w:r>
        <w:rPr>
          <w:rFonts w:hint="eastAsia" w:ascii="宋体" w:hAnsi="宋体"/>
          <w:color w:val="auto"/>
          <w:highlight w:val="none"/>
        </w:rPr>
        <w:t>第三章投标文件的编制</w:t>
      </w:r>
      <w:bookmarkEnd w:id="92"/>
      <w:bookmarkEnd w:id="93"/>
      <w:bookmarkEnd w:id="94"/>
      <w:bookmarkEnd w:id="95"/>
    </w:p>
    <w:p>
      <w:pPr>
        <w:pStyle w:val="5"/>
        <w:widowControl w:val="0"/>
        <w:overflowPunct w:val="0"/>
        <w:outlineLvl w:val="2"/>
        <w:rPr>
          <w:rFonts w:ascii="宋体" w:hAnsi="宋体"/>
          <w:color w:val="auto"/>
          <w:sz w:val="21"/>
          <w:szCs w:val="21"/>
          <w:highlight w:val="none"/>
        </w:rPr>
      </w:pPr>
      <w:bookmarkStart w:id="96" w:name="_Toc7434"/>
      <w:bookmarkStart w:id="97" w:name="_Toc28092"/>
      <w:bookmarkStart w:id="98" w:name="_Toc20623"/>
      <w:bookmarkStart w:id="99" w:name="_Toc16236"/>
      <w:r>
        <w:rPr>
          <w:rFonts w:hint="eastAsia" w:ascii="宋体" w:hAnsi="宋体"/>
          <w:color w:val="auto"/>
          <w:sz w:val="21"/>
          <w:szCs w:val="21"/>
          <w:highlight w:val="none"/>
        </w:rPr>
        <w:t>10.投标文件的语言及度量衡单位</w:t>
      </w:r>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100" w:name="_Toc18999"/>
      <w:bookmarkStart w:id="101" w:name="_Toc7728"/>
      <w:bookmarkStart w:id="102" w:name="_Toc28866"/>
      <w:bookmarkStart w:id="103" w:name="_Toc768"/>
      <w:bookmarkStart w:id="104" w:name="_Toc307934854"/>
      <w:bookmarkStart w:id="105" w:name="_Toc303084256"/>
      <w:bookmarkStart w:id="106" w:name="_Toc382049103"/>
      <w:bookmarkStart w:id="107"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100"/>
      <w:bookmarkEnd w:id="101"/>
      <w:bookmarkEnd w:id="102"/>
      <w:bookmarkEnd w:id="103"/>
      <w:bookmarkEnd w:id="104"/>
      <w:bookmarkEnd w:id="105"/>
      <w:bookmarkEnd w:id="106"/>
      <w:bookmarkEnd w:id="107"/>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08" w:name="_Toc3882"/>
      <w:bookmarkStart w:id="109" w:name="_Toc30189"/>
      <w:bookmarkStart w:id="110" w:name="_Toc21747"/>
      <w:bookmarkStart w:id="111" w:name="_Toc4343"/>
      <w:r>
        <w:rPr>
          <w:rFonts w:hint="eastAsia" w:ascii="宋体" w:hAnsi="宋体"/>
          <w:color w:val="auto"/>
          <w:sz w:val="21"/>
          <w:szCs w:val="21"/>
          <w:highlight w:val="none"/>
        </w:rPr>
        <w:t>12.投标文件编制</w:t>
      </w:r>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bookmarkStart w:id="112"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112"/>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outlineLvl w:val="2"/>
        <w:rPr>
          <w:rFonts w:ascii="宋体" w:hAnsi="宋体"/>
          <w:color w:val="auto"/>
          <w:sz w:val="21"/>
          <w:szCs w:val="21"/>
          <w:highlight w:val="none"/>
        </w:rPr>
      </w:pPr>
      <w:bookmarkStart w:id="113" w:name="_Toc19499"/>
      <w:bookmarkStart w:id="114" w:name="_Toc259"/>
      <w:bookmarkStart w:id="115" w:name="_Toc7847"/>
      <w:bookmarkStart w:id="116" w:name="_Toc17188"/>
      <w:r>
        <w:rPr>
          <w:rFonts w:hint="eastAsia" w:ascii="宋体" w:hAnsi="宋体"/>
          <w:color w:val="auto"/>
          <w:sz w:val="21"/>
          <w:szCs w:val="21"/>
          <w:highlight w:val="none"/>
        </w:rPr>
        <w:t>13.投标报价说明</w:t>
      </w:r>
      <w:bookmarkEnd w:id="113"/>
      <w:bookmarkEnd w:id="114"/>
      <w:bookmarkEnd w:id="115"/>
      <w:bookmarkEnd w:id="11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17" w:name="_Toc18911"/>
      <w:bookmarkStart w:id="118" w:name="_Toc23986"/>
      <w:bookmarkStart w:id="119" w:name="_Toc16535"/>
      <w:bookmarkStart w:id="120" w:name="_Toc27724"/>
      <w:r>
        <w:rPr>
          <w:rFonts w:hint="eastAsia" w:ascii="宋体" w:hAnsi="宋体"/>
          <w:color w:val="auto"/>
          <w:sz w:val="21"/>
          <w:szCs w:val="21"/>
          <w:highlight w:val="none"/>
        </w:rPr>
        <w:t>14.投标人所提供的服务或货物的证明文件</w:t>
      </w:r>
      <w:bookmarkEnd w:id="117"/>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121" w:name="_Hlt107925668"/>
      <w:bookmarkEnd w:id="121"/>
      <w:bookmarkStart w:id="122" w:name="_Hlt107925638"/>
      <w:bookmarkEnd w:id="122"/>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123" w:name="_Toc30815"/>
      <w:bookmarkStart w:id="124" w:name="_Toc19520"/>
      <w:bookmarkStart w:id="125" w:name="_Toc22169"/>
      <w:r>
        <w:rPr>
          <w:rFonts w:hint="eastAsia" w:ascii="宋体" w:hAnsi="宋体"/>
          <w:color w:val="auto"/>
          <w:sz w:val="21"/>
          <w:szCs w:val="21"/>
          <w:highlight w:val="none"/>
        </w:rPr>
        <w:t>15.★投标有效期</w:t>
      </w:r>
      <w:bookmarkEnd w:id="123"/>
      <w:bookmarkEnd w:id="124"/>
      <w:bookmarkEnd w:id="12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6" w:name="_Toc30257"/>
      <w:bookmarkStart w:id="127" w:name="_Toc12456"/>
      <w:bookmarkStart w:id="128" w:name="_Toc25817"/>
      <w:r>
        <w:rPr>
          <w:rFonts w:hint="eastAsia" w:ascii="宋体" w:hAnsi="宋体"/>
          <w:color w:val="auto"/>
          <w:sz w:val="21"/>
          <w:szCs w:val="21"/>
          <w:highlight w:val="none"/>
        </w:rPr>
        <w:t>16.★投标保证金</w:t>
      </w:r>
      <w:bookmarkEnd w:id="126"/>
      <w:bookmarkEnd w:id="127"/>
      <w:bookmarkEnd w:id="128"/>
    </w:p>
    <w:p>
      <w:pPr>
        <w:pStyle w:val="34"/>
        <w:widowControl w:val="0"/>
        <w:numPr>
          <w:ilvl w:val="0"/>
          <w:numId w:val="3"/>
        </w:numPr>
        <w:adjustRightInd/>
        <w:snapToGrid/>
        <w:ind w:firstLineChars="0"/>
        <w:jc w:val="both"/>
        <w:rPr>
          <w:rFonts w:ascii="宋体" w:hAnsi="宋体"/>
          <w:vanish/>
          <w:color w:val="auto"/>
          <w:szCs w:val="21"/>
          <w:highlight w:val="none"/>
        </w:rPr>
      </w:pPr>
      <w:bookmarkStart w:id="129"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129"/>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outlineLvl w:val="1"/>
        <w:rPr>
          <w:rFonts w:ascii="宋体" w:hAnsi="宋体"/>
          <w:color w:val="auto"/>
          <w:highlight w:val="none"/>
        </w:rPr>
      </w:pPr>
      <w:bookmarkStart w:id="130" w:name="_Toc3200"/>
      <w:bookmarkStart w:id="131" w:name="_Toc31124"/>
      <w:bookmarkStart w:id="132" w:name="_Toc18533"/>
      <w:bookmarkStart w:id="133" w:name="_Toc24109"/>
      <w:r>
        <w:rPr>
          <w:rFonts w:hint="eastAsia" w:ascii="宋体" w:hAnsi="宋体"/>
          <w:color w:val="auto"/>
          <w:highlight w:val="none"/>
        </w:rPr>
        <w:t>第四章投标文件的递交</w:t>
      </w:r>
      <w:bookmarkEnd w:id="130"/>
      <w:bookmarkEnd w:id="131"/>
      <w:bookmarkEnd w:id="132"/>
      <w:bookmarkEnd w:id="133"/>
    </w:p>
    <w:p>
      <w:pPr>
        <w:pStyle w:val="5"/>
        <w:widowControl w:val="0"/>
        <w:overflowPunct w:val="0"/>
        <w:outlineLvl w:val="2"/>
        <w:rPr>
          <w:rFonts w:ascii="宋体" w:hAnsi="宋体"/>
          <w:color w:val="auto"/>
          <w:sz w:val="21"/>
          <w:szCs w:val="21"/>
          <w:highlight w:val="none"/>
        </w:rPr>
      </w:pPr>
      <w:bookmarkStart w:id="134" w:name="_Toc29590"/>
      <w:bookmarkStart w:id="135" w:name="_Toc303084264"/>
      <w:bookmarkStart w:id="136" w:name="_Toc23678"/>
      <w:bookmarkStart w:id="137" w:name="_Toc12387"/>
      <w:bookmarkStart w:id="138" w:name="_Toc473"/>
      <w:bookmarkStart w:id="139" w:name="_Toc24997"/>
      <w:bookmarkStart w:id="140" w:name="_Toc382049111"/>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134"/>
      <w:bookmarkEnd w:id="135"/>
      <w:bookmarkEnd w:id="136"/>
      <w:bookmarkEnd w:id="137"/>
      <w:bookmarkEnd w:id="138"/>
      <w:bookmarkEnd w:id="139"/>
      <w:bookmarkEnd w:id="14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41" w:name="_Toc17417"/>
      <w:bookmarkStart w:id="142" w:name="_Toc11863"/>
      <w:bookmarkStart w:id="143" w:name="_Toc7473"/>
      <w:bookmarkStart w:id="144" w:name="_Toc8628"/>
      <w:r>
        <w:rPr>
          <w:rFonts w:hint="eastAsia" w:ascii="宋体" w:hAnsi="宋体"/>
          <w:color w:val="auto"/>
          <w:sz w:val="21"/>
          <w:szCs w:val="21"/>
          <w:highlight w:val="none"/>
        </w:rPr>
        <w:t>18.迟交的投标文件</w:t>
      </w:r>
      <w:bookmarkEnd w:id="141"/>
      <w:bookmarkEnd w:id="142"/>
      <w:bookmarkEnd w:id="143"/>
      <w:bookmarkEnd w:id="14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45" w:name="_Toc8526"/>
      <w:bookmarkStart w:id="146" w:name="_Toc13212"/>
      <w:bookmarkStart w:id="147" w:name="_Toc19649"/>
      <w:bookmarkStart w:id="148" w:name="_Toc18462"/>
      <w:r>
        <w:rPr>
          <w:rFonts w:hint="eastAsia" w:ascii="宋体" w:hAnsi="宋体"/>
          <w:color w:val="auto"/>
          <w:sz w:val="21"/>
          <w:szCs w:val="21"/>
          <w:highlight w:val="none"/>
        </w:rPr>
        <w:t>19.投标样品（如需提交）</w:t>
      </w:r>
      <w:bookmarkEnd w:id="145"/>
      <w:bookmarkEnd w:id="146"/>
      <w:bookmarkEnd w:id="147"/>
      <w:bookmarkEnd w:id="14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49" w:name="_Toc7689"/>
      <w:bookmarkStart w:id="150" w:name="_Toc5900"/>
      <w:bookmarkStart w:id="151" w:name="_Toc382049112"/>
      <w:bookmarkStart w:id="152" w:name="_Toc23477"/>
      <w:bookmarkStart w:id="153" w:name="_Toc303084265"/>
      <w:bookmarkStart w:id="154" w:name="_Toc9777"/>
      <w:bookmarkStart w:id="155" w:name="_Toc24461"/>
      <w:r>
        <w:rPr>
          <w:rFonts w:hint="eastAsia" w:ascii="宋体" w:hAnsi="宋体"/>
          <w:color w:val="auto"/>
          <w:sz w:val="21"/>
          <w:szCs w:val="21"/>
          <w:highlight w:val="none"/>
        </w:rPr>
        <w:t>20.投标截止期</w:t>
      </w:r>
      <w:bookmarkEnd w:id="149"/>
      <w:bookmarkEnd w:id="150"/>
      <w:bookmarkEnd w:id="151"/>
      <w:bookmarkEnd w:id="152"/>
      <w:bookmarkEnd w:id="153"/>
      <w:bookmarkEnd w:id="154"/>
      <w:bookmarkEnd w:id="15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56" w:name="_Toc11133"/>
      <w:bookmarkStart w:id="157" w:name="_Toc15569"/>
      <w:bookmarkStart w:id="158" w:name="_Toc19431"/>
      <w:bookmarkStart w:id="159" w:name="_Toc6003"/>
      <w:r>
        <w:rPr>
          <w:rFonts w:hint="eastAsia" w:ascii="宋体" w:hAnsi="宋体"/>
          <w:color w:val="auto"/>
          <w:sz w:val="21"/>
          <w:szCs w:val="21"/>
          <w:highlight w:val="none"/>
        </w:rPr>
        <w:t>21.投标文件的补充、修改与撤回</w:t>
      </w:r>
      <w:bookmarkEnd w:id="156"/>
      <w:bookmarkEnd w:id="157"/>
      <w:bookmarkEnd w:id="158"/>
      <w:bookmarkEnd w:id="15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7"/>
        <w:rPr>
          <w:color w:val="auto"/>
          <w:highlight w:val="none"/>
        </w:rPr>
      </w:pPr>
    </w:p>
    <w:p>
      <w:pPr>
        <w:pStyle w:val="4"/>
        <w:spacing w:line="480" w:lineRule="auto"/>
        <w:jc w:val="center"/>
        <w:outlineLvl w:val="1"/>
        <w:rPr>
          <w:rFonts w:ascii="宋体" w:hAnsi="宋体"/>
          <w:color w:val="auto"/>
          <w:highlight w:val="none"/>
        </w:rPr>
      </w:pPr>
      <w:bookmarkStart w:id="160" w:name="_Toc29574"/>
      <w:bookmarkStart w:id="161" w:name="_Toc5049"/>
      <w:bookmarkStart w:id="162" w:name="_Toc23466"/>
      <w:bookmarkStart w:id="163" w:name="_Toc3096"/>
      <w:r>
        <w:rPr>
          <w:rFonts w:hint="eastAsia" w:ascii="宋体" w:hAnsi="宋体"/>
          <w:color w:val="auto"/>
          <w:highlight w:val="none"/>
        </w:rPr>
        <w:t>第五章开标与评标</w:t>
      </w:r>
      <w:bookmarkEnd w:id="160"/>
      <w:bookmarkEnd w:id="161"/>
      <w:bookmarkEnd w:id="162"/>
      <w:bookmarkEnd w:id="163"/>
    </w:p>
    <w:p>
      <w:pPr>
        <w:pStyle w:val="5"/>
        <w:widowControl w:val="0"/>
        <w:overflowPunct w:val="0"/>
        <w:outlineLvl w:val="2"/>
        <w:rPr>
          <w:rFonts w:ascii="宋体" w:hAnsi="宋体"/>
          <w:color w:val="auto"/>
          <w:sz w:val="21"/>
          <w:szCs w:val="21"/>
          <w:highlight w:val="none"/>
        </w:rPr>
      </w:pPr>
      <w:bookmarkStart w:id="164" w:name="_Toc27700"/>
      <w:bookmarkStart w:id="165" w:name="_Toc24251"/>
      <w:bookmarkStart w:id="166" w:name="_Toc28458"/>
      <w:bookmarkStart w:id="167" w:name="_Toc9271"/>
      <w:r>
        <w:rPr>
          <w:rFonts w:hint="eastAsia" w:ascii="宋体" w:hAnsi="宋体"/>
          <w:color w:val="auto"/>
          <w:sz w:val="21"/>
          <w:szCs w:val="21"/>
          <w:highlight w:val="none"/>
        </w:rPr>
        <w:t>22.开标</w:t>
      </w:r>
      <w:bookmarkEnd w:id="164"/>
      <w:bookmarkEnd w:id="165"/>
      <w:bookmarkEnd w:id="166"/>
      <w:bookmarkEnd w:id="167"/>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outlineLvl w:val="2"/>
        <w:rPr>
          <w:rFonts w:ascii="宋体" w:hAnsi="宋体"/>
          <w:color w:val="auto"/>
          <w:sz w:val="21"/>
          <w:szCs w:val="21"/>
          <w:highlight w:val="none"/>
        </w:rPr>
      </w:pPr>
      <w:bookmarkStart w:id="168" w:name="_Toc5974"/>
      <w:bookmarkStart w:id="169" w:name="_Toc4921"/>
      <w:bookmarkStart w:id="170" w:name="_Toc5524"/>
      <w:bookmarkStart w:id="171" w:name="_Toc22643"/>
      <w:r>
        <w:rPr>
          <w:rFonts w:hint="eastAsia" w:ascii="宋体" w:hAnsi="宋体"/>
          <w:color w:val="auto"/>
          <w:sz w:val="21"/>
          <w:szCs w:val="21"/>
          <w:highlight w:val="none"/>
        </w:rPr>
        <w:t>23.评标委员会及评标方法</w:t>
      </w:r>
      <w:bookmarkEnd w:id="168"/>
      <w:bookmarkEnd w:id="169"/>
      <w:bookmarkEnd w:id="170"/>
      <w:bookmarkEnd w:id="1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72" w:name="_Toc15231"/>
      <w:bookmarkStart w:id="173" w:name="_Toc29154"/>
      <w:bookmarkStart w:id="174" w:name="_Toc26402"/>
      <w:bookmarkStart w:id="175" w:name="_Toc32730"/>
      <w:r>
        <w:rPr>
          <w:rFonts w:hint="eastAsia" w:ascii="宋体" w:hAnsi="宋体"/>
          <w:color w:val="auto"/>
          <w:sz w:val="21"/>
          <w:szCs w:val="21"/>
          <w:highlight w:val="none"/>
        </w:rPr>
        <w:t>24.评审原则及评标过程的保密</w:t>
      </w:r>
      <w:bookmarkEnd w:id="172"/>
      <w:bookmarkEnd w:id="173"/>
      <w:bookmarkEnd w:id="174"/>
      <w:bookmarkEnd w:id="17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76" w:name="_Toc16226"/>
      <w:bookmarkStart w:id="177" w:name="_Toc3762"/>
      <w:bookmarkStart w:id="178" w:name="_Toc18436"/>
      <w:bookmarkStart w:id="179" w:name="_Toc16745"/>
      <w:r>
        <w:rPr>
          <w:rFonts w:hint="eastAsia" w:ascii="宋体" w:hAnsi="宋体"/>
          <w:color w:val="auto"/>
          <w:sz w:val="21"/>
          <w:szCs w:val="21"/>
          <w:highlight w:val="none"/>
        </w:rPr>
        <w:t>25.投标文件的初审</w:t>
      </w:r>
      <w:bookmarkEnd w:id="176"/>
      <w:bookmarkEnd w:id="177"/>
      <w:bookmarkEnd w:id="178"/>
      <w:bookmarkEnd w:id="17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outlineLvl w:val="2"/>
        <w:rPr>
          <w:rFonts w:ascii="宋体" w:hAnsi="宋体"/>
          <w:color w:val="auto"/>
          <w:sz w:val="21"/>
          <w:szCs w:val="21"/>
          <w:highlight w:val="none"/>
        </w:rPr>
      </w:pPr>
      <w:bookmarkStart w:id="180" w:name="_Toc29184"/>
      <w:bookmarkStart w:id="181" w:name="_Toc21742"/>
      <w:bookmarkStart w:id="182" w:name="_Toc5356"/>
      <w:bookmarkStart w:id="183" w:name="_Toc27673"/>
      <w:r>
        <w:rPr>
          <w:rFonts w:hint="eastAsia" w:ascii="宋体" w:hAnsi="宋体"/>
          <w:color w:val="auto"/>
          <w:sz w:val="21"/>
          <w:szCs w:val="21"/>
          <w:highlight w:val="none"/>
        </w:rPr>
        <w:t>26.商务、技术、价格评审（具体评审项目详见投标资料表）</w:t>
      </w:r>
      <w:bookmarkEnd w:id="180"/>
      <w:bookmarkEnd w:id="181"/>
      <w:bookmarkEnd w:id="182"/>
      <w:bookmarkEnd w:id="183"/>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184" w:name="_Toc7593"/>
      <w:bookmarkStart w:id="185" w:name="_Toc17683"/>
      <w:bookmarkStart w:id="186" w:name="_Toc22192"/>
      <w:bookmarkStart w:id="187" w:name="_Toc30685"/>
      <w:r>
        <w:rPr>
          <w:rFonts w:hint="eastAsia" w:ascii="宋体" w:hAnsi="宋体"/>
          <w:color w:val="auto"/>
          <w:sz w:val="21"/>
          <w:szCs w:val="21"/>
          <w:highlight w:val="none"/>
        </w:rPr>
        <w:t>27.优惠政策</w:t>
      </w:r>
      <w:bookmarkEnd w:id="184"/>
      <w:bookmarkEnd w:id="185"/>
      <w:bookmarkEnd w:id="186"/>
      <w:bookmarkEnd w:id="18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outlineLvl w:val="2"/>
        <w:rPr>
          <w:rFonts w:ascii="宋体" w:hAnsi="宋体"/>
          <w:color w:val="auto"/>
          <w:sz w:val="21"/>
          <w:szCs w:val="21"/>
          <w:highlight w:val="none"/>
        </w:rPr>
      </w:pPr>
      <w:bookmarkStart w:id="188" w:name="_Toc316375620"/>
      <w:bookmarkStart w:id="189" w:name="_Toc22591"/>
      <w:bookmarkStart w:id="190" w:name="_Toc2898"/>
      <w:bookmarkStart w:id="191" w:name="_Toc31141"/>
      <w:bookmarkStart w:id="192" w:name="_Toc12115"/>
      <w:bookmarkStart w:id="193" w:name="_Toc382049120"/>
      <w:bookmarkStart w:id="194"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88"/>
      <w:r>
        <w:rPr>
          <w:rFonts w:hint="eastAsia" w:ascii="宋体" w:hAnsi="宋体"/>
          <w:color w:val="auto"/>
          <w:sz w:val="21"/>
          <w:szCs w:val="21"/>
          <w:highlight w:val="none"/>
        </w:rPr>
        <w:t>事项</w:t>
      </w:r>
      <w:bookmarkEnd w:id="189"/>
      <w:bookmarkEnd w:id="190"/>
      <w:bookmarkEnd w:id="191"/>
      <w:bookmarkEnd w:id="192"/>
      <w:bookmarkEnd w:id="193"/>
      <w:bookmarkEnd w:id="194"/>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outlineLvl w:val="1"/>
        <w:rPr>
          <w:rFonts w:ascii="宋体" w:hAnsi="宋体"/>
          <w:color w:val="auto"/>
          <w:highlight w:val="none"/>
        </w:rPr>
      </w:pPr>
      <w:bookmarkStart w:id="195" w:name="_Toc12251"/>
      <w:bookmarkStart w:id="196" w:name="_Toc10057"/>
      <w:bookmarkStart w:id="197" w:name="_Toc5528"/>
      <w:bookmarkStart w:id="198" w:name="_Toc29310"/>
      <w:r>
        <w:rPr>
          <w:rFonts w:hint="eastAsia" w:ascii="宋体" w:hAnsi="宋体"/>
          <w:color w:val="auto"/>
          <w:highlight w:val="none"/>
        </w:rPr>
        <w:t>第六章授予合同</w:t>
      </w:r>
      <w:bookmarkEnd w:id="195"/>
      <w:bookmarkEnd w:id="196"/>
      <w:bookmarkEnd w:id="197"/>
      <w:bookmarkEnd w:id="198"/>
    </w:p>
    <w:p>
      <w:pPr>
        <w:pStyle w:val="5"/>
        <w:widowControl w:val="0"/>
        <w:overflowPunct w:val="0"/>
        <w:outlineLvl w:val="2"/>
        <w:rPr>
          <w:rFonts w:ascii="宋体" w:hAnsi="宋体"/>
          <w:color w:val="auto"/>
          <w:sz w:val="21"/>
          <w:szCs w:val="21"/>
          <w:highlight w:val="none"/>
        </w:rPr>
      </w:pPr>
      <w:bookmarkStart w:id="199" w:name="_Toc17778"/>
      <w:bookmarkStart w:id="200" w:name="_Toc27817"/>
      <w:bookmarkStart w:id="201" w:name="_Toc6696"/>
      <w:bookmarkStart w:id="202" w:name="_Toc508284011"/>
      <w:bookmarkStart w:id="203" w:name="_Toc28372"/>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99"/>
      <w:bookmarkEnd w:id="200"/>
      <w:bookmarkEnd w:id="201"/>
      <w:bookmarkEnd w:id="202"/>
      <w:bookmarkEnd w:id="203"/>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outlineLvl w:val="2"/>
        <w:rPr>
          <w:rFonts w:ascii="宋体" w:hAnsi="宋体"/>
          <w:color w:val="auto"/>
          <w:sz w:val="21"/>
          <w:szCs w:val="21"/>
          <w:highlight w:val="none"/>
        </w:rPr>
      </w:pPr>
      <w:bookmarkStart w:id="204" w:name="_Toc23136"/>
      <w:bookmarkStart w:id="205" w:name="_Toc29283"/>
      <w:bookmarkStart w:id="206" w:name="_Toc12440"/>
      <w:bookmarkStart w:id="207" w:name="_Toc10895"/>
      <w:bookmarkStart w:id="208" w:name="_Toc508284013"/>
      <w:r>
        <w:rPr>
          <w:rFonts w:hint="eastAsia" w:ascii="宋体" w:hAnsi="宋体"/>
          <w:color w:val="auto"/>
          <w:sz w:val="21"/>
          <w:szCs w:val="21"/>
          <w:highlight w:val="none"/>
        </w:rPr>
        <w:t>30.发布采购结果</w:t>
      </w:r>
      <w:bookmarkEnd w:id="204"/>
      <w:bookmarkEnd w:id="205"/>
      <w:bookmarkEnd w:id="206"/>
      <w:bookmarkEnd w:id="207"/>
      <w:bookmarkEnd w:id="20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outlineLvl w:val="2"/>
        <w:rPr>
          <w:rFonts w:ascii="宋体" w:hAnsi="宋体"/>
          <w:color w:val="auto"/>
          <w:sz w:val="21"/>
          <w:szCs w:val="21"/>
          <w:highlight w:val="none"/>
        </w:rPr>
      </w:pPr>
      <w:bookmarkStart w:id="209" w:name="_Toc27279"/>
      <w:bookmarkStart w:id="210" w:name="_Toc22262"/>
      <w:bookmarkStart w:id="211" w:name="_Toc21052"/>
      <w:bookmarkStart w:id="212" w:name="_Toc22451"/>
      <w:r>
        <w:rPr>
          <w:rFonts w:hint="eastAsia" w:ascii="宋体" w:hAnsi="宋体"/>
          <w:color w:val="auto"/>
          <w:sz w:val="21"/>
          <w:szCs w:val="21"/>
          <w:highlight w:val="none"/>
        </w:rPr>
        <w:t>31.合同的签订与履行</w:t>
      </w:r>
      <w:bookmarkEnd w:id="209"/>
      <w:bookmarkEnd w:id="210"/>
      <w:bookmarkEnd w:id="211"/>
      <w:bookmarkEnd w:id="21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outlineLvl w:val="2"/>
        <w:rPr>
          <w:rFonts w:ascii="宋体" w:hAnsi="宋体"/>
          <w:color w:val="auto"/>
          <w:sz w:val="21"/>
          <w:szCs w:val="21"/>
          <w:highlight w:val="none"/>
        </w:rPr>
      </w:pPr>
      <w:bookmarkStart w:id="213" w:name="_Toc7405"/>
      <w:bookmarkStart w:id="214" w:name="_Toc25756"/>
      <w:bookmarkStart w:id="215" w:name="_Toc303084277"/>
      <w:bookmarkStart w:id="216" w:name="_Toc2744"/>
      <w:bookmarkStart w:id="217" w:name="_Toc29009"/>
      <w:bookmarkStart w:id="218" w:name="_Toc21710"/>
      <w:bookmarkStart w:id="219"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213"/>
      <w:bookmarkEnd w:id="214"/>
      <w:bookmarkEnd w:id="215"/>
      <w:bookmarkEnd w:id="216"/>
      <w:bookmarkEnd w:id="217"/>
      <w:bookmarkEnd w:id="218"/>
      <w:bookmarkEnd w:id="21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outlineLvl w:val="1"/>
        <w:rPr>
          <w:rFonts w:ascii="宋体" w:hAnsi="宋体"/>
          <w:color w:val="auto"/>
          <w:highlight w:val="none"/>
        </w:rPr>
      </w:pPr>
      <w:bookmarkStart w:id="220" w:name="_Toc20699"/>
      <w:bookmarkStart w:id="221" w:name="_Toc442"/>
      <w:bookmarkStart w:id="222" w:name="_Toc7360"/>
      <w:bookmarkStart w:id="223" w:name="_Toc13694"/>
      <w:r>
        <w:rPr>
          <w:rFonts w:hint="eastAsia" w:ascii="宋体" w:hAnsi="宋体"/>
          <w:color w:val="auto"/>
          <w:highlight w:val="none"/>
        </w:rPr>
        <w:t>第七章询问或质疑</w:t>
      </w:r>
      <w:bookmarkEnd w:id="220"/>
      <w:bookmarkEnd w:id="221"/>
      <w:bookmarkEnd w:id="222"/>
      <w:bookmarkEnd w:id="223"/>
    </w:p>
    <w:p>
      <w:pPr>
        <w:pStyle w:val="5"/>
        <w:widowControl w:val="0"/>
        <w:overflowPunct w:val="0"/>
        <w:outlineLvl w:val="2"/>
        <w:rPr>
          <w:rFonts w:ascii="宋体" w:hAnsi="宋体"/>
          <w:color w:val="auto"/>
          <w:sz w:val="21"/>
          <w:szCs w:val="21"/>
          <w:highlight w:val="none"/>
        </w:rPr>
      </w:pPr>
      <w:bookmarkStart w:id="224" w:name="_Toc14526"/>
      <w:bookmarkStart w:id="225" w:name="_Toc25498"/>
      <w:bookmarkStart w:id="226" w:name="_Toc22900"/>
      <w:bookmarkStart w:id="227" w:name="_Toc17974"/>
      <w:r>
        <w:rPr>
          <w:rFonts w:hint="eastAsia" w:ascii="宋体" w:hAnsi="宋体"/>
          <w:color w:val="auto"/>
          <w:sz w:val="21"/>
          <w:szCs w:val="21"/>
          <w:highlight w:val="none"/>
        </w:rPr>
        <w:t>33.询问</w:t>
      </w:r>
      <w:bookmarkEnd w:id="224"/>
      <w:bookmarkEnd w:id="225"/>
      <w:bookmarkEnd w:id="226"/>
      <w:bookmarkEnd w:id="22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5"/>
        <w:widowControl w:val="0"/>
        <w:overflowPunct w:val="0"/>
        <w:outlineLvl w:val="2"/>
        <w:rPr>
          <w:rFonts w:ascii="宋体" w:hAnsi="宋体"/>
          <w:color w:val="auto"/>
          <w:sz w:val="21"/>
          <w:szCs w:val="21"/>
          <w:highlight w:val="none"/>
        </w:rPr>
      </w:pPr>
      <w:bookmarkStart w:id="228" w:name="_Toc11264"/>
      <w:bookmarkStart w:id="229" w:name="_Toc2767"/>
      <w:bookmarkStart w:id="230" w:name="_Toc1870"/>
      <w:bookmarkStart w:id="231" w:name="_Toc8234"/>
      <w:r>
        <w:rPr>
          <w:rFonts w:hint="eastAsia" w:ascii="宋体" w:hAnsi="宋体"/>
          <w:color w:val="auto"/>
          <w:sz w:val="21"/>
          <w:szCs w:val="21"/>
          <w:highlight w:val="none"/>
        </w:rPr>
        <w:t>34.质疑</w:t>
      </w:r>
      <w:bookmarkEnd w:id="228"/>
      <w:bookmarkEnd w:id="229"/>
      <w:bookmarkEnd w:id="230"/>
      <w:bookmarkEnd w:id="231"/>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outlineLvl w:val="1"/>
        <w:rPr>
          <w:rFonts w:ascii="宋体" w:hAnsi="宋体"/>
          <w:color w:val="auto"/>
          <w:highlight w:val="none"/>
        </w:rPr>
      </w:pPr>
      <w:bookmarkStart w:id="232" w:name="_Toc31225"/>
      <w:bookmarkStart w:id="233" w:name="_Toc8919"/>
      <w:bookmarkStart w:id="234" w:name="_Toc24383"/>
      <w:bookmarkStart w:id="235" w:name="_Toc5690"/>
      <w:r>
        <w:rPr>
          <w:rFonts w:hint="eastAsia" w:ascii="宋体" w:hAnsi="宋体"/>
          <w:color w:val="auto"/>
          <w:highlight w:val="none"/>
        </w:rPr>
        <w:t>第八章其他</w:t>
      </w:r>
      <w:bookmarkEnd w:id="232"/>
      <w:bookmarkEnd w:id="233"/>
      <w:bookmarkEnd w:id="234"/>
      <w:bookmarkEnd w:id="235"/>
    </w:p>
    <w:p>
      <w:pPr>
        <w:pStyle w:val="5"/>
        <w:widowControl w:val="0"/>
        <w:overflowPunct w:val="0"/>
        <w:outlineLvl w:val="2"/>
        <w:rPr>
          <w:rFonts w:ascii="宋体" w:hAnsi="宋体"/>
          <w:color w:val="auto"/>
          <w:sz w:val="21"/>
          <w:szCs w:val="21"/>
          <w:highlight w:val="none"/>
        </w:rPr>
      </w:pPr>
      <w:bookmarkStart w:id="236" w:name="_Toc7000"/>
      <w:bookmarkStart w:id="237" w:name="_Toc6548"/>
      <w:bookmarkStart w:id="238" w:name="_Toc21187"/>
      <w:bookmarkStart w:id="239" w:name="_Toc10082"/>
      <w:r>
        <w:rPr>
          <w:rFonts w:hint="eastAsia" w:ascii="宋体" w:hAnsi="宋体"/>
          <w:color w:val="auto"/>
          <w:sz w:val="21"/>
          <w:szCs w:val="21"/>
          <w:highlight w:val="none"/>
        </w:rPr>
        <w:t>35.招标文件的解释权</w:t>
      </w:r>
      <w:bookmarkEnd w:id="236"/>
      <w:bookmarkEnd w:id="237"/>
      <w:bookmarkEnd w:id="238"/>
      <w:bookmarkEnd w:id="23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w:t>
      </w:r>
      <w:r>
        <w:rPr>
          <w:rFonts w:hint="eastAsia" w:ascii="宋体" w:hAnsi="宋体"/>
          <w:color w:val="auto"/>
          <w:szCs w:val="21"/>
          <w:highlight w:val="none"/>
          <w:lang w:val="en-US" w:eastAsia="zh-CN"/>
        </w:rPr>
        <w:t>3</w:t>
      </w:r>
      <w:r>
        <w:rPr>
          <w:rFonts w:hint="eastAsia" w:ascii="宋体" w:hAnsi="宋体"/>
          <w:color w:val="auto"/>
          <w:szCs w:val="21"/>
          <w:highlight w:val="none"/>
        </w:rPr>
        <w:t>0</w:t>
      </w:r>
      <w:r>
        <w:rPr>
          <w:rFonts w:hint="eastAsia" w:ascii="宋体" w:hAnsi="宋体"/>
          <w:color w:val="auto"/>
          <w:szCs w:val="21"/>
          <w:highlight w:val="none"/>
          <w:lang w:val="en-US" w:eastAsia="zh-CN"/>
        </w:rPr>
        <w:t>306</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42"/>
    <w:p>
      <w:pPr>
        <w:jc w:val="center"/>
        <w:rPr>
          <w:color w:val="auto"/>
          <w:highlight w:val="none"/>
        </w:rPr>
      </w:pPr>
      <w:r>
        <w:rPr>
          <w:rFonts w:hint="eastAsia"/>
          <w:color w:val="auto"/>
          <w:highlight w:val="none"/>
        </w:rPr>
        <w:br w:type="page"/>
      </w:r>
    </w:p>
    <w:p>
      <w:pPr>
        <w:pStyle w:val="2"/>
        <w:spacing w:before="0" w:after="0" w:line="240" w:lineRule="auto"/>
        <w:outlineLvl w:val="0"/>
        <w:rPr>
          <w:color w:val="auto"/>
          <w:sz w:val="28"/>
          <w:szCs w:val="28"/>
          <w:highlight w:val="none"/>
        </w:rPr>
      </w:pPr>
      <w:bookmarkStart w:id="240" w:name="_Toc382"/>
      <w:bookmarkStart w:id="241" w:name="_Toc19911"/>
      <w:bookmarkStart w:id="242" w:name="_Toc31854"/>
      <w:bookmarkStart w:id="243" w:name="_Toc7011"/>
      <w:r>
        <w:rPr>
          <w:rFonts w:hint="eastAsia"/>
          <w:color w:val="auto"/>
          <w:sz w:val="28"/>
          <w:szCs w:val="28"/>
          <w:highlight w:val="none"/>
        </w:rPr>
        <w:t>第五部分 用户需求书</w:t>
      </w:r>
      <w:bookmarkEnd w:id="240"/>
      <w:bookmarkEnd w:id="241"/>
      <w:bookmarkEnd w:id="242"/>
      <w:bookmarkEnd w:id="243"/>
    </w:p>
    <w:p>
      <w:pPr>
        <w:pStyle w:val="4"/>
        <w:jc w:val="center"/>
        <w:outlineLvl w:val="1"/>
        <w:rPr>
          <w:rFonts w:ascii="宋体" w:hAnsi="宋体"/>
          <w:color w:val="auto"/>
          <w:highlight w:val="none"/>
        </w:rPr>
      </w:pPr>
      <w:bookmarkStart w:id="244" w:name="_Toc1593"/>
      <w:bookmarkStart w:id="245" w:name="_Toc10947"/>
      <w:r>
        <w:rPr>
          <w:rFonts w:hint="eastAsia" w:ascii="宋体" w:hAnsi="宋体"/>
          <w:color w:val="auto"/>
          <w:highlight w:val="none"/>
        </w:rPr>
        <w:t>第一章 商务需求书</w:t>
      </w:r>
      <w:bookmarkEnd w:id="244"/>
      <w:bookmarkEnd w:id="245"/>
    </w:p>
    <w:tbl>
      <w:tblPr>
        <w:tblStyle w:val="24"/>
        <w:tblW w:w="8287" w:type="dxa"/>
        <w:tblInd w:w="1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101"/>
        <w:gridCol w:w="61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101" w:type="dxa"/>
            <w:vAlign w:val="center"/>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标的提供的时间</w:t>
            </w:r>
          </w:p>
        </w:tc>
        <w:tc>
          <w:tcPr>
            <w:tcW w:w="6186" w:type="dxa"/>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zh-CN" w:eastAsia="zh-CN" w:bidi="zh-CN"/>
              </w:rPr>
              <w:t>合同签订之日起30天内完成河涌治理提升建设；运营维护期自完成河涌治理提升建设后一年，运营维护期满后，中标人须无偿移交本项目所有的水质提升设施给采购人。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2101"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标的提供的地点</w:t>
            </w:r>
          </w:p>
        </w:tc>
        <w:tc>
          <w:tcPr>
            <w:tcW w:w="6186" w:type="dxa"/>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采购人指定地点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2101"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投标有效期</w:t>
            </w:r>
          </w:p>
        </w:tc>
        <w:tc>
          <w:tcPr>
            <w:tcW w:w="6186" w:type="dxa"/>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从提交投标（响应）文件的截止之日起90日历天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2" w:hRule="atLeast"/>
        </w:trPr>
        <w:tc>
          <w:tcPr>
            <w:tcW w:w="2101"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付款方式</w:t>
            </w:r>
          </w:p>
        </w:tc>
        <w:tc>
          <w:tcPr>
            <w:tcW w:w="6186" w:type="dxa"/>
          </w:tcPr>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（1）按月支付，直到项目服务期结束。并根据服务范围水质监测效果进行扣减。</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如水质满足指标（透明度＞25cm，溶解氧＞2mg/L，氧化还原电位＞50mV，氨氮＜5mg/L），则支付当月该河涌所有运维费用；如未达以上指标但满足消除黑臭指标（透明度＞25cm，溶解氧＞2mg/L，氧化还原电位＞50mV，氨氮＜8mg/L），则支付当月该河涌运维费用80%；如未能达到消除黑臭目标的，则不予支付当月该河涌运维费用。</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（3）市委托第三方抽检：如当月河涌水质达不到市水环境生态达标考核标准，则扣减当月服务费20%。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color w:val="auto"/>
                <w:sz w:val="21"/>
                <w:szCs w:val="21"/>
                <w:highlight w:val="none"/>
              </w:rPr>
            </w:pPr>
            <w:r>
              <w:rPr>
                <w:rFonts w:hint="eastAsia" w:cs="宋体"/>
                <w:color w:val="auto"/>
                <w:sz w:val="21"/>
                <w:szCs w:val="21"/>
                <w:highlight w:val="none"/>
                <w:lang w:val="en-US" w:eastAsia="zh-CN" w:bidi="zh-CN"/>
              </w:rPr>
              <w:t>注：本项目资金来源为财政性资金，相关付款程序应严格遵守财政部门资金支付程序规定。采购人规定的付款时间为向政府采购支付部门提出办理财政支付申请手续的时间（不含政府财政支付部门审核的时间），如因政策及请款手续影响，拨款未能及时到位，采购人不属违约，中标人应当继续履行合同义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2101"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验收要求</w:t>
            </w:r>
          </w:p>
        </w:tc>
        <w:tc>
          <w:tcPr>
            <w:tcW w:w="6186" w:type="dxa"/>
          </w:tcPr>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1、项目相关治理设备正常运行，水质稳定达标；</w:t>
            </w:r>
          </w:p>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2、除暴雨、溢流、工业偷排、农田水倒灌等突发环境污染事件及其它不可抗力因素外，主要指标</w:t>
            </w:r>
            <w:r>
              <w:rPr>
                <w:rFonts w:hint="eastAsia" w:ascii="宋体" w:hAnsi="宋体" w:eastAsia="宋体" w:cs="宋体"/>
                <w:color w:val="auto"/>
                <w:sz w:val="21"/>
                <w:szCs w:val="21"/>
                <w:highlight w:val="none"/>
                <w:lang w:val="en-US" w:eastAsia="zh-CN" w:bidi="zh-CN"/>
              </w:rPr>
              <w:t>（透明度、溶解氧、氧化还原电位、氨氮）</w:t>
            </w:r>
            <w:r>
              <w:rPr>
                <w:rFonts w:hint="eastAsia" w:ascii="宋体" w:hAnsi="宋体" w:eastAsia="宋体" w:cs="宋体"/>
                <w:color w:val="auto"/>
                <w:sz w:val="21"/>
                <w:szCs w:val="21"/>
                <w:highlight w:val="none"/>
              </w:rPr>
              <w:t>达到</w:t>
            </w:r>
            <w:r>
              <w:rPr>
                <w:rFonts w:hint="eastAsia" w:ascii="宋体" w:hAnsi="宋体" w:eastAsia="宋体" w:cs="宋体"/>
                <w:color w:val="auto"/>
                <w:sz w:val="21"/>
                <w:szCs w:val="21"/>
                <w:highlight w:val="none"/>
                <w:lang w:eastAsia="zh-CN"/>
              </w:rPr>
              <w:t>采购人要求指标（详见表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pStyle w:val="69"/>
              <w:keepNext w:val="0"/>
              <w:keepLines w:val="0"/>
              <w:pageBreakBefore w:val="0"/>
              <w:widowControl w:val="0"/>
              <w:kinsoku/>
              <w:wordWrap/>
              <w:overflowPunct/>
              <w:topLinePunct w:val="0"/>
              <w:autoSpaceDE w:val="0"/>
              <w:autoSpaceDN w:val="0"/>
              <w:bidi w:val="0"/>
              <w:adjustRightInd/>
              <w:snapToGrid/>
              <w:spacing w:before="0" w:after="0" w:line="288"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bidi="zh-CN"/>
              </w:rPr>
              <w:t>雨天结束或发生环境突发事件后3日内达到消除黑臭，8日内</w:t>
            </w:r>
            <w:r>
              <w:rPr>
                <w:rFonts w:hint="eastAsia" w:ascii="宋体" w:hAnsi="宋体" w:eastAsia="宋体" w:cs="宋体"/>
                <w:color w:val="auto"/>
                <w:sz w:val="21"/>
                <w:szCs w:val="21"/>
                <w:highlight w:val="none"/>
              </w:rPr>
              <w:t>达到</w:t>
            </w:r>
            <w:r>
              <w:rPr>
                <w:rFonts w:hint="eastAsia" w:ascii="宋体" w:hAnsi="宋体" w:eastAsia="宋体" w:cs="宋体"/>
                <w:color w:val="auto"/>
                <w:sz w:val="21"/>
                <w:szCs w:val="21"/>
                <w:highlight w:val="none"/>
                <w:lang w:eastAsia="zh-CN"/>
              </w:rPr>
              <w:t>采购人要求指标（详见表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bidi="zh-CN"/>
              </w:rPr>
              <w:t>。</w:t>
            </w:r>
          </w:p>
          <w:p>
            <w:pPr>
              <w:pStyle w:val="69"/>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4、运维管理工作需符合业主方提出的服务要求和技术要求。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2101" w:type="dxa"/>
            <w:vMerge w:val="restart"/>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履约保证金</w:t>
            </w:r>
          </w:p>
        </w:tc>
        <w:tc>
          <w:tcPr>
            <w:tcW w:w="6186"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color w:val="auto"/>
                <w:sz w:val="21"/>
                <w:szCs w:val="21"/>
                <w:highlight w:val="none"/>
              </w:rPr>
            </w:pPr>
            <w:r>
              <w:rPr>
                <w:rFonts w:hint="eastAsia"/>
                <w:color w:val="auto"/>
                <w:sz w:val="21"/>
                <w:szCs w:val="21"/>
                <w:highlight w:val="none"/>
              </w:rPr>
              <w:t>本项目收取履约保证金，收取比例为：5%。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2101" w:type="dxa"/>
            <w:vMerge w:val="continue"/>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color w:val="auto"/>
                <w:sz w:val="21"/>
                <w:szCs w:val="21"/>
                <w:highlight w:val="none"/>
              </w:rPr>
            </w:pPr>
          </w:p>
        </w:tc>
        <w:tc>
          <w:tcPr>
            <w:tcW w:w="6186" w:type="dxa"/>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eastAsia"/>
                <w:color w:val="auto"/>
                <w:sz w:val="21"/>
                <w:szCs w:val="21"/>
                <w:highlight w:val="none"/>
              </w:rPr>
            </w:pPr>
            <w:r>
              <w:rPr>
                <w:rFonts w:hint="eastAsia"/>
                <w:color w:val="auto"/>
                <w:sz w:val="21"/>
                <w:szCs w:val="21"/>
                <w:highlight w:val="none"/>
              </w:rPr>
              <w:t>说明：中标人应在领取中标通知书之后签订合同之前递交履约保证金，履约保证金可采用保证金（银行转账、电汇）方式，或采用履约保函方式。</w:t>
            </w:r>
          </w:p>
          <w:p>
            <w:pPr>
              <w:pStyle w:val="69"/>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color w:val="auto"/>
                <w:sz w:val="21"/>
                <w:szCs w:val="21"/>
                <w:highlight w:val="none"/>
              </w:rPr>
            </w:pPr>
            <w:r>
              <w:rPr>
                <w:rFonts w:hint="eastAsia"/>
                <w:color w:val="auto"/>
                <w:sz w:val="21"/>
                <w:szCs w:val="21"/>
                <w:highlight w:val="none"/>
              </w:rPr>
              <w:t>履约保证金在合同期满后或产品验收合格后，中标人向采购人提交退回履约保证金的申请、履约保证金汇款凭证复印件、采购合同、采购项目验收报告原件、中标通知书复印件，前往采购人办理履约保证金退还手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1" w:type="dxa"/>
            <w:vMerge w:val="restart"/>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color w:val="auto"/>
                <w:sz w:val="21"/>
                <w:szCs w:val="21"/>
                <w:highlight w:val="none"/>
              </w:rPr>
            </w:pPr>
            <w:r>
              <w:rPr>
                <w:rFonts w:hint="eastAsia"/>
                <w:color w:val="auto"/>
                <w:sz w:val="21"/>
                <w:szCs w:val="21"/>
                <w:highlight w:val="none"/>
              </w:rPr>
              <w:t>其他</w:t>
            </w:r>
          </w:p>
        </w:tc>
        <w:tc>
          <w:tcPr>
            <w:tcW w:w="6186"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8"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1、报价要求：</w:t>
            </w:r>
          </w:p>
          <w:p>
            <w:pPr>
              <w:keepNext w:val="0"/>
              <w:keepLines w:val="0"/>
              <w:pageBreakBefore w:val="0"/>
              <w:widowControl w:val="0"/>
              <w:kinsoku/>
              <w:wordWrap/>
              <w:overflowPunct/>
              <w:topLinePunct w:val="0"/>
              <w:autoSpaceDE w:val="0"/>
              <w:autoSpaceDN w:val="0"/>
              <w:bidi w:val="0"/>
              <w:adjustRightInd/>
              <w:snapToGrid/>
              <w:spacing w:before="0" w:after="0" w:line="288" w:lineRule="auto"/>
              <w:ind w:firstLine="440" w:firstLineChars="200"/>
              <w:jc w:val="both"/>
              <w:textAlignment w:val="auto"/>
              <w:rPr>
                <w:rFonts w:hint="default"/>
                <w:color w:val="auto"/>
                <w:sz w:val="21"/>
                <w:szCs w:val="21"/>
                <w:highlight w:val="none"/>
                <w:lang w:val="en-US" w:eastAsia="zh-CN"/>
              </w:rPr>
            </w:pPr>
            <w:r>
              <w:rPr>
                <w:rFonts w:hint="eastAsia" w:ascii="宋体" w:hAnsi="宋体" w:eastAsia="宋体" w:cs="宋体"/>
                <w:color w:val="auto"/>
                <w:sz w:val="22"/>
                <w:szCs w:val="22"/>
                <w:highlight w:val="none"/>
              </w:rPr>
              <w:t>投标报价采取打包报价的方式</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1"/>
                <w:szCs w:val="21"/>
                <w:highlight w:val="none"/>
                <w:lang w:val="en-US" w:eastAsia="zh-CN" w:bidi="zh-CN"/>
              </w:rPr>
              <w:t xml:space="preserve">投标报价包括材料、工具、人工、管理费、利润、税金、风险、招标代理费用等一切因素所有应该和可能发生的费用因素。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1" w:type="dxa"/>
            <w:vMerge w:val="continue"/>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color w:val="auto"/>
                <w:sz w:val="21"/>
                <w:szCs w:val="21"/>
                <w:highlight w:val="none"/>
              </w:rPr>
            </w:pPr>
          </w:p>
        </w:tc>
        <w:tc>
          <w:tcPr>
            <w:tcW w:w="6186"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2、合同条款：</w:t>
            </w:r>
          </w:p>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供应商实质响应合同条款。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1" w:type="dxa"/>
            <w:vMerge w:val="continue"/>
            <w:vAlign w:val="center"/>
          </w:tcPr>
          <w:p>
            <w:pPr>
              <w:pStyle w:val="69"/>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color w:val="auto"/>
                <w:sz w:val="21"/>
                <w:szCs w:val="21"/>
                <w:highlight w:val="none"/>
              </w:rPr>
            </w:pPr>
          </w:p>
        </w:tc>
        <w:tc>
          <w:tcPr>
            <w:tcW w:w="6186" w:type="dxa"/>
            <w:vAlign w:val="center"/>
          </w:tcPr>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3、其他要求：</w:t>
            </w:r>
          </w:p>
          <w:p>
            <w:pPr>
              <w:keepNext w:val="0"/>
              <w:keepLines w:val="0"/>
              <w:pageBreakBefore w:val="0"/>
              <w:widowControl w:val="0"/>
              <w:kinsoku/>
              <w:wordWrap/>
              <w:overflowPunct/>
              <w:topLinePunct w:val="0"/>
              <w:autoSpaceDE w:val="0"/>
              <w:autoSpaceDN w:val="0"/>
              <w:bidi w:val="0"/>
              <w:adjustRightInd/>
              <w:snapToGrid/>
              <w:spacing w:before="0" w:beforeLines="30" w:after="0" w:afterLines="30" w:line="240" w:lineRule="auto"/>
              <w:ind w:firstLine="440" w:firstLineChars="200"/>
              <w:jc w:val="both"/>
              <w:textAlignment w:val="auto"/>
              <w:rPr>
                <w:rFonts w:hint="default"/>
                <w:color w:val="auto"/>
                <w:sz w:val="21"/>
                <w:szCs w:val="21"/>
                <w:highlight w:val="none"/>
                <w:lang w:val="en-US" w:eastAsia="zh-CN"/>
              </w:rPr>
            </w:pPr>
            <w:r>
              <w:rPr>
                <w:rFonts w:hint="eastAsia" w:ascii="宋体" w:hAnsi="宋体" w:eastAsia="宋体" w:cs="宋体"/>
                <w:color w:val="auto"/>
                <w:sz w:val="22"/>
                <w:szCs w:val="22"/>
                <w:highlight w:val="none"/>
              </w:rPr>
              <w:t>投标人应充分结合本招标文件上下文了解项目招标需求、采购文件未尽事宜，将在合同签订或项目执行过程中双方协商确定，供应商须无条件满足采购单位的合理要求。</w:t>
            </w:r>
          </w:p>
        </w:tc>
      </w:tr>
    </w:tbl>
    <w:p>
      <w:pPr>
        <w:tabs>
          <w:tab w:val="left" w:pos="2888"/>
        </w:tabs>
        <w:rPr>
          <w:rFonts w:hint="eastAsia"/>
          <w:color w:val="auto"/>
          <w:highlight w:val="none"/>
          <w:lang w:eastAsia="zh-CN"/>
        </w:rPr>
      </w:pPr>
      <w:r>
        <w:rPr>
          <w:rFonts w:hint="eastAsia"/>
          <w:color w:val="auto"/>
          <w:highlight w:val="none"/>
          <w:lang w:eastAsia="zh-CN"/>
        </w:rPr>
        <w:tab/>
      </w: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bidi w:val="0"/>
        <w:rPr>
          <w:rFonts w:hint="eastAsia"/>
          <w:color w:val="auto"/>
          <w:highlight w:val="none"/>
          <w:lang w:eastAsia="zh-CN"/>
        </w:rPr>
      </w:pPr>
    </w:p>
    <w:p>
      <w:pPr>
        <w:pStyle w:val="4"/>
        <w:jc w:val="center"/>
        <w:outlineLvl w:val="1"/>
        <w:rPr>
          <w:rFonts w:ascii="宋体" w:hAnsi="宋体"/>
          <w:color w:val="auto"/>
          <w:sz w:val="24"/>
          <w:highlight w:val="none"/>
        </w:rPr>
      </w:pPr>
      <w:bookmarkStart w:id="246" w:name="_Toc19316"/>
      <w:bookmarkStart w:id="247" w:name="_Toc20264"/>
      <w:r>
        <w:rPr>
          <w:rFonts w:hint="eastAsia" w:ascii="宋体" w:hAnsi="宋体"/>
          <w:color w:val="auto"/>
          <w:highlight w:val="none"/>
        </w:rPr>
        <w:t>第二章 技术需求书</w:t>
      </w:r>
      <w:bookmarkEnd w:id="246"/>
      <w:bookmarkEnd w:id="247"/>
    </w:p>
    <w:p>
      <w:pPr>
        <w:pStyle w:val="5"/>
        <w:bidi w:val="0"/>
        <w:outlineLvl w:val="2"/>
        <w:rPr>
          <w:rFonts w:hint="eastAsia"/>
          <w:color w:val="auto"/>
          <w:highlight w:val="none"/>
          <w:lang w:val="en-US" w:eastAsia="zh-CN"/>
        </w:rPr>
      </w:pPr>
      <w:bookmarkStart w:id="248" w:name="_Toc10083"/>
      <w:bookmarkStart w:id="249" w:name="_Toc14462"/>
      <w:bookmarkStart w:id="250" w:name="_Toc13112"/>
      <w:bookmarkStart w:id="251" w:name="_Toc31278"/>
      <w:bookmarkStart w:id="252" w:name="_Toc24679"/>
      <w:r>
        <w:rPr>
          <w:rFonts w:hint="eastAsia"/>
          <w:color w:val="auto"/>
          <w:highlight w:val="none"/>
          <w:lang w:val="en-US" w:eastAsia="zh-CN"/>
        </w:rPr>
        <w:t>一、基本情况</w:t>
      </w:r>
      <w:bookmarkEnd w:id="248"/>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53" w:name="_Toc10273"/>
      <w:r>
        <w:rPr>
          <w:rFonts w:hint="eastAsia" w:ascii="宋体" w:hAnsi="宋体" w:eastAsia="宋体" w:cs="宋体"/>
          <w:b/>
          <w:color w:val="auto"/>
          <w:sz w:val="21"/>
          <w:szCs w:val="21"/>
          <w:highlight w:val="none"/>
          <w:lang w:val="en-US" w:eastAsia="zh-CN" w:bidi="zh-CN"/>
        </w:rPr>
        <w:t>1.1 项目背景</w:t>
      </w:r>
      <w:bookmarkEnd w:id="253"/>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实现修复城市水生态、改善城市水环境、提高城市水安全等多重目标的有效手段。对河涌水体自然形态进行治理和修复，逐步改善河涌水环境质量，构建良性生态循环系统，实施生态修复，营造多样性生物生存环境。</w:t>
      </w:r>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54" w:name="_Toc15495"/>
      <w:r>
        <w:rPr>
          <w:rFonts w:hint="eastAsia" w:ascii="宋体" w:hAnsi="宋体" w:eastAsia="宋体" w:cs="宋体"/>
          <w:b/>
          <w:color w:val="auto"/>
          <w:sz w:val="21"/>
          <w:szCs w:val="21"/>
          <w:highlight w:val="none"/>
          <w:lang w:val="en-US" w:eastAsia="zh-CN" w:bidi="zh-CN"/>
        </w:rPr>
        <w:t>1.2 项目原则</w:t>
      </w:r>
      <w:bookmarkEnd w:id="254"/>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1、执行国家相关环境保护的政策，运营工作符合国家有关法规、规范及标准；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2、优先采用技术先进成熟、稳定、可靠的运营管理措施，确保河涌水质稳定达标；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3、在项目运营管理范围内，本着便于运营和维护管理的原则，合理分配人员及设备，配合项目环境情况，集中管理，降低成本；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b/>
          <w:color w:val="auto"/>
          <w:kern w:val="44"/>
          <w:sz w:val="24"/>
          <w:szCs w:val="24"/>
          <w:highlight w:val="none"/>
          <w:lang w:val="en-US" w:eastAsia="zh-CN" w:bidi="zh-CN"/>
        </w:rPr>
      </w:pPr>
      <w:r>
        <w:rPr>
          <w:rFonts w:hint="eastAsia" w:ascii="宋体" w:hAnsi="宋体" w:eastAsia="宋体" w:cs="宋体"/>
          <w:color w:val="auto"/>
          <w:sz w:val="21"/>
          <w:szCs w:val="21"/>
          <w:highlight w:val="none"/>
          <w:lang w:val="en-US" w:eastAsia="zh-CN" w:bidi="zh-CN"/>
        </w:rPr>
        <w:t>4、加强运营团队专业化管理能力，在运营组织方面充分发挥专业管理人员和专业运营人员的优势，采用综合运营手段，做到合理调配；</w:t>
      </w:r>
    </w:p>
    <w:p>
      <w:pPr>
        <w:pStyle w:val="5"/>
        <w:bidi w:val="0"/>
        <w:outlineLvl w:val="2"/>
        <w:rPr>
          <w:rFonts w:hint="eastAsia"/>
          <w:color w:val="auto"/>
          <w:highlight w:val="none"/>
          <w:lang w:val="en-US" w:eastAsia="zh-CN"/>
        </w:rPr>
      </w:pPr>
      <w:bookmarkStart w:id="255" w:name="_Toc25254"/>
      <w:r>
        <w:rPr>
          <w:rFonts w:hint="eastAsia"/>
          <w:color w:val="auto"/>
          <w:highlight w:val="none"/>
          <w:lang w:val="en-US" w:eastAsia="zh-CN"/>
        </w:rPr>
        <w:t>二、服务内容及要求</w:t>
      </w:r>
      <w:bookmarkEnd w:id="255"/>
    </w:p>
    <w:p>
      <w:pPr>
        <w:keepNext/>
        <w:keepLines/>
        <w:pageBreakBefore w:val="0"/>
        <w:widowControl w:val="0"/>
        <w:kinsoku/>
        <w:overflowPunct/>
        <w:topLinePunct w:val="0"/>
        <w:autoSpaceDE w:val="0"/>
        <w:autoSpaceDN w:val="0"/>
        <w:bidi w:val="0"/>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56" w:name="_Toc4296"/>
      <w:r>
        <w:rPr>
          <w:rFonts w:hint="eastAsia" w:ascii="宋体" w:hAnsi="宋体" w:eastAsia="宋体" w:cs="宋体"/>
          <w:b/>
          <w:color w:val="auto"/>
          <w:sz w:val="21"/>
          <w:szCs w:val="21"/>
          <w:highlight w:val="none"/>
          <w:lang w:val="en-US" w:eastAsia="zh-CN" w:bidi="zh-CN"/>
        </w:rPr>
        <w:t>2.1 项目服务范围</w:t>
      </w:r>
      <w:bookmarkEnd w:id="256"/>
    </w:p>
    <w:p>
      <w:pPr>
        <w:bidi w:val="0"/>
        <w:ind w:firstLine="420" w:firstLineChars="200"/>
        <w:rPr>
          <w:rFonts w:hint="eastAsia"/>
          <w:color w:val="auto"/>
          <w:highlight w:val="none"/>
          <w:lang w:val="en-US" w:eastAsia="zh-CN"/>
        </w:rPr>
      </w:pPr>
      <w:r>
        <w:rPr>
          <w:rFonts w:hint="eastAsia"/>
          <w:color w:val="auto"/>
          <w:highlight w:val="none"/>
          <w:lang w:val="en-US" w:eastAsia="zh-CN"/>
        </w:rPr>
        <w:t>厦桥泵站排渠长约350m，宽12m，深2m。</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0"/>
        <w:gridCol w:w="726"/>
        <w:gridCol w:w="2574"/>
        <w:gridCol w:w="445"/>
        <w:gridCol w:w="636"/>
        <w:gridCol w:w="3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序号</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项目</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63"/>
                <w:rFonts w:hint="eastAsia" w:ascii="宋体" w:hAnsi="宋体" w:eastAsia="宋体" w:cs="宋体"/>
                <w:color w:val="auto"/>
                <w:sz w:val="21"/>
                <w:szCs w:val="21"/>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Style w:val="64"/>
                <w:rFonts w:hint="eastAsia" w:ascii="宋体" w:hAnsi="宋体" w:eastAsia="宋体" w:cs="宋体"/>
                <w:color w:val="auto"/>
                <w:sz w:val="21"/>
                <w:szCs w:val="21"/>
                <w:highlight w:val="none"/>
                <w:lang w:val="en-US" w:eastAsia="zh-CN" w:bidi="ar"/>
              </w:rPr>
              <w:t>一、治理提升建设费用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沿河排污口截污工程</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截污堰，钢筋混凝土结构、堰体尺寸：长</w:t>
            </w:r>
            <w:r>
              <w:rPr>
                <w:rStyle w:val="65"/>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宽</w:t>
            </w:r>
            <w:r>
              <w:rPr>
                <w:rStyle w:val="65"/>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w:t>
            </w:r>
            <w:r>
              <w:rPr>
                <w:rStyle w:val="65"/>
                <w:rFonts w:hint="eastAsia" w:ascii="宋体" w:hAnsi="宋体" w:eastAsia="宋体" w:cs="宋体"/>
                <w:color w:val="auto"/>
                <w:sz w:val="21"/>
                <w:szCs w:val="21"/>
                <w:highlight w:val="none"/>
                <w:lang w:val="en-US" w:eastAsia="zh-CN" w:bidi="ar"/>
              </w:rPr>
              <w:t>=1.5×0.3×0.8m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闸门，闸板规格：长</w:t>
            </w:r>
            <w:r>
              <w:rPr>
                <w:rStyle w:val="65"/>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宽</w:t>
            </w:r>
            <w:r>
              <w:rPr>
                <w:rStyle w:val="65"/>
                <w:rFonts w:hint="eastAsia" w:ascii="宋体" w:hAnsi="宋体" w:eastAsia="宋体" w:cs="宋体"/>
                <w:color w:val="auto"/>
                <w:sz w:val="21"/>
                <w:szCs w:val="21"/>
                <w:highlight w:val="none"/>
                <w:lang w:val="en-US" w:eastAsia="zh-CN" w:bidi="ar"/>
              </w:rPr>
              <w:t>=0.6×0.6m</w:t>
            </w:r>
            <w:r>
              <w:rPr>
                <w:rFonts w:hint="eastAsia" w:ascii="宋体" w:hAnsi="宋体" w:eastAsia="宋体" w:cs="宋体"/>
                <w:i w:val="0"/>
                <w:iCs w:val="0"/>
                <w:color w:val="auto"/>
                <w:kern w:val="0"/>
                <w:sz w:val="21"/>
                <w:szCs w:val="21"/>
                <w:highlight w:val="none"/>
                <w:u w:val="none"/>
                <w:lang w:val="en-US" w:eastAsia="zh-CN" w:bidi="ar"/>
              </w:rPr>
              <w:t>；材质：钢制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截污泵，流量：</w:t>
            </w:r>
            <w:r>
              <w:rPr>
                <w:rStyle w:val="65"/>
                <w:rFonts w:hint="eastAsia" w:ascii="宋体" w:hAnsi="宋体" w:eastAsia="宋体" w:cs="宋体"/>
                <w:color w:val="auto"/>
                <w:sz w:val="21"/>
                <w:szCs w:val="21"/>
                <w:highlight w:val="none"/>
                <w:lang w:val="en-US" w:eastAsia="zh-CN" w:bidi="ar"/>
              </w:rPr>
              <w:t>40m</w:t>
            </w:r>
            <w:r>
              <w:rPr>
                <w:rStyle w:val="66"/>
                <w:rFonts w:hint="eastAsia" w:ascii="宋体" w:hAnsi="宋体" w:eastAsia="宋体" w:cs="宋体"/>
                <w:color w:val="auto"/>
                <w:sz w:val="21"/>
                <w:szCs w:val="21"/>
                <w:highlight w:val="none"/>
                <w:lang w:val="en-US" w:eastAsia="zh-CN" w:bidi="ar"/>
              </w:rPr>
              <w:t>3</w:t>
            </w:r>
            <w:r>
              <w:rPr>
                <w:rStyle w:val="65"/>
                <w:rFonts w:hint="eastAsia" w:ascii="宋体" w:hAnsi="宋体" w:eastAsia="宋体" w:cs="宋体"/>
                <w:color w:val="auto"/>
                <w:sz w:val="21"/>
                <w:szCs w:val="21"/>
                <w:highlight w:val="none"/>
                <w:lang w:val="en-US" w:eastAsia="zh-CN" w:bidi="ar"/>
              </w:rPr>
              <w:t>/h</w:t>
            </w:r>
            <w:r>
              <w:rPr>
                <w:rFonts w:hint="eastAsia" w:ascii="宋体" w:hAnsi="宋体" w:eastAsia="宋体" w:cs="宋体"/>
                <w:i w:val="0"/>
                <w:iCs w:val="0"/>
                <w:color w:val="auto"/>
                <w:kern w:val="0"/>
                <w:sz w:val="21"/>
                <w:szCs w:val="21"/>
                <w:highlight w:val="none"/>
                <w:u w:val="none"/>
                <w:lang w:val="en-US" w:eastAsia="zh-CN" w:bidi="ar"/>
              </w:rPr>
              <w:t>；功率：</w:t>
            </w:r>
            <w:r>
              <w:rPr>
                <w:rStyle w:val="65"/>
                <w:rFonts w:hint="eastAsia" w:ascii="宋体" w:hAnsi="宋体" w:eastAsia="宋体" w:cs="宋体"/>
                <w:color w:val="auto"/>
                <w:sz w:val="21"/>
                <w:szCs w:val="21"/>
                <w:highlight w:val="none"/>
                <w:lang w:val="en-US" w:eastAsia="zh-CN" w:bidi="ar"/>
              </w:rPr>
              <w:t>2.2kw</w:t>
            </w:r>
            <w:r>
              <w:rPr>
                <w:rFonts w:hint="eastAsia" w:ascii="宋体" w:hAnsi="宋体" w:eastAsia="宋体" w:cs="宋体"/>
                <w:i w:val="0"/>
                <w:iCs w:val="0"/>
                <w:color w:val="auto"/>
                <w:kern w:val="0"/>
                <w:sz w:val="21"/>
                <w:szCs w:val="21"/>
                <w:highlight w:val="none"/>
                <w:u w:val="none"/>
                <w:lang w:val="en-US" w:eastAsia="zh-CN" w:bidi="ar"/>
              </w:rPr>
              <w:t>；扬程：</w:t>
            </w:r>
            <w:r>
              <w:rPr>
                <w:rStyle w:val="65"/>
                <w:rFonts w:hint="eastAsia" w:ascii="宋体" w:hAnsi="宋体" w:eastAsia="宋体" w:cs="宋体"/>
                <w:color w:val="auto"/>
                <w:sz w:val="21"/>
                <w:szCs w:val="21"/>
                <w:highlight w:val="none"/>
                <w:lang w:val="en-US" w:eastAsia="zh-CN" w:bidi="ar"/>
              </w:rPr>
              <w:t>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截污管，管径：</w:t>
            </w:r>
            <w:r>
              <w:rPr>
                <w:rStyle w:val="65"/>
                <w:rFonts w:hint="eastAsia" w:ascii="宋体" w:hAnsi="宋体" w:eastAsia="宋体" w:cs="宋体"/>
                <w:color w:val="auto"/>
                <w:sz w:val="21"/>
                <w:szCs w:val="21"/>
                <w:highlight w:val="none"/>
                <w:lang w:val="en-US" w:eastAsia="zh-CN" w:bidi="ar"/>
              </w:rPr>
              <w:t>DN75</w:t>
            </w:r>
            <w:r>
              <w:rPr>
                <w:rFonts w:hint="eastAsia" w:ascii="宋体" w:hAnsi="宋体" w:eastAsia="宋体" w:cs="宋体"/>
                <w:i w:val="0"/>
                <w:iCs w:val="0"/>
                <w:color w:val="auto"/>
                <w:kern w:val="0"/>
                <w:sz w:val="21"/>
                <w:szCs w:val="21"/>
                <w:highlight w:val="none"/>
                <w:u w:val="none"/>
                <w:lang w:val="en-US" w:eastAsia="zh-CN" w:bidi="ar"/>
              </w:rPr>
              <w:t>；材质：</w:t>
            </w:r>
            <w:r>
              <w:rPr>
                <w:rStyle w:val="65"/>
                <w:rFonts w:hint="eastAsia" w:ascii="宋体" w:hAnsi="宋体" w:eastAsia="宋体" w:cs="宋体"/>
                <w:color w:val="auto"/>
                <w:sz w:val="21"/>
                <w:szCs w:val="21"/>
                <w:highlight w:val="none"/>
                <w:lang w:val="en-US" w:eastAsia="zh-CN" w:bidi="ar"/>
              </w:rPr>
              <w:t>PVC</w:t>
            </w:r>
            <w:r>
              <w:rPr>
                <w:rFonts w:hint="eastAsia" w:ascii="宋体" w:hAnsi="宋体" w:eastAsia="宋体" w:cs="宋体"/>
                <w:i w:val="0"/>
                <w:iCs w:val="0"/>
                <w:color w:val="auto"/>
                <w:kern w:val="0"/>
                <w:sz w:val="21"/>
                <w:szCs w:val="21"/>
                <w:highlight w:val="none"/>
                <w:u w:val="none"/>
                <w:lang w:val="en-US" w:eastAsia="zh-CN" w:bidi="ar"/>
              </w:rPr>
              <w:t>；含固定角铁、法兰等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液位自控系统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电缆及五金配件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微生物填料</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含填料架、浮球、微生物填料，填料有效长度按水深调整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微生物菌剂</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w:t>
            </w:r>
            <w:r>
              <w:rPr>
                <w:rStyle w:val="65"/>
                <w:rFonts w:hint="eastAsia" w:ascii="宋体" w:hAnsi="宋体" w:eastAsia="宋体" w:cs="宋体"/>
                <w:color w:val="auto"/>
                <w:sz w:val="21"/>
                <w:szCs w:val="21"/>
                <w:highlight w:val="none"/>
                <w:lang w:val="en-US" w:eastAsia="zh-CN" w:bidi="ar"/>
              </w:rPr>
              <w:t>150g/m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w:t>
            </w:r>
            <w:r>
              <w:rPr>
                <w:rStyle w:val="65"/>
                <w:rFonts w:hint="eastAsia" w:ascii="宋体" w:hAnsi="宋体" w:eastAsia="宋体" w:cs="宋体"/>
                <w:color w:val="auto"/>
                <w:sz w:val="21"/>
                <w:szCs w:val="21"/>
                <w:highlight w:val="none"/>
                <w:lang w:val="en-US" w:eastAsia="zh-CN" w:bidi="ar"/>
              </w:rPr>
              <w:t>4200m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w:t>
            </w:r>
            <w:r>
              <w:rPr>
                <w:rStyle w:val="65"/>
                <w:rFonts w:hint="eastAsia" w:ascii="宋体" w:hAnsi="宋体" w:eastAsia="宋体" w:cs="宋体"/>
                <w:color w:val="auto"/>
                <w:sz w:val="21"/>
                <w:szCs w:val="21"/>
                <w:highlight w:val="none"/>
                <w:lang w:val="en-US" w:eastAsia="zh-CN" w:bidi="ar"/>
              </w:rPr>
              <w:t>150g/m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w:t>
            </w:r>
            <w:r>
              <w:rPr>
                <w:rStyle w:val="65"/>
                <w:rFonts w:hint="eastAsia" w:ascii="宋体" w:hAnsi="宋体" w:eastAsia="宋体" w:cs="宋体"/>
                <w:color w:val="auto"/>
                <w:sz w:val="21"/>
                <w:szCs w:val="21"/>
                <w:highlight w:val="none"/>
                <w:lang w:val="en-US" w:eastAsia="zh-CN" w:bidi="ar"/>
              </w:rPr>
              <w:t>4200m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投加量</w:t>
            </w:r>
            <w:r>
              <w:rPr>
                <w:rStyle w:val="65"/>
                <w:rFonts w:hint="eastAsia" w:ascii="宋体" w:hAnsi="宋体" w:eastAsia="宋体" w:cs="宋体"/>
                <w:color w:val="auto"/>
                <w:sz w:val="21"/>
                <w:szCs w:val="21"/>
                <w:highlight w:val="none"/>
                <w:lang w:val="en-US" w:eastAsia="zh-CN" w:bidi="ar"/>
              </w:rPr>
              <w:t>150g/m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，水域面积</w:t>
            </w:r>
            <w:r>
              <w:rPr>
                <w:rStyle w:val="65"/>
                <w:rFonts w:hint="eastAsia" w:ascii="宋体" w:hAnsi="宋体" w:eastAsia="宋体" w:cs="宋体"/>
                <w:color w:val="auto"/>
                <w:sz w:val="21"/>
                <w:szCs w:val="21"/>
                <w:highlight w:val="none"/>
                <w:lang w:val="en-US" w:eastAsia="zh-CN" w:bidi="ar"/>
              </w:rPr>
              <w:t>4200m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，一个月内多次投加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水上作业及安装</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（1.1+1.2+1.3）×10%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Style w:val="64"/>
                <w:rFonts w:hint="eastAsia" w:ascii="宋体" w:hAnsi="宋体" w:eastAsia="宋体" w:cs="宋体"/>
                <w:color w:val="auto"/>
                <w:sz w:val="21"/>
                <w:szCs w:val="21"/>
                <w:highlight w:val="none"/>
                <w:lang w:val="en-US" w:eastAsia="zh-CN" w:bidi="ar"/>
              </w:rPr>
              <w:t>二、项目运营费用（</w:t>
            </w:r>
            <w:r>
              <w:rPr>
                <w:rStyle w:val="67"/>
                <w:rFonts w:hint="eastAsia" w:ascii="宋体" w:hAnsi="宋体" w:eastAsia="宋体" w:cs="宋体"/>
                <w:color w:val="auto"/>
                <w:sz w:val="21"/>
                <w:szCs w:val="21"/>
                <w:highlight w:val="none"/>
                <w:lang w:val="en-US" w:eastAsia="zh-CN" w:bidi="ar"/>
              </w:rPr>
              <w:t>12</w:t>
            </w:r>
            <w:r>
              <w:rPr>
                <w:rStyle w:val="64"/>
                <w:rFonts w:hint="eastAsia" w:ascii="宋体" w:hAnsi="宋体" w:eastAsia="宋体" w:cs="宋体"/>
                <w:color w:val="auto"/>
                <w:sz w:val="21"/>
                <w:szCs w:val="21"/>
                <w:highlight w:val="none"/>
                <w:lang w:val="en-US" w:eastAsia="zh-CN" w:bidi="ar"/>
              </w:rPr>
              <w:t>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系统运行用电</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65"/>
                <w:rFonts w:hint="eastAsia" w:ascii="宋体" w:hAnsi="宋体" w:eastAsia="宋体" w:cs="宋体"/>
                <w:color w:val="auto"/>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、增氧曝气设备：</w:t>
            </w:r>
            <w:r>
              <w:rPr>
                <w:rStyle w:val="65"/>
                <w:rFonts w:hint="eastAsia" w:ascii="宋体" w:hAnsi="宋体" w:eastAsia="宋体" w:cs="宋体"/>
                <w:color w:val="auto"/>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台</w:t>
            </w:r>
            <w:r>
              <w:rPr>
                <w:rStyle w:val="65"/>
                <w:rFonts w:hint="eastAsia" w:ascii="宋体" w:hAnsi="宋体" w:eastAsia="宋体" w:cs="宋体"/>
                <w:color w:val="auto"/>
                <w:sz w:val="21"/>
                <w:szCs w:val="21"/>
                <w:highlight w:val="none"/>
                <w:lang w:val="en-US" w:eastAsia="zh-CN" w:bidi="ar"/>
              </w:rPr>
              <w:t xml:space="preserve"> 5.5kw </w:t>
            </w:r>
            <w:r>
              <w:rPr>
                <w:rFonts w:hint="eastAsia" w:ascii="宋体" w:hAnsi="宋体" w:eastAsia="宋体" w:cs="宋体"/>
                <w:i w:val="0"/>
                <w:iCs w:val="0"/>
                <w:color w:val="auto"/>
                <w:kern w:val="0"/>
                <w:sz w:val="21"/>
                <w:szCs w:val="21"/>
                <w:highlight w:val="none"/>
                <w:u w:val="none"/>
                <w:lang w:val="en-US" w:eastAsia="zh-CN" w:bidi="ar"/>
              </w:rPr>
              <w:t>每天运行</w:t>
            </w:r>
            <w:r>
              <w:rPr>
                <w:rStyle w:val="65"/>
                <w:rFonts w:hint="eastAsia" w:ascii="宋体" w:hAnsi="宋体" w:eastAsia="宋体" w:cs="宋体"/>
                <w:color w:val="auto"/>
                <w:sz w:val="21"/>
                <w:szCs w:val="21"/>
                <w:highlight w:val="none"/>
                <w:lang w:val="en-US" w:eastAsia="zh-CN" w:bidi="ar"/>
              </w:rPr>
              <w:t>24h</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每月用电约9288</w:t>
            </w:r>
            <w:r>
              <w:rPr>
                <w:rStyle w:val="65"/>
                <w:rFonts w:hint="eastAsia" w:ascii="宋体" w:hAnsi="宋体" w:eastAsia="宋体" w:cs="宋体"/>
                <w:color w:val="auto"/>
                <w:sz w:val="21"/>
                <w:szCs w:val="21"/>
                <w:highlight w:val="none"/>
                <w:lang w:val="en-US" w:eastAsia="zh-CN" w:bidi="ar"/>
              </w:rPr>
              <w:t>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65"/>
                <w:rFonts w:hint="eastAsia" w:ascii="宋体" w:hAnsi="宋体" w:eastAsia="宋体" w:cs="宋体"/>
                <w:color w:val="auto"/>
                <w:sz w:val="21"/>
                <w:szCs w:val="21"/>
                <w:highlight w:val="none"/>
                <w:lang w:val="en-US" w:eastAsia="zh-CN" w:bidi="ar"/>
              </w:rPr>
              <w:t xml:space="preserve"> 2</w:t>
            </w:r>
            <w:r>
              <w:rPr>
                <w:rFonts w:hint="eastAsia" w:ascii="宋体" w:hAnsi="宋体" w:eastAsia="宋体" w:cs="宋体"/>
                <w:i w:val="0"/>
                <w:iCs w:val="0"/>
                <w:color w:val="auto"/>
                <w:kern w:val="0"/>
                <w:sz w:val="21"/>
                <w:szCs w:val="21"/>
                <w:highlight w:val="none"/>
                <w:u w:val="none"/>
                <w:lang w:val="en-US" w:eastAsia="zh-CN" w:bidi="ar"/>
              </w:rPr>
              <w:t>、截污泵：</w:t>
            </w:r>
            <w:r>
              <w:rPr>
                <w:rStyle w:val="65"/>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台</w:t>
            </w:r>
            <w:r>
              <w:rPr>
                <w:rStyle w:val="65"/>
                <w:rFonts w:hint="eastAsia" w:ascii="宋体" w:hAnsi="宋体" w:eastAsia="宋体" w:cs="宋体"/>
                <w:color w:val="auto"/>
                <w:sz w:val="21"/>
                <w:szCs w:val="21"/>
                <w:highlight w:val="none"/>
                <w:lang w:val="en-US" w:eastAsia="zh-CN" w:bidi="ar"/>
              </w:rPr>
              <w:t xml:space="preserve"> 2.2kw </w:t>
            </w:r>
            <w:r>
              <w:rPr>
                <w:rFonts w:hint="eastAsia" w:ascii="宋体" w:hAnsi="宋体" w:eastAsia="宋体" w:cs="宋体"/>
                <w:i w:val="0"/>
                <w:iCs w:val="0"/>
                <w:color w:val="auto"/>
                <w:kern w:val="0"/>
                <w:sz w:val="21"/>
                <w:szCs w:val="21"/>
                <w:highlight w:val="none"/>
                <w:u w:val="none"/>
                <w:lang w:val="en-US" w:eastAsia="zh-CN" w:bidi="ar"/>
              </w:rPr>
              <w:t>每天运行</w:t>
            </w:r>
            <w:r>
              <w:rPr>
                <w:rStyle w:val="65"/>
                <w:rFonts w:hint="eastAsia" w:ascii="宋体" w:hAnsi="宋体" w:eastAsia="宋体" w:cs="宋体"/>
                <w:color w:val="auto"/>
                <w:sz w:val="21"/>
                <w:szCs w:val="21"/>
                <w:highlight w:val="none"/>
                <w:lang w:val="en-US" w:eastAsia="zh-CN" w:bidi="ar"/>
              </w:rPr>
              <w:t>24h</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65"/>
                <w:rFonts w:hint="eastAsia" w:ascii="宋体" w:hAnsi="宋体" w:eastAsia="宋体" w:cs="宋体"/>
                <w:color w:val="auto"/>
                <w:sz w:val="21"/>
                <w:szCs w:val="21"/>
                <w:highlight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、喷泉式增氧机：</w:t>
            </w:r>
            <w:r>
              <w:rPr>
                <w:rStyle w:val="65"/>
                <w:rFonts w:hint="eastAsia" w:ascii="宋体" w:hAnsi="宋体" w:eastAsia="宋体" w:cs="宋体"/>
                <w:color w:val="auto"/>
                <w:sz w:val="21"/>
                <w:szCs w:val="21"/>
                <w:highlight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台</w:t>
            </w:r>
            <w:r>
              <w:rPr>
                <w:rStyle w:val="65"/>
                <w:rFonts w:hint="eastAsia" w:ascii="宋体" w:hAnsi="宋体" w:eastAsia="宋体" w:cs="宋体"/>
                <w:color w:val="auto"/>
                <w:sz w:val="21"/>
                <w:szCs w:val="21"/>
                <w:highlight w:val="none"/>
                <w:lang w:val="en-US" w:eastAsia="zh-CN" w:bidi="ar"/>
              </w:rPr>
              <w:t xml:space="preserve"> 0.75kw </w:t>
            </w:r>
            <w:r>
              <w:rPr>
                <w:rFonts w:hint="eastAsia" w:ascii="宋体" w:hAnsi="宋体" w:eastAsia="宋体" w:cs="宋体"/>
                <w:i w:val="0"/>
                <w:iCs w:val="0"/>
                <w:color w:val="auto"/>
                <w:kern w:val="0"/>
                <w:sz w:val="21"/>
                <w:szCs w:val="21"/>
                <w:highlight w:val="none"/>
                <w:u w:val="none"/>
                <w:lang w:val="en-US" w:eastAsia="zh-CN" w:bidi="ar"/>
              </w:rPr>
              <w:t>每天运行</w:t>
            </w:r>
            <w:r>
              <w:rPr>
                <w:rStyle w:val="65"/>
                <w:rFonts w:hint="eastAsia" w:ascii="宋体" w:hAnsi="宋体" w:eastAsia="宋体" w:cs="宋体"/>
                <w:color w:val="auto"/>
                <w:sz w:val="21"/>
                <w:szCs w:val="21"/>
                <w:highlight w:val="none"/>
                <w:lang w:val="en-US" w:eastAsia="zh-CN" w:bidi="ar"/>
              </w:rPr>
              <w:t>24h</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设备维护</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1套曝气系统风机日常维护及维修、曝气主管检修及维护、曝气支管接头更换、曝气软管及接口处受天气或老化原因的更换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65"/>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套截污系统截污泵的日常保养及维护、截污管道破损及老化的更换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应急处理</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屋厦排渠受木棆河来水影响较大，也为该片区主要排水泄洪断面，来水水质水量波动较大。突发性环境污染或暴雨后三天内恢复水质，发生频率按2次/月。水域面积</w:t>
            </w:r>
            <w:r>
              <w:rPr>
                <w:rStyle w:val="65"/>
                <w:rFonts w:hint="eastAsia" w:ascii="宋体" w:hAnsi="宋体" w:eastAsia="宋体" w:cs="宋体"/>
                <w:color w:val="auto"/>
                <w:sz w:val="21"/>
                <w:szCs w:val="21"/>
                <w:highlight w:val="none"/>
                <w:lang w:val="en-US" w:eastAsia="zh-CN" w:bidi="ar"/>
              </w:rPr>
              <w:t>4200m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，每次拟投加菌剂各30</w:t>
            </w:r>
            <w:r>
              <w:rPr>
                <w:rStyle w:val="65"/>
                <w:rFonts w:hint="eastAsia" w:ascii="宋体" w:hAnsi="宋体" w:eastAsia="宋体" w:cs="宋体"/>
                <w:color w:val="auto"/>
                <w:sz w:val="21"/>
                <w:szCs w:val="21"/>
                <w:highlight w:val="none"/>
                <w:lang w:val="en-US" w:eastAsia="zh-CN" w:bidi="ar"/>
              </w:rPr>
              <w:t>g/m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，净水菌剂、改性菌剂、锁磷剂年使用量均为3024</w:t>
            </w:r>
            <w:r>
              <w:rPr>
                <w:rStyle w:val="65"/>
                <w:rFonts w:hint="eastAsia" w:ascii="宋体" w:hAnsi="宋体" w:eastAsia="宋体" w:cs="宋体"/>
                <w:color w:val="auto"/>
                <w:sz w:val="21"/>
                <w:szCs w:val="21"/>
                <w:highlight w:val="none"/>
                <w:lang w:val="en-US" w:eastAsia="zh-CN" w:bidi="ar"/>
              </w:rPr>
              <w:t>kg</w:t>
            </w:r>
            <w:r>
              <w:rPr>
                <w:rFonts w:hint="eastAsia" w:ascii="宋体" w:hAnsi="宋体" w:eastAsia="宋体" w:cs="宋体"/>
                <w:i w:val="0"/>
                <w:iCs w:val="0"/>
                <w:color w:val="auto"/>
                <w:kern w:val="0"/>
                <w:sz w:val="21"/>
                <w:szCs w:val="21"/>
                <w:highlight w:val="none"/>
                <w:u w:val="none"/>
                <w:lang w:val="en-US" w:eastAsia="zh-CN" w:bidi="ar"/>
              </w:rPr>
              <w:t>，吸油棉用于排污口含油污水应急处置，年使用约</w:t>
            </w:r>
            <w:r>
              <w:rPr>
                <w:rStyle w:val="65"/>
                <w:rFonts w:hint="eastAsia" w:ascii="宋体" w:hAnsi="宋体" w:eastAsia="宋体" w:cs="宋体"/>
                <w:color w:val="auto"/>
                <w:sz w:val="21"/>
                <w:szCs w:val="21"/>
                <w:highlight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吸油棉，单片规格：</w:t>
            </w:r>
            <w:r>
              <w:rPr>
                <w:rStyle w:val="65"/>
                <w:rFonts w:hint="eastAsia" w:ascii="宋体" w:hAnsi="宋体" w:eastAsia="宋体" w:cs="宋体"/>
                <w:color w:val="auto"/>
                <w:sz w:val="21"/>
                <w:szCs w:val="21"/>
                <w:highlight w:val="none"/>
                <w:lang w:val="en-US" w:eastAsia="zh-CN" w:bidi="ar"/>
              </w:rPr>
              <w:t>40cm×50cm×5mm</w:t>
            </w:r>
            <w:r>
              <w:rPr>
                <w:rFonts w:hint="eastAsia" w:ascii="宋体" w:hAnsi="宋体" w:eastAsia="宋体" w:cs="宋体"/>
                <w:i w:val="0"/>
                <w:iCs w:val="0"/>
                <w:color w:val="auto"/>
                <w:kern w:val="0"/>
                <w:sz w:val="21"/>
                <w:szCs w:val="21"/>
                <w:highlight w:val="none"/>
                <w:u w:val="none"/>
                <w:lang w:val="en-US" w:eastAsia="zh-CN" w:bidi="ar"/>
              </w:rPr>
              <w:t>，每箱</w:t>
            </w:r>
            <w:r>
              <w:rPr>
                <w:rStyle w:val="65"/>
                <w:rFonts w:hint="eastAsia" w:ascii="宋体" w:hAnsi="宋体" w:eastAsia="宋体" w:cs="宋体"/>
                <w:color w:val="auto"/>
                <w:sz w:val="21"/>
                <w:szCs w:val="21"/>
                <w:highlight w:val="none"/>
                <w:lang w:val="en-US" w:eastAsia="zh-CN" w:bidi="ar"/>
              </w:rPr>
              <w:t>100</w:t>
            </w:r>
            <w:r>
              <w:rPr>
                <w:rFonts w:hint="eastAsia" w:ascii="宋体" w:hAnsi="宋体" w:eastAsia="宋体" w:cs="宋体"/>
                <w:i w:val="0"/>
                <w:iCs w:val="0"/>
                <w:color w:val="auto"/>
                <w:kern w:val="0"/>
                <w:sz w:val="21"/>
                <w:szCs w:val="21"/>
                <w:highlight w:val="none"/>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日常微生物菌种投加</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原位污水生态净水菌剂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3360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根据水质情况投加微生物菌种，每种微生物菌剂年投加量按</w:t>
            </w:r>
            <w:r>
              <w:rPr>
                <w:rStyle w:val="65"/>
                <w:rFonts w:hint="eastAsia" w:ascii="宋体" w:hAnsi="宋体" w:eastAsia="宋体" w:cs="宋体"/>
                <w:color w:val="auto"/>
                <w:sz w:val="21"/>
                <w:szCs w:val="21"/>
                <w:highlight w:val="none"/>
                <w:lang w:val="en-US" w:eastAsia="zh-CN" w:bidi="ar"/>
              </w:rPr>
              <w:t>0.8kg/m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计，水域面积</w:t>
            </w:r>
            <w:r>
              <w:rPr>
                <w:rStyle w:val="65"/>
                <w:rFonts w:hint="eastAsia" w:ascii="宋体" w:hAnsi="宋体" w:eastAsia="宋体" w:cs="宋体"/>
                <w:color w:val="auto"/>
                <w:sz w:val="21"/>
                <w:szCs w:val="21"/>
                <w:highlight w:val="none"/>
                <w:lang w:val="en-US" w:eastAsia="zh-CN" w:bidi="ar"/>
              </w:rPr>
              <w:t>4200m</w:t>
            </w:r>
            <w:r>
              <w:rPr>
                <w:rStyle w:val="66"/>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，多次投放。净水菌剂、改性菌剂、锁磷剂年使用量均为336</w:t>
            </w:r>
            <w:r>
              <w:rPr>
                <w:rStyle w:val="65"/>
                <w:rFonts w:hint="eastAsia" w:ascii="宋体" w:hAnsi="宋体" w:eastAsia="宋体" w:cs="宋体"/>
                <w:color w:val="auto"/>
                <w:sz w:val="21"/>
                <w:szCs w:val="21"/>
                <w:highlight w:val="none"/>
                <w:lang w:val="en-US" w:eastAsia="zh-CN" w:bidi="ar"/>
              </w:rPr>
              <w:t>0kg</w:t>
            </w: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底泥消解改性菌剂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辅助锁磷剂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橡胶坝日常升降维护</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按行洪要求日常调节拦水坝升降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含运行电费，补水泵电机保养，控制箱管理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人工</w:t>
            </w:r>
            <w:r>
              <w:rPr>
                <w:rFonts w:hint="eastAsia" w:ascii="宋体" w:hAnsi="宋体" w:cs="宋体"/>
                <w:i w:val="0"/>
                <w:iCs w:val="0"/>
                <w:color w:val="auto"/>
                <w:kern w:val="0"/>
                <w:sz w:val="21"/>
                <w:szCs w:val="21"/>
                <w:highlight w:val="none"/>
                <w:u w:val="none"/>
                <w:lang w:val="en-US" w:eastAsia="zh-CN" w:bidi="ar"/>
              </w:rPr>
              <w:t>费</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技术管理人员</w:t>
            </w:r>
            <w:r>
              <w:rPr>
                <w:rStyle w:val="65"/>
                <w:rFonts w:hint="eastAsia" w:ascii="宋体" w:hAnsi="宋体" w:eastAsia="宋体" w:cs="宋体"/>
                <w:color w:val="auto"/>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河道运维人员</w:t>
            </w:r>
            <w:r>
              <w:rPr>
                <w:rStyle w:val="65"/>
                <w:rFonts w:hint="eastAsia" w:ascii="宋体" w:hAnsi="宋体" w:eastAsia="宋体" w:cs="宋体"/>
                <w:color w:val="auto"/>
                <w:sz w:val="21"/>
                <w:szCs w:val="21"/>
                <w:highlight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名</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第三方检测</w:t>
            </w:r>
            <w:r>
              <w:rPr>
                <w:rStyle w:val="65"/>
                <w:rFonts w:hint="eastAsia" w:ascii="宋体" w:hAnsi="宋体" w:eastAsia="宋体" w:cs="宋体"/>
                <w:color w:val="auto"/>
                <w:sz w:val="21"/>
                <w:szCs w:val="21"/>
                <w:highlight w:val="none"/>
                <w:lang w:val="en-US" w:eastAsia="zh-CN" w:bidi="ar"/>
              </w:rPr>
              <w:br w:type="textWrapping"/>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每月委托第三方检测并出具报告（</w:t>
            </w:r>
            <w:r>
              <w:rPr>
                <w:rStyle w:val="65"/>
                <w:rFonts w:hint="eastAsia" w:ascii="宋体" w:hAnsi="宋体" w:eastAsia="宋体" w:cs="宋体"/>
                <w:color w:val="auto"/>
                <w:sz w:val="21"/>
                <w:szCs w:val="21"/>
                <w:highlight w:val="none"/>
                <w:lang w:val="en-US" w:eastAsia="zh-CN" w:bidi="ar"/>
              </w:rPr>
              <w:t>COD</w:t>
            </w:r>
            <w:r>
              <w:rPr>
                <w:rFonts w:hint="eastAsia" w:ascii="宋体" w:hAnsi="宋体" w:eastAsia="宋体" w:cs="宋体"/>
                <w:i w:val="0"/>
                <w:iCs w:val="0"/>
                <w:color w:val="auto"/>
                <w:kern w:val="0"/>
                <w:sz w:val="21"/>
                <w:szCs w:val="21"/>
                <w:highlight w:val="none"/>
                <w:u w:val="none"/>
                <w:lang w:val="en-US" w:eastAsia="zh-CN" w:bidi="ar"/>
              </w:rPr>
              <w:t>、</w:t>
            </w:r>
            <w:r>
              <w:rPr>
                <w:rStyle w:val="65"/>
                <w:rFonts w:hint="eastAsia" w:ascii="宋体" w:hAnsi="宋体" w:eastAsia="宋体" w:cs="宋体"/>
                <w:color w:val="auto"/>
                <w:sz w:val="21"/>
                <w:szCs w:val="21"/>
                <w:highlight w:val="none"/>
                <w:lang w:val="en-US" w:eastAsia="zh-CN" w:bidi="ar"/>
              </w:rPr>
              <w:t>NH</w:t>
            </w:r>
            <w:r>
              <w:rPr>
                <w:rStyle w:val="68"/>
                <w:rFonts w:hint="eastAsia" w:ascii="宋体" w:hAnsi="宋体" w:eastAsia="宋体" w:cs="宋体"/>
                <w:color w:val="auto"/>
                <w:sz w:val="21"/>
                <w:szCs w:val="21"/>
                <w:highlight w:val="none"/>
                <w:lang w:val="en-US" w:eastAsia="zh-CN" w:bidi="ar"/>
              </w:rPr>
              <w:t>3</w:t>
            </w:r>
            <w:r>
              <w:rPr>
                <w:rStyle w:val="65"/>
                <w:rFonts w:hint="eastAsia" w:ascii="宋体" w:hAnsi="宋体" w:eastAsia="宋体" w:cs="宋体"/>
                <w:color w:val="auto"/>
                <w:sz w:val="21"/>
                <w:szCs w:val="21"/>
                <w:highlight w:val="none"/>
                <w:lang w:val="en-US" w:eastAsia="zh-CN" w:bidi="ar"/>
              </w:rPr>
              <w:t>-N</w:t>
            </w:r>
            <w:r>
              <w:rPr>
                <w:rFonts w:hint="eastAsia" w:ascii="宋体" w:hAnsi="宋体" w:eastAsia="宋体" w:cs="宋体"/>
                <w:i w:val="0"/>
                <w:iCs w:val="0"/>
                <w:color w:val="auto"/>
                <w:kern w:val="0"/>
                <w:sz w:val="21"/>
                <w:szCs w:val="21"/>
                <w:highlight w:val="none"/>
                <w:u w:val="none"/>
                <w:lang w:val="en-US" w:eastAsia="zh-CN" w:bidi="ar"/>
              </w:rPr>
              <w:t>、</w:t>
            </w:r>
            <w:r>
              <w:rPr>
                <w:rStyle w:val="65"/>
                <w:rFonts w:hint="eastAsia" w:ascii="宋体" w:hAnsi="宋体" w:eastAsia="宋体" w:cs="宋体"/>
                <w:color w:val="auto"/>
                <w:sz w:val="21"/>
                <w:szCs w:val="21"/>
                <w:highlight w:val="none"/>
                <w:lang w:val="en-US" w:eastAsia="zh-CN" w:bidi="ar"/>
              </w:rPr>
              <w:t>TP</w:t>
            </w:r>
            <w:r>
              <w:rPr>
                <w:rFonts w:hint="eastAsia" w:ascii="宋体" w:hAnsi="宋体" w:eastAsia="宋体" w:cs="宋体"/>
                <w:i w:val="0"/>
                <w:iCs w:val="0"/>
                <w:color w:val="auto"/>
                <w:kern w:val="0"/>
                <w:sz w:val="21"/>
                <w:szCs w:val="21"/>
                <w:highlight w:val="none"/>
                <w:u w:val="none"/>
                <w:lang w:val="en-US" w:eastAsia="zh-CN" w:bidi="ar"/>
              </w:rPr>
              <w:t>、溶解氧、透明度、氧化还原电位），</w:t>
            </w:r>
            <w:r>
              <w:rPr>
                <w:rStyle w:val="65"/>
                <w:rFonts w:hint="eastAsia" w:ascii="宋体" w:hAnsi="宋体" w:eastAsia="宋体" w:cs="宋体"/>
                <w:color w:val="auto"/>
                <w:sz w:val="21"/>
                <w:szCs w:val="21"/>
                <w:highlight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个检测断面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检测采样交通</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水质自检</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快测自检（透明度、氨氮、总磷、</w:t>
            </w:r>
            <w:r>
              <w:rPr>
                <w:rStyle w:val="65"/>
                <w:rFonts w:hint="eastAsia" w:ascii="宋体" w:hAnsi="宋体" w:eastAsia="宋体" w:cs="宋体"/>
                <w:color w:val="auto"/>
                <w:sz w:val="21"/>
                <w:szCs w:val="21"/>
                <w:highlight w:val="none"/>
                <w:lang w:val="en-US" w:eastAsia="zh-CN" w:bidi="ar"/>
              </w:rPr>
              <w:t>CODcr</w:t>
            </w:r>
            <w:r>
              <w:rPr>
                <w:rFonts w:hint="eastAsia" w:ascii="宋体" w:hAnsi="宋体" w:eastAsia="宋体" w:cs="宋体"/>
                <w:i w:val="0"/>
                <w:iCs w:val="0"/>
                <w:color w:val="auto"/>
                <w:kern w:val="0"/>
                <w:sz w:val="21"/>
                <w:szCs w:val="21"/>
                <w:highlight w:val="none"/>
                <w:u w:val="none"/>
                <w:lang w:val="en-US" w:eastAsia="zh-CN" w:bidi="ar"/>
              </w:rPr>
              <w:t>、溶解氧），</w:t>
            </w:r>
            <w:r>
              <w:rPr>
                <w:rStyle w:val="65"/>
                <w:rFonts w:hint="eastAsia" w:ascii="宋体" w:hAnsi="宋体" w:eastAsia="宋体" w:cs="宋体"/>
                <w:color w:val="auto"/>
                <w:sz w:val="21"/>
                <w:szCs w:val="21"/>
                <w:highlight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个断面点位，</w:t>
            </w:r>
            <w:r>
              <w:rPr>
                <w:rStyle w:val="65"/>
                <w:rFonts w:hint="eastAsia" w:ascii="宋体" w:hAnsi="宋体" w:eastAsia="宋体" w:cs="宋体"/>
                <w:color w:val="auto"/>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天测定</w:t>
            </w:r>
            <w:r>
              <w:rPr>
                <w:rStyle w:val="65"/>
                <w:rFonts w:hint="eastAsia" w:ascii="宋体" w:hAnsi="宋体" w:eastAsia="宋体" w:cs="宋体"/>
                <w:color w:val="auto"/>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项目管理</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含办公用品、交通、项目管理等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1"/>
                <w:szCs w:val="21"/>
                <w:highlight w:val="none"/>
                <w:u w:val="none"/>
              </w:rPr>
            </w:pPr>
          </w:p>
        </w:tc>
      </w:tr>
    </w:tbl>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57" w:name="_Toc1424"/>
      <w:r>
        <w:rPr>
          <w:rFonts w:hint="eastAsia" w:ascii="宋体" w:hAnsi="宋体" w:eastAsia="宋体" w:cs="宋体"/>
          <w:b/>
          <w:color w:val="auto"/>
          <w:sz w:val="21"/>
          <w:szCs w:val="21"/>
          <w:highlight w:val="none"/>
          <w:lang w:val="en-US" w:eastAsia="zh-CN" w:bidi="zh-CN"/>
        </w:rPr>
        <w:t>2.3 项目服务目标</w:t>
      </w:r>
      <w:bookmarkEnd w:id="257"/>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服务目标：运营期内考核水体主要指标（透明度、溶解氧、氧化还原电位、氨氮）达到以下标准：</w:t>
      </w:r>
    </w:p>
    <w:p>
      <w:pPr>
        <w:pStyle w:val="2"/>
        <w:keepNext/>
        <w:keepLines/>
        <w:pageBreakBefore w:val="0"/>
        <w:widowControl/>
        <w:kinsoku/>
        <w:wordWrap/>
        <w:overflowPunct/>
        <w:topLinePunct w:val="0"/>
        <w:autoSpaceDE/>
        <w:autoSpaceDN/>
        <w:bidi w:val="0"/>
        <w:adjustRightInd w:val="0"/>
        <w:snapToGrid w:val="0"/>
        <w:spacing w:before="0" w:after="0" w:line="240" w:lineRule="auto"/>
        <w:jc w:val="center"/>
        <w:textAlignment w:val="auto"/>
        <w:rPr>
          <w:rFonts w:hint="default"/>
          <w:color w:val="auto"/>
          <w:highlight w:val="none"/>
          <w:lang w:val="en-US" w:eastAsia="zh-CN"/>
        </w:rPr>
      </w:pPr>
      <w:bookmarkStart w:id="258" w:name="_Toc18331"/>
      <w:r>
        <w:rPr>
          <w:rFonts w:hint="eastAsia" w:ascii="宋体" w:hAnsi="宋体" w:eastAsia="宋体" w:cs="宋体"/>
          <w:color w:val="auto"/>
          <w:sz w:val="21"/>
          <w:szCs w:val="21"/>
          <w:highlight w:val="none"/>
          <w:lang w:val="en-US" w:eastAsia="zh-CN" w:bidi="zh-CN"/>
        </w:rPr>
        <w:t>表1 水质指标</w:t>
      </w:r>
      <w:bookmarkEnd w:id="258"/>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829"/>
        <w:gridCol w:w="1938"/>
        <w:gridCol w:w="2545"/>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622" w:hRule="atLeast"/>
          <w:jc w:val="center"/>
        </w:trPr>
        <w:tc>
          <w:tcPr>
            <w:tcW w:w="1086"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vertAlign w:val="subscript"/>
                <w:lang w:val="zh-CN" w:bidi="zh-CN"/>
              </w:rPr>
            </w:pPr>
            <w:r>
              <w:rPr>
                <w:rFonts w:hint="eastAsia" w:ascii="宋体" w:hAnsi="宋体" w:eastAsia="宋体" w:cs="宋体"/>
                <w:color w:val="auto"/>
                <w:sz w:val="21"/>
                <w:szCs w:val="21"/>
                <w:highlight w:val="none"/>
                <w:lang w:val="en-US" w:eastAsia="zh-CN" w:bidi="zh-CN"/>
              </w:rPr>
              <w:t>透明度</w:t>
            </w:r>
          </w:p>
        </w:tc>
        <w:tc>
          <w:tcPr>
            <w:tcW w:w="115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溶解氧</w:t>
            </w:r>
          </w:p>
        </w:tc>
        <w:tc>
          <w:tcPr>
            <w:tcW w:w="151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氧化还原电位</w:t>
            </w:r>
          </w:p>
        </w:tc>
        <w:tc>
          <w:tcPr>
            <w:tcW w:w="125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462" w:hRule="atLeast"/>
          <w:jc w:val="center"/>
        </w:trPr>
        <w:tc>
          <w:tcPr>
            <w:tcW w:w="1086"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＞25cm</w:t>
            </w:r>
          </w:p>
        </w:tc>
        <w:tc>
          <w:tcPr>
            <w:tcW w:w="115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default" w:ascii="宋体" w:hAnsi="宋体" w:eastAsia="宋体" w:cs="宋体"/>
                <w:color w:val="auto"/>
                <w:sz w:val="21"/>
                <w:szCs w:val="21"/>
                <w:highlight w:val="none"/>
                <w:lang w:val="en-US" w:bidi="zh-CN"/>
              </w:rPr>
            </w:pPr>
            <w:r>
              <w:rPr>
                <w:rFonts w:hint="eastAsia" w:ascii="宋体" w:hAnsi="宋体" w:eastAsia="宋体" w:cs="宋体"/>
                <w:color w:val="auto"/>
                <w:sz w:val="21"/>
                <w:szCs w:val="21"/>
                <w:highlight w:val="none"/>
                <w:lang w:val="en-US" w:eastAsia="zh-CN" w:bidi="zh-CN"/>
              </w:rPr>
              <w:t>＞2mg/L</w:t>
            </w:r>
          </w:p>
        </w:tc>
        <w:tc>
          <w:tcPr>
            <w:tcW w:w="1511"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＞50mV</w:t>
            </w:r>
          </w:p>
        </w:tc>
        <w:tc>
          <w:tcPr>
            <w:tcW w:w="1250" w:type="pct"/>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360" w:lineRule="auto"/>
              <w:ind w:left="0" w:right="0"/>
              <w:jc w:val="center"/>
              <w:textAlignment w:val="auto"/>
              <w:rPr>
                <w:rFonts w:hint="eastAsia"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en-US" w:eastAsia="zh-CN" w:bidi="zh-CN"/>
              </w:rPr>
              <w:t>＜5mg/L</w:t>
            </w:r>
          </w:p>
        </w:tc>
      </w:tr>
    </w:tbl>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59" w:name="_Toc1663"/>
      <w:r>
        <w:rPr>
          <w:rFonts w:hint="eastAsia" w:ascii="宋体" w:hAnsi="宋体" w:eastAsia="宋体" w:cs="宋体"/>
          <w:b/>
          <w:color w:val="auto"/>
          <w:sz w:val="21"/>
          <w:szCs w:val="21"/>
          <w:highlight w:val="none"/>
          <w:lang w:val="en-US" w:eastAsia="zh-CN" w:bidi="zh-CN"/>
        </w:rPr>
        <w:t>2.4 项目运营期费用</w:t>
      </w:r>
      <w:bookmarkEnd w:id="259"/>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项目运营费用包括：运营过程中产生的水费、电费；项目服务范围内各设备维护等运营管理及维护过程所产生一系列的费用；相关设备及管道维护过程中更换配件、零件及其他耗材的费用。</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0" w:name="_Toc18486"/>
      <w:r>
        <w:rPr>
          <w:rFonts w:hint="eastAsia" w:ascii="宋体" w:hAnsi="宋体" w:eastAsia="宋体" w:cs="宋体"/>
          <w:b/>
          <w:color w:val="auto"/>
          <w:sz w:val="21"/>
          <w:szCs w:val="21"/>
          <w:highlight w:val="none"/>
          <w:lang w:val="en-US" w:eastAsia="zh-CN" w:bidi="zh-CN"/>
        </w:rPr>
        <w:t>2.5 项目注意事项</w:t>
      </w:r>
      <w:bookmarkEnd w:id="260"/>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1、雨天结束或发生环境突发事件后3日内达到消除黑臭，8日内达到</w:t>
      </w:r>
      <w:r>
        <w:rPr>
          <w:rFonts w:hint="eastAsia" w:ascii="宋体" w:hAnsi="宋体" w:eastAsia="宋体" w:cs="宋体"/>
          <w:color w:val="auto"/>
          <w:sz w:val="21"/>
          <w:szCs w:val="21"/>
          <w:highlight w:val="none"/>
          <w:lang w:eastAsia="zh-CN"/>
        </w:rPr>
        <w:t>采购人要求指标（详见表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bidi="zh-CN"/>
        </w:rPr>
        <w:t>。</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2、中标人须每月自行检测各个区域水质，并向业主单位出具第三方检测报告，日常水质检测费用由中标人自行负责。</w:t>
      </w:r>
    </w:p>
    <w:p>
      <w:pPr>
        <w:widowControl w:val="0"/>
        <w:tabs>
          <w:tab w:val="left" w:pos="660"/>
        </w:tabs>
        <w:wordWrap w:val="0"/>
        <w:autoSpaceDE w:val="0"/>
        <w:autoSpaceDN w:val="0"/>
        <w:adjustRightInd w:val="0"/>
        <w:snapToGrid w:val="0"/>
        <w:spacing w:after="0" w:line="360" w:lineRule="auto"/>
        <w:ind w:left="0" w:right="0" w:firstLine="420" w:firstLineChars="200"/>
        <w:jc w:val="left"/>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3、当中标人发现整治河涌范围内的截污、补水、水位保持等存在有关问题时，应及时向采购人汇报，配合采购人做好相关维护工作。</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1" w:name="_Toc8092"/>
      <w:r>
        <w:rPr>
          <w:rFonts w:hint="eastAsia" w:ascii="宋体" w:hAnsi="宋体" w:eastAsia="宋体" w:cs="宋体"/>
          <w:b/>
          <w:color w:val="auto"/>
          <w:sz w:val="21"/>
          <w:szCs w:val="21"/>
          <w:highlight w:val="none"/>
          <w:lang w:val="en-US" w:eastAsia="zh-CN" w:bidi="zh-CN"/>
        </w:rPr>
        <w:t>2.6 环境管理要求</w:t>
      </w:r>
      <w:bookmarkEnd w:id="261"/>
    </w:p>
    <w:p>
      <w:pPr>
        <w:widowControl w:val="0"/>
        <w:tabs>
          <w:tab w:val="left" w:pos="660"/>
        </w:tabs>
        <w:wordWrap w:val="0"/>
        <w:autoSpaceDE w:val="0"/>
        <w:autoSpaceDN w:val="0"/>
        <w:adjustRightInd w:val="0"/>
        <w:snapToGrid w:val="0"/>
        <w:spacing w:after="0" w:line="360" w:lineRule="auto"/>
        <w:ind w:left="0" w:right="0" w:firstLine="420" w:firstLineChars="200"/>
        <w:jc w:val="left"/>
        <w:rPr>
          <w:rFonts w:hint="eastAsia" w:ascii="宋体" w:hAnsi="宋体" w:eastAsia="宋体" w:cs="宋体"/>
          <w:b/>
          <w:color w:val="auto"/>
          <w:kern w:val="44"/>
          <w:sz w:val="24"/>
          <w:szCs w:val="24"/>
          <w:highlight w:val="none"/>
          <w:lang w:val="en-US" w:eastAsia="zh-CN" w:bidi="zh-CN"/>
        </w:rPr>
      </w:pPr>
      <w:r>
        <w:rPr>
          <w:rFonts w:hint="eastAsia" w:ascii="宋体" w:hAnsi="宋体" w:eastAsia="宋体" w:cs="宋体"/>
          <w:color w:val="auto"/>
          <w:sz w:val="21"/>
          <w:szCs w:val="21"/>
          <w:highlight w:val="none"/>
          <w:lang w:val="en-US" w:eastAsia="zh-CN" w:bidi="zh-CN"/>
        </w:rPr>
        <w:t>项目运营过程中，中标人应保证不得对项目周边环境造成二次污染和生态破坏，产生的各种垃圾及处置方式必须符合环境保护相关要求。因中标人原因导致水质恶化而产生的水生异物，因中标人设备运行（如曝气等）产生的浮油或其他漂浮物，由中标人自行清理。</w:t>
      </w:r>
    </w:p>
    <w:p>
      <w:pPr>
        <w:pStyle w:val="5"/>
        <w:bidi w:val="0"/>
        <w:outlineLvl w:val="2"/>
        <w:rPr>
          <w:rFonts w:hint="eastAsia" w:eastAsia="宋体"/>
          <w:color w:val="auto"/>
          <w:highlight w:val="none"/>
          <w:lang w:val="en-US" w:eastAsia="zh-CN"/>
        </w:rPr>
      </w:pPr>
      <w:bookmarkStart w:id="262" w:name="_Toc15548"/>
      <w:r>
        <w:rPr>
          <w:rFonts w:hint="eastAsia" w:eastAsia="宋体"/>
          <w:color w:val="auto"/>
          <w:highlight w:val="none"/>
          <w:lang w:val="en-US" w:eastAsia="zh-CN"/>
        </w:rPr>
        <w:t>三、项目运维及监管</w:t>
      </w:r>
      <w:bookmarkEnd w:id="262"/>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3" w:name="_Toc20627"/>
      <w:r>
        <w:rPr>
          <w:rFonts w:hint="eastAsia" w:ascii="宋体" w:hAnsi="宋体" w:eastAsia="宋体" w:cs="宋体"/>
          <w:b/>
          <w:color w:val="auto"/>
          <w:sz w:val="21"/>
          <w:szCs w:val="21"/>
          <w:highlight w:val="none"/>
          <w:lang w:val="en-US" w:eastAsia="zh-CN" w:bidi="zh-CN"/>
        </w:rPr>
        <w:t>3.1 项目运营断面的确定</w:t>
      </w:r>
      <w:bookmarkEnd w:id="263"/>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断面设置：共设置3个监测断面。</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4" w:name="_Toc5084"/>
      <w:r>
        <w:rPr>
          <w:rFonts w:hint="eastAsia" w:ascii="宋体" w:hAnsi="宋体" w:eastAsia="宋体" w:cs="宋体"/>
          <w:b/>
          <w:color w:val="auto"/>
          <w:sz w:val="21"/>
          <w:szCs w:val="21"/>
          <w:highlight w:val="none"/>
          <w:lang w:val="en-US" w:eastAsia="zh-CN" w:bidi="zh-CN"/>
        </w:rPr>
        <w:t>3.2 考核指标及日常监测频次</w:t>
      </w:r>
      <w:bookmarkEnd w:id="264"/>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1、考核指标：透明度、溶解氧、氧化还原电位、氨氮；</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2、日常监测频次：由中标人自行委托第三方有资质的检测单位进行采样检测，每月检测1次；并需每日自行监测河涌水质情况，自检断面3个，完善水质监测台账记录。</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5" w:name="_Toc19522"/>
      <w:r>
        <w:rPr>
          <w:rFonts w:hint="eastAsia" w:ascii="宋体" w:hAnsi="宋体" w:eastAsia="宋体" w:cs="宋体"/>
          <w:b/>
          <w:color w:val="auto"/>
          <w:sz w:val="21"/>
          <w:szCs w:val="21"/>
          <w:highlight w:val="none"/>
          <w:lang w:val="en-US" w:eastAsia="zh-CN" w:bidi="zh-CN"/>
        </w:rPr>
        <w:t xml:space="preserve">3.3 </w:t>
      </w:r>
      <w:r>
        <w:rPr>
          <w:rFonts w:hint="eastAsia" w:ascii="宋体" w:hAnsi="宋体" w:eastAsia="宋体" w:cs="宋体"/>
          <w:b/>
          <w:color w:val="auto"/>
          <w:highlight w:val="none"/>
          <w:lang w:val="zh-CN" w:bidi="zh-CN"/>
        </w:rPr>
        <w:t>项目考核</w:t>
      </w:r>
      <w:r>
        <w:rPr>
          <w:rFonts w:hint="eastAsia" w:ascii="宋体" w:hAnsi="宋体" w:eastAsia="宋体" w:cs="宋体"/>
          <w:b/>
          <w:color w:val="auto"/>
          <w:highlight w:val="none"/>
          <w:lang w:val="en-US" w:eastAsia="zh-CN" w:bidi="zh-CN"/>
        </w:rPr>
        <w:t>条款</w:t>
      </w:r>
      <w:bookmarkEnd w:id="265"/>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en-US" w:eastAsia="zh-CN" w:bidi="zh-CN"/>
        </w:rPr>
        <w:t>完成原有设备</w:t>
      </w:r>
      <w:r>
        <w:rPr>
          <w:rFonts w:hint="eastAsia" w:ascii="宋体" w:hAnsi="宋体" w:eastAsia="宋体" w:cs="宋体"/>
          <w:color w:val="auto"/>
          <w:sz w:val="21"/>
          <w:szCs w:val="21"/>
          <w:highlight w:val="none"/>
          <w:lang w:val="en-US" w:bidi="zh-CN"/>
        </w:rPr>
        <w:t>调试</w:t>
      </w:r>
      <w:r>
        <w:rPr>
          <w:rFonts w:hint="eastAsia" w:ascii="宋体" w:hAnsi="宋体" w:eastAsia="宋体" w:cs="宋体"/>
          <w:color w:val="auto"/>
          <w:sz w:val="21"/>
          <w:szCs w:val="21"/>
          <w:highlight w:val="none"/>
          <w:lang w:val="en-US" w:eastAsia="zh-CN" w:bidi="zh-CN"/>
        </w:rPr>
        <w:t>并正常运行</w:t>
      </w:r>
      <w:r>
        <w:rPr>
          <w:rFonts w:hint="eastAsia" w:ascii="宋体" w:hAnsi="宋体" w:eastAsia="宋体" w:cs="宋体"/>
          <w:color w:val="auto"/>
          <w:sz w:val="21"/>
          <w:szCs w:val="21"/>
          <w:highlight w:val="none"/>
          <w:lang w:val="en-US" w:bidi="zh-CN"/>
        </w:rPr>
        <w:t>后，确认河道</w:t>
      </w:r>
      <w:r>
        <w:rPr>
          <w:rFonts w:hint="eastAsia" w:ascii="宋体" w:hAnsi="宋体" w:eastAsia="宋体" w:cs="宋体"/>
          <w:color w:val="auto"/>
          <w:sz w:val="21"/>
          <w:szCs w:val="21"/>
          <w:highlight w:val="none"/>
          <w:lang w:val="en-US" w:eastAsia="zh-CN" w:bidi="zh-CN"/>
        </w:rPr>
        <w:t>水质主要指标</w:t>
      </w:r>
      <w:r>
        <w:rPr>
          <w:rFonts w:hint="eastAsia" w:ascii="宋体" w:hAnsi="宋体" w:eastAsia="宋体" w:cs="宋体"/>
          <w:color w:val="auto"/>
          <w:sz w:val="21"/>
          <w:szCs w:val="21"/>
          <w:highlight w:val="none"/>
          <w:lang w:eastAsia="zh-CN"/>
        </w:rPr>
        <w:t>（详见表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bidi="zh-CN"/>
        </w:rPr>
        <w:t>并满足水质考核目标要求，</w:t>
      </w:r>
      <w:r>
        <w:rPr>
          <w:rFonts w:hint="eastAsia" w:ascii="宋体" w:hAnsi="宋体" w:eastAsia="宋体" w:cs="宋体"/>
          <w:color w:val="auto"/>
          <w:sz w:val="21"/>
          <w:szCs w:val="21"/>
          <w:highlight w:val="none"/>
          <w:lang w:val="en-US" w:eastAsia="zh-CN" w:bidi="zh-CN"/>
        </w:rPr>
        <w:t>每月</w:t>
      </w:r>
      <w:r>
        <w:rPr>
          <w:rFonts w:hint="eastAsia" w:ascii="宋体" w:hAnsi="宋体" w:eastAsia="宋体" w:cs="宋体"/>
          <w:color w:val="auto"/>
          <w:sz w:val="21"/>
          <w:szCs w:val="21"/>
          <w:highlight w:val="none"/>
          <w:lang w:val="en-US" w:bidi="zh-CN"/>
        </w:rPr>
        <w:t>通过委托有资质的第三方检测机构开展水质检测</w:t>
      </w:r>
      <w:r>
        <w:rPr>
          <w:rFonts w:hint="eastAsia" w:ascii="宋体" w:hAnsi="宋体" w:eastAsia="宋体" w:cs="宋体"/>
          <w:color w:val="auto"/>
          <w:sz w:val="21"/>
          <w:szCs w:val="21"/>
          <w:highlight w:val="none"/>
          <w:lang w:val="en-US" w:eastAsia="zh-CN" w:bidi="zh-CN"/>
        </w:rPr>
        <w:t>并向采购人提供检测报告。</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bidi="zh-CN"/>
        </w:rPr>
      </w:pPr>
      <w:r>
        <w:rPr>
          <w:rFonts w:hint="eastAsia" w:ascii="宋体" w:hAnsi="宋体" w:eastAsia="宋体" w:cs="宋体"/>
          <w:color w:val="auto"/>
          <w:sz w:val="21"/>
          <w:szCs w:val="21"/>
          <w:highlight w:val="none"/>
          <w:lang w:val="en-US" w:eastAsia="zh-CN" w:bidi="zh-CN"/>
        </w:rPr>
        <w:t>2、项目运营期</w:t>
      </w:r>
      <w:r>
        <w:rPr>
          <w:rFonts w:hint="eastAsia" w:ascii="宋体" w:hAnsi="宋体" w:eastAsia="宋体" w:cs="宋体"/>
          <w:color w:val="auto"/>
          <w:sz w:val="21"/>
          <w:szCs w:val="21"/>
          <w:highlight w:val="none"/>
          <w:lang w:val="en-US" w:bidi="zh-CN"/>
        </w:rPr>
        <w:t>内的考核要求：河道</w:t>
      </w:r>
      <w:r>
        <w:rPr>
          <w:rFonts w:hint="eastAsia" w:ascii="宋体" w:hAnsi="宋体" w:eastAsia="宋体" w:cs="宋体"/>
          <w:color w:val="auto"/>
          <w:sz w:val="21"/>
          <w:szCs w:val="21"/>
          <w:highlight w:val="none"/>
          <w:lang w:val="en-US" w:eastAsia="zh-CN" w:bidi="zh-CN"/>
        </w:rPr>
        <w:t>水质主要指标</w:t>
      </w:r>
      <w:r>
        <w:rPr>
          <w:rFonts w:hint="eastAsia" w:ascii="宋体" w:hAnsi="宋体" w:eastAsia="宋体" w:cs="宋体"/>
          <w:color w:val="auto"/>
          <w:sz w:val="21"/>
          <w:szCs w:val="21"/>
          <w:highlight w:val="none"/>
        </w:rPr>
        <w:t>达到</w:t>
      </w:r>
      <w:r>
        <w:rPr>
          <w:rFonts w:hint="eastAsia" w:ascii="宋体" w:hAnsi="宋体" w:eastAsia="宋体" w:cs="宋体"/>
          <w:color w:val="auto"/>
          <w:sz w:val="21"/>
          <w:szCs w:val="21"/>
          <w:highlight w:val="none"/>
          <w:lang w:eastAsia="zh-CN"/>
        </w:rPr>
        <w:t>采购人要求指标（详见表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bidi="zh-CN"/>
        </w:rPr>
        <w:t>，</w:t>
      </w:r>
      <w:r>
        <w:rPr>
          <w:rFonts w:hint="eastAsia" w:ascii="宋体" w:hAnsi="宋体" w:eastAsia="宋体" w:cs="宋体"/>
          <w:color w:val="auto"/>
          <w:sz w:val="21"/>
          <w:szCs w:val="21"/>
          <w:highlight w:val="none"/>
          <w:lang w:val="en-US" w:eastAsia="zh-CN" w:bidi="zh-CN"/>
        </w:rPr>
        <w:t>相关治理设备正常运行，并</w:t>
      </w:r>
      <w:r>
        <w:rPr>
          <w:rFonts w:hint="eastAsia" w:ascii="宋体" w:hAnsi="宋体" w:eastAsia="宋体" w:cs="宋体"/>
          <w:color w:val="auto"/>
          <w:sz w:val="21"/>
          <w:szCs w:val="21"/>
          <w:highlight w:val="none"/>
          <w:lang w:val="en-US" w:bidi="zh-CN"/>
        </w:rPr>
        <w:t>按下列条款考核：</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（1）按月支付，直到项目服务期结束。并根据服务范围水质监测效果进行扣减。</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如水质满足指标（透明度＞25cm，溶解氧＞2mg/L，氧化还原电位＞50mV，氨氮＜5mg/L），则支付当月该河涌所有运维费用；如未达以上指标但满足消除黑臭指标（透明度＞25cm，溶解氧＞2mg/L，氧化还原电位＞50mV，氨氮＜8mg/L），则支付当月该河涌运维费用80%；如未能达到消除黑臭目标的，则不予支付当月该河涌运维费用。</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（3）市委托第三方抽检：如当月河涌水质达不到市水环境生态达标考核标准，则扣减当月服务费20%。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pStyle w:val="69"/>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w:t>
      </w:r>
      <w:r>
        <w:rPr>
          <w:rFonts w:hint="eastAsia" w:ascii="宋体" w:hAnsi="宋体" w:cs="宋体"/>
          <w:color w:val="auto"/>
          <w:sz w:val="21"/>
          <w:szCs w:val="21"/>
          <w:highlight w:val="none"/>
          <w:lang w:val="en-US" w:eastAsia="zh-CN" w:bidi="zh-CN"/>
        </w:rPr>
        <w:t>6</w:t>
      </w:r>
      <w:r>
        <w:rPr>
          <w:rFonts w:hint="eastAsia" w:ascii="宋体" w:hAnsi="宋体" w:eastAsia="宋体" w:cs="宋体"/>
          <w:color w:val="auto"/>
          <w:sz w:val="21"/>
          <w:szCs w:val="21"/>
          <w:highlight w:val="none"/>
          <w:lang w:val="en-US" w:eastAsia="zh-CN" w:bidi="zh-CN"/>
        </w:rPr>
        <w:t>）</w:t>
      </w:r>
      <w:r>
        <w:rPr>
          <w:rFonts w:hint="eastAsia" w:ascii="宋体" w:hAnsi="宋体" w:eastAsia="宋体" w:cs="宋体"/>
          <w:color w:val="auto"/>
          <w:sz w:val="21"/>
          <w:szCs w:val="21"/>
          <w:highlight w:val="none"/>
          <w:lang w:val="en-US" w:bidi="zh-CN"/>
        </w:rPr>
        <w:t>水质考核断面由采购人确定，至少设三个取水点。</w:t>
      </w:r>
    </w:p>
    <w:p>
      <w:pPr>
        <w:keepNext/>
        <w:keepLines/>
        <w:pageBreakBefore w:val="0"/>
        <w:widowControl w:val="0"/>
        <w:kinsoku/>
        <w:overflowPunct/>
        <w:topLinePunct w:val="0"/>
        <w:autoSpaceDE w:val="0"/>
        <w:autoSpaceDN w:val="0"/>
        <w:bidi w:val="0"/>
        <w:adjustRightInd/>
        <w:snapToGrid/>
        <w:spacing w:before="0" w:beforeLines="0" w:beforeAutospacing="0" w:after="0" w:afterLines="0" w:afterAutospacing="0" w:line="360" w:lineRule="auto"/>
        <w:ind w:left="0" w:right="0"/>
        <w:jc w:val="left"/>
        <w:textAlignment w:val="auto"/>
        <w:outlineLvl w:val="1"/>
        <w:rPr>
          <w:rFonts w:hint="eastAsia" w:ascii="宋体" w:hAnsi="宋体" w:eastAsia="宋体" w:cs="宋体"/>
          <w:b/>
          <w:color w:val="auto"/>
          <w:sz w:val="21"/>
          <w:szCs w:val="21"/>
          <w:highlight w:val="none"/>
          <w:lang w:val="en-US" w:eastAsia="zh-CN" w:bidi="zh-CN"/>
        </w:rPr>
      </w:pPr>
      <w:bookmarkStart w:id="266" w:name="_Toc24639"/>
      <w:r>
        <w:rPr>
          <w:rFonts w:hint="eastAsia" w:ascii="宋体" w:hAnsi="宋体" w:eastAsia="宋体" w:cs="宋体"/>
          <w:b/>
          <w:color w:val="auto"/>
          <w:sz w:val="21"/>
          <w:szCs w:val="21"/>
          <w:highlight w:val="none"/>
          <w:lang w:val="en-US" w:eastAsia="zh-CN" w:bidi="zh-CN"/>
        </w:rPr>
        <w:t>3.4 运营管理制度及措施</w:t>
      </w:r>
      <w:bookmarkEnd w:id="266"/>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default"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中标人按照运营方案要求投入足够的管理人员等，包括但不限于技术管理人员1名、河道运维人员2名，定期对相关材料、设备进行检查及保养，做好运维日志，记录设备运行情况、水质变化情况，及时发现问题并采取相应处理措施，保证设备正常运行且运行时间满足服务合同的要求，确保水质达到相关规定的要求。并做好以下措施：</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1、运营管理制度和措施</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（1）建立完善运营维护台账，定期对整个治理系统、现场环境进行检查和维护，填报相应的运营维护台账，确保系统各项设备都能正常运行，通过定期检查、定期保养，确保整个治理系统正常稳定运行。</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（2）日常关注周边管网及设备运行情况，每日关注水质变化，做好记录台账。</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2、水质异常管理</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落实水质保障及应急的主体责任，严格按招标文件及相关合同约定，投入足够的人力、物力、财力，确保水质达到合同约定的要求。同时，须制订行之有效的应急措施，确保雨季及突发水污染事故条件下水质满足合同约定的要求。发现水质污染事故及时向采购人报告。</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3、项目运维过程中，所有人必须遵守安全要求，不得进行任何违章作业。</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4、项目运维过程中发生危及安全的事件，中标人应进行抢救，减少人员伤亡和财产损失，防止事故扩大，并保护事故现场，相关责任由中标人负责。</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5、劳动保障要求</w:t>
      </w:r>
    </w:p>
    <w:p>
      <w:pPr>
        <w:keepNext w:val="0"/>
        <w:keepLines w:val="0"/>
        <w:pageBreakBefore w:val="0"/>
        <w:widowControl w:val="0"/>
        <w:numPr>
          <w:ilvl w:val="-1"/>
          <w:numId w:val="0"/>
        </w:numPr>
        <w:tabs>
          <w:tab w:val="left" w:pos="660"/>
        </w:tabs>
        <w:kinsoku/>
        <w:wordWrap w:val="0"/>
        <w:overflowPunct/>
        <w:topLinePunct w:val="0"/>
        <w:autoSpaceDE w:val="0"/>
        <w:autoSpaceDN w:val="0"/>
        <w:bidi w:val="0"/>
        <w:adjustRightInd w:val="0"/>
        <w:snapToGrid w:val="0"/>
        <w:spacing w:after="0" w:line="360" w:lineRule="auto"/>
        <w:ind w:leftChars="0" w:firstLine="420" w:firstLineChars="200"/>
        <w:jc w:val="left"/>
        <w:textAlignment w:val="auto"/>
        <w:rPr>
          <w:rFonts w:hint="eastAsia" w:ascii="宋体" w:hAnsi="宋体" w:eastAsia="宋体" w:cs="宋体"/>
          <w:b/>
          <w:color w:val="auto"/>
          <w:kern w:val="44"/>
          <w:sz w:val="24"/>
          <w:szCs w:val="24"/>
          <w:highlight w:val="none"/>
          <w:lang w:val="en-US" w:eastAsia="zh-CN" w:bidi="zh-CN"/>
        </w:rPr>
      </w:pPr>
      <w:r>
        <w:rPr>
          <w:rFonts w:hint="eastAsia" w:ascii="宋体" w:hAnsi="宋体" w:eastAsia="宋体" w:cs="宋体"/>
          <w:color w:val="auto"/>
          <w:sz w:val="21"/>
          <w:szCs w:val="21"/>
          <w:highlight w:val="none"/>
          <w:lang w:val="en-US" w:eastAsia="zh-CN" w:bidi="zh-CN"/>
        </w:rPr>
        <w:t>中标人必须为全体作业员工购买社保或人身意外保险，必须重视安全生产工作，确保服务期内不出安全生产任责任事故。如发生安全生产事故或交通事故，由中标人承担一切责任及损失。</w:t>
      </w:r>
    </w:p>
    <w:p>
      <w:pPr>
        <w:pStyle w:val="5"/>
        <w:bidi w:val="0"/>
        <w:outlineLvl w:val="2"/>
        <w:rPr>
          <w:rFonts w:hint="eastAsia" w:eastAsia="宋体"/>
          <w:color w:val="auto"/>
          <w:highlight w:val="none"/>
          <w:lang w:val="en-US" w:eastAsia="zh-CN"/>
        </w:rPr>
      </w:pPr>
      <w:bookmarkStart w:id="267" w:name="_Toc24810"/>
      <w:r>
        <w:rPr>
          <w:rFonts w:hint="eastAsia" w:eastAsia="宋体"/>
          <w:color w:val="auto"/>
          <w:highlight w:val="none"/>
          <w:lang w:val="en-US" w:eastAsia="zh-CN"/>
        </w:rPr>
        <w:t>四、其他要求及注意事项</w:t>
      </w:r>
      <w:bookmarkEnd w:id="267"/>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1、投标人应根据釆购要求，在投标文件中提供切实可行的运营维护服务方案。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2、中标人在运维服务过程中必须采取足够的安全措施，确保作业人员的安全，并自行负责相关安全责任。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3、运营维护期间，设备的使用权归属中标人。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4、本项目用户需求为本次采购最低要求，各投标人可以自行优化计划，为本项目设计最优投标方案。 </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5、本次招标不组织集中踏勘现场和答疑会，如有需要，投标人应自行前往现场进行踏勘以充分理解本项目的要求。在考察过程中，采购人对投标人自行踏勘现场所作的任何判断和决策不承担任何责任。潜在投标人应承担踏勘现场自身所发生的费用。</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00" w:firstLineChars="200"/>
        <w:jc w:val="left"/>
        <w:textAlignment w:val="auto"/>
        <w:rPr>
          <w:rFonts w:hint="eastAsia" w:ascii="宋体" w:hAnsi="宋体" w:eastAsia="宋体" w:cs="宋体"/>
          <w:color w:val="auto"/>
          <w:kern w:val="2"/>
          <w:sz w:val="21"/>
          <w:szCs w:val="21"/>
          <w:highlight w:val="none"/>
          <w:lang w:val="zh-CN" w:eastAsia="zh-CN" w:bidi="zh-CN"/>
        </w:rPr>
      </w:pPr>
      <w:r>
        <w:rPr>
          <w:rFonts w:hint="eastAsia" w:ascii="宋体" w:hAnsi="宋体" w:eastAsia="宋体" w:cs="宋体"/>
          <w:color w:val="auto"/>
          <w:spacing w:val="-5"/>
          <w:sz w:val="21"/>
          <w:szCs w:val="21"/>
          <w:highlight w:val="none"/>
          <w:lang w:val="en-US" w:eastAsia="zh-CN" w:bidi="zh-CN"/>
        </w:rPr>
        <w:t>6、如本项目涉及特殊工种工作的，中标单位投入人员需持证上岗，</w:t>
      </w:r>
      <w:r>
        <w:rPr>
          <w:rFonts w:hint="eastAsia" w:ascii="宋体" w:hAnsi="宋体" w:eastAsia="宋体" w:cs="宋体"/>
          <w:color w:val="auto"/>
          <w:kern w:val="2"/>
          <w:sz w:val="21"/>
          <w:szCs w:val="21"/>
          <w:highlight w:val="none"/>
          <w:lang w:val="zh-CN" w:eastAsia="zh-CN" w:bidi="zh-CN"/>
        </w:rPr>
        <w:t>如需施工备案，中标</w:t>
      </w:r>
      <w:r>
        <w:rPr>
          <w:rFonts w:hint="eastAsia" w:ascii="宋体" w:hAnsi="宋体" w:eastAsia="宋体" w:cs="宋体"/>
          <w:color w:val="auto"/>
          <w:kern w:val="2"/>
          <w:sz w:val="21"/>
          <w:szCs w:val="21"/>
          <w:highlight w:val="none"/>
          <w:lang w:val="zh-CN" w:bidi="zh-CN"/>
        </w:rPr>
        <w:t>后</w:t>
      </w:r>
      <w:r>
        <w:rPr>
          <w:rFonts w:hint="eastAsia" w:ascii="宋体" w:hAnsi="宋体" w:eastAsia="宋体" w:cs="宋体"/>
          <w:color w:val="auto"/>
          <w:kern w:val="2"/>
          <w:sz w:val="21"/>
          <w:szCs w:val="21"/>
          <w:highlight w:val="none"/>
          <w:lang w:val="zh-CN" w:eastAsia="zh-CN" w:bidi="zh-CN"/>
        </w:rPr>
        <w:t>中标单位</w:t>
      </w:r>
      <w:r>
        <w:rPr>
          <w:rFonts w:hint="eastAsia" w:ascii="宋体" w:hAnsi="宋体" w:eastAsia="宋体" w:cs="宋体"/>
          <w:color w:val="auto"/>
          <w:kern w:val="2"/>
          <w:sz w:val="21"/>
          <w:szCs w:val="21"/>
          <w:highlight w:val="none"/>
          <w:lang w:val="zh-CN" w:bidi="zh-CN"/>
        </w:rPr>
        <w:t>须到当地主管部门进行项目施工备案</w:t>
      </w:r>
      <w:r>
        <w:rPr>
          <w:rFonts w:hint="eastAsia" w:ascii="宋体" w:hAnsi="宋体" w:eastAsia="宋体" w:cs="宋体"/>
          <w:color w:val="auto"/>
          <w:kern w:val="2"/>
          <w:sz w:val="21"/>
          <w:szCs w:val="21"/>
          <w:highlight w:val="none"/>
          <w:lang w:val="zh-CN" w:eastAsia="zh-CN" w:bidi="zh-CN"/>
        </w:rPr>
        <w:t>。</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7、项目服务期间，中标人如不具备项目实施过程中的施工类资质，可与采购人协商进行专业分包，经采购人同意后委托符合资质的企业承接本项目的非主体、非关键性工作，费用由中标人自行解决。</w:t>
      </w:r>
    </w:p>
    <w:p>
      <w:pPr>
        <w:pStyle w:val="5"/>
        <w:bidi w:val="0"/>
        <w:outlineLvl w:val="2"/>
        <w:rPr>
          <w:rFonts w:hint="eastAsia" w:eastAsia="宋体"/>
          <w:color w:val="auto"/>
          <w:highlight w:val="none"/>
          <w:lang w:val="en-US" w:eastAsia="zh-CN"/>
        </w:rPr>
      </w:pPr>
      <w:bookmarkStart w:id="268" w:name="_Toc3188"/>
      <w:r>
        <w:rPr>
          <w:rFonts w:hint="eastAsia" w:eastAsia="宋体"/>
          <w:color w:val="auto"/>
          <w:highlight w:val="none"/>
          <w:lang w:val="en-US" w:eastAsia="zh-CN"/>
        </w:rPr>
        <w:t>五、项目移交事项</w:t>
      </w:r>
      <w:bookmarkEnd w:id="268"/>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1、运营到期后的移交</w:t>
      </w:r>
    </w:p>
    <w:p>
      <w:pPr>
        <w:keepNext w:val="0"/>
        <w:keepLines w:val="0"/>
        <w:pageBreakBefore w:val="0"/>
        <w:widowControl w:val="0"/>
        <w:tabs>
          <w:tab w:val="left" w:pos="660"/>
        </w:tabs>
        <w:kinsoku/>
        <w:wordWrap w:val="0"/>
        <w:overflowPunct/>
        <w:topLinePunct w:val="0"/>
        <w:autoSpaceDE w:val="0"/>
        <w:autoSpaceDN w:val="0"/>
        <w:bidi w:val="0"/>
        <w:adjustRightInd w:val="0"/>
        <w:snapToGrid w:val="0"/>
        <w:spacing w:before="0" w:after="0" w:line="360" w:lineRule="auto"/>
        <w:ind w:left="0" w:right="0" w:rightChars="0" w:firstLine="420" w:firstLineChars="200"/>
        <w:jc w:val="left"/>
        <w:textAlignment w:val="auto"/>
        <w:rPr>
          <w:rFonts w:hint="eastAsia"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val="en-US" w:eastAsia="zh-CN" w:bidi="zh-CN"/>
        </w:rPr>
        <w:t xml:space="preserve">（1）在项目运营期届满6个月前，根据相关文件要求成立项目移交工作组，移交工作由日常运管责任单位负责牵头，组织评估项目运营期间各项资料、河涌水质状况及设施设备运行状况等情况后，明确项目移日期、移交程序及移交要求等事项；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zh-CN"/>
        </w:rPr>
        <w:t>（2）项目运维期届满后，中标人将项目资产按现状移交给采购人或监管单位。</w:t>
      </w:r>
    </w:p>
    <w:p>
      <w:pPr>
        <w:rPr>
          <w:rFonts w:hint="eastAsia" w:ascii="宋体" w:hAnsi="宋体" w:cs="Times New Roman"/>
          <w:b/>
          <w:bCs/>
          <w:color w:val="auto"/>
          <w:szCs w:val="21"/>
          <w:highlight w:val="none"/>
        </w:rPr>
      </w:pPr>
    </w:p>
    <w:p>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pPr>
        <w:pStyle w:val="7"/>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bookmarkEnd w:id="249"/>
    <w:bookmarkEnd w:id="250"/>
    <w:bookmarkEnd w:id="251"/>
    <w:bookmarkEnd w:id="252"/>
    <w:p>
      <w:pPr>
        <w:bidi w:val="0"/>
        <w:rPr>
          <w:color w:val="auto"/>
          <w:highlight w:val="none"/>
        </w:rPr>
      </w:pPr>
      <w:bookmarkStart w:id="269" w:name="_Toc21448"/>
      <w:bookmarkStart w:id="270" w:name="_Toc12485"/>
    </w:p>
    <w:p>
      <w:pPr>
        <w:bidi w:val="0"/>
        <w:rPr>
          <w:rFonts w:hint="eastAsia"/>
          <w:color w:val="auto"/>
          <w:highlight w:val="none"/>
        </w:rPr>
      </w:pPr>
      <w:bookmarkStart w:id="271" w:name="_Toc12014"/>
    </w:p>
    <w:p>
      <w:pPr>
        <w:bidi w:val="0"/>
        <w:rPr>
          <w:rFonts w:hint="eastAsia"/>
          <w:color w:val="auto"/>
          <w:highlight w:val="none"/>
        </w:rPr>
      </w:pPr>
    </w:p>
    <w:p>
      <w:pPr>
        <w:pStyle w:val="7"/>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8"/>
        <w:rPr>
          <w:rFonts w:hint="eastAsia"/>
          <w:color w:val="auto"/>
          <w:highlight w:val="none"/>
        </w:rPr>
      </w:pPr>
    </w:p>
    <w:p>
      <w:pPr>
        <w:pStyle w:val="2"/>
        <w:spacing w:before="0" w:after="0" w:line="240" w:lineRule="auto"/>
        <w:outlineLvl w:val="0"/>
        <w:rPr>
          <w:color w:val="auto"/>
          <w:sz w:val="28"/>
          <w:szCs w:val="28"/>
          <w:highlight w:val="none"/>
        </w:rPr>
      </w:pPr>
      <w:bookmarkStart w:id="272" w:name="_Toc5865"/>
      <w:r>
        <w:rPr>
          <w:rFonts w:hint="eastAsia"/>
          <w:color w:val="auto"/>
          <w:sz w:val="28"/>
          <w:szCs w:val="28"/>
          <w:highlight w:val="none"/>
        </w:rPr>
        <w:t>第六部分 合同格式（仅供参考）</w:t>
      </w:r>
      <w:bookmarkEnd w:id="269"/>
      <w:bookmarkEnd w:id="270"/>
      <w:bookmarkEnd w:id="271"/>
      <w:bookmarkEnd w:id="272"/>
      <w:bookmarkStart w:id="273" w:name="_Toc13430"/>
      <w:bookmarkStart w:id="274" w:name="_Toc21155"/>
      <w:bookmarkStart w:id="275" w:name="_Toc1534"/>
    </w:p>
    <w:bookmarkEnd w:id="273"/>
    <w:bookmarkEnd w:id="274"/>
    <w:bookmarkEnd w:id="275"/>
    <w:p>
      <w:pPr>
        <w:pStyle w:val="4"/>
        <w:keepNext/>
        <w:keepLines/>
        <w:pageBreakBefore w:val="0"/>
        <w:widowControl/>
        <w:kinsoku/>
        <w:wordWrap/>
        <w:overflowPunct/>
        <w:topLinePunct w:val="0"/>
        <w:autoSpaceDE/>
        <w:autoSpaceDN/>
        <w:bidi w:val="0"/>
        <w:adjustRightInd w:val="0"/>
        <w:snapToGrid w:val="0"/>
        <w:spacing w:after="0"/>
        <w:jc w:val="center"/>
        <w:textAlignment w:val="auto"/>
        <w:outlineLvl w:val="1"/>
        <w:rPr>
          <w:rFonts w:hint="eastAsia" w:eastAsia="宋体" w:cs="Times New Roman"/>
          <w:b/>
          <w:color w:val="auto"/>
          <w:sz w:val="40"/>
          <w:szCs w:val="36"/>
          <w:highlight w:val="none"/>
        </w:rPr>
      </w:pPr>
      <w:bookmarkStart w:id="276" w:name="_Toc20288"/>
      <w:r>
        <w:rPr>
          <w:rFonts w:hint="eastAsia" w:eastAsia="宋体" w:cs="Times New Roman"/>
          <w:b/>
          <w:color w:val="auto"/>
          <w:sz w:val="40"/>
          <w:szCs w:val="36"/>
          <w:highlight w:val="none"/>
        </w:rPr>
        <w:t>合　同　书</w:t>
      </w:r>
      <w:bookmarkEnd w:id="276"/>
    </w:p>
    <w:p>
      <w:pPr>
        <w:jc w:val="center"/>
        <w:rPr>
          <w:rFonts w:hint="eastAsia" w:ascii="宋体" w:hAnsi="宋体" w:eastAsia="宋体" w:cs="宋体"/>
          <w:color w:val="auto"/>
          <w:highlight w:val="none"/>
        </w:rPr>
      </w:pP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r>
        <w:rPr>
          <w:rFonts w:hint="eastAsia" w:ascii="宋体" w:hAnsi="宋体" w:eastAsia="宋体" w:cs="宋体"/>
          <w:color w:val="auto"/>
          <w:highlight w:val="none"/>
        </w:rPr>
        <w:br w:type="textWrapping"/>
      </w: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p>
    <w:p>
      <w:pPr>
        <w:jc w:val="center"/>
        <w:rPr>
          <w:rFonts w:hint="eastAsia" w:ascii="宋体" w:hAnsi="宋体" w:eastAsia="宋体" w:cs="宋体"/>
          <w:color w:val="auto"/>
          <w:highlight w:val="none"/>
        </w:rPr>
      </w:pPr>
      <w:r>
        <w:rPr>
          <w:rFonts w:hint="eastAsia" w:ascii="宋体" w:hAnsi="宋体" w:eastAsia="宋体" w:cs="宋体"/>
          <w:color w:val="auto"/>
          <w:highlight w:val="none"/>
        </w:rPr>
        <w:br w:type="textWrapping"/>
      </w:r>
      <w:r>
        <w:rPr>
          <w:rFonts w:hint="eastAsia" w:ascii="宋体" w:hAnsi="宋体" w:eastAsia="宋体" w:cs="宋体"/>
          <w:color w:val="auto"/>
          <w:sz w:val="27"/>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sz w:val="28"/>
          <w:highlight w:val="none"/>
        </w:rPr>
        <w:t>采购计划编号：</w:t>
      </w:r>
      <w:r>
        <w:rPr>
          <w:rFonts w:hint="eastAsia" w:ascii="宋体" w:hAnsi="宋体" w:eastAsia="宋体" w:cs="宋体"/>
          <w:color w:val="auto"/>
          <w:highlight w:val="none"/>
          <w:u w:val="single"/>
        </w:rPr>
        <w:t xml:space="preserve">                          </w:t>
      </w: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sz w:val="28"/>
          <w:highlight w:val="none"/>
        </w:rPr>
        <w:t>项目编号：</w:t>
      </w:r>
      <w:r>
        <w:rPr>
          <w:rFonts w:hint="eastAsia" w:ascii="宋体" w:hAnsi="宋体" w:eastAsia="宋体" w:cs="宋体"/>
          <w:color w:val="auto"/>
          <w:highlight w:val="none"/>
          <w:u w:val="single"/>
        </w:rPr>
        <w:t xml:space="preserve">                               </w:t>
      </w:r>
    </w:p>
    <w:p>
      <w:pPr>
        <w:rPr>
          <w:rFonts w:hint="eastAsia" w:ascii="宋体" w:hAnsi="宋体" w:eastAsia="宋体" w:cs="宋体"/>
          <w:color w:val="auto"/>
          <w:highlight w:val="none"/>
        </w:rPr>
      </w:pPr>
      <w:r>
        <w:rPr>
          <w:rFonts w:hint="eastAsia" w:ascii="宋体" w:hAnsi="宋体" w:eastAsia="宋体" w:cs="宋体"/>
          <w:color w:val="auto"/>
          <w:sz w:val="27"/>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highlight w:val="none"/>
          <w:u w:val="singl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jc w:val="center"/>
        <w:rPr>
          <w:rFonts w:hint="eastAsia" w:ascii="宋体" w:hAnsi="宋体" w:eastAsia="宋体" w:cs="宋体"/>
          <w:color w:val="auto"/>
          <w:highlight w:val="none"/>
        </w:rPr>
      </w:pPr>
      <w:r>
        <w:rPr>
          <w:rFonts w:hint="eastAsia" w:ascii="宋体" w:hAnsi="宋体" w:eastAsia="宋体" w:cs="宋体"/>
          <w:color w:val="auto"/>
          <w:sz w:val="36"/>
          <w:highlight w:val="none"/>
        </w:rPr>
        <w:t xml:space="preserve"> </w:t>
      </w:r>
    </w:p>
    <w:p>
      <w:pPr>
        <w:rPr>
          <w:b/>
          <w:color w:val="auto"/>
          <w:sz w:val="36"/>
          <w:highlight w:val="none"/>
        </w:rPr>
      </w:pPr>
      <w:r>
        <w:rPr>
          <w:b/>
          <w:color w:val="auto"/>
          <w:sz w:val="36"/>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eastAsia="宋体" w:cs="宋体"/>
          <w:color w:val="auto"/>
          <w:kern w:val="2"/>
          <w:sz w:val="21"/>
          <w:szCs w:val="24"/>
          <w:highlight w:val="none"/>
          <w:lang w:val="en-US" w:bidi="ar-SA"/>
        </w:rPr>
        <w:t>甲方</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u w:val="single"/>
          <w:lang w:val="en-US" w:eastAsia="zh-CN" w:bidi="ar-SA"/>
        </w:rPr>
      </w:pPr>
      <w:r>
        <w:rPr>
          <w:rFonts w:hint="eastAsia" w:ascii="宋体" w:hAnsi="宋体" w:eastAsia="宋体" w:cs="宋体"/>
          <w:color w:val="auto"/>
          <w:kern w:val="2"/>
          <w:sz w:val="21"/>
          <w:szCs w:val="24"/>
          <w:highlight w:val="none"/>
          <w:lang w:val="en-US" w:bidi="ar-SA"/>
        </w:rPr>
        <w:t>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传真</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地址</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乙方</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Calibri" w:hAnsi="Calibri" w:eastAsia="宋体" w:cs="Times New Roman"/>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传真</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地址</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Calibri" w:hAnsi="Calibri" w:eastAsia="宋体" w:cs="Times New Roman"/>
          <w:color w:val="auto"/>
          <w:kern w:val="2"/>
          <w:sz w:val="21"/>
          <w:szCs w:val="24"/>
          <w:highlight w:val="none"/>
          <w:lang w:val="en-US" w:eastAsia="zh-CN" w:bidi="ar-SA"/>
        </w:rPr>
        <w:t>根据</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的采购结果，按照</w:t>
      </w:r>
      <w:r>
        <w:rPr>
          <w:rFonts w:hint="eastAsia" w:ascii="Calibri" w:hAnsi="Calibri" w:eastAsia="宋体" w:cs="Times New Roman"/>
          <w:color w:val="auto"/>
          <w:kern w:val="2"/>
          <w:sz w:val="21"/>
          <w:szCs w:val="24"/>
          <w:highlight w:val="none"/>
          <w:lang w:val="en-US" w:eastAsia="zh-CN" w:bidi="ar-SA"/>
        </w:rPr>
        <w:t>《中</w:t>
      </w:r>
      <w:r>
        <w:rPr>
          <w:rFonts w:hint="eastAsia" w:ascii="Calibri" w:hAnsi="Calibri" w:eastAsia="宋体" w:cs="Times New Roman"/>
          <w:color w:val="auto"/>
          <w:kern w:val="2"/>
          <w:sz w:val="21"/>
          <w:szCs w:val="24"/>
          <w:highlight w:val="none"/>
          <w:lang w:val="en-US" w:bidi="ar-SA"/>
        </w:rPr>
        <w:t>华人民共和国政府采购法》</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《中华人民共和国民法典</w:t>
      </w:r>
      <w:r>
        <w:rPr>
          <w:rFonts w:hint="eastAsia" w:ascii="Calibri" w:hAnsi="Calibri" w:eastAsia="宋体" w:cs="Times New Roman"/>
          <w:color w:val="auto"/>
          <w:kern w:val="2"/>
          <w:sz w:val="21"/>
          <w:szCs w:val="24"/>
          <w:highlight w:val="none"/>
          <w:lang w:val="en-US" w:eastAsia="zh-CN" w:bidi="ar-SA"/>
        </w:rPr>
        <w:t>（合同编）</w:t>
      </w:r>
      <w:r>
        <w:rPr>
          <w:rFonts w:hint="eastAsia" w:ascii="Calibri" w:hAnsi="Calibri" w:eastAsia="宋体" w:cs="Times New Roman"/>
          <w:color w:val="auto"/>
          <w:kern w:val="2"/>
          <w:sz w:val="21"/>
          <w:szCs w:val="24"/>
          <w:highlight w:val="none"/>
          <w:lang w:val="en-US" w:bidi="ar-SA"/>
        </w:rPr>
        <w:t>》的规定，经双方协商，本着平等互利和诚实信用的原则，一致同意遵守本合</w:t>
      </w:r>
      <w:r>
        <w:rPr>
          <w:rFonts w:hint="eastAsia" w:ascii="Calibri" w:hAnsi="Calibri" w:eastAsia="宋体" w:cs="Times New Roman"/>
          <w:color w:val="auto"/>
          <w:kern w:val="2"/>
          <w:sz w:val="21"/>
          <w:szCs w:val="24"/>
          <w:highlight w:val="none"/>
          <w:lang w:val="en-US" w:eastAsia="zh-CN" w:bidi="ar-SA"/>
        </w:rPr>
        <w:t>同</w:t>
      </w:r>
      <w:r>
        <w:rPr>
          <w:rFonts w:hint="eastAsia" w:ascii="Calibri" w:hAnsi="Calibri" w:eastAsia="宋体" w:cs="Times New Roman"/>
          <w:color w:val="auto"/>
          <w:kern w:val="2"/>
          <w:sz w:val="21"/>
          <w:szCs w:val="24"/>
          <w:highlight w:val="none"/>
          <w:lang w:val="en-US" w:bidi="ar-SA"/>
        </w:rPr>
        <w:t>如下。</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bidi="ar-SA"/>
        </w:rPr>
      </w:pPr>
      <w:bookmarkStart w:id="277" w:name="_Toc25159"/>
      <w:r>
        <w:rPr>
          <w:rFonts w:hint="eastAsia" w:ascii="Calibri" w:hAnsi="Calibri" w:eastAsia="宋体" w:cs="Times New Roman"/>
          <w:b/>
          <w:bCs/>
          <w:color w:val="auto"/>
          <w:kern w:val="2"/>
          <w:sz w:val="21"/>
          <w:szCs w:val="24"/>
          <w:highlight w:val="none"/>
          <w:lang w:val="en-US" w:bidi="ar-SA"/>
        </w:rPr>
        <w:t>一</w:t>
      </w:r>
      <w:r>
        <w:rPr>
          <w:rFonts w:hint="eastAsia" w:ascii="Calibri" w:hAnsi="Calibri" w:eastAsia="宋体" w:cs="Times New Roman"/>
          <w:b/>
          <w:bCs/>
          <w:color w:val="auto"/>
          <w:kern w:val="2"/>
          <w:sz w:val="21"/>
          <w:szCs w:val="24"/>
          <w:highlight w:val="none"/>
          <w:lang w:val="en-US" w:eastAsia="zh-CN" w:bidi="ar-SA"/>
        </w:rPr>
        <w:t>、</w:t>
      </w:r>
      <w:r>
        <w:rPr>
          <w:rFonts w:hint="eastAsia" w:ascii="Calibri" w:hAnsi="Calibri" w:eastAsia="宋体" w:cs="Times New Roman"/>
          <w:b/>
          <w:bCs/>
          <w:color w:val="auto"/>
          <w:kern w:val="2"/>
          <w:sz w:val="21"/>
          <w:szCs w:val="24"/>
          <w:highlight w:val="none"/>
          <w:lang w:val="en-US" w:bidi="ar-SA"/>
        </w:rPr>
        <w:t>合</w:t>
      </w:r>
      <w:r>
        <w:rPr>
          <w:rFonts w:hint="eastAsia" w:ascii="Calibri" w:hAnsi="Calibri" w:eastAsia="宋体" w:cs="Times New Roman"/>
          <w:b/>
          <w:bCs/>
          <w:color w:val="auto"/>
          <w:kern w:val="2"/>
          <w:sz w:val="21"/>
          <w:szCs w:val="24"/>
          <w:highlight w:val="none"/>
          <w:lang w:val="en-US" w:eastAsia="zh-CN" w:bidi="ar-SA"/>
        </w:rPr>
        <w:t>同</w:t>
      </w:r>
      <w:r>
        <w:rPr>
          <w:rFonts w:hint="eastAsia" w:ascii="Calibri" w:hAnsi="Calibri" w:eastAsia="宋体" w:cs="Times New Roman"/>
          <w:b/>
          <w:bCs/>
          <w:color w:val="auto"/>
          <w:kern w:val="2"/>
          <w:sz w:val="21"/>
          <w:szCs w:val="24"/>
          <w:highlight w:val="none"/>
          <w:lang w:val="en-US" w:bidi="ar-SA"/>
        </w:rPr>
        <w:t>金额</w:t>
      </w:r>
      <w:bookmarkEnd w:id="277"/>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Calibri" w:hAnsi="Calibri" w:eastAsia="宋体" w:cs="Times New Roman"/>
          <w:color w:val="auto"/>
          <w:kern w:val="2"/>
          <w:sz w:val="21"/>
          <w:szCs w:val="24"/>
          <w:highlight w:val="none"/>
          <w:lang w:val="en-US" w:bidi="ar-SA"/>
        </w:rPr>
        <w:t>合同金额为</w:t>
      </w:r>
      <w:r>
        <w:rPr>
          <w:rFonts w:hint="eastAsia" w:ascii="Calibri" w:hAnsi="Calibri" w:eastAsia="宋体" w:cs="Times New Roman"/>
          <w:color w:val="auto"/>
          <w:kern w:val="2"/>
          <w:sz w:val="21"/>
          <w:szCs w:val="24"/>
          <w:highlight w:val="none"/>
          <w:lang w:val="en-US" w:eastAsia="zh-CN" w:bidi="ar-SA"/>
        </w:rPr>
        <w:t>（大写）：</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元</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w:t>
      </w:r>
      <w:r>
        <w:rPr>
          <w:rFonts w:hint="eastAsia" w:ascii="Calibri" w:hAnsi="Calibri" w:eastAsia="宋体" w:cs="Times New Roman"/>
          <w:color w:val="auto"/>
          <w:kern w:val="2"/>
          <w:sz w:val="21"/>
          <w:szCs w:val="24"/>
          <w:highlight w:val="none"/>
          <w:u w:val="single"/>
          <w:lang w:val="en-US" w:eastAsia="zh-CN" w:bidi="ar-SA"/>
        </w:rPr>
        <w:t xml:space="preserve">     </w:t>
      </w:r>
      <w:r>
        <w:rPr>
          <w:rFonts w:hint="eastAsia" w:ascii="Calibri" w:hAnsi="Calibri" w:eastAsia="宋体" w:cs="Times New Roman"/>
          <w:color w:val="auto"/>
          <w:kern w:val="2"/>
          <w:sz w:val="21"/>
          <w:szCs w:val="24"/>
          <w:highlight w:val="none"/>
          <w:lang w:val="en-US" w:bidi="ar-SA"/>
        </w:rPr>
        <w:t>元</w:t>
      </w:r>
      <w:r>
        <w:rPr>
          <w:rFonts w:hint="eastAsia" w:ascii="Calibri" w:hAnsi="Calibri" w:eastAsia="宋体" w:cs="Times New Roman"/>
          <w:color w:val="auto"/>
          <w:kern w:val="2"/>
          <w:sz w:val="21"/>
          <w:szCs w:val="24"/>
          <w:highlight w:val="none"/>
          <w:lang w:val="en-US" w:eastAsia="zh-CN" w:bidi="ar-SA"/>
        </w:rPr>
        <w:t>）</w:t>
      </w:r>
      <w:r>
        <w:rPr>
          <w:rFonts w:hint="eastAsia" w:ascii="Calibri" w:hAnsi="Calibri" w:eastAsia="宋体" w:cs="Times New Roman"/>
          <w:color w:val="auto"/>
          <w:kern w:val="2"/>
          <w:sz w:val="21"/>
          <w:szCs w:val="24"/>
          <w:highlight w:val="none"/>
          <w:lang w:val="en-US" w:bidi="ar-SA"/>
        </w:rPr>
        <w:t>人民币。</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eastAsia="zh-CN" w:bidi="ar-SA"/>
        </w:rPr>
      </w:pPr>
      <w:bookmarkStart w:id="278" w:name="_Toc27520"/>
      <w:r>
        <w:rPr>
          <w:rFonts w:hint="eastAsia" w:ascii="Calibri" w:hAnsi="Calibri" w:eastAsia="宋体" w:cs="Times New Roman"/>
          <w:b/>
          <w:bCs/>
          <w:color w:val="auto"/>
          <w:kern w:val="2"/>
          <w:sz w:val="21"/>
          <w:szCs w:val="24"/>
          <w:highlight w:val="none"/>
          <w:lang w:val="en-US" w:bidi="ar-SA"/>
        </w:rPr>
        <w:t>二</w:t>
      </w:r>
      <w:r>
        <w:rPr>
          <w:rFonts w:hint="eastAsia" w:ascii="Calibri" w:hAnsi="Calibri" w:eastAsia="宋体" w:cs="Times New Roman"/>
          <w:b/>
          <w:bCs/>
          <w:color w:val="auto"/>
          <w:kern w:val="2"/>
          <w:sz w:val="21"/>
          <w:szCs w:val="24"/>
          <w:highlight w:val="none"/>
          <w:lang w:val="en-US" w:eastAsia="zh-CN" w:bidi="ar-SA"/>
        </w:rPr>
        <w:t>、</w:t>
      </w:r>
      <w:r>
        <w:rPr>
          <w:rFonts w:hint="eastAsia" w:ascii="Calibri" w:hAnsi="Calibri" w:eastAsia="宋体" w:cs="Times New Roman"/>
          <w:b/>
          <w:bCs/>
          <w:color w:val="auto"/>
          <w:kern w:val="2"/>
          <w:sz w:val="21"/>
          <w:szCs w:val="24"/>
          <w:highlight w:val="none"/>
          <w:lang w:val="en-US" w:bidi="ar-SA"/>
        </w:rPr>
        <w:t>服务</w:t>
      </w:r>
      <w:r>
        <w:rPr>
          <w:rFonts w:hint="eastAsia" w:ascii="Calibri" w:hAnsi="Calibri" w:eastAsia="宋体" w:cs="Times New Roman"/>
          <w:b/>
          <w:bCs/>
          <w:color w:val="auto"/>
          <w:kern w:val="2"/>
          <w:sz w:val="21"/>
          <w:szCs w:val="24"/>
          <w:highlight w:val="none"/>
          <w:lang w:val="en-US" w:eastAsia="zh-CN" w:bidi="ar-SA"/>
        </w:rPr>
        <w:t>范围及要求</w:t>
      </w:r>
      <w:bookmarkEnd w:id="278"/>
    </w:p>
    <w:p>
      <w:pPr>
        <w:spacing w:after="0"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具体详见招标文件需求部分。</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Calibri" w:hAnsi="Calibri" w:eastAsia="宋体" w:cs="Times New Roman"/>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Calibri" w:hAnsi="Calibri" w:eastAsia="宋体" w:cs="Times New Roman"/>
          <w:b/>
          <w:bCs/>
          <w:color w:val="auto"/>
          <w:kern w:val="2"/>
          <w:sz w:val="21"/>
          <w:szCs w:val="24"/>
          <w:highlight w:val="none"/>
          <w:lang w:val="en-US" w:eastAsia="zh-CN" w:bidi="ar-SA"/>
        </w:rPr>
      </w:pPr>
      <w:bookmarkStart w:id="279" w:name="_Toc26008"/>
      <w:r>
        <w:rPr>
          <w:rFonts w:hint="eastAsia" w:ascii="Calibri" w:hAnsi="Calibri" w:eastAsia="宋体" w:cs="Times New Roman"/>
          <w:b/>
          <w:bCs/>
          <w:color w:val="auto"/>
          <w:kern w:val="2"/>
          <w:sz w:val="21"/>
          <w:szCs w:val="24"/>
          <w:highlight w:val="none"/>
          <w:lang w:val="en-US" w:bidi="ar-SA"/>
        </w:rPr>
        <w:t>三、甲</w:t>
      </w:r>
      <w:r>
        <w:rPr>
          <w:rFonts w:hint="eastAsia" w:ascii="Calibri" w:hAnsi="Calibri" w:eastAsia="宋体" w:cs="Times New Roman"/>
          <w:b/>
          <w:bCs/>
          <w:color w:val="auto"/>
          <w:kern w:val="2"/>
          <w:sz w:val="21"/>
          <w:szCs w:val="24"/>
          <w:highlight w:val="none"/>
          <w:lang w:val="en-US" w:eastAsia="zh-CN" w:bidi="ar-SA"/>
        </w:rPr>
        <w:t>方</w:t>
      </w:r>
      <w:r>
        <w:rPr>
          <w:rFonts w:hint="eastAsia" w:ascii="Calibri" w:hAnsi="Calibri" w:eastAsia="宋体" w:cs="Times New Roman"/>
          <w:b/>
          <w:bCs/>
          <w:color w:val="auto"/>
          <w:kern w:val="2"/>
          <w:sz w:val="21"/>
          <w:szCs w:val="24"/>
          <w:highlight w:val="none"/>
          <w:lang w:val="en-US" w:bidi="ar-SA"/>
        </w:rPr>
        <w:t>乙方的权利和</w:t>
      </w:r>
      <w:r>
        <w:rPr>
          <w:rFonts w:hint="eastAsia" w:ascii="Calibri" w:hAnsi="Calibri" w:eastAsia="宋体" w:cs="Times New Roman"/>
          <w:b/>
          <w:bCs/>
          <w:color w:val="auto"/>
          <w:kern w:val="2"/>
          <w:sz w:val="21"/>
          <w:szCs w:val="24"/>
          <w:highlight w:val="none"/>
          <w:lang w:val="en-US" w:eastAsia="zh-CN" w:bidi="ar-SA"/>
        </w:rPr>
        <w:t>义务</w:t>
      </w:r>
      <w:bookmarkEnd w:id="279"/>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eastAsia="zh-CN" w:bidi="ar-SA"/>
        </w:rPr>
      </w:pPr>
      <w:bookmarkStart w:id="280" w:name="_Toc24571"/>
      <w:r>
        <w:rPr>
          <w:rFonts w:hint="eastAsia" w:ascii="宋体" w:hAnsi="宋体" w:eastAsia="宋体" w:cs="宋体"/>
          <w:color w:val="auto"/>
          <w:kern w:val="2"/>
          <w:sz w:val="21"/>
          <w:szCs w:val="24"/>
          <w:highlight w:val="none"/>
          <w:lang w:val="en-US" w:eastAsia="zh-CN" w:bidi="ar-SA"/>
        </w:rPr>
        <w:t>1.</w:t>
      </w:r>
      <w:r>
        <w:rPr>
          <w:rFonts w:hint="eastAsia" w:ascii="宋体" w:hAnsi="宋体" w:eastAsia="宋体" w:cs="宋体"/>
          <w:color w:val="auto"/>
          <w:kern w:val="2"/>
          <w:sz w:val="21"/>
          <w:szCs w:val="24"/>
          <w:highlight w:val="none"/>
          <w:lang w:val="en-US" w:bidi="ar-SA"/>
        </w:rPr>
        <w:t>甲方</w:t>
      </w:r>
      <w:r>
        <w:rPr>
          <w:rFonts w:hint="eastAsia" w:ascii="宋体" w:hAnsi="宋体" w:eastAsia="宋体" w:cs="宋体"/>
          <w:color w:val="auto"/>
          <w:kern w:val="2"/>
          <w:sz w:val="21"/>
          <w:szCs w:val="24"/>
          <w:highlight w:val="none"/>
          <w:lang w:val="en-US" w:eastAsia="zh-CN" w:bidi="ar-SA"/>
        </w:rPr>
        <w:t>的</w:t>
      </w:r>
      <w:r>
        <w:rPr>
          <w:rFonts w:hint="eastAsia" w:ascii="宋体" w:hAnsi="宋体" w:eastAsia="宋体" w:cs="宋体"/>
          <w:color w:val="auto"/>
          <w:kern w:val="2"/>
          <w:sz w:val="21"/>
          <w:szCs w:val="24"/>
          <w:highlight w:val="none"/>
          <w:lang w:val="en-US" w:bidi="ar-SA"/>
        </w:rPr>
        <w:t>权利和</w:t>
      </w:r>
      <w:r>
        <w:rPr>
          <w:rFonts w:hint="eastAsia" w:ascii="宋体" w:hAnsi="宋体" w:eastAsia="宋体" w:cs="宋体"/>
          <w:color w:val="auto"/>
          <w:kern w:val="2"/>
          <w:sz w:val="21"/>
          <w:szCs w:val="24"/>
          <w:highlight w:val="none"/>
          <w:lang w:val="en-US" w:eastAsia="zh-CN" w:bidi="ar-SA"/>
        </w:rPr>
        <w:t>义务：</w:t>
      </w:r>
      <w:bookmarkEnd w:id="280"/>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①</w:t>
      </w:r>
      <w:r>
        <w:rPr>
          <w:rFonts w:hint="eastAsia" w:ascii="宋体" w:hAnsi="宋体" w:eastAsia="宋体" w:cs="宋体"/>
          <w:color w:val="auto"/>
          <w:kern w:val="2"/>
          <w:sz w:val="21"/>
          <w:szCs w:val="24"/>
          <w:highlight w:val="none"/>
          <w:lang w:val="en-US" w:eastAsia="zh-CN" w:bidi="ar-SA"/>
        </w:rPr>
        <w:t>甲方应协助乙方开展此项目的相关工作，并提供相关资料。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eastAsia="zh-CN" w:bidi="ar-SA"/>
        </w:rPr>
        <w:t>②</w:t>
      </w:r>
      <w:r>
        <w:rPr>
          <w:rFonts w:hint="eastAsia" w:ascii="宋体" w:hAnsi="宋体" w:eastAsia="宋体" w:cs="宋体"/>
          <w:color w:val="auto"/>
          <w:kern w:val="2"/>
          <w:sz w:val="21"/>
          <w:szCs w:val="24"/>
          <w:highlight w:val="none"/>
          <w:lang w:val="en-US" w:bidi="ar-SA"/>
        </w:rPr>
        <w:t>甲方应按本合同有关规定及时支付相关费用。</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③甲方有权根据工作需要，提出本合同范围以外的工作内容，乙方应予以执行，所发生费用，经双方协商另行签署补充协议。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eastAsia="zh-CN" w:bidi="ar-SA"/>
        </w:rPr>
      </w:pPr>
      <w:bookmarkStart w:id="281" w:name="_Toc30976"/>
      <w:r>
        <w:rPr>
          <w:rFonts w:hint="eastAsia" w:ascii="宋体" w:hAnsi="宋体" w:eastAsia="宋体" w:cs="宋体"/>
          <w:color w:val="auto"/>
          <w:kern w:val="2"/>
          <w:sz w:val="21"/>
          <w:szCs w:val="24"/>
          <w:highlight w:val="none"/>
          <w:lang w:val="en-US" w:bidi="ar-SA"/>
        </w:rPr>
        <w:t>2.乙方</w:t>
      </w:r>
      <w:r>
        <w:rPr>
          <w:rFonts w:hint="eastAsia" w:ascii="宋体" w:hAnsi="宋体" w:eastAsia="宋体" w:cs="宋体"/>
          <w:color w:val="auto"/>
          <w:kern w:val="2"/>
          <w:sz w:val="21"/>
          <w:szCs w:val="24"/>
          <w:highlight w:val="none"/>
          <w:lang w:val="en-US" w:eastAsia="zh-CN" w:bidi="ar-SA"/>
        </w:rPr>
        <w:t>的</w:t>
      </w:r>
      <w:r>
        <w:rPr>
          <w:rFonts w:hint="eastAsia" w:ascii="宋体" w:hAnsi="宋体" w:eastAsia="宋体" w:cs="宋体"/>
          <w:color w:val="auto"/>
          <w:kern w:val="2"/>
          <w:sz w:val="21"/>
          <w:szCs w:val="24"/>
          <w:highlight w:val="none"/>
          <w:lang w:val="en-US" w:bidi="ar-SA"/>
        </w:rPr>
        <w:t>权利和</w:t>
      </w:r>
      <w:r>
        <w:rPr>
          <w:rFonts w:hint="eastAsia" w:ascii="宋体" w:hAnsi="宋体" w:eastAsia="宋体" w:cs="宋体"/>
          <w:color w:val="auto"/>
          <w:kern w:val="2"/>
          <w:sz w:val="21"/>
          <w:szCs w:val="24"/>
          <w:highlight w:val="none"/>
          <w:lang w:val="en-US" w:eastAsia="zh-CN" w:bidi="ar-SA"/>
        </w:rPr>
        <w:t>义务：</w:t>
      </w:r>
      <w:bookmarkEnd w:id="281"/>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①乙方必须根据采购文件及有关的技术要求、国家现行有关设计标准、技术规范、规程、甲方要求完成合同约定范围内的全部任务，并按规定向甲方交付成果，确保质量与进度。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②乙方应按时召开内部沟通会议，跟进项目进度，并及时向甲方汇报项目进展情况，及时参加甲方召开的项目会议。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③乙方应服务质量，因乙方自身原因出现错误或遗漏或甲方不满意之处，必须按甲方意见进行修改完善。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eastAsia="zh-CN" w:bidi="ar-SA"/>
        </w:rPr>
      </w:pPr>
      <w:r>
        <w:rPr>
          <w:rFonts w:hint="eastAsia" w:ascii="Calibri" w:hAnsi="Calibri" w:eastAsia="宋体" w:cs="Times New Roman"/>
          <w:color w:val="auto"/>
          <w:kern w:val="2"/>
          <w:sz w:val="21"/>
          <w:szCs w:val="24"/>
          <w:highlight w:val="none"/>
          <w:lang w:val="en-US" w:eastAsia="zh-CN" w:bidi="ar-SA"/>
        </w:rPr>
        <w:t>④如甲方提出本合同范围以外的工作内容，乙方在甲方规定的合理时间内应予以执行，但双方就增补协议问题应尽快落实，如遇增补协议未落实，乙方有权暂停超出范围的工作配合且不承担任何责任。</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eastAsia="zh-CN" w:bidi="ar-SA"/>
        </w:rPr>
      </w:pPr>
      <w:bookmarkStart w:id="282" w:name="_Toc3795"/>
      <w:r>
        <w:rPr>
          <w:rFonts w:hint="eastAsia" w:ascii="宋体" w:hAnsi="宋体" w:eastAsia="宋体" w:cs="宋体"/>
          <w:b/>
          <w:bCs/>
          <w:color w:val="auto"/>
          <w:kern w:val="2"/>
          <w:sz w:val="21"/>
          <w:szCs w:val="24"/>
          <w:highlight w:val="none"/>
          <w:lang w:val="en-US" w:bidi="ar-SA"/>
        </w:rPr>
        <w:t>四、服务期间</w:t>
      </w:r>
      <w:bookmarkEnd w:id="282"/>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lang w:val="zh-CN" w:eastAsia="zh-CN" w:bidi="zh-CN"/>
        </w:rPr>
        <w:t>合同签订之日起30天内完成河涌治理提升建设；运营维护期自完成河涌治理提升建设后一年，运营维护期满后，</w:t>
      </w:r>
      <w:r>
        <w:rPr>
          <w:rFonts w:hint="eastAsia" w:ascii="宋体" w:hAnsi="宋体" w:cs="宋体"/>
          <w:color w:val="auto"/>
          <w:sz w:val="21"/>
          <w:szCs w:val="21"/>
          <w:highlight w:val="none"/>
          <w:lang w:val="en-US" w:eastAsia="zh-CN" w:bidi="zh-CN"/>
        </w:rPr>
        <w:t>乙方</w:t>
      </w:r>
      <w:r>
        <w:rPr>
          <w:rFonts w:hint="eastAsia" w:ascii="宋体" w:hAnsi="宋体" w:eastAsia="宋体" w:cs="宋体"/>
          <w:color w:val="auto"/>
          <w:sz w:val="21"/>
          <w:szCs w:val="21"/>
          <w:highlight w:val="none"/>
          <w:lang w:val="zh-CN" w:eastAsia="zh-CN" w:bidi="zh-CN"/>
        </w:rPr>
        <w:t>须无偿移交本项目所有的水质提升设施给</w:t>
      </w:r>
      <w:r>
        <w:rPr>
          <w:rFonts w:hint="eastAsia" w:ascii="宋体" w:hAnsi="宋体" w:cs="宋体"/>
          <w:color w:val="auto"/>
          <w:sz w:val="21"/>
          <w:szCs w:val="21"/>
          <w:highlight w:val="none"/>
          <w:lang w:val="en-US" w:eastAsia="zh-CN" w:bidi="zh-CN"/>
        </w:rPr>
        <w:t>甲方</w:t>
      </w:r>
      <w:r>
        <w:rPr>
          <w:rFonts w:hint="eastAsia" w:ascii="宋体" w:hAnsi="宋体" w:eastAsia="宋体" w:cs="宋体"/>
          <w:color w:val="auto"/>
          <w:sz w:val="21"/>
          <w:szCs w:val="21"/>
          <w:highlight w:val="none"/>
          <w:lang w:val="zh-CN" w:eastAsia="zh-CN" w:bidi="zh-CN"/>
        </w:rPr>
        <w:t>。</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83" w:name="_Toc32357"/>
      <w:r>
        <w:rPr>
          <w:rFonts w:hint="eastAsia" w:ascii="宋体" w:hAnsi="宋体" w:eastAsia="宋体" w:cs="宋体"/>
          <w:b/>
          <w:bCs/>
          <w:color w:val="auto"/>
          <w:kern w:val="2"/>
          <w:sz w:val="21"/>
          <w:szCs w:val="24"/>
          <w:highlight w:val="none"/>
          <w:lang w:val="en-US" w:bidi="ar-SA"/>
        </w:rPr>
        <w:t>五</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付款方式</w:t>
      </w:r>
      <w:bookmarkEnd w:id="283"/>
    </w:p>
    <w:p>
      <w:pPr>
        <w:pStyle w:val="69"/>
        <w:keepNext w:val="0"/>
        <w:keepLines w:val="0"/>
        <w:pageBreakBefore w:val="0"/>
        <w:widowControl/>
        <w:kinsoku/>
        <w:wordWrap/>
        <w:overflowPunct/>
        <w:topLinePunct w:val="0"/>
        <w:autoSpaceDE w:val="0"/>
        <w:autoSpaceDN w:val="0"/>
        <w:bidi w:val="0"/>
        <w:adjustRightInd/>
        <w:snapToGrid/>
        <w:spacing w:before="0" w:after="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1.按月支付，直到项目服务期结束。并根据服务范围水质监测效果进行扣减。</w:t>
      </w:r>
    </w:p>
    <w:p>
      <w:pPr>
        <w:pStyle w:val="69"/>
        <w:keepNext w:val="0"/>
        <w:keepLines w:val="0"/>
        <w:pageBreakBefore w:val="0"/>
        <w:widowControl/>
        <w:kinsoku/>
        <w:wordWrap/>
        <w:overflowPunct/>
        <w:topLinePunct w:val="0"/>
        <w:autoSpaceDE w:val="0"/>
        <w:autoSpaceDN w:val="0"/>
        <w:bidi w:val="0"/>
        <w:adjustRightInd/>
        <w:snapToGrid/>
        <w:spacing w:before="0" w:after="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2.如水质满足指标（透明度＞25cm，溶解氧＞2mg/L，氧化还原电位＞50mV，氨氮＜5mg/L），则支付当月该河涌所有运维费用；如未达以上指标但满足消除黑臭指标（透明度＞25cm，溶解氧＞2mg/L，氧化还原电位＞50mV，氨氮＜8mg/L），则支付当月该河涌运维费用80%；如未能达到消除黑臭目标的，则不予支付当月该河涌运维费用。</w:t>
      </w:r>
    </w:p>
    <w:p>
      <w:pPr>
        <w:pStyle w:val="69"/>
        <w:keepNext w:val="0"/>
        <w:keepLines w:val="0"/>
        <w:pageBreakBefore w:val="0"/>
        <w:widowControl/>
        <w:kinsoku/>
        <w:wordWrap/>
        <w:overflowPunct/>
        <w:topLinePunct w:val="0"/>
        <w:autoSpaceDE w:val="0"/>
        <w:autoSpaceDN w:val="0"/>
        <w:bidi w:val="0"/>
        <w:adjustRightInd/>
        <w:snapToGrid/>
        <w:spacing w:before="0" w:after="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3、市委托第三方抽检：如当月河涌水质达不到市水环境生态达标考核标准，则扣减当月服务费20%。</w:t>
      </w:r>
    </w:p>
    <w:p>
      <w:pPr>
        <w:pStyle w:val="69"/>
        <w:keepNext w:val="0"/>
        <w:keepLines w:val="0"/>
        <w:pageBreakBefore w:val="0"/>
        <w:widowControl/>
        <w:kinsoku/>
        <w:wordWrap/>
        <w:overflowPunct/>
        <w:topLinePunct w:val="0"/>
        <w:autoSpaceDE w:val="0"/>
        <w:autoSpaceDN w:val="0"/>
        <w:bidi w:val="0"/>
        <w:adjustRightInd/>
        <w:snapToGrid/>
        <w:spacing w:before="0" w:after="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4、业主单位考核：业主每月对乙方考核评分，合格线为 70 分， 满分 100 分。设当月考核分值为 F，则当月考核分值 F&lt;70 时，不予支付当月服务费用； 70≤F&lt;80 时，支付当月服务费用的 70%；80≤F&lt;90 时，支付当月服务费用的 80%； 当月考核分值 F≥90 时，支付当月服务费的 100%</w:t>
      </w:r>
    </w:p>
    <w:p>
      <w:pPr>
        <w:pStyle w:val="69"/>
        <w:keepNext w:val="0"/>
        <w:keepLines w:val="0"/>
        <w:pageBreakBefore w:val="0"/>
        <w:widowControl/>
        <w:kinsoku/>
        <w:wordWrap/>
        <w:overflowPunct/>
        <w:topLinePunct w:val="0"/>
        <w:autoSpaceDE w:val="0"/>
        <w:autoSpaceDN w:val="0"/>
        <w:bidi w:val="0"/>
        <w:adjustRightInd/>
        <w:snapToGrid/>
        <w:spacing w:before="0" w:after="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5、服务费在按以上第（2）、（3）项执行时（2项考核取最严者不叠加），还应与第（4）条业主考核处罚叠加。例如，当月第三方水质抽检为达标（对应支付100%），东莞市抽检不达标（对应支付80%），业主考核为85分（对应支付80%），则当月费用实际支付费用为：M*80%*80% 减其它罚款。</w:t>
      </w:r>
    </w:p>
    <w:p>
      <w:pPr>
        <w:pStyle w:val="69"/>
        <w:keepNext w:val="0"/>
        <w:keepLines w:val="0"/>
        <w:pageBreakBefore w:val="0"/>
        <w:widowControl/>
        <w:kinsoku/>
        <w:wordWrap/>
        <w:overflowPunct/>
        <w:topLinePunct w:val="0"/>
        <w:autoSpaceDE w:val="0"/>
        <w:autoSpaceDN w:val="0"/>
        <w:bidi w:val="0"/>
        <w:adjustRightInd/>
        <w:snapToGrid/>
        <w:spacing w:before="0" w:beforeLines="30" w:after="0" w:afterLines="30" w:line="360" w:lineRule="auto"/>
        <w:ind w:left="0" w:firstLine="420" w:firstLineChars="200"/>
        <w:textAlignment w:val="auto"/>
        <w:rPr>
          <w:rFonts w:hint="eastAsia" w:cs="宋体"/>
          <w:color w:val="auto"/>
          <w:sz w:val="21"/>
          <w:szCs w:val="21"/>
          <w:highlight w:val="none"/>
          <w:lang w:val="en-US" w:eastAsia="zh-CN" w:bidi="zh-CN"/>
        </w:rPr>
      </w:pPr>
      <w:r>
        <w:rPr>
          <w:rFonts w:hint="eastAsia" w:cs="宋体"/>
          <w:color w:val="auto"/>
          <w:sz w:val="21"/>
          <w:szCs w:val="21"/>
          <w:highlight w:val="none"/>
          <w:lang w:val="en-US" w:eastAsia="zh-CN" w:bidi="zh-CN"/>
        </w:rPr>
        <w:t>注：本项目资金来源为财政性资金，相关付款程序应严格遵守财政部门资金支付程序规定。甲方规定的付款时间为向政府采购支付部门提出办理财政支付申请手续的时间（不含政府财政支付部门审核的时间），如因政策及请款手续影响，拨款未能及时到位，甲方不属违约，乙方应当继续履行合同义务。</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default" w:ascii="宋体" w:hAnsi="宋体" w:eastAsia="宋体" w:cs="宋体"/>
          <w:b/>
          <w:bCs/>
          <w:color w:val="auto"/>
          <w:kern w:val="2"/>
          <w:sz w:val="21"/>
          <w:szCs w:val="24"/>
          <w:highlight w:val="none"/>
          <w:lang w:val="en-US" w:eastAsia="zh-CN" w:bidi="ar-SA"/>
        </w:rPr>
      </w:pPr>
      <w:bookmarkStart w:id="284" w:name="_Toc24954"/>
      <w:r>
        <w:rPr>
          <w:rFonts w:hint="eastAsia" w:ascii="宋体" w:hAnsi="宋体" w:eastAsia="宋体" w:cs="宋体"/>
          <w:b/>
          <w:bCs/>
          <w:color w:val="auto"/>
          <w:kern w:val="2"/>
          <w:sz w:val="21"/>
          <w:szCs w:val="24"/>
          <w:highlight w:val="none"/>
          <w:lang w:val="en-US" w:eastAsia="zh-CN" w:bidi="ar-SA"/>
        </w:rPr>
        <w:t>六、履约保证金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乙方应在领取中标通知书之后签订合同之前递交履约保证金，履约保证金金额为合同金额的5%，履约保证金可采用保证金（银行转账、电汇）方式，或采用银行出具的履约担保函方式。履约保证金在合同期满后或产品验收合格后，乙方向甲方提交退回履约保证金的申请、履约保证金汇款凭证复印件、采购合同、采购项目验收报告原件、中标通知书复印件，前往甲方办理履约保证金退还手续。</w:t>
      </w:r>
    </w:p>
    <w:p>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kern w:val="2"/>
          <w:sz w:val="21"/>
          <w:szCs w:val="24"/>
          <w:highlight w:val="none"/>
          <w:lang w:val="en-US" w:bidi="ar-SA"/>
        </w:rPr>
        <w:t>七</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知识产权</w:t>
      </w:r>
      <w:r>
        <w:rPr>
          <w:rFonts w:hint="eastAsia" w:ascii="宋体" w:hAnsi="宋体" w:eastAsia="宋体" w:cs="宋体"/>
          <w:b/>
          <w:bCs/>
          <w:color w:val="auto"/>
          <w:kern w:val="2"/>
          <w:sz w:val="21"/>
          <w:szCs w:val="24"/>
          <w:highlight w:val="none"/>
          <w:lang w:val="en-US" w:eastAsia="zh-CN" w:bidi="ar-SA"/>
        </w:rPr>
        <w:t>归属</w:t>
      </w:r>
      <w:bookmarkEnd w:id="284"/>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1.乙方必须保证甲方在接受其所提供服务期的任何时候不受到知识产权或版权的纠纷，否则，由此产生的任何责任完全由乙方承担。</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2.本合同过程中形成的所有服务内容，包括但不限于技术成果及其知识产权归甲方所有。同时，未经甲方许可，乙方不得将甲方相关资料提供给第三方。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3.甲方委托乙方为其提供服务所产生的成果，甲方独立拥有完整的知识产权及其他权益。</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85" w:name="_Toc5132"/>
      <w:r>
        <w:rPr>
          <w:rFonts w:hint="eastAsia" w:ascii="宋体" w:hAnsi="宋体" w:eastAsia="宋体" w:cs="宋体"/>
          <w:b/>
          <w:bCs/>
          <w:color w:val="auto"/>
          <w:kern w:val="2"/>
          <w:sz w:val="21"/>
          <w:szCs w:val="24"/>
          <w:highlight w:val="none"/>
          <w:lang w:val="en-US" w:eastAsia="zh-CN" w:bidi="ar-SA"/>
        </w:rPr>
        <w:t>八、</w:t>
      </w:r>
      <w:r>
        <w:rPr>
          <w:rFonts w:hint="eastAsia" w:ascii="宋体" w:hAnsi="宋体" w:eastAsia="宋体" w:cs="宋体"/>
          <w:b/>
          <w:bCs/>
          <w:color w:val="auto"/>
          <w:kern w:val="2"/>
          <w:sz w:val="21"/>
          <w:szCs w:val="24"/>
          <w:highlight w:val="none"/>
          <w:lang w:val="en-US" w:bidi="ar-SA"/>
        </w:rPr>
        <w:t>保密</w:t>
      </w:r>
      <w:bookmarkEnd w:id="285"/>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项目实施过程中至乙方正式向甲方交付技术文档资料时止，乙方必须采取措施对本项目实施过程中的数据、源代码、技术文档等资料保密，否则，由于乙方过错导致的上述资料泄密的，乙方必须承担一切责任。项目完成后，甲、乙双方均有责任对本项目的技术保密承担责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未经乙方事先书面同意，甲方不得将由乙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除了合同本身之外，上款所列举的任何物件均是乙方的财产。如果乙方有要求，甲方在完成合同后应将这些物件及全部复制件还给乙方。</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86" w:name="_Toc21844"/>
      <w:r>
        <w:rPr>
          <w:rFonts w:hint="eastAsia" w:ascii="宋体" w:hAnsi="宋体" w:eastAsia="宋体" w:cs="宋体"/>
          <w:b/>
          <w:bCs/>
          <w:color w:val="auto"/>
          <w:kern w:val="2"/>
          <w:sz w:val="21"/>
          <w:szCs w:val="24"/>
          <w:highlight w:val="none"/>
          <w:lang w:val="en-US" w:bidi="ar-SA"/>
        </w:rPr>
        <w:t>九</w:t>
      </w:r>
      <w:r>
        <w:rPr>
          <w:rFonts w:hint="eastAsia" w:ascii="宋体" w:hAnsi="宋体" w:eastAsia="宋体" w:cs="宋体"/>
          <w:b/>
          <w:bCs/>
          <w:color w:val="auto"/>
          <w:kern w:val="2"/>
          <w:sz w:val="21"/>
          <w:szCs w:val="24"/>
          <w:highlight w:val="none"/>
          <w:lang w:val="en-US" w:eastAsia="zh-CN" w:bidi="ar-SA"/>
        </w:rPr>
        <w:t>、违约责任与赔偿损失</w:t>
      </w:r>
      <w:bookmarkEnd w:id="286"/>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1.乙方提供的服务不符合本合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规定的，甲方有权拒收，并且乙方须向甲方方支付本合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总价5%的</w:t>
      </w:r>
      <w:r>
        <w:rPr>
          <w:rFonts w:hint="eastAsia" w:ascii="宋体" w:hAnsi="宋体" w:eastAsia="宋体" w:cs="宋体"/>
          <w:color w:val="auto"/>
          <w:kern w:val="2"/>
          <w:sz w:val="21"/>
          <w:szCs w:val="24"/>
          <w:highlight w:val="none"/>
          <w:lang w:val="en-US" w:eastAsia="zh-CN" w:bidi="ar-SA"/>
        </w:rPr>
        <w:t>违约金。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2.乙方未能</w:t>
      </w:r>
      <w:r>
        <w:rPr>
          <w:rFonts w:hint="eastAsia" w:ascii="宋体" w:hAnsi="宋体" w:eastAsia="宋体" w:cs="宋体"/>
          <w:color w:val="auto"/>
          <w:kern w:val="2"/>
          <w:sz w:val="21"/>
          <w:szCs w:val="24"/>
          <w:highlight w:val="none"/>
          <w:lang w:val="en-US" w:eastAsia="zh-CN" w:bidi="ar-SA"/>
        </w:rPr>
        <w:t>按</w:t>
      </w:r>
      <w:r>
        <w:rPr>
          <w:rFonts w:hint="eastAsia" w:ascii="宋体" w:hAnsi="宋体" w:eastAsia="宋体" w:cs="宋体"/>
          <w:color w:val="auto"/>
          <w:kern w:val="2"/>
          <w:sz w:val="21"/>
          <w:szCs w:val="24"/>
          <w:highlight w:val="none"/>
          <w:lang w:val="en-US" w:bidi="ar-SA"/>
        </w:rPr>
        <w:t>本合同规定的</w:t>
      </w:r>
      <w:r>
        <w:rPr>
          <w:rFonts w:hint="eastAsia" w:ascii="宋体" w:hAnsi="宋体" w:eastAsia="宋体" w:cs="宋体"/>
          <w:color w:val="auto"/>
          <w:kern w:val="2"/>
          <w:sz w:val="21"/>
          <w:szCs w:val="24"/>
          <w:highlight w:val="none"/>
          <w:lang w:val="en-US" w:eastAsia="zh-CN" w:bidi="ar-SA"/>
        </w:rPr>
        <w:t>时间</w:t>
      </w:r>
      <w:r>
        <w:rPr>
          <w:rFonts w:hint="eastAsia" w:ascii="宋体" w:hAnsi="宋体" w:eastAsia="宋体" w:cs="宋体"/>
          <w:color w:val="auto"/>
          <w:kern w:val="2"/>
          <w:sz w:val="21"/>
          <w:szCs w:val="24"/>
          <w:highlight w:val="none"/>
          <w:lang w:val="en-US" w:bidi="ar-SA"/>
        </w:rPr>
        <w:t>提供服务，从逾</w:t>
      </w:r>
      <w:r>
        <w:rPr>
          <w:rFonts w:hint="eastAsia" w:ascii="宋体" w:hAnsi="宋体" w:eastAsia="宋体" w:cs="宋体"/>
          <w:color w:val="auto"/>
          <w:kern w:val="2"/>
          <w:sz w:val="21"/>
          <w:szCs w:val="24"/>
          <w:highlight w:val="none"/>
          <w:lang w:val="en-US" w:eastAsia="zh-CN" w:bidi="ar-SA"/>
        </w:rPr>
        <w:t>期</w:t>
      </w:r>
      <w:r>
        <w:rPr>
          <w:rFonts w:hint="eastAsia" w:ascii="宋体" w:hAnsi="宋体" w:eastAsia="宋体" w:cs="宋体"/>
          <w:color w:val="auto"/>
          <w:kern w:val="2"/>
          <w:sz w:val="21"/>
          <w:szCs w:val="24"/>
          <w:highlight w:val="none"/>
          <w:lang w:val="en-US" w:bidi="ar-SA"/>
        </w:rPr>
        <w:t>之日起每日</w:t>
      </w:r>
      <w:r>
        <w:rPr>
          <w:rFonts w:hint="eastAsia" w:ascii="宋体" w:hAnsi="宋体" w:eastAsia="宋体" w:cs="宋体"/>
          <w:color w:val="auto"/>
          <w:kern w:val="2"/>
          <w:sz w:val="21"/>
          <w:szCs w:val="24"/>
          <w:highlight w:val="none"/>
          <w:lang w:val="en-US" w:eastAsia="zh-CN" w:bidi="ar-SA"/>
        </w:rPr>
        <w:t>按</w:t>
      </w:r>
      <w:r>
        <w:rPr>
          <w:rFonts w:hint="eastAsia" w:ascii="宋体" w:hAnsi="宋体" w:eastAsia="宋体" w:cs="宋体"/>
          <w:color w:val="auto"/>
          <w:kern w:val="2"/>
          <w:sz w:val="21"/>
          <w:szCs w:val="24"/>
          <w:highlight w:val="none"/>
          <w:lang w:val="en-US" w:bidi="ar-SA"/>
        </w:rPr>
        <w:t>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总价</w:t>
      </w:r>
      <w:r>
        <w:rPr>
          <w:rFonts w:hint="eastAsia" w:ascii="宋体" w:hAnsi="宋体" w:eastAsia="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bidi="ar-SA"/>
        </w:rPr>
        <w:t>的数额向甲方支付</w:t>
      </w:r>
      <w:r>
        <w:rPr>
          <w:rFonts w:hint="eastAsia" w:ascii="宋体" w:hAnsi="宋体" w:eastAsia="宋体" w:cs="宋体"/>
          <w:color w:val="auto"/>
          <w:kern w:val="2"/>
          <w:sz w:val="21"/>
          <w:szCs w:val="24"/>
          <w:highlight w:val="none"/>
          <w:lang w:val="en-US" w:eastAsia="zh-CN" w:bidi="ar-SA"/>
        </w:rPr>
        <w:t>违约金；</w:t>
      </w:r>
      <w:r>
        <w:rPr>
          <w:rFonts w:hint="eastAsia" w:ascii="宋体" w:hAnsi="宋体" w:eastAsia="宋体" w:cs="宋体"/>
          <w:color w:val="auto"/>
          <w:kern w:val="2"/>
          <w:sz w:val="21"/>
          <w:szCs w:val="24"/>
          <w:highlight w:val="none"/>
          <w:lang w:val="en-US" w:bidi="ar-SA"/>
        </w:rPr>
        <w:t>逾期半个月以上的，甲方有权</w:t>
      </w:r>
      <w:r>
        <w:rPr>
          <w:rFonts w:hint="eastAsia" w:ascii="宋体" w:hAnsi="宋体" w:eastAsia="宋体" w:cs="宋体"/>
          <w:color w:val="auto"/>
          <w:kern w:val="2"/>
          <w:sz w:val="21"/>
          <w:szCs w:val="24"/>
          <w:highlight w:val="none"/>
          <w:lang w:val="en-US" w:eastAsia="zh-CN" w:bidi="ar-SA"/>
        </w:rPr>
        <w:t>终止合同</w:t>
      </w:r>
      <w:r>
        <w:rPr>
          <w:rFonts w:hint="eastAsia" w:ascii="宋体" w:hAnsi="宋体" w:eastAsia="宋体" w:cs="宋体"/>
          <w:color w:val="auto"/>
          <w:kern w:val="2"/>
          <w:sz w:val="21"/>
          <w:szCs w:val="24"/>
          <w:highlight w:val="none"/>
          <w:lang w:val="en-US" w:bidi="ar-SA"/>
        </w:rPr>
        <w:t>，由此造成的甲方经济损失由乙方承担。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bidi="ar-SA"/>
        </w:rPr>
      </w:pPr>
      <w:bookmarkStart w:id="287" w:name="_Toc305"/>
      <w:r>
        <w:rPr>
          <w:rFonts w:hint="eastAsia" w:ascii="宋体" w:hAnsi="宋体" w:eastAsia="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bidi="ar-SA"/>
        </w:rPr>
        <w:t>其它</w:t>
      </w:r>
      <w:r>
        <w:rPr>
          <w:rFonts w:hint="eastAsia" w:ascii="宋体" w:hAnsi="宋体" w:eastAsia="宋体" w:cs="宋体"/>
          <w:color w:val="auto"/>
          <w:kern w:val="2"/>
          <w:sz w:val="21"/>
          <w:szCs w:val="24"/>
          <w:highlight w:val="none"/>
          <w:lang w:val="en-US" w:eastAsia="zh-CN" w:bidi="ar-SA"/>
        </w:rPr>
        <w:t>违约</w:t>
      </w:r>
      <w:r>
        <w:rPr>
          <w:rFonts w:hint="eastAsia" w:ascii="宋体" w:hAnsi="宋体" w:eastAsia="宋体" w:cs="宋体"/>
          <w:color w:val="auto"/>
          <w:kern w:val="2"/>
          <w:sz w:val="21"/>
          <w:szCs w:val="24"/>
          <w:highlight w:val="none"/>
          <w:lang w:val="en-US" w:bidi="ar-SA"/>
        </w:rPr>
        <w:t>责任按</w:t>
      </w:r>
      <w:r>
        <w:rPr>
          <w:rFonts w:hint="eastAsia" w:ascii="宋体" w:hAnsi="宋体" w:eastAsia="宋体" w:cs="宋体"/>
          <w:color w:val="auto"/>
          <w:kern w:val="2"/>
          <w:sz w:val="21"/>
          <w:szCs w:val="24"/>
          <w:highlight w:val="none"/>
          <w:lang w:val="en-US" w:eastAsia="zh-CN" w:bidi="ar-SA"/>
        </w:rPr>
        <w:t>《中</w:t>
      </w:r>
      <w:r>
        <w:rPr>
          <w:rFonts w:hint="eastAsia" w:ascii="宋体" w:hAnsi="宋体" w:eastAsia="宋体" w:cs="宋体"/>
          <w:color w:val="auto"/>
          <w:kern w:val="2"/>
          <w:sz w:val="21"/>
          <w:szCs w:val="24"/>
          <w:highlight w:val="none"/>
          <w:lang w:val="en-US" w:bidi="ar-SA"/>
        </w:rPr>
        <w:t>华人民共和国民法典</w:t>
      </w:r>
      <w:r>
        <w:rPr>
          <w:rFonts w:hint="eastAsia" w:ascii="宋体" w:hAnsi="宋体" w:eastAsia="宋体" w:cs="宋体"/>
          <w:color w:val="auto"/>
          <w:kern w:val="2"/>
          <w:sz w:val="21"/>
          <w:szCs w:val="24"/>
          <w:highlight w:val="none"/>
          <w:lang w:val="en-US" w:eastAsia="zh-CN" w:bidi="ar-SA"/>
        </w:rPr>
        <w:t>（合同编）</w:t>
      </w:r>
      <w:r>
        <w:rPr>
          <w:rFonts w:hint="eastAsia" w:ascii="宋体" w:hAnsi="宋体" w:eastAsia="宋体" w:cs="宋体"/>
          <w:color w:val="auto"/>
          <w:kern w:val="2"/>
          <w:sz w:val="21"/>
          <w:szCs w:val="24"/>
          <w:highlight w:val="none"/>
          <w:lang w:val="en-US" w:bidi="ar-SA"/>
        </w:rPr>
        <w:t>》处理。</w:t>
      </w:r>
      <w:bookmarkEnd w:id="287"/>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88" w:name="_Toc32369"/>
      <w:r>
        <w:rPr>
          <w:rFonts w:hint="eastAsia" w:ascii="宋体" w:hAnsi="宋体" w:eastAsia="宋体" w:cs="宋体"/>
          <w:b/>
          <w:bCs/>
          <w:color w:val="auto"/>
          <w:kern w:val="2"/>
          <w:sz w:val="21"/>
          <w:szCs w:val="24"/>
          <w:highlight w:val="none"/>
          <w:lang w:val="en-US" w:eastAsia="zh-CN" w:bidi="ar-SA"/>
        </w:rPr>
        <w:t>十、</w:t>
      </w:r>
      <w:r>
        <w:rPr>
          <w:rFonts w:hint="eastAsia" w:ascii="宋体" w:hAnsi="宋体" w:eastAsia="宋体" w:cs="宋体"/>
          <w:b/>
          <w:bCs/>
          <w:color w:val="auto"/>
          <w:kern w:val="2"/>
          <w:sz w:val="21"/>
          <w:szCs w:val="24"/>
          <w:highlight w:val="none"/>
          <w:lang w:val="en-US" w:bidi="ar-SA"/>
        </w:rPr>
        <w:t>争议的解决</w:t>
      </w:r>
      <w:bookmarkEnd w:id="288"/>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Calibri" w:hAnsi="Calibri" w:eastAsia="宋体" w:cs="Times New Roman"/>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执行过程中发生的任何争议，如双方不能通过友好</w:t>
      </w:r>
      <w:r>
        <w:rPr>
          <w:rFonts w:hint="eastAsia" w:ascii="宋体" w:hAnsi="宋体" w:eastAsia="宋体" w:cs="宋体"/>
          <w:color w:val="auto"/>
          <w:kern w:val="2"/>
          <w:sz w:val="21"/>
          <w:szCs w:val="24"/>
          <w:highlight w:val="none"/>
          <w:lang w:val="en-US" w:eastAsia="zh-CN" w:bidi="ar-SA"/>
        </w:rPr>
        <w:t>协商</w:t>
      </w:r>
      <w:r>
        <w:rPr>
          <w:rFonts w:hint="eastAsia" w:ascii="宋体" w:hAnsi="宋体" w:eastAsia="宋体" w:cs="宋体"/>
          <w:color w:val="auto"/>
          <w:kern w:val="2"/>
          <w:sz w:val="21"/>
          <w:szCs w:val="24"/>
          <w:highlight w:val="none"/>
          <w:lang w:val="en-US" w:bidi="ar-SA"/>
        </w:rPr>
        <w:t>解决，按相关法律法规处理。</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89" w:name="_Toc21598"/>
      <w:r>
        <w:rPr>
          <w:rFonts w:hint="eastAsia" w:ascii="宋体" w:hAnsi="宋体" w:eastAsia="宋体" w:cs="宋体"/>
          <w:b/>
          <w:bCs/>
          <w:color w:val="auto"/>
          <w:kern w:val="2"/>
          <w:sz w:val="21"/>
          <w:szCs w:val="24"/>
          <w:highlight w:val="none"/>
          <w:lang w:val="en-US" w:eastAsia="zh-CN" w:bidi="ar-SA"/>
        </w:rPr>
        <w:t>十一、</w:t>
      </w:r>
      <w:r>
        <w:rPr>
          <w:rFonts w:hint="eastAsia" w:ascii="宋体" w:hAnsi="宋体" w:eastAsia="宋体" w:cs="宋体"/>
          <w:b/>
          <w:bCs/>
          <w:color w:val="auto"/>
          <w:kern w:val="2"/>
          <w:sz w:val="21"/>
          <w:szCs w:val="24"/>
          <w:highlight w:val="none"/>
          <w:lang w:val="en-US" w:bidi="ar-SA"/>
        </w:rPr>
        <w:t>不可抗力</w:t>
      </w:r>
      <w:bookmarkEnd w:id="289"/>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任何一方由于不可抗力原因不能履行合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时，</w:t>
      </w:r>
      <w:r>
        <w:rPr>
          <w:rFonts w:hint="eastAsia" w:ascii="宋体" w:hAnsi="宋体" w:eastAsia="宋体" w:cs="宋体"/>
          <w:color w:val="auto"/>
          <w:kern w:val="2"/>
          <w:sz w:val="21"/>
          <w:szCs w:val="24"/>
          <w:highlight w:val="none"/>
          <w:lang w:val="en-US" w:eastAsia="zh-CN" w:bidi="ar-SA"/>
        </w:rPr>
        <w:t>应</w:t>
      </w:r>
      <w:r>
        <w:rPr>
          <w:rFonts w:hint="eastAsia" w:ascii="宋体" w:hAnsi="宋体" w:eastAsia="宋体" w:cs="宋体"/>
          <w:color w:val="auto"/>
          <w:kern w:val="2"/>
          <w:sz w:val="21"/>
          <w:szCs w:val="24"/>
          <w:highlight w:val="none"/>
          <w:lang w:val="en-US" w:bidi="ar-SA"/>
        </w:rPr>
        <w:t>在不可抗力事件结束后1日内向</w:t>
      </w:r>
      <w:r>
        <w:rPr>
          <w:rFonts w:hint="eastAsia" w:ascii="宋体" w:hAnsi="宋体" w:eastAsia="宋体" w:cs="宋体"/>
          <w:color w:val="auto"/>
          <w:kern w:val="2"/>
          <w:sz w:val="21"/>
          <w:szCs w:val="24"/>
          <w:highlight w:val="none"/>
          <w:lang w:val="en-US" w:eastAsia="zh-CN" w:bidi="ar-SA"/>
        </w:rPr>
        <w:t>对</w:t>
      </w:r>
      <w:r>
        <w:rPr>
          <w:rFonts w:hint="eastAsia" w:ascii="宋体" w:hAnsi="宋体" w:eastAsia="宋体" w:cs="宋体"/>
          <w:color w:val="auto"/>
          <w:kern w:val="2"/>
          <w:sz w:val="21"/>
          <w:szCs w:val="24"/>
          <w:highlight w:val="none"/>
          <w:lang w:val="en-US" w:bidi="ar-SA"/>
        </w:rPr>
        <w:t>方通报，以</w:t>
      </w:r>
      <w:r>
        <w:rPr>
          <w:rFonts w:hint="eastAsia" w:ascii="宋体" w:hAnsi="宋体" w:eastAsia="宋体" w:cs="宋体"/>
          <w:color w:val="auto"/>
          <w:kern w:val="2"/>
          <w:sz w:val="21"/>
          <w:szCs w:val="24"/>
          <w:highlight w:val="none"/>
          <w:lang w:val="en-US" w:eastAsia="zh-CN" w:bidi="ar-SA"/>
        </w:rPr>
        <w:t>减</w:t>
      </w:r>
      <w:r>
        <w:rPr>
          <w:rFonts w:hint="eastAsia" w:ascii="宋体" w:hAnsi="宋体" w:eastAsia="宋体" w:cs="宋体"/>
          <w:color w:val="auto"/>
          <w:kern w:val="2"/>
          <w:sz w:val="21"/>
          <w:szCs w:val="24"/>
          <w:highlight w:val="none"/>
          <w:lang w:val="en-US" w:bidi="ar-SA"/>
        </w:rPr>
        <w:t>轻可能给对方造成的损失，在取得有关机构的不可抗</w:t>
      </w:r>
      <w:r>
        <w:rPr>
          <w:rFonts w:hint="eastAsia" w:ascii="宋体" w:hAnsi="宋体" w:eastAsia="宋体" w:cs="宋体"/>
          <w:color w:val="auto"/>
          <w:kern w:val="2"/>
          <w:sz w:val="21"/>
          <w:szCs w:val="24"/>
          <w:highlight w:val="none"/>
          <w:lang w:val="en-US" w:eastAsia="zh-CN" w:bidi="ar-SA"/>
        </w:rPr>
        <w:t>力</w:t>
      </w:r>
      <w:r>
        <w:rPr>
          <w:rFonts w:hint="eastAsia" w:ascii="宋体" w:hAnsi="宋体" w:eastAsia="宋体" w:cs="宋体"/>
          <w:color w:val="auto"/>
          <w:kern w:val="2"/>
          <w:sz w:val="21"/>
          <w:szCs w:val="24"/>
          <w:highlight w:val="none"/>
          <w:lang w:val="en-US" w:bidi="ar-SA"/>
        </w:rPr>
        <w:t>证明或双方谅解确认后，允许延期履行或修订合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，并根据情况可</w:t>
      </w:r>
      <w:r>
        <w:rPr>
          <w:rFonts w:hint="eastAsia" w:ascii="宋体" w:hAnsi="宋体" w:eastAsia="宋体" w:cs="宋体"/>
          <w:color w:val="auto"/>
          <w:kern w:val="2"/>
          <w:sz w:val="21"/>
          <w:szCs w:val="24"/>
          <w:highlight w:val="none"/>
          <w:lang w:val="en-US" w:eastAsia="zh-CN" w:bidi="ar-SA"/>
        </w:rPr>
        <w:t>部分</w:t>
      </w:r>
      <w:r>
        <w:rPr>
          <w:rFonts w:hint="eastAsia" w:ascii="宋体" w:hAnsi="宋体" w:eastAsia="宋体" w:cs="宋体"/>
          <w:color w:val="auto"/>
          <w:kern w:val="2"/>
          <w:sz w:val="21"/>
          <w:szCs w:val="24"/>
          <w:highlight w:val="none"/>
          <w:lang w:val="en-US" w:bidi="ar-SA"/>
        </w:rPr>
        <w:t>或全</w:t>
      </w:r>
      <w:r>
        <w:rPr>
          <w:rFonts w:hint="eastAsia" w:ascii="宋体" w:hAnsi="宋体" w:eastAsia="宋体" w:cs="宋体"/>
          <w:color w:val="auto"/>
          <w:kern w:val="2"/>
          <w:sz w:val="21"/>
          <w:szCs w:val="24"/>
          <w:highlight w:val="none"/>
          <w:lang w:val="en-US" w:eastAsia="zh-CN" w:bidi="ar-SA"/>
        </w:rPr>
        <w:t>部</w:t>
      </w:r>
      <w:r>
        <w:rPr>
          <w:rFonts w:hint="eastAsia" w:ascii="宋体" w:hAnsi="宋体" w:eastAsia="宋体" w:cs="宋体"/>
          <w:color w:val="auto"/>
          <w:kern w:val="2"/>
          <w:sz w:val="21"/>
          <w:szCs w:val="24"/>
          <w:highlight w:val="none"/>
          <w:lang w:val="en-US" w:bidi="ar-SA"/>
        </w:rPr>
        <w:t>免于承担</w:t>
      </w:r>
      <w:r>
        <w:rPr>
          <w:rFonts w:hint="eastAsia" w:ascii="宋体" w:hAnsi="宋体" w:eastAsia="宋体" w:cs="宋体"/>
          <w:color w:val="auto"/>
          <w:kern w:val="2"/>
          <w:sz w:val="21"/>
          <w:szCs w:val="24"/>
          <w:highlight w:val="none"/>
          <w:lang w:val="en-US" w:eastAsia="zh-CN" w:bidi="ar-SA"/>
        </w:rPr>
        <w:t>违约</w:t>
      </w:r>
      <w:r>
        <w:rPr>
          <w:rFonts w:hint="eastAsia" w:ascii="宋体" w:hAnsi="宋体" w:eastAsia="宋体" w:cs="宋体"/>
          <w:color w:val="auto"/>
          <w:kern w:val="2"/>
          <w:sz w:val="21"/>
          <w:szCs w:val="24"/>
          <w:highlight w:val="none"/>
          <w:lang w:val="en-US" w:bidi="ar-SA"/>
        </w:rPr>
        <w:t>责任。</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90" w:name="_Toc14591"/>
      <w:r>
        <w:rPr>
          <w:rFonts w:hint="eastAsia" w:ascii="宋体" w:hAnsi="宋体" w:eastAsia="宋体" w:cs="宋体"/>
          <w:b/>
          <w:bCs/>
          <w:color w:val="auto"/>
          <w:kern w:val="2"/>
          <w:sz w:val="21"/>
          <w:szCs w:val="24"/>
          <w:highlight w:val="none"/>
          <w:lang w:val="en-US" w:bidi="ar-SA"/>
        </w:rPr>
        <w:t>十二</w:t>
      </w:r>
      <w:r>
        <w:rPr>
          <w:rFonts w:hint="eastAsia" w:ascii="宋体" w:hAnsi="宋体" w:eastAsia="宋体" w:cs="宋体"/>
          <w:b/>
          <w:bCs/>
          <w:color w:val="auto"/>
          <w:kern w:val="2"/>
          <w:sz w:val="21"/>
          <w:szCs w:val="24"/>
          <w:highlight w:val="none"/>
          <w:lang w:val="en-US" w:eastAsia="zh-CN" w:bidi="ar-SA"/>
        </w:rPr>
        <w:t>、</w:t>
      </w:r>
      <w:r>
        <w:rPr>
          <w:rFonts w:hint="eastAsia" w:ascii="宋体" w:hAnsi="宋体" w:eastAsia="宋体" w:cs="宋体"/>
          <w:b/>
          <w:bCs/>
          <w:color w:val="auto"/>
          <w:kern w:val="2"/>
          <w:sz w:val="21"/>
          <w:szCs w:val="24"/>
          <w:highlight w:val="none"/>
          <w:lang w:val="en-US" w:bidi="ar-SA"/>
        </w:rPr>
        <w:t>税费</w:t>
      </w:r>
      <w:bookmarkEnd w:id="290"/>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在中国境内</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外发生的与本合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执行有关的一切</w:t>
      </w:r>
      <w:r>
        <w:rPr>
          <w:rFonts w:hint="eastAsia" w:ascii="宋体" w:hAnsi="宋体" w:eastAsia="宋体" w:cs="宋体"/>
          <w:color w:val="auto"/>
          <w:kern w:val="2"/>
          <w:sz w:val="21"/>
          <w:szCs w:val="24"/>
          <w:highlight w:val="none"/>
          <w:lang w:val="en-US" w:eastAsia="zh-CN" w:bidi="ar-SA"/>
        </w:rPr>
        <w:t>税</w:t>
      </w:r>
      <w:r>
        <w:rPr>
          <w:rFonts w:hint="eastAsia" w:ascii="宋体" w:hAnsi="宋体" w:eastAsia="宋体" w:cs="宋体"/>
          <w:color w:val="auto"/>
          <w:kern w:val="2"/>
          <w:sz w:val="21"/>
          <w:szCs w:val="24"/>
          <w:highlight w:val="none"/>
          <w:lang w:val="en-US" w:bidi="ar-SA"/>
        </w:rPr>
        <w:t>费均由乙方</w:t>
      </w:r>
      <w:r>
        <w:rPr>
          <w:rFonts w:hint="eastAsia" w:ascii="宋体" w:hAnsi="宋体" w:eastAsia="宋体" w:cs="宋体"/>
          <w:color w:val="auto"/>
          <w:kern w:val="2"/>
          <w:sz w:val="21"/>
          <w:szCs w:val="24"/>
          <w:highlight w:val="none"/>
          <w:lang w:val="en-US" w:eastAsia="zh-CN" w:bidi="ar-SA"/>
        </w:rPr>
        <w:t>负担</w:t>
      </w:r>
      <w:r>
        <w:rPr>
          <w:rFonts w:hint="eastAsia" w:ascii="宋体" w:hAnsi="宋体" w:eastAsia="宋体" w:cs="宋体"/>
          <w:color w:val="auto"/>
          <w:kern w:val="2"/>
          <w:sz w:val="21"/>
          <w:szCs w:val="24"/>
          <w:highlight w:val="none"/>
          <w:lang w:val="en-US" w:bidi="ar-SA"/>
        </w:rPr>
        <w:t>。</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91" w:name="_Toc10642"/>
      <w:r>
        <w:rPr>
          <w:rFonts w:hint="eastAsia" w:ascii="宋体" w:hAnsi="宋体" w:eastAsia="宋体" w:cs="宋体"/>
          <w:b/>
          <w:bCs/>
          <w:color w:val="auto"/>
          <w:kern w:val="2"/>
          <w:sz w:val="21"/>
          <w:szCs w:val="24"/>
          <w:highlight w:val="none"/>
          <w:lang w:val="en-US" w:eastAsia="zh-CN" w:bidi="ar-SA"/>
        </w:rPr>
        <w:t>十三</w:t>
      </w:r>
      <w:r>
        <w:rPr>
          <w:rFonts w:hint="eastAsia" w:ascii="宋体" w:hAnsi="宋体" w:eastAsia="宋体" w:cs="宋体"/>
          <w:b/>
          <w:bCs/>
          <w:color w:val="auto"/>
          <w:kern w:val="2"/>
          <w:sz w:val="21"/>
          <w:szCs w:val="24"/>
          <w:highlight w:val="none"/>
          <w:lang w:val="en-US" w:bidi="ar-SA"/>
        </w:rPr>
        <w:t>、其它</w:t>
      </w:r>
      <w:bookmarkEnd w:id="291"/>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1.本合同所有</w:t>
      </w:r>
      <w:r>
        <w:rPr>
          <w:rFonts w:hint="eastAsia" w:ascii="宋体" w:hAnsi="宋体" w:eastAsia="宋体" w:cs="宋体"/>
          <w:color w:val="auto"/>
          <w:kern w:val="2"/>
          <w:sz w:val="21"/>
          <w:szCs w:val="24"/>
          <w:highlight w:val="none"/>
          <w:lang w:val="en-US" w:eastAsia="zh-CN" w:bidi="ar-SA"/>
        </w:rPr>
        <w:t>附</w:t>
      </w:r>
      <w:r>
        <w:rPr>
          <w:rFonts w:hint="eastAsia" w:ascii="宋体" w:hAnsi="宋体" w:eastAsia="宋体" w:cs="宋体"/>
          <w:color w:val="auto"/>
          <w:kern w:val="2"/>
          <w:sz w:val="21"/>
          <w:szCs w:val="24"/>
          <w:highlight w:val="none"/>
          <w:lang w:val="en-US" w:bidi="ar-SA"/>
        </w:rPr>
        <w:t>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招标文件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投标文件。中标通知书均为合</w:t>
      </w:r>
      <w:r>
        <w:rPr>
          <w:rFonts w:hint="eastAsia" w:ascii="宋体" w:hAnsi="宋体" w:eastAsia="宋体" w:cs="宋体"/>
          <w:color w:val="auto"/>
          <w:kern w:val="2"/>
          <w:sz w:val="21"/>
          <w:szCs w:val="24"/>
          <w:highlight w:val="none"/>
          <w:lang w:val="en-US" w:eastAsia="zh-CN" w:bidi="ar-SA"/>
        </w:rPr>
        <w:t>同</w:t>
      </w:r>
      <w:r>
        <w:rPr>
          <w:rFonts w:hint="eastAsia" w:ascii="宋体" w:hAnsi="宋体" w:eastAsia="宋体" w:cs="宋体"/>
          <w:color w:val="auto"/>
          <w:kern w:val="2"/>
          <w:sz w:val="21"/>
          <w:szCs w:val="24"/>
          <w:highlight w:val="none"/>
          <w:lang w:val="en-US" w:bidi="ar-SA"/>
        </w:rPr>
        <w:t>的有效组成部分，与本合具有同等法律效力。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bidi="ar-SA"/>
        </w:rPr>
        <w:t>2.在执行本合同的过程中，所有</w:t>
      </w:r>
      <w:r>
        <w:rPr>
          <w:rFonts w:hint="eastAsia" w:ascii="宋体" w:hAnsi="宋体" w:eastAsia="宋体" w:cs="宋体"/>
          <w:color w:val="auto"/>
          <w:kern w:val="2"/>
          <w:sz w:val="21"/>
          <w:szCs w:val="24"/>
          <w:highlight w:val="none"/>
          <w:lang w:val="en-US" w:eastAsia="zh-CN" w:bidi="ar-SA"/>
        </w:rPr>
        <w:t>经</w:t>
      </w:r>
      <w:r>
        <w:rPr>
          <w:rFonts w:hint="eastAsia" w:ascii="宋体" w:hAnsi="宋体" w:eastAsia="宋体" w:cs="宋体"/>
          <w:color w:val="auto"/>
          <w:kern w:val="2"/>
          <w:sz w:val="21"/>
          <w:szCs w:val="24"/>
          <w:highlight w:val="none"/>
          <w:lang w:val="en-US" w:bidi="ar-SA"/>
        </w:rPr>
        <w:t>双方签署确认的文件</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包括会议</w:t>
      </w:r>
      <w:r>
        <w:rPr>
          <w:rFonts w:hint="eastAsia" w:ascii="宋体" w:hAnsi="宋体" w:eastAsia="宋体" w:cs="宋体"/>
          <w:color w:val="auto"/>
          <w:kern w:val="2"/>
          <w:sz w:val="21"/>
          <w:szCs w:val="24"/>
          <w:highlight w:val="none"/>
          <w:lang w:val="en-US" w:eastAsia="zh-CN" w:bidi="ar-SA"/>
        </w:rPr>
        <w:t>纪</w:t>
      </w:r>
      <w:r>
        <w:rPr>
          <w:rFonts w:hint="eastAsia" w:ascii="宋体" w:hAnsi="宋体" w:eastAsia="宋体" w:cs="宋体"/>
          <w:color w:val="auto"/>
          <w:kern w:val="2"/>
          <w:sz w:val="21"/>
          <w:szCs w:val="24"/>
          <w:highlight w:val="none"/>
          <w:lang w:val="en-US" w:bidi="ar-SA"/>
        </w:rPr>
        <w:t>要</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补充协议</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往来信函</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即成为本合同的有效</w:t>
      </w:r>
      <w:r>
        <w:rPr>
          <w:rFonts w:hint="eastAsia" w:ascii="宋体" w:hAnsi="宋体" w:eastAsia="宋体" w:cs="宋体"/>
          <w:color w:val="auto"/>
          <w:kern w:val="2"/>
          <w:sz w:val="21"/>
          <w:szCs w:val="24"/>
          <w:highlight w:val="none"/>
          <w:lang w:val="en-US" w:eastAsia="zh-CN" w:bidi="ar-SA"/>
        </w:rPr>
        <w:t>组成部分。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3.如一方地址、电话</w:t>
      </w:r>
      <w:r>
        <w:rPr>
          <w:rFonts w:hint="eastAsia"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bidi="ar-SA"/>
        </w:rPr>
        <w:t>传真号码有变更，应在</w:t>
      </w:r>
      <w:r>
        <w:rPr>
          <w:rFonts w:hint="eastAsia" w:ascii="宋体" w:hAnsi="宋体" w:eastAsia="宋体" w:cs="宋体"/>
          <w:color w:val="auto"/>
          <w:kern w:val="2"/>
          <w:sz w:val="21"/>
          <w:szCs w:val="24"/>
          <w:highlight w:val="none"/>
          <w:lang w:val="en-US" w:eastAsia="zh-CN" w:bidi="ar-SA"/>
        </w:rPr>
        <w:t>变</w:t>
      </w:r>
      <w:r>
        <w:rPr>
          <w:rFonts w:hint="eastAsia" w:ascii="宋体" w:hAnsi="宋体" w:eastAsia="宋体" w:cs="宋体"/>
          <w:color w:val="auto"/>
          <w:kern w:val="2"/>
          <w:sz w:val="21"/>
          <w:szCs w:val="24"/>
          <w:highlight w:val="none"/>
          <w:lang w:val="en-US" w:bidi="ar-SA"/>
        </w:rPr>
        <w:t>更当日内书面通知对方，否则，应承担相应</w:t>
      </w:r>
      <w:r>
        <w:rPr>
          <w:rFonts w:hint="eastAsia" w:ascii="宋体" w:hAnsi="宋体" w:eastAsia="宋体" w:cs="宋体"/>
          <w:color w:val="auto"/>
          <w:kern w:val="2"/>
          <w:sz w:val="21"/>
          <w:szCs w:val="24"/>
          <w:highlight w:val="none"/>
          <w:lang w:val="en-US" w:eastAsia="zh-CN" w:bidi="ar-SA"/>
        </w:rPr>
        <w:t>责</w:t>
      </w:r>
      <w:r>
        <w:rPr>
          <w:rFonts w:hint="eastAsia" w:ascii="宋体" w:hAnsi="宋体" w:eastAsia="宋体" w:cs="宋体"/>
          <w:color w:val="auto"/>
          <w:kern w:val="2"/>
          <w:sz w:val="21"/>
          <w:szCs w:val="24"/>
          <w:highlight w:val="none"/>
          <w:lang w:val="en-US" w:bidi="ar-SA"/>
        </w:rPr>
        <w:t>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color w:val="auto"/>
          <w:kern w:val="2"/>
          <w:sz w:val="21"/>
          <w:szCs w:val="24"/>
          <w:highlight w:val="none"/>
          <w:lang w:val="en-US" w:bidi="ar-SA"/>
        </w:rPr>
      </w:pPr>
      <w:r>
        <w:rPr>
          <w:rFonts w:hint="eastAsia" w:ascii="宋体" w:hAnsi="宋体" w:eastAsia="宋体" w:cs="宋体"/>
          <w:color w:val="auto"/>
          <w:kern w:val="2"/>
          <w:sz w:val="21"/>
          <w:szCs w:val="24"/>
          <w:highlight w:val="none"/>
          <w:lang w:val="en-US" w:bidi="ar-SA"/>
        </w:rPr>
        <w:t>4.除甲方事先书面同意外，乙方不得部分成全部转让</w:t>
      </w:r>
      <w:r>
        <w:rPr>
          <w:rFonts w:hint="eastAsia" w:ascii="宋体" w:hAnsi="宋体" w:eastAsia="宋体" w:cs="宋体"/>
          <w:color w:val="auto"/>
          <w:kern w:val="2"/>
          <w:sz w:val="21"/>
          <w:szCs w:val="24"/>
          <w:highlight w:val="none"/>
          <w:lang w:val="en-US" w:eastAsia="zh-CN" w:bidi="ar-SA"/>
        </w:rPr>
        <w:t>其</w:t>
      </w:r>
      <w:r>
        <w:rPr>
          <w:rFonts w:hint="eastAsia" w:ascii="宋体" w:hAnsi="宋体" w:eastAsia="宋体" w:cs="宋体"/>
          <w:color w:val="auto"/>
          <w:kern w:val="2"/>
          <w:sz w:val="21"/>
          <w:szCs w:val="24"/>
          <w:highlight w:val="none"/>
          <w:lang w:val="en-US" w:bidi="ar-SA"/>
        </w:rPr>
        <w:t>应履行的合</w:t>
      </w:r>
      <w:r>
        <w:rPr>
          <w:rFonts w:hint="eastAsia" w:ascii="宋体" w:hAnsi="宋体" w:eastAsia="宋体" w:cs="宋体"/>
          <w:color w:val="auto"/>
          <w:kern w:val="2"/>
          <w:sz w:val="21"/>
          <w:szCs w:val="24"/>
          <w:highlight w:val="none"/>
          <w:lang w:val="en-US" w:eastAsia="zh-CN" w:bidi="ar-SA"/>
        </w:rPr>
        <w:t>同项</w:t>
      </w:r>
      <w:r>
        <w:rPr>
          <w:rFonts w:hint="eastAsia" w:ascii="宋体" w:hAnsi="宋体" w:eastAsia="宋体" w:cs="宋体"/>
          <w:color w:val="auto"/>
          <w:kern w:val="2"/>
          <w:sz w:val="21"/>
          <w:szCs w:val="24"/>
          <w:highlight w:val="none"/>
          <w:lang w:val="en-US" w:bidi="ar-SA"/>
        </w:rPr>
        <w:t>下的义务。</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宋体" w:hAnsi="宋体" w:eastAsia="宋体" w:cs="宋体"/>
          <w:b/>
          <w:bCs/>
          <w:color w:val="auto"/>
          <w:kern w:val="2"/>
          <w:sz w:val="21"/>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outlineLvl w:val="1"/>
        <w:rPr>
          <w:rFonts w:hint="eastAsia" w:ascii="宋体" w:hAnsi="宋体" w:eastAsia="宋体" w:cs="宋体"/>
          <w:b/>
          <w:bCs/>
          <w:color w:val="auto"/>
          <w:kern w:val="2"/>
          <w:sz w:val="21"/>
          <w:szCs w:val="24"/>
          <w:highlight w:val="none"/>
          <w:lang w:val="en-US" w:bidi="ar-SA"/>
        </w:rPr>
      </w:pPr>
      <w:bookmarkStart w:id="292" w:name="_Toc18278"/>
      <w:r>
        <w:rPr>
          <w:rFonts w:hint="eastAsia" w:ascii="宋体" w:hAnsi="宋体" w:eastAsia="宋体" w:cs="宋体"/>
          <w:b/>
          <w:bCs/>
          <w:color w:val="auto"/>
          <w:kern w:val="2"/>
          <w:sz w:val="21"/>
          <w:szCs w:val="24"/>
          <w:highlight w:val="none"/>
          <w:lang w:val="en-US" w:eastAsia="zh-CN" w:bidi="ar-SA"/>
        </w:rPr>
        <w:t>十</w:t>
      </w:r>
      <w:r>
        <w:rPr>
          <w:rFonts w:hint="eastAsia" w:ascii="宋体" w:hAnsi="宋体" w:cs="宋体"/>
          <w:b/>
          <w:bCs/>
          <w:color w:val="auto"/>
          <w:kern w:val="2"/>
          <w:sz w:val="21"/>
          <w:szCs w:val="24"/>
          <w:highlight w:val="none"/>
          <w:lang w:val="en-US" w:eastAsia="zh-CN" w:bidi="ar-SA"/>
        </w:rPr>
        <w:t>四</w:t>
      </w:r>
      <w:r>
        <w:rPr>
          <w:rFonts w:hint="eastAsia" w:ascii="宋体" w:hAnsi="宋体" w:eastAsia="宋体" w:cs="宋体"/>
          <w:b/>
          <w:bCs/>
          <w:color w:val="auto"/>
          <w:kern w:val="2"/>
          <w:sz w:val="21"/>
          <w:szCs w:val="24"/>
          <w:highlight w:val="none"/>
          <w:lang w:val="en-US" w:bidi="ar-SA"/>
        </w:rPr>
        <w:t>、合同</w:t>
      </w:r>
      <w:r>
        <w:rPr>
          <w:rFonts w:hint="eastAsia" w:ascii="宋体" w:hAnsi="宋体" w:eastAsia="宋体" w:cs="宋体"/>
          <w:b/>
          <w:bCs/>
          <w:color w:val="auto"/>
          <w:kern w:val="2"/>
          <w:sz w:val="21"/>
          <w:szCs w:val="24"/>
          <w:highlight w:val="none"/>
          <w:lang w:val="en-US" w:eastAsia="zh-CN" w:bidi="ar-SA"/>
        </w:rPr>
        <w:t>生</w:t>
      </w:r>
      <w:r>
        <w:rPr>
          <w:rFonts w:hint="eastAsia" w:ascii="宋体" w:hAnsi="宋体" w:eastAsia="宋体" w:cs="宋体"/>
          <w:b/>
          <w:bCs/>
          <w:color w:val="auto"/>
          <w:kern w:val="2"/>
          <w:sz w:val="21"/>
          <w:szCs w:val="24"/>
          <w:highlight w:val="none"/>
          <w:lang w:val="en-US" w:bidi="ar-SA"/>
        </w:rPr>
        <w:t>效</w:t>
      </w:r>
      <w:bookmarkEnd w:id="292"/>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outlineLvl w:val="2"/>
        <w:rPr>
          <w:rFonts w:hint="eastAsia" w:ascii="宋体" w:hAnsi="宋体" w:eastAsia="宋体" w:cs="宋体"/>
          <w:color w:val="auto"/>
          <w:kern w:val="2"/>
          <w:sz w:val="21"/>
          <w:szCs w:val="24"/>
          <w:highlight w:val="none"/>
          <w:lang w:val="en-US" w:bidi="ar-SA"/>
        </w:rPr>
      </w:pPr>
      <w:bookmarkStart w:id="293" w:name="_Toc18988"/>
      <w:r>
        <w:rPr>
          <w:rFonts w:hint="eastAsia" w:ascii="宋体" w:hAnsi="宋体" w:eastAsia="宋体" w:cs="宋体"/>
          <w:color w:val="auto"/>
          <w:kern w:val="2"/>
          <w:sz w:val="21"/>
          <w:szCs w:val="24"/>
          <w:highlight w:val="none"/>
          <w:lang w:val="en-US" w:bidi="ar-SA"/>
        </w:rPr>
        <w:t>1.本合同在甲乙双方法人代表或其授权代表签字盖章后生效。</w:t>
      </w:r>
      <w:bookmarkEnd w:id="29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color w:val="auto"/>
          <w:kern w:val="2"/>
          <w:sz w:val="21"/>
          <w:szCs w:val="24"/>
          <w:highlight w:val="none"/>
          <w:lang w:val="en-US" w:bidi="ar-SA"/>
        </w:rPr>
        <w:t>2.合同一式</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bidi="ar-SA"/>
        </w:rPr>
        <w:t>份</w:t>
      </w:r>
      <w:r>
        <w:rPr>
          <w:rFonts w:hint="eastAsia" w:ascii="宋体" w:hAnsi="宋体" w:eastAsia="宋体" w:cs="宋体"/>
          <w:color w:val="auto"/>
          <w:kern w:val="2"/>
          <w:sz w:val="21"/>
          <w:szCs w:val="24"/>
          <w:highlight w:val="none"/>
          <w:lang w:val="en-US" w:eastAsia="zh-CN" w:bidi="ar-SA"/>
        </w:rPr>
        <w:t>，其中甲方执</w:t>
      </w:r>
      <w:r>
        <w:rPr>
          <w:rFonts w:hint="eastAsia" w:ascii="宋体" w:hAnsi="宋体" w:eastAsia="宋体" w:cs="宋体"/>
          <w:color w:val="auto"/>
          <w:kern w:val="2"/>
          <w:sz w:val="21"/>
          <w:szCs w:val="24"/>
          <w:highlight w:val="none"/>
          <w:u w:val="single"/>
          <w:lang w:val="en-US" w:eastAsia="zh-CN" w:bidi="ar-SA"/>
        </w:rPr>
        <w:t xml:space="preserve">   份</w:t>
      </w:r>
      <w:r>
        <w:rPr>
          <w:rFonts w:hint="eastAsia" w:ascii="宋体" w:hAnsi="宋体" w:eastAsia="宋体" w:cs="宋体"/>
          <w:color w:val="auto"/>
          <w:kern w:val="2"/>
          <w:sz w:val="21"/>
          <w:szCs w:val="24"/>
          <w:highlight w:val="none"/>
          <w:lang w:val="en-US" w:eastAsia="zh-CN" w:bidi="ar-SA"/>
        </w:rPr>
        <w:t>，乙方执</w:t>
      </w:r>
      <w:r>
        <w:rPr>
          <w:rFonts w:hint="eastAsia" w:ascii="宋体" w:hAnsi="宋体" w:eastAsia="宋体" w:cs="宋体"/>
          <w:color w:val="auto"/>
          <w:kern w:val="2"/>
          <w:sz w:val="21"/>
          <w:szCs w:val="24"/>
          <w:highlight w:val="none"/>
          <w:u w:val="single"/>
          <w:lang w:val="en-US" w:eastAsia="zh-CN" w:bidi="ar-SA"/>
        </w:rPr>
        <w:t xml:space="preserve">    </w:t>
      </w:r>
      <w:r>
        <w:rPr>
          <w:rFonts w:hint="eastAsia" w:ascii="宋体" w:hAnsi="宋体" w:eastAsia="宋体" w:cs="宋体"/>
          <w:color w:val="auto"/>
          <w:kern w:val="2"/>
          <w:sz w:val="21"/>
          <w:szCs w:val="24"/>
          <w:highlight w:val="none"/>
          <w:lang w:val="en-US" w:eastAsia="zh-CN" w:bidi="ar-SA"/>
        </w:rPr>
        <w:t>份，招标代理执</w:t>
      </w:r>
      <w:r>
        <w:rPr>
          <w:rFonts w:hint="eastAsia" w:ascii="宋体" w:hAnsi="宋体" w:eastAsia="宋体" w:cs="宋体"/>
          <w:color w:val="auto"/>
          <w:kern w:val="2"/>
          <w:sz w:val="21"/>
          <w:szCs w:val="24"/>
          <w:highlight w:val="none"/>
          <w:u w:val="single"/>
          <w:lang w:val="en-US" w:eastAsia="zh-CN" w:bidi="ar-SA"/>
        </w:rPr>
        <w:t xml:space="preserve"> 壹 </w:t>
      </w:r>
      <w:r>
        <w:rPr>
          <w:rFonts w:hint="eastAsia" w:ascii="宋体" w:hAnsi="宋体" w:eastAsia="宋体" w:cs="宋体"/>
          <w:color w:val="auto"/>
          <w:kern w:val="2"/>
          <w:sz w:val="21"/>
          <w:szCs w:val="24"/>
          <w:highlight w:val="none"/>
          <w:lang w:val="en-US" w:eastAsia="zh-CN" w:bidi="ar-SA"/>
        </w:rPr>
        <w:t>份</w:t>
      </w:r>
      <w:r>
        <w:rPr>
          <w:rFonts w:hint="eastAsia" w:ascii="宋体" w:hAnsi="宋体" w:eastAsia="宋体" w:cs="宋体"/>
          <w:color w:val="auto"/>
          <w:kern w:val="2"/>
          <w:sz w:val="21"/>
          <w:szCs w:val="24"/>
          <w:highlight w:val="none"/>
          <w:lang w:val="en-US"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p>
    <w:tbl>
      <w:tblPr>
        <w:tblStyle w:val="24"/>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146"/>
        <w:gridCol w:w="414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甲方（盖章）：</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乙方（盖章）：</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法定代表(签字)：</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法定代表(签字)：</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地址：</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电话：</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传真：</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开户银行：</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账号：</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账号：</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签约时间：</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签约地点：</w:t>
            </w:r>
          </w:p>
        </w:tc>
        <w:tc>
          <w:tcPr>
            <w:tcW w:w="4146"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Theme="minorEastAsia" w:hAnsiTheme="minorEastAsia" w:eastAsiaTheme="minorEastAsia" w:cstheme="minorEastAsia"/>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color w:val="auto"/>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b/>
          <w:color w:val="auto"/>
          <w:szCs w:val="24"/>
          <w:highlight w:val="none"/>
        </w:rPr>
        <w:t>此仅为合同书样本，以实际签订合同为准</w:t>
      </w:r>
      <w:r>
        <w:rPr>
          <w:rFonts w:hint="eastAsia"/>
          <w:b/>
          <w:color w:val="auto"/>
          <w:szCs w:val="24"/>
          <w:highlight w:val="none"/>
          <w:lang w:eastAsia="zh-CN"/>
        </w:rPr>
        <w:t>，</w:t>
      </w:r>
      <w:r>
        <w:rPr>
          <w:rFonts w:hint="eastAsia"/>
          <w:b/>
          <w:color w:val="auto"/>
          <w:szCs w:val="24"/>
          <w:highlight w:val="none"/>
        </w:rPr>
        <w:t>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outlineLvl w:val="0"/>
        <w:rPr>
          <w:color w:val="auto"/>
          <w:sz w:val="28"/>
          <w:szCs w:val="28"/>
          <w:highlight w:val="none"/>
        </w:rPr>
      </w:pPr>
      <w:bookmarkStart w:id="294" w:name="_Toc27921"/>
      <w:bookmarkStart w:id="295" w:name="_Toc23749"/>
      <w:bookmarkStart w:id="296" w:name="_Toc31587"/>
      <w:bookmarkStart w:id="297" w:name="_Toc1478"/>
      <w:r>
        <w:rPr>
          <w:rFonts w:hint="eastAsia"/>
          <w:color w:val="auto"/>
          <w:sz w:val="28"/>
          <w:szCs w:val="28"/>
          <w:highlight w:val="none"/>
        </w:rPr>
        <w:t>第七部分  投标文件格式</w:t>
      </w:r>
      <w:bookmarkEnd w:id="294"/>
      <w:bookmarkEnd w:id="295"/>
      <w:bookmarkEnd w:id="296"/>
      <w:bookmarkEnd w:id="297"/>
    </w:p>
    <w:p>
      <w:pPr>
        <w:rPr>
          <w:color w:val="auto"/>
          <w:highlight w:val="none"/>
        </w:rPr>
      </w:pPr>
    </w:p>
    <w:p>
      <w:pPr>
        <w:pStyle w:val="4"/>
        <w:outlineLvl w:val="1"/>
        <w:rPr>
          <w:color w:val="auto"/>
          <w:highlight w:val="none"/>
        </w:rPr>
      </w:pPr>
      <w:bookmarkStart w:id="298" w:name="_Toc6790"/>
      <w:bookmarkStart w:id="299" w:name="_Toc26830"/>
      <w:bookmarkStart w:id="300" w:name="_Toc5794"/>
      <w:bookmarkStart w:id="301" w:name="_Toc10260"/>
      <w:r>
        <w:rPr>
          <w:rFonts w:hint="eastAsia"/>
          <w:color w:val="auto"/>
          <w:highlight w:val="none"/>
        </w:rPr>
        <w:t>投标文件目录</w:t>
      </w:r>
      <w:bookmarkEnd w:id="298"/>
      <w:bookmarkEnd w:id="299"/>
      <w:bookmarkEnd w:id="300"/>
      <w:bookmarkEnd w:id="301"/>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302" w:name="_Toc18893"/>
      <w:bookmarkStart w:id="303" w:name="_Toc25502"/>
      <w:bookmarkStart w:id="304" w:name="_Toc5670"/>
      <w:bookmarkStart w:id="305" w:name="_Toc10789"/>
      <w:r>
        <w:rPr>
          <w:rFonts w:hint="eastAsia"/>
          <w:color w:val="auto"/>
          <w:highlight w:val="none"/>
        </w:rPr>
        <w:t>评分标准索引表</w:t>
      </w:r>
      <w:bookmarkEnd w:id="302"/>
      <w:bookmarkEnd w:id="303"/>
      <w:bookmarkEnd w:id="304"/>
      <w:bookmarkEnd w:id="305"/>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1"/>
              <w:jc w:val="both"/>
              <w:rPr>
                <w:rFonts w:ascii="宋体" w:hAnsi="宋体" w:cs="宋体"/>
                <w:color w:val="auto"/>
                <w:szCs w:val="21"/>
                <w:highlight w:val="none"/>
              </w:rPr>
            </w:pPr>
          </w:p>
        </w:tc>
        <w:tc>
          <w:tcPr>
            <w:tcW w:w="5028" w:type="dxa"/>
            <w:noWrap/>
            <w:vAlign w:val="center"/>
          </w:tcPr>
          <w:p>
            <w:pPr>
              <w:pStyle w:val="31"/>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outlineLvl w:val="1"/>
        <w:rPr>
          <w:color w:val="auto"/>
          <w:highlight w:val="none"/>
        </w:rPr>
      </w:pPr>
      <w:bookmarkStart w:id="306" w:name="_Toc8194"/>
      <w:bookmarkStart w:id="307" w:name="_Toc22080"/>
      <w:bookmarkStart w:id="308" w:name="_Toc28692"/>
      <w:bookmarkStart w:id="309" w:name="_Toc30640"/>
      <w:r>
        <w:rPr>
          <w:rFonts w:hint="eastAsia"/>
          <w:color w:val="auto"/>
          <w:highlight w:val="none"/>
        </w:rPr>
        <w:t>第一章价格文件</w:t>
      </w:r>
      <w:bookmarkEnd w:id="306"/>
      <w:bookmarkEnd w:id="307"/>
      <w:bookmarkEnd w:id="308"/>
    </w:p>
    <w:p>
      <w:pPr>
        <w:pStyle w:val="4"/>
        <w:jc w:val="center"/>
        <w:rPr>
          <w:color w:val="auto"/>
          <w:highlight w:val="none"/>
        </w:rPr>
      </w:pPr>
      <w:bookmarkStart w:id="310" w:name="_Toc19750"/>
      <w:bookmarkStart w:id="311" w:name="_Toc4168"/>
      <w:bookmarkStart w:id="312" w:name="_Toc18838"/>
      <w:r>
        <w:rPr>
          <w:rFonts w:hint="eastAsia"/>
          <w:color w:val="auto"/>
          <w:highlight w:val="none"/>
        </w:rPr>
        <w:t>一、唱标一览表</w:t>
      </w:r>
      <w:bookmarkEnd w:id="310"/>
      <w:bookmarkEnd w:id="311"/>
      <w:bookmarkEnd w:id="312"/>
    </w:p>
    <w:p>
      <w:pPr>
        <w:rPr>
          <w:color w:val="auto"/>
          <w:highlight w:val="none"/>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w:t>
            </w:r>
            <w:r>
              <w:rPr>
                <w:rFonts w:hint="eastAsia" w:ascii="宋体" w:hAnsi="宋体"/>
                <w:color w:val="auto"/>
                <w:szCs w:val="21"/>
                <w:highlight w:val="none"/>
                <w:lang w:val="en-US" w:eastAsia="zh-CN"/>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313" w:name="_Toc31172"/>
      <w:bookmarkStart w:id="314" w:name="_Toc31062"/>
      <w:bookmarkStart w:id="315" w:name="_Toc19474"/>
      <w:r>
        <w:rPr>
          <w:rFonts w:hint="eastAsia"/>
          <w:color w:val="auto"/>
          <w:highlight w:val="none"/>
        </w:rPr>
        <w:t>二、报价明细表</w:t>
      </w:r>
      <w:bookmarkEnd w:id="313"/>
      <w:bookmarkEnd w:id="314"/>
      <w:bookmarkEnd w:id="315"/>
    </w:p>
    <w:p>
      <w:pPr>
        <w:pStyle w:val="31"/>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pStyle w:val="4"/>
        <w:jc w:val="center"/>
        <w:rPr>
          <w:color w:val="auto"/>
          <w:highlight w:val="none"/>
        </w:rPr>
      </w:pPr>
      <w:bookmarkStart w:id="316" w:name="_Toc23355"/>
      <w:bookmarkStart w:id="317" w:name="_Toc9417"/>
      <w:bookmarkStart w:id="318" w:name="_Toc20974"/>
      <w:r>
        <w:rPr>
          <w:rFonts w:hint="eastAsia"/>
          <w:color w:val="auto"/>
          <w:highlight w:val="none"/>
        </w:rPr>
        <w:t>三、小型或微型企业（货物/服务/承担的工程）明细表</w:t>
      </w:r>
      <w:bookmarkEnd w:id="316"/>
      <w:bookmarkEnd w:id="317"/>
      <w:bookmarkEnd w:id="318"/>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4"/>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pPr>
        <w:pStyle w:val="34"/>
        <w:ind w:firstLine="422"/>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319" w:name="_Toc16718"/>
      <w:bookmarkStart w:id="320" w:name="_Toc13970"/>
      <w:bookmarkStart w:id="321" w:name="_Toc4753"/>
      <w:r>
        <w:rPr>
          <w:rFonts w:hint="eastAsia"/>
          <w:color w:val="auto"/>
          <w:highlight w:val="none"/>
        </w:rPr>
        <w:t>四、节能产品或环境标志产品明细表</w:t>
      </w:r>
      <w:bookmarkEnd w:id="319"/>
      <w:bookmarkEnd w:id="320"/>
      <w:bookmarkEnd w:id="321"/>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1"/>
        <w:rPr>
          <w:color w:val="auto"/>
          <w:highlight w:val="none"/>
        </w:rPr>
      </w:pPr>
    </w:p>
    <w:p>
      <w:pPr>
        <w:tabs>
          <w:tab w:val="left" w:pos="284"/>
        </w:tabs>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pPr>
        <w:tabs>
          <w:tab w:val="left" w:pos="284"/>
        </w:tabs>
        <w:ind w:firstLine="422" w:firstLineChars="200"/>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322" w:name="_Toc22560"/>
      <w:bookmarkStart w:id="323" w:name="_Toc10853"/>
      <w:bookmarkStart w:id="324" w:name="_Toc17482"/>
      <w:r>
        <w:rPr>
          <w:rFonts w:hint="eastAsia"/>
          <w:color w:val="auto"/>
          <w:highlight w:val="none"/>
        </w:rPr>
        <w:t>五、中小企业声明函</w:t>
      </w:r>
      <w:bookmarkEnd w:id="322"/>
      <w:bookmarkEnd w:id="323"/>
      <w:bookmarkEnd w:id="324"/>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0"/>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325" w:name="_Toc14000"/>
      <w:bookmarkStart w:id="326" w:name="_Toc7959"/>
      <w:bookmarkStart w:id="327" w:name="_Toc8560"/>
      <w:r>
        <w:rPr>
          <w:rFonts w:hint="eastAsia"/>
          <w:color w:val="auto"/>
          <w:highlight w:val="none"/>
        </w:rPr>
        <w:t>六、残疾人福利性单位声明函</w:t>
      </w:r>
      <w:bookmarkEnd w:id="325"/>
      <w:bookmarkEnd w:id="326"/>
      <w:bookmarkEnd w:id="327"/>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328" w:name="_Toc508958703"/>
      <w:bookmarkStart w:id="329" w:name="_Toc30277"/>
      <w:bookmarkStart w:id="330" w:name="_Toc22970"/>
      <w:bookmarkStart w:id="331" w:name="_Toc20910"/>
      <w:bookmarkStart w:id="332" w:name="_Toc508898066"/>
      <w:bookmarkStart w:id="333" w:name="_Toc509479530"/>
      <w:bookmarkStart w:id="334" w:name="_Toc508960153"/>
      <w:bookmarkStart w:id="335" w:name="_Toc510171693"/>
      <w:bookmarkStart w:id="336" w:name="_Toc509927455"/>
      <w:bookmarkStart w:id="337" w:name="_Toc509844825"/>
      <w:bookmarkStart w:id="338" w:name="_Toc17761"/>
      <w:bookmarkStart w:id="339" w:name="_Toc30247"/>
    </w:p>
    <w:p>
      <w:pPr>
        <w:jc w:val="center"/>
        <w:rPr>
          <w:rFonts w:ascii="宋体" w:hAnsi="宋体"/>
          <w:color w:val="auto"/>
          <w:szCs w:val="21"/>
          <w:highlight w:val="none"/>
        </w:rPr>
      </w:pPr>
      <w:r>
        <w:rPr>
          <w:rFonts w:hint="eastAsia" w:ascii="宋体" w:hAnsi="宋体"/>
          <w:color w:val="auto"/>
          <w:szCs w:val="21"/>
          <w:highlight w:val="none"/>
        </w:rPr>
        <w:t>日  期：</w:t>
      </w:r>
      <w:bookmarkEnd w:id="328"/>
      <w:bookmarkEnd w:id="329"/>
      <w:bookmarkEnd w:id="330"/>
      <w:bookmarkEnd w:id="331"/>
      <w:bookmarkEnd w:id="332"/>
      <w:bookmarkEnd w:id="333"/>
      <w:bookmarkEnd w:id="334"/>
      <w:bookmarkEnd w:id="335"/>
      <w:bookmarkEnd w:id="336"/>
      <w:bookmarkEnd w:id="337"/>
      <w:bookmarkEnd w:id="338"/>
      <w:bookmarkEnd w:id="339"/>
    </w:p>
    <w:p>
      <w:pPr>
        <w:pStyle w:val="7"/>
        <w:rPr>
          <w:color w:val="auto"/>
          <w:highlight w:val="none"/>
        </w:rPr>
      </w:pPr>
    </w:p>
    <w:p>
      <w:pPr>
        <w:ind w:firstLine="420" w:firstLineChars="200"/>
        <w:rPr>
          <w:rFonts w:ascii="宋体" w:hAnsi="宋体"/>
          <w:color w:val="auto"/>
          <w:szCs w:val="21"/>
          <w:highlight w:val="none"/>
        </w:rPr>
      </w:pPr>
      <w:bookmarkStart w:id="340" w:name="_Toc508958704"/>
      <w:bookmarkStart w:id="341" w:name="_Toc28527"/>
      <w:bookmarkStart w:id="342" w:name="_Toc31520"/>
      <w:bookmarkStart w:id="343" w:name="_Toc510171694"/>
      <w:bookmarkStart w:id="344" w:name="_Toc26216"/>
      <w:bookmarkStart w:id="345" w:name="_Toc509927456"/>
      <w:bookmarkStart w:id="346" w:name="_Toc509844826"/>
      <w:bookmarkStart w:id="347" w:name="_Toc21053"/>
      <w:bookmarkStart w:id="348" w:name="_Toc508898067"/>
      <w:bookmarkStart w:id="349" w:name="_Toc509479531"/>
      <w:bookmarkStart w:id="350" w:name="_Toc508960154"/>
      <w:bookmarkStart w:id="351" w:name="_Toc544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340"/>
      <w:bookmarkEnd w:id="341"/>
      <w:bookmarkEnd w:id="342"/>
      <w:bookmarkEnd w:id="343"/>
      <w:bookmarkEnd w:id="344"/>
      <w:bookmarkEnd w:id="345"/>
      <w:bookmarkEnd w:id="346"/>
      <w:bookmarkEnd w:id="347"/>
      <w:bookmarkEnd w:id="348"/>
      <w:bookmarkEnd w:id="349"/>
      <w:bookmarkEnd w:id="350"/>
      <w:bookmarkEnd w:id="351"/>
    </w:p>
    <w:p>
      <w:pPr>
        <w:ind w:firstLine="420" w:firstLineChars="200"/>
        <w:rPr>
          <w:rFonts w:ascii="宋体" w:hAnsi="宋体"/>
          <w:color w:val="auto"/>
          <w:szCs w:val="21"/>
          <w:highlight w:val="none"/>
        </w:rPr>
      </w:pPr>
      <w:bookmarkStart w:id="352" w:name="_Toc9148"/>
      <w:bookmarkStart w:id="353" w:name="_Toc509479532"/>
      <w:bookmarkStart w:id="354" w:name="_Toc509927457"/>
      <w:bookmarkStart w:id="355" w:name="_Toc14653"/>
      <w:bookmarkStart w:id="356" w:name="_Toc510171695"/>
      <w:bookmarkStart w:id="357" w:name="_Toc28126"/>
      <w:bookmarkStart w:id="358" w:name="_Toc509844827"/>
      <w:bookmarkStart w:id="359" w:name="_Toc508960155"/>
      <w:bookmarkStart w:id="360" w:name="_Toc24848"/>
      <w:bookmarkStart w:id="361" w:name="_Toc508958705"/>
      <w:bookmarkStart w:id="362" w:name="_Toc508898068"/>
      <w:bookmarkStart w:id="363"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352"/>
      <w:bookmarkEnd w:id="353"/>
      <w:bookmarkEnd w:id="354"/>
      <w:bookmarkEnd w:id="355"/>
      <w:bookmarkEnd w:id="356"/>
      <w:bookmarkEnd w:id="357"/>
      <w:bookmarkEnd w:id="358"/>
      <w:bookmarkEnd w:id="359"/>
      <w:bookmarkEnd w:id="360"/>
      <w:bookmarkEnd w:id="361"/>
      <w:bookmarkEnd w:id="362"/>
      <w:bookmarkEnd w:id="363"/>
    </w:p>
    <w:p>
      <w:pPr>
        <w:ind w:firstLine="420" w:firstLineChars="200"/>
        <w:rPr>
          <w:rFonts w:ascii="宋体" w:hAnsi="宋体"/>
          <w:color w:val="auto"/>
          <w:szCs w:val="21"/>
          <w:highlight w:val="none"/>
        </w:rPr>
      </w:pPr>
      <w:bookmarkStart w:id="364" w:name="_Toc22981"/>
      <w:bookmarkStart w:id="365" w:name="_Toc509844828"/>
      <w:bookmarkStart w:id="366" w:name="_Toc9837"/>
      <w:bookmarkStart w:id="367" w:name="_Toc7858"/>
      <w:bookmarkStart w:id="368" w:name="_Toc508898069"/>
      <w:bookmarkStart w:id="369" w:name="_Toc508960156"/>
      <w:bookmarkStart w:id="370" w:name="_Toc509927458"/>
      <w:bookmarkStart w:id="371" w:name="_Toc28686"/>
      <w:bookmarkStart w:id="372" w:name="_Toc510171696"/>
      <w:bookmarkStart w:id="373" w:name="_Toc509479533"/>
      <w:bookmarkStart w:id="374" w:name="_Toc28044"/>
      <w:bookmarkStart w:id="375"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364"/>
      <w:bookmarkEnd w:id="365"/>
      <w:bookmarkEnd w:id="366"/>
      <w:bookmarkEnd w:id="367"/>
      <w:bookmarkEnd w:id="368"/>
      <w:bookmarkEnd w:id="369"/>
      <w:bookmarkEnd w:id="370"/>
      <w:bookmarkEnd w:id="371"/>
      <w:bookmarkEnd w:id="372"/>
      <w:bookmarkEnd w:id="373"/>
      <w:bookmarkEnd w:id="374"/>
      <w:bookmarkEnd w:id="375"/>
    </w:p>
    <w:p>
      <w:pPr>
        <w:ind w:firstLine="420" w:firstLineChars="200"/>
        <w:rPr>
          <w:rFonts w:ascii="宋体" w:hAnsi="宋体"/>
          <w:color w:val="auto"/>
          <w:szCs w:val="21"/>
          <w:highlight w:val="none"/>
        </w:rPr>
      </w:pPr>
      <w:bookmarkStart w:id="376" w:name="_Toc510171697"/>
      <w:bookmarkStart w:id="377" w:name="_Toc5289"/>
      <w:bookmarkStart w:id="378" w:name="_Toc509479534"/>
      <w:bookmarkStart w:id="379" w:name="_Toc509927459"/>
      <w:bookmarkStart w:id="380" w:name="_Toc508958707"/>
      <w:bookmarkStart w:id="381" w:name="_Toc18843"/>
      <w:bookmarkStart w:id="382" w:name="_Toc508960157"/>
      <w:bookmarkStart w:id="383" w:name="_Toc508898070"/>
      <w:bookmarkStart w:id="384" w:name="_Toc50984482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376"/>
      <w:bookmarkEnd w:id="377"/>
      <w:bookmarkEnd w:id="378"/>
      <w:bookmarkEnd w:id="379"/>
      <w:bookmarkEnd w:id="380"/>
      <w:bookmarkEnd w:id="381"/>
      <w:bookmarkEnd w:id="382"/>
      <w:bookmarkEnd w:id="383"/>
      <w:bookmarkEnd w:id="384"/>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outlineLvl w:val="1"/>
        <w:rPr>
          <w:color w:val="auto"/>
          <w:highlight w:val="none"/>
        </w:rPr>
      </w:pPr>
      <w:bookmarkStart w:id="385" w:name="_Toc14713"/>
      <w:bookmarkStart w:id="386" w:name="_Toc23948"/>
      <w:bookmarkStart w:id="387" w:name="_Toc6471"/>
      <w:r>
        <w:rPr>
          <w:rFonts w:hint="eastAsia"/>
          <w:color w:val="auto"/>
          <w:highlight w:val="none"/>
        </w:rPr>
        <w:t>第二章商务文件</w:t>
      </w:r>
      <w:bookmarkEnd w:id="385"/>
      <w:bookmarkEnd w:id="386"/>
      <w:bookmarkEnd w:id="387"/>
    </w:p>
    <w:bookmarkEnd w:id="309"/>
    <w:p>
      <w:pPr>
        <w:pStyle w:val="4"/>
        <w:jc w:val="center"/>
        <w:rPr>
          <w:color w:val="auto"/>
          <w:highlight w:val="none"/>
        </w:rPr>
      </w:pPr>
      <w:bookmarkStart w:id="388" w:name="_Toc1952"/>
      <w:bookmarkStart w:id="389" w:name="_Toc23787"/>
      <w:bookmarkStart w:id="390" w:name="_Toc4389"/>
      <w:r>
        <w:rPr>
          <w:rFonts w:hint="eastAsia"/>
          <w:color w:val="auto"/>
          <w:highlight w:val="none"/>
        </w:rPr>
        <w:t>一、投标函</w:t>
      </w:r>
      <w:bookmarkEnd w:id="388"/>
      <w:bookmarkEnd w:id="389"/>
      <w:bookmarkEnd w:id="390"/>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391" w:name="_Toc15719"/>
      <w:bookmarkStart w:id="392" w:name="_Toc30649"/>
      <w:bookmarkStart w:id="393" w:name="_Toc28616"/>
      <w:r>
        <w:rPr>
          <w:rFonts w:hint="eastAsia"/>
          <w:color w:val="auto"/>
          <w:highlight w:val="none"/>
        </w:rPr>
        <w:t>二、资格申明函</w:t>
      </w:r>
      <w:bookmarkEnd w:id="391"/>
      <w:bookmarkEnd w:id="392"/>
      <w:bookmarkEnd w:id="393"/>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394" w:name="_Toc16412"/>
    </w:p>
    <w:p>
      <w:pPr>
        <w:pStyle w:val="4"/>
        <w:jc w:val="center"/>
        <w:rPr>
          <w:color w:val="auto"/>
          <w:highlight w:val="none"/>
        </w:rPr>
      </w:pPr>
      <w:bookmarkStart w:id="395" w:name="_Toc21273"/>
      <w:bookmarkStart w:id="396" w:name="_Toc32742"/>
      <w:bookmarkStart w:id="397" w:name="_Toc4642"/>
      <w:r>
        <w:rPr>
          <w:rFonts w:hint="eastAsia"/>
          <w:color w:val="auto"/>
          <w:highlight w:val="none"/>
        </w:rPr>
        <w:t>三、在参与政府采购活动前三年未有重大违法记录、没有不良信用记录的声明函</w:t>
      </w:r>
      <w:bookmarkEnd w:id="395"/>
      <w:bookmarkEnd w:id="396"/>
      <w:bookmarkEnd w:id="39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94"/>
    </w:p>
    <w:p>
      <w:pPr>
        <w:pStyle w:val="4"/>
        <w:jc w:val="center"/>
        <w:rPr>
          <w:color w:val="auto"/>
          <w:highlight w:val="none"/>
        </w:rPr>
      </w:pPr>
      <w:bookmarkStart w:id="398" w:name="_Toc13243"/>
      <w:bookmarkStart w:id="399" w:name="_Toc3894"/>
      <w:bookmarkStart w:id="400" w:name="_Toc21418"/>
      <w:r>
        <w:rPr>
          <w:rFonts w:hint="eastAsia"/>
          <w:color w:val="auto"/>
          <w:highlight w:val="none"/>
        </w:rPr>
        <w:t>四、法定代表人证明书</w:t>
      </w:r>
      <w:bookmarkEnd w:id="398"/>
      <w:bookmarkEnd w:id="399"/>
      <w:bookmarkEnd w:id="400"/>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401" w:name="_Toc5918"/>
      <w:bookmarkStart w:id="402" w:name="_Toc11070"/>
      <w:bookmarkStart w:id="403" w:name="_Toc5626"/>
      <w:r>
        <w:rPr>
          <w:rFonts w:hint="eastAsia"/>
          <w:color w:val="auto"/>
          <w:highlight w:val="none"/>
        </w:rPr>
        <w:t>五、法定代表人授权书</w:t>
      </w:r>
      <w:bookmarkEnd w:id="401"/>
      <w:bookmarkEnd w:id="402"/>
      <w:bookmarkEnd w:id="403"/>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404"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405" w:name="_Toc18562"/>
      <w:bookmarkStart w:id="406" w:name="_Toc9386"/>
      <w:bookmarkStart w:id="407" w:name="_Toc24013"/>
      <w:r>
        <w:rPr>
          <w:rFonts w:hint="eastAsia"/>
          <w:color w:val="auto"/>
          <w:highlight w:val="none"/>
        </w:rPr>
        <w:t>六、投标人基本情况说明</w:t>
      </w:r>
      <w:bookmarkEnd w:id="405"/>
      <w:bookmarkEnd w:id="406"/>
      <w:bookmarkEnd w:id="407"/>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7"/>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4"/>
        <w:jc w:val="center"/>
        <w:rPr>
          <w:color w:val="auto"/>
          <w:highlight w:val="none"/>
        </w:rPr>
      </w:pPr>
      <w:bookmarkStart w:id="408" w:name="_Toc17470"/>
      <w:bookmarkStart w:id="409" w:name="_Toc28067"/>
      <w:bookmarkStart w:id="410" w:name="_Toc1511"/>
      <w:bookmarkStart w:id="411" w:name="_Toc31200"/>
      <w:bookmarkStart w:id="412" w:name="_Toc4926"/>
      <w:bookmarkStart w:id="413" w:name="_Toc24210"/>
      <w:bookmarkStart w:id="414" w:name="_Toc29995"/>
      <w:bookmarkStart w:id="415" w:name="_Toc5919"/>
      <w:r>
        <w:rPr>
          <w:rFonts w:hint="eastAsia"/>
          <w:color w:val="auto"/>
          <w:highlight w:val="none"/>
        </w:rPr>
        <w:t>七、营业执照</w:t>
      </w:r>
      <w:bookmarkEnd w:id="408"/>
      <w:bookmarkEnd w:id="409"/>
      <w:bookmarkEnd w:id="410"/>
      <w:bookmarkEnd w:id="411"/>
      <w:bookmarkEnd w:id="412"/>
      <w:bookmarkEnd w:id="413"/>
      <w:bookmarkEnd w:id="414"/>
      <w:bookmarkEnd w:id="415"/>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404"/>
    <w:p>
      <w:pPr>
        <w:pStyle w:val="4"/>
        <w:jc w:val="center"/>
        <w:rPr>
          <w:color w:val="auto"/>
          <w:highlight w:val="none"/>
        </w:rPr>
      </w:pPr>
      <w:bookmarkStart w:id="416" w:name="_Toc21638"/>
      <w:bookmarkStart w:id="417" w:name="_Toc12291"/>
      <w:bookmarkStart w:id="418" w:name="_Toc29439"/>
      <w:r>
        <w:rPr>
          <w:rFonts w:hint="eastAsia"/>
          <w:color w:val="auto"/>
          <w:highlight w:val="none"/>
        </w:rPr>
        <w:t>八、特殊资格要求证明文件</w:t>
      </w:r>
      <w:bookmarkEnd w:id="416"/>
      <w:bookmarkEnd w:id="417"/>
      <w:bookmarkEnd w:id="418"/>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419" w:name="_Toc15800"/>
      <w:bookmarkStart w:id="420" w:name="_Toc23341"/>
      <w:bookmarkStart w:id="421" w:name="_Toc14263"/>
      <w:r>
        <w:rPr>
          <w:rFonts w:hint="eastAsia"/>
          <w:color w:val="auto"/>
          <w:highlight w:val="none"/>
        </w:rPr>
        <w:t>九、承诺书</w:t>
      </w:r>
      <w:bookmarkEnd w:id="419"/>
      <w:bookmarkEnd w:id="420"/>
      <w:bookmarkEnd w:id="421"/>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422"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422"/>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bidi w:val="0"/>
        <w:rPr>
          <w:rFonts w:hint="eastAsia"/>
          <w:color w:val="auto"/>
          <w:highlight w:val="none"/>
        </w:rPr>
      </w:pPr>
      <w:bookmarkStart w:id="423" w:name="_Toc13653"/>
      <w:bookmarkStart w:id="424" w:name="_Toc13955"/>
    </w:p>
    <w:p>
      <w:pPr>
        <w:pStyle w:val="4"/>
        <w:jc w:val="center"/>
        <w:rPr>
          <w:color w:val="auto"/>
          <w:highlight w:val="none"/>
        </w:rPr>
      </w:pPr>
      <w:bookmarkStart w:id="425" w:name="_Toc20459"/>
      <w:r>
        <w:rPr>
          <w:rFonts w:hint="eastAsia"/>
          <w:color w:val="auto"/>
          <w:highlight w:val="none"/>
        </w:rPr>
        <w:t>十、招标代理服务费承诺书</w:t>
      </w:r>
      <w:bookmarkEnd w:id="423"/>
      <w:bookmarkEnd w:id="424"/>
      <w:bookmarkEnd w:id="42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426" w:name="_Toc1975"/>
      <w:bookmarkStart w:id="427" w:name="_Toc12598"/>
      <w:bookmarkStart w:id="428" w:name="_Toc17484"/>
      <w:r>
        <w:rPr>
          <w:rFonts w:hint="eastAsia"/>
          <w:color w:val="auto"/>
          <w:highlight w:val="none"/>
        </w:rPr>
        <w:t>十一、商务条款偏离表</w:t>
      </w:r>
      <w:bookmarkEnd w:id="426"/>
      <w:bookmarkEnd w:id="427"/>
      <w:bookmarkEnd w:id="428"/>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429" w:name="_Toc32183"/>
    </w:p>
    <w:p>
      <w:pPr>
        <w:pStyle w:val="4"/>
        <w:jc w:val="center"/>
        <w:rPr>
          <w:color w:val="auto"/>
          <w:highlight w:val="none"/>
        </w:rPr>
      </w:pPr>
      <w:bookmarkStart w:id="430" w:name="_Toc3951"/>
      <w:bookmarkStart w:id="431" w:name="_Toc19276"/>
      <w:bookmarkStart w:id="432" w:name="_Toc25391"/>
      <w:r>
        <w:rPr>
          <w:rFonts w:hint="eastAsia"/>
          <w:color w:val="auto"/>
          <w:highlight w:val="none"/>
        </w:rPr>
        <w:t>十二、业绩表</w:t>
      </w:r>
      <w:bookmarkEnd w:id="430"/>
      <w:bookmarkEnd w:id="431"/>
      <w:bookmarkEnd w:id="432"/>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outlineLvl w:val="1"/>
        <w:rPr>
          <w:rFonts w:ascii="黑体" w:eastAsia="黑体"/>
          <w:color w:val="auto"/>
          <w:szCs w:val="28"/>
          <w:highlight w:val="none"/>
        </w:rPr>
      </w:pPr>
      <w:bookmarkStart w:id="433" w:name="_Toc20520"/>
      <w:bookmarkStart w:id="434" w:name="_Toc31140"/>
      <w:bookmarkStart w:id="435" w:name="_Toc14688"/>
      <w:r>
        <w:rPr>
          <w:rFonts w:hint="eastAsia"/>
          <w:color w:val="auto"/>
          <w:highlight w:val="none"/>
        </w:rPr>
        <w:t>第三章技术文件</w:t>
      </w:r>
      <w:bookmarkEnd w:id="429"/>
      <w:bookmarkEnd w:id="433"/>
      <w:bookmarkEnd w:id="434"/>
      <w:bookmarkEnd w:id="435"/>
    </w:p>
    <w:p>
      <w:pPr>
        <w:pStyle w:val="4"/>
        <w:jc w:val="center"/>
        <w:rPr>
          <w:color w:val="auto"/>
          <w:highlight w:val="none"/>
        </w:rPr>
      </w:pPr>
      <w:bookmarkStart w:id="436" w:name="_Toc19165"/>
      <w:bookmarkStart w:id="437" w:name="_Toc7092"/>
      <w:bookmarkStart w:id="438" w:name="_Toc13097"/>
      <w:r>
        <w:rPr>
          <w:rFonts w:hint="eastAsia"/>
          <w:color w:val="auto"/>
          <w:highlight w:val="none"/>
        </w:rPr>
        <w:t>一、技术规格偏离表</w:t>
      </w:r>
      <w:bookmarkEnd w:id="436"/>
      <w:bookmarkEnd w:id="437"/>
      <w:bookmarkEnd w:id="438"/>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439" w:name="_Toc17691"/>
      <w:r>
        <w:rPr>
          <w:rFonts w:hint="eastAsia" w:ascii="宋体" w:hAnsi="宋体"/>
          <w:color w:val="auto"/>
          <w:szCs w:val="21"/>
          <w:highlight w:val="none"/>
        </w:rPr>
        <w:br w:type="page"/>
      </w:r>
      <w:bookmarkEnd w:id="439"/>
      <w:bookmarkStart w:id="440" w:name="_Toc1274"/>
      <w:bookmarkStart w:id="441" w:name="_Toc26078"/>
      <w:bookmarkStart w:id="442" w:name="_Toc4464"/>
      <w:bookmarkStart w:id="443" w:name="_Toc6080"/>
      <w:bookmarkStart w:id="444" w:name="_Toc4827"/>
      <w:bookmarkStart w:id="445" w:name="_Toc18668"/>
    </w:p>
    <w:p>
      <w:pPr>
        <w:pStyle w:val="4"/>
        <w:jc w:val="center"/>
        <w:rPr>
          <w:color w:val="auto"/>
          <w:highlight w:val="none"/>
        </w:rPr>
      </w:pPr>
      <w:bookmarkStart w:id="446" w:name="_Toc13461"/>
      <w:bookmarkStart w:id="447" w:name="_Toc10734"/>
      <w:bookmarkStart w:id="448" w:name="_Toc3989"/>
      <w:r>
        <w:rPr>
          <w:rFonts w:hint="eastAsia"/>
          <w:color w:val="auto"/>
          <w:highlight w:val="none"/>
        </w:rPr>
        <w:t>二、重要技术参数（▲）响应表</w:t>
      </w:r>
      <w:bookmarkEnd w:id="440"/>
      <w:bookmarkEnd w:id="441"/>
      <w:bookmarkEnd w:id="442"/>
      <w:bookmarkEnd w:id="443"/>
      <w:bookmarkEnd w:id="444"/>
      <w:bookmarkEnd w:id="445"/>
      <w:bookmarkEnd w:id="446"/>
      <w:bookmarkEnd w:id="447"/>
      <w:bookmarkEnd w:id="448"/>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449" w:name="_Toc27079"/>
            <w:bookmarkStart w:id="450" w:name="_Toc29560"/>
            <w:bookmarkStart w:id="451" w:name="_Toc29642"/>
            <w:r>
              <w:rPr>
                <w:rFonts w:hint="eastAsia" w:ascii="宋体" w:hAnsi="宋体" w:cs="宋体"/>
                <w:b w:val="0"/>
                <w:bCs w:val="0"/>
                <w:color w:val="auto"/>
                <w:sz w:val="21"/>
                <w:szCs w:val="21"/>
                <w:highlight w:val="none"/>
              </w:rPr>
              <w:t>序号</w:t>
            </w:r>
            <w:bookmarkEnd w:id="449"/>
            <w:bookmarkEnd w:id="450"/>
            <w:bookmarkEnd w:id="451"/>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452" w:name="_Toc10045"/>
            <w:bookmarkStart w:id="453" w:name="_Toc21739"/>
            <w:bookmarkStart w:id="454" w:name="_Toc15903"/>
            <w:bookmarkStart w:id="455" w:name="_Toc22448"/>
            <w:bookmarkStart w:id="456" w:name="_Toc2700"/>
            <w:bookmarkStart w:id="457" w:name="_Toc1016"/>
            <w:bookmarkStart w:id="458" w:name="_Toc15368"/>
            <w:bookmarkStart w:id="459" w:name="_Toc16872"/>
            <w:bookmarkStart w:id="460" w:name="_Toc12049"/>
            <w:bookmarkStart w:id="461" w:name="_Toc4304"/>
            <w:bookmarkStart w:id="462" w:name="_Toc26124"/>
            <w:bookmarkStart w:id="463" w:name="_Toc14815"/>
            <w:bookmarkStart w:id="464" w:name="_Toc27090"/>
            <w:bookmarkStart w:id="465" w:name="_Toc21809"/>
            <w:bookmarkStart w:id="466" w:name="_Toc8312"/>
            <w:bookmarkStart w:id="467" w:name="_Toc19251"/>
            <w:bookmarkStart w:id="468" w:name="_Toc27442"/>
            <w:bookmarkStart w:id="469" w:name="_Toc32531"/>
            <w:bookmarkStart w:id="470" w:name="_Toc24662"/>
            <w:bookmarkStart w:id="471" w:name="_Toc22917"/>
            <w:bookmarkStart w:id="472" w:name="_Toc8490"/>
            <w:bookmarkStart w:id="473" w:name="_Toc7333"/>
            <w:bookmarkStart w:id="474" w:name="_Toc22879"/>
            <w:r>
              <w:rPr>
                <w:rFonts w:hint="eastAsia" w:ascii="宋体" w:hAnsi="宋体" w:cs="宋体"/>
                <w:b w:val="0"/>
                <w:bCs w:val="0"/>
                <w:color w:val="auto"/>
                <w:sz w:val="21"/>
                <w:szCs w:val="21"/>
                <w:highlight w:val="none"/>
              </w:rPr>
              <w:t>重要技术参数评分条款（▲）</w:t>
            </w:r>
            <w:bookmarkEnd w:id="452"/>
            <w:bookmarkEnd w:id="453"/>
            <w:bookmarkEnd w:id="454"/>
            <w:bookmarkEnd w:id="455"/>
            <w:bookmarkEnd w:id="456"/>
            <w:bookmarkEnd w:id="457"/>
            <w:bookmarkEnd w:id="458"/>
            <w:bookmarkEnd w:id="459"/>
            <w:bookmarkEnd w:id="460"/>
            <w:bookmarkEnd w:id="461"/>
            <w:bookmarkEnd w:id="462"/>
            <w:bookmarkEnd w:id="463"/>
            <w:bookmarkEnd w:id="464"/>
          </w:p>
          <w:bookmarkEnd w:id="465"/>
          <w:bookmarkEnd w:id="466"/>
          <w:bookmarkEnd w:id="467"/>
          <w:bookmarkEnd w:id="468"/>
          <w:bookmarkEnd w:id="469"/>
          <w:bookmarkEnd w:id="470"/>
          <w:bookmarkEnd w:id="471"/>
          <w:bookmarkEnd w:id="472"/>
          <w:bookmarkEnd w:id="473"/>
          <w:bookmarkEnd w:id="474"/>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475" w:name="_Toc10122"/>
            <w:bookmarkStart w:id="476" w:name="_Toc2408"/>
            <w:bookmarkStart w:id="477" w:name="_Toc22153"/>
            <w:r>
              <w:rPr>
                <w:rFonts w:hint="eastAsia" w:ascii="宋体" w:hAnsi="宋体" w:cs="宋体"/>
                <w:b w:val="0"/>
                <w:bCs w:val="0"/>
                <w:color w:val="auto"/>
                <w:sz w:val="21"/>
                <w:szCs w:val="21"/>
                <w:highlight w:val="none"/>
              </w:rPr>
              <w:t>投标文件响应内容</w:t>
            </w:r>
            <w:bookmarkEnd w:id="475"/>
            <w:bookmarkEnd w:id="476"/>
            <w:bookmarkEnd w:id="47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478" w:name="_Toc16003"/>
            <w:bookmarkStart w:id="479" w:name="_Toc29838"/>
            <w:bookmarkStart w:id="480" w:name="_Toc27285"/>
            <w:bookmarkStart w:id="481" w:name="_Toc3701"/>
            <w:bookmarkStart w:id="482" w:name="_Toc5563"/>
            <w:bookmarkStart w:id="483" w:name="_Toc20820"/>
            <w:bookmarkStart w:id="484" w:name="_Toc1912"/>
            <w:bookmarkStart w:id="485" w:name="_Toc27185"/>
            <w:bookmarkStart w:id="486" w:name="_Toc1330"/>
            <w:bookmarkStart w:id="487" w:name="_Toc17296"/>
            <w:bookmarkStart w:id="488" w:name="_Toc17642"/>
            <w:bookmarkStart w:id="489" w:name="_Toc20139"/>
            <w:bookmarkStart w:id="490" w:name="_Toc5992"/>
            <w:r>
              <w:rPr>
                <w:rFonts w:hint="eastAsia" w:ascii="宋体" w:hAnsi="宋体" w:cs="宋体"/>
                <w:b w:val="0"/>
                <w:bCs w:val="0"/>
                <w:color w:val="auto"/>
                <w:sz w:val="21"/>
                <w:szCs w:val="21"/>
                <w:highlight w:val="none"/>
              </w:rPr>
              <w:t>说明</w:t>
            </w:r>
            <w:bookmarkEnd w:id="478"/>
            <w:bookmarkEnd w:id="479"/>
            <w:bookmarkEnd w:id="480"/>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491" w:name="_Toc3520"/>
            <w:bookmarkStart w:id="492" w:name="_Toc19105"/>
            <w:bookmarkStart w:id="493" w:name="_Toc857"/>
            <w:r>
              <w:rPr>
                <w:rFonts w:hint="eastAsia" w:ascii="宋体" w:hAnsi="宋体" w:cs="宋体"/>
                <w:b w:val="0"/>
                <w:bCs w:val="0"/>
                <w:color w:val="auto"/>
                <w:sz w:val="21"/>
                <w:szCs w:val="21"/>
                <w:highlight w:val="none"/>
              </w:rPr>
              <w:t>页码范围</w:t>
            </w:r>
            <w:bookmarkEnd w:id="481"/>
            <w:bookmarkEnd w:id="482"/>
            <w:bookmarkEnd w:id="483"/>
            <w:bookmarkEnd w:id="484"/>
            <w:bookmarkEnd w:id="485"/>
            <w:bookmarkEnd w:id="486"/>
            <w:bookmarkEnd w:id="487"/>
            <w:bookmarkEnd w:id="488"/>
            <w:bookmarkEnd w:id="489"/>
            <w:bookmarkEnd w:id="490"/>
            <w:bookmarkEnd w:id="491"/>
            <w:bookmarkEnd w:id="492"/>
            <w:bookmarkEnd w:id="49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outlineLvl w:val="9"/>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494" w:name="_Toc8304"/>
      <w:bookmarkStart w:id="495" w:name="_Toc27139"/>
      <w:bookmarkStart w:id="496" w:name="_Toc19349"/>
      <w:r>
        <w:rPr>
          <w:rFonts w:hint="eastAsia"/>
          <w:color w:val="auto"/>
          <w:highlight w:val="none"/>
        </w:rPr>
        <w:t>三、实质性条款（标记★）投标响应表</w:t>
      </w:r>
      <w:bookmarkEnd w:id="494"/>
      <w:bookmarkEnd w:id="495"/>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497" w:name="_Toc21519"/>
      <w:bookmarkStart w:id="498" w:name="_Toc30792"/>
      <w:r>
        <w:rPr>
          <w:rFonts w:hint="eastAsia"/>
          <w:color w:val="auto"/>
          <w:highlight w:val="none"/>
        </w:rPr>
        <w:t>四、项目技术方案</w:t>
      </w:r>
      <w:bookmarkEnd w:id="496"/>
      <w:bookmarkEnd w:id="497"/>
      <w:bookmarkEnd w:id="498"/>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499" w:name="_Toc6971"/>
      <w:bookmarkStart w:id="500" w:name="_Toc26880"/>
      <w:bookmarkStart w:id="501" w:name="_Toc16328"/>
      <w:r>
        <w:rPr>
          <w:rFonts w:hint="eastAsia"/>
          <w:color w:val="auto"/>
          <w:highlight w:val="none"/>
        </w:rPr>
        <w:t>五、项目负责人及团队成员资料表</w:t>
      </w:r>
      <w:bookmarkEnd w:id="499"/>
      <w:bookmarkEnd w:id="500"/>
      <w:bookmarkEnd w:id="501"/>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502" w:name="_Toc26980"/>
      <w:bookmarkStart w:id="503" w:name="_Toc15431"/>
      <w:bookmarkStart w:id="504" w:name="_Toc5596"/>
      <w:r>
        <w:rPr>
          <w:rFonts w:hint="eastAsia"/>
          <w:color w:val="auto"/>
          <w:highlight w:val="none"/>
        </w:rPr>
        <w:t>六、投标货物明细一览表</w:t>
      </w:r>
      <w:bookmarkEnd w:id="502"/>
      <w:bookmarkEnd w:id="503"/>
      <w:bookmarkEnd w:id="504"/>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505" w:name="_Toc4790"/>
      <w:bookmarkStart w:id="506" w:name="_Toc16710"/>
      <w:bookmarkStart w:id="507" w:name="_Toc21541"/>
      <w:r>
        <w:rPr>
          <w:rFonts w:hint="eastAsia"/>
          <w:color w:val="auto"/>
          <w:highlight w:val="none"/>
        </w:rPr>
        <w:t>七、投标保证金汇入情况说明</w:t>
      </w:r>
      <w:bookmarkEnd w:id="505"/>
      <w:bookmarkEnd w:id="506"/>
      <w:bookmarkEnd w:id="507"/>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508" w:name="_Toc26855"/>
      <w:bookmarkStart w:id="509" w:name="_Toc24545"/>
      <w:bookmarkStart w:id="510" w:name="_Toc20582"/>
      <w:r>
        <w:rPr>
          <w:rFonts w:hint="eastAsia"/>
          <w:color w:val="auto"/>
          <w:highlight w:val="none"/>
        </w:rPr>
        <w:t>八、政府采购投标担保函</w:t>
      </w:r>
      <w:bookmarkEnd w:id="508"/>
      <w:bookmarkEnd w:id="509"/>
      <w:bookmarkEnd w:id="510"/>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outlineLvl w:val="2"/>
        <w:rPr>
          <w:rFonts w:ascii="宋体" w:hAnsi="宋体" w:cs="宋体"/>
          <w:b/>
          <w:color w:val="auto"/>
          <w:szCs w:val="21"/>
          <w:highlight w:val="none"/>
        </w:rPr>
      </w:pPr>
      <w:bookmarkStart w:id="511" w:name="_Toc19278"/>
      <w:r>
        <w:rPr>
          <w:rFonts w:hint="eastAsia" w:ascii="宋体" w:hAnsi="宋体" w:cs="宋体"/>
          <w:b/>
          <w:color w:val="auto"/>
          <w:szCs w:val="21"/>
          <w:highlight w:val="none"/>
        </w:rPr>
        <w:t>一、保证责任的情形及保证金额</w:t>
      </w:r>
      <w:bookmarkEnd w:id="511"/>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outlineLvl w:val="2"/>
        <w:rPr>
          <w:rFonts w:ascii="宋体" w:hAnsi="宋体" w:cs="宋体"/>
          <w:b/>
          <w:color w:val="auto"/>
          <w:szCs w:val="21"/>
          <w:highlight w:val="none"/>
        </w:rPr>
      </w:pPr>
      <w:bookmarkStart w:id="512" w:name="_Toc3222"/>
      <w:r>
        <w:rPr>
          <w:rFonts w:hint="eastAsia" w:ascii="宋体" w:hAnsi="宋体" w:cs="宋体"/>
          <w:b/>
          <w:color w:val="auto"/>
          <w:szCs w:val="21"/>
          <w:highlight w:val="none"/>
        </w:rPr>
        <w:t>二、保证的方式及保证期间</w:t>
      </w:r>
      <w:bookmarkEnd w:id="512"/>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outlineLvl w:val="2"/>
        <w:rPr>
          <w:rFonts w:ascii="宋体" w:hAnsi="宋体" w:cs="宋体"/>
          <w:b/>
          <w:color w:val="auto"/>
          <w:szCs w:val="21"/>
          <w:highlight w:val="none"/>
        </w:rPr>
      </w:pPr>
      <w:bookmarkStart w:id="513" w:name="_Toc2288"/>
      <w:r>
        <w:rPr>
          <w:rFonts w:hint="eastAsia" w:ascii="宋体" w:hAnsi="宋体" w:cs="宋体"/>
          <w:b/>
          <w:color w:val="auto"/>
          <w:szCs w:val="21"/>
          <w:highlight w:val="none"/>
        </w:rPr>
        <w:t>三、承担保证责任的程序</w:t>
      </w:r>
      <w:bookmarkEnd w:id="513"/>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outlineLvl w:val="2"/>
        <w:rPr>
          <w:rFonts w:ascii="宋体" w:hAnsi="宋体" w:cs="宋体"/>
          <w:b/>
          <w:color w:val="auto"/>
          <w:szCs w:val="21"/>
          <w:highlight w:val="none"/>
        </w:rPr>
      </w:pPr>
      <w:bookmarkStart w:id="514" w:name="_Toc4290"/>
      <w:r>
        <w:rPr>
          <w:rFonts w:hint="eastAsia" w:ascii="宋体" w:hAnsi="宋体" w:cs="宋体"/>
          <w:b/>
          <w:color w:val="auto"/>
          <w:szCs w:val="21"/>
          <w:highlight w:val="none"/>
        </w:rPr>
        <w:t>四、保证责任的终止</w:t>
      </w:r>
      <w:bookmarkEnd w:id="514"/>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outlineLvl w:val="2"/>
        <w:rPr>
          <w:rFonts w:ascii="宋体" w:hAnsi="宋体" w:cs="宋体"/>
          <w:b/>
          <w:color w:val="auto"/>
          <w:szCs w:val="21"/>
          <w:highlight w:val="none"/>
        </w:rPr>
      </w:pPr>
      <w:bookmarkStart w:id="515" w:name="_Toc2657"/>
      <w:r>
        <w:rPr>
          <w:rFonts w:hint="eastAsia" w:ascii="宋体" w:hAnsi="宋体" w:cs="宋体"/>
          <w:b/>
          <w:color w:val="auto"/>
          <w:szCs w:val="21"/>
          <w:highlight w:val="none"/>
        </w:rPr>
        <w:t>五、免责条款</w:t>
      </w:r>
      <w:bookmarkEnd w:id="515"/>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outlineLvl w:val="2"/>
        <w:rPr>
          <w:rFonts w:ascii="宋体" w:hAnsi="宋体" w:cs="宋体"/>
          <w:b/>
          <w:color w:val="auto"/>
          <w:szCs w:val="21"/>
          <w:highlight w:val="none"/>
        </w:rPr>
      </w:pPr>
      <w:bookmarkStart w:id="516" w:name="_Toc4914"/>
      <w:r>
        <w:rPr>
          <w:rFonts w:hint="eastAsia" w:ascii="宋体" w:hAnsi="宋体" w:cs="宋体"/>
          <w:b/>
          <w:color w:val="auto"/>
          <w:szCs w:val="21"/>
          <w:highlight w:val="none"/>
        </w:rPr>
        <w:t>六、争议的解决</w:t>
      </w:r>
      <w:bookmarkEnd w:id="516"/>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outlineLvl w:val="2"/>
        <w:rPr>
          <w:rFonts w:ascii="宋体" w:hAnsi="宋体" w:cs="宋体"/>
          <w:b/>
          <w:color w:val="auto"/>
          <w:szCs w:val="21"/>
          <w:highlight w:val="none"/>
        </w:rPr>
      </w:pPr>
      <w:bookmarkStart w:id="517" w:name="_Toc23778"/>
      <w:r>
        <w:rPr>
          <w:rFonts w:hint="eastAsia" w:ascii="宋体" w:hAnsi="宋体" w:cs="宋体"/>
          <w:b/>
          <w:color w:val="auto"/>
          <w:szCs w:val="21"/>
          <w:highlight w:val="none"/>
        </w:rPr>
        <w:t>七、保函的生效</w:t>
      </w:r>
      <w:bookmarkEnd w:id="517"/>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4"/>
        <w:jc w:val="center"/>
        <w:rPr>
          <w:color w:val="auto"/>
          <w:highlight w:val="none"/>
        </w:rPr>
      </w:pPr>
      <w:bookmarkStart w:id="518" w:name="_Toc17374"/>
      <w:bookmarkStart w:id="519" w:name="_Toc6961"/>
      <w:r>
        <w:rPr>
          <w:rFonts w:hint="eastAsia"/>
          <w:color w:val="auto"/>
          <w:highlight w:val="none"/>
        </w:rPr>
        <w:t>九、政府采购履约担保函</w:t>
      </w:r>
      <w:bookmarkEnd w:id="518"/>
      <w:bookmarkEnd w:id="51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outlineLvl w:val="2"/>
        <w:rPr>
          <w:rFonts w:ascii="宋体" w:hAnsi="宋体" w:cs="宋体"/>
          <w:b/>
          <w:color w:val="auto"/>
          <w:szCs w:val="21"/>
          <w:highlight w:val="none"/>
        </w:rPr>
      </w:pPr>
      <w:bookmarkStart w:id="520" w:name="_Toc12661"/>
      <w:r>
        <w:rPr>
          <w:rFonts w:hint="eastAsia" w:ascii="宋体" w:hAnsi="宋体" w:cs="宋体"/>
          <w:b/>
          <w:color w:val="auto"/>
          <w:szCs w:val="21"/>
          <w:highlight w:val="none"/>
        </w:rPr>
        <w:t>一、保证责任的情形及保证金额</w:t>
      </w:r>
      <w:bookmarkEnd w:id="520"/>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outlineLvl w:val="2"/>
        <w:rPr>
          <w:rFonts w:ascii="宋体" w:hAnsi="宋体" w:cs="宋体"/>
          <w:b/>
          <w:color w:val="auto"/>
          <w:szCs w:val="21"/>
          <w:highlight w:val="none"/>
        </w:rPr>
      </w:pPr>
      <w:bookmarkStart w:id="521" w:name="_Toc29947"/>
      <w:r>
        <w:rPr>
          <w:rFonts w:hint="eastAsia" w:ascii="宋体" w:hAnsi="宋体" w:cs="宋体"/>
          <w:b/>
          <w:color w:val="auto"/>
          <w:szCs w:val="21"/>
          <w:highlight w:val="none"/>
        </w:rPr>
        <w:t>二、保证的方式及保证期间</w:t>
      </w:r>
      <w:bookmarkEnd w:id="521"/>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outlineLvl w:val="2"/>
        <w:rPr>
          <w:rFonts w:ascii="宋体" w:hAnsi="宋体" w:cs="宋体"/>
          <w:b/>
          <w:color w:val="auto"/>
          <w:szCs w:val="21"/>
          <w:highlight w:val="none"/>
        </w:rPr>
      </w:pPr>
      <w:bookmarkStart w:id="522" w:name="_Toc27063"/>
      <w:r>
        <w:rPr>
          <w:rFonts w:hint="eastAsia" w:ascii="宋体" w:hAnsi="宋体" w:cs="宋体"/>
          <w:b/>
          <w:color w:val="auto"/>
          <w:szCs w:val="21"/>
          <w:highlight w:val="none"/>
        </w:rPr>
        <w:t>三、承担保证责任的程序</w:t>
      </w:r>
      <w:bookmarkEnd w:id="522"/>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outlineLvl w:val="2"/>
        <w:rPr>
          <w:rFonts w:ascii="宋体" w:hAnsi="宋体" w:cs="宋体"/>
          <w:b/>
          <w:color w:val="auto"/>
          <w:szCs w:val="21"/>
          <w:highlight w:val="none"/>
        </w:rPr>
      </w:pPr>
      <w:bookmarkStart w:id="523" w:name="_Toc24840"/>
      <w:r>
        <w:rPr>
          <w:rFonts w:hint="eastAsia" w:ascii="宋体" w:hAnsi="宋体" w:cs="宋体"/>
          <w:b/>
          <w:color w:val="auto"/>
          <w:szCs w:val="21"/>
          <w:highlight w:val="none"/>
        </w:rPr>
        <w:t>四、保证责任的终止</w:t>
      </w:r>
      <w:bookmarkEnd w:id="52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outlineLvl w:val="2"/>
        <w:rPr>
          <w:rFonts w:ascii="宋体" w:hAnsi="宋体" w:cs="宋体"/>
          <w:b/>
          <w:color w:val="auto"/>
          <w:szCs w:val="21"/>
          <w:highlight w:val="none"/>
        </w:rPr>
      </w:pPr>
      <w:bookmarkStart w:id="524" w:name="_Toc54"/>
      <w:r>
        <w:rPr>
          <w:rFonts w:hint="eastAsia" w:ascii="宋体" w:hAnsi="宋体" w:cs="宋体"/>
          <w:b/>
          <w:color w:val="auto"/>
          <w:szCs w:val="21"/>
          <w:highlight w:val="none"/>
        </w:rPr>
        <w:t>五、免责条款</w:t>
      </w:r>
      <w:bookmarkEnd w:id="52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outlineLvl w:val="2"/>
        <w:rPr>
          <w:rFonts w:ascii="宋体" w:hAnsi="宋体" w:cs="宋体"/>
          <w:b/>
          <w:color w:val="auto"/>
          <w:szCs w:val="21"/>
          <w:highlight w:val="none"/>
        </w:rPr>
      </w:pPr>
      <w:bookmarkStart w:id="525" w:name="_Toc16959"/>
      <w:r>
        <w:rPr>
          <w:rFonts w:hint="eastAsia" w:ascii="宋体" w:hAnsi="宋体" w:cs="宋体"/>
          <w:b/>
          <w:color w:val="auto"/>
          <w:szCs w:val="21"/>
          <w:highlight w:val="none"/>
        </w:rPr>
        <w:t>六、争议的解决</w:t>
      </w:r>
      <w:bookmarkEnd w:id="52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outlineLvl w:val="2"/>
        <w:rPr>
          <w:rFonts w:ascii="宋体" w:hAnsi="宋体" w:cs="宋体"/>
          <w:b/>
          <w:color w:val="auto"/>
          <w:szCs w:val="21"/>
          <w:highlight w:val="none"/>
        </w:rPr>
      </w:pPr>
      <w:bookmarkStart w:id="526" w:name="_Toc20633"/>
      <w:r>
        <w:rPr>
          <w:rFonts w:hint="eastAsia" w:ascii="宋体" w:hAnsi="宋体" w:cs="宋体"/>
          <w:b/>
          <w:color w:val="auto"/>
          <w:szCs w:val="21"/>
          <w:highlight w:val="none"/>
        </w:rPr>
        <w:t>七、保函的生效</w:t>
      </w:r>
      <w:bookmarkEnd w:id="526"/>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7"/>
        <w:rPr>
          <w:color w:val="auto"/>
          <w:highlight w:val="none"/>
        </w:rPr>
      </w:pPr>
    </w:p>
    <w:p>
      <w:pPr>
        <w:rPr>
          <w:color w:val="auto"/>
          <w:highlight w:val="none"/>
        </w:rPr>
      </w:pPr>
      <w:r>
        <w:rPr>
          <w:color w:val="auto"/>
          <w:highlight w:val="none"/>
        </w:rPr>
        <w:br w:type="page"/>
      </w:r>
    </w:p>
    <w:p>
      <w:pPr>
        <w:pStyle w:val="4"/>
        <w:jc w:val="center"/>
        <w:outlineLvl w:val="1"/>
        <w:rPr>
          <w:color w:val="auto"/>
          <w:highlight w:val="none"/>
        </w:rPr>
      </w:pPr>
      <w:bookmarkStart w:id="527" w:name="_Toc20118"/>
      <w:bookmarkStart w:id="528" w:name="_Toc26772"/>
      <w:bookmarkStart w:id="529" w:name="_Toc26782"/>
      <w:r>
        <w:rPr>
          <w:rFonts w:hint="eastAsia"/>
          <w:color w:val="auto"/>
          <w:highlight w:val="none"/>
        </w:rPr>
        <w:t>第四章唱标信封（单独封装）</w:t>
      </w:r>
      <w:bookmarkEnd w:id="527"/>
      <w:bookmarkEnd w:id="528"/>
      <w:bookmarkEnd w:id="529"/>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530"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outlineLvl w:val="1"/>
        <w:rPr>
          <w:color w:val="auto"/>
          <w:highlight w:val="none"/>
        </w:rPr>
      </w:pPr>
      <w:bookmarkStart w:id="531" w:name="_Toc22736"/>
      <w:bookmarkStart w:id="532" w:name="_Toc2710"/>
      <w:bookmarkStart w:id="533" w:name="_Toc9773"/>
      <w:r>
        <w:rPr>
          <w:rFonts w:hint="eastAsia"/>
          <w:color w:val="auto"/>
          <w:highlight w:val="none"/>
        </w:rPr>
        <w:t>第五章联合体共同投标协议书（如有需要）</w:t>
      </w:r>
      <w:bookmarkEnd w:id="531"/>
      <w:bookmarkEnd w:id="532"/>
      <w:bookmarkEnd w:id="533"/>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outlineLvl w:val="2"/>
        <w:rPr>
          <w:rFonts w:ascii="宋体" w:hAnsi="宋体" w:cs="宋体"/>
          <w:color w:val="auto"/>
          <w:szCs w:val="21"/>
          <w:highlight w:val="none"/>
        </w:rPr>
      </w:pPr>
      <w:bookmarkStart w:id="534" w:name="_Toc1201"/>
      <w:r>
        <w:rPr>
          <w:rFonts w:hint="eastAsia" w:ascii="宋体" w:hAnsi="宋体" w:cs="宋体"/>
          <w:color w:val="auto"/>
          <w:szCs w:val="21"/>
          <w:highlight w:val="none"/>
        </w:rPr>
        <w:t>一、联合体各方关系</w:t>
      </w:r>
      <w:bookmarkEnd w:id="534"/>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outlineLvl w:val="2"/>
        <w:rPr>
          <w:rFonts w:ascii="宋体" w:hAnsi="宋体" w:cs="宋体"/>
          <w:color w:val="auto"/>
          <w:szCs w:val="21"/>
          <w:highlight w:val="none"/>
        </w:rPr>
      </w:pPr>
      <w:bookmarkStart w:id="535" w:name="_Toc22897"/>
      <w:r>
        <w:rPr>
          <w:rFonts w:hint="eastAsia" w:ascii="宋体" w:hAnsi="宋体" w:cs="宋体"/>
          <w:color w:val="auto"/>
          <w:szCs w:val="21"/>
          <w:highlight w:val="none"/>
        </w:rPr>
        <w:t>二、联合体内部有关事项约定如下：</w:t>
      </w:r>
      <w:bookmarkEnd w:id="53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outlineLvl w:val="2"/>
        <w:rPr>
          <w:rFonts w:ascii="宋体" w:hAnsi="宋体" w:cs="宋体"/>
          <w:color w:val="auto"/>
          <w:szCs w:val="21"/>
          <w:highlight w:val="none"/>
        </w:rPr>
      </w:pPr>
      <w:bookmarkStart w:id="536" w:name="_Toc27702"/>
      <w:r>
        <w:rPr>
          <w:rFonts w:hint="eastAsia" w:ascii="宋体" w:hAnsi="宋体" w:cs="宋体"/>
          <w:color w:val="auto"/>
          <w:szCs w:val="21"/>
          <w:highlight w:val="none"/>
        </w:rPr>
        <w:t>六、本协议书一式份，随响应文件装订份，联合体成员各份。</w:t>
      </w:r>
      <w:bookmarkEnd w:id="536"/>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530"/>
    <w:p>
      <w:pPr>
        <w:pStyle w:val="7"/>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outlineLvl w:val="2"/>
        <w:rPr>
          <w:rFonts w:ascii="宋体" w:hAnsi="宋体" w:cs="宋体"/>
          <w:bCs/>
          <w:color w:val="auto"/>
          <w:szCs w:val="21"/>
          <w:highlight w:val="none"/>
        </w:rPr>
      </w:pPr>
      <w:bookmarkStart w:id="537" w:name="_Toc4876"/>
      <w:r>
        <w:rPr>
          <w:rFonts w:hint="eastAsia" w:ascii="宋体" w:hAnsi="宋体" w:cs="宋体"/>
          <w:bCs/>
          <w:color w:val="auto"/>
          <w:szCs w:val="21"/>
          <w:highlight w:val="none"/>
        </w:rPr>
        <w:t>一、质疑供应商基本信息</w:t>
      </w:r>
      <w:bookmarkEnd w:id="537"/>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outlineLvl w:val="2"/>
        <w:rPr>
          <w:rFonts w:ascii="宋体" w:hAnsi="宋体" w:cs="宋体"/>
          <w:bCs/>
          <w:color w:val="auto"/>
          <w:szCs w:val="21"/>
          <w:highlight w:val="none"/>
        </w:rPr>
      </w:pPr>
      <w:bookmarkStart w:id="538" w:name="_Toc17872"/>
      <w:r>
        <w:rPr>
          <w:rFonts w:hint="eastAsia" w:ascii="宋体" w:hAnsi="宋体" w:cs="宋体"/>
          <w:bCs/>
          <w:color w:val="auto"/>
          <w:szCs w:val="21"/>
          <w:highlight w:val="none"/>
        </w:rPr>
        <w:t>二、质疑项目基本情况</w:t>
      </w:r>
      <w:bookmarkEnd w:id="538"/>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outlineLvl w:val="2"/>
        <w:rPr>
          <w:rFonts w:ascii="宋体" w:hAnsi="宋体" w:cs="宋体"/>
          <w:bCs/>
          <w:color w:val="auto"/>
          <w:szCs w:val="21"/>
          <w:highlight w:val="none"/>
        </w:rPr>
      </w:pPr>
      <w:bookmarkStart w:id="539" w:name="_Toc4661"/>
      <w:r>
        <w:rPr>
          <w:rFonts w:hint="eastAsia" w:ascii="宋体" w:hAnsi="宋体" w:cs="宋体"/>
          <w:bCs/>
          <w:color w:val="auto"/>
          <w:szCs w:val="21"/>
          <w:highlight w:val="none"/>
        </w:rPr>
        <w:t>三、质疑事项具体内容</w:t>
      </w:r>
      <w:bookmarkEnd w:id="539"/>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outlineLvl w:val="2"/>
        <w:rPr>
          <w:rFonts w:ascii="宋体" w:hAnsi="宋体" w:cs="宋体"/>
          <w:bCs/>
          <w:color w:val="auto"/>
          <w:szCs w:val="21"/>
          <w:highlight w:val="none"/>
        </w:rPr>
      </w:pPr>
      <w:bookmarkStart w:id="540" w:name="_Toc18425"/>
      <w:r>
        <w:rPr>
          <w:rFonts w:hint="eastAsia" w:ascii="宋体" w:hAnsi="宋体" w:cs="宋体"/>
          <w:bCs/>
          <w:color w:val="auto"/>
          <w:szCs w:val="21"/>
          <w:highlight w:val="none"/>
        </w:rPr>
        <w:t>四、与质疑事项相关的质疑请求</w:t>
      </w:r>
      <w:bookmarkEnd w:id="540"/>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pStyle w:val="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4"/>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8"/>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康简标题宋">
    <w:altName w:val="宋体"/>
    <w:panose1 w:val="02010609000101010101"/>
    <w:charset w:val="86"/>
    <w:family w:val="moder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30"/>
        </w:rPr>
        <w:footnoteRef/>
      </w:r>
      <w:r>
        <w:rPr>
          <w:rFonts w:hint="eastAsia"/>
        </w:rPr>
        <w:t>从业人员、营业人员、资产总额填报上一年度数据，无上一年度数据的新成立企业可不填报。</w:t>
      </w:r>
    </w:p>
  </w:footnote>
  <w:footnote w:id="1">
    <w:p>
      <w:pPr>
        <w:pStyle w:val="19"/>
      </w:pPr>
      <w:r>
        <w:rPr>
          <w:rStyle w:val="30"/>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B327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1EB082A"/>
    <w:rsid w:val="02126CDB"/>
    <w:rsid w:val="021832B7"/>
    <w:rsid w:val="024E2E49"/>
    <w:rsid w:val="02A741FD"/>
    <w:rsid w:val="02C16E5D"/>
    <w:rsid w:val="02D964CF"/>
    <w:rsid w:val="030C17F5"/>
    <w:rsid w:val="0340787C"/>
    <w:rsid w:val="03707410"/>
    <w:rsid w:val="037F03E3"/>
    <w:rsid w:val="03A0770F"/>
    <w:rsid w:val="03A27BF9"/>
    <w:rsid w:val="03A448B8"/>
    <w:rsid w:val="03A4578A"/>
    <w:rsid w:val="03AD071E"/>
    <w:rsid w:val="03B67E12"/>
    <w:rsid w:val="03C76963"/>
    <w:rsid w:val="03D10969"/>
    <w:rsid w:val="04A86F2B"/>
    <w:rsid w:val="04DF1036"/>
    <w:rsid w:val="050F6021"/>
    <w:rsid w:val="055214B8"/>
    <w:rsid w:val="05A97DEC"/>
    <w:rsid w:val="05C81981"/>
    <w:rsid w:val="065A32ED"/>
    <w:rsid w:val="06913258"/>
    <w:rsid w:val="06BC41F2"/>
    <w:rsid w:val="06DF3DBD"/>
    <w:rsid w:val="07197D08"/>
    <w:rsid w:val="071C2CFD"/>
    <w:rsid w:val="071E5C55"/>
    <w:rsid w:val="073A47CB"/>
    <w:rsid w:val="073F7319"/>
    <w:rsid w:val="07536A42"/>
    <w:rsid w:val="07595F41"/>
    <w:rsid w:val="07615EC0"/>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357A8E"/>
    <w:rsid w:val="0AA534D5"/>
    <w:rsid w:val="0AA650EB"/>
    <w:rsid w:val="0AB8066A"/>
    <w:rsid w:val="0AF47339"/>
    <w:rsid w:val="0B22594B"/>
    <w:rsid w:val="0B797387"/>
    <w:rsid w:val="0B8B2381"/>
    <w:rsid w:val="0BC044BE"/>
    <w:rsid w:val="0BD25EAF"/>
    <w:rsid w:val="0BDF26F7"/>
    <w:rsid w:val="0BE31BA4"/>
    <w:rsid w:val="0C264099"/>
    <w:rsid w:val="0C2B4952"/>
    <w:rsid w:val="0C5E5757"/>
    <w:rsid w:val="0C7B2220"/>
    <w:rsid w:val="0D54566B"/>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21292F"/>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4EB07D1"/>
    <w:rsid w:val="152F1D45"/>
    <w:rsid w:val="154952CD"/>
    <w:rsid w:val="154D1DE7"/>
    <w:rsid w:val="157D38E3"/>
    <w:rsid w:val="15D359D7"/>
    <w:rsid w:val="15D81E0F"/>
    <w:rsid w:val="161771F3"/>
    <w:rsid w:val="16222D6D"/>
    <w:rsid w:val="163C77BE"/>
    <w:rsid w:val="16632F86"/>
    <w:rsid w:val="1679588C"/>
    <w:rsid w:val="16994962"/>
    <w:rsid w:val="16A71041"/>
    <w:rsid w:val="16AA24BF"/>
    <w:rsid w:val="16F72341"/>
    <w:rsid w:val="176353FB"/>
    <w:rsid w:val="17680CAB"/>
    <w:rsid w:val="176E4128"/>
    <w:rsid w:val="1783371F"/>
    <w:rsid w:val="17E62B67"/>
    <w:rsid w:val="180C0192"/>
    <w:rsid w:val="180F4499"/>
    <w:rsid w:val="18221ECE"/>
    <w:rsid w:val="184A6EA2"/>
    <w:rsid w:val="18DD0A66"/>
    <w:rsid w:val="190B7894"/>
    <w:rsid w:val="1919572D"/>
    <w:rsid w:val="197C3F35"/>
    <w:rsid w:val="19A2789F"/>
    <w:rsid w:val="19B7100D"/>
    <w:rsid w:val="1A110A5B"/>
    <w:rsid w:val="1A460CF5"/>
    <w:rsid w:val="1A680B55"/>
    <w:rsid w:val="1A7F297D"/>
    <w:rsid w:val="1AB16AC1"/>
    <w:rsid w:val="1B034A52"/>
    <w:rsid w:val="1B1F34AD"/>
    <w:rsid w:val="1B5A51FC"/>
    <w:rsid w:val="1B8D5DC6"/>
    <w:rsid w:val="1BEF05D8"/>
    <w:rsid w:val="1BFE1D3B"/>
    <w:rsid w:val="1C2775EC"/>
    <w:rsid w:val="1C750ECE"/>
    <w:rsid w:val="1CA22168"/>
    <w:rsid w:val="1D0836D7"/>
    <w:rsid w:val="1D196139"/>
    <w:rsid w:val="1DB85900"/>
    <w:rsid w:val="1DF051AF"/>
    <w:rsid w:val="1E010AF7"/>
    <w:rsid w:val="1E0178EB"/>
    <w:rsid w:val="1E301173"/>
    <w:rsid w:val="1E38333E"/>
    <w:rsid w:val="1E5C7612"/>
    <w:rsid w:val="1EA40BB4"/>
    <w:rsid w:val="1F354F31"/>
    <w:rsid w:val="1F43381C"/>
    <w:rsid w:val="1FA4148D"/>
    <w:rsid w:val="1FA97B3F"/>
    <w:rsid w:val="1FB13C59"/>
    <w:rsid w:val="20121621"/>
    <w:rsid w:val="201A421D"/>
    <w:rsid w:val="20341172"/>
    <w:rsid w:val="204E554F"/>
    <w:rsid w:val="20590035"/>
    <w:rsid w:val="20C35213"/>
    <w:rsid w:val="20FC799E"/>
    <w:rsid w:val="21072664"/>
    <w:rsid w:val="2121714F"/>
    <w:rsid w:val="21FC2379"/>
    <w:rsid w:val="22154DDD"/>
    <w:rsid w:val="22213E42"/>
    <w:rsid w:val="22336873"/>
    <w:rsid w:val="23175889"/>
    <w:rsid w:val="232C5C75"/>
    <w:rsid w:val="238C2182"/>
    <w:rsid w:val="239015D1"/>
    <w:rsid w:val="23BB4E7D"/>
    <w:rsid w:val="23C0412A"/>
    <w:rsid w:val="23C172D6"/>
    <w:rsid w:val="23F04F64"/>
    <w:rsid w:val="24814CBE"/>
    <w:rsid w:val="24AC168B"/>
    <w:rsid w:val="24D345EA"/>
    <w:rsid w:val="25857F75"/>
    <w:rsid w:val="258C3BEC"/>
    <w:rsid w:val="25E576CC"/>
    <w:rsid w:val="260E3862"/>
    <w:rsid w:val="262569FC"/>
    <w:rsid w:val="2632705B"/>
    <w:rsid w:val="26344C98"/>
    <w:rsid w:val="26DD2C73"/>
    <w:rsid w:val="26F56CE2"/>
    <w:rsid w:val="27435D49"/>
    <w:rsid w:val="278A6EDD"/>
    <w:rsid w:val="27A34F71"/>
    <w:rsid w:val="27B36A67"/>
    <w:rsid w:val="27EB0D9B"/>
    <w:rsid w:val="27FE7407"/>
    <w:rsid w:val="286602C8"/>
    <w:rsid w:val="28665C95"/>
    <w:rsid w:val="28A64522"/>
    <w:rsid w:val="28CC5B40"/>
    <w:rsid w:val="28F525D1"/>
    <w:rsid w:val="290B3EB9"/>
    <w:rsid w:val="291418C2"/>
    <w:rsid w:val="294104EE"/>
    <w:rsid w:val="2950768C"/>
    <w:rsid w:val="29794227"/>
    <w:rsid w:val="297A5FC4"/>
    <w:rsid w:val="2A1113BC"/>
    <w:rsid w:val="2A180163"/>
    <w:rsid w:val="2A8D4F8F"/>
    <w:rsid w:val="2A911082"/>
    <w:rsid w:val="2A917B34"/>
    <w:rsid w:val="2AA33C87"/>
    <w:rsid w:val="2AE3766F"/>
    <w:rsid w:val="2B4B680F"/>
    <w:rsid w:val="2B7E4054"/>
    <w:rsid w:val="2BC92502"/>
    <w:rsid w:val="2BF22742"/>
    <w:rsid w:val="2C987C56"/>
    <w:rsid w:val="2CBD45CF"/>
    <w:rsid w:val="2CFF149A"/>
    <w:rsid w:val="2D201865"/>
    <w:rsid w:val="2D2F287B"/>
    <w:rsid w:val="2D4B5CEA"/>
    <w:rsid w:val="2D652658"/>
    <w:rsid w:val="2DC80C49"/>
    <w:rsid w:val="2DCA6355"/>
    <w:rsid w:val="2DF0699F"/>
    <w:rsid w:val="2E080621"/>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2120AE"/>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DDC1A99"/>
    <w:rsid w:val="3E0572FD"/>
    <w:rsid w:val="3E1A5292"/>
    <w:rsid w:val="3E5A7FE7"/>
    <w:rsid w:val="3EC8179E"/>
    <w:rsid w:val="3EF66B2E"/>
    <w:rsid w:val="3F217914"/>
    <w:rsid w:val="3F6D2026"/>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CF0EED"/>
    <w:rsid w:val="42FD694D"/>
    <w:rsid w:val="430D158B"/>
    <w:rsid w:val="434A6D8F"/>
    <w:rsid w:val="43FA5777"/>
    <w:rsid w:val="44044D92"/>
    <w:rsid w:val="441C1611"/>
    <w:rsid w:val="443C440B"/>
    <w:rsid w:val="443F7DBF"/>
    <w:rsid w:val="44514F52"/>
    <w:rsid w:val="448965CB"/>
    <w:rsid w:val="44C5497E"/>
    <w:rsid w:val="44FA2D53"/>
    <w:rsid w:val="45166078"/>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E020DC"/>
    <w:rsid w:val="48F303D7"/>
    <w:rsid w:val="492837FF"/>
    <w:rsid w:val="492E6A57"/>
    <w:rsid w:val="49B86103"/>
    <w:rsid w:val="49F10F03"/>
    <w:rsid w:val="4A0030EE"/>
    <w:rsid w:val="4A73074D"/>
    <w:rsid w:val="4AC36065"/>
    <w:rsid w:val="4AD57C77"/>
    <w:rsid w:val="4B560086"/>
    <w:rsid w:val="4B7501F5"/>
    <w:rsid w:val="4B8C2DEB"/>
    <w:rsid w:val="4B923A61"/>
    <w:rsid w:val="4BFA3C9F"/>
    <w:rsid w:val="4BFB5208"/>
    <w:rsid w:val="4C0E3379"/>
    <w:rsid w:val="4C107F48"/>
    <w:rsid w:val="4C19436A"/>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FB6A76"/>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1FA74D0"/>
    <w:rsid w:val="52432C25"/>
    <w:rsid w:val="52506DA7"/>
    <w:rsid w:val="527375BC"/>
    <w:rsid w:val="533B2B84"/>
    <w:rsid w:val="537A7243"/>
    <w:rsid w:val="539C1B81"/>
    <w:rsid w:val="53AA6184"/>
    <w:rsid w:val="53AE750F"/>
    <w:rsid w:val="53EB0895"/>
    <w:rsid w:val="53F263AD"/>
    <w:rsid w:val="54693932"/>
    <w:rsid w:val="549A6BFA"/>
    <w:rsid w:val="54C61423"/>
    <w:rsid w:val="54E72921"/>
    <w:rsid w:val="554A7CE9"/>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0976B4"/>
    <w:rsid w:val="595E0345"/>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BF16935"/>
    <w:rsid w:val="5C1D18D2"/>
    <w:rsid w:val="5C286807"/>
    <w:rsid w:val="5C406532"/>
    <w:rsid w:val="5C446BC8"/>
    <w:rsid w:val="5C4C687B"/>
    <w:rsid w:val="5C7C2768"/>
    <w:rsid w:val="5CB23AE6"/>
    <w:rsid w:val="5CB843E0"/>
    <w:rsid w:val="5CF55792"/>
    <w:rsid w:val="5CFD533A"/>
    <w:rsid w:val="5D893B14"/>
    <w:rsid w:val="5D9F3D30"/>
    <w:rsid w:val="5DC00580"/>
    <w:rsid w:val="5E043A16"/>
    <w:rsid w:val="5E2810D5"/>
    <w:rsid w:val="5E2B7D62"/>
    <w:rsid w:val="5E2F31A6"/>
    <w:rsid w:val="5E71411E"/>
    <w:rsid w:val="5EA06921"/>
    <w:rsid w:val="5ED5006A"/>
    <w:rsid w:val="5F576E4B"/>
    <w:rsid w:val="5F5D4EDE"/>
    <w:rsid w:val="5F7A2C30"/>
    <w:rsid w:val="5FBE370A"/>
    <w:rsid w:val="60292845"/>
    <w:rsid w:val="61027308"/>
    <w:rsid w:val="611505B8"/>
    <w:rsid w:val="612E1A5D"/>
    <w:rsid w:val="61816046"/>
    <w:rsid w:val="61881DE7"/>
    <w:rsid w:val="62182687"/>
    <w:rsid w:val="62391564"/>
    <w:rsid w:val="62816669"/>
    <w:rsid w:val="62BA0953"/>
    <w:rsid w:val="62D03A7C"/>
    <w:rsid w:val="62ED26F0"/>
    <w:rsid w:val="62F16BCB"/>
    <w:rsid w:val="62F648FE"/>
    <w:rsid w:val="630A30D8"/>
    <w:rsid w:val="63341DB1"/>
    <w:rsid w:val="63447612"/>
    <w:rsid w:val="63907004"/>
    <w:rsid w:val="63A10995"/>
    <w:rsid w:val="63C23EFA"/>
    <w:rsid w:val="64391F35"/>
    <w:rsid w:val="643A070A"/>
    <w:rsid w:val="644C573D"/>
    <w:rsid w:val="647F1ACC"/>
    <w:rsid w:val="648667A7"/>
    <w:rsid w:val="64DB383A"/>
    <w:rsid w:val="65032F85"/>
    <w:rsid w:val="65136B50"/>
    <w:rsid w:val="653B0C50"/>
    <w:rsid w:val="657E2A35"/>
    <w:rsid w:val="65A94E9D"/>
    <w:rsid w:val="65C60A92"/>
    <w:rsid w:val="66214AE4"/>
    <w:rsid w:val="662203DD"/>
    <w:rsid w:val="66303636"/>
    <w:rsid w:val="666B723B"/>
    <w:rsid w:val="6678045A"/>
    <w:rsid w:val="66DD6702"/>
    <w:rsid w:val="673A0EDE"/>
    <w:rsid w:val="679406CB"/>
    <w:rsid w:val="67AB52F1"/>
    <w:rsid w:val="67C35C0B"/>
    <w:rsid w:val="681233D2"/>
    <w:rsid w:val="681D5EE5"/>
    <w:rsid w:val="68652AB3"/>
    <w:rsid w:val="6895578E"/>
    <w:rsid w:val="689F1926"/>
    <w:rsid w:val="68AD17BB"/>
    <w:rsid w:val="68D61E72"/>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B50454"/>
    <w:rsid w:val="6FD47A25"/>
    <w:rsid w:val="6FF44026"/>
    <w:rsid w:val="6FFB146E"/>
    <w:rsid w:val="701A5C74"/>
    <w:rsid w:val="70437AC3"/>
    <w:rsid w:val="706516C3"/>
    <w:rsid w:val="70864A71"/>
    <w:rsid w:val="70896E68"/>
    <w:rsid w:val="70D12112"/>
    <w:rsid w:val="71322C59"/>
    <w:rsid w:val="714556B4"/>
    <w:rsid w:val="715B60E9"/>
    <w:rsid w:val="71860FA0"/>
    <w:rsid w:val="719A021A"/>
    <w:rsid w:val="71E96309"/>
    <w:rsid w:val="71EA1FED"/>
    <w:rsid w:val="72005D7F"/>
    <w:rsid w:val="72284A0C"/>
    <w:rsid w:val="72C16204"/>
    <w:rsid w:val="730313F6"/>
    <w:rsid w:val="731E1007"/>
    <w:rsid w:val="73370D24"/>
    <w:rsid w:val="7359268C"/>
    <w:rsid w:val="739503EB"/>
    <w:rsid w:val="73A05B28"/>
    <w:rsid w:val="73C07D69"/>
    <w:rsid w:val="73F020C1"/>
    <w:rsid w:val="749E2255"/>
    <w:rsid w:val="74B42AE4"/>
    <w:rsid w:val="750A429D"/>
    <w:rsid w:val="75167F59"/>
    <w:rsid w:val="754D77D2"/>
    <w:rsid w:val="755D38A7"/>
    <w:rsid w:val="755F5A0F"/>
    <w:rsid w:val="75614792"/>
    <w:rsid w:val="756672DA"/>
    <w:rsid w:val="756E5849"/>
    <w:rsid w:val="757271FA"/>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8B92B9D"/>
    <w:rsid w:val="78C42354"/>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D569AE"/>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outlineLvl w:val="2"/>
    </w:pPr>
    <w:rPr>
      <w:b/>
      <w:bCs/>
      <w:sz w:val="28"/>
      <w:szCs w:val="32"/>
    </w:rPr>
  </w:style>
  <w:style w:type="paragraph" w:styleId="5">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1"/>
    <w:qFormat/>
    <w:uiPriority w:val="0"/>
    <w:pPr>
      <w:widowControl w:val="0"/>
      <w:adjustRightInd/>
      <w:snapToGrid/>
      <w:jc w:val="both"/>
    </w:pPr>
    <w:rPr>
      <w:rFonts w:asciiTheme="minorHAnsi" w:hAnsiTheme="minorHAnsi"/>
      <w:kern w:val="2"/>
      <w:sz w:val="24"/>
      <w:szCs w:val="24"/>
    </w:rPr>
  </w:style>
  <w:style w:type="paragraph" w:styleId="22">
    <w:name w:val="Title"/>
    <w:basedOn w:val="1"/>
    <w:next w:val="1"/>
    <w:qFormat/>
    <w:uiPriority w:val="0"/>
    <w:pPr>
      <w:spacing w:before="240" w:after="60"/>
      <w:jc w:val="center"/>
      <w:outlineLvl w:val="0"/>
    </w:pPr>
    <w:rPr>
      <w:rFonts w:ascii="Times New Roman" w:hAnsi="Times New Roman" w:eastAsia="华康简标题宋" w:cs="Arial"/>
      <w:bCs/>
      <w:sz w:val="44"/>
      <w:szCs w:val="32"/>
    </w:rPr>
  </w:style>
  <w:style w:type="paragraph" w:styleId="23">
    <w:name w:val="Body Text First Indent 2"/>
    <w:unhideWhenUsed/>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Char"/>
    <w:basedOn w:val="26"/>
    <w:link w:val="2"/>
    <w:qFormat/>
    <w:uiPriority w:val="9"/>
    <w:rPr>
      <w:rFonts w:asciiTheme="majorHAnsi" w:hAnsiTheme="majorHAnsi" w:eastAsiaTheme="majorEastAsia" w:cstheme="majorBidi"/>
      <w:b/>
      <w:bCs/>
      <w:sz w:val="32"/>
      <w:szCs w:val="32"/>
    </w:rPr>
  </w:style>
  <w:style w:type="character" w:customStyle="1" w:styleId="33">
    <w:name w:val="标题 3 Char"/>
    <w:basedOn w:val="26"/>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6"/>
    <w:link w:val="5"/>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0"/>
    <w:semiHidden/>
    <w:qFormat/>
    <w:uiPriority w:val="99"/>
    <w:rPr>
      <w:rFonts w:ascii="宋体" w:hAnsi="Courier New" w:eastAsia="宋体" w:cs="Courier New"/>
      <w:sz w:val="21"/>
      <w:szCs w:val="21"/>
    </w:rPr>
  </w:style>
  <w:style w:type="character" w:customStyle="1" w:styleId="47">
    <w:name w:val="页眉 Char"/>
    <w:basedOn w:val="26"/>
    <w:link w:val="14"/>
    <w:qFormat/>
    <w:uiPriority w:val="99"/>
    <w:rPr>
      <w:rFonts w:ascii="Tahoma" w:hAnsi="Tahoma"/>
      <w:sz w:val="18"/>
      <w:szCs w:val="18"/>
    </w:rPr>
  </w:style>
  <w:style w:type="character" w:customStyle="1" w:styleId="48">
    <w:name w:val="页脚 Char"/>
    <w:basedOn w:val="26"/>
    <w:link w:val="13"/>
    <w:qFormat/>
    <w:uiPriority w:val="99"/>
    <w:rPr>
      <w:rFonts w:ascii="Tahoma" w:hAnsi="Tahoma"/>
      <w:sz w:val="18"/>
      <w:szCs w:val="18"/>
    </w:rPr>
  </w:style>
  <w:style w:type="character" w:customStyle="1" w:styleId="49">
    <w:name w:val="批注框文本 Char"/>
    <w:basedOn w:val="26"/>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9">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41"/>
    <w:basedOn w:val="26"/>
    <w:qFormat/>
    <w:uiPriority w:val="0"/>
    <w:rPr>
      <w:rFonts w:hint="default" w:ascii="Times New Roman" w:hAnsi="Times New Roman" w:cs="Times New Roman"/>
      <w:color w:val="000000"/>
      <w:sz w:val="22"/>
      <w:szCs w:val="22"/>
      <w:u w:val="none"/>
      <w:vertAlign w:val="superscript"/>
    </w:rPr>
  </w:style>
  <w:style w:type="character" w:customStyle="1" w:styleId="62">
    <w:name w:val="font01"/>
    <w:basedOn w:val="26"/>
    <w:qFormat/>
    <w:uiPriority w:val="0"/>
    <w:rPr>
      <w:rFonts w:hint="eastAsia" w:ascii="宋体" w:hAnsi="宋体" w:eastAsia="宋体" w:cs="宋体"/>
      <w:color w:val="000000"/>
      <w:sz w:val="22"/>
      <w:szCs w:val="22"/>
      <w:u w:val="none"/>
    </w:rPr>
  </w:style>
  <w:style w:type="character" w:customStyle="1" w:styleId="63">
    <w:name w:val="font21"/>
    <w:basedOn w:val="26"/>
    <w:qFormat/>
    <w:uiPriority w:val="0"/>
    <w:rPr>
      <w:rFonts w:hint="eastAsia" w:ascii="宋体" w:hAnsi="宋体" w:eastAsia="宋体" w:cs="宋体"/>
      <w:b/>
      <w:bCs/>
      <w:color w:val="000000"/>
      <w:sz w:val="24"/>
      <w:szCs w:val="24"/>
      <w:u w:val="none"/>
    </w:rPr>
  </w:style>
  <w:style w:type="character" w:customStyle="1" w:styleId="64">
    <w:name w:val="font61"/>
    <w:basedOn w:val="26"/>
    <w:qFormat/>
    <w:uiPriority w:val="0"/>
    <w:rPr>
      <w:rFonts w:hint="eastAsia" w:ascii="宋体" w:hAnsi="宋体" w:eastAsia="宋体" w:cs="宋体"/>
      <w:b/>
      <w:bCs/>
      <w:color w:val="000000"/>
      <w:sz w:val="28"/>
      <w:szCs w:val="28"/>
      <w:u w:val="none"/>
    </w:rPr>
  </w:style>
  <w:style w:type="character" w:customStyle="1" w:styleId="65">
    <w:name w:val="font71"/>
    <w:basedOn w:val="26"/>
    <w:qFormat/>
    <w:uiPriority w:val="0"/>
    <w:rPr>
      <w:rFonts w:hint="default" w:ascii="Times New Roman" w:hAnsi="Times New Roman" w:cs="Times New Roman"/>
      <w:color w:val="000000"/>
      <w:sz w:val="24"/>
      <w:szCs w:val="24"/>
      <w:u w:val="none"/>
    </w:rPr>
  </w:style>
  <w:style w:type="character" w:customStyle="1" w:styleId="66">
    <w:name w:val="font81"/>
    <w:basedOn w:val="26"/>
    <w:qFormat/>
    <w:uiPriority w:val="0"/>
    <w:rPr>
      <w:rFonts w:hint="default" w:ascii="Times New Roman" w:hAnsi="Times New Roman" w:cs="Times New Roman"/>
      <w:color w:val="000000"/>
      <w:sz w:val="24"/>
      <w:szCs w:val="24"/>
      <w:u w:val="none"/>
      <w:vertAlign w:val="superscript"/>
    </w:rPr>
  </w:style>
  <w:style w:type="character" w:customStyle="1" w:styleId="67">
    <w:name w:val="font51"/>
    <w:basedOn w:val="26"/>
    <w:qFormat/>
    <w:uiPriority w:val="0"/>
    <w:rPr>
      <w:rFonts w:hint="default" w:ascii="Times New Roman" w:hAnsi="Times New Roman" w:cs="Times New Roman"/>
      <w:b/>
      <w:bCs/>
      <w:color w:val="000000"/>
      <w:sz w:val="28"/>
      <w:szCs w:val="28"/>
      <w:u w:val="none"/>
    </w:rPr>
  </w:style>
  <w:style w:type="character" w:customStyle="1" w:styleId="68">
    <w:name w:val="font91"/>
    <w:basedOn w:val="26"/>
    <w:qFormat/>
    <w:uiPriority w:val="0"/>
    <w:rPr>
      <w:rFonts w:hint="default" w:ascii="Times New Roman" w:hAnsi="Times New Roman" w:cs="Times New Roman"/>
      <w:color w:val="000000"/>
      <w:sz w:val="24"/>
      <w:szCs w:val="24"/>
      <w:u w:val="none"/>
      <w:vertAlign w:val="subscript"/>
    </w:rPr>
  </w:style>
  <w:style w:type="paragraph" w:customStyle="1" w:styleId="69">
    <w:name w:val="Table Paragraph"/>
    <w:basedOn w:val="1"/>
    <w:qFormat/>
    <w:uiPriority w:val="1"/>
  </w:style>
  <w:style w:type="paragraph" w:customStyle="1" w:styleId="70">
    <w:name w:val="WPSOffice手动目录 1"/>
    <w:qFormat/>
    <w:uiPriority w:val="0"/>
    <w:pPr>
      <w:ind w:leftChars="0"/>
    </w:pPr>
    <w:rPr>
      <w:rFonts w:ascii="Times New Roman" w:hAnsi="Times New Roman" w:eastAsia="宋体" w:cs="Times New Roman"/>
      <w:sz w:val="20"/>
      <w:szCs w:val="20"/>
    </w:rPr>
  </w:style>
  <w:style w:type="paragraph" w:customStyle="1" w:styleId="71">
    <w:name w:val="WPSOffice手动目录 2"/>
    <w:qFormat/>
    <w:uiPriority w:val="0"/>
    <w:pPr>
      <w:ind w:leftChars="200"/>
    </w:pPr>
    <w:rPr>
      <w:rFonts w:ascii="Times New Roman" w:hAnsi="Times New Roman" w:eastAsia="宋体" w:cs="Times New Roman"/>
      <w:sz w:val="20"/>
      <w:szCs w:val="20"/>
    </w:rPr>
  </w:style>
  <w:style w:type="paragraph" w:customStyle="1" w:styleId="7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36873</Words>
  <Characters>38152</Characters>
  <Lines>349</Lines>
  <Paragraphs>98</Paragraphs>
  <TotalTime>0</TotalTime>
  <ScaleCrop>false</ScaleCrop>
  <LinksUpToDate>false</LinksUpToDate>
  <CharactersWithSpaces>39919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2023-08-08T09:09:30Z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5E60D09C75F640A89EB487A943918DBD_13</vt:lpwstr>
  </property>
</Properties>
</file>