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2"/>
        <w:jc w:val="center"/>
        <w:rPr>
          <w:rFonts w:hint="eastAsia"/>
          <w:color w:val="auto"/>
          <w:highlight w:val="none"/>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2"/>
                    <a:srcRect l="6233" t="18358" r="67326" b="19339"/>
                    <a:stretch>
                      <a:fillRect/>
                    </a:stretch>
                  </pic:blipFill>
                  <pic:spPr>
                    <a:xfrm>
                      <a:off x="0" y="0"/>
                      <a:ext cx="2129790" cy="2035175"/>
                    </a:xfrm>
                    <a:prstGeom prst="rect">
                      <a:avLst/>
                    </a:prstGeom>
                  </pic:spPr>
                </pic:pic>
              </a:graphicData>
            </a:graphic>
          </wp:inline>
        </w:drawing>
      </w:r>
    </w:p>
    <w:p>
      <w:pPr>
        <w:pStyle w:val="2"/>
        <w:jc w:val="center"/>
        <w:rPr>
          <w:rFonts w:hint="eastAsia" w:ascii="黑体" w:eastAsia="黑体"/>
          <w:color w:val="auto"/>
          <w:szCs w:val="21"/>
          <w:highlight w:val="none"/>
          <w:lang w:eastAsia="zh-CN"/>
        </w:rPr>
      </w:pPr>
    </w:p>
    <w:tbl>
      <w:tblPr>
        <w:tblStyle w:val="24"/>
        <w:tblpPr w:leftFromText="180" w:rightFromText="180" w:vertAnchor="text" w:horzAnchor="page" w:tblpX="1495" w:tblpY="21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default"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GDZT2023143C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东莞市第八高级中学自动售货机售货服务项目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东莞市第八高级中学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default"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pStyle w:val="22"/>
        <w:ind w:left="0" w:leftChars="0" w:firstLine="0" w:firstLineChars="0"/>
        <w:rPr>
          <w:rFonts w:hint="eastAsia" w:ascii="黑体" w:eastAsia="黑体"/>
          <w:color w:val="auto"/>
          <w:szCs w:val="21"/>
          <w:highlight w:val="none"/>
          <w:lang w:eastAsia="zh-CN"/>
        </w:rPr>
      </w:pPr>
    </w:p>
    <w:p>
      <w:pPr>
        <w:jc w:val="both"/>
        <w:rPr>
          <w:rFonts w:ascii="黑体" w:eastAsia="黑体"/>
          <w:color w:val="auto"/>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请各投标供应商缴纳投标保证金前务必核对正确的缴纳账户，由于错缴、误缴而导致未按项目缴纳投标保证金的情况将由投标供应商自行负责。</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9</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投标保证金必须于投标文件递交截止时间前到达</w:t>
      </w:r>
      <w:r>
        <w:rPr>
          <w:rFonts w:hint="eastAsia" w:ascii="宋体" w:hAnsi="宋体" w:eastAsia="宋体" w:cs="宋体"/>
          <w:b/>
          <w:bCs w:val="0"/>
          <w:color w:val="auto"/>
          <w:sz w:val="21"/>
          <w:szCs w:val="21"/>
          <w:highlight w:val="none"/>
          <w:u w:val="none"/>
          <w:lang w:val="zh-CN"/>
        </w:rPr>
        <w:t>广东政通招标有限公司</w:t>
      </w:r>
      <w:r>
        <w:rPr>
          <w:rFonts w:hint="eastAsia" w:ascii="宋体" w:hAnsi="宋体" w:eastAsia="宋体" w:cs="宋体"/>
          <w:b/>
          <w:bCs w:val="0"/>
          <w:color w:val="auto"/>
          <w:sz w:val="21"/>
          <w:szCs w:val="21"/>
          <w:highlight w:val="none"/>
          <w:u w:val="none"/>
        </w:rPr>
        <w:t>账户</w:t>
      </w:r>
      <w:r>
        <w:rPr>
          <w:rFonts w:hint="eastAsia" w:ascii="宋体" w:hAnsi="宋体" w:eastAsia="宋体" w:cs="宋体"/>
          <w:b/>
          <w:bCs w:val="0"/>
          <w:color w:val="auto"/>
          <w:sz w:val="21"/>
          <w:szCs w:val="21"/>
          <w:highlight w:val="none"/>
          <w:u w:val="none"/>
          <w:lang w:eastAsia="zh-CN"/>
        </w:rPr>
        <w:t>，</w:t>
      </w:r>
      <w:r>
        <w:rPr>
          <w:rFonts w:hint="eastAsia" w:ascii="宋体" w:hAnsi="宋体" w:eastAsia="宋体" w:cs="宋体"/>
          <w:b/>
          <w:bCs w:val="0"/>
          <w:color w:val="auto"/>
          <w:sz w:val="21"/>
          <w:szCs w:val="21"/>
          <w:highlight w:val="none"/>
          <w:u w:val="none"/>
          <w:lang w:val="en-US" w:eastAsia="zh-CN"/>
        </w:rPr>
        <w:t>账户详见招标文件</w:t>
      </w:r>
      <w:r>
        <w:rPr>
          <w:rFonts w:hint="eastAsia" w:ascii="宋体" w:hAnsi="宋体" w:eastAsia="宋体" w:cs="宋体"/>
          <w:b/>
          <w:bCs w:val="0"/>
          <w:color w:val="auto"/>
          <w:sz w:val="21"/>
          <w:szCs w:val="21"/>
          <w:highlight w:val="none"/>
          <w:u w:val="none"/>
        </w:rPr>
        <w:t>。由于转账当天不能确保实时到账，为避免因投标保证金未到账而导致投标被拒绝，建议提前2个工作日转账。</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cs="宋体"/>
          <w:b/>
          <w:bCs w:val="0"/>
          <w:color w:val="auto"/>
          <w:sz w:val="21"/>
          <w:szCs w:val="21"/>
          <w:highlight w:val="none"/>
          <w:u w:val="none"/>
          <w:lang w:val="en-US" w:eastAsia="zh-CN"/>
        </w:rPr>
        <w:t>0</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11、公司位置：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3"/>
                    <a:stretch>
                      <a:fillRect/>
                    </a:stretch>
                  </pic:blipFill>
                  <pic:spPr>
                    <a:xfrm>
                      <a:off x="0" y="0"/>
                      <a:ext cx="5266690" cy="4297680"/>
                    </a:xfrm>
                    <a:prstGeom prst="rect">
                      <a:avLst/>
                    </a:prstGeom>
                  </pic:spPr>
                </pic:pic>
              </a:graphicData>
            </a:graphic>
          </wp:inline>
        </w:drawing>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八、政府采购投标担保函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4"/>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5"/>
        <w:spacing w:before="0" w:after="0" w:line="360" w:lineRule="auto"/>
        <w:jc w:val="center"/>
        <w:rPr>
          <w:rFonts w:ascii="宋体" w:hAnsi="宋体" w:eastAsia="宋体" w:cs="宋体"/>
          <w:color w:val="auto"/>
          <w:highlight w:val="none"/>
        </w:rPr>
      </w:pPr>
      <w:bookmarkStart w:id="2" w:name="_Toc8850"/>
      <w:bookmarkStart w:id="3" w:name="_Toc1420"/>
      <w:bookmarkStart w:id="4" w:name="_Toc7123"/>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东莞市第八高级中学</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东莞市第八高级中学自动售货机售货服务项目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w:t>
      </w:r>
      <w:bookmarkStart w:id="396" w:name="_GoBack"/>
      <w:bookmarkEnd w:id="396"/>
      <w:r>
        <w:rPr>
          <w:rFonts w:hint="eastAsia" w:ascii="宋体" w:hAnsi="宋体" w:eastAsia="宋体"/>
          <w:color w:val="auto"/>
          <w:sz w:val="21"/>
          <w:szCs w:val="21"/>
          <w:highlight w:val="none"/>
        </w:rPr>
        <w:t>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GDZT2023143C</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东莞市第八高级中学自动售货机售货服务项目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3"/>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7"/>
        <w:gridCol w:w="4247"/>
        <w:gridCol w:w="624"/>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b/>
                <w:color w:val="auto"/>
                <w:sz w:val="21"/>
                <w:szCs w:val="21"/>
                <w:highlight w:val="none"/>
                <w:u w:val="single"/>
                <w:lang w:eastAsia="zh-CN"/>
              </w:rPr>
              <w:t>东莞市第八高级中学自动售货机售货服务项目</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无具体预算</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bidi w:val="0"/>
        <w:rPr>
          <w:rFonts w:hint="eastAsia"/>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2023</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15</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2023</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15</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color w:val="auto"/>
          <w:sz w:val="21"/>
          <w:szCs w:val="21"/>
          <w:highlight w:val="none"/>
          <w:lang w:val="en-US" w:eastAsia="zh-CN"/>
        </w:rPr>
        <w:t>徐先生</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w:t>
      </w:r>
      <w:r>
        <w:rPr>
          <w:rFonts w:hint="eastAsia" w:ascii="宋体" w:hAnsi="宋体"/>
          <w:color w:val="auto"/>
          <w:szCs w:val="21"/>
          <w:highlight w:val="none"/>
        </w:rPr>
        <w:t>政通招标网（http://www.zttendering.com/）</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徐先生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color w:val="auto"/>
          <w:sz w:val="21"/>
          <w:szCs w:val="21"/>
          <w:highlight w:val="none"/>
          <w:lang w:eastAsia="zh-CN"/>
        </w:rPr>
        <w:t>2023</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8</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29</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2023</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8</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29</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采购人联系人：黄老师</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东莞市樟木头镇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联系电话：0769-82338266</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color w:val="auto"/>
          <w:highlight w:val="none"/>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2023</w:t>
      </w:r>
      <w:r>
        <w:rPr>
          <w:rFonts w:hint="eastAsia" w:ascii="宋体" w:hAnsi="宋体" w:eastAsia="宋体"/>
          <w:color w:val="auto"/>
          <w:sz w:val="21"/>
          <w:szCs w:val="21"/>
          <w:highlight w:val="none"/>
        </w:rPr>
        <w:t>年</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月</w:t>
      </w:r>
    </w:p>
    <w:p>
      <w:pPr>
        <w:pStyle w:val="4"/>
        <w:spacing w:before="0" w:after="0" w:line="240" w:lineRule="auto"/>
        <w:rPr>
          <w:rFonts w:hint="eastAsia"/>
          <w:color w:val="auto"/>
          <w:sz w:val="28"/>
          <w:szCs w:val="28"/>
          <w:highlight w:val="none"/>
          <w:lang w:val="en-US" w:eastAsia="zh-CN"/>
        </w:rPr>
      </w:pPr>
      <w:bookmarkStart w:id="5" w:name="_Toc28550"/>
      <w:bookmarkStart w:id="6" w:name="_Toc24505"/>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批发业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自筹</w:t>
            </w:r>
            <w:r>
              <w:rPr>
                <w:rFonts w:hint="eastAsia" w:ascii="宋体" w:hAnsi="宋体" w:eastAsia="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jc w:val="center"/>
              <w:rPr>
                <w:rFonts w:ascii="宋体" w:hAnsi="宋体" w:eastAsia="宋体"/>
                <w:b/>
                <w:color w:val="auto"/>
                <w:sz w:val="21"/>
                <w:szCs w:val="21"/>
                <w:highlight w:val="none"/>
              </w:rPr>
            </w:pPr>
            <w:r>
              <w:rPr>
                <w:rFonts w:hint="eastAsia" w:ascii="宋体" w:hAnsi="宋体"/>
                <w:b/>
                <w:color w:val="auto"/>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jc w:val="center"/>
              <w:rPr>
                <w:rFonts w:ascii="宋体" w:hAnsi="宋体" w:eastAsia="宋体"/>
                <w:b/>
                <w:color w:val="auto"/>
                <w:sz w:val="21"/>
                <w:szCs w:val="21"/>
                <w:highlight w:val="none"/>
              </w:rPr>
            </w:pPr>
            <w:r>
              <w:rPr>
                <w:rFonts w:hint="eastAsia" w:ascii="宋体" w:hAnsi="宋体"/>
                <w:color w:val="auto"/>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投标保证金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本项目无需提供投标保证金</w:t>
            </w:r>
            <w:r>
              <w:rPr>
                <w:rFonts w:hint="eastAsia" w:ascii="宋体" w:hAnsi="宋体"/>
                <w:b/>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唱标文件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bCs/>
                <w:color w:val="auto"/>
                <w:sz w:val="21"/>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2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（1）本项目固定收取中标服务费金额为人民币</w:t>
            </w:r>
            <w:r>
              <w:rPr>
                <w:rFonts w:hint="eastAsia" w:ascii="宋体" w:hAnsi="宋体"/>
                <w:color w:val="auto"/>
                <w:sz w:val="21"/>
                <w:szCs w:val="21"/>
                <w:highlight w:val="none"/>
                <w:lang w:val="en-US" w:eastAsia="zh-CN"/>
              </w:rPr>
              <w:t>贰万元</w:t>
            </w:r>
            <w:r>
              <w:rPr>
                <w:rFonts w:hint="eastAsia" w:ascii="宋体" w:hAnsi="宋体" w:eastAsia="宋体"/>
                <w:color w:val="auto"/>
                <w:sz w:val="21"/>
                <w:szCs w:val="21"/>
                <w:highlight w:val="none"/>
              </w:rPr>
              <w:t>整（¥</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0,000.00），向中标单位收取。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Hlk55300595"/>
      <w:bookmarkStart w:id="9" w:name="_Toc13473"/>
      <w:bookmarkStart w:id="10" w:name="_Toc5749"/>
      <w:bookmarkStart w:id="11" w:name="_Toc9572"/>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5"/>
        <w:spacing w:before="0" w:after="0" w:line="240" w:lineRule="auto"/>
        <w:jc w:val="center"/>
        <w:rPr>
          <w:rFonts w:ascii="宋体" w:hAnsi="宋体" w:eastAsia="宋体" w:cs="宋体"/>
          <w:color w:val="auto"/>
          <w:sz w:val="24"/>
          <w:szCs w:val="24"/>
          <w:highlight w:val="none"/>
        </w:rPr>
      </w:pPr>
      <w:bookmarkStart w:id="15" w:name="_Toc21613"/>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rPr>
              <w:t>格分计算方法：满足招标文件要求且投标报价最低的投标报价为评标基准价，其价格分为满分。其他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r>
              <w:rPr>
                <w:rFonts w:hint="eastAsia" w:ascii="宋体" w:hAnsi="宋体" w:eastAsia="宋体" w:cs="宋体"/>
                <w:bCs/>
                <w:color w:val="auto"/>
                <w:sz w:val="21"/>
                <w:szCs w:val="21"/>
                <w:highlight w:val="none"/>
                <w:lang w:val="zh-CN" w:eastAsia="zh-CN"/>
              </w:rPr>
              <w:t xml:space="preserve">   </w:t>
            </w:r>
          </w:p>
          <w:p>
            <w:pPr>
              <w:pStyle w:val="36"/>
              <w:keepNext w:val="0"/>
              <w:keepLines w:val="0"/>
              <w:pageBreakBefore w:val="0"/>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投标报价得分=</w:t>
            </w:r>
            <w:r>
              <w:rPr>
                <w:rFonts w:hint="eastAsia" w:ascii="宋体" w:eastAsia="宋体" w:cs="宋体"/>
                <w:bCs/>
                <w:color w:val="auto"/>
                <w:sz w:val="21"/>
                <w:szCs w:val="21"/>
                <w:highlight w:val="none"/>
                <w:lang w:val="zh-CN"/>
              </w:rPr>
              <w:t>（</w:t>
            </w:r>
            <w:r>
              <w:rPr>
                <w:rFonts w:hint="eastAsia" w:ascii="宋体" w:hAnsi="宋体" w:eastAsia="宋体" w:cs="宋体"/>
                <w:bCs/>
                <w:color w:val="auto"/>
                <w:sz w:val="21"/>
                <w:szCs w:val="21"/>
                <w:highlight w:val="none"/>
                <w:lang w:val="zh-CN"/>
              </w:rPr>
              <w:t>评标基准价／投标</w:t>
            </w:r>
            <w:r>
              <w:rPr>
                <w:rFonts w:hint="eastAsia" w:ascii="宋体" w:eastAsia="宋体" w:cs="宋体"/>
                <w:bCs/>
                <w:color w:val="auto"/>
                <w:sz w:val="21"/>
                <w:szCs w:val="21"/>
                <w:highlight w:val="none"/>
                <w:lang w:val="en-US" w:eastAsia="zh-CN"/>
              </w:rPr>
              <w:t>折扣率）</w:t>
            </w:r>
            <w:r>
              <w:rPr>
                <w:rFonts w:hint="eastAsia" w:ascii="宋体" w:hAnsi="宋体" w:eastAsia="宋体" w:cs="宋体"/>
                <w:bCs/>
                <w:color w:val="auto"/>
                <w:sz w:val="21"/>
                <w:szCs w:val="21"/>
                <w:highlight w:val="none"/>
                <w:lang w:val="zh-CN"/>
              </w:rPr>
              <w:t>×价格权重</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20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29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rPr>
              <w:t>业绩情况</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投标人具有</w:t>
            </w:r>
            <w:r>
              <w:rPr>
                <w:rFonts w:hint="eastAsia" w:ascii="宋体" w:hAnsi="宋体" w:eastAsia="宋体" w:cs="宋体"/>
                <w:color w:val="auto"/>
                <w:kern w:val="2"/>
                <w:sz w:val="21"/>
                <w:szCs w:val="21"/>
                <w:highlight w:val="none"/>
                <w:lang w:val="en-US" w:eastAsia="zh-CN"/>
              </w:rPr>
              <w:t>自动售货机售货（或运营）类</w:t>
            </w:r>
            <w:r>
              <w:rPr>
                <w:rFonts w:hint="eastAsia" w:ascii="宋体" w:hAnsi="宋体" w:cs="宋体"/>
                <w:color w:val="auto"/>
                <w:kern w:val="2"/>
                <w:sz w:val="21"/>
                <w:szCs w:val="21"/>
                <w:highlight w:val="none"/>
                <w:lang w:val="en-US" w:eastAsia="zh-CN"/>
              </w:rPr>
              <w:t>项目</w:t>
            </w:r>
            <w:r>
              <w:rPr>
                <w:rFonts w:hint="eastAsia" w:ascii="宋体" w:hAnsi="宋体" w:eastAsia="宋体" w:cs="宋体"/>
                <w:color w:val="auto"/>
                <w:kern w:val="2"/>
                <w:sz w:val="21"/>
                <w:szCs w:val="21"/>
                <w:highlight w:val="none"/>
              </w:rPr>
              <w:t>业绩进行评审， 每提供一项业绩得</w:t>
            </w:r>
            <w:r>
              <w:rPr>
                <w:rFonts w:hint="eastAsia" w:ascii="宋体" w:hAnsi="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rPr>
              <w:t>分，本项满分</w:t>
            </w:r>
            <w:r>
              <w:rPr>
                <w:rFonts w:hint="eastAsia" w:ascii="宋体" w:hAnsi="宋体" w:cs="宋体"/>
                <w:color w:val="auto"/>
                <w:kern w:val="2"/>
                <w:sz w:val="21"/>
                <w:szCs w:val="21"/>
                <w:highlight w:val="none"/>
                <w:lang w:val="en-US" w:eastAsia="zh-CN"/>
              </w:rPr>
              <w:t>16</w:t>
            </w:r>
            <w:r>
              <w:rPr>
                <w:rFonts w:hint="eastAsia" w:ascii="宋体" w:hAnsi="宋体" w:eastAsia="宋体" w:cs="宋体"/>
                <w:color w:val="auto"/>
                <w:kern w:val="2"/>
                <w:sz w:val="21"/>
                <w:szCs w:val="21"/>
                <w:highlight w:val="none"/>
              </w:rPr>
              <w:t xml:space="preserve">分。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bidi="ar-SA"/>
              </w:rPr>
            </w:pPr>
            <w:r>
              <w:rPr>
                <w:rFonts w:hint="eastAsia" w:ascii="宋体" w:hAnsi="宋体" w:eastAsia="宋体" w:cs="宋体"/>
                <w:color w:val="auto"/>
                <w:kern w:val="2"/>
                <w:sz w:val="21"/>
                <w:szCs w:val="21"/>
                <w:highlight w:val="none"/>
              </w:rPr>
              <w:t>注：须提供合同复印件加盖投标人公章</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否则不得分。</w:t>
            </w:r>
            <w:r>
              <w:rPr>
                <w:rFonts w:hint="eastAsia" w:ascii="宋体" w:hAnsi="宋体" w:eastAsia="宋体" w:cs="宋体"/>
                <w:color w:val="auto"/>
                <w:kern w:val="2"/>
                <w:sz w:val="21"/>
                <w:szCs w:val="21"/>
                <w:highlight w:val="none"/>
              </w:rPr>
              <w:t xml:space="preserve"> </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bidi="ar-SA"/>
              </w:rPr>
            </w:pPr>
            <w:r>
              <w:rPr>
                <w:rFonts w:hint="eastAsia" w:ascii="宋体" w:hAnsi="宋体" w:cs="宋体"/>
                <w:color w:val="auto"/>
                <w:kern w:val="2"/>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651"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290"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服务便利性</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rPr>
              <w:t>根据投标人提供的服务响应时间承诺进行</w:t>
            </w:r>
            <w:r>
              <w:rPr>
                <w:rFonts w:hint="eastAsia" w:ascii="宋体" w:hAnsi="宋体" w:eastAsia="宋体" w:cs="宋体"/>
                <w:bCs/>
                <w:color w:val="auto"/>
                <w:sz w:val="21"/>
                <w:szCs w:val="21"/>
                <w:highlight w:val="none"/>
                <w:lang w:val="pt-BR" w:eastAsia="zh-CN"/>
              </w:rPr>
              <w:t>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（1）投标人承诺在接到采购人通知后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pt-BR"/>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（2）投标人承诺在接到采购人通知后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（3）投标人承诺在接到采购人通知后</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eastAsia="宋体" w:cs="宋体"/>
                <w:bCs/>
                <w:color w:val="auto"/>
                <w:sz w:val="21"/>
                <w:szCs w:val="21"/>
                <w:highlight w:val="none"/>
                <w:lang w:val="pt-BR" w:eastAsia="zh-CN"/>
              </w:rPr>
              <w:t>1</w:t>
            </w:r>
            <w:r>
              <w:rPr>
                <w:rFonts w:hint="eastAsia" w:ascii="宋体" w:hAnsi="宋体" w:eastAsia="宋体" w:cs="宋体"/>
                <w:bCs/>
                <w:color w:val="auto"/>
                <w:sz w:val="21"/>
                <w:szCs w:val="21"/>
                <w:highlight w:val="none"/>
                <w:lang w:val="pt-BR"/>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（4）投标人未承诺或承诺在接到采购人通知后超过</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不含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到现场，不得分。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注：须提供服务承诺书并加盖投标人公章，否则不得分。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kern w:val="2"/>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w:t>
            </w:r>
            <w:r>
              <w:rPr>
                <w:rFonts w:hint="eastAsia" w:ascii="宋体" w:hAnsi="宋体" w:cs="宋体"/>
                <w:bCs/>
                <w:color w:val="auto"/>
                <w:sz w:val="21"/>
                <w:szCs w:val="21"/>
                <w:highlight w:val="none"/>
                <w:lang w:val="en-US" w:eastAsia="zh-CN"/>
              </w:rPr>
              <w:t>70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对项目重点难点分析</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根据投标人对</w:t>
            </w:r>
            <w:r>
              <w:rPr>
                <w:rFonts w:hint="eastAsia" w:ascii="宋体" w:hAnsi="宋体" w:eastAsia="宋体" w:cs="宋体"/>
                <w:color w:val="auto"/>
                <w:kern w:val="2"/>
                <w:sz w:val="21"/>
                <w:szCs w:val="21"/>
                <w:highlight w:val="none"/>
              </w:rPr>
              <w:t>项目重点难点分析</w:t>
            </w:r>
            <w:r>
              <w:rPr>
                <w:rFonts w:hint="eastAsia" w:ascii="宋体" w:hAnsi="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详细、透彻</w:t>
            </w:r>
            <w:r>
              <w:rPr>
                <w:rFonts w:hint="eastAsia" w:ascii="宋体" w:hAnsi="宋体" w:cs="宋体"/>
                <w:color w:val="auto"/>
                <w:kern w:val="2"/>
                <w:sz w:val="21"/>
                <w:szCs w:val="21"/>
                <w:highlight w:val="none"/>
                <w:lang w:val="en-US" w:eastAsia="zh-CN"/>
              </w:rPr>
              <w:t>程度及能否</w:t>
            </w:r>
            <w:r>
              <w:rPr>
                <w:rFonts w:hint="eastAsia" w:ascii="宋体" w:hAnsi="宋体" w:eastAsia="宋体" w:cs="宋体"/>
                <w:color w:val="auto"/>
                <w:kern w:val="2"/>
                <w:sz w:val="21"/>
                <w:szCs w:val="21"/>
                <w:highlight w:val="none"/>
              </w:rPr>
              <w:t>结合本项目实际情况</w:t>
            </w:r>
            <w:r>
              <w:rPr>
                <w:rFonts w:hint="eastAsia" w:ascii="宋体" w:hAnsi="宋体" w:cs="宋体"/>
                <w:color w:val="auto"/>
                <w:kern w:val="2"/>
                <w:sz w:val="21"/>
                <w:szCs w:val="21"/>
                <w:highlight w:val="none"/>
                <w:lang w:val="en-US" w:eastAsia="zh-CN"/>
              </w:rPr>
              <w:t>分析等情况进行综合评审：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1)对本项目重点难点分析详细、透彻，能结合本项目实际情况分析，科学、合理的，得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2)对本项目重点难点分析较详细、透彻，能结合本项目实际情况分析，较科学、合理的，得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)对本项目重点难点分析</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详细、透彻，能结合本项目实际情况分析，合理</w:t>
            </w:r>
            <w:r>
              <w:rPr>
                <w:rFonts w:hint="eastAsia" w:ascii="宋体" w:hAnsi="宋体" w:cs="宋体"/>
                <w:color w:val="auto"/>
                <w:kern w:val="2"/>
                <w:sz w:val="21"/>
                <w:szCs w:val="21"/>
                <w:highlight w:val="none"/>
                <w:lang w:val="en-US" w:eastAsia="zh-CN"/>
              </w:rPr>
              <w:t>性一般</w:t>
            </w:r>
            <w:r>
              <w:rPr>
                <w:rFonts w:hint="eastAsia" w:ascii="宋体" w:hAnsi="宋体" w:eastAsia="宋体" w:cs="宋体"/>
                <w:color w:val="auto"/>
                <w:kern w:val="2"/>
                <w:sz w:val="21"/>
                <w:szCs w:val="21"/>
                <w:highlight w:val="none"/>
              </w:rPr>
              <w:t>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)对本项目重点难点分析不详细，不能结合本项目实际情况分析，缺乏科学合理性的，得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5)其他或无响应，得0分。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rPr>
              <w:t>投标产品的质量保证和食品安全保障措施方案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根据投标人对</w:t>
            </w:r>
            <w:r>
              <w:rPr>
                <w:rFonts w:hint="eastAsia" w:ascii="宋体" w:hAnsi="宋体" w:eastAsia="宋体" w:cs="宋体"/>
                <w:bCs/>
                <w:color w:val="auto"/>
                <w:kern w:val="2"/>
                <w:sz w:val="21"/>
                <w:szCs w:val="21"/>
                <w:highlight w:val="none"/>
              </w:rPr>
              <w:t>投标产品的质量保证和食品安全保障措施方案</w:t>
            </w:r>
            <w:r>
              <w:rPr>
                <w:rFonts w:hint="eastAsia" w:ascii="宋体" w:hAnsi="宋体" w:cs="宋体"/>
                <w:bCs/>
                <w:color w:val="auto"/>
                <w:kern w:val="2"/>
                <w:sz w:val="21"/>
                <w:szCs w:val="21"/>
                <w:highlight w:val="none"/>
                <w:lang w:val="en-US" w:eastAsia="zh-CN"/>
              </w:rPr>
              <w:t>进行综合评审：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1)投标产品的来源回溯、运储、仓储各环节的质量保证及食品安全保障措施完整、科学、合理的得</w:t>
            </w:r>
            <w:r>
              <w:rPr>
                <w:rFonts w:hint="eastAsia" w:ascii="宋体" w:hAnsi="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2)投标产品的来源回溯、运储、仓储各环节的质量保证及食品安全保障措施</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完整、较科学、</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3)投标产品的来源回溯、运储、仓储各环节的质量保证及食品安全保障措施基本完整、基本科学、</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合理的得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4)投标产品的来源回溯、运储、仓储各环节的质量保证及食品安全保障措施不完整、缺乏科学合理性的得1分；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rPr>
              <w:t>5)其他或无响应，得0分。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kern w:val="2"/>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配送服务方案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根据投标人提供的</w:t>
            </w:r>
            <w:r>
              <w:rPr>
                <w:rFonts w:hint="eastAsia" w:ascii="宋体" w:hAnsi="宋体" w:eastAsia="宋体" w:cs="宋体"/>
                <w:color w:val="auto"/>
                <w:kern w:val="2"/>
                <w:sz w:val="21"/>
                <w:szCs w:val="21"/>
                <w:highlight w:val="none"/>
              </w:rPr>
              <w:t>配送服务方案</w:t>
            </w:r>
            <w:r>
              <w:rPr>
                <w:rFonts w:hint="eastAsia" w:ascii="宋体" w:hAnsi="宋体" w:cs="宋体"/>
                <w:color w:val="auto"/>
                <w:kern w:val="2"/>
                <w:sz w:val="21"/>
                <w:szCs w:val="21"/>
                <w:highlight w:val="none"/>
                <w:lang w:val="en-US" w:eastAsia="zh-CN"/>
              </w:rPr>
              <w:t>进行综合评审：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1)方案内容完整、详细、表述清晰、科学合理、切实可行，得</w:t>
            </w:r>
            <w:r>
              <w:rPr>
                <w:rFonts w:hint="eastAsia" w:ascii="宋体" w:hAnsi="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2)方案内容较完整、</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详细、表述较清晰、合理可行，得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3)方案内容基本完整、表述基本清晰、基本合理可行，得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4)方案内容不完整、表述不清晰、缺乏合理性，得1分；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rPr>
              <w:t>5)其他或无响应，得0分。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出现产品质量问题退换货方案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cs="宋体"/>
                <w:color w:val="auto"/>
                <w:kern w:val="2"/>
                <w:sz w:val="21"/>
                <w:szCs w:val="21"/>
                <w:highlight w:val="none"/>
                <w:lang w:val="en-US" w:eastAsia="zh-CN"/>
              </w:rPr>
              <w:t>投标人提供</w:t>
            </w:r>
            <w:r>
              <w:rPr>
                <w:rFonts w:hint="eastAsia" w:ascii="宋体" w:hAnsi="宋体" w:eastAsia="宋体" w:cs="宋体"/>
                <w:color w:val="auto"/>
                <w:kern w:val="2"/>
                <w:sz w:val="21"/>
                <w:szCs w:val="21"/>
                <w:highlight w:val="none"/>
              </w:rPr>
              <w:t>的退换方案（包含：退换流程）及措施进行</w:t>
            </w:r>
            <w:r>
              <w:rPr>
                <w:rFonts w:hint="eastAsia" w:ascii="宋体" w:hAnsi="宋体" w:cs="宋体"/>
                <w:color w:val="auto"/>
                <w:kern w:val="2"/>
                <w:sz w:val="21"/>
                <w:szCs w:val="21"/>
                <w:highlight w:val="none"/>
                <w:lang w:val="en-US" w:eastAsia="zh-CN"/>
              </w:rPr>
              <w:t>综合评审</w:t>
            </w:r>
            <w:r>
              <w:rPr>
                <w:rFonts w:hint="eastAsia" w:ascii="宋体" w:hAnsi="宋体" w:eastAsia="宋体" w:cs="宋体"/>
                <w:color w:val="auto"/>
                <w:kern w:val="2"/>
                <w:sz w:val="21"/>
                <w:szCs w:val="21"/>
                <w:highlight w:val="none"/>
              </w:rPr>
              <w:t>：</w:t>
            </w:r>
          </w:p>
          <w:p>
            <w:pPr>
              <w:keepNext w:val="0"/>
              <w:keepLines w:val="0"/>
              <w:pageBreakBefore w:val="0"/>
              <w:widowControl w:val="0"/>
              <w:numPr>
                <w:ilvl w:val="0"/>
                <w:numId w:val="3"/>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退换货方案全面、详细具体、流程科学（合理）、退换货周期快速，得</w:t>
            </w:r>
            <w:r>
              <w:rPr>
                <w:rFonts w:hint="eastAsia" w:ascii="宋体" w:hAnsi="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rPr>
              <w:t>分；</w:t>
            </w:r>
          </w:p>
          <w:p>
            <w:pPr>
              <w:keepNext w:val="0"/>
              <w:keepLines w:val="0"/>
              <w:pageBreakBefore w:val="0"/>
              <w:widowControl w:val="0"/>
              <w:numPr>
                <w:ilvl w:val="-1"/>
                <w:numId w:val="0"/>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)退换货方案</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具体、流程</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合理、退换货周期快速，得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)退换货方案不够全面、简略一般、流程基本合理、退换货周期一般，得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)退换货方案存在重大缺陷、流程具有重大漏洞的、退换货周期慢，得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kern w:val="2"/>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突发事件的应急响应方案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cs="宋体"/>
                <w:color w:val="auto"/>
                <w:kern w:val="2"/>
                <w:sz w:val="21"/>
                <w:szCs w:val="21"/>
                <w:highlight w:val="none"/>
                <w:lang w:val="en-US" w:eastAsia="zh-CN"/>
              </w:rPr>
              <w:t>投标人</w:t>
            </w:r>
            <w:r>
              <w:rPr>
                <w:rFonts w:hint="eastAsia" w:ascii="宋体" w:hAnsi="宋体" w:eastAsia="宋体" w:cs="宋体"/>
                <w:color w:val="auto"/>
                <w:kern w:val="2"/>
                <w:sz w:val="21"/>
                <w:szCs w:val="21"/>
                <w:highlight w:val="none"/>
              </w:rPr>
              <w:t>提供</w:t>
            </w:r>
            <w:r>
              <w:rPr>
                <w:rFonts w:hint="eastAsia" w:ascii="宋体" w:hAnsi="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项目实施应急服务预案</w:t>
            </w:r>
            <w:r>
              <w:rPr>
                <w:rFonts w:hint="eastAsia" w:ascii="宋体" w:hAnsi="宋体" w:cs="宋体"/>
                <w:color w:val="auto"/>
                <w:kern w:val="2"/>
                <w:sz w:val="21"/>
                <w:szCs w:val="21"/>
                <w:highlight w:val="none"/>
                <w:lang w:val="en-US" w:eastAsia="zh-CN"/>
              </w:rPr>
              <w:t>进行综合评审</w:t>
            </w:r>
            <w:r>
              <w:rPr>
                <w:rFonts w:hint="eastAsia" w:ascii="宋体" w:hAnsi="宋体" w:eastAsia="宋体" w:cs="宋体"/>
                <w:color w:val="auto"/>
                <w:kern w:val="2"/>
                <w:sz w:val="21"/>
                <w:szCs w:val="21"/>
                <w:highlight w:val="none"/>
              </w:rPr>
              <w:t>：</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针对本项目拟定的突发事件的处理措施和应急预案全面、科学、合理、可行且详细的，得</w:t>
            </w:r>
            <w:r>
              <w:rPr>
                <w:rFonts w:hint="eastAsia" w:ascii="宋体" w:hAnsi="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rPr>
              <w:t>分；</w:t>
            </w:r>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)针对本项目拟定的突发事件的处理措施和应急预案</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可行的，得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)针对本项目拟定的突发事件的处理措施和应急预案</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合理</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可行的，得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)针对本项目拟定的突发事件的处理措施和应急预案不全面、</w:t>
            </w:r>
            <w:r>
              <w:rPr>
                <w:rFonts w:hint="eastAsia" w:ascii="宋体" w:hAnsi="宋体" w:cs="宋体"/>
                <w:color w:val="auto"/>
                <w:kern w:val="2"/>
                <w:sz w:val="21"/>
                <w:szCs w:val="21"/>
                <w:highlight w:val="none"/>
                <w:lang w:val="en-US" w:eastAsia="zh-CN"/>
              </w:rPr>
              <w:t>不</w:t>
            </w:r>
            <w:r>
              <w:rPr>
                <w:rFonts w:hint="eastAsia" w:ascii="宋体" w:hAnsi="宋体" w:eastAsia="宋体" w:cs="宋体"/>
                <w:color w:val="auto"/>
                <w:kern w:val="2"/>
                <w:sz w:val="21"/>
                <w:szCs w:val="21"/>
                <w:highlight w:val="none"/>
              </w:rPr>
              <w:t>合理的，得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kern w:val="2"/>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tc>
      </w:tr>
    </w:tbl>
    <w:p>
      <w:pPr>
        <w:bidi w:val="0"/>
        <w:rPr>
          <w:rFonts w:hint="eastAsia"/>
          <w:color w:val="auto"/>
          <w:highlight w:val="none"/>
        </w:rPr>
      </w:pPr>
      <w:r>
        <w:rPr>
          <w:rFonts w:hint="eastAsia"/>
          <w:color w:val="auto"/>
          <w:highlight w:val="none"/>
        </w:rPr>
        <w:br w:type="page"/>
      </w:r>
    </w:p>
    <w:p>
      <w:pPr>
        <w:pStyle w:val="4"/>
        <w:spacing w:before="0" w:after="0" w:line="240" w:lineRule="auto"/>
        <w:rPr>
          <w:color w:val="auto"/>
          <w:sz w:val="24"/>
          <w:szCs w:val="24"/>
          <w:highlight w:val="none"/>
        </w:rPr>
      </w:pPr>
      <w:bookmarkStart w:id="17" w:name="_Toc29685"/>
      <w:bookmarkStart w:id="18" w:name="_Toc30638"/>
      <w:bookmarkStart w:id="19" w:name="_Toc2479"/>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5"/>
        <w:numPr>
          <w:ilvl w:val="0"/>
          <w:numId w:val="0"/>
        </w:numPr>
        <w:spacing w:before="0" w:after="0" w:line="480" w:lineRule="auto"/>
        <w:ind w:leftChars="0"/>
        <w:jc w:val="center"/>
        <w:rPr>
          <w:rFonts w:ascii="宋体" w:hAnsi="宋体" w:eastAsia="宋体"/>
          <w:color w:val="auto"/>
          <w:highlight w:val="none"/>
        </w:rPr>
      </w:pPr>
      <w:bookmarkStart w:id="21" w:name="_Toc19746"/>
      <w:bookmarkStart w:id="22" w:name="_Toc11105"/>
      <w:bookmarkStart w:id="23" w:name="_Toc3095"/>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6"/>
        <w:widowControl w:val="0"/>
        <w:overflowPunct w:val="0"/>
        <w:spacing w:before="0" w:after="0" w:line="240" w:lineRule="auto"/>
        <w:rPr>
          <w:rFonts w:ascii="宋体" w:hAnsi="宋体" w:eastAsia="宋体"/>
          <w:color w:val="auto"/>
          <w:sz w:val="21"/>
          <w:szCs w:val="21"/>
          <w:highlight w:val="none"/>
        </w:rPr>
      </w:pPr>
      <w:bookmarkStart w:id="24" w:name="_Toc18488"/>
      <w:bookmarkStart w:id="25" w:name="_Toc22803"/>
      <w:bookmarkStart w:id="26" w:name="_Toc22847"/>
      <w:r>
        <w:rPr>
          <w:rFonts w:hint="eastAsia" w:ascii="宋体" w:hAnsi="宋体" w:eastAsia="宋体"/>
          <w:color w:val="auto"/>
          <w:sz w:val="21"/>
          <w:szCs w:val="21"/>
          <w:highlight w:val="none"/>
        </w:rPr>
        <w:t>1.适用范围</w:t>
      </w:r>
      <w:bookmarkEnd w:id="24"/>
      <w:bookmarkEnd w:id="25"/>
      <w:bookmarkEnd w:id="26"/>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7" w:name="_Toc13400"/>
      <w:bookmarkStart w:id="28" w:name="_Toc16848"/>
      <w:bookmarkStart w:id="29" w:name="_Toc21002"/>
      <w:r>
        <w:rPr>
          <w:rFonts w:hint="eastAsia" w:ascii="宋体" w:hAnsi="宋体" w:eastAsia="宋体"/>
          <w:color w:val="auto"/>
          <w:sz w:val="21"/>
          <w:szCs w:val="21"/>
          <w:highlight w:val="none"/>
        </w:rPr>
        <w:t>2.</w:t>
      </w:r>
      <w:bookmarkStart w:id="30" w:name="_Toc298847174"/>
      <w:bookmarkStart w:id="31" w:name="_Toc303084246"/>
      <w:bookmarkStart w:id="32" w:name="_Toc1530"/>
      <w:bookmarkStart w:id="33" w:name="_Toc382049092"/>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3"/>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4" w:name="_Toc2996"/>
      <w:bookmarkStart w:id="35" w:name="_Toc3780"/>
      <w:bookmarkStart w:id="36" w:name="_Toc9710"/>
      <w:r>
        <w:rPr>
          <w:rFonts w:hint="eastAsia" w:ascii="宋体" w:hAnsi="宋体" w:eastAsia="宋体"/>
          <w:color w:val="auto"/>
          <w:sz w:val="21"/>
          <w:szCs w:val="21"/>
          <w:highlight w:val="none"/>
        </w:rPr>
        <w:t>3.货物和服务</w:t>
      </w:r>
      <w:bookmarkEnd w:id="34"/>
      <w:bookmarkEnd w:id="35"/>
      <w:bookmarkEnd w:id="36"/>
    </w:p>
    <w:p>
      <w:pPr>
        <w:pStyle w:val="33"/>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7" w:name="_Toc15945"/>
      <w:bookmarkStart w:id="38" w:name="_Toc12536"/>
      <w:bookmarkStart w:id="39" w:name="_Toc13909"/>
      <w:r>
        <w:rPr>
          <w:rFonts w:hint="eastAsia" w:ascii="宋体" w:hAnsi="宋体" w:eastAsia="宋体"/>
          <w:color w:val="auto"/>
          <w:sz w:val="21"/>
          <w:szCs w:val="21"/>
          <w:highlight w:val="none"/>
        </w:rPr>
        <w:t>4.投标费用</w:t>
      </w:r>
      <w:bookmarkEnd w:id="37"/>
      <w:bookmarkEnd w:id="38"/>
      <w:bookmarkEnd w:id="39"/>
    </w:p>
    <w:p>
      <w:pPr>
        <w:pStyle w:val="33"/>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0" w:name="_Toc19532"/>
      <w:bookmarkStart w:id="41" w:name="_Toc19094"/>
      <w:bookmarkStart w:id="42" w:name="_Toc25040"/>
      <w:r>
        <w:rPr>
          <w:rFonts w:hint="eastAsia" w:ascii="宋体" w:hAnsi="宋体" w:eastAsia="宋体"/>
          <w:color w:val="auto"/>
          <w:sz w:val="21"/>
          <w:szCs w:val="21"/>
          <w:highlight w:val="none"/>
        </w:rPr>
        <w:t>5.知识产权</w:t>
      </w:r>
      <w:bookmarkEnd w:id="40"/>
      <w:bookmarkEnd w:id="41"/>
      <w:bookmarkEnd w:id="42"/>
    </w:p>
    <w:p>
      <w:pPr>
        <w:pStyle w:val="33"/>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3" w:name="_Toc8432"/>
      <w:bookmarkStart w:id="44" w:name="_Toc31885"/>
      <w:bookmarkStart w:id="45" w:name="_Toc21930"/>
      <w:r>
        <w:rPr>
          <w:rFonts w:hint="eastAsia" w:ascii="宋体" w:hAnsi="宋体" w:eastAsia="宋体"/>
          <w:color w:val="auto"/>
          <w:sz w:val="21"/>
          <w:szCs w:val="21"/>
          <w:highlight w:val="none"/>
        </w:rPr>
        <w:t>6.关于联合体投标</w:t>
      </w:r>
      <w:bookmarkEnd w:id="43"/>
      <w:bookmarkEnd w:id="44"/>
      <w:bookmarkEnd w:id="45"/>
    </w:p>
    <w:p>
      <w:pPr>
        <w:pStyle w:val="33"/>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对接受联合体投标的项目：两个以上的自然人、法人或者其他组织可以组成一个联合体，以一个投标人的身份共同参加政府采购。</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联合体各方均应当符合《政府采购法》第二十二条规定的条件。</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highlight w:val="none"/>
          <w:lang w:eastAsia="zh-CN"/>
        </w:rPr>
        <w:t>双方均应提供《中小企业声明函》。</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6" w:name="_Toc32331"/>
      <w:bookmarkStart w:id="47" w:name="_Toc13811"/>
      <w:bookmarkStart w:id="48" w:name="_Toc1657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3"/>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5"/>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51" w:name="_Toc18115"/>
      <w:bookmarkStart w:id="52" w:name="_Toc2704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6"/>
        <w:widowControl w:val="0"/>
        <w:overflowPunct w:val="0"/>
        <w:spacing w:before="0" w:after="0" w:line="240" w:lineRule="auto"/>
        <w:rPr>
          <w:rFonts w:ascii="宋体" w:hAnsi="宋体" w:eastAsia="宋体"/>
          <w:color w:val="auto"/>
          <w:sz w:val="21"/>
          <w:szCs w:val="21"/>
          <w:highlight w:val="none"/>
        </w:rPr>
      </w:pPr>
      <w:bookmarkStart w:id="53" w:name="_Toc13494"/>
      <w:bookmarkStart w:id="54" w:name="_Toc1423"/>
      <w:bookmarkStart w:id="55" w:name="_Toc21771"/>
      <w:r>
        <w:rPr>
          <w:rFonts w:hint="eastAsia" w:ascii="宋体" w:hAnsi="宋体" w:eastAsia="宋体"/>
          <w:color w:val="auto"/>
          <w:sz w:val="21"/>
          <w:szCs w:val="21"/>
          <w:highlight w:val="none"/>
        </w:rPr>
        <w:t>8.招标文件的组成</w:t>
      </w:r>
      <w:bookmarkEnd w:id="53"/>
      <w:bookmarkEnd w:id="54"/>
      <w:bookmarkEnd w:id="55"/>
    </w:p>
    <w:p>
      <w:pPr>
        <w:pStyle w:val="33"/>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4217"/>
      <w:bookmarkStart w:id="57" w:name="_Toc17274"/>
      <w:bookmarkStart w:id="58" w:name="_Toc7997"/>
      <w:r>
        <w:rPr>
          <w:rFonts w:hint="eastAsia" w:ascii="宋体" w:hAnsi="宋体" w:eastAsia="宋体"/>
          <w:color w:val="auto"/>
          <w:sz w:val="21"/>
          <w:szCs w:val="21"/>
          <w:highlight w:val="none"/>
        </w:rPr>
        <w:t>9.招标文件的澄清或修改</w:t>
      </w:r>
      <w:bookmarkEnd w:id="56"/>
      <w:bookmarkEnd w:id="57"/>
      <w:bookmarkEnd w:id="58"/>
    </w:p>
    <w:p>
      <w:pPr>
        <w:pStyle w:val="33"/>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59" w:name="_Toc23726"/>
      <w:bookmarkStart w:id="60" w:name="_Toc4773"/>
      <w:bookmarkStart w:id="61" w:name="_Toc16712"/>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20623"/>
      <w:bookmarkStart w:id="63" w:name="_Toc7434"/>
      <w:bookmarkStart w:id="64" w:name="_Toc28092"/>
      <w:r>
        <w:rPr>
          <w:rFonts w:hint="eastAsia" w:ascii="宋体" w:hAnsi="宋体" w:eastAsia="宋体"/>
          <w:color w:val="auto"/>
          <w:sz w:val="21"/>
          <w:szCs w:val="21"/>
          <w:highlight w:val="none"/>
        </w:rPr>
        <w:t>10.投标文件的语言及度量衡单位</w:t>
      </w:r>
      <w:bookmarkEnd w:id="62"/>
      <w:bookmarkEnd w:id="63"/>
      <w:bookmarkEnd w:id="64"/>
    </w:p>
    <w:p>
      <w:pPr>
        <w:pStyle w:val="33"/>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303084256"/>
      <w:bookmarkStart w:id="66" w:name="_Toc28866"/>
      <w:bookmarkStart w:id="67" w:name="_Toc7728"/>
      <w:bookmarkStart w:id="68" w:name="_Toc307934854"/>
      <w:bookmarkStart w:id="69" w:name="_Toc18999"/>
      <w:bookmarkStart w:id="70" w:name="_Toc382049103"/>
      <w:bookmarkStart w:id="71" w:name="_Toc12145"/>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3"/>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21747"/>
      <w:bookmarkStart w:id="73" w:name="_Toc30189"/>
      <w:bookmarkStart w:id="74" w:name="_Toc3882"/>
      <w:r>
        <w:rPr>
          <w:rFonts w:hint="eastAsia" w:ascii="宋体" w:hAnsi="宋体" w:eastAsia="宋体"/>
          <w:color w:val="auto"/>
          <w:sz w:val="21"/>
          <w:szCs w:val="21"/>
          <w:highlight w:val="none"/>
        </w:rPr>
        <w:t>12.投标文件编制</w:t>
      </w:r>
      <w:bookmarkEnd w:id="72"/>
      <w:bookmarkEnd w:id="73"/>
      <w:bookmarkEnd w:id="74"/>
    </w:p>
    <w:p>
      <w:pPr>
        <w:pStyle w:val="33"/>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3"/>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3"/>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7847"/>
      <w:bookmarkStart w:id="77" w:name="_Toc259"/>
      <w:bookmarkStart w:id="78" w:name="_Toc17188"/>
      <w:r>
        <w:rPr>
          <w:rFonts w:hint="eastAsia" w:ascii="宋体" w:hAnsi="宋体" w:eastAsia="宋体"/>
          <w:color w:val="auto"/>
          <w:sz w:val="21"/>
          <w:szCs w:val="21"/>
          <w:highlight w:val="none"/>
        </w:rPr>
        <w:t>13.投标报价说明</w:t>
      </w:r>
      <w:bookmarkEnd w:id="76"/>
      <w:bookmarkEnd w:id="77"/>
      <w:bookmarkEnd w:id="78"/>
    </w:p>
    <w:p>
      <w:pPr>
        <w:pStyle w:val="33"/>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18911"/>
      <w:bookmarkStart w:id="80" w:name="_Toc27724"/>
      <w:bookmarkStart w:id="81" w:name="_Toc16535"/>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3"/>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68"/>
      <w:bookmarkEnd w:id="82"/>
      <w:bookmarkStart w:id="83" w:name="_Hlt10792563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3"/>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22169"/>
      <w:bookmarkStart w:id="85" w:name="_Toc30815"/>
      <w:bookmarkStart w:id="86" w:name="_Toc19520"/>
      <w:r>
        <w:rPr>
          <w:rFonts w:hint="eastAsia" w:ascii="宋体" w:hAnsi="宋体" w:eastAsia="宋体"/>
          <w:color w:val="auto"/>
          <w:sz w:val="21"/>
          <w:szCs w:val="21"/>
          <w:highlight w:val="none"/>
        </w:rPr>
        <w:t>15.★投标有效期</w:t>
      </w:r>
      <w:bookmarkEnd w:id="84"/>
      <w:bookmarkEnd w:id="85"/>
      <w:bookmarkEnd w:id="86"/>
    </w:p>
    <w:p>
      <w:pPr>
        <w:pStyle w:val="33"/>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hint="default" w:ascii="宋体" w:hAnsi="宋体" w:eastAsia="宋体"/>
          <w:color w:val="auto"/>
          <w:sz w:val="21"/>
          <w:szCs w:val="21"/>
          <w:highlight w:val="none"/>
          <w:lang w:val="en-US" w:eastAsia="zh-CN"/>
        </w:rPr>
      </w:pPr>
      <w:bookmarkStart w:id="87" w:name="_Toc12456"/>
      <w:bookmarkStart w:id="88" w:name="_Toc25817"/>
      <w:bookmarkStart w:id="89" w:name="_Toc30257"/>
      <w:r>
        <w:rPr>
          <w:rFonts w:hint="eastAsia" w:ascii="宋体" w:hAnsi="宋体" w:eastAsia="宋体"/>
          <w:color w:val="auto"/>
          <w:sz w:val="21"/>
          <w:szCs w:val="21"/>
          <w:highlight w:val="none"/>
        </w:rPr>
        <w:t>16.投标保证金</w:t>
      </w:r>
      <w:bookmarkEnd w:id="87"/>
      <w:bookmarkEnd w:id="88"/>
      <w:bookmarkEnd w:id="89"/>
      <w:r>
        <w:rPr>
          <w:rFonts w:hint="eastAsia" w:ascii="宋体" w:hAnsi="宋体" w:eastAsia="宋体"/>
          <w:color w:val="auto"/>
          <w:sz w:val="21"/>
          <w:szCs w:val="21"/>
          <w:highlight w:val="none"/>
          <w:lang w:val="en-US" w:eastAsia="zh-CN"/>
        </w:rPr>
        <w:t>(本项目无需提供)</w:t>
      </w:r>
    </w:p>
    <w:p>
      <w:pPr>
        <w:pStyle w:val="33"/>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91" w:name="_Toc24109"/>
      <w:bookmarkStart w:id="92" w:name="_Toc3200"/>
      <w:bookmarkStart w:id="93" w:name="_Toc31124"/>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303084264"/>
      <w:bookmarkStart w:id="95" w:name="_Toc29590"/>
      <w:bookmarkStart w:id="96" w:name="_Toc24997"/>
      <w:bookmarkStart w:id="97" w:name="_Toc382049111"/>
      <w:bookmarkStart w:id="98" w:name="_Toc473"/>
      <w:bookmarkStart w:id="99" w:name="_Toc23678"/>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3"/>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17417"/>
      <w:bookmarkStart w:id="101" w:name="_Toc7473"/>
      <w:bookmarkStart w:id="102" w:name="_Toc8628"/>
      <w:r>
        <w:rPr>
          <w:rFonts w:hint="eastAsia" w:ascii="宋体" w:hAnsi="宋体" w:eastAsia="宋体"/>
          <w:color w:val="auto"/>
          <w:sz w:val="21"/>
          <w:szCs w:val="21"/>
          <w:highlight w:val="none"/>
        </w:rPr>
        <w:t>18.迟交的投标文件</w:t>
      </w:r>
      <w:bookmarkEnd w:id="100"/>
      <w:bookmarkEnd w:id="101"/>
      <w:bookmarkEnd w:id="102"/>
    </w:p>
    <w:p>
      <w:pPr>
        <w:pStyle w:val="33"/>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13212"/>
      <w:bookmarkStart w:id="104" w:name="_Toc19649"/>
      <w:bookmarkStart w:id="105" w:name="_Toc8526"/>
      <w:r>
        <w:rPr>
          <w:rFonts w:hint="eastAsia" w:ascii="宋体" w:hAnsi="宋体" w:eastAsia="宋体"/>
          <w:color w:val="auto"/>
          <w:sz w:val="21"/>
          <w:szCs w:val="21"/>
          <w:highlight w:val="none"/>
        </w:rPr>
        <w:t>19.投标样品（如需提交）</w:t>
      </w:r>
      <w:bookmarkEnd w:id="103"/>
      <w:bookmarkEnd w:id="104"/>
      <w:bookmarkEnd w:id="105"/>
    </w:p>
    <w:p>
      <w:pPr>
        <w:pStyle w:val="33"/>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7689"/>
      <w:bookmarkStart w:id="107" w:name="_Toc382049112"/>
      <w:bookmarkStart w:id="108" w:name="_Toc9777"/>
      <w:bookmarkStart w:id="109" w:name="_Toc5900"/>
      <w:bookmarkStart w:id="110" w:name="_Toc303084265"/>
      <w:bookmarkStart w:id="111" w:name="_Toc23477"/>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3"/>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15569"/>
      <w:bookmarkStart w:id="113" w:name="_Toc6003"/>
      <w:bookmarkStart w:id="114" w:name="_Toc11133"/>
      <w:r>
        <w:rPr>
          <w:rFonts w:hint="eastAsia" w:ascii="宋体" w:hAnsi="宋体" w:eastAsia="宋体"/>
          <w:color w:val="auto"/>
          <w:sz w:val="21"/>
          <w:szCs w:val="21"/>
          <w:highlight w:val="none"/>
        </w:rPr>
        <w:t>21.投标文件的补充、修改与撤回</w:t>
      </w:r>
      <w:bookmarkEnd w:id="112"/>
      <w:bookmarkEnd w:id="113"/>
      <w:bookmarkEnd w:id="114"/>
    </w:p>
    <w:p>
      <w:pPr>
        <w:pStyle w:val="33"/>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2"/>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15" w:name="_Toc29574"/>
      <w:bookmarkStart w:id="116" w:name="_Toc5049"/>
      <w:bookmarkStart w:id="117" w:name="_Toc23466"/>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8458"/>
      <w:bookmarkStart w:id="119" w:name="_Toc24251"/>
      <w:bookmarkStart w:id="120" w:name="_Toc27700"/>
      <w:r>
        <w:rPr>
          <w:rFonts w:hint="eastAsia" w:ascii="宋体" w:hAnsi="宋体" w:eastAsia="宋体"/>
          <w:color w:val="auto"/>
          <w:sz w:val="21"/>
          <w:szCs w:val="21"/>
          <w:highlight w:val="none"/>
        </w:rPr>
        <w:t>22.开标</w:t>
      </w:r>
      <w:bookmarkEnd w:id="118"/>
      <w:bookmarkEnd w:id="119"/>
      <w:bookmarkEnd w:id="120"/>
    </w:p>
    <w:p>
      <w:pPr>
        <w:pStyle w:val="33"/>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5"/>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5"/>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5"/>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5524"/>
      <w:bookmarkStart w:id="122" w:name="_Toc4921"/>
      <w:bookmarkStart w:id="123" w:name="_Toc5974"/>
      <w:r>
        <w:rPr>
          <w:rFonts w:hint="eastAsia" w:ascii="宋体" w:hAnsi="宋体" w:eastAsia="宋体"/>
          <w:color w:val="auto"/>
          <w:sz w:val="21"/>
          <w:szCs w:val="21"/>
          <w:highlight w:val="none"/>
        </w:rPr>
        <w:t>23.评标委员会及评标方法</w:t>
      </w:r>
      <w:bookmarkEnd w:id="121"/>
      <w:bookmarkEnd w:id="122"/>
      <w:bookmarkEnd w:id="123"/>
    </w:p>
    <w:p>
      <w:pPr>
        <w:pStyle w:val="33"/>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15231"/>
      <w:bookmarkStart w:id="125" w:name="_Toc32730"/>
      <w:bookmarkStart w:id="126" w:name="_Toc26402"/>
      <w:r>
        <w:rPr>
          <w:rFonts w:hint="eastAsia" w:ascii="宋体" w:hAnsi="宋体" w:eastAsia="宋体"/>
          <w:color w:val="auto"/>
          <w:sz w:val="21"/>
          <w:szCs w:val="21"/>
          <w:highlight w:val="none"/>
        </w:rPr>
        <w:t>24.评审原则及评标过程的保密</w:t>
      </w:r>
      <w:bookmarkEnd w:id="124"/>
      <w:bookmarkEnd w:id="125"/>
      <w:bookmarkEnd w:id="126"/>
    </w:p>
    <w:p>
      <w:pPr>
        <w:pStyle w:val="33"/>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评审的基本原则：评标委员会将依据《中华人民共和国政府采购法》及国家和地方政府有关法规的规定，遵循“客观、公正、审慎”的原则进行评审工作。</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3762"/>
      <w:bookmarkStart w:id="128" w:name="_Toc16745"/>
      <w:bookmarkStart w:id="129" w:name="_Toc18436"/>
      <w:r>
        <w:rPr>
          <w:rFonts w:hint="eastAsia" w:ascii="宋体" w:hAnsi="宋体" w:eastAsia="宋体"/>
          <w:color w:val="auto"/>
          <w:sz w:val="21"/>
          <w:szCs w:val="21"/>
          <w:highlight w:val="none"/>
        </w:rPr>
        <w:t>25.投标文件的初审</w:t>
      </w:r>
      <w:bookmarkEnd w:id="127"/>
      <w:bookmarkEnd w:id="128"/>
      <w:bookmarkEnd w:id="129"/>
    </w:p>
    <w:p>
      <w:pPr>
        <w:pStyle w:val="33"/>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1742"/>
      <w:bookmarkStart w:id="131" w:name="_Toc29184"/>
      <w:bookmarkStart w:id="132" w:name="_Toc27673"/>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3"/>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7593"/>
      <w:bookmarkStart w:id="134" w:name="_Toc22192"/>
      <w:bookmarkStart w:id="135" w:name="_Toc17683"/>
      <w:r>
        <w:rPr>
          <w:rFonts w:hint="eastAsia" w:ascii="宋体" w:hAnsi="宋体" w:eastAsia="宋体"/>
          <w:color w:val="auto"/>
          <w:sz w:val="21"/>
          <w:szCs w:val="21"/>
          <w:highlight w:val="none"/>
        </w:rPr>
        <w:t>27.优惠政策</w:t>
      </w:r>
      <w:bookmarkEnd w:id="133"/>
      <w:bookmarkEnd w:id="134"/>
      <w:bookmarkEnd w:id="135"/>
    </w:p>
    <w:p>
      <w:pPr>
        <w:pStyle w:val="33"/>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w:t>
      </w:r>
      <w:r>
        <w:rPr>
          <w:rFonts w:hint="eastAsia" w:ascii="宋体" w:hAnsi="宋体" w:eastAsia="宋体"/>
          <w:color w:val="auto"/>
          <w:sz w:val="21"/>
          <w:szCs w:val="21"/>
          <w:highlight w:val="none"/>
          <w:lang w:eastAsia="zh-CN"/>
        </w:rPr>
        <w:t>政府采购促进中小企业发展管理办法</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（财库〔2020〕46号）</w:t>
      </w:r>
      <w:r>
        <w:rPr>
          <w:rFonts w:hint="eastAsia" w:ascii="宋体" w:hAnsi="宋体" w:eastAsia="宋体"/>
          <w:color w:val="auto"/>
          <w:sz w:val="21"/>
          <w:szCs w:val="21"/>
          <w:highlight w:val="none"/>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投标人为小型或微型企业且投标产品含小型或微型企业产品时，其对应产品价格的扣除详见投标资料表。</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w:t>
      </w:r>
      <w:r>
        <w:rPr>
          <w:rFonts w:hint="eastAsia" w:ascii="宋体" w:hAnsi="宋体" w:eastAsia="宋体"/>
          <w:color w:val="auto"/>
          <w:sz w:val="21"/>
          <w:szCs w:val="21"/>
          <w:highlight w:val="none"/>
          <w:lang w:eastAsia="zh-CN"/>
        </w:rPr>
        <w:t>“财政部 工业和信息化部关于印发《政府采购促进中小企业发展管理办法》的通知（财库〔2020〕46号）”</w:t>
      </w:r>
      <w:r>
        <w:rPr>
          <w:rFonts w:hint="eastAsia" w:ascii="宋体" w:hAnsi="宋体" w:eastAsia="宋体"/>
          <w:color w:val="auto"/>
          <w:sz w:val="21"/>
          <w:szCs w:val="21"/>
          <w:highlight w:val="none"/>
        </w:rPr>
        <w:t>规定的中小企业扶持政策。</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投标人同时为小型、微型企业、监狱企业、残疾人福利性单位任两种或以上情况的，评审中只享受一次价格扣除，不重复进行价格扣除。</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u w:val="single"/>
        </w:rPr>
      </w:pPr>
      <w:r>
        <w:rPr>
          <w:rFonts w:hint="eastAsia" w:ascii="宋体" w:hAnsi="宋体" w:eastAsia="宋体"/>
          <w:b/>
          <w:bCs/>
          <w:color w:val="auto"/>
          <w:sz w:val="21"/>
          <w:szCs w:val="21"/>
          <w:highlight w:val="none"/>
          <w:u w:val="single"/>
        </w:rPr>
        <w:t>中标、成交供应商享受本办法（财库〔2020〕46号）规定的中小企业扶持政策的，采购代理机构</w:t>
      </w:r>
      <w:r>
        <w:rPr>
          <w:rFonts w:hint="eastAsia" w:ascii="宋体" w:hAnsi="宋体" w:eastAsia="宋体"/>
          <w:b/>
          <w:bCs/>
          <w:color w:val="auto"/>
          <w:sz w:val="21"/>
          <w:szCs w:val="21"/>
          <w:highlight w:val="none"/>
          <w:u w:val="single"/>
          <w:lang w:eastAsia="zh-CN"/>
        </w:rPr>
        <w:t>将</w:t>
      </w:r>
      <w:r>
        <w:rPr>
          <w:rFonts w:hint="eastAsia" w:ascii="宋体" w:hAnsi="宋体" w:eastAsia="宋体"/>
          <w:b/>
          <w:bCs/>
          <w:color w:val="auto"/>
          <w:sz w:val="21"/>
          <w:szCs w:val="21"/>
          <w:highlight w:val="none"/>
          <w:u w:val="single"/>
        </w:rPr>
        <w:t>随中标、成交结果公开中标、成交供应商的《中小企业声明函》。</w:t>
      </w:r>
      <w:r>
        <w:rPr>
          <w:rFonts w:hint="eastAsia" w:ascii="宋体" w:hAnsi="宋体" w:eastAsia="宋体"/>
          <w:b/>
          <w:bCs/>
          <w:color w:val="auto"/>
          <w:sz w:val="21"/>
          <w:szCs w:val="21"/>
          <w:highlight w:val="none"/>
          <w:u w:val="single"/>
          <w:lang w:eastAsia="zh-CN"/>
        </w:rPr>
        <w:t>各供应商不得提供虚假声明，提供虚假声明取消中标、成交资格，并追究其法律责任。</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提供节能产品或环境标志产品的投标人其产品应符合以下规定：</w:t>
      </w:r>
    </w:p>
    <w:p>
      <w:pPr>
        <w:pageBreakBefore w:val="0"/>
        <w:widowControl w:val="0"/>
        <w:numPr>
          <w:ilvl w:val="0"/>
          <w:numId w:val="8"/>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8"/>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8"/>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6" w:name="_Toc316375620"/>
      <w:bookmarkStart w:id="137" w:name="_Toc12115"/>
      <w:bookmarkStart w:id="138" w:name="_Toc20328"/>
      <w:bookmarkStart w:id="139" w:name="_Toc382049120"/>
      <w:bookmarkStart w:id="140" w:name="_Toc22591"/>
      <w:bookmarkStart w:id="141" w:name="_Toc31141"/>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136"/>
      <w:r>
        <w:rPr>
          <w:rFonts w:hint="eastAsia" w:ascii="宋体" w:hAnsi="宋体" w:eastAsia="宋体"/>
          <w:color w:val="auto"/>
          <w:sz w:val="21"/>
          <w:szCs w:val="21"/>
          <w:highlight w:val="none"/>
        </w:rPr>
        <w:t>事项</w:t>
      </w:r>
      <w:bookmarkEnd w:id="137"/>
      <w:bookmarkEnd w:id="138"/>
      <w:bookmarkEnd w:id="139"/>
      <w:bookmarkEnd w:id="140"/>
      <w:bookmarkEnd w:id="141"/>
    </w:p>
    <w:p>
      <w:pPr>
        <w:pStyle w:val="33"/>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42" w:name="_Toc12251"/>
      <w:bookmarkStart w:id="143" w:name="_Toc5528"/>
      <w:bookmarkStart w:id="144" w:name="_Toc29310"/>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42"/>
      <w:bookmarkEnd w:id="143"/>
      <w:bookmarkEnd w:id="14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5" w:name="_Toc27817"/>
      <w:bookmarkStart w:id="146" w:name="_Toc6696"/>
      <w:bookmarkStart w:id="147" w:name="_Toc17778"/>
      <w:bookmarkStart w:id="148" w:name="_Toc508284011"/>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145"/>
      <w:bookmarkEnd w:id="146"/>
      <w:bookmarkEnd w:id="147"/>
      <w:bookmarkEnd w:id="148"/>
    </w:p>
    <w:p>
      <w:pPr>
        <w:pStyle w:val="33"/>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9" w:name="_Toc29283"/>
      <w:bookmarkStart w:id="150" w:name="_Toc12440"/>
      <w:bookmarkStart w:id="151" w:name="_Toc508284013"/>
      <w:bookmarkStart w:id="152" w:name="_Toc23136"/>
      <w:r>
        <w:rPr>
          <w:rFonts w:hint="eastAsia" w:ascii="宋体" w:hAnsi="宋体" w:eastAsia="宋体"/>
          <w:color w:val="auto"/>
          <w:sz w:val="21"/>
          <w:szCs w:val="21"/>
          <w:highlight w:val="none"/>
        </w:rPr>
        <w:t>30.发布采购结果</w:t>
      </w:r>
      <w:bookmarkEnd w:id="149"/>
      <w:bookmarkEnd w:id="150"/>
      <w:bookmarkEnd w:id="151"/>
      <w:bookmarkEnd w:id="152"/>
    </w:p>
    <w:p>
      <w:pPr>
        <w:pStyle w:val="33"/>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中标人为残疾人福利性单位的，采购人或者其委托的采购代理机构应当随中标、成交结果同时公告其《残疾人福利性单位声明函》，接受社会监督。</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22451"/>
      <w:bookmarkStart w:id="154" w:name="_Toc22262"/>
      <w:bookmarkStart w:id="155" w:name="_Toc27279"/>
      <w:r>
        <w:rPr>
          <w:rFonts w:hint="eastAsia" w:ascii="宋体" w:hAnsi="宋体" w:eastAsia="宋体"/>
          <w:color w:val="auto"/>
          <w:sz w:val="21"/>
          <w:szCs w:val="21"/>
          <w:highlight w:val="none"/>
        </w:rPr>
        <w:t>31.合同的签订与履行</w:t>
      </w:r>
      <w:bookmarkEnd w:id="153"/>
      <w:bookmarkEnd w:id="154"/>
      <w:bookmarkEnd w:id="155"/>
    </w:p>
    <w:p>
      <w:pPr>
        <w:pStyle w:val="33"/>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政府采购合同的履行、违约责任和解决争议的方法等适用《中华人民共和国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6" w:name="_Toc382049124"/>
      <w:bookmarkStart w:id="157" w:name="_Toc303084277"/>
      <w:bookmarkStart w:id="158" w:name="_Toc7405"/>
      <w:bookmarkStart w:id="159" w:name="_Toc25756"/>
      <w:bookmarkStart w:id="160" w:name="_Toc29009"/>
      <w:bookmarkStart w:id="161" w:name="_Toc2744"/>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6"/>
      <w:bookmarkEnd w:id="157"/>
      <w:bookmarkEnd w:id="158"/>
      <w:bookmarkEnd w:id="159"/>
      <w:bookmarkEnd w:id="160"/>
      <w:bookmarkEnd w:id="161"/>
    </w:p>
    <w:p>
      <w:pPr>
        <w:pStyle w:val="33"/>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62" w:name="_Toc20699"/>
      <w:bookmarkStart w:id="163" w:name="_Toc13694"/>
      <w:bookmarkStart w:id="164" w:name="_Toc7360"/>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62"/>
      <w:bookmarkEnd w:id="163"/>
      <w:bookmarkEnd w:id="16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25498"/>
      <w:bookmarkStart w:id="166" w:name="_Toc22900"/>
      <w:bookmarkStart w:id="167" w:name="_Toc17974"/>
      <w:r>
        <w:rPr>
          <w:rFonts w:hint="eastAsia" w:ascii="宋体" w:hAnsi="宋体" w:eastAsia="宋体"/>
          <w:color w:val="auto"/>
          <w:sz w:val="21"/>
          <w:szCs w:val="21"/>
          <w:highlight w:val="none"/>
        </w:rPr>
        <w:t>33.询问</w:t>
      </w:r>
      <w:bookmarkEnd w:id="165"/>
      <w:bookmarkEnd w:id="166"/>
      <w:bookmarkEnd w:id="167"/>
    </w:p>
    <w:p>
      <w:pPr>
        <w:pStyle w:val="33"/>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8" w:name="_Toc8234"/>
      <w:bookmarkStart w:id="169" w:name="_Toc2767"/>
      <w:bookmarkStart w:id="170" w:name="_Toc11264"/>
      <w:r>
        <w:rPr>
          <w:rFonts w:hint="eastAsia" w:ascii="宋体" w:hAnsi="宋体" w:eastAsia="宋体"/>
          <w:color w:val="auto"/>
          <w:sz w:val="21"/>
          <w:szCs w:val="21"/>
          <w:highlight w:val="none"/>
        </w:rPr>
        <w:t>34.质疑</w:t>
      </w:r>
      <w:bookmarkEnd w:id="168"/>
      <w:bookmarkEnd w:id="169"/>
      <w:bookmarkEnd w:id="170"/>
    </w:p>
    <w:p>
      <w:pPr>
        <w:pStyle w:val="33"/>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以联合体形式参加政府采购活动的，其质疑应当由组成联合体的所有投标人共同提出。</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71" w:name="_Toc24383"/>
      <w:bookmarkStart w:id="172" w:name="_Toc8919"/>
      <w:bookmarkStart w:id="173" w:name="_Toc5690"/>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71"/>
      <w:bookmarkEnd w:id="172"/>
      <w:bookmarkEnd w:id="17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4" w:name="_Toc10082"/>
      <w:bookmarkStart w:id="175" w:name="_Toc6548"/>
      <w:bookmarkStart w:id="176" w:name="_Toc21187"/>
      <w:r>
        <w:rPr>
          <w:rFonts w:hint="eastAsia" w:ascii="宋体" w:hAnsi="宋体" w:eastAsia="宋体"/>
          <w:color w:val="auto"/>
          <w:sz w:val="21"/>
          <w:szCs w:val="21"/>
          <w:highlight w:val="none"/>
        </w:rPr>
        <w:t>35.招标文件的解释权</w:t>
      </w:r>
      <w:bookmarkEnd w:id="174"/>
      <w:bookmarkEnd w:id="175"/>
      <w:bookmarkEnd w:id="176"/>
    </w:p>
    <w:p>
      <w:pPr>
        <w:pStyle w:val="33"/>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0</w:t>
      </w:r>
      <w:r>
        <w:rPr>
          <w:rFonts w:hint="eastAsia" w:ascii="宋体" w:hAnsi="宋体" w:eastAsia="宋体"/>
          <w:color w:val="auto"/>
          <w:sz w:val="21"/>
          <w:szCs w:val="21"/>
          <w:highlight w:val="none"/>
          <w:lang w:val="en-US" w:eastAsia="zh-CN"/>
        </w:rPr>
        <w:t>6</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本招标文件是根据国家有关法律、法规以及政府采购管理有关规定和参照国际惯例编制，解释权属本采购代理机构。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rFonts w:hint="eastAsia"/>
          <w:color w:val="auto"/>
          <w:sz w:val="28"/>
          <w:szCs w:val="28"/>
          <w:highlight w:val="none"/>
        </w:rPr>
      </w:pPr>
      <w:bookmarkStart w:id="177" w:name="_Toc31854"/>
      <w:bookmarkStart w:id="178" w:name="_Toc7011"/>
      <w:bookmarkStart w:id="179" w:name="_Toc382"/>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7"/>
      <w:bookmarkEnd w:id="178"/>
      <w:bookmarkEnd w:id="179"/>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color w:val="auto"/>
          <w:highlight w:val="none"/>
        </w:rPr>
      </w:pPr>
      <w:bookmarkStart w:id="180" w:name="_Toc31162"/>
      <w:r>
        <w:rPr>
          <w:rFonts w:hint="eastAsia" w:ascii="宋体" w:hAnsi="宋体"/>
          <w:color w:val="auto"/>
          <w:highlight w:val="none"/>
          <w:lang w:val="en-US" w:eastAsia="zh-CN"/>
        </w:rPr>
        <w:t>第一章 商务需求书</w:t>
      </w:r>
      <w:bookmarkEnd w:id="180"/>
    </w:p>
    <w:tbl>
      <w:tblPr>
        <w:tblStyle w:val="23"/>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1501" w:type="dxa"/>
            <w:vAlign w:val="center"/>
          </w:tcPr>
          <w:p>
            <w:pPr>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条款名称</w:t>
            </w:r>
          </w:p>
        </w:tc>
        <w:tc>
          <w:tcPr>
            <w:tcW w:w="6466" w:type="dxa"/>
            <w:vAlign w:val="center"/>
          </w:tcPr>
          <w:p>
            <w:pPr>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w:t>
            </w:r>
          </w:p>
        </w:tc>
        <w:tc>
          <w:tcPr>
            <w:tcW w:w="1501" w:type="dxa"/>
            <w:vAlign w:val="center"/>
          </w:tcPr>
          <w:p>
            <w:pPr>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合格投标人</w:t>
            </w:r>
          </w:p>
        </w:tc>
        <w:tc>
          <w:tcPr>
            <w:tcW w:w="6466" w:type="dxa"/>
            <w:vAlign w:val="center"/>
          </w:tcPr>
          <w:p>
            <w:pPr>
              <w:pStyle w:val="33"/>
              <w:ind w:left="210" w:leftChars="100" w:firstLine="210" w:firstLineChars="100"/>
              <w:rPr>
                <w:rFonts w:hint="eastAsia" w:ascii="宋体" w:hAnsi="宋体" w:eastAsia="宋体" w:cs="宋体"/>
                <w:bCs/>
                <w:color w:val="auto"/>
                <w:kern w:val="44"/>
                <w:szCs w:val="21"/>
                <w:highlight w:val="none"/>
              </w:rPr>
            </w:pPr>
            <w:r>
              <w:rPr>
                <w:rFonts w:hint="eastAsia" w:ascii="宋体" w:hAnsi="宋体" w:eastAsia="宋体" w:cs="宋体"/>
                <w:color w:val="auto"/>
                <w:szCs w:val="21"/>
                <w:highlight w:val="none"/>
              </w:rPr>
              <w:t>详见投标人资格要求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合同签订之日起3年。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18" w:type="dxa"/>
            <w:vAlign w:val="center"/>
          </w:tcPr>
          <w:p>
            <w:pPr>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保质期</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产品剩余保质期不得短于保质期的70%，短保6个月以下的剩余保质期不得短于保质期的50%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采购人指定的地点。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付款</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每月结算一次。中标人完成当月供货订单后，于次月凭正式发票及经采购人确认的送货清单，向采购人申请付款，采购人收到申请，核对无误后在30日内结清上月所有货款。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 xml:space="preserve">★定价方式 </w:t>
            </w:r>
          </w:p>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color w:val="auto"/>
                <w:szCs w:val="21"/>
                <w:highlight w:val="none"/>
              </w:rPr>
            </w:pP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1、中标人供货价以周边士多店（如美宜佳、天福等）进行抽样统计，商品定价原则是不得高于东莞士多店销售价格。</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2、中标人不得随意调整价格，如因市场变化需调整价格的提前1个月向采购人提供新的价格清单，采购人确认后方可调整。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售后服务</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接到采购人通知后2个小时内到达现场，服务方式均为中标人上门服务。非采购人的人为原因而出现产品质量问题，由中标人负责包换或包退。并承担上述情况产生的一切费用。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报价要求</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报价采用折扣率报价方式，且所报的折扣率应当适用于所有产品单品。（注：折扣率=1-下浮率），投标报价应包括本次招标所有服务内容的费用，包括人工、包装、运输、保险、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7" w:hRule="atLeast"/>
        </w:trPr>
        <w:tc>
          <w:tcPr>
            <w:tcW w:w="718" w:type="dxa"/>
            <w:vAlign w:val="center"/>
          </w:tcPr>
          <w:p>
            <w:pPr>
              <w:jc w:val="center"/>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9</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投标人实质响应合同条款。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718" w:type="dxa"/>
            <w:vAlign w:val="center"/>
          </w:tcPr>
          <w:p>
            <w:pPr>
              <w:jc w:val="center"/>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10</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其它要求</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投标人应充分结合本招标文件上下文了解项目招标需求、采购文件未尽事宜，将在合同签订或项目执行过程中双方协商确定，供应商须无条件满足采购单位的合理要求。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11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食品安全责任保险</w:t>
            </w:r>
            <w:r>
              <w:rPr>
                <w:rFonts w:hint="eastAsia" w:ascii="宋体" w:hAnsi="宋体" w:eastAsia="宋体" w:cs="宋体"/>
                <w:b/>
                <w:bCs/>
                <w:color w:val="auto"/>
                <w:szCs w:val="21"/>
                <w:highlight w:val="none"/>
                <w:lang w:val="en-US" w:eastAsia="zh-CN"/>
              </w:rPr>
              <w:t>要求</w:t>
            </w:r>
          </w:p>
        </w:tc>
        <w:tc>
          <w:tcPr>
            <w:tcW w:w="6466" w:type="dxa"/>
            <w:vAlign w:val="center"/>
          </w:tcPr>
          <w:p>
            <w:pPr>
              <w:widowControl w:val="0"/>
              <w:tabs>
                <w:tab w:val="left" w:pos="709"/>
              </w:tabs>
              <w:adjustRightInd/>
              <w:snapToGrid/>
              <w:spacing w:after="0" w:line="360" w:lineRule="auto"/>
              <w:ind w:firstLine="420" w:firstLineChars="200"/>
              <w:jc w:val="both"/>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中标人须为采购人提供一份采购人为受益人、额度为200万元的保险（食品安全责任险），保险承保期限不短于三年。</w:t>
            </w:r>
          </w:p>
        </w:tc>
      </w:tr>
    </w:tbl>
    <w:p>
      <w:pPr>
        <w:rPr>
          <w:rFonts w:hint="eastAsia"/>
          <w:color w:val="auto"/>
          <w:highlight w:val="none"/>
          <w:lang w:val="en-US" w:eastAsia="zh-CN"/>
        </w:rPr>
      </w:pPr>
    </w:p>
    <w:p>
      <w:pPr>
        <w:rPr>
          <w:rFonts w:hint="eastAsia" w:ascii="宋体" w:hAnsi="宋体"/>
          <w:color w:val="auto"/>
          <w:highlight w:val="none"/>
          <w:lang w:val="en-US" w:eastAsia="zh-CN"/>
        </w:rPr>
      </w:pPr>
      <w:bookmarkStart w:id="181" w:name="_Toc19981"/>
      <w:r>
        <w:rPr>
          <w:rFonts w:hint="eastAsia" w:ascii="宋体" w:hAnsi="宋体"/>
          <w:color w:val="auto"/>
          <w:highlight w:val="none"/>
          <w:lang w:val="en-US" w:eastAsia="zh-CN"/>
        </w:rPr>
        <w:br w:type="page"/>
      </w: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eastAsia="宋体" w:cs="宋体"/>
          <w:b/>
          <w:color w:val="auto"/>
          <w:sz w:val="21"/>
          <w:szCs w:val="21"/>
          <w:highlight w:val="none"/>
        </w:rPr>
      </w:pPr>
      <w:r>
        <w:rPr>
          <w:rFonts w:hint="eastAsia" w:ascii="宋体" w:hAnsi="宋体"/>
          <w:color w:val="auto"/>
          <w:highlight w:val="none"/>
          <w:lang w:val="en-US" w:eastAsia="zh-CN"/>
        </w:rPr>
        <w:t>第二章 技术需求书</w:t>
      </w:r>
      <w:bookmarkEnd w:id="181"/>
      <w:bookmarkStart w:id="182" w:name="_Toc257799726"/>
      <w:bookmarkStart w:id="183" w:name="_Toc258594147"/>
      <w:bookmarkStart w:id="184" w:name="_Toc373222960"/>
      <w:bookmarkStart w:id="185" w:name="_Toc258595211"/>
      <w:bookmarkStart w:id="186" w:name="_Toc373223049"/>
      <w:bookmarkStart w:id="187" w:name="_Toc255974603"/>
      <w:bookmarkStart w:id="188" w:name="_Toc374515868"/>
    </w:p>
    <w:bookmarkEnd w:id="182"/>
    <w:bookmarkEnd w:id="183"/>
    <w:bookmarkEnd w:id="184"/>
    <w:bookmarkEnd w:id="185"/>
    <w:bookmarkEnd w:id="186"/>
    <w:bookmarkEnd w:id="187"/>
    <w:bookmarkEnd w:id="188"/>
    <w:p>
      <w:pPr>
        <w:pStyle w:val="6"/>
        <w:bidi w:val="0"/>
        <w:rPr>
          <w:rFonts w:hint="eastAsia"/>
          <w:color w:val="auto"/>
          <w:highlight w:val="none"/>
        </w:rPr>
      </w:pPr>
      <w:bookmarkStart w:id="189" w:name="_Toc14462"/>
      <w:bookmarkStart w:id="190" w:name="_Toc31278"/>
      <w:bookmarkStart w:id="191" w:name="_Toc13112"/>
      <w:bookmarkStart w:id="192" w:name="_Toc24679"/>
      <w:r>
        <w:rPr>
          <w:rFonts w:hint="eastAsia"/>
          <w:color w:val="auto"/>
          <w:highlight w:val="none"/>
          <w:lang w:val="en-US" w:eastAsia="zh-CN"/>
        </w:rPr>
        <w:t>一、</w:t>
      </w:r>
      <w:r>
        <w:rPr>
          <w:rFonts w:hint="eastAsia"/>
          <w:color w:val="auto"/>
          <w:highlight w:val="none"/>
        </w:rPr>
        <w:t>项目概况</w:t>
      </w:r>
    </w:p>
    <w:p>
      <w:pPr>
        <w:pageBreakBefore w:val="0"/>
        <w:widowControl/>
        <w:kinsoku/>
        <w:wordWrap/>
        <w:overflowPunct/>
        <w:topLinePunct w:val="0"/>
        <w:autoSpaceDE/>
        <w:autoSpaceDN/>
        <w:bidi w:val="0"/>
        <w:adjustRightInd w:val="0"/>
        <w:snapToGrid w:val="0"/>
        <w:spacing w:line="36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按照东莞市第八高级中学实际情况对自助售货机供货整体规划布局；学校只提供场地、水源、电源，不作任何投资。由供应商投资设备并提供日常供货服务。</w:t>
      </w:r>
    </w:p>
    <w:p>
      <w:pPr>
        <w:pStyle w:val="6"/>
        <w:bidi w:val="0"/>
        <w:rPr>
          <w:rFonts w:hint="eastAsia" w:eastAsia="宋体"/>
          <w:color w:val="auto"/>
          <w:highlight w:val="none"/>
        </w:rPr>
      </w:pPr>
      <w:r>
        <w:rPr>
          <w:rFonts w:hint="eastAsia" w:eastAsia="宋体"/>
          <w:color w:val="auto"/>
          <w:highlight w:val="none"/>
          <w:lang w:val="en-US" w:eastAsia="zh-CN"/>
        </w:rPr>
        <w:t>二、</w:t>
      </w:r>
      <w:r>
        <w:rPr>
          <w:rFonts w:hint="eastAsia" w:eastAsia="宋体"/>
          <w:color w:val="auto"/>
          <w:highlight w:val="none"/>
        </w:rPr>
        <w:t>投入设备数量及要求</w:t>
      </w:r>
    </w:p>
    <w:p>
      <w:pPr>
        <w:pageBreakBefore w:val="0"/>
        <w:widowControl/>
        <w:kinsoku/>
        <w:wordWrap/>
        <w:overflowPunct/>
        <w:topLinePunct w:val="0"/>
        <w:autoSpaceDE/>
        <w:autoSpaceDN/>
        <w:bidi w:val="0"/>
        <w:adjustRightInd w:val="0"/>
        <w:snapToGrid w:val="0"/>
        <w:spacing w:line="36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供应商需投放入21台自动售货机，设备具有IC卡支付购买功能，运用智能系统和云技术，销售数据准确有保留功能。其展示位为LED照明，节能环保。内部装有PC设备，可支持联网运营、远程监控功能。</w:t>
      </w:r>
    </w:p>
    <w:p>
      <w:pPr>
        <w:pStyle w:val="6"/>
        <w:bidi w:val="0"/>
        <w:rPr>
          <w:rFonts w:hint="eastAsia" w:eastAsia="宋体"/>
          <w:color w:val="auto"/>
          <w:highlight w:val="none"/>
        </w:rPr>
      </w:pPr>
      <w:r>
        <w:rPr>
          <w:rFonts w:hint="eastAsia" w:eastAsia="宋体"/>
          <w:color w:val="auto"/>
          <w:highlight w:val="none"/>
          <w:lang w:val="en-US" w:eastAsia="zh-CN"/>
        </w:rPr>
        <w:t>三、</w:t>
      </w:r>
      <w:r>
        <w:rPr>
          <w:rFonts w:hint="eastAsia" w:eastAsia="宋体"/>
          <w:color w:val="auto"/>
          <w:highlight w:val="none"/>
        </w:rPr>
        <w:t>产品质量</w:t>
      </w:r>
    </w:p>
    <w:p>
      <w:pPr>
        <w:pageBreakBefore w:val="0"/>
        <w:widowControl/>
        <w:numPr>
          <w:ilvl w:val="0"/>
          <w:numId w:val="11"/>
        </w:numPr>
        <w:kinsoku/>
        <w:wordWrap/>
        <w:overflowPunct/>
        <w:topLinePunct w:val="0"/>
        <w:autoSpaceDE/>
        <w:autoSpaceDN/>
        <w:bidi w:val="0"/>
        <w:adjustRightInd w:val="0"/>
        <w:snapToGrid w:val="0"/>
        <w:spacing w:line="36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提供的自助售货机及其所配送的饮料、食品，均必须符合相关国家标准和行业标准，所配送的饮料、食品均须符合国家、省、市食品卫生等法律法规的相关要求并确保在保质期内，严禁销售过期或临期饮料、食品。 </w:t>
      </w:r>
    </w:p>
    <w:p>
      <w:pPr>
        <w:pageBreakBefore w:val="0"/>
        <w:widowControl/>
        <w:numPr>
          <w:ilvl w:val="0"/>
          <w:numId w:val="11"/>
        </w:numPr>
        <w:kinsoku/>
        <w:wordWrap/>
        <w:overflowPunct/>
        <w:topLinePunct w:val="0"/>
        <w:autoSpaceDE/>
        <w:autoSpaceDN/>
        <w:bidi w:val="0"/>
        <w:adjustRightInd w:val="0"/>
        <w:snapToGrid w:val="0"/>
        <w:spacing w:line="36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供货商所提供的饮料、食品清单，必须为市场主流品牌，并需同步提供商品批次检测报告，同时建立台账管理。配送的饮料、食品价格不高于同区域超市的正常销售价格（非特价促销价格）。 </w:t>
      </w:r>
    </w:p>
    <w:p>
      <w:pPr>
        <w:pageBreakBefore w:val="0"/>
        <w:widowControl/>
        <w:numPr>
          <w:ilvl w:val="0"/>
          <w:numId w:val="11"/>
        </w:numPr>
        <w:kinsoku/>
        <w:wordWrap/>
        <w:overflowPunct/>
        <w:topLinePunct w:val="0"/>
        <w:autoSpaceDE/>
        <w:autoSpaceDN/>
        <w:bidi w:val="0"/>
        <w:adjustRightInd w:val="0"/>
        <w:snapToGrid w:val="0"/>
        <w:spacing w:line="36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供某种饮料、食品过期或不符合卫生要求，校方有权责成中标单位交卫生防疫部门检验；若确认为有问题饮料、食品，每发现一次罚款500元；情节严重的，校方有权单方终止合同，并保留追究其法律责任的权利。</w:t>
      </w:r>
    </w:p>
    <w:p>
      <w:pPr>
        <w:pageBreakBefore w:val="0"/>
        <w:widowControl/>
        <w:numPr>
          <w:ilvl w:val="0"/>
          <w:numId w:val="11"/>
        </w:numPr>
        <w:kinsoku/>
        <w:wordWrap/>
        <w:overflowPunct/>
        <w:topLinePunct w:val="0"/>
        <w:autoSpaceDE/>
        <w:autoSpaceDN/>
        <w:bidi w:val="0"/>
        <w:adjustRightInd w:val="0"/>
        <w:snapToGrid w:val="0"/>
        <w:spacing w:line="36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中标单位在</w:t>
      </w:r>
      <w:r>
        <w:rPr>
          <w:rFonts w:hint="eastAsia" w:ascii="宋体" w:hAnsi="宋体" w:eastAsia="宋体" w:cs="宋体"/>
          <w:color w:val="auto"/>
          <w:sz w:val="21"/>
          <w:szCs w:val="21"/>
          <w:highlight w:val="none"/>
          <w:lang w:val="en-US" w:eastAsia="zh-CN"/>
        </w:rPr>
        <w:t>采购单位</w:t>
      </w:r>
      <w:r>
        <w:rPr>
          <w:rFonts w:hint="eastAsia" w:ascii="宋体" w:hAnsi="宋体" w:eastAsia="宋体" w:cs="宋体"/>
          <w:color w:val="auto"/>
          <w:sz w:val="21"/>
          <w:szCs w:val="21"/>
          <w:highlight w:val="none"/>
        </w:rPr>
        <w:t>实际需求内，不限配送次数以及配送数量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1小时内完成配送。</w:t>
      </w:r>
    </w:p>
    <w:p>
      <w:pPr>
        <w:pStyle w:val="6"/>
        <w:bidi w:val="0"/>
        <w:rPr>
          <w:rFonts w:hint="eastAsia" w:eastAsia="宋体"/>
          <w:color w:val="auto"/>
          <w:highlight w:val="none"/>
        </w:rPr>
      </w:pPr>
      <w:r>
        <w:rPr>
          <w:rFonts w:hint="eastAsia" w:eastAsia="宋体"/>
          <w:color w:val="auto"/>
          <w:highlight w:val="none"/>
          <w:lang w:val="en-US" w:eastAsia="zh-CN"/>
        </w:rPr>
        <w:t>四、</w:t>
      </w:r>
      <w:r>
        <w:rPr>
          <w:rFonts w:hint="eastAsia" w:eastAsia="宋体"/>
          <w:color w:val="auto"/>
          <w:highlight w:val="none"/>
        </w:rPr>
        <w:t>设备安全</w:t>
      </w:r>
    </w:p>
    <w:p>
      <w:pPr>
        <w:pageBreakBefore w:val="0"/>
        <w:widowControl/>
        <w:numPr>
          <w:ilvl w:val="0"/>
          <w:numId w:val="12"/>
        </w:numPr>
        <w:kinsoku/>
        <w:wordWrap/>
        <w:overflowPunct/>
        <w:topLinePunct w:val="0"/>
        <w:autoSpaceDE/>
        <w:autoSpaceDN/>
        <w:bidi w:val="0"/>
        <w:adjustRightInd w:val="0"/>
        <w:snapToGrid w:val="0"/>
        <w:spacing w:line="36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按照校方的要求及时摆放自助售货机，确保饮料、食品的供应。自助售货机内放置的所有商品必须具有QS生产许可、食品流通许可，未经校方同意，不得擅自移动或搬走，如有违反，每发现一次按500元/天罚款，一周内未复位的，校方有权单方终止合同。 </w:t>
      </w:r>
    </w:p>
    <w:p>
      <w:pPr>
        <w:pageBreakBefore w:val="0"/>
        <w:widowControl/>
        <w:numPr>
          <w:ilvl w:val="0"/>
          <w:numId w:val="12"/>
        </w:numPr>
        <w:kinsoku/>
        <w:wordWrap/>
        <w:overflowPunct/>
        <w:topLinePunct w:val="0"/>
        <w:autoSpaceDE/>
        <w:autoSpaceDN/>
        <w:bidi w:val="0"/>
        <w:adjustRightInd w:val="0"/>
        <w:snapToGrid w:val="0"/>
        <w:spacing w:line="36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提供自助售后机</w:t>
      </w:r>
      <w:r>
        <w:rPr>
          <w:rFonts w:hint="eastAsia" w:ascii="宋体" w:hAnsi="宋体" w:eastAsia="宋体" w:cs="宋体"/>
          <w:color w:val="auto"/>
          <w:sz w:val="21"/>
          <w:szCs w:val="21"/>
          <w:highlight w:val="none"/>
          <w:lang w:val="en-US" w:eastAsia="zh-CN"/>
        </w:rPr>
        <w:t>须具有</w:t>
      </w:r>
      <w:r>
        <w:rPr>
          <w:rFonts w:hint="eastAsia" w:ascii="宋体" w:hAnsi="宋体" w:eastAsia="宋体" w:cs="宋体"/>
          <w:color w:val="auto"/>
          <w:sz w:val="21"/>
          <w:szCs w:val="21"/>
          <w:highlight w:val="none"/>
        </w:rPr>
        <w:t xml:space="preserve">产品合格证，并确保所供设备安全（防火、防电、防盗、卫生、防毒等），并进行有效的日常管理。校方发现有漏水、漏电、未锁设备、存在火灾或卫生隐患等不安全情况的，每发现一次罚款500元；造成严重后果的，由中标单位承担所有与之相应的法律责任。 </w:t>
      </w:r>
    </w:p>
    <w:p>
      <w:pPr>
        <w:pageBreakBefore w:val="0"/>
        <w:widowControl/>
        <w:numPr>
          <w:ilvl w:val="0"/>
          <w:numId w:val="12"/>
        </w:numPr>
        <w:kinsoku/>
        <w:wordWrap/>
        <w:overflowPunct/>
        <w:topLinePunct w:val="0"/>
        <w:autoSpaceDE/>
        <w:autoSpaceDN/>
        <w:bidi w:val="0"/>
        <w:adjustRightInd w:val="0"/>
        <w:snapToGrid w:val="0"/>
        <w:spacing w:line="36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加强对自动售卖机设备日常管理、维护并承担相关费用，要积极配合学校数据的监管工作；并保证正常工作日，供应商对售货机的普通故障处理不超过3小时，对自动售货机硬件故障维修不超过12小时，如因机器安全产生一切责任均由供应商承担。 </w:t>
      </w:r>
    </w:p>
    <w:p>
      <w:pPr>
        <w:pageBreakBefore w:val="0"/>
        <w:widowControl/>
        <w:numPr>
          <w:ilvl w:val="0"/>
          <w:numId w:val="12"/>
        </w:numPr>
        <w:kinsoku/>
        <w:wordWrap/>
        <w:overflowPunct/>
        <w:topLinePunct w:val="0"/>
        <w:autoSpaceDE/>
        <w:autoSpaceDN/>
        <w:bidi w:val="0"/>
        <w:adjustRightInd w:val="0"/>
        <w:snapToGrid w:val="0"/>
        <w:spacing w:line="36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单位确保所提供的设备美观大方，未经校方允许不得在设备上作任何超出服务范围的商品广告宣传，如有违反，每发现一次罚款500元，并责令限期整改。若连续30天内相同情况发生两次及以上，校方有权单方终止合同。</w:t>
      </w:r>
    </w:p>
    <w:p>
      <w:pPr>
        <w:pStyle w:val="6"/>
        <w:bidi w:val="0"/>
        <w:rPr>
          <w:rFonts w:hint="eastAsia"/>
          <w:color w:val="auto"/>
          <w:highlight w:val="none"/>
        </w:rPr>
      </w:pPr>
      <w:r>
        <w:rPr>
          <w:rFonts w:hint="eastAsia"/>
          <w:color w:val="auto"/>
          <w:highlight w:val="none"/>
          <w:lang w:val="en-US" w:eastAsia="zh-CN"/>
        </w:rPr>
        <w:t>五、</w:t>
      </w:r>
      <w:r>
        <w:rPr>
          <w:rFonts w:hint="eastAsia"/>
          <w:color w:val="auto"/>
          <w:highlight w:val="none"/>
        </w:rPr>
        <w:t>服务要求</w:t>
      </w:r>
    </w:p>
    <w:p>
      <w:pPr>
        <w:pageBreakBefore w:val="0"/>
        <w:widowControl/>
        <w:numPr>
          <w:ilvl w:val="0"/>
          <w:numId w:val="13"/>
        </w:numPr>
        <w:kinsoku/>
        <w:wordWrap/>
        <w:overflowPunct/>
        <w:topLinePunct w:val="0"/>
        <w:autoSpaceDE/>
        <w:autoSpaceDN/>
        <w:bidi w:val="0"/>
        <w:adjustRightInd w:val="0"/>
        <w:snapToGrid w:val="0"/>
        <w:spacing w:line="36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签订合同时中标单位应提供服务人员的名单（含健康证，驾驶证、社保证明等），合同期限内不得随意变更，如有调整应征得校方同意。 </w:t>
      </w:r>
    </w:p>
    <w:p>
      <w:pPr>
        <w:pageBreakBefore w:val="0"/>
        <w:widowControl/>
        <w:numPr>
          <w:ilvl w:val="0"/>
          <w:numId w:val="13"/>
        </w:numPr>
        <w:kinsoku/>
        <w:wordWrap/>
        <w:overflowPunct/>
        <w:topLinePunct w:val="0"/>
        <w:autoSpaceDE/>
        <w:autoSpaceDN/>
        <w:bidi w:val="0"/>
        <w:adjustRightInd w:val="0"/>
        <w:snapToGrid w:val="0"/>
        <w:spacing w:line="36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服务人员负责设备内饮料、食品的补充，设备的清洁及其维修等工作。工作时须佩戴健康证（复印件须交给校方）。如有违反，每发现一次罚款 500 元。 </w:t>
      </w:r>
    </w:p>
    <w:p>
      <w:pPr>
        <w:pageBreakBefore w:val="0"/>
        <w:widowControl/>
        <w:numPr>
          <w:ilvl w:val="0"/>
          <w:numId w:val="13"/>
        </w:numPr>
        <w:kinsoku/>
        <w:wordWrap/>
        <w:overflowPunct/>
        <w:topLinePunct w:val="0"/>
        <w:autoSpaceDE/>
        <w:autoSpaceDN/>
        <w:bidi w:val="0"/>
        <w:adjustRightInd w:val="0"/>
        <w:snapToGrid w:val="0"/>
        <w:spacing w:line="36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服务人员在校园内不得从事其他经营性活动，严格遵守学校的规章制度。如有违反，按照相关法律法规、学校相关规定进行处理。 </w:t>
      </w:r>
    </w:p>
    <w:p>
      <w:pPr>
        <w:pageBreakBefore w:val="0"/>
        <w:widowControl/>
        <w:numPr>
          <w:ilvl w:val="0"/>
          <w:numId w:val="13"/>
        </w:numPr>
        <w:kinsoku/>
        <w:wordWrap/>
        <w:overflowPunct/>
        <w:topLinePunct w:val="0"/>
        <w:autoSpaceDE/>
        <w:autoSpaceDN/>
        <w:bidi w:val="0"/>
        <w:adjustRightInd w:val="0"/>
        <w:snapToGrid w:val="0"/>
        <w:spacing w:line="36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校方配合中标单位办理车辆、人员出入证件，方便对校内售货机商品进行补给。</w:t>
      </w:r>
    </w:p>
    <w:p>
      <w:pPr>
        <w:pageBreakBefore w:val="0"/>
        <w:widowControl/>
        <w:numPr>
          <w:ilvl w:val="0"/>
          <w:numId w:val="13"/>
        </w:numPr>
        <w:kinsoku/>
        <w:wordWrap/>
        <w:overflowPunct/>
        <w:topLinePunct w:val="0"/>
        <w:autoSpaceDE/>
        <w:autoSpaceDN/>
        <w:bidi w:val="0"/>
        <w:adjustRightInd w:val="0"/>
        <w:snapToGrid w:val="0"/>
        <w:spacing w:line="36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中标单位具备设立前置仓网点条件，确保货品供应充足，服务响应及时。</w:t>
      </w:r>
    </w:p>
    <w:p>
      <w:pPr>
        <w:pStyle w:val="6"/>
        <w:bidi w:val="0"/>
        <w:rPr>
          <w:rFonts w:hint="eastAsia" w:eastAsia="宋体"/>
          <w:color w:val="auto"/>
          <w:highlight w:val="none"/>
        </w:rPr>
      </w:pPr>
      <w:r>
        <w:rPr>
          <w:rFonts w:hint="eastAsia" w:eastAsia="宋体"/>
          <w:color w:val="auto"/>
          <w:highlight w:val="none"/>
          <w:lang w:val="en-US" w:eastAsia="zh-CN"/>
        </w:rPr>
        <w:t>六、</w:t>
      </w:r>
      <w:r>
        <w:rPr>
          <w:rFonts w:hint="eastAsia" w:eastAsia="宋体"/>
          <w:color w:val="auto"/>
          <w:highlight w:val="none"/>
        </w:rPr>
        <w:t>事故处理</w:t>
      </w:r>
    </w:p>
    <w:p>
      <w:pPr>
        <w:pageBreakBefore w:val="0"/>
        <w:widowControl/>
        <w:numPr>
          <w:ilvl w:val="0"/>
          <w:numId w:val="14"/>
        </w:numPr>
        <w:kinsoku/>
        <w:wordWrap/>
        <w:overflowPunct/>
        <w:topLinePunct w:val="0"/>
        <w:autoSpaceDE/>
        <w:autoSpaceDN/>
        <w:bidi w:val="0"/>
        <w:adjustRightInd w:val="0"/>
        <w:snapToGrid w:val="0"/>
        <w:spacing w:line="36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根据《食品安全法》有关规定，24 小时以内，若因食用中标单位提供的同类同品饮料、食品，出现3人及以上腹泻，将首先推定该事件与中标单位有关，中标单位应先行垫付食用者的医疗等相关费用。 </w:t>
      </w:r>
    </w:p>
    <w:p>
      <w:pPr>
        <w:pageBreakBefore w:val="0"/>
        <w:widowControl/>
        <w:numPr>
          <w:ilvl w:val="0"/>
          <w:numId w:val="14"/>
        </w:numPr>
        <w:kinsoku/>
        <w:wordWrap/>
        <w:overflowPunct/>
        <w:topLinePunct w:val="0"/>
        <w:autoSpaceDE/>
        <w:autoSpaceDN/>
        <w:bidi w:val="0"/>
        <w:adjustRightInd w:val="0"/>
        <w:snapToGrid w:val="0"/>
        <w:spacing w:line="36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事故责任明确后，若确认非食品质量导致事故，中标单位有权接受实际责任人补偿；若确认为食品质量导致事故，校方将取消中标单位继续服务的资格，并按有关法律法规追究其责任。</w:t>
      </w:r>
    </w:p>
    <w:p>
      <w:pPr>
        <w:spacing w:after="0" w:line="360" w:lineRule="auto"/>
        <w:rPr>
          <w:rFonts w:ascii="宋体" w:hAnsi="宋体" w:eastAsia="宋体" w:cs="Times New Roman"/>
          <w:b/>
          <w:bCs/>
          <w:color w:val="auto"/>
          <w:sz w:val="21"/>
          <w:szCs w:val="21"/>
          <w:highlight w:val="none"/>
        </w:rPr>
      </w:pPr>
    </w:p>
    <w:p>
      <w:pPr>
        <w:spacing w:after="0" w:line="360" w:lineRule="auto"/>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bookmarkEnd w:id="189"/>
      <w:bookmarkEnd w:id="190"/>
      <w:bookmarkEnd w:id="191"/>
      <w:bookmarkEnd w:id="192"/>
      <w:bookmarkStart w:id="193" w:name="_Toc21448"/>
      <w:bookmarkStart w:id="194" w:name="_Toc12485"/>
    </w:p>
    <w:p>
      <w:pPr>
        <w:pStyle w:val="2"/>
        <w:rPr>
          <w:rFonts w:hint="eastAsia" w:ascii="宋体" w:hAnsi="宋体" w:eastAsia="宋体" w:cs="Times New Roman"/>
          <w:b/>
          <w:bCs/>
          <w:color w:val="auto"/>
          <w:sz w:val="21"/>
          <w:szCs w:val="21"/>
          <w:highlight w:val="none"/>
        </w:rPr>
      </w:pPr>
    </w:p>
    <w:p>
      <w:pPr>
        <w:rPr>
          <w:rFonts w:hint="eastAsia" w:ascii="宋体" w:hAnsi="宋体" w:eastAsia="宋体" w:cs="Times New Roman"/>
          <w:b/>
          <w:bCs/>
          <w:color w:val="auto"/>
          <w:sz w:val="21"/>
          <w:szCs w:val="21"/>
          <w:highlight w:val="none"/>
          <w:lang w:eastAsia="zh-CN"/>
        </w:rPr>
      </w:pPr>
    </w:p>
    <w:p>
      <w:pPr>
        <w:pStyle w:val="2"/>
        <w:rPr>
          <w:rFonts w:hint="eastAsia" w:ascii="宋体" w:hAnsi="宋体" w:eastAsia="宋体" w:cs="Times New Roman"/>
          <w:b/>
          <w:bCs/>
          <w:color w:val="auto"/>
          <w:sz w:val="21"/>
          <w:szCs w:val="21"/>
          <w:highlight w:val="none"/>
          <w:lang w:eastAsia="zh-CN"/>
        </w:rPr>
      </w:pPr>
    </w:p>
    <w:p>
      <w:pPr>
        <w:rPr>
          <w:rFonts w:hint="eastAsia" w:ascii="宋体" w:hAnsi="宋体" w:eastAsia="宋体" w:cs="Times New Roman"/>
          <w:b/>
          <w:bCs/>
          <w:color w:val="auto"/>
          <w:sz w:val="21"/>
          <w:szCs w:val="21"/>
          <w:highlight w:val="none"/>
          <w:lang w:eastAsia="zh-CN"/>
        </w:rPr>
      </w:pPr>
    </w:p>
    <w:p>
      <w:pPr>
        <w:pStyle w:val="2"/>
        <w:rPr>
          <w:rFonts w:hint="eastAsia" w:ascii="宋体" w:hAnsi="宋体" w:eastAsia="宋体" w:cs="Times New Roman"/>
          <w:b/>
          <w:bCs/>
          <w:color w:val="auto"/>
          <w:sz w:val="21"/>
          <w:szCs w:val="21"/>
          <w:highlight w:val="none"/>
          <w:lang w:eastAsia="zh-CN"/>
        </w:rPr>
      </w:pPr>
    </w:p>
    <w:p>
      <w:pPr>
        <w:rPr>
          <w:rFonts w:hint="eastAsia" w:ascii="宋体" w:hAnsi="宋体" w:eastAsia="宋体" w:cs="Times New Roman"/>
          <w:b/>
          <w:bCs/>
          <w:color w:val="auto"/>
          <w:sz w:val="21"/>
          <w:szCs w:val="21"/>
          <w:highlight w:val="none"/>
          <w:lang w:eastAsia="zh-CN"/>
        </w:rPr>
      </w:pPr>
    </w:p>
    <w:p>
      <w:pPr>
        <w:pStyle w:val="2"/>
        <w:rPr>
          <w:rFonts w:hint="eastAsia" w:ascii="宋体" w:hAnsi="宋体" w:eastAsia="宋体" w:cs="Times New Roman"/>
          <w:b/>
          <w:bCs/>
          <w:color w:val="auto"/>
          <w:sz w:val="21"/>
          <w:szCs w:val="21"/>
          <w:highlight w:val="none"/>
          <w:lang w:eastAsia="zh-CN"/>
        </w:rPr>
      </w:pPr>
    </w:p>
    <w:p>
      <w:pPr>
        <w:rPr>
          <w:rFonts w:hint="eastAsia" w:ascii="宋体" w:hAnsi="宋体" w:eastAsia="宋体" w:cs="Times New Roman"/>
          <w:b/>
          <w:bCs/>
          <w:color w:val="auto"/>
          <w:sz w:val="21"/>
          <w:szCs w:val="21"/>
          <w:highlight w:val="none"/>
          <w:lang w:eastAsia="zh-CN"/>
        </w:rPr>
      </w:pPr>
    </w:p>
    <w:p>
      <w:pPr>
        <w:pStyle w:val="2"/>
        <w:rPr>
          <w:rFonts w:hint="eastAsia" w:ascii="宋体" w:hAnsi="宋体" w:eastAsia="宋体" w:cs="Times New Roman"/>
          <w:b/>
          <w:bCs/>
          <w:color w:val="auto"/>
          <w:sz w:val="21"/>
          <w:szCs w:val="21"/>
          <w:highlight w:val="none"/>
          <w:lang w:eastAsia="zh-CN"/>
        </w:rPr>
      </w:pPr>
    </w:p>
    <w:p>
      <w:pPr>
        <w:pStyle w:val="4"/>
        <w:spacing w:before="0" w:after="0" w:line="240" w:lineRule="auto"/>
        <w:rPr>
          <w:color w:val="auto"/>
          <w:sz w:val="28"/>
          <w:szCs w:val="28"/>
          <w:highlight w:val="none"/>
        </w:rPr>
      </w:pPr>
      <w:bookmarkStart w:id="195" w:name="_Toc12014"/>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93"/>
      <w:bookmarkEnd w:id="194"/>
      <w:bookmarkEnd w:id="195"/>
      <w:bookmarkStart w:id="196" w:name="_Toc1534"/>
      <w:bookmarkStart w:id="197" w:name="_Toc13430"/>
      <w:bookmarkStart w:id="198" w:name="_Toc21155"/>
    </w:p>
    <w:p>
      <w:pPr>
        <w:pStyle w:val="5"/>
        <w:spacing w:before="0" w:after="0" w:line="240" w:lineRule="auto"/>
        <w:jc w:val="center"/>
        <w:rPr>
          <w:rFonts w:ascii="宋体" w:hAnsi="宋体" w:eastAsia="宋体" w:cs="宋体"/>
          <w:color w:val="auto"/>
          <w:highlight w:val="none"/>
        </w:rPr>
      </w:pPr>
      <w:bookmarkStart w:id="199" w:name="_Toc8880"/>
      <w:bookmarkStart w:id="200" w:name="_Toc19575"/>
      <w:bookmarkStart w:id="201" w:name="_Toc16730"/>
      <w:r>
        <w:rPr>
          <w:rFonts w:hint="eastAsia" w:ascii="宋体" w:hAnsi="宋体" w:eastAsia="宋体" w:cs="宋体"/>
          <w:color w:val="auto"/>
          <w:highlight w:val="none"/>
        </w:rPr>
        <w:t>合同格式</w:t>
      </w:r>
      <w:bookmarkEnd w:id="196"/>
      <w:bookmarkEnd w:id="197"/>
      <w:bookmarkEnd w:id="198"/>
      <w:bookmarkEnd w:id="199"/>
      <w:bookmarkEnd w:id="200"/>
      <w:bookmarkEnd w:id="201"/>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202"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1"/>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1"/>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1"/>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1"/>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1"/>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202"/>
    <w:p>
      <w:pPr>
        <w:spacing w:after="0" w:line="360" w:lineRule="auto"/>
        <w:ind w:firstLine="422" w:firstLineChars="200"/>
        <w:rPr>
          <w:rFonts w:ascii="宋体" w:hAnsi="宋体" w:eastAsia="宋体"/>
          <w:b/>
          <w:color w:val="auto"/>
          <w:sz w:val="21"/>
          <w:szCs w:val="21"/>
          <w:highlight w:val="none"/>
        </w:rPr>
      </w:pPr>
      <w:bookmarkStart w:id="203"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204" w:name="_Toc86481569"/>
      <w:r>
        <w:rPr>
          <w:rFonts w:hint="eastAsia" w:ascii="宋体" w:hAnsi="宋体" w:eastAsia="宋体"/>
          <w:b/>
          <w:color w:val="auto"/>
          <w:sz w:val="21"/>
          <w:szCs w:val="21"/>
          <w:highlight w:val="none"/>
        </w:rPr>
        <w:t>第十二条 合同生效</w:t>
      </w:r>
      <w:bookmarkEnd w:id="20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203"/>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4"/>
        <w:spacing w:before="0" w:after="0" w:line="240" w:lineRule="auto"/>
        <w:rPr>
          <w:color w:val="auto"/>
          <w:sz w:val="28"/>
          <w:szCs w:val="28"/>
          <w:highlight w:val="none"/>
        </w:rPr>
      </w:pPr>
      <w:bookmarkStart w:id="205" w:name="_Toc31587"/>
      <w:bookmarkStart w:id="206" w:name="_Toc1478"/>
      <w:bookmarkStart w:id="207" w:name="_Toc23749"/>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205"/>
      <w:bookmarkEnd w:id="206"/>
      <w:bookmarkEnd w:id="207"/>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8" w:name="_Toc26830"/>
      <w:bookmarkStart w:id="209" w:name="_Toc6790"/>
      <w:bookmarkStart w:id="210" w:name="_Toc5794"/>
      <w:r>
        <w:rPr>
          <w:rFonts w:hint="eastAsia"/>
          <w:color w:val="auto"/>
          <w:highlight w:val="none"/>
        </w:rPr>
        <w:t>投标文件目录</w:t>
      </w:r>
      <w:bookmarkEnd w:id="208"/>
      <w:bookmarkEnd w:id="209"/>
      <w:bookmarkEnd w:id="210"/>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1" w:name="_Toc18893"/>
      <w:bookmarkStart w:id="212" w:name="_Toc25502"/>
      <w:bookmarkStart w:id="213" w:name="_Toc5670"/>
      <w:bookmarkStart w:id="214" w:name="_Toc22080"/>
      <w:bookmarkStart w:id="215" w:name="_Toc8194"/>
      <w:bookmarkStart w:id="216" w:name="_Toc30640"/>
      <w:r>
        <w:rPr>
          <w:rFonts w:hint="eastAsia"/>
          <w:color w:val="auto"/>
          <w:highlight w:val="none"/>
        </w:rPr>
        <w:t>评分标准索引表</w:t>
      </w:r>
      <w:bookmarkEnd w:id="211"/>
      <w:bookmarkEnd w:id="212"/>
      <w:bookmarkEnd w:id="213"/>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CellMar>
            <w:top w:w="0" w:type="dxa"/>
            <w:left w:w="108" w:type="dxa"/>
            <w:bottom w:w="0" w:type="dxa"/>
            <w:right w:w="108" w:type="dxa"/>
          </w:tblCellMar>
        </w:tblPrEx>
        <w:trPr>
          <w:trHeight w:val="397" w:hRule="atLeast"/>
          <w:jc w:val="center"/>
        </w:trPr>
        <w:tc>
          <w:tcPr>
            <w:tcW w:w="154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7"/>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15"/>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r>
        <w:rPr>
          <w:rFonts w:hint="eastAsia"/>
          <w:color w:val="auto"/>
          <w:highlight w:val="none"/>
          <w:lang w:val="en-US" w:eastAsia="zh-CN"/>
        </w:rPr>
        <w:t>第一章价格文件</w:t>
      </w:r>
      <w:bookmarkEnd w:id="214"/>
      <w:bookmarkEnd w:id="215"/>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7" w:name="_Toc19750"/>
      <w:bookmarkStart w:id="218" w:name="_Toc4168"/>
      <w:r>
        <w:rPr>
          <w:rFonts w:hint="eastAsia"/>
          <w:color w:val="auto"/>
          <w:highlight w:val="none"/>
          <w:lang w:val="en-US" w:eastAsia="zh-CN"/>
        </w:rPr>
        <w:t>一、唱标一览表</w:t>
      </w:r>
      <w:bookmarkEnd w:id="217"/>
      <w:bookmarkEnd w:id="218"/>
    </w:p>
    <w:p>
      <w:pPr>
        <w:spacing w:line="360" w:lineRule="auto"/>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大写和小写两种方式</w:t>
      </w:r>
      <w:r>
        <w:rPr>
          <w:rFonts w:ascii="宋体" w:hAnsi="宋体" w:eastAsia="宋体"/>
          <w:color w:val="auto"/>
          <w:sz w:val="21"/>
          <w:szCs w:val="21"/>
          <w:highlight w:val="none"/>
        </w:rPr>
        <w:t>表示的</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保留小数点后两位。</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大小写不一致，以大写为准。</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必须准确唯一且应包含招标文件要求的所有费用。</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注：折扣率=1-下浮率</w:t>
      </w:r>
      <w:r>
        <w:rPr>
          <w:rFonts w:hint="eastAsia" w:ascii="宋体" w:hAnsi="宋体" w:cs="宋体"/>
          <w:color w:val="auto"/>
          <w:sz w:val="21"/>
          <w:szCs w:val="21"/>
          <w:highlight w:val="none"/>
          <w:lang w:eastAsia="zh-CN"/>
        </w:rPr>
        <w:t>）</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2、此表应按投标人须知的规定密封标记并与《授权委托书》、《投标保证金汇入情况说明》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2"/>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2"/>
        <w:rPr>
          <w:color w:val="auto"/>
          <w:highlight w:val="none"/>
        </w:rPr>
      </w:pPr>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9" w:name="_Toc31172"/>
      <w:bookmarkStart w:id="220" w:name="_Toc31062"/>
      <w:r>
        <w:rPr>
          <w:rFonts w:hint="eastAsia"/>
          <w:color w:val="auto"/>
          <w:highlight w:val="none"/>
          <w:lang w:val="en-US" w:eastAsia="zh-CN"/>
        </w:rPr>
        <w:t>二、报价明细表</w:t>
      </w:r>
      <w:bookmarkEnd w:id="219"/>
      <w:bookmarkEnd w:id="220"/>
    </w:p>
    <w:p>
      <w:pPr>
        <w:pStyle w:val="30"/>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0"/>
        <w:rPr>
          <w:rFonts w:ascii="黑体" w:eastAsia="黑体"/>
          <w:color w:val="auto"/>
          <w:sz w:val="32"/>
          <w:szCs w:val="32"/>
          <w:highlight w:val="none"/>
        </w:rPr>
      </w:pPr>
    </w:p>
    <w:p>
      <w:pPr>
        <w:pStyle w:val="30"/>
        <w:rPr>
          <w:rFonts w:ascii="黑体" w:eastAsia="黑体"/>
          <w:color w:val="auto"/>
          <w:sz w:val="32"/>
          <w:szCs w:val="32"/>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23355"/>
      <w:bookmarkStart w:id="222" w:name="_Toc20974"/>
      <w:r>
        <w:rPr>
          <w:rFonts w:hint="eastAsia"/>
          <w:color w:val="auto"/>
          <w:highlight w:val="none"/>
          <w:lang w:val="en-US" w:eastAsia="zh-CN"/>
        </w:rPr>
        <w:t>三、小型或微型企业（货物/服务/承担的工程）明细表</w:t>
      </w:r>
      <w:bookmarkEnd w:id="221"/>
      <w:bookmarkEnd w:id="222"/>
    </w:p>
    <w:tbl>
      <w:tblPr>
        <w:tblStyle w:val="23"/>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pStyle w:val="33"/>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3"/>
          <w:rFonts w:hint="eastAsia"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1、投标人在“货物</w:t>
      </w:r>
      <w:r>
        <w:rPr>
          <w:rStyle w:val="43"/>
          <w:rFonts w:hint="eastAsia" w:ascii="宋体" w:hAnsi="宋体" w:eastAsia="宋体" w:cs="宋体"/>
          <w:b/>
          <w:color w:val="auto"/>
          <w:sz w:val="21"/>
          <w:szCs w:val="21"/>
          <w:highlight w:val="none"/>
          <w:lang w:val="en-US" w:eastAsia="zh-CN"/>
        </w:rPr>
        <w:t>/</w:t>
      </w:r>
      <w:r>
        <w:rPr>
          <w:rStyle w:val="43"/>
          <w:rFonts w:hint="eastAsia" w:ascii="宋体" w:hAnsi="宋体" w:eastAsia="宋体" w:cs="宋体"/>
          <w:b/>
          <w:color w:val="auto"/>
          <w:sz w:val="21"/>
          <w:szCs w:val="21"/>
          <w:highlight w:val="none"/>
        </w:rPr>
        <w:t>服务报价</w:t>
      </w:r>
      <w:r>
        <w:rPr>
          <w:rStyle w:val="43"/>
          <w:rFonts w:hint="eastAsia" w:ascii="宋体" w:hAnsi="宋体" w:eastAsia="宋体" w:cs="宋体"/>
          <w:b/>
          <w:color w:val="auto"/>
          <w:sz w:val="21"/>
          <w:szCs w:val="21"/>
          <w:highlight w:val="none"/>
          <w:lang w:val="en-US" w:eastAsia="zh-CN"/>
        </w:rPr>
        <w:t>明细</w:t>
      </w:r>
      <w:r>
        <w:rPr>
          <w:rStyle w:val="43"/>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3"/>
          <w:rFonts w:hint="eastAsia" w:ascii="宋体" w:hAnsi="宋体" w:eastAsia="宋体" w:cs="宋体"/>
          <w:b/>
          <w:color w:val="auto"/>
          <w:sz w:val="21"/>
          <w:szCs w:val="21"/>
          <w:highlight w:val="none"/>
        </w:rPr>
        <w:t>；</w:t>
      </w:r>
    </w:p>
    <w:p>
      <w:pPr>
        <w:pStyle w:val="33"/>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3"/>
          <w:rFonts w:hint="eastAsia" w:ascii="宋体" w:hAnsi="宋体" w:eastAsia="宋体" w:cs="宋体"/>
          <w:b/>
          <w:color w:val="auto"/>
          <w:sz w:val="21"/>
          <w:szCs w:val="21"/>
          <w:highlight w:val="none"/>
        </w:rPr>
        <w:t>2、投标人应该如实填写，如投标人所投产品中无小型</w:t>
      </w:r>
      <w:r>
        <w:rPr>
          <w:rStyle w:val="43"/>
          <w:rFonts w:hint="eastAsia" w:ascii="宋体" w:hAnsi="宋体" w:eastAsia="宋体" w:cs="宋体"/>
          <w:b/>
          <w:color w:val="auto"/>
          <w:sz w:val="21"/>
          <w:szCs w:val="21"/>
          <w:highlight w:val="none"/>
          <w:lang w:val="en-US" w:eastAsia="zh-CN"/>
        </w:rPr>
        <w:t>或</w:t>
      </w:r>
      <w:r>
        <w:rPr>
          <w:rStyle w:val="43"/>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3" w:name="_Toc16718"/>
      <w:bookmarkStart w:id="224" w:name="_Toc13970"/>
      <w:r>
        <w:rPr>
          <w:rFonts w:hint="eastAsia"/>
          <w:color w:val="auto"/>
          <w:highlight w:val="none"/>
          <w:lang w:val="en-US" w:eastAsia="zh-CN"/>
        </w:rPr>
        <w:t>四、节能产品或环境标志产品明细表</w:t>
      </w:r>
      <w:bookmarkEnd w:id="223"/>
      <w:bookmarkEnd w:id="224"/>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30"/>
        <w:rPr>
          <w:rFonts w:hint="eastAsia"/>
          <w:color w:val="auto"/>
          <w:highlight w:val="none"/>
        </w:rPr>
      </w:pPr>
    </w:p>
    <w:p>
      <w:pPr>
        <w:tabs>
          <w:tab w:val="left" w:pos="284"/>
        </w:tabs>
        <w:spacing w:after="0"/>
        <w:rPr>
          <w:rStyle w:val="43"/>
          <w:rFonts w:hint="eastAsia"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1、投标人在“货物</w:t>
      </w:r>
      <w:r>
        <w:rPr>
          <w:rStyle w:val="43"/>
          <w:rFonts w:hint="eastAsia" w:ascii="宋体" w:hAnsi="宋体" w:eastAsia="宋体" w:cs="宋体"/>
          <w:b/>
          <w:color w:val="auto"/>
          <w:sz w:val="21"/>
          <w:szCs w:val="21"/>
          <w:highlight w:val="none"/>
          <w:lang w:val="en-US" w:eastAsia="zh-CN"/>
        </w:rPr>
        <w:t>/</w:t>
      </w:r>
      <w:r>
        <w:rPr>
          <w:rStyle w:val="43"/>
          <w:rFonts w:hint="eastAsia" w:ascii="宋体" w:hAnsi="宋体" w:eastAsia="宋体" w:cs="宋体"/>
          <w:b/>
          <w:color w:val="auto"/>
          <w:sz w:val="21"/>
          <w:szCs w:val="21"/>
          <w:highlight w:val="none"/>
        </w:rPr>
        <w:t>服务报价</w:t>
      </w:r>
      <w:r>
        <w:rPr>
          <w:rStyle w:val="43"/>
          <w:rFonts w:hint="eastAsia" w:ascii="宋体" w:hAnsi="宋体" w:eastAsia="宋体" w:cs="宋体"/>
          <w:b/>
          <w:color w:val="auto"/>
          <w:sz w:val="21"/>
          <w:szCs w:val="21"/>
          <w:highlight w:val="none"/>
          <w:lang w:val="en-US" w:eastAsia="zh-CN"/>
        </w:rPr>
        <w:t>明细</w:t>
      </w:r>
      <w:r>
        <w:rPr>
          <w:rStyle w:val="43"/>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3"/>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10853"/>
      <w:bookmarkStart w:id="226" w:name="_Toc17482"/>
      <w:r>
        <w:rPr>
          <w:rFonts w:hint="eastAsia"/>
          <w:color w:val="auto"/>
          <w:highlight w:val="none"/>
          <w:lang w:val="en-US" w:eastAsia="zh-CN"/>
        </w:rPr>
        <w:t>五、中小企业声明函</w:t>
      </w:r>
      <w:bookmarkEnd w:id="225"/>
      <w:bookmarkEnd w:id="226"/>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1、投标人应根据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8560"/>
      <w:bookmarkStart w:id="228" w:name="_Toc7959"/>
      <w:r>
        <w:rPr>
          <w:rFonts w:hint="eastAsia"/>
          <w:color w:val="auto"/>
          <w:highlight w:val="none"/>
          <w:lang w:val="en-US" w:eastAsia="zh-CN"/>
        </w:rPr>
        <w:t>六、残疾人福利性单位声明函</w:t>
      </w:r>
      <w:bookmarkEnd w:id="227"/>
      <w:bookmarkEnd w:id="228"/>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29" w:name="_Toc508898066"/>
      <w:bookmarkStart w:id="230" w:name="_Toc30247"/>
      <w:bookmarkStart w:id="231" w:name="_Toc20910"/>
      <w:bookmarkStart w:id="232" w:name="_Toc509479530"/>
      <w:bookmarkStart w:id="233" w:name="_Toc17761"/>
      <w:bookmarkStart w:id="234" w:name="_Toc22970"/>
      <w:bookmarkStart w:id="235" w:name="_Toc509927455"/>
      <w:bookmarkStart w:id="236" w:name="_Toc509844825"/>
      <w:bookmarkStart w:id="237" w:name="_Toc508958703"/>
      <w:bookmarkStart w:id="238" w:name="_Toc508960153"/>
      <w:bookmarkStart w:id="239" w:name="_Toc510171693"/>
      <w:bookmarkStart w:id="240" w:name="_Toc30277"/>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29"/>
      <w:bookmarkEnd w:id="230"/>
      <w:bookmarkEnd w:id="231"/>
      <w:bookmarkEnd w:id="232"/>
      <w:bookmarkEnd w:id="233"/>
      <w:bookmarkEnd w:id="234"/>
      <w:bookmarkEnd w:id="235"/>
      <w:bookmarkEnd w:id="236"/>
      <w:bookmarkEnd w:id="237"/>
      <w:bookmarkEnd w:id="238"/>
      <w:bookmarkEnd w:id="239"/>
      <w:bookmarkEnd w:id="240"/>
    </w:p>
    <w:p>
      <w:pPr>
        <w:pStyle w:val="2"/>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41" w:name="_Toc508898067"/>
      <w:bookmarkStart w:id="242" w:name="_Toc510171694"/>
      <w:bookmarkStart w:id="243" w:name="_Toc508960154"/>
      <w:bookmarkStart w:id="244" w:name="_Toc509927456"/>
      <w:bookmarkStart w:id="245" w:name="_Toc28527"/>
      <w:bookmarkStart w:id="246" w:name="_Toc509844826"/>
      <w:bookmarkStart w:id="247" w:name="_Toc26216"/>
      <w:bookmarkStart w:id="248" w:name="_Toc508958704"/>
      <w:bookmarkStart w:id="249" w:name="_Toc21053"/>
      <w:bookmarkStart w:id="250" w:name="_Toc31520"/>
      <w:bookmarkStart w:id="251" w:name="_Toc5447"/>
      <w:bookmarkStart w:id="252" w:name="_Toc509479531"/>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1"/>
      <w:bookmarkEnd w:id="242"/>
      <w:bookmarkEnd w:id="243"/>
      <w:bookmarkEnd w:id="244"/>
      <w:bookmarkEnd w:id="245"/>
      <w:bookmarkEnd w:id="246"/>
      <w:bookmarkEnd w:id="247"/>
      <w:bookmarkEnd w:id="248"/>
      <w:bookmarkEnd w:id="249"/>
      <w:bookmarkEnd w:id="250"/>
      <w:bookmarkEnd w:id="251"/>
      <w:bookmarkEnd w:id="252"/>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3" w:name="_Toc509844827"/>
      <w:bookmarkStart w:id="254" w:name="_Toc509479532"/>
      <w:bookmarkStart w:id="255" w:name="_Toc510171695"/>
      <w:bookmarkStart w:id="256" w:name="_Toc508898068"/>
      <w:bookmarkStart w:id="257" w:name="_Toc24848"/>
      <w:bookmarkStart w:id="258" w:name="_Toc28126"/>
      <w:bookmarkStart w:id="259" w:name="_Toc28626"/>
      <w:bookmarkStart w:id="260" w:name="_Toc9148"/>
      <w:bookmarkStart w:id="261" w:name="_Toc508960155"/>
      <w:bookmarkStart w:id="262" w:name="_Toc509927457"/>
      <w:bookmarkStart w:id="263" w:name="_Toc14653"/>
      <w:bookmarkStart w:id="264" w:name="_Toc508958705"/>
      <w:r>
        <w:rPr>
          <w:rFonts w:hint="eastAsia" w:ascii="宋体" w:hAnsi="宋体" w:eastAsia="宋体"/>
          <w:color w:val="auto"/>
          <w:sz w:val="21"/>
          <w:szCs w:val="21"/>
          <w:highlight w:val="none"/>
        </w:rPr>
        <w:t>（2）中标人为残疾人福利性单位的，采购代理机构将随中标结果同时公告其《残疾人福利性单位声明函》，接受社会监督。</w:t>
      </w:r>
      <w:bookmarkEnd w:id="253"/>
      <w:bookmarkEnd w:id="254"/>
      <w:bookmarkEnd w:id="255"/>
      <w:bookmarkEnd w:id="256"/>
      <w:bookmarkEnd w:id="257"/>
      <w:bookmarkEnd w:id="258"/>
      <w:bookmarkEnd w:id="259"/>
      <w:bookmarkEnd w:id="260"/>
      <w:bookmarkEnd w:id="261"/>
      <w:bookmarkEnd w:id="262"/>
      <w:bookmarkEnd w:id="263"/>
      <w:bookmarkEnd w:id="26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5" w:name="_Toc509844828"/>
      <w:bookmarkStart w:id="266" w:name="_Toc28686"/>
      <w:bookmarkStart w:id="267" w:name="_Toc28044"/>
      <w:bookmarkStart w:id="268" w:name="_Toc508898069"/>
      <w:bookmarkStart w:id="269" w:name="_Toc509927458"/>
      <w:bookmarkStart w:id="270" w:name="_Toc9837"/>
      <w:bookmarkStart w:id="271" w:name="_Toc510171696"/>
      <w:bookmarkStart w:id="272" w:name="_Toc508960156"/>
      <w:bookmarkStart w:id="273" w:name="_Toc22981"/>
      <w:bookmarkStart w:id="274" w:name="_Toc509479533"/>
      <w:bookmarkStart w:id="275" w:name="_Toc508958706"/>
      <w:bookmarkStart w:id="276" w:name="_Toc7858"/>
      <w:r>
        <w:rPr>
          <w:rFonts w:hint="eastAsia" w:ascii="宋体" w:hAnsi="宋体" w:eastAsia="宋体"/>
          <w:color w:val="auto"/>
          <w:sz w:val="21"/>
          <w:szCs w:val="21"/>
          <w:highlight w:val="none"/>
        </w:rPr>
        <w:t>（3）投标人提供的《残疾人福利性单位声明函》与事实不符的，依照《政府采购法》第七十七条第一款的规定追究法律责任。</w:t>
      </w:r>
      <w:bookmarkEnd w:id="265"/>
      <w:bookmarkEnd w:id="266"/>
      <w:bookmarkEnd w:id="267"/>
      <w:bookmarkEnd w:id="268"/>
      <w:bookmarkEnd w:id="269"/>
      <w:bookmarkEnd w:id="270"/>
      <w:bookmarkEnd w:id="271"/>
      <w:bookmarkEnd w:id="272"/>
      <w:bookmarkEnd w:id="273"/>
      <w:bookmarkEnd w:id="274"/>
      <w:bookmarkEnd w:id="275"/>
      <w:bookmarkEnd w:id="27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7" w:name="_Toc509479534"/>
      <w:bookmarkStart w:id="278" w:name="_Toc18843"/>
      <w:bookmarkStart w:id="279" w:name="_Toc508960157"/>
      <w:bookmarkStart w:id="280" w:name="_Toc509844829"/>
      <w:bookmarkStart w:id="281" w:name="_Toc510171697"/>
      <w:bookmarkStart w:id="282" w:name="_Toc5289"/>
      <w:bookmarkStart w:id="283" w:name="_Toc508898070"/>
      <w:bookmarkStart w:id="284" w:name="_Toc508958707"/>
      <w:bookmarkStart w:id="285" w:name="_Toc509927459"/>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77"/>
      <w:bookmarkEnd w:id="278"/>
      <w:bookmarkEnd w:id="279"/>
      <w:bookmarkEnd w:id="280"/>
      <w:bookmarkEnd w:id="281"/>
      <w:bookmarkEnd w:id="282"/>
      <w:bookmarkEnd w:id="283"/>
      <w:bookmarkEnd w:id="284"/>
      <w:bookmarkEnd w:id="285"/>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86" w:name="_Toc23948"/>
      <w:bookmarkStart w:id="287" w:name="_Toc6471"/>
      <w:r>
        <w:rPr>
          <w:rFonts w:hint="eastAsia"/>
          <w:color w:val="auto"/>
          <w:highlight w:val="none"/>
          <w:lang w:val="en-US" w:eastAsia="zh-CN"/>
        </w:rPr>
        <w:t>第二章商务文件</w:t>
      </w:r>
      <w:bookmarkEnd w:id="286"/>
      <w:bookmarkEnd w:id="287"/>
    </w:p>
    <w:bookmarkEnd w:id="216"/>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8" w:name="_Toc23787"/>
      <w:bookmarkStart w:id="289" w:name="_Toc1952"/>
      <w:r>
        <w:rPr>
          <w:rFonts w:hint="eastAsia"/>
          <w:color w:val="auto"/>
          <w:highlight w:val="none"/>
          <w:lang w:val="en-US" w:eastAsia="zh-CN"/>
        </w:rPr>
        <w:t>一、投标函</w:t>
      </w:r>
      <w:bookmarkEnd w:id="288"/>
      <w:bookmarkEnd w:id="289"/>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16"/>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16"/>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6"/>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6"/>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我方保证遵守投标人须知中关于没收投标保证金的规定。</w:t>
      </w:r>
    </w:p>
    <w:p>
      <w:pPr>
        <w:keepNext w:val="0"/>
        <w:keepLines w:val="0"/>
        <w:pageBreakBefore w:val="0"/>
        <w:widowControl w:val="0"/>
        <w:numPr>
          <w:ilvl w:val="0"/>
          <w:numId w:val="16"/>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6"/>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6"/>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0" w:name="_Toc28616"/>
      <w:bookmarkStart w:id="291" w:name="_Toc15719"/>
      <w:r>
        <w:rPr>
          <w:rFonts w:hint="eastAsia"/>
          <w:color w:val="auto"/>
          <w:highlight w:val="none"/>
          <w:lang w:val="en-US" w:eastAsia="zh-CN"/>
        </w:rPr>
        <w:t>二、资格申明函</w:t>
      </w:r>
      <w:bookmarkEnd w:id="290"/>
      <w:bookmarkEnd w:id="291"/>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已清楚招标文件所有要求及有关规定；并承诺参加本次政府采购活动中，如有违法、违规、弄虚作假行为，所造成的损失、不良后果及法律责任，一律由我方承担；</w:t>
      </w:r>
    </w:p>
    <w:p>
      <w:pPr>
        <w:pStyle w:val="36"/>
        <w:spacing w:line="500" w:lineRule="atLeast"/>
        <w:ind w:firstLine="3517" w:firstLineChars="1675"/>
        <w:rPr>
          <w:rFonts w:ascii="宋体" w:eastAsia="宋体"/>
          <w:color w:val="auto"/>
          <w:sz w:val="21"/>
          <w:szCs w:val="21"/>
          <w:highlight w:val="none"/>
        </w:rPr>
      </w:pP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color w:val="auto"/>
          <w:highlight w:val="none"/>
        </w:rPr>
      </w:pPr>
    </w:p>
    <w:p>
      <w:pPr>
        <w:rPr>
          <w:color w:val="auto"/>
          <w:highlight w:val="none"/>
        </w:rPr>
      </w:pPr>
      <w:bookmarkStart w:id="292"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3" w:name="_Toc21273"/>
      <w:bookmarkStart w:id="294" w:name="_Toc32742"/>
      <w:r>
        <w:rPr>
          <w:rFonts w:hint="eastAsia"/>
          <w:color w:val="auto"/>
          <w:highlight w:val="none"/>
          <w:lang w:val="en-US" w:eastAsia="zh-CN"/>
        </w:rPr>
        <w:t>三、在参与政府采购活动前三年未有重大违法记录、没有不良信用记录的声明函</w:t>
      </w:r>
      <w:bookmarkEnd w:id="293"/>
      <w:bookmarkEnd w:id="294"/>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9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5" w:name="_Toc13243"/>
      <w:bookmarkStart w:id="296" w:name="_Toc3894"/>
      <w:r>
        <w:rPr>
          <w:rFonts w:hint="eastAsia"/>
          <w:color w:val="auto"/>
          <w:highlight w:val="none"/>
          <w:lang w:val="en-US" w:eastAsia="zh-CN"/>
        </w:rPr>
        <w:t>四、法定代表人证明书</w:t>
      </w:r>
      <w:bookmarkEnd w:id="295"/>
      <w:bookmarkEnd w:id="296"/>
    </w:p>
    <w:p>
      <w:pPr>
        <w:pStyle w:val="36"/>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pacing w:line="420" w:lineRule="atLeast"/>
        <w:ind w:firstLine="433"/>
        <w:rPr>
          <w:rFonts w:ascii="宋体" w:eastAsia="宋体"/>
          <w:color w:val="auto"/>
          <w:sz w:val="21"/>
          <w:szCs w:val="21"/>
          <w:highlight w:val="none"/>
        </w:rPr>
      </w:pPr>
    </w:p>
    <w:p>
      <w:pPr>
        <w:pStyle w:val="36"/>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7" w:name="_Toc5626"/>
      <w:bookmarkStart w:id="298" w:name="_Toc5918"/>
      <w:r>
        <w:rPr>
          <w:rFonts w:hint="eastAsia"/>
          <w:color w:val="auto"/>
          <w:highlight w:val="none"/>
          <w:lang w:val="en-US" w:eastAsia="zh-CN"/>
        </w:rPr>
        <w:t>五、法定代表人授权书</w:t>
      </w:r>
      <w:bookmarkEnd w:id="297"/>
      <w:bookmarkEnd w:id="298"/>
    </w:p>
    <w:p>
      <w:pPr>
        <w:pStyle w:val="36"/>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6"/>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99"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0" w:name="_Toc24013"/>
      <w:bookmarkStart w:id="301" w:name="_Toc18562"/>
      <w:r>
        <w:rPr>
          <w:rFonts w:hint="eastAsia"/>
          <w:color w:val="auto"/>
          <w:highlight w:val="none"/>
          <w:lang w:val="en-US" w:eastAsia="zh-CN"/>
        </w:rPr>
        <w:t>六、投标人基本情况说明</w:t>
      </w:r>
      <w:bookmarkEnd w:id="300"/>
      <w:bookmarkEnd w:id="301"/>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2"/>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02" w:name="_Toc4926"/>
      <w:bookmarkStart w:id="303" w:name="_Toc24210"/>
      <w:bookmarkStart w:id="304" w:name="_Toc1511"/>
      <w:bookmarkStart w:id="305" w:name="_Toc29995"/>
      <w:bookmarkStart w:id="306" w:name="_Toc5919"/>
      <w:bookmarkStart w:id="307" w:name="_Toc17470"/>
      <w:bookmarkStart w:id="308" w:name="_Toc28067"/>
      <w:r>
        <w:rPr>
          <w:rFonts w:hint="eastAsia"/>
          <w:color w:val="auto"/>
          <w:highlight w:val="none"/>
          <w:lang w:val="en-US" w:eastAsia="zh-CN"/>
        </w:rPr>
        <w:t>七、</w:t>
      </w:r>
      <w:r>
        <w:rPr>
          <w:rFonts w:hint="eastAsia"/>
          <w:color w:val="auto"/>
          <w:highlight w:val="none"/>
        </w:rPr>
        <w:t>营业执照</w:t>
      </w:r>
      <w:bookmarkEnd w:id="302"/>
      <w:bookmarkEnd w:id="303"/>
      <w:bookmarkEnd w:id="304"/>
      <w:bookmarkEnd w:id="305"/>
      <w:bookmarkEnd w:id="306"/>
      <w:bookmarkEnd w:id="307"/>
      <w:bookmarkEnd w:id="308"/>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9"/>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9" w:name="_Toc29439"/>
      <w:bookmarkStart w:id="310" w:name="_Toc21638"/>
      <w:r>
        <w:rPr>
          <w:rFonts w:hint="eastAsia"/>
          <w:color w:val="auto"/>
          <w:highlight w:val="none"/>
          <w:lang w:val="en-US" w:eastAsia="zh-CN"/>
        </w:rPr>
        <w:t>八、</w:t>
      </w:r>
      <w:r>
        <w:rPr>
          <w:rFonts w:hint="eastAsia"/>
          <w:color w:val="auto"/>
          <w:highlight w:val="none"/>
        </w:rPr>
        <w:t>特殊资格要求证明文件</w:t>
      </w:r>
      <w:bookmarkEnd w:id="309"/>
      <w:bookmarkEnd w:id="31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1" w:name="_Toc23341"/>
      <w:bookmarkStart w:id="312" w:name="_Toc14263"/>
      <w:r>
        <w:rPr>
          <w:rFonts w:hint="eastAsia"/>
          <w:color w:val="auto"/>
          <w:highlight w:val="none"/>
          <w:lang w:val="en-US" w:eastAsia="zh-CN"/>
        </w:rPr>
        <w:t>九、</w:t>
      </w:r>
      <w:r>
        <w:rPr>
          <w:rFonts w:hint="eastAsia"/>
          <w:color w:val="auto"/>
          <w:highlight w:val="none"/>
        </w:rPr>
        <w:t>承诺书</w:t>
      </w:r>
      <w:bookmarkEnd w:id="311"/>
      <w:bookmarkEnd w:id="312"/>
    </w:p>
    <w:p>
      <w:pPr>
        <w:pStyle w:val="36"/>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6"/>
        <w:spacing w:line="420" w:lineRule="exact"/>
        <w:ind w:firstLine="455"/>
        <w:rPr>
          <w:rFonts w:hint="eastAsia" w:ascii="宋体" w:hAnsi="宋体" w:eastAsia="宋体" w:cs="宋体"/>
          <w:b w:val="0"/>
          <w:bCs w:val="0"/>
          <w:color w:val="auto"/>
          <w:sz w:val="21"/>
          <w:szCs w:val="21"/>
          <w:highlight w:val="none"/>
        </w:rPr>
      </w:pPr>
      <w:bookmarkStart w:id="313"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13"/>
      <w:r>
        <w:rPr>
          <w:rFonts w:hint="eastAsia" w:ascii="宋体" w:hAnsi="宋体" w:eastAsia="宋体" w:cs="宋体"/>
          <w:b w:val="0"/>
          <w:bCs w:val="0"/>
          <w:color w:val="auto"/>
          <w:sz w:val="21"/>
          <w:szCs w:val="21"/>
          <w:highlight w:val="none"/>
        </w:rPr>
        <w:cr/>
      </w:r>
    </w:p>
    <w:p>
      <w:pPr>
        <w:pStyle w:val="36"/>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4" w:name="_Toc13955"/>
      <w:bookmarkStart w:id="315" w:name="_Toc13653"/>
      <w:r>
        <w:rPr>
          <w:rFonts w:hint="eastAsia"/>
          <w:color w:val="auto"/>
          <w:highlight w:val="none"/>
          <w:lang w:val="en-US" w:eastAsia="zh-CN"/>
        </w:rPr>
        <w:t>十、招标代理服务费承诺书</w:t>
      </w:r>
      <w:bookmarkEnd w:id="314"/>
      <w:bookmarkEnd w:id="315"/>
    </w:p>
    <w:p>
      <w:pPr>
        <w:pStyle w:val="36"/>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6" w:name="_Toc1975"/>
      <w:bookmarkStart w:id="317" w:name="_Toc12598"/>
      <w:r>
        <w:rPr>
          <w:rFonts w:hint="eastAsia"/>
          <w:color w:val="auto"/>
          <w:highlight w:val="none"/>
          <w:lang w:val="en-US" w:eastAsia="zh-CN"/>
        </w:rPr>
        <w:t>十一、</w:t>
      </w:r>
      <w:r>
        <w:rPr>
          <w:rFonts w:hint="eastAsia"/>
          <w:color w:val="auto"/>
          <w:highlight w:val="none"/>
        </w:rPr>
        <w:t>商务条款偏离表</w:t>
      </w:r>
      <w:bookmarkEnd w:id="316"/>
      <w:bookmarkEnd w:id="317"/>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18"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9" w:name="_Toc19276"/>
      <w:bookmarkStart w:id="320" w:name="_Toc25391"/>
      <w:r>
        <w:rPr>
          <w:rFonts w:hint="eastAsia"/>
          <w:color w:val="auto"/>
          <w:highlight w:val="none"/>
          <w:lang w:val="en-US" w:eastAsia="zh-CN"/>
        </w:rPr>
        <w:t>十二、</w:t>
      </w:r>
      <w:r>
        <w:rPr>
          <w:rFonts w:hint="eastAsia"/>
          <w:color w:val="auto"/>
          <w:highlight w:val="none"/>
        </w:rPr>
        <w:t>业绩表</w:t>
      </w:r>
      <w:bookmarkEnd w:id="319"/>
      <w:bookmarkEnd w:id="320"/>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3"/>
        <w:spacing w:after="0"/>
        <w:rPr>
          <w:rFonts w:ascii="宋体" w:hAnsi="宋体" w:eastAsia="宋体"/>
          <w:color w:val="auto"/>
          <w:sz w:val="21"/>
          <w:szCs w:val="21"/>
          <w:highlight w:val="none"/>
        </w:rPr>
      </w:pPr>
    </w:p>
    <w:p>
      <w:pPr>
        <w:pStyle w:val="33"/>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pStyle w:val="2"/>
        <w:ind w:left="0" w:leftChars="0" w:firstLine="0" w:firstLineChars="0"/>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21" w:name="_Toc20520"/>
      <w:bookmarkStart w:id="322" w:name="_Toc14688"/>
      <w:r>
        <w:rPr>
          <w:rFonts w:hint="eastAsia"/>
          <w:color w:val="auto"/>
          <w:highlight w:val="none"/>
          <w:lang w:val="en-US" w:eastAsia="zh-CN"/>
        </w:rPr>
        <w:t>第三章技术文件</w:t>
      </w:r>
      <w:bookmarkEnd w:id="318"/>
      <w:bookmarkEnd w:id="321"/>
      <w:bookmarkEnd w:id="32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3" w:name="_Toc7092"/>
      <w:bookmarkStart w:id="324" w:name="_Toc13097"/>
      <w:r>
        <w:rPr>
          <w:rFonts w:hint="eastAsia"/>
          <w:color w:val="auto"/>
          <w:highlight w:val="none"/>
          <w:lang w:val="en-US" w:eastAsia="zh-CN"/>
        </w:rPr>
        <w:t>一、</w:t>
      </w:r>
      <w:r>
        <w:rPr>
          <w:rFonts w:hint="eastAsia"/>
          <w:color w:val="auto"/>
          <w:highlight w:val="none"/>
        </w:rPr>
        <w:t>技术规格偏离表</w:t>
      </w:r>
      <w:bookmarkEnd w:id="323"/>
      <w:bookmarkEnd w:id="324"/>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5" w:name="_Toc17691"/>
      <w:r>
        <w:rPr>
          <w:rFonts w:hint="eastAsia" w:ascii="宋体" w:hAnsi="宋体" w:eastAsia="宋体"/>
          <w:color w:val="auto"/>
          <w:sz w:val="21"/>
          <w:szCs w:val="21"/>
          <w:highlight w:val="none"/>
        </w:rPr>
        <w:br w:type="page"/>
      </w:r>
      <w:bookmarkEnd w:id="325"/>
      <w:bookmarkStart w:id="326" w:name="_Toc26078"/>
      <w:bookmarkStart w:id="327" w:name="_Toc1274"/>
      <w:bookmarkStart w:id="328" w:name="_Toc6080"/>
      <w:bookmarkStart w:id="329" w:name="_Toc18668"/>
      <w:bookmarkStart w:id="330" w:name="_Toc4464"/>
      <w:bookmarkStart w:id="331" w:name="_Toc4827"/>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2" w:name="_Toc13461"/>
      <w:bookmarkStart w:id="333" w:name="_Toc10734"/>
      <w:r>
        <w:rPr>
          <w:rFonts w:hint="eastAsia"/>
          <w:color w:val="auto"/>
          <w:highlight w:val="none"/>
          <w:lang w:val="en-US" w:eastAsia="zh-CN"/>
        </w:rPr>
        <w:t>二、</w:t>
      </w:r>
      <w:r>
        <w:rPr>
          <w:rFonts w:hint="eastAsia"/>
          <w:color w:val="auto"/>
          <w:highlight w:val="none"/>
        </w:rPr>
        <w:t>重要技术参数（▲）响应表</w:t>
      </w:r>
      <w:bookmarkEnd w:id="326"/>
      <w:bookmarkEnd w:id="327"/>
      <w:bookmarkEnd w:id="328"/>
      <w:bookmarkEnd w:id="329"/>
      <w:bookmarkEnd w:id="330"/>
      <w:bookmarkEnd w:id="331"/>
      <w:bookmarkEnd w:id="332"/>
      <w:bookmarkEnd w:id="333"/>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34" w:name="_Toc29560"/>
            <w:bookmarkStart w:id="335" w:name="_Toc27079"/>
            <w:bookmarkStart w:id="336" w:name="_Toc29642"/>
            <w:r>
              <w:rPr>
                <w:rFonts w:hint="eastAsia" w:ascii="宋体" w:hAnsi="宋体" w:eastAsia="宋体" w:cs="宋体"/>
                <w:b w:val="0"/>
                <w:bCs w:val="0"/>
                <w:color w:val="auto"/>
                <w:sz w:val="21"/>
                <w:szCs w:val="21"/>
                <w:highlight w:val="none"/>
                <w:lang w:val="en-US" w:eastAsia="zh-CN"/>
              </w:rPr>
              <w:t>序号</w:t>
            </w:r>
            <w:bookmarkEnd w:id="334"/>
            <w:bookmarkEnd w:id="335"/>
            <w:bookmarkEnd w:id="336"/>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37" w:name="_Toc22448"/>
            <w:bookmarkStart w:id="338" w:name="_Toc2700"/>
            <w:bookmarkStart w:id="339" w:name="_Toc10045"/>
            <w:bookmarkStart w:id="340" w:name="_Toc21739"/>
            <w:bookmarkStart w:id="341" w:name="_Toc1016"/>
            <w:bookmarkStart w:id="342" w:name="_Toc15368"/>
            <w:bookmarkStart w:id="343" w:name="_Toc26124"/>
            <w:bookmarkStart w:id="344" w:name="_Toc16872"/>
            <w:bookmarkStart w:id="345" w:name="_Toc12049"/>
            <w:bookmarkStart w:id="346" w:name="_Toc14815"/>
            <w:bookmarkStart w:id="347" w:name="_Toc15903"/>
            <w:bookmarkStart w:id="348" w:name="_Toc4304"/>
            <w:bookmarkStart w:id="349" w:name="_Toc27090"/>
            <w:bookmarkStart w:id="350" w:name="_Toc19251"/>
            <w:bookmarkStart w:id="351" w:name="_Toc27442"/>
            <w:bookmarkStart w:id="352" w:name="_Toc24662"/>
            <w:bookmarkStart w:id="353" w:name="_Toc8490"/>
            <w:bookmarkStart w:id="354" w:name="_Toc32531"/>
            <w:bookmarkStart w:id="355" w:name="_Toc22879"/>
            <w:bookmarkStart w:id="356" w:name="_Toc22917"/>
            <w:bookmarkStart w:id="357" w:name="_Toc7333"/>
            <w:bookmarkStart w:id="358" w:name="_Toc21809"/>
            <w:bookmarkStart w:id="359" w:name="_Toc8312"/>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37"/>
            <w:bookmarkEnd w:id="338"/>
            <w:bookmarkEnd w:id="339"/>
            <w:bookmarkEnd w:id="340"/>
            <w:bookmarkEnd w:id="341"/>
            <w:bookmarkEnd w:id="342"/>
            <w:bookmarkEnd w:id="343"/>
            <w:bookmarkEnd w:id="344"/>
            <w:bookmarkEnd w:id="345"/>
            <w:bookmarkEnd w:id="346"/>
            <w:bookmarkEnd w:id="347"/>
            <w:bookmarkEnd w:id="348"/>
            <w:bookmarkEnd w:id="349"/>
          </w:p>
          <w:bookmarkEnd w:id="350"/>
          <w:bookmarkEnd w:id="351"/>
          <w:bookmarkEnd w:id="352"/>
          <w:bookmarkEnd w:id="353"/>
          <w:bookmarkEnd w:id="354"/>
          <w:bookmarkEnd w:id="355"/>
          <w:bookmarkEnd w:id="356"/>
          <w:bookmarkEnd w:id="357"/>
          <w:bookmarkEnd w:id="358"/>
          <w:bookmarkEnd w:id="359"/>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0" w:name="_Toc22153"/>
            <w:bookmarkStart w:id="361" w:name="_Toc10122"/>
            <w:bookmarkStart w:id="362" w:name="_Toc2408"/>
            <w:r>
              <w:rPr>
                <w:rFonts w:hint="eastAsia" w:ascii="宋体" w:hAnsi="宋体" w:eastAsia="宋体" w:cs="宋体"/>
                <w:b w:val="0"/>
                <w:bCs w:val="0"/>
                <w:color w:val="auto"/>
                <w:kern w:val="0"/>
                <w:sz w:val="21"/>
                <w:szCs w:val="21"/>
                <w:highlight w:val="none"/>
              </w:rPr>
              <w:t>投标文件响应内容</w:t>
            </w:r>
            <w:bookmarkEnd w:id="360"/>
            <w:bookmarkEnd w:id="361"/>
            <w:bookmarkEnd w:id="362"/>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63" w:name="_Toc29838"/>
            <w:bookmarkStart w:id="364" w:name="_Toc16003"/>
            <w:bookmarkStart w:id="365" w:name="_Toc27285"/>
            <w:bookmarkStart w:id="366" w:name="_Toc5563"/>
            <w:bookmarkStart w:id="367" w:name="_Toc1330"/>
            <w:bookmarkStart w:id="368" w:name="_Toc17296"/>
            <w:bookmarkStart w:id="369" w:name="_Toc1912"/>
            <w:bookmarkStart w:id="370" w:name="_Toc5992"/>
            <w:bookmarkStart w:id="371" w:name="_Toc3701"/>
            <w:bookmarkStart w:id="372" w:name="_Toc17642"/>
            <w:bookmarkStart w:id="373" w:name="_Toc27185"/>
            <w:bookmarkStart w:id="374" w:name="_Toc20820"/>
            <w:bookmarkStart w:id="375" w:name="_Toc20139"/>
            <w:r>
              <w:rPr>
                <w:rFonts w:hint="eastAsia" w:ascii="宋体" w:hAnsi="宋体" w:eastAsia="宋体" w:cs="宋体"/>
                <w:b w:val="0"/>
                <w:bCs w:val="0"/>
                <w:color w:val="auto"/>
                <w:sz w:val="21"/>
                <w:szCs w:val="21"/>
                <w:highlight w:val="none"/>
                <w:lang w:val="en-US" w:eastAsia="zh-CN"/>
              </w:rPr>
              <w:t>说明</w:t>
            </w:r>
            <w:bookmarkEnd w:id="363"/>
            <w:bookmarkEnd w:id="364"/>
            <w:bookmarkEnd w:id="365"/>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76" w:name="_Toc857"/>
            <w:bookmarkStart w:id="377" w:name="_Toc19105"/>
            <w:bookmarkStart w:id="378" w:name="_Toc3520"/>
            <w:r>
              <w:rPr>
                <w:rFonts w:hint="eastAsia" w:ascii="宋体" w:hAnsi="宋体" w:eastAsia="宋体" w:cs="宋体"/>
                <w:b w:val="0"/>
                <w:bCs w:val="0"/>
                <w:color w:val="auto"/>
                <w:sz w:val="21"/>
                <w:szCs w:val="21"/>
                <w:highlight w:val="none"/>
              </w:rPr>
              <w:t>页码范围</w:t>
            </w:r>
            <w:bookmarkEnd w:id="366"/>
            <w:bookmarkEnd w:id="367"/>
            <w:bookmarkEnd w:id="368"/>
            <w:bookmarkEnd w:id="369"/>
            <w:bookmarkEnd w:id="370"/>
            <w:bookmarkEnd w:id="371"/>
            <w:bookmarkEnd w:id="372"/>
            <w:bookmarkEnd w:id="373"/>
            <w:bookmarkEnd w:id="374"/>
            <w:bookmarkEnd w:id="375"/>
            <w:bookmarkEnd w:id="376"/>
            <w:bookmarkEnd w:id="377"/>
            <w:bookmarkEnd w:id="37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3"/>
        <w:spacing w:after="0" w:line="360" w:lineRule="auto"/>
        <w:rPr>
          <w:rFonts w:ascii="宋体" w:hAnsi="宋体" w:eastAsia="宋体"/>
          <w:color w:val="auto"/>
          <w:sz w:val="21"/>
          <w:szCs w:val="21"/>
          <w:highlight w:val="none"/>
        </w:rPr>
      </w:pP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3"/>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3"/>
        <w:spacing w:after="0" w:line="360" w:lineRule="auto"/>
        <w:rPr>
          <w:rFonts w:ascii="宋体" w:hAnsi="宋体" w:eastAsia="宋体"/>
          <w:color w:val="auto"/>
          <w:sz w:val="21"/>
          <w:szCs w:val="21"/>
          <w:highlight w:val="none"/>
        </w:rPr>
      </w:pPr>
    </w:p>
    <w:p>
      <w:pPr>
        <w:pStyle w:val="33"/>
        <w:numPr>
          <w:ilvl w:val="0"/>
          <w:numId w:val="17"/>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9" w:name="_Toc27139"/>
      <w:bookmarkStart w:id="380" w:name="_Toc19349"/>
      <w:r>
        <w:rPr>
          <w:rFonts w:hint="eastAsia"/>
          <w:color w:val="auto"/>
          <w:highlight w:val="none"/>
          <w:lang w:val="en-US" w:eastAsia="zh-CN"/>
        </w:rPr>
        <w:t>三、</w:t>
      </w:r>
      <w:r>
        <w:rPr>
          <w:rFonts w:hint="eastAsia"/>
          <w:color w:val="auto"/>
          <w:highlight w:val="none"/>
        </w:rPr>
        <w:t>实质性条款（标记★）投标响应表</w:t>
      </w:r>
      <w:bookmarkEnd w:id="379"/>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1"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80"/>
      <w:bookmarkEnd w:id="381"/>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2" w:name="_Toc16328"/>
      <w:bookmarkStart w:id="383" w:name="_Toc26880"/>
      <w:r>
        <w:rPr>
          <w:rFonts w:hint="eastAsia"/>
          <w:color w:val="auto"/>
          <w:highlight w:val="none"/>
          <w:lang w:val="en-US" w:eastAsia="zh-CN"/>
        </w:rPr>
        <w:t>五、项目负责人及团队成员资料表</w:t>
      </w:r>
      <w:bookmarkEnd w:id="382"/>
      <w:bookmarkEnd w:id="383"/>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2"/>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84" w:name="_Toc15431"/>
      <w:bookmarkStart w:id="385" w:name="_Toc26980"/>
      <w:r>
        <w:rPr>
          <w:rFonts w:hint="eastAsia"/>
          <w:color w:val="auto"/>
          <w:highlight w:val="none"/>
          <w:lang w:val="en-US" w:eastAsia="zh-CN"/>
        </w:rPr>
        <w:t>六、投标货物明细一览表</w:t>
      </w:r>
      <w:bookmarkEnd w:id="384"/>
      <w:bookmarkEnd w:id="385"/>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6" w:name="_Toc21541"/>
      <w:bookmarkStart w:id="387" w:name="_Toc16710"/>
      <w:r>
        <w:rPr>
          <w:rFonts w:hint="eastAsia"/>
          <w:color w:val="auto"/>
          <w:highlight w:val="none"/>
          <w:lang w:val="en-US" w:eastAsia="zh-CN"/>
        </w:rPr>
        <w:t>七、投标保证金汇入情况说明</w:t>
      </w:r>
      <w:bookmarkEnd w:id="386"/>
      <w:bookmarkEnd w:id="387"/>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）的招标文件要求，于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附：我方投标保证金汇款凭证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复印件，并在骑缝上加盖投标人公章，或是直接把转账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此表既要装订在投标文件中，又要按投标人须知的规定与</w:t>
      </w:r>
      <w:r>
        <w:rPr>
          <w:rFonts w:hint="eastAsia" w:ascii="宋体" w:hAnsi="宋体" w:eastAsia="宋体"/>
          <w:b/>
          <w:bCs/>
          <w:color w:val="auto"/>
          <w:sz w:val="21"/>
          <w:szCs w:val="21"/>
          <w:highlight w:val="none"/>
          <w:lang w:eastAsia="zh-CN"/>
        </w:rPr>
        <w:t>唱标一览表</w:t>
      </w:r>
      <w:r>
        <w:rPr>
          <w:rFonts w:hint="eastAsia" w:ascii="宋体" w:hAnsi="宋体" w:eastAsia="宋体"/>
          <w:b/>
          <w:bCs/>
          <w:color w:val="auto"/>
          <w:sz w:val="21"/>
          <w:szCs w:val="21"/>
          <w:highlight w:val="none"/>
        </w:rPr>
        <w:t>、投标保证金汇款底单复印件及授权委托书一同密封装入</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8" w:name="_Toc26855"/>
      <w:bookmarkStart w:id="389" w:name="_Toc24545"/>
      <w:r>
        <w:rPr>
          <w:rFonts w:hint="eastAsia"/>
          <w:color w:val="auto"/>
          <w:highlight w:val="none"/>
          <w:lang w:val="en-US" w:eastAsia="zh-CN"/>
        </w:rPr>
        <w:t>八、政府采购投标担保函</w:t>
      </w:r>
      <w:bookmarkEnd w:id="388"/>
      <w:bookmarkEnd w:id="38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鉴于（以下简称“投标人”）拟参加编号为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（一）在投标人出现下列情形之一时，我方承担保证责任：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1．中标后投标人无正当理由不与采购人或者采购代理机构签订《政府采购合同》；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2．招标文件规定的投标人应当缴纳保证金的其他情形。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（2）若投标人以投标担保函形式提交投标保证金，则应将投标担保函原件交予采购代理机构。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0" w:name="_Toc6961"/>
      <w:r>
        <w:rPr>
          <w:rFonts w:hint="eastAsia"/>
          <w:color w:val="auto"/>
          <w:highlight w:val="none"/>
          <w:lang w:val="en-US" w:eastAsia="zh-CN"/>
        </w:rPr>
        <w:t>九、政府采购履约担保函</w:t>
      </w:r>
      <w:bookmarkEnd w:id="390"/>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2"/>
        <w:rPr>
          <w:color w:val="auto"/>
          <w:highlight w:val="none"/>
        </w:rPr>
      </w:pPr>
    </w:p>
    <w:p>
      <w:pPr>
        <w:bidi w:val="0"/>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1" w:name="_Toc26772"/>
      <w:bookmarkStart w:id="392" w:name="_Toc26782"/>
      <w:r>
        <w:rPr>
          <w:rFonts w:hint="eastAsia"/>
          <w:color w:val="auto"/>
          <w:highlight w:val="none"/>
          <w:lang w:val="en-US" w:eastAsia="zh-CN"/>
        </w:rPr>
        <w:t>第四章唱标信封（单独封装）</w:t>
      </w:r>
      <w:bookmarkEnd w:id="391"/>
      <w:bookmarkEnd w:id="392"/>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）投标保证金汇入情况说明</w:t>
      </w:r>
      <w:r>
        <w:rPr>
          <w:rFonts w:hint="eastAsia"/>
          <w:color w:val="auto"/>
          <w:highlight w:val="none"/>
          <w:lang w:val="en-US" w:eastAsia="zh-CN"/>
        </w:rPr>
        <w:t>及</w:t>
      </w:r>
      <w:r>
        <w:rPr>
          <w:rFonts w:hint="eastAsia"/>
          <w:color w:val="auto"/>
          <w:highlight w:val="none"/>
        </w:rPr>
        <w:t>投标保证金汇款底单（复印件加盖公章）</w:t>
      </w:r>
      <w:r>
        <w:rPr>
          <w:rFonts w:hint="eastAsia"/>
          <w:color w:val="auto"/>
          <w:highlight w:val="none"/>
          <w:lang w:eastAsia="zh-CN"/>
        </w:rPr>
        <w:t>，</w:t>
      </w:r>
      <w:r>
        <w:rPr>
          <w:rFonts w:hint="eastAsia"/>
          <w:color w:val="auto"/>
          <w:highlight w:val="none"/>
          <w:lang w:val="en-US" w:eastAsia="zh-CN"/>
        </w:rPr>
        <w:t>或《政府采购投标担保函》复印件。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93"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4" w:name="_Toc2710"/>
      <w:bookmarkStart w:id="395" w:name="_Toc22736"/>
      <w:r>
        <w:rPr>
          <w:rFonts w:hint="eastAsia"/>
          <w:color w:val="auto"/>
          <w:highlight w:val="none"/>
          <w:lang w:val="en-US" w:eastAsia="zh-CN"/>
        </w:rPr>
        <w:t>第五章联合体共同投标协议书（如有需要）</w:t>
      </w:r>
      <w:bookmarkEnd w:id="394"/>
      <w:bookmarkEnd w:id="395"/>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93"/>
    <w:p>
      <w:pPr>
        <w:pStyle w:val="2"/>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spacing w:after="0" w:line="360" w:lineRule="auto"/>
        <w:rPr>
          <w:color w:val="auto"/>
          <w:highlight w:val="none"/>
        </w:rPr>
      </w:pPr>
    </w:p>
    <w:p>
      <w:pPr>
        <w:pStyle w:val="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3"/>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8"/>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8"/>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8"/>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2"/>
        <w:ind w:left="0" w:leftChars="0" w:firstLine="0" w:firstLineChars="0"/>
        <w:rPr>
          <w:color w:val="auto"/>
          <w:highlight w:val="none"/>
        </w:rPr>
      </w:pPr>
    </w:p>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snapToGrid w:val="0"/>
        <w:rPr>
          <w:rFonts w:hint="eastAsia" w:eastAsia="微软雅黑"/>
          <w:lang w:eastAsia="zh-CN"/>
        </w:rPr>
      </w:pPr>
      <w:r>
        <w:rPr>
          <w:rStyle w:val="29"/>
        </w:rPr>
        <w:footnoteRef/>
      </w:r>
      <w:r>
        <w:t xml:space="preserve"> </w:t>
      </w:r>
      <w:r>
        <w:rPr>
          <w:rFonts w:hint="eastAsia"/>
          <w:lang w:eastAsia="zh-CN"/>
        </w:rPr>
        <w:t>从业人员、营业人员、资产总额填报上一年度数据，无上一年度数据的新成立企业可不填报。</w:t>
      </w:r>
    </w:p>
  </w:footnote>
  <w:footnote w:id="1">
    <w:p>
      <w:pPr>
        <w:pStyle w:val="19"/>
        <w:snapToGrid w:val="0"/>
      </w:pPr>
      <w:r>
        <w:rPr>
          <w:rStyle w:val="29"/>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eastAsiaTheme="minorEastAsia"/>
        <w:lang w:eastAsia="zh-CN"/>
      </w:rPr>
      <w:drawing>
        <wp:anchor distT="0" distB="0" distL="114300" distR="114300" simplePos="0" relativeHeight="251669504" behindDoc="0" locked="0" layoutInCell="1" allowOverlap="1">
          <wp:simplePos x="0" y="0"/>
          <wp:positionH relativeFrom="column">
            <wp:posOffset>8255</wp:posOffset>
          </wp:positionH>
          <wp:positionV relativeFrom="paragraph">
            <wp:posOffset>127000</wp:posOffset>
          </wp:positionV>
          <wp:extent cx="5264150" cy="444500"/>
          <wp:effectExtent l="0" t="0" r="12700"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A74E5384"/>
    <w:multiLevelType w:val="singleLevel"/>
    <w:tmpl w:val="A74E5384"/>
    <w:lvl w:ilvl="0" w:tentative="0">
      <w:start w:val="1"/>
      <w:numFmt w:val="decimal"/>
      <w:suff w:val="nothing"/>
      <w:lvlText w:val="%1、"/>
      <w:lvlJc w:val="left"/>
      <w:pPr>
        <w:tabs>
          <w:tab w:val="left" w:pos="0"/>
        </w:tabs>
        <w:ind w:left="0" w:firstLine="283"/>
      </w:pPr>
      <w:rPr>
        <w:rFonts w:hint="default"/>
      </w:rPr>
    </w:lvl>
  </w:abstractNum>
  <w:abstractNum w:abstractNumId="2">
    <w:nsid w:val="AF3A587D"/>
    <w:multiLevelType w:val="singleLevel"/>
    <w:tmpl w:val="AF3A587D"/>
    <w:lvl w:ilvl="0" w:tentative="0">
      <w:start w:val="1"/>
      <w:numFmt w:val="decimal"/>
      <w:suff w:val="nothing"/>
      <w:lvlText w:val="%1、"/>
      <w:lvlJc w:val="left"/>
      <w:pPr>
        <w:tabs>
          <w:tab w:val="left" w:pos="0"/>
        </w:tabs>
        <w:ind w:left="0" w:firstLine="283"/>
      </w:pPr>
      <w:rPr>
        <w:rFonts w:hint="default"/>
      </w:rPr>
    </w:lvl>
  </w:abstractNum>
  <w:abstractNum w:abstractNumId="3">
    <w:nsid w:val="BAA12ADA"/>
    <w:multiLevelType w:val="singleLevel"/>
    <w:tmpl w:val="BAA12ADA"/>
    <w:lvl w:ilvl="0" w:tentative="0">
      <w:start w:val="1"/>
      <w:numFmt w:val="decimal"/>
      <w:suff w:val="nothing"/>
      <w:lvlText w:val="（%1）"/>
      <w:lvlJc w:val="left"/>
    </w:lvl>
  </w:abstractNum>
  <w:abstractNum w:abstractNumId="4">
    <w:nsid w:val="C3573D65"/>
    <w:multiLevelType w:val="singleLevel"/>
    <w:tmpl w:val="C3573D65"/>
    <w:lvl w:ilvl="0" w:tentative="0">
      <w:start w:val="1"/>
      <w:numFmt w:val="decimal"/>
      <w:suff w:val="nothing"/>
      <w:lvlText w:val="%1、"/>
      <w:lvlJc w:val="left"/>
      <w:pPr>
        <w:tabs>
          <w:tab w:val="left" w:pos="0"/>
        </w:tabs>
        <w:ind w:left="0" w:firstLine="283"/>
      </w:pPr>
      <w:rPr>
        <w:rFonts w:hint="default"/>
      </w:rPr>
    </w:lvl>
  </w:abstractNum>
  <w:abstractNum w:abstractNumId="5">
    <w:nsid w:val="CFF174A5"/>
    <w:multiLevelType w:val="singleLevel"/>
    <w:tmpl w:val="CFF174A5"/>
    <w:lvl w:ilvl="0" w:tentative="0">
      <w:start w:val="1"/>
      <w:numFmt w:val="decimal"/>
      <w:suff w:val="nothing"/>
      <w:lvlText w:val="%1、"/>
      <w:lvlJc w:val="left"/>
    </w:lvl>
  </w:abstractNum>
  <w:abstractNum w:abstractNumId="6">
    <w:nsid w:val="E09EF6E1"/>
    <w:multiLevelType w:val="singleLevel"/>
    <w:tmpl w:val="E09EF6E1"/>
    <w:lvl w:ilvl="0" w:tentative="0">
      <w:start w:val="1"/>
      <w:numFmt w:val="decimal"/>
      <w:suff w:val="nothing"/>
      <w:lvlText w:val="（%1）"/>
      <w:lvlJc w:val="left"/>
    </w:lvl>
  </w:abstractNum>
  <w:abstractNum w:abstractNumId="7">
    <w:nsid w:val="F73DC5D7"/>
    <w:multiLevelType w:val="singleLevel"/>
    <w:tmpl w:val="F73DC5D7"/>
    <w:lvl w:ilvl="0" w:tentative="0">
      <w:start w:val="1"/>
      <w:numFmt w:val="decimal"/>
      <w:suff w:val="nothing"/>
      <w:lvlText w:val="（%1）"/>
      <w:lvlJc w:val="left"/>
    </w:lvl>
  </w:abstractNum>
  <w:abstractNum w:abstractNumId="8">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206CABF7"/>
    <w:multiLevelType w:val="singleLevel"/>
    <w:tmpl w:val="206CABF7"/>
    <w:lvl w:ilvl="0" w:tentative="0">
      <w:start w:val="1"/>
      <w:numFmt w:val="decimal"/>
      <w:suff w:val="nothing"/>
      <w:lvlText w:val="（%1）"/>
      <w:lvlJc w:val="left"/>
    </w:lvl>
  </w:abstractNum>
  <w:abstractNum w:abstractNumId="11">
    <w:nsid w:val="22532AD9"/>
    <w:multiLevelType w:val="singleLevel"/>
    <w:tmpl w:val="22532AD9"/>
    <w:lvl w:ilvl="0" w:tentative="0">
      <w:start w:val="1"/>
      <w:numFmt w:val="decimal"/>
      <w:lvlText w:val="%1)"/>
      <w:lvlJc w:val="left"/>
      <w:pPr>
        <w:tabs>
          <w:tab w:val="left" w:pos="312"/>
        </w:tabs>
      </w:pPr>
    </w:lvl>
  </w:abstractNum>
  <w:abstractNum w:abstractNumId="12">
    <w:nsid w:val="316010E5"/>
    <w:multiLevelType w:val="singleLevel"/>
    <w:tmpl w:val="316010E5"/>
    <w:lvl w:ilvl="0" w:tentative="0">
      <w:start w:val="1"/>
      <w:numFmt w:val="decimal"/>
      <w:suff w:val="nothing"/>
      <w:lvlText w:val="%1．"/>
      <w:lvlJc w:val="left"/>
    </w:lvl>
  </w:abstractNum>
  <w:abstractNum w:abstractNumId="13">
    <w:nsid w:val="3B1B8417"/>
    <w:multiLevelType w:val="singleLevel"/>
    <w:tmpl w:val="3B1B8417"/>
    <w:lvl w:ilvl="0" w:tentative="0">
      <w:start w:val="1"/>
      <w:numFmt w:val="decimal"/>
      <w:suff w:val="nothing"/>
      <w:lvlText w:val="%1、"/>
      <w:lvlJc w:val="left"/>
    </w:lvl>
  </w:abstractNum>
  <w:abstractNum w:abstractNumId="14">
    <w:nsid w:val="3F88662E"/>
    <w:multiLevelType w:val="singleLevel"/>
    <w:tmpl w:val="3F88662E"/>
    <w:lvl w:ilvl="0" w:tentative="0">
      <w:start w:val="1"/>
      <w:numFmt w:val="decimal"/>
      <w:suff w:val="space"/>
      <w:lvlText w:val="%1)"/>
      <w:lvlJc w:val="left"/>
    </w:lvl>
  </w:abstractNum>
  <w:abstractNum w:abstractNumId="15">
    <w:nsid w:val="636C59FA"/>
    <w:multiLevelType w:val="singleLevel"/>
    <w:tmpl w:val="636C59FA"/>
    <w:lvl w:ilvl="0" w:tentative="0">
      <w:start w:val="1"/>
      <w:numFmt w:val="decimal"/>
      <w:lvlText w:val="%1)"/>
      <w:lvlJc w:val="left"/>
      <w:pPr>
        <w:tabs>
          <w:tab w:val="left" w:pos="312"/>
        </w:tabs>
      </w:pPr>
    </w:lvl>
  </w:abstractNum>
  <w:abstractNum w:abstractNumId="16">
    <w:nsid w:val="69A4AC4D"/>
    <w:multiLevelType w:val="singleLevel"/>
    <w:tmpl w:val="69A4AC4D"/>
    <w:lvl w:ilvl="0" w:tentative="0">
      <w:start w:val="1"/>
      <w:numFmt w:val="decimal"/>
      <w:suff w:val="nothing"/>
      <w:lvlText w:val="%1、"/>
      <w:lvlJc w:val="left"/>
      <w:pPr>
        <w:tabs>
          <w:tab w:val="left" w:pos="0"/>
        </w:tabs>
        <w:ind w:left="0" w:firstLine="283"/>
      </w:pPr>
      <w:rPr>
        <w:rFonts w:hint="default"/>
      </w:rPr>
    </w:lvl>
  </w:abstractNum>
  <w:abstractNum w:abstractNumId="17">
    <w:nsid w:val="6E5CE7BD"/>
    <w:multiLevelType w:val="singleLevel"/>
    <w:tmpl w:val="6E5CE7BD"/>
    <w:lvl w:ilvl="0" w:tentative="0">
      <w:start w:val="1"/>
      <w:numFmt w:val="chineseCounting"/>
      <w:suff w:val="nothing"/>
      <w:lvlText w:val="%1、"/>
      <w:lvlJc w:val="left"/>
      <w:rPr>
        <w:rFonts w:hint="eastAsia"/>
      </w:rPr>
    </w:lvl>
  </w:abstractNum>
  <w:num w:numId="1">
    <w:abstractNumId w:val="17"/>
  </w:num>
  <w:num w:numId="2">
    <w:abstractNumId w:val="13"/>
  </w:num>
  <w:num w:numId="3">
    <w:abstractNumId w:val="11"/>
  </w:num>
  <w:num w:numId="4">
    <w:abstractNumId w:val="15"/>
  </w:num>
  <w:num w:numId="5">
    <w:abstractNumId w:val="9"/>
  </w:num>
  <w:num w:numId="6">
    <w:abstractNumId w:val="14"/>
  </w:num>
  <w:num w:numId="7">
    <w:abstractNumId w:val="10"/>
  </w:num>
  <w:num w:numId="8">
    <w:abstractNumId w:val="6"/>
  </w:num>
  <w:num w:numId="9">
    <w:abstractNumId w:val="7"/>
  </w:num>
  <w:num w:numId="10">
    <w:abstractNumId w:val="3"/>
  </w:num>
  <w:num w:numId="11">
    <w:abstractNumId w:val="16"/>
  </w:num>
  <w:num w:numId="12">
    <w:abstractNumId w:val="2"/>
  </w:num>
  <w:num w:numId="13">
    <w:abstractNumId w:val="1"/>
  </w:num>
  <w:num w:numId="14">
    <w:abstractNumId w:val="4"/>
  </w:num>
  <w:num w:numId="15">
    <w:abstractNumId w:val="5"/>
  </w:num>
  <w:num w:numId="16">
    <w:abstractNumId w:val="8"/>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0CAF"/>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44F67"/>
    <w:rsid w:val="00F52A5F"/>
    <w:rsid w:val="00F55954"/>
    <w:rsid w:val="00F61962"/>
    <w:rsid w:val="00F62865"/>
    <w:rsid w:val="00F64022"/>
    <w:rsid w:val="00F64660"/>
    <w:rsid w:val="00F97062"/>
    <w:rsid w:val="00F9745D"/>
    <w:rsid w:val="00FC7B53"/>
    <w:rsid w:val="00FD48CC"/>
    <w:rsid w:val="00FE62D1"/>
    <w:rsid w:val="00FF26BF"/>
    <w:rsid w:val="01064C9A"/>
    <w:rsid w:val="018023CE"/>
    <w:rsid w:val="01881AD6"/>
    <w:rsid w:val="01B40242"/>
    <w:rsid w:val="01B938AA"/>
    <w:rsid w:val="01E74B6E"/>
    <w:rsid w:val="02126CDB"/>
    <w:rsid w:val="021832B7"/>
    <w:rsid w:val="024E2E49"/>
    <w:rsid w:val="02A741FD"/>
    <w:rsid w:val="02C16E5D"/>
    <w:rsid w:val="02D934F3"/>
    <w:rsid w:val="02D964CF"/>
    <w:rsid w:val="0340787C"/>
    <w:rsid w:val="035778EB"/>
    <w:rsid w:val="03707410"/>
    <w:rsid w:val="037F03E3"/>
    <w:rsid w:val="03A0770F"/>
    <w:rsid w:val="03A27BF9"/>
    <w:rsid w:val="03A448B8"/>
    <w:rsid w:val="03A4578A"/>
    <w:rsid w:val="03AD071E"/>
    <w:rsid w:val="03D10969"/>
    <w:rsid w:val="04664BBF"/>
    <w:rsid w:val="04DF1036"/>
    <w:rsid w:val="050F6021"/>
    <w:rsid w:val="05387861"/>
    <w:rsid w:val="05A97DEC"/>
    <w:rsid w:val="05C81981"/>
    <w:rsid w:val="061A28B5"/>
    <w:rsid w:val="06441289"/>
    <w:rsid w:val="065A32ED"/>
    <w:rsid w:val="068B73FF"/>
    <w:rsid w:val="06BC41F2"/>
    <w:rsid w:val="06DF3DBD"/>
    <w:rsid w:val="07197D08"/>
    <w:rsid w:val="071C2CFD"/>
    <w:rsid w:val="071E5C55"/>
    <w:rsid w:val="073A47CB"/>
    <w:rsid w:val="073F7319"/>
    <w:rsid w:val="07536A42"/>
    <w:rsid w:val="07595F41"/>
    <w:rsid w:val="07615EC0"/>
    <w:rsid w:val="077005AB"/>
    <w:rsid w:val="07893465"/>
    <w:rsid w:val="078F4581"/>
    <w:rsid w:val="07995C5E"/>
    <w:rsid w:val="07B8674D"/>
    <w:rsid w:val="07BE179A"/>
    <w:rsid w:val="07BF027F"/>
    <w:rsid w:val="08031A31"/>
    <w:rsid w:val="081A5CC7"/>
    <w:rsid w:val="08A276E5"/>
    <w:rsid w:val="09061A75"/>
    <w:rsid w:val="09182241"/>
    <w:rsid w:val="09242E62"/>
    <w:rsid w:val="093C069F"/>
    <w:rsid w:val="09417888"/>
    <w:rsid w:val="09855177"/>
    <w:rsid w:val="09870F93"/>
    <w:rsid w:val="09D658E4"/>
    <w:rsid w:val="09F1637C"/>
    <w:rsid w:val="0A25628F"/>
    <w:rsid w:val="0AA268AD"/>
    <w:rsid w:val="0AA534D5"/>
    <w:rsid w:val="0AA650EB"/>
    <w:rsid w:val="0AB8066A"/>
    <w:rsid w:val="0AD33D99"/>
    <w:rsid w:val="0AF47339"/>
    <w:rsid w:val="0B22594B"/>
    <w:rsid w:val="0B797387"/>
    <w:rsid w:val="0B8B2381"/>
    <w:rsid w:val="0BC044BE"/>
    <w:rsid w:val="0BDF26F7"/>
    <w:rsid w:val="0C1A404B"/>
    <w:rsid w:val="0C264099"/>
    <w:rsid w:val="0C2B4952"/>
    <w:rsid w:val="0C7B2220"/>
    <w:rsid w:val="0CB46003"/>
    <w:rsid w:val="0CDE0221"/>
    <w:rsid w:val="0D890E47"/>
    <w:rsid w:val="0DC64A00"/>
    <w:rsid w:val="0DD3314B"/>
    <w:rsid w:val="0DF02C64"/>
    <w:rsid w:val="0DFC60BA"/>
    <w:rsid w:val="0E4249F1"/>
    <w:rsid w:val="0F6C5A53"/>
    <w:rsid w:val="0F7C5FF6"/>
    <w:rsid w:val="0FC63FBD"/>
    <w:rsid w:val="0FF43D48"/>
    <w:rsid w:val="106C564D"/>
    <w:rsid w:val="107B7B8F"/>
    <w:rsid w:val="107C67CE"/>
    <w:rsid w:val="1080523F"/>
    <w:rsid w:val="108F06C9"/>
    <w:rsid w:val="109D68CB"/>
    <w:rsid w:val="10A949B8"/>
    <w:rsid w:val="10C54639"/>
    <w:rsid w:val="11200D07"/>
    <w:rsid w:val="116B78B4"/>
    <w:rsid w:val="11DA73AF"/>
    <w:rsid w:val="1285542E"/>
    <w:rsid w:val="12C60D80"/>
    <w:rsid w:val="131867D4"/>
    <w:rsid w:val="131F7A3A"/>
    <w:rsid w:val="132645D0"/>
    <w:rsid w:val="13455ABC"/>
    <w:rsid w:val="1370322B"/>
    <w:rsid w:val="13B27845"/>
    <w:rsid w:val="13BE469F"/>
    <w:rsid w:val="13F87121"/>
    <w:rsid w:val="141A03E1"/>
    <w:rsid w:val="143B2E0B"/>
    <w:rsid w:val="14672B11"/>
    <w:rsid w:val="14892735"/>
    <w:rsid w:val="14CC769D"/>
    <w:rsid w:val="14FE5F5C"/>
    <w:rsid w:val="157D38E3"/>
    <w:rsid w:val="159E2BB6"/>
    <w:rsid w:val="15D359D7"/>
    <w:rsid w:val="15D81E0F"/>
    <w:rsid w:val="15F804D5"/>
    <w:rsid w:val="161771F3"/>
    <w:rsid w:val="16222D6D"/>
    <w:rsid w:val="163C77BE"/>
    <w:rsid w:val="165B546C"/>
    <w:rsid w:val="16632F86"/>
    <w:rsid w:val="1679588C"/>
    <w:rsid w:val="167E5118"/>
    <w:rsid w:val="16895CFA"/>
    <w:rsid w:val="16994962"/>
    <w:rsid w:val="16A71041"/>
    <w:rsid w:val="16AA24BF"/>
    <w:rsid w:val="16F72341"/>
    <w:rsid w:val="17680CAB"/>
    <w:rsid w:val="1768546B"/>
    <w:rsid w:val="176E4128"/>
    <w:rsid w:val="1783371F"/>
    <w:rsid w:val="17E62B67"/>
    <w:rsid w:val="18040D4F"/>
    <w:rsid w:val="180C0192"/>
    <w:rsid w:val="180F4499"/>
    <w:rsid w:val="18221ECE"/>
    <w:rsid w:val="18C50D34"/>
    <w:rsid w:val="190B7894"/>
    <w:rsid w:val="19457769"/>
    <w:rsid w:val="19A2789F"/>
    <w:rsid w:val="1A460CF5"/>
    <w:rsid w:val="1A7F297D"/>
    <w:rsid w:val="1AB16AC1"/>
    <w:rsid w:val="1B034A52"/>
    <w:rsid w:val="1B1F34AD"/>
    <w:rsid w:val="1B8D5DC6"/>
    <w:rsid w:val="1BFE1D3B"/>
    <w:rsid w:val="1C2775EC"/>
    <w:rsid w:val="1C750ECE"/>
    <w:rsid w:val="1CA22168"/>
    <w:rsid w:val="1D0836D7"/>
    <w:rsid w:val="1D196139"/>
    <w:rsid w:val="1D5645B5"/>
    <w:rsid w:val="1DB85900"/>
    <w:rsid w:val="1DF051AF"/>
    <w:rsid w:val="1E010AF7"/>
    <w:rsid w:val="1E0178EB"/>
    <w:rsid w:val="1E301173"/>
    <w:rsid w:val="1E38333E"/>
    <w:rsid w:val="1E5C7612"/>
    <w:rsid w:val="1EA40BB4"/>
    <w:rsid w:val="1F193D2E"/>
    <w:rsid w:val="1F43381C"/>
    <w:rsid w:val="1F63115D"/>
    <w:rsid w:val="1FA4148D"/>
    <w:rsid w:val="1FF42436"/>
    <w:rsid w:val="20121621"/>
    <w:rsid w:val="201A421D"/>
    <w:rsid w:val="20341172"/>
    <w:rsid w:val="204E554F"/>
    <w:rsid w:val="20590035"/>
    <w:rsid w:val="20C35213"/>
    <w:rsid w:val="20FC799E"/>
    <w:rsid w:val="2176638B"/>
    <w:rsid w:val="21ED35E0"/>
    <w:rsid w:val="22154DDD"/>
    <w:rsid w:val="22213E42"/>
    <w:rsid w:val="22336873"/>
    <w:rsid w:val="23175889"/>
    <w:rsid w:val="236C5F11"/>
    <w:rsid w:val="238C2182"/>
    <w:rsid w:val="239015D1"/>
    <w:rsid w:val="23BB4E7D"/>
    <w:rsid w:val="23C172D6"/>
    <w:rsid w:val="23F04F64"/>
    <w:rsid w:val="23FA1E93"/>
    <w:rsid w:val="247D1603"/>
    <w:rsid w:val="24814CBE"/>
    <w:rsid w:val="24AC168B"/>
    <w:rsid w:val="25077D6D"/>
    <w:rsid w:val="258C3BEC"/>
    <w:rsid w:val="25E576CC"/>
    <w:rsid w:val="260E3862"/>
    <w:rsid w:val="262569FC"/>
    <w:rsid w:val="26344C98"/>
    <w:rsid w:val="26F56CE2"/>
    <w:rsid w:val="27435D49"/>
    <w:rsid w:val="27A34F71"/>
    <w:rsid w:val="27B36A67"/>
    <w:rsid w:val="27EB0D9B"/>
    <w:rsid w:val="286602C8"/>
    <w:rsid w:val="28665C95"/>
    <w:rsid w:val="28A64522"/>
    <w:rsid w:val="28B75145"/>
    <w:rsid w:val="28CC5B40"/>
    <w:rsid w:val="290B3EB9"/>
    <w:rsid w:val="291418C2"/>
    <w:rsid w:val="2950768C"/>
    <w:rsid w:val="29724526"/>
    <w:rsid w:val="29794227"/>
    <w:rsid w:val="297A5FC4"/>
    <w:rsid w:val="29EA025C"/>
    <w:rsid w:val="2A1113BC"/>
    <w:rsid w:val="2A8B6E59"/>
    <w:rsid w:val="2A8D4F8F"/>
    <w:rsid w:val="2A911082"/>
    <w:rsid w:val="2A917B34"/>
    <w:rsid w:val="2AE3766F"/>
    <w:rsid w:val="2B0B76B3"/>
    <w:rsid w:val="2B7E4054"/>
    <w:rsid w:val="2B7F3A29"/>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C7755"/>
    <w:rsid w:val="30FF27D2"/>
    <w:rsid w:val="31170995"/>
    <w:rsid w:val="31264A30"/>
    <w:rsid w:val="31884E67"/>
    <w:rsid w:val="31A0275E"/>
    <w:rsid w:val="31B7357A"/>
    <w:rsid w:val="31ED6B08"/>
    <w:rsid w:val="31F915C9"/>
    <w:rsid w:val="32610CE6"/>
    <w:rsid w:val="32631A32"/>
    <w:rsid w:val="3276317E"/>
    <w:rsid w:val="328464CE"/>
    <w:rsid w:val="32AB70C5"/>
    <w:rsid w:val="32DC33E0"/>
    <w:rsid w:val="335D0AF5"/>
    <w:rsid w:val="3370088C"/>
    <w:rsid w:val="33A3154A"/>
    <w:rsid w:val="33A66A6D"/>
    <w:rsid w:val="33DC2F78"/>
    <w:rsid w:val="340F559E"/>
    <w:rsid w:val="3428227C"/>
    <w:rsid w:val="35260F83"/>
    <w:rsid w:val="35602226"/>
    <w:rsid w:val="356B72E7"/>
    <w:rsid w:val="3572424F"/>
    <w:rsid w:val="35FC3844"/>
    <w:rsid w:val="365042B2"/>
    <w:rsid w:val="366061FD"/>
    <w:rsid w:val="36794DEF"/>
    <w:rsid w:val="36AD519D"/>
    <w:rsid w:val="36B57705"/>
    <w:rsid w:val="370C7D80"/>
    <w:rsid w:val="374F1A0B"/>
    <w:rsid w:val="37A103ED"/>
    <w:rsid w:val="37EA5E6E"/>
    <w:rsid w:val="37FA2391"/>
    <w:rsid w:val="37FF016F"/>
    <w:rsid w:val="38427C0B"/>
    <w:rsid w:val="385D6A5C"/>
    <w:rsid w:val="387C5ABE"/>
    <w:rsid w:val="389B3A1E"/>
    <w:rsid w:val="38EB01D0"/>
    <w:rsid w:val="38EB6119"/>
    <w:rsid w:val="395B29DF"/>
    <w:rsid w:val="39B7490E"/>
    <w:rsid w:val="39DE33DA"/>
    <w:rsid w:val="39FA5B4A"/>
    <w:rsid w:val="39FE0BE9"/>
    <w:rsid w:val="3A3C1AAF"/>
    <w:rsid w:val="3A424C25"/>
    <w:rsid w:val="3A4B7CC1"/>
    <w:rsid w:val="3A51228C"/>
    <w:rsid w:val="3A552E60"/>
    <w:rsid w:val="3A5D642F"/>
    <w:rsid w:val="3AB210FC"/>
    <w:rsid w:val="3ACE216B"/>
    <w:rsid w:val="3AD649F6"/>
    <w:rsid w:val="3AD95C13"/>
    <w:rsid w:val="3B261E51"/>
    <w:rsid w:val="3B973F88"/>
    <w:rsid w:val="3BCD72F7"/>
    <w:rsid w:val="3C3D06A9"/>
    <w:rsid w:val="3C414142"/>
    <w:rsid w:val="3C717C1B"/>
    <w:rsid w:val="3CE114D9"/>
    <w:rsid w:val="3CF737A2"/>
    <w:rsid w:val="3CF7509A"/>
    <w:rsid w:val="3D10295A"/>
    <w:rsid w:val="3D56518F"/>
    <w:rsid w:val="3D892A04"/>
    <w:rsid w:val="3E0572FD"/>
    <w:rsid w:val="3E1A5292"/>
    <w:rsid w:val="3E1E6330"/>
    <w:rsid w:val="3E5A7FE7"/>
    <w:rsid w:val="3EC8179E"/>
    <w:rsid w:val="3EF66B2E"/>
    <w:rsid w:val="3F217914"/>
    <w:rsid w:val="3F7E18C4"/>
    <w:rsid w:val="3F942B76"/>
    <w:rsid w:val="3FD70BB0"/>
    <w:rsid w:val="3FFB55AC"/>
    <w:rsid w:val="401C5F9D"/>
    <w:rsid w:val="401C690C"/>
    <w:rsid w:val="401D7195"/>
    <w:rsid w:val="405F1BE4"/>
    <w:rsid w:val="407669AB"/>
    <w:rsid w:val="40A51286"/>
    <w:rsid w:val="40CE3DC0"/>
    <w:rsid w:val="40D7455A"/>
    <w:rsid w:val="40E743E5"/>
    <w:rsid w:val="4110038E"/>
    <w:rsid w:val="416D4873"/>
    <w:rsid w:val="41734CBA"/>
    <w:rsid w:val="41C01B53"/>
    <w:rsid w:val="41D162A9"/>
    <w:rsid w:val="41DD7057"/>
    <w:rsid w:val="420F7A65"/>
    <w:rsid w:val="4216611A"/>
    <w:rsid w:val="423E300F"/>
    <w:rsid w:val="425656C8"/>
    <w:rsid w:val="4257273C"/>
    <w:rsid w:val="425D7213"/>
    <w:rsid w:val="426411CE"/>
    <w:rsid w:val="42677B61"/>
    <w:rsid w:val="42756DB0"/>
    <w:rsid w:val="42B21AD2"/>
    <w:rsid w:val="42FD694D"/>
    <w:rsid w:val="434A6D8F"/>
    <w:rsid w:val="43FA5777"/>
    <w:rsid w:val="44044D92"/>
    <w:rsid w:val="441C1611"/>
    <w:rsid w:val="443C440B"/>
    <w:rsid w:val="443F7DBF"/>
    <w:rsid w:val="44415754"/>
    <w:rsid w:val="44514F52"/>
    <w:rsid w:val="448965CB"/>
    <w:rsid w:val="449109A5"/>
    <w:rsid w:val="44A66F1C"/>
    <w:rsid w:val="44C5497E"/>
    <w:rsid w:val="44FA2D53"/>
    <w:rsid w:val="45414CB2"/>
    <w:rsid w:val="4571374F"/>
    <w:rsid w:val="458B1BB0"/>
    <w:rsid w:val="46107A90"/>
    <w:rsid w:val="4611075B"/>
    <w:rsid w:val="46113D05"/>
    <w:rsid w:val="46132D66"/>
    <w:rsid w:val="46214818"/>
    <w:rsid w:val="467A0297"/>
    <w:rsid w:val="468B7125"/>
    <w:rsid w:val="46C4691F"/>
    <w:rsid w:val="47841568"/>
    <w:rsid w:val="479D1D34"/>
    <w:rsid w:val="47B609C0"/>
    <w:rsid w:val="47CF543E"/>
    <w:rsid w:val="481E6E41"/>
    <w:rsid w:val="482D31EA"/>
    <w:rsid w:val="485970A0"/>
    <w:rsid w:val="48847961"/>
    <w:rsid w:val="48A41906"/>
    <w:rsid w:val="48AD2852"/>
    <w:rsid w:val="48B65C71"/>
    <w:rsid w:val="48DD6BA4"/>
    <w:rsid w:val="48F303D7"/>
    <w:rsid w:val="492837FF"/>
    <w:rsid w:val="492E6A57"/>
    <w:rsid w:val="49B86103"/>
    <w:rsid w:val="4A0030EE"/>
    <w:rsid w:val="4AC36065"/>
    <w:rsid w:val="4B123EF1"/>
    <w:rsid w:val="4B560086"/>
    <w:rsid w:val="4B7501F5"/>
    <w:rsid w:val="4B8C2DEB"/>
    <w:rsid w:val="4BFA3C9F"/>
    <w:rsid w:val="4C022CB5"/>
    <w:rsid w:val="4C0E3379"/>
    <w:rsid w:val="4C107F48"/>
    <w:rsid w:val="4C3277BC"/>
    <w:rsid w:val="4C686851"/>
    <w:rsid w:val="4CB25875"/>
    <w:rsid w:val="4CC353EB"/>
    <w:rsid w:val="4CF36F3C"/>
    <w:rsid w:val="4D056F4D"/>
    <w:rsid w:val="4D4F67BA"/>
    <w:rsid w:val="4D603399"/>
    <w:rsid w:val="4D867EE1"/>
    <w:rsid w:val="4D947472"/>
    <w:rsid w:val="4DBC4C65"/>
    <w:rsid w:val="4DF6568D"/>
    <w:rsid w:val="4E2E1A80"/>
    <w:rsid w:val="4E550010"/>
    <w:rsid w:val="4E5F14CB"/>
    <w:rsid w:val="4F2965A2"/>
    <w:rsid w:val="4F3705F8"/>
    <w:rsid w:val="4F4755A1"/>
    <w:rsid w:val="4F651D09"/>
    <w:rsid w:val="4F9765DE"/>
    <w:rsid w:val="4FAC3540"/>
    <w:rsid w:val="4FBB12F4"/>
    <w:rsid w:val="4FCF1583"/>
    <w:rsid w:val="4FFA7625"/>
    <w:rsid w:val="501168C8"/>
    <w:rsid w:val="501B0BF9"/>
    <w:rsid w:val="507D2599"/>
    <w:rsid w:val="5096229D"/>
    <w:rsid w:val="50B44FCE"/>
    <w:rsid w:val="50DC4184"/>
    <w:rsid w:val="50FA14A8"/>
    <w:rsid w:val="51475B39"/>
    <w:rsid w:val="514C3EA7"/>
    <w:rsid w:val="519849E5"/>
    <w:rsid w:val="51B36892"/>
    <w:rsid w:val="52162570"/>
    <w:rsid w:val="52217969"/>
    <w:rsid w:val="52506DA7"/>
    <w:rsid w:val="533B2B84"/>
    <w:rsid w:val="537A7243"/>
    <w:rsid w:val="539C1B81"/>
    <w:rsid w:val="53AA6184"/>
    <w:rsid w:val="53AE750F"/>
    <w:rsid w:val="53EB0895"/>
    <w:rsid w:val="53F263AD"/>
    <w:rsid w:val="54693932"/>
    <w:rsid w:val="54837309"/>
    <w:rsid w:val="549A6BFA"/>
    <w:rsid w:val="54A96914"/>
    <w:rsid w:val="54E72921"/>
    <w:rsid w:val="555C6CAF"/>
    <w:rsid w:val="55806F07"/>
    <w:rsid w:val="55BC18C6"/>
    <w:rsid w:val="55D02809"/>
    <w:rsid w:val="55D76683"/>
    <w:rsid w:val="55FA2961"/>
    <w:rsid w:val="56165A01"/>
    <w:rsid w:val="563E7196"/>
    <w:rsid w:val="565E1A30"/>
    <w:rsid w:val="565E3E0E"/>
    <w:rsid w:val="565E7F4F"/>
    <w:rsid w:val="56762FF5"/>
    <w:rsid w:val="56775789"/>
    <w:rsid w:val="56857D06"/>
    <w:rsid w:val="56914056"/>
    <w:rsid w:val="569F0E63"/>
    <w:rsid w:val="569F7A7F"/>
    <w:rsid w:val="56DB613D"/>
    <w:rsid w:val="573810DA"/>
    <w:rsid w:val="575D530F"/>
    <w:rsid w:val="57FC2169"/>
    <w:rsid w:val="58096275"/>
    <w:rsid w:val="580E4560"/>
    <w:rsid w:val="581C04F1"/>
    <w:rsid w:val="582E6EF7"/>
    <w:rsid w:val="58434392"/>
    <w:rsid w:val="584E30E6"/>
    <w:rsid w:val="59014D02"/>
    <w:rsid w:val="597B384D"/>
    <w:rsid w:val="59996DA8"/>
    <w:rsid w:val="59AC3CE9"/>
    <w:rsid w:val="59BF7CD4"/>
    <w:rsid w:val="59C30F1B"/>
    <w:rsid w:val="5A0D5854"/>
    <w:rsid w:val="5A20156F"/>
    <w:rsid w:val="5A332717"/>
    <w:rsid w:val="5A8E5D27"/>
    <w:rsid w:val="5A9847F3"/>
    <w:rsid w:val="5AC7121C"/>
    <w:rsid w:val="5AD90B8D"/>
    <w:rsid w:val="5AE12927"/>
    <w:rsid w:val="5B2243E9"/>
    <w:rsid w:val="5B40591F"/>
    <w:rsid w:val="5B4E1A44"/>
    <w:rsid w:val="5B666742"/>
    <w:rsid w:val="5B6919B0"/>
    <w:rsid w:val="5B873201"/>
    <w:rsid w:val="5B89551D"/>
    <w:rsid w:val="5B967767"/>
    <w:rsid w:val="5B9E55DE"/>
    <w:rsid w:val="5C1D18D2"/>
    <w:rsid w:val="5C286807"/>
    <w:rsid w:val="5C446BC8"/>
    <w:rsid w:val="5C4C687B"/>
    <w:rsid w:val="5C5C51E9"/>
    <w:rsid w:val="5C5D5C2A"/>
    <w:rsid w:val="5C7C2768"/>
    <w:rsid w:val="5CA93EF4"/>
    <w:rsid w:val="5CB23AE6"/>
    <w:rsid w:val="5CF55792"/>
    <w:rsid w:val="5CFD533A"/>
    <w:rsid w:val="5D893B14"/>
    <w:rsid w:val="5D9F3D30"/>
    <w:rsid w:val="5E2810D5"/>
    <w:rsid w:val="5E2B7D62"/>
    <w:rsid w:val="5E71411E"/>
    <w:rsid w:val="5EA06921"/>
    <w:rsid w:val="5ED5006A"/>
    <w:rsid w:val="5F576E4B"/>
    <w:rsid w:val="5F5D4EDE"/>
    <w:rsid w:val="5F7A2C30"/>
    <w:rsid w:val="5FBE370A"/>
    <w:rsid w:val="5FF00038"/>
    <w:rsid w:val="60292845"/>
    <w:rsid w:val="61027308"/>
    <w:rsid w:val="612E1A5D"/>
    <w:rsid w:val="617B0100"/>
    <w:rsid w:val="61816046"/>
    <w:rsid w:val="619105E3"/>
    <w:rsid w:val="62182687"/>
    <w:rsid w:val="62391564"/>
    <w:rsid w:val="627F7BC0"/>
    <w:rsid w:val="62816669"/>
    <w:rsid w:val="62B57462"/>
    <w:rsid w:val="62BA0953"/>
    <w:rsid w:val="62D03A7C"/>
    <w:rsid w:val="62F16BCB"/>
    <w:rsid w:val="62F648FE"/>
    <w:rsid w:val="63341DB1"/>
    <w:rsid w:val="633F385C"/>
    <w:rsid w:val="63447612"/>
    <w:rsid w:val="63907004"/>
    <w:rsid w:val="63A10995"/>
    <w:rsid w:val="63C23EFA"/>
    <w:rsid w:val="643A070A"/>
    <w:rsid w:val="644C573D"/>
    <w:rsid w:val="648667A7"/>
    <w:rsid w:val="64DB383A"/>
    <w:rsid w:val="65032F85"/>
    <w:rsid w:val="65136B50"/>
    <w:rsid w:val="657E2A35"/>
    <w:rsid w:val="65A94E9D"/>
    <w:rsid w:val="65C60A92"/>
    <w:rsid w:val="662203DD"/>
    <w:rsid w:val="66332038"/>
    <w:rsid w:val="666B723B"/>
    <w:rsid w:val="6678045A"/>
    <w:rsid w:val="66DD6702"/>
    <w:rsid w:val="676C3F98"/>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105EEE"/>
    <w:rsid w:val="6A2031B6"/>
    <w:rsid w:val="6A440C53"/>
    <w:rsid w:val="6AC61F6F"/>
    <w:rsid w:val="6ADE74F0"/>
    <w:rsid w:val="6B1002C0"/>
    <w:rsid w:val="6B1F5CFA"/>
    <w:rsid w:val="6B5C61BC"/>
    <w:rsid w:val="6B723594"/>
    <w:rsid w:val="6B805156"/>
    <w:rsid w:val="6BD50977"/>
    <w:rsid w:val="6BEA2A9B"/>
    <w:rsid w:val="6C9C0875"/>
    <w:rsid w:val="6C9D1F03"/>
    <w:rsid w:val="6CAA3931"/>
    <w:rsid w:val="6D3933CA"/>
    <w:rsid w:val="6D7B61EC"/>
    <w:rsid w:val="6DA47DD4"/>
    <w:rsid w:val="6DC3266E"/>
    <w:rsid w:val="6DD049FF"/>
    <w:rsid w:val="6E09491E"/>
    <w:rsid w:val="6E0D3655"/>
    <w:rsid w:val="6E5D7B7F"/>
    <w:rsid w:val="6E5F4465"/>
    <w:rsid w:val="6E6D6430"/>
    <w:rsid w:val="6E8C54DA"/>
    <w:rsid w:val="6EEA229E"/>
    <w:rsid w:val="6EF11E03"/>
    <w:rsid w:val="6F111C62"/>
    <w:rsid w:val="6F2176E5"/>
    <w:rsid w:val="6F3053CA"/>
    <w:rsid w:val="6F592303"/>
    <w:rsid w:val="6F5F5B74"/>
    <w:rsid w:val="6F9B1C65"/>
    <w:rsid w:val="6FD4236A"/>
    <w:rsid w:val="6FD47A25"/>
    <w:rsid w:val="6FF44026"/>
    <w:rsid w:val="6FFB146E"/>
    <w:rsid w:val="701A5C74"/>
    <w:rsid w:val="706516C3"/>
    <w:rsid w:val="70864A71"/>
    <w:rsid w:val="70896E68"/>
    <w:rsid w:val="714556B4"/>
    <w:rsid w:val="71481642"/>
    <w:rsid w:val="715B60E9"/>
    <w:rsid w:val="71E96309"/>
    <w:rsid w:val="71EA1FED"/>
    <w:rsid w:val="72284A0C"/>
    <w:rsid w:val="72C16204"/>
    <w:rsid w:val="730313F6"/>
    <w:rsid w:val="731E1007"/>
    <w:rsid w:val="73370D24"/>
    <w:rsid w:val="7359268C"/>
    <w:rsid w:val="739503EB"/>
    <w:rsid w:val="73A05B28"/>
    <w:rsid w:val="73C07D69"/>
    <w:rsid w:val="74393F13"/>
    <w:rsid w:val="744B57CB"/>
    <w:rsid w:val="74625968"/>
    <w:rsid w:val="749C6000"/>
    <w:rsid w:val="749E2255"/>
    <w:rsid w:val="74B42AE4"/>
    <w:rsid w:val="750A429D"/>
    <w:rsid w:val="75167F59"/>
    <w:rsid w:val="754D77D2"/>
    <w:rsid w:val="755D38A7"/>
    <w:rsid w:val="755F0960"/>
    <w:rsid w:val="755F5A0F"/>
    <w:rsid w:val="75614792"/>
    <w:rsid w:val="756E5849"/>
    <w:rsid w:val="75784473"/>
    <w:rsid w:val="757E044C"/>
    <w:rsid w:val="75977BC3"/>
    <w:rsid w:val="75B161B3"/>
    <w:rsid w:val="75E470E3"/>
    <w:rsid w:val="76736B32"/>
    <w:rsid w:val="76E3765E"/>
    <w:rsid w:val="76FC2AFA"/>
    <w:rsid w:val="773F0836"/>
    <w:rsid w:val="77653671"/>
    <w:rsid w:val="778546CC"/>
    <w:rsid w:val="77950F7E"/>
    <w:rsid w:val="77B56730"/>
    <w:rsid w:val="77C04A8B"/>
    <w:rsid w:val="77D85DB3"/>
    <w:rsid w:val="780252A0"/>
    <w:rsid w:val="78027772"/>
    <w:rsid w:val="78A50513"/>
    <w:rsid w:val="793B7339"/>
    <w:rsid w:val="796518DD"/>
    <w:rsid w:val="796A6947"/>
    <w:rsid w:val="796E0C55"/>
    <w:rsid w:val="79AA0532"/>
    <w:rsid w:val="79C93A1E"/>
    <w:rsid w:val="79F70999"/>
    <w:rsid w:val="79FE1DDD"/>
    <w:rsid w:val="7A075767"/>
    <w:rsid w:val="7A212062"/>
    <w:rsid w:val="7A282A11"/>
    <w:rsid w:val="7AB90FF6"/>
    <w:rsid w:val="7AC21562"/>
    <w:rsid w:val="7AD474A4"/>
    <w:rsid w:val="7B115232"/>
    <w:rsid w:val="7B416BDC"/>
    <w:rsid w:val="7B5350AD"/>
    <w:rsid w:val="7B591077"/>
    <w:rsid w:val="7B635E9B"/>
    <w:rsid w:val="7B6867EB"/>
    <w:rsid w:val="7B697C89"/>
    <w:rsid w:val="7B8D34C3"/>
    <w:rsid w:val="7B971D84"/>
    <w:rsid w:val="7BEC0EF6"/>
    <w:rsid w:val="7BF32F03"/>
    <w:rsid w:val="7C156EA0"/>
    <w:rsid w:val="7C1724A5"/>
    <w:rsid w:val="7C8E3CCF"/>
    <w:rsid w:val="7CA54112"/>
    <w:rsid w:val="7CE50CE4"/>
    <w:rsid w:val="7D2177E3"/>
    <w:rsid w:val="7D2E5ABF"/>
    <w:rsid w:val="7D2F3C22"/>
    <w:rsid w:val="7D327F84"/>
    <w:rsid w:val="7DB429D4"/>
    <w:rsid w:val="7E2142A2"/>
    <w:rsid w:val="7E4F5384"/>
    <w:rsid w:val="7E5A6DFA"/>
    <w:rsid w:val="7E5F6A2D"/>
    <w:rsid w:val="7E7B0BF2"/>
    <w:rsid w:val="7E7C7A78"/>
    <w:rsid w:val="7E8D75B6"/>
    <w:rsid w:val="7EB2417D"/>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58"/>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2"/>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4"/>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eastAsia="宋体" w:cs="宋体"/>
      <w:sz w:val="24"/>
      <w:lang w:val="zh-CN" w:bidi="zh-CN"/>
    </w:rPr>
  </w:style>
  <w:style w:type="paragraph" w:styleId="7">
    <w:name w:val="Normal Indent"/>
    <w:basedOn w:val="1"/>
    <w:semiHidden/>
    <w:unhideWhenUsed/>
    <w:qFormat/>
    <w:uiPriority w:val="99"/>
    <w:pPr>
      <w:ind w:firstLine="420" w:firstLineChars="200"/>
    </w:pPr>
  </w:style>
  <w:style w:type="paragraph" w:styleId="8">
    <w:name w:val="annotation text"/>
    <w:basedOn w:val="1"/>
    <w:semiHidden/>
    <w:unhideWhenUsed/>
    <w:qFormat/>
    <w:uiPriority w:val="99"/>
  </w:style>
  <w:style w:type="paragraph" w:styleId="9">
    <w:name w:val="toc 3"/>
    <w:basedOn w:val="1"/>
    <w:next w:val="1"/>
    <w:unhideWhenUsed/>
    <w:qFormat/>
    <w:uiPriority w:val="39"/>
    <w:pPr>
      <w:tabs>
        <w:tab w:val="right" w:leader="dot" w:pos="8296"/>
      </w:tabs>
      <w:ind w:left="838" w:leftChars="381"/>
    </w:pPr>
    <w:rPr>
      <w:sz w:val="21"/>
      <w:szCs w:val="21"/>
    </w:rPr>
  </w:style>
  <w:style w:type="paragraph" w:styleId="10">
    <w:name w:val="Plain Text"/>
    <w:basedOn w:val="1"/>
    <w:link w:val="45"/>
    <w:qFormat/>
    <w:uiPriority w:val="0"/>
    <w:pPr>
      <w:widowControl w:val="0"/>
      <w:adjustRightInd/>
      <w:snapToGrid/>
      <w:spacing w:after="0"/>
      <w:jc w:val="both"/>
    </w:pPr>
    <w:rPr>
      <w:rFonts w:ascii="宋体" w:hAnsi="Courier New" w:eastAsia="宋体" w:cs="Times New Roman"/>
      <w:b/>
      <w:kern w:val="2"/>
      <w:sz w:val="21"/>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8"/>
    <w:semiHidden/>
    <w:unhideWhenUsed/>
    <w:qFormat/>
    <w:uiPriority w:val="99"/>
    <w:pPr>
      <w:spacing w:after="0"/>
    </w:pPr>
    <w:rPr>
      <w:sz w:val="18"/>
      <w:szCs w:val="18"/>
    </w:rPr>
  </w:style>
  <w:style w:type="paragraph" w:styleId="13">
    <w:name w:val="footer"/>
    <w:basedOn w:val="1"/>
    <w:link w:val="47"/>
    <w:unhideWhenUsed/>
    <w:qFormat/>
    <w:uiPriority w:val="99"/>
    <w:pPr>
      <w:tabs>
        <w:tab w:val="center" w:pos="4153"/>
        <w:tab w:val="right" w:pos="8306"/>
      </w:tabs>
    </w:pPr>
    <w:rPr>
      <w:sz w:val="18"/>
      <w:szCs w:val="18"/>
    </w:rPr>
  </w:style>
  <w:style w:type="paragraph" w:styleId="14">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pPr>
      <w:snapToGrid w:val="0"/>
      <w:jc w:val="left"/>
    </w:pPr>
    <w:rPr>
      <w:sz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50"/>
    <w:qFormat/>
    <w:uiPriority w:val="0"/>
    <w:pPr>
      <w:widowControl w:val="0"/>
      <w:adjustRightInd/>
      <w:snapToGrid/>
      <w:spacing w:after="0"/>
      <w:jc w:val="both"/>
    </w:pPr>
    <w:rPr>
      <w:rFonts w:eastAsia="宋体" w:asciiTheme="minorHAnsi" w:hAnsiTheme="minorHAnsi"/>
      <w:kern w:val="2"/>
      <w:sz w:val="24"/>
      <w:szCs w:val="24"/>
    </w:rPr>
  </w:style>
  <w:style w:type="paragraph" w:styleId="22">
    <w:name w:val="Body Text First Indent"/>
    <w:basedOn w:val="2"/>
    <w:unhideWhenUsed/>
    <w:qFormat/>
    <w:uiPriority w:val="99"/>
    <w:pPr>
      <w:ind w:firstLine="420" w:firstLineChars="100"/>
    </w:pPr>
    <w:rPr>
      <w:rFonts w:ascii="Times New Roman" w:hAnsi="Times New Roman" w:cs="Times New Roman"/>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utoSpaceDE/>
      <w:autoSpaceDN/>
      <w:adjustRightInd/>
      <w:spacing w:before="25" w:after="25"/>
    </w:pPr>
    <w:rPr>
      <w:rFonts w:ascii="Times New Roman"/>
      <w:bCs/>
      <w:spacing w:val="10"/>
      <w:szCs w:val="20"/>
    </w:rPr>
  </w:style>
  <w:style w:type="character" w:customStyle="1" w:styleId="31">
    <w:name w:val="标题 2 Char"/>
    <w:basedOn w:val="25"/>
    <w:link w:val="4"/>
    <w:qFormat/>
    <w:uiPriority w:val="9"/>
    <w:rPr>
      <w:rFonts w:asciiTheme="majorHAnsi" w:hAnsiTheme="majorHAnsi" w:eastAsiaTheme="majorEastAsia" w:cstheme="majorBidi"/>
      <w:b/>
      <w:bCs/>
      <w:sz w:val="32"/>
      <w:szCs w:val="32"/>
    </w:rPr>
  </w:style>
  <w:style w:type="character" w:customStyle="1" w:styleId="32">
    <w:name w:val="标题 3 Char"/>
    <w:basedOn w:val="25"/>
    <w:link w:val="5"/>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6"/>
    <w:qFormat/>
    <w:uiPriority w:val="9"/>
    <w:rPr>
      <w:rFonts w:eastAsia="宋体" w:asciiTheme="majorAscii" w:hAnsiTheme="majorAsci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next w:val="1"/>
    <w:link w:val="35"/>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5"/>
    <w:link w:val="41"/>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10"/>
    <w:semiHidden/>
    <w:qFormat/>
    <w:uiPriority w:val="99"/>
    <w:rPr>
      <w:rFonts w:ascii="宋体" w:hAnsi="Courier New" w:eastAsia="宋体" w:cs="Courier New"/>
      <w:sz w:val="21"/>
      <w:szCs w:val="21"/>
    </w:rPr>
  </w:style>
  <w:style w:type="character" w:customStyle="1" w:styleId="46">
    <w:name w:val="页眉 Char"/>
    <w:basedOn w:val="25"/>
    <w:link w:val="14"/>
    <w:qFormat/>
    <w:uiPriority w:val="99"/>
    <w:rPr>
      <w:rFonts w:ascii="Tahoma" w:hAnsi="Tahoma"/>
      <w:sz w:val="18"/>
      <w:szCs w:val="18"/>
    </w:rPr>
  </w:style>
  <w:style w:type="character" w:customStyle="1" w:styleId="47">
    <w:name w:val="页脚 Char"/>
    <w:basedOn w:val="25"/>
    <w:link w:val="13"/>
    <w:qFormat/>
    <w:uiPriority w:val="99"/>
    <w:rPr>
      <w:rFonts w:ascii="Tahoma" w:hAnsi="Tahoma"/>
      <w:sz w:val="18"/>
      <w:szCs w:val="18"/>
    </w:rPr>
  </w:style>
  <w:style w:type="character" w:customStyle="1" w:styleId="48">
    <w:name w:val="批注框文本 Char"/>
    <w:basedOn w:val="25"/>
    <w:link w:val="12"/>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0">
    <w:name w:val="普通(网站) Char"/>
    <w:link w:val="21"/>
    <w:qFormat/>
    <w:uiPriority w:val="0"/>
    <w:rPr>
      <w:rFonts w:eastAsia="宋体"/>
      <w:kern w:val="2"/>
      <w:sz w:val="24"/>
      <w:szCs w:val="24"/>
    </w:rPr>
  </w:style>
  <w:style w:type="paragraph" w:customStyle="1" w:styleId="51">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4">
    <w:name w:val="正文无缩进"/>
    <w:basedOn w:val="36"/>
    <w:qFormat/>
    <w:uiPriority w:val="0"/>
    <w:pPr>
      <w:ind w:firstLine="0" w:firstLineChars="0"/>
    </w:pPr>
  </w:style>
  <w:style w:type="paragraph" w:customStyle="1" w:styleId="55">
    <w:name w:val="一级条标题"/>
    <w:basedOn w:val="56"/>
    <w:next w:val="57"/>
    <w:qFormat/>
    <w:uiPriority w:val="0"/>
    <w:pPr>
      <w:tabs>
        <w:tab w:val="left" w:pos="720"/>
      </w:tabs>
      <w:spacing w:beforeLines="0" w:afterLines="0"/>
      <w:outlineLvl w:val="2"/>
    </w:pPr>
  </w:style>
  <w:style w:type="paragraph" w:customStyle="1" w:styleId="56">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8">
    <w:name w:val="NormalCharacter"/>
    <w:link w:val="1"/>
    <w:semiHidden/>
    <w:qFormat/>
    <w:uiPriority w:val="0"/>
    <w:rPr>
      <w:rFonts w:ascii="Tahoma" w:hAnsi="Tahoma" w:eastAsia="宋体" w:cstheme="minorBidi"/>
      <w:sz w:val="21"/>
      <w:szCs w:val="22"/>
      <w:lang w:val="en-US" w:eastAsia="zh-CN" w:bidi="ar-SA"/>
    </w:rPr>
  </w:style>
  <w:style w:type="character" w:customStyle="1" w:styleId="59">
    <w:name w:val="weby11"/>
    <w:basedOn w:val="25"/>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81</Pages>
  <Words>33226</Words>
  <Characters>34001</Characters>
  <Lines>264</Lines>
  <Paragraphs>74</Paragraphs>
  <TotalTime>0</TotalTime>
  <ScaleCrop>false</ScaleCrop>
  <LinksUpToDate>false</LinksUpToDate>
  <CharactersWithSpaces>36420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2023-08-08T08:26:43Z</cp:lastPrinted>
  <dcterms:modified xsi:type="dcterms:W3CDTF">2023-08-08T08:28:16Z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281C7719C7C747FC933E8ED977C250A0_13</vt:lpwstr>
  </property>
</Properties>
</file>