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GDZT2023144B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kern w:val="2"/>
                <w:sz w:val="32"/>
                <w:szCs w:val="24"/>
                <w:highlight w:val="none"/>
                <w:lang w:eastAsia="zh-CN"/>
              </w:rPr>
              <w:t>横沥镇老旧小区“瓶改管”项目-瑞康花园小区天然气管道安装工程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东莞市横沥兴华管道燃气有限公司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请各供应商缴纳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保证金前务必核对正确的缴纳账户，由于错缴、误缴而导致未按项目缴纳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保证金的情况将由供应商自行负责。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保证金必须于</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w:t>
      </w:r>
      <w:r>
        <w:rPr>
          <w:rFonts w:hint="eastAsia" w:ascii="宋体" w:hAnsi="宋体" w:cs="宋体"/>
          <w:b/>
          <w:bCs w:val="0"/>
          <w:color w:val="auto"/>
          <w:sz w:val="21"/>
          <w:szCs w:val="21"/>
          <w:highlight w:val="none"/>
          <w:u w:val="none"/>
          <w:lang w:val="en-US" w:eastAsia="zh-CN"/>
        </w:rPr>
        <w:t>磋商文件</w:t>
      </w:r>
      <w:r>
        <w:rPr>
          <w:rFonts w:hint="eastAsia" w:ascii="宋体" w:hAnsi="宋体" w:eastAsia="宋体" w:cs="宋体"/>
          <w:b/>
          <w:bCs w:val="0"/>
          <w:color w:val="auto"/>
          <w:sz w:val="21"/>
          <w:szCs w:val="21"/>
          <w:highlight w:val="none"/>
          <w:u w:val="none"/>
        </w:rPr>
        <w:t>。由于转账当天不能确保实时到账，为避免因</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七、磋商保证金汇入情况说明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八、采购磋商担保函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8850"/>
      <w:bookmarkStart w:id="3" w:name="_Toc7988"/>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b/>
          <w:color w:val="auto"/>
          <w:sz w:val="21"/>
          <w:szCs w:val="21"/>
          <w:highlight w:val="none"/>
          <w:u w:val="single"/>
          <w:lang w:eastAsia="zh-CN"/>
        </w:rPr>
        <w:t>东莞市横沥兴华管道燃气有限公司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横沥镇老旧小区“瓶改管”项目-瑞康花园小区天然气管道安装工程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GDZT2023144B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横沥镇老旧小区“瓶改管”项目-瑞康花园小区天然气管道安装工程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4793"/>
        <w:gridCol w:w="6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u w:val="single"/>
                <w:lang w:val="en-US" w:eastAsia="zh-CN"/>
              </w:rPr>
              <w:t>横沥镇老旧小区“瓶改管”项目-瑞康花园小区天然气管道安装工程</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3,241,690.51</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供应商</w:t>
      </w:r>
      <w:r>
        <w:rPr>
          <w:rFonts w:hint="eastAsia" w:ascii="宋体" w:hAnsi="宋体" w:eastAsia="宋体"/>
          <w:color w:val="auto"/>
          <w:sz w:val="21"/>
          <w:szCs w:val="21"/>
          <w:highlight w:val="none"/>
          <w:lang w:eastAsia="zh-CN"/>
        </w:rPr>
        <w:t>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或采购严重违法失信行为”记录名单。以代理机构于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eastAsia="zh-CN"/>
        </w:rPr>
      </w:pPr>
      <w:r>
        <w:rPr>
          <w:rFonts w:hint="eastAsia"/>
          <w:color w:val="auto"/>
          <w:highlight w:val="none"/>
          <w:lang w:val="en-US" w:eastAsia="zh-CN"/>
        </w:rPr>
        <w:t>供应商</w:t>
      </w:r>
      <w:r>
        <w:rPr>
          <w:rFonts w:hint="eastAsia"/>
          <w:color w:val="auto"/>
          <w:highlight w:val="none"/>
          <w:lang w:eastAsia="zh-CN"/>
        </w:rPr>
        <w:t>须具有有效期内市政公用工程专业承包资质乙级（或以上）资质【或更换资质证书前有效期内市政公用工程施工总承包三级（或以上）资质】。</w:t>
      </w:r>
    </w:p>
    <w:p>
      <w:pPr>
        <w:bidi w:val="0"/>
        <w:ind w:firstLine="420" w:firstLineChars="200"/>
        <w:rPr>
          <w:rFonts w:hint="eastAsia"/>
          <w:color w:val="auto"/>
          <w:highlight w:val="none"/>
          <w:lang w:eastAsia="zh-CN"/>
        </w:rPr>
      </w:pPr>
      <w:r>
        <w:rPr>
          <w:rFonts w:hint="eastAsia"/>
          <w:color w:val="auto"/>
          <w:highlight w:val="none"/>
          <w:lang w:eastAsia="zh-CN"/>
        </w:rPr>
        <w:t>注：资质证书已过期的按《住房和城乡建设部办公厅关于建设工程企业资质有关事宜的通知（建办市函〔2022〕361号）》、《广东省住房和城乡建设厅关于建设工程企业资质有关事宜的通知（粤建许函〔2022〕846号》执行，相关文件如有更新，以最新发布的文件规定为准。</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15</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15</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采购人联系人：陈</w:t>
      </w:r>
      <w:r>
        <w:rPr>
          <w:rFonts w:hint="eastAsia" w:ascii="宋体" w:hAnsi="宋体"/>
          <w:bCs/>
          <w:color w:val="auto"/>
          <w:sz w:val="21"/>
          <w:szCs w:val="21"/>
          <w:highlight w:val="none"/>
          <w:lang w:eastAsia="zh-CN"/>
        </w:rPr>
        <w:t>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地址：东莞市横沥镇石涌金马路76号</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0769-82927868</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bookmarkStart w:id="338" w:name="_GoBack"/>
      <w:bookmarkEnd w:id="338"/>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4924"/>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9"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http://www.zttendering.com/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2"/>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2"/>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2"/>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本项目不收取</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2"/>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spacing w:after="0"/>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履约保证金金额：</w:t>
            </w:r>
            <w:r>
              <w:rPr>
                <w:rFonts w:hint="eastAsia" w:ascii="宋体" w:hAnsi="宋体"/>
                <w:color w:val="auto"/>
                <w:sz w:val="21"/>
                <w:szCs w:val="21"/>
                <w:highlight w:val="none"/>
                <w:lang w:val="en-US" w:eastAsia="zh-CN"/>
              </w:rPr>
              <w:t>采购合同总金额的5%</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cs="宋体"/>
                <w:b/>
                <w:color w:val="auto"/>
                <w:sz w:val="21"/>
                <w:szCs w:val="21"/>
                <w:highlight w:val="none"/>
                <w:lang w:eastAsia="zh-CN"/>
              </w:rPr>
              <w:t>成交</w:t>
            </w:r>
            <w:r>
              <w:rPr>
                <w:rFonts w:hint="eastAsia" w:ascii="宋体" w:hAnsi="宋体" w:eastAsia="宋体" w:cs="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s="宋体"/>
                <w:bCs/>
                <w:color w:val="auto"/>
                <w:sz w:val="21"/>
                <w:szCs w:val="21"/>
                <w:highlight w:val="none"/>
              </w:rPr>
              <w:t>成交服务费根据国家计委[计价格[2002]1980号]文和国家发改委[发改价格[2011]534号]文及相关规定收取，按差额定率累进法计算，以成交通知书中确定的成交总金额作为收费的计算依据；成交服务费最低收费标准为</w:t>
            </w:r>
            <w:r>
              <w:rPr>
                <w:rFonts w:hint="eastAsia" w:ascii="宋体" w:hAnsi="宋体" w:eastAsia="宋体" w:cs="宋体"/>
                <w:bCs/>
                <w:color w:val="auto"/>
                <w:sz w:val="21"/>
                <w:szCs w:val="21"/>
                <w:highlight w:val="none"/>
                <w:lang w:val="en-US" w:eastAsia="zh-CN"/>
              </w:rPr>
              <w:t>陆</w:t>
            </w:r>
            <w:r>
              <w:rPr>
                <w:rFonts w:hint="eastAsia" w:ascii="宋体" w:hAnsi="宋体" w:eastAsia="宋体" w:cs="宋体"/>
                <w:bCs/>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3"/>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Hlk55300595"/>
      <w:bookmarkStart w:id="9" w:name="_Toc13473"/>
      <w:bookmarkStart w:id="10" w:name="_Toc404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燃气工程类</w:t>
            </w:r>
            <w:r>
              <w:rPr>
                <w:rFonts w:hint="eastAsia" w:ascii="宋体" w:hAnsi="宋体" w:eastAsia="宋体" w:cs="宋体"/>
                <w:bCs/>
                <w:color w:val="auto"/>
                <w:sz w:val="21"/>
                <w:szCs w:val="21"/>
                <w:highlight w:val="none"/>
              </w:rPr>
              <w:t>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服务</w:t>
            </w:r>
            <w:r>
              <w:rPr>
                <w:rFonts w:hint="eastAsia" w:ascii="宋体" w:eastAsia="宋体" w:cs="宋体"/>
                <w:color w:val="auto"/>
                <w:sz w:val="21"/>
                <w:szCs w:val="21"/>
                <w:highlight w:val="none"/>
                <w:lang w:val="en-US" w:eastAsia="zh-CN"/>
              </w:rPr>
              <w:t>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rPr>
              <w:t>，不得分。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拟投入人员</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根据投标人拟投入本项目团队人员进行评审：（1）具有高级（或以上）职称的，每提供一人得3分，本项最高得3分；（2）具有特种作业操作证的，每提供一人得1分，本项最高得2分；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color w:val="auto"/>
                <w:sz w:val="21"/>
                <w:szCs w:val="21"/>
                <w:highlight w:val="none"/>
                <w:lang w:val="zh-CN"/>
              </w:rPr>
              <w:t>注：</w:t>
            </w:r>
            <w:r>
              <w:rPr>
                <w:rFonts w:hint="eastAsia" w:ascii="宋体" w:eastAsia="宋体" w:cs="宋体"/>
                <w:bCs/>
                <w:color w:val="auto"/>
                <w:sz w:val="21"/>
                <w:szCs w:val="21"/>
                <w:highlight w:val="none"/>
                <w:lang w:val="zh-CN"/>
              </w:rPr>
              <w:t>（1）以上人员</w:t>
            </w:r>
            <w:r>
              <w:rPr>
                <w:rFonts w:hint="eastAsia" w:ascii="宋体" w:eastAsia="宋体" w:cs="宋体"/>
                <w:bCs/>
                <w:color w:val="auto"/>
                <w:sz w:val="21"/>
                <w:szCs w:val="21"/>
                <w:highlight w:val="none"/>
                <w:lang w:val="en-US" w:eastAsia="zh-CN"/>
              </w:rPr>
              <w:t>一人只记一次得分，</w:t>
            </w:r>
            <w:r>
              <w:rPr>
                <w:rFonts w:hint="eastAsia" w:ascii="宋体" w:eastAsia="宋体" w:cs="宋体"/>
                <w:bCs/>
                <w:color w:val="auto"/>
                <w:sz w:val="21"/>
                <w:szCs w:val="21"/>
                <w:highlight w:val="none"/>
                <w:lang w:val="zh-CN"/>
              </w:rPr>
              <w:t>不重复</w:t>
            </w:r>
            <w:r>
              <w:rPr>
                <w:rFonts w:hint="eastAsia" w:ascii="宋体" w:eastAsia="宋体" w:cs="宋体"/>
                <w:bCs/>
                <w:color w:val="auto"/>
                <w:sz w:val="21"/>
                <w:szCs w:val="21"/>
                <w:highlight w:val="none"/>
                <w:lang w:val="en-US" w:eastAsia="zh-CN"/>
              </w:rPr>
              <w:t>得分</w:t>
            </w:r>
            <w:r>
              <w:rPr>
                <w:rFonts w:hint="eastAsia" w:ascii="宋体" w:eastAsia="宋体" w:cs="宋体"/>
                <w:bCs/>
                <w:color w:val="auto"/>
                <w:sz w:val="21"/>
                <w:szCs w:val="21"/>
                <w:highlight w:val="none"/>
                <w:lang w:val="zh-CN"/>
              </w:rPr>
              <w:t>。（2）须提供以上人员有效证书及</w:t>
            </w:r>
            <w:r>
              <w:rPr>
                <w:rFonts w:hint="eastAsia" w:ascii="宋体" w:eastAsia="宋体" w:cs="宋体"/>
                <w:color w:val="auto"/>
                <w:sz w:val="21"/>
                <w:szCs w:val="21"/>
                <w:highlight w:val="none"/>
                <w:lang w:val="en-US" w:eastAsia="zh-CN"/>
              </w:rPr>
              <w:t>供应商</w:t>
            </w:r>
            <w:r>
              <w:rPr>
                <w:rFonts w:hint="eastAsia" w:ascii="宋体" w:eastAsia="宋体" w:cs="宋体"/>
                <w:color w:val="auto"/>
                <w:sz w:val="21"/>
                <w:szCs w:val="21"/>
                <w:highlight w:val="none"/>
              </w:rPr>
              <w:t>为其购买</w:t>
            </w:r>
            <w:r>
              <w:rPr>
                <w:rFonts w:hint="eastAsia" w:ascii="宋体" w:eastAsia="宋体" w:cs="宋体"/>
                <w:color w:val="auto"/>
                <w:sz w:val="21"/>
                <w:szCs w:val="21"/>
                <w:highlight w:val="none"/>
                <w:lang w:val="en-US" w:eastAsia="zh-CN"/>
              </w:rPr>
              <w:t>距开标前6个月</w:t>
            </w:r>
            <w:r>
              <w:rPr>
                <w:rFonts w:hint="eastAsia" w:ascii="宋体" w:eastAsia="宋体" w:cs="宋体"/>
                <w:color w:val="auto"/>
                <w:sz w:val="21"/>
                <w:szCs w:val="21"/>
                <w:highlight w:val="none"/>
              </w:rPr>
              <w:t>内（不含开标当月）任意</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个月社保证明资料复印件加盖</w:t>
            </w:r>
            <w:r>
              <w:rPr>
                <w:rFonts w:hint="eastAsia" w:ascii="宋体" w:eastAsia="宋体" w:cs="宋体"/>
                <w:color w:val="auto"/>
                <w:sz w:val="21"/>
                <w:szCs w:val="21"/>
                <w:highlight w:val="none"/>
                <w:lang w:val="en-US" w:eastAsia="zh-CN"/>
              </w:rPr>
              <w:t>供应商</w:t>
            </w:r>
            <w:r>
              <w:rPr>
                <w:rFonts w:hint="eastAsia" w:ascii="宋体" w:eastAsia="宋体" w:cs="宋体"/>
                <w:color w:val="auto"/>
                <w:sz w:val="21"/>
                <w:szCs w:val="21"/>
                <w:highlight w:val="none"/>
              </w:rPr>
              <w:t>公章</w:t>
            </w:r>
            <w:r>
              <w:rPr>
                <w:rFonts w:hint="eastAsia" w:ascii="宋体" w:eastAsia="宋体" w:cs="宋体"/>
                <w:bCs/>
                <w:color w:val="auto"/>
                <w:sz w:val="21"/>
                <w:szCs w:val="21"/>
                <w:highlight w:val="none"/>
                <w:lang w:val="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规范、</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安全文明施工制度及保障措施缺乏可行性及</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rPr>
              <w:t>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所提供项目质量控制和检验方法的详细性、合理性、针对性等进行综合评审：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项目质量控制和检验方法详细完整合理，方案针对性高，切合本项目需求，得</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9685"/>
      <w:bookmarkStart w:id="18" w:name="_Toc2479"/>
      <w:bookmarkStart w:id="19" w:name="_Toc24511"/>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24057"/>
      <w:bookmarkStart w:id="23" w:name="_Toc6968687"/>
      <w:bookmarkStart w:id="24" w:name="_Toc6882675"/>
      <w:bookmarkStart w:id="25" w:name="_Toc507407359"/>
      <w:bookmarkStart w:id="26" w:name="_Toc102277756"/>
      <w:bookmarkStart w:id="27" w:name="_Toc466786434"/>
      <w:bookmarkStart w:id="28" w:name="_Toc479991566"/>
      <w:bookmarkStart w:id="29" w:name="_Toc467987807"/>
      <w:bookmarkStart w:id="30" w:name="_Toc458262599"/>
      <w:bookmarkStart w:id="31" w:name="_Toc480020241"/>
      <w:bookmarkStart w:id="32" w:name="_Toc48207756"/>
      <w:bookmarkStart w:id="33" w:name="_Toc467236724"/>
      <w:bookmarkStart w:id="34" w:name="_Toc480021037"/>
      <w:bookmarkStart w:id="35" w:name="_Toc468606013"/>
      <w:bookmarkStart w:id="36" w:name="_Toc468157520"/>
      <w:bookmarkStart w:id="37" w:name="_Toc480171863"/>
      <w:bookmarkStart w:id="38" w:name="_Toc480010692"/>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475249114"/>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东莞市横沥兴华管道燃气有限公司</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507407360"/>
      <w:bookmarkStart w:id="48" w:name="_Toc6968688"/>
      <w:bookmarkStart w:id="49" w:name="_Toc102277757"/>
      <w:bookmarkStart w:id="50" w:name="_Toc466786435"/>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10953834"/>
      <w:bookmarkStart w:id="64" w:name="_Toc16198"/>
      <w:bookmarkStart w:id="65" w:name="_Toc1810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110953836"/>
      <w:bookmarkStart w:id="72" w:name="_Toc4511"/>
      <w:bookmarkStart w:id="73" w:name="_Toc466786436"/>
      <w:bookmarkStart w:id="74" w:name="_Toc6968689"/>
      <w:bookmarkStart w:id="75" w:name="_Toc102277758"/>
      <w:bookmarkStart w:id="76" w:name="_Toc507407361"/>
      <w:bookmarkStart w:id="77" w:name="_Toc6882677"/>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466786437"/>
      <w:bookmarkStart w:id="82" w:name="_Toc6882678"/>
      <w:bookmarkStart w:id="83" w:name="_Toc507407362"/>
      <w:bookmarkStart w:id="84" w:name="_Toc6968690"/>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报价文件内还须包括并不限于：磋商保证金支付凭证银行汇款底单（复印件加盖公章，原件随身携带，以备查核）和磋商保证金汇入情况说明（加盖公章）。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本项目不收取</w:t>
      </w:r>
      <w:r>
        <w:rPr>
          <w:rFonts w:hint="eastAsia" w:ascii="宋体" w:hAnsi="宋体"/>
          <w:b/>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80171880"/>
      <w:bookmarkStart w:id="100" w:name="_Toc480020258"/>
      <w:bookmarkStart w:id="101" w:name="_Toc458262615"/>
      <w:bookmarkStart w:id="102" w:name="_Toc454701382"/>
      <w:bookmarkStart w:id="103" w:name="_Toc503758471"/>
      <w:bookmarkStart w:id="104" w:name="_Toc480010709"/>
      <w:bookmarkStart w:id="105" w:name="_Toc467236741"/>
      <w:bookmarkStart w:id="106" w:name="_Toc468606030"/>
      <w:bookmarkStart w:id="107" w:name="_Toc10456"/>
      <w:bookmarkStart w:id="108" w:name="_Toc468157537"/>
      <w:bookmarkStart w:id="109" w:name="_Toc25734"/>
      <w:bookmarkStart w:id="110" w:name="_Toc479991583"/>
      <w:bookmarkStart w:id="111" w:name="_Toc480021054"/>
      <w:bookmarkStart w:id="112" w:name="_Toc110953842"/>
      <w:bookmarkStart w:id="113" w:name="_Toc46798782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507407363"/>
      <w:bookmarkStart w:id="118" w:name="_Toc466786438"/>
      <w:bookmarkStart w:id="119" w:name="_Toc6968691"/>
      <w:bookmarkStart w:id="120" w:name="_Toc6882679"/>
      <w:bookmarkStart w:id="121"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4400"/>
      <w:bookmarkStart w:id="124" w:name="_Toc110953844"/>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5658"/>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535141844"/>
      <w:bookmarkStart w:id="140" w:name="_Toc17157"/>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磋商保证金瑕疵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包括但不限于：①供应商未按采购文件要求提交磋商保证金；②提交方式、提交时间、提交金额不符合采购文件要求；③磋商保证金有效期不符合采购文件要求。</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48" w:name="_Toc1066"/>
      <w:bookmarkStart w:id="149"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48"/>
      <w:bookmarkEnd w:id="149"/>
    </w:p>
    <w:p>
      <w:pPr>
        <w:pStyle w:val="4"/>
        <w:keepNext w:val="0"/>
        <w:keepLines w:val="0"/>
        <w:numPr>
          <w:ilvl w:val="0"/>
          <w:numId w:val="3"/>
        </w:numPr>
        <w:adjustRightInd/>
        <w:spacing w:before="0" w:after="0" w:line="360" w:lineRule="auto"/>
        <w:rPr>
          <w:rFonts w:hAnsi="宋体"/>
          <w:color w:val="auto"/>
          <w:sz w:val="21"/>
          <w:szCs w:val="21"/>
          <w:highlight w:val="none"/>
        </w:rPr>
      </w:pPr>
      <w:bookmarkStart w:id="150" w:name="_Toc19359"/>
      <w:bookmarkStart w:id="151" w:name="_Toc29068"/>
      <w:r>
        <w:rPr>
          <w:rFonts w:hint="eastAsia" w:hAnsi="宋体"/>
          <w:color w:val="auto"/>
          <w:sz w:val="21"/>
          <w:szCs w:val="21"/>
          <w:highlight w:val="none"/>
        </w:rPr>
        <w:t>确定成交</w:t>
      </w:r>
      <w:bookmarkEnd w:id="150"/>
      <w:bookmarkEnd w:id="15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7569"/>
      <w:bookmarkStart w:id="153" w:name="_Toc3941"/>
      <w:r>
        <w:rPr>
          <w:rFonts w:hint="eastAsia" w:hAnsi="宋体"/>
          <w:color w:val="auto"/>
          <w:sz w:val="21"/>
          <w:szCs w:val="21"/>
          <w:highlight w:val="none"/>
        </w:rPr>
        <w:t>发布采购结果</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29067"/>
      <w:bookmarkStart w:id="155" w:name="_Toc32414"/>
      <w:r>
        <w:rPr>
          <w:rFonts w:hint="eastAsia" w:hAnsi="宋体"/>
          <w:color w:val="auto"/>
          <w:sz w:val="21"/>
          <w:szCs w:val="21"/>
          <w:highlight w:val="none"/>
        </w:rPr>
        <w:t>原件核查</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6" w:name="_Toc3829"/>
      <w:bookmarkStart w:id="157" w:name="_Toc37756778"/>
      <w:bookmarkStart w:id="158" w:name="_Toc31756"/>
      <w:bookmarkStart w:id="159" w:name="_Toc110953852"/>
      <w:bookmarkStart w:id="160"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6"/>
      <w:bookmarkEnd w:id="157"/>
      <w:bookmarkEnd w:id="158"/>
      <w:bookmarkEnd w:id="159"/>
    </w:p>
    <w:p>
      <w:pPr>
        <w:pStyle w:val="4"/>
        <w:keepNext w:val="0"/>
        <w:keepLines w:val="0"/>
        <w:numPr>
          <w:ilvl w:val="0"/>
          <w:numId w:val="3"/>
        </w:numPr>
        <w:adjustRightInd/>
        <w:spacing w:before="0" w:after="0" w:line="360" w:lineRule="auto"/>
        <w:rPr>
          <w:rFonts w:hAnsi="宋体"/>
          <w:color w:val="auto"/>
          <w:sz w:val="21"/>
          <w:szCs w:val="21"/>
          <w:highlight w:val="none"/>
        </w:rPr>
      </w:pPr>
      <w:bookmarkStart w:id="161" w:name="_Toc18000"/>
      <w:bookmarkStart w:id="162" w:name="_Toc29253"/>
      <w:r>
        <w:rPr>
          <w:rFonts w:hint="eastAsia" w:hAnsi="宋体"/>
          <w:color w:val="auto"/>
          <w:sz w:val="21"/>
          <w:szCs w:val="21"/>
          <w:highlight w:val="none"/>
        </w:rPr>
        <w:t>签订合同</w:t>
      </w:r>
      <w:bookmarkEnd w:id="161"/>
      <w:bookmarkEnd w:id="16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采购合同的，采购人可以按照评审报告中推荐的其他成交候选人以由高到低原则确定其他供应商作为成交供应商并签订采购合同，也可以重新开展采购活动。拒绝签订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3" w:name="_Toc12802"/>
      <w:bookmarkStart w:id="164"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3"/>
      <w:bookmarkEnd w:id="164"/>
    </w:p>
    <w:p>
      <w:pPr>
        <w:pStyle w:val="4"/>
        <w:keepNext w:val="0"/>
        <w:keepLines w:val="0"/>
        <w:numPr>
          <w:ilvl w:val="0"/>
          <w:numId w:val="3"/>
        </w:numPr>
        <w:adjustRightInd/>
        <w:spacing w:before="0" w:after="0" w:line="360" w:lineRule="auto"/>
        <w:rPr>
          <w:rFonts w:hAnsi="宋体"/>
          <w:color w:val="auto"/>
          <w:sz w:val="21"/>
          <w:szCs w:val="21"/>
          <w:highlight w:val="none"/>
        </w:rPr>
      </w:pPr>
      <w:bookmarkStart w:id="165" w:name="_Toc452"/>
      <w:bookmarkStart w:id="166" w:name="_Toc18663"/>
      <w:r>
        <w:rPr>
          <w:rFonts w:hint="eastAsia" w:hAnsi="宋体"/>
          <w:color w:val="auto"/>
          <w:sz w:val="21"/>
          <w:szCs w:val="21"/>
          <w:highlight w:val="none"/>
        </w:rPr>
        <w:t>询问</w:t>
      </w:r>
      <w:bookmarkEnd w:id="165"/>
      <w:bookmarkEnd w:id="16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20114"/>
      <w:bookmarkStart w:id="168" w:name="_Toc17155"/>
      <w:r>
        <w:rPr>
          <w:rFonts w:hint="eastAsia" w:hAnsi="宋体"/>
          <w:color w:val="auto"/>
          <w:sz w:val="21"/>
          <w:szCs w:val="21"/>
          <w:highlight w:val="none"/>
        </w:rPr>
        <w:t>质疑</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部门列入不良行为记录名单，禁止其1至3年内参加全国范围内的采购活动：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以联合体形式参加采购活动的，其质疑应当由组成联合体的所有供应商共同提出。</w:t>
      </w:r>
    </w:p>
    <w:p>
      <w:pPr>
        <w:bidi w:val="0"/>
        <w:rPr>
          <w:color w:val="auto"/>
          <w:highlight w:val="none"/>
        </w:rPr>
      </w:pPr>
    </w:p>
    <w:bookmarkEnd w:id="160"/>
    <w:p>
      <w:pPr>
        <w:pStyle w:val="3"/>
        <w:keepNext w:val="0"/>
        <w:keepLines w:val="0"/>
        <w:spacing w:before="0" w:after="0" w:line="360" w:lineRule="auto"/>
        <w:jc w:val="center"/>
        <w:rPr>
          <w:rFonts w:ascii="宋体" w:hAnsi="宋体" w:eastAsia="宋体"/>
          <w:color w:val="auto"/>
          <w:sz w:val="24"/>
          <w:szCs w:val="21"/>
          <w:highlight w:val="none"/>
        </w:rPr>
      </w:pPr>
      <w:bookmarkStart w:id="169" w:name="_Toc5474"/>
      <w:bookmarkStart w:id="170"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69"/>
      <w:bookmarkEnd w:id="170"/>
    </w:p>
    <w:p>
      <w:pPr>
        <w:pStyle w:val="4"/>
        <w:keepNext w:val="0"/>
        <w:keepLines w:val="0"/>
        <w:numPr>
          <w:ilvl w:val="0"/>
          <w:numId w:val="3"/>
        </w:numPr>
        <w:adjustRightInd/>
        <w:spacing w:before="0" w:after="0" w:line="360" w:lineRule="auto"/>
        <w:rPr>
          <w:rFonts w:hAnsi="宋体"/>
          <w:color w:val="auto"/>
          <w:sz w:val="21"/>
          <w:szCs w:val="21"/>
          <w:highlight w:val="none"/>
        </w:rPr>
      </w:pPr>
      <w:bookmarkStart w:id="171" w:name="_Toc26991"/>
      <w:bookmarkStart w:id="172" w:name="_Toc9437"/>
      <w:r>
        <w:rPr>
          <w:rFonts w:hint="eastAsia" w:hAnsi="宋体"/>
          <w:color w:val="auto"/>
          <w:sz w:val="21"/>
          <w:szCs w:val="21"/>
          <w:highlight w:val="none"/>
        </w:rPr>
        <w:t>成交服务费</w:t>
      </w:r>
      <w:bookmarkEnd w:id="171"/>
      <w:bookmarkEnd w:id="17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3" w:name="_Ref179619574"/>
      <w:r>
        <w:rPr>
          <w:rFonts w:hint="eastAsia" w:ascii="宋体" w:hAnsi="宋体" w:eastAsia="宋体"/>
          <w:color w:val="auto"/>
          <w:sz w:val="21"/>
          <w:szCs w:val="21"/>
          <w:highlight w:val="none"/>
        </w:rPr>
        <w:t>成交人应按照磋商文件中的规定交纳成交服务费。</w:t>
      </w:r>
      <w:bookmarkEnd w:id="173"/>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4" w:name="_Toc7834"/>
      <w:bookmarkStart w:id="175" w:name="_Toc18389"/>
      <w:bookmarkStart w:id="176" w:name="_Toc56353011"/>
      <w:bookmarkStart w:id="177" w:name="_Toc51939456"/>
      <w:bookmarkStart w:id="178" w:name="_Toc486671570"/>
      <w:bookmarkStart w:id="179" w:name="_Toc476976198"/>
      <w:bookmarkStart w:id="180" w:name="_Toc467049706"/>
      <w:bookmarkStart w:id="181" w:name="_Toc52021538"/>
      <w:bookmarkStart w:id="182" w:name="_Toc52027926"/>
      <w:bookmarkStart w:id="183" w:name="_Toc457975339"/>
      <w:bookmarkStart w:id="184" w:name="_Toc467236766"/>
      <w:bookmarkStart w:id="185" w:name="_Toc467050236"/>
      <w:bookmarkStart w:id="186" w:name="_Toc51756491"/>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4"/>
      <w:bookmarkEnd w:id="175"/>
    </w:p>
    <w:p>
      <w:pPr>
        <w:pStyle w:val="4"/>
        <w:keepNext w:val="0"/>
        <w:keepLines w:val="0"/>
        <w:numPr>
          <w:ilvl w:val="0"/>
          <w:numId w:val="3"/>
        </w:numPr>
        <w:adjustRightInd/>
        <w:spacing w:before="0" w:after="0" w:line="360" w:lineRule="auto"/>
        <w:rPr>
          <w:rFonts w:hAnsi="宋体"/>
          <w:color w:val="auto"/>
          <w:sz w:val="21"/>
          <w:szCs w:val="21"/>
          <w:highlight w:val="none"/>
        </w:rPr>
      </w:pPr>
      <w:bookmarkStart w:id="187" w:name="_Toc31522"/>
      <w:bookmarkStart w:id="188" w:name="_Toc10953"/>
      <w:r>
        <w:rPr>
          <w:rFonts w:hint="eastAsia" w:hAnsi="宋体"/>
          <w:color w:val="auto"/>
          <w:sz w:val="21"/>
          <w:szCs w:val="21"/>
          <w:highlight w:val="none"/>
        </w:rPr>
        <w:t>磋商文件的解释权</w:t>
      </w:r>
      <w:bookmarkEnd w:id="187"/>
      <w:bookmarkEnd w:id="18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本采购文件是根据国家有关法律、法规以及采购管理有关规定和参照国际惯例编制，解释权属本采购代理机构。</w:t>
      </w:r>
    </w:p>
    <w:p>
      <w:pPr>
        <w:bidi w:val="0"/>
        <w:rPr>
          <w:color w:val="auto"/>
          <w:highlight w:val="none"/>
        </w:rPr>
      </w:pPr>
      <w:r>
        <w:rPr>
          <w:color w:val="auto"/>
          <w:highlight w:val="none"/>
        </w:rPr>
        <w:br w:type="page"/>
      </w:r>
      <w:bookmarkEnd w:id="176"/>
      <w:bookmarkEnd w:id="177"/>
      <w:bookmarkEnd w:id="178"/>
      <w:bookmarkEnd w:id="179"/>
      <w:bookmarkEnd w:id="180"/>
      <w:bookmarkEnd w:id="181"/>
      <w:bookmarkEnd w:id="182"/>
      <w:bookmarkEnd w:id="183"/>
      <w:bookmarkEnd w:id="184"/>
      <w:bookmarkEnd w:id="185"/>
      <w:bookmarkEnd w:id="186"/>
    </w:p>
    <w:bookmarkEnd w:id="20"/>
    <w:p>
      <w:pPr>
        <w:pStyle w:val="3"/>
        <w:spacing w:before="0" w:after="0" w:line="240" w:lineRule="auto"/>
        <w:rPr>
          <w:rFonts w:hint="eastAsia"/>
          <w:color w:val="auto"/>
          <w:sz w:val="28"/>
          <w:szCs w:val="28"/>
          <w:highlight w:val="none"/>
        </w:rPr>
      </w:pPr>
      <w:bookmarkStart w:id="189" w:name="_Toc7011"/>
      <w:bookmarkStart w:id="190" w:name="_Toc31854"/>
      <w:bookmarkStart w:id="191"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89"/>
      <w:bookmarkEnd w:id="190"/>
      <w:bookmarkEnd w:id="191"/>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2" w:name="_Toc31162"/>
      <w:r>
        <w:rPr>
          <w:rFonts w:hint="eastAsia" w:ascii="宋体" w:hAnsi="宋体"/>
          <w:color w:val="auto"/>
          <w:highlight w:val="none"/>
          <w:lang w:val="en-US" w:eastAsia="zh-CN"/>
        </w:rPr>
        <w:t>第一章 商务需求书</w:t>
      </w:r>
      <w:bookmarkEnd w:id="192"/>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63"/>
        <w:gridCol w:w="6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Times New Roman"/>
                <w:b/>
                <w:color w:val="auto"/>
                <w:kern w:val="2"/>
                <w:sz w:val="24"/>
                <w:szCs w:val="22"/>
                <w:highlight w:val="none"/>
                <w:vertAlign w:val="baseline"/>
                <w:lang w:val="en-US" w:eastAsia="zh-CN" w:bidi="ar-SA"/>
              </w:rPr>
            </w:pPr>
            <w:r>
              <w:rPr>
                <w:rFonts w:hint="eastAsia" w:ascii="宋体" w:hAnsi="宋体" w:eastAsia="宋体" w:cs="宋体"/>
                <w:b/>
                <w:bCs w:val="0"/>
                <w:color w:val="auto"/>
                <w:kern w:val="2"/>
                <w:sz w:val="21"/>
                <w:szCs w:val="21"/>
                <w:highlight w:val="none"/>
                <w:lang w:val="en-US" w:eastAsia="zh-CN" w:bidi="ar-SA"/>
              </w:rPr>
              <w:t>序号</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需求名称</w:t>
            </w:r>
          </w:p>
        </w:tc>
        <w:tc>
          <w:tcPr>
            <w:tcW w:w="6717"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1</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完工期</w:t>
            </w:r>
          </w:p>
        </w:tc>
        <w:tc>
          <w:tcPr>
            <w:tcW w:w="6717"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color w:val="auto"/>
                <w:szCs w:val="24"/>
                <w:highlight w:val="none"/>
              </w:rPr>
              <w:t>自合同签订后</w:t>
            </w:r>
            <w:r>
              <w:rPr>
                <w:rFonts w:hint="eastAsia" w:ascii="宋体" w:hAnsi="宋体" w:cs="宋体"/>
                <w:color w:val="auto"/>
                <w:szCs w:val="24"/>
                <w:highlight w:val="none"/>
                <w:lang w:val="en-US" w:eastAsia="zh-CN"/>
              </w:rPr>
              <w:t>132</w:t>
            </w:r>
            <w:r>
              <w:rPr>
                <w:rFonts w:hint="eastAsia" w:ascii="宋体" w:hAnsi="宋体" w:cs="宋体"/>
                <w:color w:val="auto"/>
                <w:szCs w:val="24"/>
                <w:highlight w:val="none"/>
              </w:rPr>
              <w:t>个日历天内完成。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2</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服务地点</w:t>
            </w:r>
          </w:p>
        </w:tc>
        <w:tc>
          <w:tcPr>
            <w:tcW w:w="6717"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hAnsi="宋体" w:cs="宋体"/>
                <w:b w:val="0"/>
                <w:bCs/>
                <w:color w:val="auto"/>
                <w:kern w:val="2"/>
                <w:sz w:val="21"/>
                <w:szCs w:val="21"/>
                <w:highlight w:val="none"/>
                <w:lang w:eastAsia="zh-CN"/>
              </w:rPr>
              <w:t>采购人</w:t>
            </w:r>
            <w:r>
              <w:rPr>
                <w:rFonts w:hint="eastAsia" w:ascii="宋体" w:hAnsi="宋体" w:eastAsia="宋体" w:cs="宋体"/>
                <w:b w:val="0"/>
                <w:bCs/>
                <w:color w:val="auto"/>
                <w:kern w:val="2"/>
                <w:sz w:val="21"/>
                <w:szCs w:val="21"/>
                <w:highlight w:val="none"/>
              </w:rPr>
              <w:t>指定地点。（如有变化另行确定）。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3</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报价要求</w:t>
            </w:r>
          </w:p>
        </w:tc>
        <w:tc>
          <w:tcPr>
            <w:tcW w:w="6717" w:type="dxa"/>
            <w:noWrap w:val="0"/>
            <w:vAlign w:val="center"/>
          </w:tcPr>
          <w:p>
            <w:pPr>
              <w:keepNext w:val="0"/>
              <w:keepLines w:val="0"/>
              <w:pageBreakBefore w:val="0"/>
              <w:widowControl/>
              <w:kinsoku/>
              <w:wordWrap/>
              <w:overflowPunct/>
              <w:topLinePunct w:val="0"/>
              <w:autoSpaceDE/>
              <w:autoSpaceDN/>
              <w:bidi w:val="0"/>
              <w:adjustRightInd/>
              <w:snapToGrid/>
              <w:spacing w:after="0" w:line="288" w:lineRule="auto"/>
              <w:ind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 xml:space="preserve">1、供应商的报价包括但不限于绿色施工安全防护措施费、其他措施项目费、货物及零配件的购置和安装费、人工费、材料费、运输费、质保期售后服务费、应缴纳的增值税和其它税等全部税费以及履行合同所需的费用、所有风险、责任等其他一切隐含及不可预见的费用。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zh-CN"/>
              </w:rPr>
              <w:t>2、</w:t>
            </w:r>
            <w:r>
              <w:rPr>
                <w:rFonts w:hint="eastAsia" w:ascii="宋体" w:hAnsi="宋体" w:eastAsia="宋体" w:cs="宋体"/>
                <w:color w:val="auto"/>
                <w:kern w:val="2"/>
                <w:sz w:val="21"/>
                <w:szCs w:val="21"/>
                <w:highlight w:val="none"/>
                <w:lang w:val="zh-CN" w:eastAsia="zh-CN" w:bidi="zh-CN"/>
              </w:rPr>
              <w:t>本项目预算包含绿色施工安全防护措施费：</w:t>
            </w:r>
            <w:r>
              <w:rPr>
                <w:rFonts w:hint="eastAsia" w:ascii="宋体" w:hAnsi="宋体" w:cs="宋体"/>
                <w:color w:val="auto"/>
                <w:kern w:val="2"/>
                <w:sz w:val="21"/>
                <w:szCs w:val="21"/>
                <w:highlight w:val="none"/>
                <w:lang w:val="zh-CN" w:eastAsia="zh-CN" w:bidi="zh-CN"/>
              </w:rPr>
              <w:t>637,171.00</w:t>
            </w:r>
            <w:r>
              <w:rPr>
                <w:rFonts w:hint="eastAsia" w:ascii="宋体" w:hAnsi="宋体" w:eastAsia="宋体" w:cs="宋体"/>
                <w:color w:val="auto"/>
                <w:kern w:val="2"/>
                <w:sz w:val="21"/>
                <w:szCs w:val="21"/>
                <w:highlight w:val="none"/>
                <w:lang w:val="zh-CN" w:eastAsia="zh-CN" w:bidi="zh-CN"/>
              </w:rPr>
              <w:t>元，</w:t>
            </w:r>
            <w:r>
              <w:rPr>
                <w:rFonts w:hint="eastAsia" w:ascii="宋体" w:hAnsi="宋体" w:eastAsia="宋体" w:cs="宋体"/>
                <w:b/>
                <w:bCs/>
                <w:color w:val="auto"/>
                <w:kern w:val="2"/>
                <w:sz w:val="21"/>
                <w:szCs w:val="21"/>
                <w:highlight w:val="none"/>
                <w:lang w:val="zh-CN" w:eastAsia="zh-CN" w:bidi="zh-CN"/>
              </w:rPr>
              <w:t>绿色施工安全防护措施费按给定固定金额进行填报，不作下浮。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4</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付款方式</w:t>
            </w:r>
          </w:p>
        </w:tc>
        <w:tc>
          <w:tcPr>
            <w:tcW w:w="671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工程竣工验收合格，并结算完毕后，提交请款报告30个工作日内支付至结算价的97%，剩余3%工程款作为工程质量保证金。质保期满1年后支付。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5</w:t>
            </w:r>
          </w:p>
        </w:tc>
        <w:tc>
          <w:tcPr>
            <w:tcW w:w="1163" w:type="dxa"/>
            <w:noWrap w:val="0"/>
            <w:vAlign w:val="center"/>
          </w:tcPr>
          <w:p>
            <w:pPr>
              <w:jc w:val="center"/>
              <w:rPr>
                <w:rFonts w:hint="eastAsia" w:ascii="宋体" w:hAnsi="宋体" w:eastAsia="宋体" w:cs="宋体"/>
                <w:b w:val="0"/>
                <w:bCs/>
                <w:color w:val="auto"/>
                <w:kern w:val="2"/>
                <w:sz w:val="21"/>
                <w:szCs w:val="21"/>
                <w:highlight w:val="none"/>
                <w:lang w:eastAsia="zh-CN"/>
              </w:rPr>
            </w:pPr>
            <w:r>
              <w:rPr>
                <w:rFonts w:hint="eastAsia" w:ascii="宋体" w:hAnsi="宋体" w:cs="宋体"/>
                <w:color w:val="auto"/>
                <w:szCs w:val="24"/>
                <w:highlight w:val="none"/>
              </w:rPr>
              <w:t>质保期</w:t>
            </w:r>
          </w:p>
        </w:tc>
        <w:tc>
          <w:tcPr>
            <w:tcW w:w="6717" w:type="dxa"/>
            <w:noWrap w:val="0"/>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cs="宋体"/>
                <w:color w:val="auto"/>
                <w:szCs w:val="24"/>
                <w:highlight w:val="none"/>
              </w:rPr>
              <w:t>项目总体质保期为项目竣工验收合格之日起</w:t>
            </w:r>
            <w:r>
              <w:rPr>
                <w:rFonts w:hint="eastAsia" w:ascii="宋体" w:hAnsi="宋体" w:cs="宋体"/>
                <w:color w:val="auto"/>
                <w:szCs w:val="24"/>
                <w:highlight w:val="none"/>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6</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合同条款</w:t>
            </w:r>
          </w:p>
        </w:tc>
        <w:tc>
          <w:tcPr>
            <w:tcW w:w="671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供应商响应本项目合同各项条款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7</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工程质量要求</w:t>
            </w:r>
          </w:p>
        </w:tc>
        <w:tc>
          <w:tcPr>
            <w:tcW w:w="671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达到国家或行业质量检验评定的</w:t>
            </w:r>
            <w:r>
              <w:rPr>
                <w:rFonts w:hint="eastAsia" w:ascii="宋体" w:hAnsi="宋体" w:eastAsia="宋体" w:cs="宋体"/>
                <w:b w:val="0"/>
                <w:bCs/>
                <w:color w:val="auto"/>
                <w:kern w:val="2"/>
                <w:sz w:val="21"/>
                <w:szCs w:val="21"/>
                <w:highlight w:val="none"/>
                <w:u w:val="single"/>
                <w:lang w:val="en-US" w:eastAsia="zh-CN" w:bidi="ar-SA"/>
              </w:rPr>
              <w:t xml:space="preserve"> 合格 </w:t>
            </w:r>
            <w:r>
              <w:rPr>
                <w:rFonts w:hint="eastAsia" w:ascii="宋体" w:hAnsi="宋体" w:eastAsia="宋体" w:cs="宋体"/>
                <w:b w:val="0"/>
                <w:bCs/>
                <w:color w:val="auto"/>
                <w:kern w:val="2"/>
                <w:sz w:val="21"/>
                <w:szCs w:val="21"/>
                <w:highlight w:val="none"/>
                <w:lang w:val="en-US" w:eastAsia="zh-CN" w:bidi="ar-SA"/>
              </w:rPr>
              <w:t>标准。</w:t>
            </w:r>
          </w:p>
        </w:tc>
      </w:tr>
    </w:tbl>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3" w:name="_Toc19981"/>
      <w:r>
        <w:rPr>
          <w:rFonts w:hint="eastAsia" w:ascii="宋体" w:hAnsi="宋体"/>
          <w:color w:val="auto"/>
          <w:highlight w:val="none"/>
          <w:lang w:val="en-US" w:eastAsia="zh-CN"/>
        </w:rPr>
        <w:t>第二章 技术需求书</w:t>
      </w:r>
      <w:bookmarkEnd w:id="193"/>
    </w:p>
    <w:p>
      <w:pPr>
        <w:pStyle w:val="5"/>
        <w:bidi w:val="0"/>
        <w:rPr>
          <w:rFonts w:eastAsia="宋体"/>
          <w:color w:val="auto"/>
          <w:highlight w:val="none"/>
        </w:rPr>
      </w:pPr>
      <w:bookmarkStart w:id="194" w:name="_Toc24679"/>
      <w:bookmarkStart w:id="195" w:name="_Toc13112"/>
      <w:bookmarkStart w:id="196" w:name="_Toc31278"/>
      <w:bookmarkStart w:id="197" w:name="_Toc14462"/>
      <w:r>
        <w:rPr>
          <w:rFonts w:hint="eastAsia"/>
          <w:color w:val="auto"/>
          <w:highlight w:val="none"/>
          <w:lang w:val="en-US" w:eastAsia="zh-CN"/>
        </w:rPr>
        <w:t>一</w:t>
      </w:r>
      <w:r>
        <w:rPr>
          <w:rFonts w:hint="eastAsia" w:eastAsia="宋体"/>
          <w:color w:val="auto"/>
          <w:highlight w:val="none"/>
          <w:lang w:val="en-US" w:eastAsia="zh-CN"/>
        </w:rPr>
        <w:t>、</w:t>
      </w:r>
      <w:r>
        <w:rPr>
          <w:rFonts w:hint="eastAsia" w:eastAsia="宋体"/>
          <w:color w:val="auto"/>
          <w:highlight w:val="none"/>
        </w:rPr>
        <w:t>技术标准和要求</w:t>
      </w:r>
    </w:p>
    <w:p>
      <w:pPr>
        <w:widowControl w:val="0"/>
        <w:autoSpaceDE w:val="0"/>
        <w:autoSpaceDN w:val="0"/>
        <w:adjustRightInd/>
        <w:snapToGrid/>
        <w:spacing w:after="0" w:line="288"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1、本招标项目的材料、施工、验收须达到现行中华人民共和国以及省、自治区、直辖市、市或行业的工程建设标准、规范的要求。</w:t>
      </w:r>
    </w:p>
    <w:p>
      <w:pPr>
        <w:widowControl w:val="0"/>
        <w:autoSpaceDE w:val="0"/>
        <w:autoSpaceDN w:val="0"/>
        <w:adjustRightInd/>
        <w:snapToGrid/>
        <w:spacing w:after="0" w:line="288"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color w:val="auto"/>
          <w:sz w:val="21"/>
          <w:highlight w:val="none"/>
        </w:rPr>
        <w:t>本项目</w:t>
      </w:r>
      <w:r>
        <w:rPr>
          <w:rFonts w:hint="eastAsia"/>
          <w:color w:val="auto"/>
          <w:sz w:val="21"/>
          <w:highlight w:val="none"/>
          <w:lang w:val="en-US" w:eastAsia="zh-CN"/>
        </w:rPr>
        <w:t>项目清单特征描述如</w:t>
      </w:r>
      <w:r>
        <w:rPr>
          <w:color w:val="auto"/>
          <w:sz w:val="21"/>
          <w:highlight w:val="none"/>
        </w:rPr>
        <w:t>涉及具体品牌、型号、产地的产品，仅作为项目质量水平与配置的参考，在不低于此基准的前提下，</w:t>
      </w:r>
      <w:r>
        <w:rPr>
          <w:rFonts w:hint="eastAsia"/>
          <w:color w:val="auto"/>
          <w:sz w:val="21"/>
          <w:highlight w:val="none"/>
          <w:lang w:val="en-US" w:eastAsia="zh-CN"/>
        </w:rPr>
        <w:t>供应商</w:t>
      </w:r>
      <w:r>
        <w:rPr>
          <w:color w:val="auto"/>
          <w:sz w:val="21"/>
          <w:highlight w:val="none"/>
        </w:rPr>
        <w:t>可以选用同档次或更优的同类产品替代。</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.2施工组织方案需列明保证施工进度计划实施及保证质量、安全生产、文明施工、环境保护的措施；</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供应商应结合自身的实际情况制定合理的施工进度计划。</w:t>
      </w:r>
    </w:p>
    <w:p>
      <w:pPr>
        <w:pStyle w:val="7"/>
        <w:spacing w:before="0" w:after="0"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.3.结合施工现场的实际情况进行施工组织设计（如须采用较复杂的施工技术的施工方案），施工中因施工方案及施工措施所引起的费用由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供应商负责。</w:t>
      </w:r>
    </w:p>
    <w:p>
      <w:pPr>
        <w:pStyle w:val="7"/>
        <w:spacing w:before="0" w:after="0" w:line="360" w:lineRule="auto"/>
        <w:ind w:left="0" w:firstLine="420" w:firstLineChars="200"/>
        <w:rPr>
          <w:color w:val="auto"/>
          <w:highlight w:val="none"/>
        </w:rPr>
      </w:pPr>
      <w:r>
        <w:rPr>
          <w:rFonts w:hint="eastAsia"/>
          <w:color w:val="auto"/>
          <w:sz w:val="21"/>
          <w:szCs w:val="21"/>
          <w:highlight w:val="none"/>
          <w:lang w:val="en-US"/>
        </w:rPr>
        <w:t>★</w:t>
      </w:r>
      <w:r>
        <w:rPr>
          <w:rFonts w:hint="eastAsia"/>
          <w:color w:val="auto"/>
          <w:sz w:val="21"/>
          <w:szCs w:val="21"/>
          <w:highlight w:val="none"/>
          <w:lang w:val="en-US" w:eastAsia="zh-CN"/>
        </w:rPr>
        <w:t>4、供应商</w:t>
      </w:r>
      <w:r>
        <w:rPr>
          <w:rFonts w:hint="eastAsia"/>
          <w:color w:val="auto"/>
          <w:sz w:val="21"/>
          <w:szCs w:val="21"/>
          <w:highlight w:val="none"/>
          <w:lang w:val="en-US"/>
        </w:rPr>
        <w:t>须在</w:t>
      </w:r>
      <w:r>
        <w:rPr>
          <w:rFonts w:hint="eastAsia"/>
          <w:color w:val="auto"/>
          <w:sz w:val="21"/>
          <w:szCs w:val="21"/>
          <w:highlight w:val="none"/>
          <w:lang w:val="en-US" w:eastAsia="zh-CN"/>
        </w:rPr>
        <w:t>响应</w:t>
      </w:r>
      <w:r>
        <w:rPr>
          <w:rFonts w:hint="eastAsia"/>
          <w:color w:val="auto"/>
          <w:sz w:val="21"/>
          <w:szCs w:val="21"/>
          <w:highlight w:val="none"/>
          <w:lang w:val="en-US"/>
        </w:rPr>
        <w:t>文件中以承诺函形式承诺：</w:t>
      </w:r>
      <w:r>
        <w:rPr>
          <w:rFonts w:hint="eastAsia"/>
          <w:color w:val="auto"/>
          <w:sz w:val="21"/>
          <w:szCs w:val="21"/>
          <w:highlight w:val="none"/>
          <w:lang w:val="en-US" w:eastAsia="zh-CN"/>
        </w:rPr>
        <w:t>成交</w:t>
      </w:r>
      <w:r>
        <w:rPr>
          <w:rFonts w:hint="eastAsia"/>
          <w:color w:val="auto"/>
          <w:sz w:val="21"/>
          <w:szCs w:val="21"/>
          <w:highlight w:val="none"/>
          <w:lang w:val="en-US"/>
        </w:rPr>
        <w:t>后，若</w:t>
      </w:r>
      <w:r>
        <w:rPr>
          <w:rFonts w:hint="eastAsia"/>
          <w:color w:val="auto"/>
          <w:sz w:val="21"/>
          <w:szCs w:val="21"/>
          <w:highlight w:val="none"/>
          <w:lang w:val="en-US" w:eastAsia="zh-CN"/>
        </w:rPr>
        <w:t>成交</w:t>
      </w:r>
      <w:r>
        <w:rPr>
          <w:rFonts w:hint="eastAsia"/>
          <w:color w:val="auto"/>
          <w:sz w:val="21"/>
          <w:szCs w:val="21"/>
          <w:highlight w:val="none"/>
          <w:lang w:val="en-US"/>
        </w:rPr>
        <w:t>人没有相关</w:t>
      </w:r>
      <w:r>
        <w:rPr>
          <w:rFonts w:hint="eastAsia"/>
          <w:color w:val="auto"/>
          <w:sz w:val="21"/>
          <w:szCs w:val="21"/>
          <w:highlight w:val="none"/>
          <w:lang w:val="en-US" w:eastAsia="zh-CN"/>
        </w:rPr>
        <w:t>安装（或维修）</w:t>
      </w:r>
      <w:r>
        <w:rPr>
          <w:rFonts w:hint="eastAsia"/>
          <w:color w:val="auto"/>
          <w:sz w:val="21"/>
          <w:szCs w:val="21"/>
          <w:highlight w:val="none"/>
          <w:lang w:val="en-US"/>
        </w:rPr>
        <w:t>资质，经采购人同意后，可将本项目</w:t>
      </w:r>
      <w:r>
        <w:rPr>
          <w:rFonts w:hint="eastAsia"/>
          <w:color w:val="auto"/>
          <w:sz w:val="21"/>
          <w:szCs w:val="21"/>
          <w:highlight w:val="none"/>
          <w:lang w:val="en-US" w:eastAsia="zh-CN"/>
        </w:rPr>
        <w:t>需要相关安装（或维修）资质</w:t>
      </w:r>
      <w:r>
        <w:rPr>
          <w:rFonts w:hint="eastAsia"/>
          <w:color w:val="auto"/>
          <w:sz w:val="21"/>
          <w:szCs w:val="21"/>
          <w:highlight w:val="none"/>
          <w:lang w:val="en-US"/>
        </w:rPr>
        <w:t>部分的</w:t>
      </w:r>
      <w:r>
        <w:rPr>
          <w:rFonts w:hint="eastAsia"/>
          <w:color w:val="auto"/>
          <w:sz w:val="21"/>
          <w:szCs w:val="21"/>
          <w:highlight w:val="none"/>
          <w:lang w:val="en-US" w:eastAsia="zh-CN"/>
        </w:rPr>
        <w:t>安装（或维修）</w:t>
      </w:r>
      <w:r>
        <w:rPr>
          <w:rFonts w:hint="eastAsia"/>
          <w:color w:val="auto"/>
          <w:sz w:val="21"/>
          <w:szCs w:val="21"/>
          <w:highlight w:val="none"/>
          <w:lang w:val="en-US"/>
        </w:rPr>
        <w:t>分包给有相应资质的公司实施，</w:t>
      </w:r>
      <w:r>
        <w:rPr>
          <w:rFonts w:hint="eastAsia"/>
          <w:color w:val="auto"/>
          <w:sz w:val="21"/>
          <w:szCs w:val="21"/>
          <w:highlight w:val="none"/>
          <w:lang w:val="en-US" w:eastAsia="zh-CN"/>
        </w:rPr>
        <w:t>供应商</w:t>
      </w:r>
      <w:r>
        <w:rPr>
          <w:rFonts w:hint="eastAsia"/>
          <w:color w:val="auto"/>
          <w:sz w:val="21"/>
          <w:szCs w:val="21"/>
          <w:highlight w:val="none"/>
          <w:lang w:val="en-US"/>
        </w:rPr>
        <w:t>须对该部分施工承担连带责任。（须提供承诺函）</w:t>
      </w:r>
    </w:p>
    <w:p>
      <w:pPr>
        <w:pStyle w:val="5"/>
        <w:bidi w:val="0"/>
        <w:rPr>
          <w:rFonts w:hint="eastAsia" w:eastAsia="宋体"/>
          <w:color w:val="auto"/>
          <w:highlight w:val="none"/>
        </w:rPr>
      </w:pPr>
      <w:r>
        <w:rPr>
          <w:rFonts w:hint="eastAsia"/>
          <w:color w:val="auto"/>
          <w:highlight w:val="none"/>
          <w:lang w:val="en-US" w:eastAsia="zh-CN"/>
        </w:rPr>
        <w:t>二</w:t>
      </w:r>
      <w:r>
        <w:rPr>
          <w:rFonts w:hint="eastAsia" w:eastAsia="宋体"/>
          <w:color w:val="auto"/>
          <w:highlight w:val="none"/>
          <w:lang w:val="en-US" w:eastAsia="zh-CN"/>
        </w:rPr>
        <w:t>、</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供应商保管不力而导致的返工、翻工、维修等各项相关费用均由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供应商必须保证质量，选用的材料和施工质量要求符合合同所列标准。如</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供应商投标时承诺的技术标准高于采购人要求，则按</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供应商投标文件的要求标准提供产品及施工。</w:t>
      </w:r>
    </w:p>
    <w:p>
      <w:pPr>
        <w:spacing w:after="0" w:line="360" w:lineRule="auto"/>
        <w:ind w:firstLine="420" w:firstLineChars="200"/>
        <w:textAlignment w:val="baseline"/>
        <w:rPr>
          <w:color w:val="auto"/>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供应商应建立并实施符合工程各项要求的质量管理体系，如因</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供应商原因，使得项目工作受到影响，相应责任由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供应商承担</w:t>
      </w:r>
      <w:r>
        <w:rPr>
          <w:rFonts w:hint="eastAsia" w:ascii="宋体" w:hAnsi="宋体" w:eastAsia="宋体" w:cs="宋体"/>
          <w:color w:val="auto"/>
          <w:sz w:val="21"/>
          <w:szCs w:val="21"/>
          <w:highlight w:val="none"/>
          <w:lang w:eastAsia="zh-CN"/>
        </w:rPr>
        <w:t>。</w:t>
      </w:r>
    </w:p>
    <w:p>
      <w:pPr>
        <w:pStyle w:val="5"/>
        <w:bidi w:val="0"/>
        <w:rPr>
          <w:rFonts w:hint="eastAsia" w:eastAsia="宋体"/>
          <w:color w:val="auto"/>
          <w:highlight w:val="none"/>
        </w:rPr>
      </w:pPr>
      <w:r>
        <w:rPr>
          <w:rFonts w:hint="eastAsia"/>
          <w:color w:val="auto"/>
          <w:highlight w:val="none"/>
          <w:lang w:val="en-US" w:eastAsia="zh-CN"/>
        </w:rPr>
        <w:t>三</w:t>
      </w:r>
      <w:r>
        <w:rPr>
          <w:rFonts w:hint="eastAsia" w:eastAsia="宋体"/>
          <w:color w:val="auto"/>
          <w:highlight w:val="none"/>
          <w:lang w:val="en-US" w:eastAsia="zh-CN"/>
        </w:rPr>
        <w:t>、</w:t>
      </w:r>
      <w:r>
        <w:rPr>
          <w:rFonts w:hint="eastAsia" w:eastAsia="宋体"/>
          <w:color w:val="auto"/>
          <w:highlight w:val="none"/>
        </w:rPr>
        <w:t>服务企业应当履行下列义务</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1、遵守国家法律、法规和政策，遵守社会公德，自觉维护建筑市场秩序。</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2、遵守诚实信用原则，积极与采购人建立良好合作关系，认真履行服务合同。</w:t>
      </w:r>
    </w:p>
    <w:p>
      <w:pPr>
        <w:spacing w:after="0" w:line="360" w:lineRule="auto"/>
        <w:ind w:firstLine="420" w:firstLineChars="200"/>
        <w:textAlignment w:val="baseline"/>
        <w:rPr>
          <w:rFonts w:hint="eastAsia"/>
          <w:color w:val="auto"/>
          <w:highlight w:val="none"/>
        </w:rPr>
      </w:pPr>
      <w:r>
        <w:rPr>
          <w:rFonts w:hint="eastAsia" w:ascii="宋体" w:hAnsi="宋体" w:eastAsia="宋体" w:cs="宋体"/>
          <w:color w:val="auto"/>
          <w:sz w:val="21"/>
          <w:szCs w:val="21"/>
          <w:highlight w:val="none"/>
        </w:rPr>
        <w:t>3、严格服从管理要求，自觉接受履约评价。</w:t>
      </w:r>
    </w:p>
    <w:p>
      <w:pPr>
        <w:pStyle w:val="5"/>
        <w:bidi w:val="0"/>
        <w:rPr>
          <w:rFonts w:hint="default" w:eastAsia="宋体"/>
          <w:color w:val="auto"/>
          <w:highlight w:val="none"/>
          <w:lang w:val="en-US" w:eastAsia="zh-CN"/>
        </w:rPr>
      </w:pPr>
      <w:r>
        <w:rPr>
          <w:rFonts w:hint="eastAsia"/>
          <w:color w:val="auto"/>
          <w:highlight w:val="none"/>
          <w:lang w:val="en-US" w:eastAsia="zh-CN"/>
        </w:rPr>
        <w:t>四</w:t>
      </w:r>
      <w:r>
        <w:rPr>
          <w:rFonts w:hint="eastAsia" w:eastAsia="宋体"/>
          <w:color w:val="auto"/>
          <w:highlight w:val="none"/>
          <w:lang w:val="en-US" w:eastAsia="zh-CN"/>
        </w:rPr>
        <w:t>、项目清单</w:t>
      </w:r>
    </w:p>
    <w:p>
      <w:pPr>
        <w:spacing w:after="0" w:line="360" w:lineRule="auto"/>
        <w:ind w:firstLine="422" w:firstLineChars="200"/>
        <w:rPr>
          <w:rFonts w:hint="default" w:ascii="宋体" w:hAnsi="宋体" w:cs="Times New Roman"/>
          <w:b/>
          <w:bCs/>
          <w:color w:val="auto"/>
          <w:sz w:val="21"/>
          <w:szCs w:val="21"/>
          <w:highlight w:val="none"/>
          <w:lang w:val="en-US" w:eastAsia="zh-CN"/>
        </w:rPr>
      </w:pPr>
      <w:r>
        <w:rPr>
          <w:rFonts w:hint="eastAsia" w:ascii="宋体" w:hAnsi="宋体" w:cs="Times New Roman"/>
          <w:b/>
          <w:bCs/>
          <w:color w:val="auto"/>
          <w:sz w:val="21"/>
          <w:szCs w:val="21"/>
          <w:highlight w:val="none"/>
          <w:lang w:val="en-US" w:eastAsia="zh-CN"/>
        </w:rPr>
        <w:t>1、室内工程清单</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3"/>
        <w:gridCol w:w="1271"/>
        <w:gridCol w:w="4894"/>
        <w:gridCol w:w="718"/>
        <w:gridCol w:w="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489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71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48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7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6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别墅表前架空部分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调压箱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1.名称:调压箱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2.型号、规格:P1/P2=0.06-0.4MPa/2.5KPa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Q=80Nm³/h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3.备注:超压切断 人工复位 无放散型 成品</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丝扣球阀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丝扣球阀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3.规格、压力等级:DN20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3.规格、压力等级:DN25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3.规格、压力等级:DN40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3.规格、压力等级:DN65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2.规格、压力等级:DN25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2.规格、压力等级:DN40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2.规格、压力等级:DN65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阀门箱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1.名称:不锈钢阀门箱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2.规格:500mm*450mm*300mm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3.规格、压力等级:DN40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3.规格、压力等级:DN65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1.名称:焊接钢管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3.规格:DN32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90度弯头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1.材质:90度弯头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90度弯头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1.材质:90度弯头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90度弯头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1.材质:90度弯头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镀锌堵头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1.材质:镀锌堵头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2.规格:D22X4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2.规格:D25X4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2.规格:D32X4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2.规格:D45X4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2.管架形式:一般管架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3.其他:除锈，刷2遍醇酸防锈漆，2遍红色调和漆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接地跨接线</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1.名称:接地跨接线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2.内容:屋面管道与屋面避雷带应采用直径8mm圆钢可靠焊接,两接地点间距离不宜大于30m,且每栋楼跨接点不少于两处</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X射线探伤</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1.名称:无损检测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2.备注:满足设计要求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6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别墅户内部分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双外牙丝扣球阀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1.名称:双外牙丝扣球阀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热浸镀锌钢管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2.名称:热浸镀锌钢管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镀锌直通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1.材质:镀锌直通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镀锌牙弯</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1.材质:镀锌牙弯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1.名称、类型:PVC塑料套管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2.规格:D22（同穿管管径）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3.防腐:用聚乙烯热收缩套防腐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无线远传膜式燃气表</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1.名称:无线远传膜式燃气表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2.型号、规格:W-G4.0-IXn04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燃气自闭阀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1.名称:燃气自闭阀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3.功能:关闭流量=2倍的额定流量,自带手动操作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阀门箱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1.名称:不锈钢表箱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2.规格:550mmX450mmX300mm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燃气用定尺不锈钢波纹软管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1.材质:燃气用定尺不锈钢波纹软管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2.规格:DN15-2m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2.管架形式:一般管架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3.其他:除锈，刷2遍醇酸防锈漆，2遍红色调和漆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6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多层、高层楼栋部分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调压箱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1.名称:调压箱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2.型号、规格:P1/P2=0.06-0.4MPa/2.5KPa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Q=80Nm³/h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3.备注:超压切断 人工复位 无放散型 成品</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调压箱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1.名称:调压箱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2.型号、规格:P1/P2=0.06-0.4MPa/2.5KPa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Q=50Nm³/h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3.备注:超压切断 人工复位 无放散型 成品</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调压箱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1.名称:调压箱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2.型号、规格:P1/P2=0.06-0.4MPa/2.5KPa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Q=25Nm³/h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3.备注:超压切断 人工复位 无放散型 成品</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丝扣球阀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1869.00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3.规格、压力等级:DN25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3.规格、压力等级:DN32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3.规格、压力等级:DN40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3.规格、压力等级:DN50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2.规格、压力等级:DN25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2.规格、压力等级:DN32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2.规格、压力等级:DN40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2.规格、压力等级:DN50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阀门箱</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1.名称:不锈钢阀门箱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2.规格:500mm*450mm*300mm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2.规格:D22X4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2.规格:D32X4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2.规格:D38X4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2.规格:D45X4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3.规格、压力等级:DN32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3.规格、压力等级:DN40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3.规格、压力等级:DN50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3.规格、压力等级:DN65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3.规格、压力等级:DN80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2.规格:DN80/50/80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2.规格:DN65/50/65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2.规格:DN65/40/65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2.规格:DN65/32/65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变径</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镀锌堵头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1.材质:镀锌堵头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法兰式波纹软管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1.材质:法兰式波纹软管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2.规格:DN65PN1.6MPa L=0.5m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接地跨接线</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1.名称:接地跨接线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2.内容:屋面管道与屋面避雷带应采用直径8mm圆钢可靠焊接,两接地点间距离不宜大于30m,且每栋楼跨接点不少于两处</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2.管架形式:一般管架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3.其他:除锈，刷2遍醇酸防锈漆，2遍红色调和漆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X射线探伤</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1.名称:无损检测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2.备注:满足设计要求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2076.00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6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多层、高层户内部分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双外牙丝扣球阀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1.名称:双外牙丝扣球阀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热浸镀锌钢管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2.名称:热浸镀锌钢管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镀锌三通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镀锌弯头</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镀锌直通</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1.材质:镀锌直通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2583.00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镀锌牙弯</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1.材质:镀锌牙弯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1.名称、类型:PVC塑料套管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2.规格:D22（同穿管管径）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3.防腐:用聚乙烯热收缩套防腐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无线远传膜式燃气表</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1.名称:无线远传膜式燃气表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2.型号、规格:W-G2.5-IXn04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燃气自闭阀</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1.名称:燃气自闭阀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3.功能:关闭流量=2倍的额定流量,自带手动操作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燃气用定尺不锈钢波纹软管</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1.材质:燃气用定尺不锈钢波纹软管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2.规格:DN15-2m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2.管架形式:一般管架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3.其他:除锈，刷2遍醇酸防锈漆，2遍红色调和漆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6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旧管拆除部分</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住户拆除原有燃气管道</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1.名称:住户拆除原有燃气管道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高层燃气立管、屋面管拆除</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1.名称:高层燃气立管、屋面管拆除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2.规格、压力等级:DN40、DN65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拆除原燃气表</w:t>
            </w:r>
          </w:p>
        </w:tc>
        <w:tc>
          <w:tcPr>
            <w:tcW w:w="4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1.名称:拆除原燃气表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108</w:t>
            </w:r>
          </w:p>
        </w:tc>
        <w:tc>
          <w:tcPr>
            <w:tcW w:w="6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措施项目</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spacing w:after="0" w:line="360" w:lineRule="auto"/>
        <w:ind w:firstLine="422" w:firstLineChars="200"/>
        <w:rPr>
          <w:rFonts w:hint="eastAsia" w:ascii="宋体" w:hAnsi="宋体" w:cs="Times New Roman"/>
          <w:b/>
          <w:bCs/>
          <w:color w:val="auto"/>
          <w:sz w:val="21"/>
          <w:szCs w:val="21"/>
          <w:highlight w:val="none"/>
          <w:lang w:val="en-US" w:eastAsia="zh-CN"/>
        </w:rPr>
      </w:pPr>
    </w:p>
    <w:p>
      <w:pPr>
        <w:spacing w:after="0" w:line="360" w:lineRule="auto"/>
        <w:ind w:firstLine="422" w:firstLineChars="200"/>
        <w:rPr>
          <w:rFonts w:hint="default"/>
          <w:color w:val="auto"/>
          <w:highlight w:val="none"/>
          <w:lang w:val="en-US" w:eastAsia="zh-CN"/>
        </w:rPr>
      </w:pPr>
      <w:r>
        <w:rPr>
          <w:rFonts w:hint="eastAsia" w:ascii="宋体" w:hAnsi="宋体" w:cs="Times New Roman"/>
          <w:b/>
          <w:bCs/>
          <w:color w:val="auto"/>
          <w:sz w:val="21"/>
          <w:szCs w:val="21"/>
          <w:highlight w:val="none"/>
          <w:lang w:val="en-US" w:eastAsia="zh-CN"/>
        </w:rPr>
        <w:t>2、室外工程清单</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7"/>
        <w:gridCol w:w="1416"/>
        <w:gridCol w:w="4758"/>
        <w:gridCol w:w="760"/>
        <w:gridCol w:w="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庭院部分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2.名称:PE100燃气用聚乙烯管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3.材质、规格:De63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4.连接形式:电熔连接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2.名称:PE100燃气用聚乙烯管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3.材质、规格:De90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4.连接形式:电熔连接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2.规格:D76×4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90°电熔弯头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1.名称:90°电熔弯头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2.材质及规格:De63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2.材质及规格:De63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2.材质及规格:De90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2.材质及规格:De90/63/90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PE保护板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1.名称:PE保护板 200x3mm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电子标签</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1.名称:电子标签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陶瓷标志块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1.名称:陶瓷标志块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阀门井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1.名称:阀门井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2.做法:详见图纸阀门井大样图，图号R-002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塑料阀门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1.名称:PE球阀(双放散)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2.材质:PE100级混配料制造，含2个放散阀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3.规格、压力等级:De90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螺纹阀门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1.名称:PE球阀(双放散)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2.材质:PE100级混配料制造，含2个放散阀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3.规格、压力等级:De63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4.焊接方法:符合设计图纸以及施工规范要求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电熔套筒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1.名称:电熔套筒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2.材质及规格:PE100 dn63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电熔套筒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1.名称:电熔套筒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2.材质及规格:PE100 De90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钢塑转换接头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1.材质:钢塑转换接头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2.规格:De63/DN50 90度3PE弯管式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钢塑转换接头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1.材质:钢塑转换接头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2.规格:De90/DN80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1.名称:焊接钢管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3.规格:DN80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1.名称:焊接钢管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3.规格:DN150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人工开挖沟槽土方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1.土壤类别:一、二类土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2.挖土深度:2m 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回填方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1.密实度要求:符合设计要求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2.填方材料品种:原土回填</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回填方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1.密实度要求:符合设计要求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2.填方材料品种:回填河砂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车行道拆除与修复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1.名称:车行道拆除与修复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2.内容:200厚C30混凝土面层(分块捣制,震捣密实,随打随抹,)、30厚粗砂垫层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人行道拆除与修复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1.名称:人行道拆除与修复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2.内容:30厚人行道地砖、30厚粗砂垫层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余方弃置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1.废弃料品种:余方弃置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2.运距:10km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带压封堵、带气接驳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1.名称:带压封堵、带气接驳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措施项目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bidi w:val="0"/>
        <w:rPr>
          <w:rFonts w:hint="default"/>
          <w:color w:val="auto"/>
          <w:highlight w:val="none"/>
          <w:lang w:val="en-US" w:eastAsia="zh-CN"/>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4"/>
      <w:bookmarkEnd w:id="195"/>
      <w:bookmarkEnd w:id="196"/>
      <w:bookmarkEnd w:id="197"/>
      <w:bookmarkStart w:id="198" w:name="_Toc21448"/>
      <w:bookmarkStart w:id="199" w:name="_Toc12485"/>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8"/>
          <w:szCs w:val="28"/>
          <w:highlight w:val="none"/>
        </w:rPr>
      </w:pPr>
      <w:bookmarkStart w:id="200"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8"/>
      <w:bookmarkEnd w:id="199"/>
      <w:bookmarkEnd w:id="200"/>
      <w:bookmarkStart w:id="201" w:name="_Toc1534"/>
      <w:bookmarkStart w:id="202" w:name="_Toc13430"/>
      <w:bookmarkStart w:id="203" w:name="_Toc21155"/>
    </w:p>
    <w:p>
      <w:pPr>
        <w:pStyle w:val="4"/>
        <w:spacing w:before="0" w:after="0" w:line="240" w:lineRule="auto"/>
        <w:jc w:val="center"/>
        <w:rPr>
          <w:rFonts w:ascii="宋体" w:hAnsi="宋体" w:eastAsia="宋体" w:cs="宋体"/>
          <w:color w:val="auto"/>
          <w:highlight w:val="none"/>
        </w:rPr>
      </w:pPr>
      <w:bookmarkStart w:id="204" w:name="_Toc16730"/>
      <w:bookmarkStart w:id="205" w:name="_Toc19575"/>
      <w:bookmarkStart w:id="206" w:name="_Toc29470"/>
      <w:r>
        <w:rPr>
          <w:rFonts w:hint="eastAsia" w:ascii="宋体" w:hAnsi="宋体" w:eastAsia="宋体" w:cs="宋体"/>
          <w:color w:val="auto"/>
          <w:highlight w:val="none"/>
        </w:rPr>
        <w:t>合同格式</w:t>
      </w:r>
      <w:bookmarkEnd w:id="201"/>
      <w:bookmarkEnd w:id="202"/>
      <w:bookmarkEnd w:id="203"/>
      <w:bookmarkEnd w:id="204"/>
      <w:bookmarkEnd w:id="205"/>
      <w:bookmarkEnd w:id="206"/>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w:t>
      </w:r>
      <w:r>
        <w:rPr>
          <w:rFonts w:hint="eastAsia" w:ascii="宋体" w:hAnsi="宋体" w:eastAsia="宋体"/>
          <w:color w:val="auto"/>
          <w:sz w:val="21"/>
          <w:szCs w:val="21"/>
          <w:highlight w:val="none"/>
        </w:rPr>
        <w:t>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w:t>
      </w:r>
      <w:r>
        <w:rPr>
          <w:rFonts w:hint="eastAsia" w:ascii="宋体" w:hAnsi="宋体" w:eastAsia="宋体" w:cs="宋体"/>
          <w:color w:val="auto"/>
          <w:kern w:val="0"/>
          <w:sz w:val="21"/>
          <w:szCs w:val="21"/>
          <w:highlight w:val="none"/>
        </w:rPr>
        <w:t>、《中华人民共和国民法典》，在平等自愿的基础上，按照下面的条款和条件，签署本合同。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7" w:name="_Toc23749"/>
      <w:bookmarkStart w:id="208" w:name="_Toc15158"/>
      <w:bookmarkStart w:id="209"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7"/>
      <w:bookmarkEnd w:id="208"/>
      <w:bookmarkEnd w:id="209"/>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0" w:name="_Toc2434"/>
      <w:bookmarkStart w:id="211" w:name="_Toc26830"/>
      <w:bookmarkStart w:id="212" w:name="_Toc6790"/>
      <w:r>
        <w:rPr>
          <w:rFonts w:hint="eastAsia"/>
          <w:color w:val="auto"/>
          <w:highlight w:val="none"/>
          <w:lang w:eastAsia="zh-CN"/>
        </w:rPr>
        <w:t>响应文件</w:t>
      </w:r>
      <w:r>
        <w:rPr>
          <w:rFonts w:hint="eastAsia"/>
          <w:color w:val="auto"/>
          <w:highlight w:val="none"/>
        </w:rPr>
        <w:t>目录</w:t>
      </w:r>
      <w:bookmarkEnd w:id="210"/>
      <w:bookmarkEnd w:id="211"/>
      <w:bookmarkEnd w:id="212"/>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18893"/>
      <w:bookmarkStart w:id="214" w:name="_Toc25502"/>
      <w:bookmarkStart w:id="215" w:name="_Toc28116"/>
      <w:r>
        <w:rPr>
          <w:rFonts w:hint="eastAsia"/>
          <w:color w:val="auto"/>
          <w:highlight w:val="none"/>
        </w:rPr>
        <w:t>评分标准索引表</w:t>
      </w:r>
      <w:bookmarkEnd w:id="213"/>
      <w:bookmarkEnd w:id="214"/>
      <w:bookmarkEnd w:id="215"/>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6" w:name="_Toc19057"/>
      <w:bookmarkStart w:id="217" w:name="_Toc22080"/>
      <w:bookmarkStart w:id="218" w:name="_Toc30640"/>
      <w:r>
        <w:rPr>
          <w:rFonts w:hint="eastAsia"/>
          <w:color w:val="auto"/>
          <w:highlight w:val="none"/>
          <w:lang w:val="en-US" w:eastAsia="zh-CN"/>
        </w:rPr>
        <w:t>第一章价格文件</w:t>
      </w:r>
      <w:bookmarkEnd w:id="216"/>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4168"/>
      <w:bookmarkStart w:id="220" w:name="_Toc29262"/>
      <w:r>
        <w:rPr>
          <w:rFonts w:hint="eastAsia"/>
          <w:color w:val="auto"/>
          <w:highlight w:val="none"/>
          <w:lang w:val="en-US" w:eastAsia="zh-CN"/>
        </w:rPr>
        <w:t>一、报价一览表</w:t>
      </w:r>
      <w:bookmarkEnd w:id="219"/>
      <w:bookmarkEnd w:id="220"/>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磋商</w:t>
      </w:r>
      <w:r>
        <w:rPr>
          <w:rFonts w:hint="eastAsia" w:ascii="宋体" w:hAnsi="宋体" w:eastAsia="宋体"/>
          <w:color w:val="auto"/>
          <w:sz w:val="21"/>
          <w:szCs w:val="21"/>
          <w:highlight w:val="none"/>
        </w:rPr>
        <w:t>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31062"/>
      <w:bookmarkStart w:id="222" w:name="_Toc29258"/>
      <w:r>
        <w:rPr>
          <w:rFonts w:hint="eastAsia"/>
          <w:color w:val="auto"/>
          <w:highlight w:val="none"/>
          <w:lang w:val="en-US" w:eastAsia="zh-CN"/>
        </w:rPr>
        <w:t>二、报价明细表</w:t>
      </w:r>
      <w:bookmarkEnd w:id="221"/>
      <w:bookmarkEnd w:id="222"/>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3" w:name="_Toc23948"/>
      <w:bookmarkStart w:id="224" w:name="_Toc2486"/>
      <w:r>
        <w:rPr>
          <w:rFonts w:hint="eastAsia"/>
          <w:color w:val="auto"/>
          <w:highlight w:val="none"/>
          <w:lang w:val="en-US" w:eastAsia="zh-CN"/>
        </w:rPr>
        <w:t>第二章商务文件</w:t>
      </w:r>
      <w:bookmarkEnd w:id="223"/>
      <w:bookmarkEnd w:id="224"/>
    </w:p>
    <w:bookmarkEnd w:id="218"/>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3787"/>
      <w:bookmarkStart w:id="226" w:name="_Toc4151"/>
      <w:r>
        <w:rPr>
          <w:rFonts w:hint="eastAsia"/>
          <w:color w:val="auto"/>
          <w:highlight w:val="none"/>
          <w:lang w:val="en-US" w:eastAsia="zh-CN"/>
        </w:rPr>
        <w:t>一、响应函</w:t>
      </w:r>
      <w:bookmarkEnd w:id="225"/>
      <w:bookmarkEnd w:id="22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须知中关于没收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保证金的规定。</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27961"/>
      <w:bookmarkStart w:id="228" w:name="_Toc15719"/>
      <w:r>
        <w:rPr>
          <w:rFonts w:hint="eastAsia"/>
          <w:color w:val="auto"/>
          <w:highlight w:val="none"/>
          <w:lang w:val="en-US" w:eastAsia="zh-CN"/>
        </w:rPr>
        <w:t>二、资格申明函</w:t>
      </w:r>
      <w:bookmarkEnd w:id="227"/>
      <w:bookmarkEnd w:id="22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w:t>
      </w:r>
      <w:r>
        <w:rPr>
          <w:rFonts w:hint="eastAsia" w:ascii="宋体" w:hAnsi="宋体"/>
          <w:color w:val="auto"/>
          <w:szCs w:val="21"/>
          <w:highlight w:val="none"/>
          <w:lang w:val="en-US" w:eastAsia="zh-CN"/>
        </w:rPr>
        <w:t>本项目磋商</w:t>
      </w:r>
      <w:r>
        <w:rPr>
          <w:rFonts w:hint="eastAsia" w:ascii="宋体" w:hAnsi="宋体"/>
          <w:color w:val="auto"/>
          <w:szCs w:val="21"/>
          <w:highlight w:val="none"/>
        </w:rPr>
        <w:t>邀请</w:t>
      </w:r>
      <w:r>
        <w:rPr>
          <w:rFonts w:hint="eastAsia" w:ascii="宋体" w:hAnsi="宋体"/>
          <w:color w:val="auto"/>
          <w:szCs w:val="21"/>
          <w:highlight w:val="none"/>
          <w:lang w:val="en-US" w:eastAsia="zh-CN"/>
        </w:rPr>
        <w:t>书</w:t>
      </w:r>
      <w:r>
        <w:rPr>
          <w:rFonts w:hint="eastAsia" w:ascii="宋体" w:hAnsi="宋体"/>
          <w:color w:val="auto"/>
          <w:szCs w:val="21"/>
          <w:highlight w:val="none"/>
        </w:rPr>
        <w:t>中所要求</w:t>
      </w:r>
      <w:r>
        <w:rPr>
          <w:rFonts w:hint="eastAsia" w:ascii="宋体" w:hAnsi="宋体"/>
          <w:color w:val="auto"/>
          <w:szCs w:val="21"/>
          <w:highlight w:val="none"/>
          <w:lang w:val="en-US" w:eastAsia="zh-CN"/>
        </w:rPr>
        <w:t>的</w:t>
      </w:r>
      <w:r>
        <w:rPr>
          <w:rFonts w:hint="eastAsia" w:ascii="宋体" w:hAnsi="宋体"/>
          <w:color w:val="auto"/>
          <w:szCs w:val="21"/>
          <w:highlight w:val="none"/>
        </w:rPr>
        <w:t>资格条件，已清楚招标文件所有要求及有关规定；并承诺参加本次采购活动中，如有违法、违规、弄虚作假行为，所造成的损失、不良后果及法律责任，一律由我方承担；</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bookmarkStart w:id="229"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21335"/>
      <w:bookmarkStart w:id="231" w:name="_Toc21273"/>
      <w:r>
        <w:rPr>
          <w:rFonts w:hint="eastAsia"/>
          <w:color w:val="auto"/>
          <w:highlight w:val="none"/>
          <w:lang w:val="en-US" w:eastAsia="zh-CN"/>
        </w:rPr>
        <w:t>三、在参与采购活动前三年未有重大违法记录、没有不良信用记录的声明函</w:t>
      </w:r>
      <w:bookmarkEnd w:id="230"/>
      <w:bookmarkEnd w:id="23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32128"/>
      <w:bookmarkStart w:id="233" w:name="_Toc13243"/>
      <w:r>
        <w:rPr>
          <w:rFonts w:hint="eastAsia"/>
          <w:color w:val="auto"/>
          <w:highlight w:val="none"/>
          <w:lang w:val="en-US" w:eastAsia="zh-CN"/>
        </w:rPr>
        <w:t>四、法定代表人证明书</w:t>
      </w:r>
      <w:bookmarkEnd w:id="232"/>
      <w:bookmarkEnd w:id="23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4" w:name="_Toc5918"/>
      <w:bookmarkStart w:id="235" w:name="_Toc11689"/>
      <w:r>
        <w:rPr>
          <w:rFonts w:hint="eastAsia"/>
          <w:color w:val="auto"/>
          <w:highlight w:val="none"/>
          <w:lang w:val="en-US" w:eastAsia="zh-CN"/>
        </w:rPr>
        <w:t>五、法定代表人授权书</w:t>
      </w:r>
      <w:bookmarkEnd w:id="234"/>
      <w:bookmarkEnd w:id="235"/>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3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7" w:name="_Toc24013"/>
      <w:bookmarkStart w:id="238" w:name="_Toc1197"/>
      <w:r>
        <w:rPr>
          <w:rFonts w:hint="eastAsia"/>
          <w:color w:val="auto"/>
          <w:highlight w:val="none"/>
          <w:lang w:val="en-US" w:eastAsia="zh-CN"/>
        </w:rPr>
        <w:t>六、供应商基本情况说明</w:t>
      </w:r>
      <w:bookmarkEnd w:id="237"/>
      <w:bookmarkEnd w:id="23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9" w:name="_Toc29995"/>
      <w:bookmarkStart w:id="240" w:name="_Toc1511"/>
      <w:bookmarkStart w:id="241" w:name="_Toc11992"/>
      <w:bookmarkStart w:id="242" w:name="_Toc24210"/>
      <w:bookmarkStart w:id="243" w:name="_Toc4926"/>
      <w:bookmarkStart w:id="244" w:name="_Toc5919"/>
      <w:bookmarkStart w:id="245" w:name="_Toc17470"/>
      <w:r>
        <w:rPr>
          <w:rFonts w:hint="eastAsia"/>
          <w:color w:val="auto"/>
          <w:highlight w:val="none"/>
          <w:lang w:val="en-US" w:eastAsia="zh-CN"/>
        </w:rPr>
        <w:t>七、</w:t>
      </w:r>
      <w:r>
        <w:rPr>
          <w:rFonts w:hint="eastAsia"/>
          <w:color w:val="auto"/>
          <w:highlight w:val="none"/>
        </w:rPr>
        <w:t>营业执照</w:t>
      </w:r>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3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6" w:name="_Toc12706"/>
      <w:bookmarkStart w:id="247" w:name="_Toc29439"/>
      <w:r>
        <w:rPr>
          <w:rFonts w:hint="eastAsia"/>
          <w:color w:val="auto"/>
          <w:highlight w:val="none"/>
          <w:lang w:val="en-US" w:eastAsia="zh-CN"/>
        </w:rPr>
        <w:t>八、</w:t>
      </w:r>
      <w:r>
        <w:rPr>
          <w:rFonts w:hint="eastAsia"/>
          <w:color w:val="auto"/>
          <w:highlight w:val="none"/>
        </w:rPr>
        <w:t>特殊资格要求证明文件</w:t>
      </w:r>
      <w:bookmarkEnd w:id="246"/>
      <w:bookmarkEnd w:id="2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4482"/>
      <w:bookmarkStart w:id="249" w:name="_Toc23341"/>
      <w:r>
        <w:rPr>
          <w:rFonts w:hint="eastAsia"/>
          <w:color w:val="auto"/>
          <w:highlight w:val="none"/>
          <w:lang w:val="en-US" w:eastAsia="zh-CN"/>
        </w:rPr>
        <w:t>九、</w:t>
      </w:r>
      <w:r>
        <w:rPr>
          <w:rFonts w:hint="eastAsia"/>
          <w:color w:val="auto"/>
          <w:highlight w:val="none"/>
        </w:rPr>
        <w:t>承诺书</w:t>
      </w:r>
      <w:bookmarkEnd w:id="248"/>
      <w:bookmarkEnd w:id="249"/>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5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250"/>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1" w:name="_Toc13653"/>
      <w:bookmarkStart w:id="252" w:name="_Toc31815"/>
      <w:r>
        <w:rPr>
          <w:rFonts w:hint="eastAsia"/>
          <w:color w:val="auto"/>
          <w:highlight w:val="none"/>
          <w:lang w:val="en-US" w:eastAsia="zh-CN"/>
        </w:rPr>
        <w:t>十、招标代理服务费承诺书</w:t>
      </w:r>
      <w:bookmarkEnd w:id="251"/>
      <w:bookmarkEnd w:id="252"/>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21582"/>
      <w:bookmarkStart w:id="254" w:name="_Toc1975"/>
      <w:r>
        <w:rPr>
          <w:rFonts w:hint="eastAsia"/>
          <w:color w:val="auto"/>
          <w:highlight w:val="none"/>
          <w:lang w:val="en-US" w:eastAsia="zh-CN"/>
        </w:rPr>
        <w:t>十一、</w:t>
      </w:r>
      <w:r>
        <w:rPr>
          <w:rFonts w:hint="eastAsia"/>
          <w:color w:val="auto"/>
          <w:highlight w:val="none"/>
        </w:rPr>
        <w:t>商务条款偏离表</w:t>
      </w:r>
      <w:bookmarkEnd w:id="253"/>
      <w:bookmarkEnd w:id="254"/>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55"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6" w:name="_Toc25391"/>
      <w:bookmarkStart w:id="257" w:name="_Toc7350"/>
      <w:r>
        <w:rPr>
          <w:rFonts w:hint="eastAsia"/>
          <w:color w:val="auto"/>
          <w:highlight w:val="none"/>
          <w:lang w:val="en-US" w:eastAsia="zh-CN"/>
        </w:rPr>
        <w:t>十二、</w:t>
      </w:r>
      <w:r>
        <w:rPr>
          <w:rFonts w:hint="eastAsia"/>
          <w:color w:val="auto"/>
          <w:highlight w:val="none"/>
        </w:rPr>
        <w:t>业绩表</w:t>
      </w:r>
      <w:bookmarkEnd w:id="256"/>
      <w:bookmarkEnd w:id="257"/>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58" w:name="_Toc14688"/>
      <w:bookmarkStart w:id="259" w:name="_Toc25650"/>
      <w:r>
        <w:rPr>
          <w:rFonts w:hint="eastAsia"/>
          <w:color w:val="auto"/>
          <w:highlight w:val="none"/>
          <w:lang w:val="en-US" w:eastAsia="zh-CN"/>
        </w:rPr>
        <w:t>第三章技术文件</w:t>
      </w:r>
      <w:bookmarkEnd w:id="255"/>
      <w:bookmarkEnd w:id="258"/>
      <w:bookmarkEnd w:id="25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0" w:name="_Toc13588"/>
      <w:bookmarkStart w:id="261" w:name="_Toc7092"/>
      <w:r>
        <w:rPr>
          <w:rFonts w:hint="eastAsia"/>
          <w:color w:val="auto"/>
          <w:highlight w:val="none"/>
          <w:lang w:val="en-US" w:eastAsia="zh-CN"/>
        </w:rPr>
        <w:t>一、</w:t>
      </w:r>
      <w:r>
        <w:rPr>
          <w:rFonts w:hint="eastAsia"/>
          <w:color w:val="auto"/>
          <w:highlight w:val="none"/>
        </w:rPr>
        <w:t>技术规格偏离表</w:t>
      </w:r>
      <w:bookmarkEnd w:id="260"/>
      <w:bookmarkEnd w:id="261"/>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62" w:name="_Toc17691"/>
      <w:r>
        <w:rPr>
          <w:rFonts w:hint="eastAsia" w:ascii="宋体" w:hAnsi="宋体" w:eastAsia="宋体"/>
          <w:color w:val="auto"/>
          <w:sz w:val="21"/>
          <w:szCs w:val="21"/>
          <w:highlight w:val="none"/>
        </w:rPr>
        <w:br w:type="page"/>
      </w:r>
      <w:bookmarkEnd w:id="262"/>
      <w:bookmarkStart w:id="263" w:name="_Toc1274"/>
      <w:bookmarkStart w:id="264" w:name="_Toc26078"/>
      <w:bookmarkStart w:id="265" w:name="_Toc6080"/>
      <w:bookmarkStart w:id="266" w:name="_Toc18668"/>
      <w:bookmarkStart w:id="267" w:name="_Toc4464"/>
      <w:bookmarkStart w:id="268"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9" w:name="_Toc28702"/>
      <w:bookmarkStart w:id="270" w:name="_Toc10734"/>
      <w:r>
        <w:rPr>
          <w:rFonts w:hint="eastAsia"/>
          <w:color w:val="auto"/>
          <w:highlight w:val="none"/>
          <w:lang w:val="en-US" w:eastAsia="zh-CN"/>
        </w:rPr>
        <w:t>二、</w:t>
      </w:r>
      <w:r>
        <w:rPr>
          <w:rFonts w:hint="eastAsia"/>
          <w:color w:val="auto"/>
          <w:highlight w:val="none"/>
        </w:rPr>
        <w:t>重要技术参数（▲）响应表</w:t>
      </w:r>
      <w:bookmarkEnd w:id="263"/>
      <w:bookmarkEnd w:id="264"/>
      <w:bookmarkEnd w:id="265"/>
      <w:bookmarkEnd w:id="266"/>
      <w:bookmarkEnd w:id="267"/>
      <w:bookmarkEnd w:id="268"/>
      <w:bookmarkEnd w:id="269"/>
      <w:bookmarkEnd w:id="270"/>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71" w:name="_Toc27079"/>
            <w:bookmarkStart w:id="272" w:name="_Toc2784"/>
            <w:bookmarkStart w:id="273" w:name="_Toc29642"/>
            <w:bookmarkStart w:id="274" w:name="_Toc29560"/>
            <w:r>
              <w:rPr>
                <w:rFonts w:hint="eastAsia" w:ascii="宋体" w:hAnsi="宋体" w:eastAsia="宋体" w:cs="宋体"/>
                <w:b w:val="0"/>
                <w:bCs w:val="0"/>
                <w:color w:val="auto"/>
                <w:sz w:val="21"/>
                <w:szCs w:val="21"/>
                <w:highlight w:val="none"/>
                <w:lang w:val="en-US" w:eastAsia="zh-CN"/>
              </w:rPr>
              <w:t>序号</w:t>
            </w:r>
            <w:bookmarkEnd w:id="271"/>
            <w:bookmarkEnd w:id="272"/>
            <w:bookmarkEnd w:id="273"/>
            <w:bookmarkEnd w:id="27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75" w:name="_Toc12049"/>
            <w:bookmarkStart w:id="276" w:name="_Toc21739"/>
            <w:bookmarkStart w:id="277" w:name="_Toc27090"/>
            <w:bookmarkStart w:id="278" w:name="_Toc16872"/>
            <w:bookmarkStart w:id="279" w:name="_Toc26124"/>
            <w:bookmarkStart w:id="280" w:name="_Toc1016"/>
            <w:bookmarkStart w:id="281" w:name="_Toc6189"/>
            <w:bookmarkStart w:id="282" w:name="_Toc22448"/>
            <w:bookmarkStart w:id="283" w:name="_Toc15368"/>
            <w:bookmarkStart w:id="284" w:name="_Toc4304"/>
            <w:bookmarkStart w:id="285" w:name="_Toc15903"/>
            <w:bookmarkStart w:id="286" w:name="_Toc2700"/>
            <w:bookmarkStart w:id="287" w:name="_Toc10045"/>
            <w:bookmarkStart w:id="288" w:name="_Toc14815"/>
            <w:bookmarkStart w:id="289" w:name="_Toc22879"/>
            <w:bookmarkStart w:id="290" w:name="_Toc32531"/>
            <w:bookmarkStart w:id="291" w:name="_Toc8490"/>
            <w:bookmarkStart w:id="292" w:name="_Toc22917"/>
            <w:bookmarkStart w:id="293" w:name="_Toc27442"/>
            <w:bookmarkStart w:id="294" w:name="_Toc19251"/>
            <w:bookmarkStart w:id="295" w:name="_Toc7333"/>
            <w:bookmarkStart w:id="296" w:name="_Toc8312"/>
            <w:bookmarkStart w:id="297" w:name="_Toc21809"/>
            <w:bookmarkStart w:id="298" w:name="_Toc2466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9" w:name="_Toc2408"/>
            <w:bookmarkStart w:id="300" w:name="_Toc10122"/>
            <w:bookmarkStart w:id="301" w:name="_Toc21496"/>
            <w:bookmarkStart w:id="302"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299"/>
            <w:bookmarkEnd w:id="300"/>
            <w:bookmarkEnd w:id="301"/>
            <w:bookmarkEnd w:id="302"/>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03" w:name="_Toc16003"/>
            <w:bookmarkStart w:id="304" w:name="_Toc27285"/>
            <w:bookmarkStart w:id="305" w:name="_Toc29838"/>
            <w:bookmarkStart w:id="306" w:name="_Toc16432"/>
            <w:bookmarkStart w:id="307" w:name="_Toc3701"/>
            <w:bookmarkStart w:id="308" w:name="_Toc17296"/>
            <w:bookmarkStart w:id="309" w:name="_Toc20820"/>
            <w:bookmarkStart w:id="310" w:name="_Toc5992"/>
            <w:bookmarkStart w:id="311" w:name="_Toc27185"/>
            <w:bookmarkStart w:id="312" w:name="_Toc1912"/>
            <w:bookmarkStart w:id="313" w:name="_Toc17642"/>
            <w:bookmarkStart w:id="314" w:name="_Toc5563"/>
            <w:bookmarkStart w:id="315" w:name="_Toc1330"/>
            <w:bookmarkStart w:id="316" w:name="_Toc20139"/>
            <w:r>
              <w:rPr>
                <w:rFonts w:hint="eastAsia" w:ascii="宋体" w:hAnsi="宋体" w:eastAsia="宋体" w:cs="宋体"/>
                <w:b w:val="0"/>
                <w:bCs w:val="0"/>
                <w:color w:val="auto"/>
                <w:sz w:val="21"/>
                <w:szCs w:val="21"/>
                <w:highlight w:val="none"/>
                <w:lang w:val="en-US" w:eastAsia="zh-CN"/>
              </w:rPr>
              <w:t>说明</w:t>
            </w:r>
            <w:bookmarkEnd w:id="303"/>
            <w:bookmarkEnd w:id="304"/>
            <w:bookmarkEnd w:id="305"/>
            <w:bookmarkEnd w:id="306"/>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17" w:name="_Toc31920"/>
            <w:bookmarkStart w:id="318" w:name="_Toc857"/>
            <w:bookmarkStart w:id="319" w:name="_Toc19105"/>
            <w:bookmarkStart w:id="320" w:name="_Toc3520"/>
            <w:r>
              <w:rPr>
                <w:rFonts w:hint="eastAsia" w:ascii="宋体" w:hAnsi="宋体" w:eastAsia="宋体" w:cs="宋体"/>
                <w:b w:val="0"/>
                <w:bCs w:val="0"/>
                <w:color w:val="auto"/>
                <w:sz w:val="21"/>
                <w:szCs w:val="21"/>
                <w:highlight w:val="none"/>
              </w:rPr>
              <w:t>页码范围</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2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5570"/>
      <w:bookmarkStart w:id="322" w:name="_Toc19349"/>
      <w:r>
        <w:rPr>
          <w:rFonts w:hint="eastAsia"/>
          <w:color w:val="auto"/>
          <w:highlight w:val="none"/>
          <w:lang w:val="en-US" w:eastAsia="zh-CN"/>
        </w:rPr>
        <w:t>三、</w:t>
      </w:r>
      <w:r>
        <w:rPr>
          <w:rFonts w:hint="eastAsia"/>
          <w:color w:val="auto"/>
          <w:highlight w:val="none"/>
        </w:rPr>
        <w:t>实质性条款（标记★）响应表</w:t>
      </w:r>
      <w:bookmarkEnd w:id="321"/>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22"/>
      <w:bookmarkEnd w:id="323"/>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4" w:name="_Toc16328"/>
      <w:bookmarkStart w:id="325" w:name="_Toc16875"/>
      <w:r>
        <w:rPr>
          <w:rFonts w:hint="eastAsia"/>
          <w:color w:val="auto"/>
          <w:highlight w:val="none"/>
          <w:lang w:val="en-US" w:eastAsia="zh-CN"/>
        </w:rPr>
        <w:t>五、项目负责人及团队成员资料表</w:t>
      </w:r>
      <w:bookmarkEnd w:id="324"/>
      <w:bookmarkEnd w:id="325"/>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26" w:name="_Toc27978"/>
      <w:bookmarkStart w:id="327" w:name="_Toc15431"/>
      <w:r>
        <w:rPr>
          <w:rFonts w:hint="eastAsia"/>
          <w:color w:val="auto"/>
          <w:highlight w:val="none"/>
          <w:lang w:val="en-US" w:eastAsia="zh-CN"/>
        </w:rPr>
        <w:t>六、响应货物明细一览表</w:t>
      </w:r>
      <w:bookmarkEnd w:id="326"/>
      <w:bookmarkEnd w:id="327"/>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8" w:name="_Toc21541"/>
      <w:bookmarkStart w:id="329" w:name="_Toc15352"/>
      <w:r>
        <w:rPr>
          <w:rFonts w:hint="eastAsia"/>
          <w:color w:val="auto"/>
          <w:highlight w:val="none"/>
          <w:lang w:val="en-US" w:eastAsia="zh-CN"/>
        </w:rPr>
        <w:t>七、磋商保证金汇入情况说明</w:t>
      </w:r>
      <w:bookmarkEnd w:id="328"/>
      <w:bookmarkEnd w:id="329"/>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保证金的汇款情况：（详见附件－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中，又要按</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须知的规定与</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一览表</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保证金汇款底单复印件及授权委托书一同密封装入</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0" w:name="_Toc24545"/>
      <w:bookmarkStart w:id="331" w:name="_Toc4096"/>
      <w:r>
        <w:rPr>
          <w:rFonts w:hint="eastAsia"/>
          <w:color w:val="auto"/>
          <w:highlight w:val="none"/>
          <w:lang w:val="en-US" w:eastAsia="zh-CN"/>
        </w:rPr>
        <w:t>八、采购磋商担保函</w:t>
      </w:r>
      <w:bookmarkEnd w:id="330"/>
      <w:bookmarkEnd w:id="33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，根据本项目</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，供应商参加</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时应向你方交纳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保证金，且可以</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担保函的形式交纳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保证金。应供应商的申请，我方以保证的方式向你方提供如下</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规定的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向你方支付</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的另行约定，全部或者部分免除</w:t>
      </w:r>
      <w:r>
        <w:rPr>
          <w:rFonts w:hint="eastAsia" w:ascii="宋体" w:hAnsi="宋体" w:cs="宋体"/>
          <w:color w:val="auto"/>
          <w:sz w:val="21"/>
          <w:szCs w:val="21"/>
          <w:highlight w:val="none"/>
          <w:lang w:eastAsia="zh-CN"/>
        </w:rPr>
        <w:t>供应商磋商</w:t>
      </w:r>
      <w:r>
        <w:rPr>
          <w:rFonts w:hint="eastAsia" w:ascii="宋体" w:hAnsi="宋体" w:eastAsia="宋体" w:cs="宋体"/>
          <w:color w:val="auto"/>
          <w:sz w:val="21"/>
          <w:szCs w:val="21"/>
          <w:highlight w:val="none"/>
        </w:rPr>
        <w:t>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保证金，则应将</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31841"/>
      <w:r>
        <w:rPr>
          <w:rFonts w:hint="eastAsia"/>
          <w:color w:val="auto"/>
          <w:highlight w:val="none"/>
          <w:lang w:val="en-US" w:eastAsia="zh-CN"/>
        </w:rPr>
        <w:t>九、采购履约担保函</w:t>
      </w:r>
      <w:bookmarkEnd w:id="33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3" w:name="_Toc17348"/>
      <w:bookmarkStart w:id="334" w:name="_Toc26782"/>
      <w:r>
        <w:rPr>
          <w:rFonts w:hint="eastAsia"/>
          <w:color w:val="auto"/>
          <w:highlight w:val="none"/>
          <w:lang w:val="en-US" w:eastAsia="zh-CN"/>
        </w:rPr>
        <w:t>第四章报价信封（单独封装）</w:t>
      </w:r>
      <w:bookmarkEnd w:id="333"/>
      <w:bookmarkEnd w:id="33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磋商</w:t>
      </w:r>
      <w:r>
        <w:rPr>
          <w:rFonts w:hint="eastAsia"/>
          <w:color w:val="auto"/>
          <w:highlight w:val="none"/>
        </w:rPr>
        <w:t>保证金汇入情况说明</w:t>
      </w:r>
      <w:r>
        <w:rPr>
          <w:rFonts w:hint="eastAsia"/>
          <w:color w:val="auto"/>
          <w:highlight w:val="none"/>
          <w:lang w:val="en-US" w:eastAsia="zh-CN"/>
        </w:rPr>
        <w:t>及</w:t>
      </w:r>
      <w:r>
        <w:rPr>
          <w:rFonts w:hint="eastAsia"/>
          <w:color w:val="auto"/>
          <w:highlight w:val="none"/>
          <w:lang w:eastAsia="zh-CN"/>
        </w:rPr>
        <w:t>磋商</w:t>
      </w:r>
      <w:r>
        <w:rPr>
          <w:rFonts w:hint="eastAsia"/>
          <w:color w:val="auto"/>
          <w:highlight w:val="none"/>
        </w:rPr>
        <w:t>保证金汇款底单（复印件加盖公章）</w:t>
      </w:r>
      <w:r>
        <w:rPr>
          <w:rFonts w:hint="eastAsia"/>
          <w:color w:val="auto"/>
          <w:highlight w:val="none"/>
          <w:lang w:eastAsia="zh-CN"/>
        </w:rPr>
        <w:t>，</w:t>
      </w:r>
      <w:r>
        <w:rPr>
          <w:rFonts w:hint="eastAsia"/>
          <w:color w:val="auto"/>
          <w:highlight w:val="none"/>
          <w:lang w:val="en-US" w:eastAsia="zh-CN"/>
        </w:rPr>
        <w:t>或《采购磋商担保函》复印件。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35"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6" w:name="_Toc22736"/>
      <w:bookmarkStart w:id="337" w:name="_Toc13881"/>
      <w:r>
        <w:rPr>
          <w:rFonts w:hint="eastAsia"/>
          <w:color w:val="auto"/>
          <w:highlight w:val="none"/>
          <w:lang w:val="en-US" w:eastAsia="zh-CN"/>
        </w:rPr>
        <w:t>第五章联合体共同报价协议书（如有需要）</w:t>
      </w:r>
      <w:bookmarkEnd w:id="336"/>
      <w:bookmarkEnd w:id="33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35"/>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2">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3">
    <w:nsid w:val="316010E5"/>
    <w:multiLevelType w:val="singleLevel"/>
    <w:tmpl w:val="316010E5"/>
    <w:lvl w:ilvl="0" w:tentative="0">
      <w:start w:val="1"/>
      <w:numFmt w:val="decimal"/>
      <w:suff w:val="nothing"/>
      <w:lvlText w:val="%1．"/>
      <w:lvlJc w:val="left"/>
    </w:lvl>
  </w:abstractNum>
  <w:abstractNum w:abstractNumId="14">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5">
    <w:nsid w:val="3B1B8417"/>
    <w:multiLevelType w:val="singleLevel"/>
    <w:tmpl w:val="3B1B8417"/>
    <w:lvl w:ilvl="0" w:tentative="0">
      <w:start w:val="1"/>
      <w:numFmt w:val="decimal"/>
      <w:suff w:val="nothing"/>
      <w:lvlText w:val="%1、"/>
      <w:lvlJc w:val="left"/>
    </w:lvl>
  </w:abstractNum>
  <w:abstractNum w:abstractNumId="16">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1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9"/>
  </w:num>
  <w:num w:numId="2">
    <w:abstractNumId w:val="15"/>
  </w:num>
  <w:num w:numId="3">
    <w:abstractNumId w:val="9"/>
  </w:num>
  <w:num w:numId="4">
    <w:abstractNumId w:val="20"/>
  </w:num>
  <w:num w:numId="5">
    <w:abstractNumId w:val="16"/>
  </w:num>
  <w:num w:numId="6">
    <w:abstractNumId w:val="4"/>
  </w:num>
  <w:num w:numId="7">
    <w:abstractNumId w:val="5"/>
  </w:num>
  <w:num w:numId="8">
    <w:abstractNumId w:val="0"/>
  </w:num>
  <w:num w:numId="9">
    <w:abstractNumId w:val="1"/>
  </w:num>
  <w:num w:numId="10">
    <w:abstractNumId w:val="14"/>
  </w:num>
  <w:num w:numId="11">
    <w:abstractNumId w:val="12"/>
  </w:num>
  <w:num w:numId="12">
    <w:abstractNumId w:val="7"/>
  </w:num>
  <w:num w:numId="13">
    <w:abstractNumId w:val="6"/>
  </w:num>
  <w:num w:numId="14">
    <w:abstractNumId w:val="17"/>
  </w:num>
  <w:num w:numId="15">
    <w:abstractNumId w:val="3"/>
  </w:num>
  <w:num w:numId="16">
    <w:abstractNumId w:val="11"/>
  </w:num>
  <w:num w:numId="17">
    <w:abstractNumId w:val="18"/>
  </w:num>
  <w:num w:numId="18">
    <w:abstractNumId w:val="8"/>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C25BB2"/>
    <w:rsid w:val="03D10969"/>
    <w:rsid w:val="04DD1658"/>
    <w:rsid w:val="04DF1036"/>
    <w:rsid w:val="050C4E6A"/>
    <w:rsid w:val="050F6021"/>
    <w:rsid w:val="05A97DEC"/>
    <w:rsid w:val="05C81981"/>
    <w:rsid w:val="06BC41F2"/>
    <w:rsid w:val="06DF3DBD"/>
    <w:rsid w:val="07197D08"/>
    <w:rsid w:val="071C2CFD"/>
    <w:rsid w:val="071E5C55"/>
    <w:rsid w:val="073A47CB"/>
    <w:rsid w:val="073F7319"/>
    <w:rsid w:val="07536A42"/>
    <w:rsid w:val="07595F41"/>
    <w:rsid w:val="07615EC0"/>
    <w:rsid w:val="07627E5A"/>
    <w:rsid w:val="077005AB"/>
    <w:rsid w:val="07846647"/>
    <w:rsid w:val="078F4581"/>
    <w:rsid w:val="07995C5E"/>
    <w:rsid w:val="07AC538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CE14D2"/>
    <w:rsid w:val="09D658E4"/>
    <w:rsid w:val="09F1637C"/>
    <w:rsid w:val="0A25628F"/>
    <w:rsid w:val="0AA534D5"/>
    <w:rsid w:val="0AA650EB"/>
    <w:rsid w:val="0AB8066A"/>
    <w:rsid w:val="0AF47339"/>
    <w:rsid w:val="0B22594B"/>
    <w:rsid w:val="0B6709D0"/>
    <w:rsid w:val="0B797387"/>
    <w:rsid w:val="0BAA34F5"/>
    <w:rsid w:val="0BAF459B"/>
    <w:rsid w:val="0BC044BE"/>
    <w:rsid w:val="0BDF26F7"/>
    <w:rsid w:val="0C264099"/>
    <w:rsid w:val="0C2B4952"/>
    <w:rsid w:val="0C433CC7"/>
    <w:rsid w:val="0C7B2220"/>
    <w:rsid w:val="0D890E47"/>
    <w:rsid w:val="0DC64A00"/>
    <w:rsid w:val="0DFC60BA"/>
    <w:rsid w:val="0E194096"/>
    <w:rsid w:val="0E4249F1"/>
    <w:rsid w:val="0F6C5A53"/>
    <w:rsid w:val="0F7C5FF6"/>
    <w:rsid w:val="0F955FBB"/>
    <w:rsid w:val="0FC63FBD"/>
    <w:rsid w:val="106C564D"/>
    <w:rsid w:val="107B7B8F"/>
    <w:rsid w:val="107C67CE"/>
    <w:rsid w:val="108F06C9"/>
    <w:rsid w:val="109D68CB"/>
    <w:rsid w:val="10A949B8"/>
    <w:rsid w:val="10C54639"/>
    <w:rsid w:val="11200D07"/>
    <w:rsid w:val="11DA73AF"/>
    <w:rsid w:val="12C60D80"/>
    <w:rsid w:val="131F7A3A"/>
    <w:rsid w:val="132645D0"/>
    <w:rsid w:val="134526D3"/>
    <w:rsid w:val="13455ABC"/>
    <w:rsid w:val="135033D0"/>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9AB6BF7"/>
    <w:rsid w:val="1A297027"/>
    <w:rsid w:val="1A460CF5"/>
    <w:rsid w:val="1A676352"/>
    <w:rsid w:val="1A7F297D"/>
    <w:rsid w:val="1AB16AC1"/>
    <w:rsid w:val="1AFA7911"/>
    <w:rsid w:val="1B034A52"/>
    <w:rsid w:val="1B1F34AD"/>
    <w:rsid w:val="1B8D5DC6"/>
    <w:rsid w:val="1BB6236A"/>
    <w:rsid w:val="1BFE1D3B"/>
    <w:rsid w:val="1C2775EC"/>
    <w:rsid w:val="1C750ECE"/>
    <w:rsid w:val="1CA22168"/>
    <w:rsid w:val="1D0836D7"/>
    <w:rsid w:val="1D196139"/>
    <w:rsid w:val="1DB85900"/>
    <w:rsid w:val="1DC901C6"/>
    <w:rsid w:val="1DF051AF"/>
    <w:rsid w:val="1E010AF7"/>
    <w:rsid w:val="1E0178EB"/>
    <w:rsid w:val="1E301173"/>
    <w:rsid w:val="1E311151"/>
    <w:rsid w:val="1E38333E"/>
    <w:rsid w:val="1E5C7612"/>
    <w:rsid w:val="1EA40BB4"/>
    <w:rsid w:val="1F43381C"/>
    <w:rsid w:val="1FA4148D"/>
    <w:rsid w:val="20121621"/>
    <w:rsid w:val="201A421D"/>
    <w:rsid w:val="20341172"/>
    <w:rsid w:val="204E554F"/>
    <w:rsid w:val="20590035"/>
    <w:rsid w:val="20C35213"/>
    <w:rsid w:val="20FC799E"/>
    <w:rsid w:val="216547B8"/>
    <w:rsid w:val="22154DDD"/>
    <w:rsid w:val="22213E42"/>
    <w:rsid w:val="22336873"/>
    <w:rsid w:val="23175889"/>
    <w:rsid w:val="238C2182"/>
    <w:rsid w:val="239015D1"/>
    <w:rsid w:val="23BB4E7D"/>
    <w:rsid w:val="23C172D6"/>
    <w:rsid w:val="23C860B3"/>
    <w:rsid w:val="23DB7040"/>
    <w:rsid w:val="23E20F45"/>
    <w:rsid w:val="23F04F64"/>
    <w:rsid w:val="24591253"/>
    <w:rsid w:val="24814CBE"/>
    <w:rsid w:val="24AC168B"/>
    <w:rsid w:val="258C3BEC"/>
    <w:rsid w:val="25A92CDD"/>
    <w:rsid w:val="25E576CC"/>
    <w:rsid w:val="260E3862"/>
    <w:rsid w:val="26202A15"/>
    <w:rsid w:val="262569FC"/>
    <w:rsid w:val="26344C98"/>
    <w:rsid w:val="26F56CE2"/>
    <w:rsid w:val="27176ED6"/>
    <w:rsid w:val="27435D49"/>
    <w:rsid w:val="27A34F71"/>
    <w:rsid w:val="27B36A67"/>
    <w:rsid w:val="27EB0D9B"/>
    <w:rsid w:val="27F71B64"/>
    <w:rsid w:val="2862251F"/>
    <w:rsid w:val="286602C8"/>
    <w:rsid w:val="28665C95"/>
    <w:rsid w:val="28872B17"/>
    <w:rsid w:val="28A64522"/>
    <w:rsid w:val="28CC5B40"/>
    <w:rsid w:val="28E613C8"/>
    <w:rsid w:val="28FB7971"/>
    <w:rsid w:val="290B3EB9"/>
    <w:rsid w:val="291418C2"/>
    <w:rsid w:val="29471059"/>
    <w:rsid w:val="2950768C"/>
    <w:rsid w:val="297A5FC4"/>
    <w:rsid w:val="2A1113BC"/>
    <w:rsid w:val="2A586210"/>
    <w:rsid w:val="2A8D4F8F"/>
    <w:rsid w:val="2A911082"/>
    <w:rsid w:val="2A917B34"/>
    <w:rsid w:val="2AE3766F"/>
    <w:rsid w:val="2B7E4054"/>
    <w:rsid w:val="2BF22742"/>
    <w:rsid w:val="2C987C56"/>
    <w:rsid w:val="2CD56276"/>
    <w:rsid w:val="2CFF149A"/>
    <w:rsid w:val="2D201865"/>
    <w:rsid w:val="2D487B67"/>
    <w:rsid w:val="2D4B5CEA"/>
    <w:rsid w:val="2D652658"/>
    <w:rsid w:val="2DA65196"/>
    <w:rsid w:val="2DAA5D57"/>
    <w:rsid w:val="2DB31B82"/>
    <w:rsid w:val="2DC80C49"/>
    <w:rsid w:val="2DCA6355"/>
    <w:rsid w:val="2DF0699F"/>
    <w:rsid w:val="2E166748"/>
    <w:rsid w:val="2E556F01"/>
    <w:rsid w:val="2E68033B"/>
    <w:rsid w:val="2E8E20B4"/>
    <w:rsid w:val="2ED06066"/>
    <w:rsid w:val="2ED1223D"/>
    <w:rsid w:val="2EE470F7"/>
    <w:rsid w:val="2F000139"/>
    <w:rsid w:val="2F561B8A"/>
    <w:rsid w:val="2F9F42DC"/>
    <w:rsid w:val="2FE04319"/>
    <w:rsid w:val="2FF37AB3"/>
    <w:rsid w:val="3062156B"/>
    <w:rsid w:val="30FF27D2"/>
    <w:rsid w:val="31170995"/>
    <w:rsid w:val="31264A30"/>
    <w:rsid w:val="31884E67"/>
    <w:rsid w:val="31A0275E"/>
    <w:rsid w:val="31B7357A"/>
    <w:rsid w:val="31E14405"/>
    <w:rsid w:val="31ED6B08"/>
    <w:rsid w:val="31F915C9"/>
    <w:rsid w:val="32610CE6"/>
    <w:rsid w:val="328464CE"/>
    <w:rsid w:val="32AB70C5"/>
    <w:rsid w:val="32DC33E0"/>
    <w:rsid w:val="331B172D"/>
    <w:rsid w:val="335D0AF5"/>
    <w:rsid w:val="33614D0F"/>
    <w:rsid w:val="3370088C"/>
    <w:rsid w:val="33A3154A"/>
    <w:rsid w:val="33DC2F78"/>
    <w:rsid w:val="3428227C"/>
    <w:rsid w:val="34EF0FC6"/>
    <w:rsid w:val="35260F83"/>
    <w:rsid w:val="35463755"/>
    <w:rsid w:val="35602226"/>
    <w:rsid w:val="356B72E7"/>
    <w:rsid w:val="3572424F"/>
    <w:rsid w:val="35FC3844"/>
    <w:rsid w:val="363D7345"/>
    <w:rsid w:val="36794DEF"/>
    <w:rsid w:val="36AD519D"/>
    <w:rsid w:val="36B57705"/>
    <w:rsid w:val="374F1A0B"/>
    <w:rsid w:val="37A103ED"/>
    <w:rsid w:val="37EA5E6E"/>
    <w:rsid w:val="37FF016F"/>
    <w:rsid w:val="38427C0B"/>
    <w:rsid w:val="387C5ABE"/>
    <w:rsid w:val="389B3A1E"/>
    <w:rsid w:val="38EB6119"/>
    <w:rsid w:val="39557F91"/>
    <w:rsid w:val="39D709A6"/>
    <w:rsid w:val="39DE33DA"/>
    <w:rsid w:val="39FA5B4A"/>
    <w:rsid w:val="39FE0BE9"/>
    <w:rsid w:val="3A3C1AAF"/>
    <w:rsid w:val="3A497D5C"/>
    <w:rsid w:val="3A4B7CC1"/>
    <w:rsid w:val="3A4D1E52"/>
    <w:rsid w:val="3A51228C"/>
    <w:rsid w:val="3A552E60"/>
    <w:rsid w:val="3A5D642F"/>
    <w:rsid w:val="3AB210FC"/>
    <w:rsid w:val="3ACE216B"/>
    <w:rsid w:val="3AD95C13"/>
    <w:rsid w:val="3B261E51"/>
    <w:rsid w:val="3B973F88"/>
    <w:rsid w:val="3BCD72F7"/>
    <w:rsid w:val="3C414142"/>
    <w:rsid w:val="3C9121FF"/>
    <w:rsid w:val="3CBF57BA"/>
    <w:rsid w:val="3CE114D9"/>
    <w:rsid w:val="3CF737A2"/>
    <w:rsid w:val="3CF7509A"/>
    <w:rsid w:val="3D10295A"/>
    <w:rsid w:val="3D3E702E"/>
    <w:rsid w:val="3D7518E2"/>
    <w:rsid w:val="3E0572FD"/>
    <w:rsid w:val="3E1A5292"/>
    <w:rsid w:val="3E5A7FE7"/>
    <w:rsid w:val="3E6510C7"/>
    <w:rsid w:val="3EC8179E"/>
    <w:rsid w:val="3EF66B2E"/>
    <w:rsid w:val="3F217914"/>
    <w:rsid w:val="3FD70BB0"/>
    <w:rsid w:val="3FE5635A"/>
    <w:rsid w:val="3FFB55AC"/>
    <w:rsid w:val="401C5F9D"/>
    <w:rsid w:val="401C690C"/>
    <w:rsid w:val="401D7195"/>
    <w:rsid w:val="40A51286"/>
    <w:rsid w:val="40CE3DC0"/>
    <w:rsid w:val="40D7455A"/>
    <w:rsid w:val="40E743E5"/>
    <w:rsid w:val="410F24FF"/>
    <w:rsid w:val="4110038E"/>
    <w:rsid w:val="41734CBA"/>
    <w:rsid w:val="41DD7057"/>
    <w:rsid w:val="420F7A65"/>
    <w:rsid w:val="4216611A"/>
    <w:rsid w:val="423E300F"/>
    <w:rsid w:val="425656C8"/>
    <w:rsid w:val="4257273C"/>
    <w:rsid w:val="425D7213"/>
    <w:rsid w:val="42677B61"/>
    <w:rsid w:val="42756DB0"/>
    <w:rsid w:val="428F2215"/>
    <w:rsid w:val="42B21AD2"/>
    <w:rsid w:val="42FD694D"/>
    <w:rsid w:val="434A6D8F"/>
    <w:rsid w:val="4397723B"/>
    <w:rsid w:val="43FA5777"/>
    <w:rsid w:val="44044D92"/>
    <w:rsid w:val="441C1611"/>
    <w:rsid w:val="443C440B"/>
    <w:rsid w:val="443F7DBF"/>
    <w:rsid w:val="44514F52"/>
    <w:rsid w:val="448965CB"/>
    <w:rsid w:val="44C5497E"/>
    <w:rsid w:val="44EF6B8D"/>
    <w:rsid w:val="44FA2D53"/>
    <w:rsid w:val="45201736"/>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952BB8"/>
    <w:rsid w:val="48A41906"/>
    <w:rsid w:val="48B65C71"/>
    <w:rsid w:val="48BB5EC4"/>
    <w:rsid w:val="48F303D7"/>
    <w:rsid w:val="490256AB"/>
    <w:rsid w:val="492837FF"/>
    <w:rsid w:val="492E5FDF"/>
    <w:rsid w:val="492E6A57"/>
    <w:rsid w:val="498A6710"/>
    <w:rsid w:val="49B86103"/>
    <w:rsid w:val="4A0030EE"/>
    <w:rsid w:val="4AA8184F"/>
    <w:rsid w:val="4AB75B3A"/>
    <w:rsid w:val="4AC36065"/>
    <w:rsid w:val="4B3C0AB7"/>
    <w:rsid w:val="4B560086"/>
    <w:rsid w:val="4B7501F5"/>
    <w:rsid w:val="4B8C2DEB"/>
    <w:rsid w:val="4BA17066"/>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5709D7"/>
    <w:rsid w:val="4FAC3540"/>
    <w:rsid w:val="4FBB12F4"/>
    <w:rsid w:val="4FCF1583"/>
    <w:rsid w:val="4FFA7625"/>
    <w:rsid w:val="501B0BF9"/>
    <w:rsid w:val="507D2599"/>
    <w:rsid w:val="5096229D"/>
    <w:rsid w:val="50B44FCE"/>
    <w:rsid w:val="50DC4184"/>
    <w:rsid w:val="51475B39"/>
    <w:rsid w:val="514C3EA7"/>
    <w:rsid w:val="515D65AF"/>
    <w:rsid w:val="519849E5"/>
    <w:rsid w:val="51B36892"/>
    <w:rsid w:val="51C54C74"/>
    <w:rsid w:val="51E44D3C"/>
    <w:rsid w:val="524A036B"/>
    <w:rsid w:val="52506DA7"/>
    <w:rsid w:val="526535E5"/>
    <w:rsid w:val="529D471C"/>
    <w:rsid w:val="53120290"/>
    <w:rsid w:val="533B2B84"/>
    <w:rsid w:val="537A7243"/>
    <w:rsid w:val="539C1B81"/>
    <w:rsid w:val="53AA6184"/>
    <w:rsid w:val="53AE750F"/>
    <w:rsid w:val="53EB0895"/>
    <w:rsid w:val="53F263AD"/>
    <w:rsid w:val="54693932"/>
    <w:rsid w:val="549A6BFA"/>
    <w:rsid w:val="54A6423F"/>
    <w:rsid w:val="54E36107"/>
    <w:rsid w:val="54E72921"/>
    <w:rsid w:val="55441C4B"/>
    <w:rsid w:val="55806F07"/>
    <w:rsid w:val="55A44ACC"/>
    <w:rsid w:val="55FA2961"/>
    <w:rsid w:val="56383368"/>
    <w:rsid w:val="565E7F4F"/>
    <w:rsid w:val="56775789"/>
    <w:rsid w:val="56857D06"/>
    <w:rsid w:val="56914056"/>
    <w:rsid w:val="569F0E63"/>
    <w:rsid w:val="56A02A34"/>
    <w:rsid w:val="56DB613D"/>
    <w:rsid w:val="573810DA"/>
    <w:rsid w:val="57FC2169"/>
    <w:rsid w:val="58096275"/>
    <w:rsid w:val="580E4560"/>
    <w:rsid w:val="581C04F1"/>
    <w:rsid w:val="582E6EF7"/>
    <w:rsid w:val="58434392"/>
    <w:rsid w:val="584E30E6"/>
    <w:rsid w:val="59014D02"/>
    <w:rsid w:val="592E16F6"/>
    <w:rsid w:val="5941533B"/>
    <w:rsid w:val="597B384D"/>
    <w:rsid w:val="59996DA8"/>
    <w:rsid w:val="59AC3CE9"/>
    <w:rsid w:val="59C30F1B"/>
    <w:rsid w:val="5A0D5854"/>
    <w:rsid w:val="5A20156F"/>
    <w:rsid w:val="5A201880"/>
    <w:rsid w:val="5A2A32CF"/>
    <w:rsid w:val="5A9847F3"/>
    <w:rsid w:val="5A994E84"/>
    <w:rsid w:val="5AC7121C"/>
    <w:rsid w:val="5AD90B8D"/>
    <w:rsid w:val="5AE12927"/>
    <w:rsid w:val="5B2243E9"/>
    <w:rsid w:val="5B4E1A44"/>
    <w:rsid w:val="5B666742"/>
    <w:rsid w:val="5B6919B0"/>
    <w:rsid w:val="5B873201"/>
    <w:rsid w:val="5B89551D"/>
    <w:rsid w:val="5B967767"/>
    <w:rsid w:val="5B9E55DE"/>
    <w:rsid w:val="5BCA288C"/>
    <w:rsid w:val="5BEB3C95"/>
    <w:rsid w:val="5C1D18D2"/>
    <w:rsid w:val="5C286807"/>
    <w:rsid w:val="5C446BC8"/>
    <w:rsid w:val="5C4C687B"/>
    <w:rsid w:val="5C7C2768"/>
    <w:rsid w:val="5CB23AE6"/>
    <w:rsid w:val="5CC7019C"/>
    <w:rsid w:val="5CF55792"/>
    <w:rsid w:val="5CFD533A"/>
    <w:rsid w:val="5D2F72C2"/>
    <w:rsid w:val="5D893B14"/>
    <w:rsid w:val="5E2810D5"/>
    <w:rsid w:val="5E2B7D62"/>
    <w:rsid w:val="5E71411E"/>
    <w:rsid w:val="5EA06921"/>
    <w:rsid w:val="5ED5006A"/>
    <w:rsid w:val="5F46527F"/>
    <w:rsid w:val="5F576E4B"/>
    <w:rsid w:val="5F5D1728"/>
    <w:rsid w:val="5F5D4EDE"/>
    <w:rsid w:val="5F73164A"/>
    <w:rsid w:val="5F7A2C30"/>
    <w:rsid w:val="5FBE370A"/>
    <w:rsid w:val="5FD62906"/>
    <w:rsid w:val="60292845"/>
    <w:rsid w:val="61027308"/>
    <w:rsid w:val="612E1A5D"/>
    <w:rsid w:val="61816046"/>
    <w:rsid w:val="62182687"/>
    <w:rsid w:val="62391564"/>
    <w:rsid w:val="62697E9C"/>
    <w:rsid w:val="62816669"/>
    <w:rsid w:val="62BA0953"/>
    <w:rsid w:val="62D03A7C"/>
    <w:rsid w:val="62E13602"/>
    <w:rsid w:val="62E8765C"/>
    <w:rsid w:val="62F16BCB"/>
    <w:rsid w:val="62F62419"/>
    <w:rsid w:val="62F648FE"/>
    <w:rsid w:val="631736AA"/>
    <w:rsid w:val="63341DB1"/>
    <w:rsid w:val="633A63CA"/>
    <w:rsid w:val="63447612"/>
    <w:rsid w:val="63907004"/>
    <w:rsid w:val="639A73C1"/>
    <w:rsid w:val="63A10995"/>
    <w:rsid w:val="63C23EFA"/>
    <w:rsid w:val="63E52E10"/>
    <w:rsid w:val="643A070A"/>
    <w:rsid w:val="644C573D"/>
    <w:rsid w:val="648667A7"/>
    <w:rsid w:val="64DB383A"/>
    <w:rsid w:val="64FC184A"/>
    <w:rsid w:val="65032F85"/>
    <w:rsid w:val="65136B50"/>
    <w:rsid w:val="657E2A35"/>
    <w:rsid w:val="65A94E9D"/>
    <w:rsid w:val="65C60A92"/>
    <w:rsid w:val="65F3550D"/>
    <w:rsid w:val="662203DD"/>
    <w:rsid w:val="666B723B"/>
    <w:rsid w:val="6678045A"/>
    <w:rsid w:val="66DD6702"/>
    <w:rsid w:val="679406CB"/>
    <w:rsid w:val="67C35C0B"/>
    <w:rsid w:val="681233D2"/>
    <w:rsid w:val="681D5EE5"/>
    <w:rsid w:val="68652AB3"/>
    <w:rsid w:val="689F1926"/>
    <w:rsid w:val="68AD17BB"/>
    <w:rsid w:val="68D94D22"/>
    <w:rsid w:val="6928354F"/>
    <w:rsid w:val="692B2E4A"/>
    <w:rsid w:val="694303FB"/>
    <w:rsid w:val="69693334"/>
    <w:rsid w:val="696A0B34"/>
    <w:rsid w:val="698D6A17"/>
    <w:rsid w:val="699309CE"/>
    <w:rsid w:val="69A233E7"/>
    <w:rsid w:val="69EE3535"/>
    <w:rsid w:val="69EE71FF"/>
    <w:rsid w:val="69F954C1"/>
    <w:rsid w:val="6A2031B6"/>
    <w:rsid w:val="6A440C53"/>
    <w:rsid w:val="6AC61F6F"/>
    <w:rsid w:val="6ADE74F0"/>
    <w:rsid w:val="6B1002C0"/>
    <w:rsid w:val="6B1565F5"/>
    <w:rsid w:val="6B1F5CFA"/>
    <w:rsid w:val="6B723594"/>
    <w:rsid w:val="6B805156"/>
    <w:rsid w:val="6B8D6DF1"/>
    <w:rsid w:val="6BD50977"/>
    <w:rsid w:val="6BEA2A9B"/>
    <w:rsid w:val="6C9C0875"/>
    <w:rsid w:val="6C9D1F03"/>
    <w:rsid w:val="6CAA3931"/>
    <w:rsid w:val="6D3933CA"/>
    <w:rsid w:val="6D7B61EC"/>
    <w:rsid w:val="6DD049FF"/>
    <w:rsid w:val="6E09491E"/>
    <w:rsid w:val="6E0D3655"/>
    <w:rsid w:val="6E5F4465"/>
    <w:rsid w:val="6E8C54DA"/>
    <w:rsid w:val="6EF11E03"/>
    <w:rsid w:val="6F111C62"/>
    <w:rsid w:val="6F2176E5"/>
    <w:rsid w:val="6F3053CA"/>
    <w:rsid w:val="6F36242A"/>
    <w:rsid w:val="6F592303"/>
    <w:rsid w:val="6F5F5B74"/>
    <w:rsid w:val="6F9B1C65"/>
    <w:rsid w:val="6FD47A25"/>
    <w:rsid w:val="6FF44026"/>
    <w:rsid w:val="6FFB146E"/>
    <w:rsid w:val="70096DC1"/>
    <w:rsid w:val="701A5C74"/>
    <w:rsid w:val="706516C3"/>
    <w:rsid w:val="70864A71"/>
    <w:rsid w:val="70896E68"/>
    <w:rsid w:val="70934882"/>
    <w:rsid w:val="71181A12"/>
    <w:rsid w:val="714556B4"/>
    <w:rsid w:val="715B60E9"/>
    <w:rsid w:val="71E96309"/>
    <w:rsid w:val="71EA1FED"/>
    <w:rsid w:val="72284A0C"/>
    <w:rsid w:val="72854629"/>
    <w:rsid w:val="72C16204"/>
    <w:rsid w:val="730313F6"/>
    <w:rsid w:val="730704A2"/>
    <w:rsid w:val="731E1007"/>
    <w:rsid w:val="73370D24"/>
    <w:rsid w:val="7359268C"/>
    <w:rsid w:val="739503EB"/>
    <w:rsid w:val="73A05B28"/>
    <w:rsid w:val="73C07D69"/>
    <w:rsid w:val="743C423C"/>
    <w:rsid w:val="749E2255"/>
    <w:rsid w:val="74B42AE4"/>
    <w:rsid w:val="750A429D"/>
    <w:rsid w:val="75167F59"/>
    <w:rsid w:val="755D38A7"/>
    <w:rsid w:val="755F5A0F"/>
    <w:rsid w:val="75614792"/>
    <w:rsid w:val="75784473"/>
    <w:rsid w:val="75790A02"/>
    <w:rsid w:val="757E044C"/>
    <w:rsid w:val="75977BC3"/>
    <w:rsid w:val="75B161B3"/>
    <w:rsid w:val="75E2563F"/>
    <w:rsid w:val="75E470E3"/>
    <w:rsid w:val="76736B32"/>
    <w:rsid w:val="76B01DE7"/>
    <w:rsid w:val="76E3765E"/>
    <w:rsid w:val="76FC2AFA"/>
    <w:rsid w:val="773F0836"/>
    <w:rsid w:val="77653671"/>
    <w:rsid w:val="77837643"/>
    <w:rsid w:val="778546CC"/>
    <w:rsid w:val="77B339CD"/>
    <w:rsid w:val="77B56730"/>
    <w:rsid w:val="77C04A8B"/>
    <w:rsid w:val="77D85DB3"/>
    <w:rsid w:val="780252A0"/>
    <w:rsid w:val="78027772"/>
    <w:rsid w:val="78A50513"/>
    <w:rsid w:val="793B7339"/>
    <w:rsid w:val="796518DD"/>
    <w:rsid w:val="796D49EF"/>
    <w:rsid w:val="796E0C55"/>
    <w:rsid w:val="79AA0532"/>
    <w:rsid w:val="79F70999"/>
    <w:rsid w:val="79FE1DDD"/>
    <w:rsid w:val="7A075767"/>
    <w:rsid w:val="7A212062"/>
    <w:rsid w:val="7A282A11"/>
    <w:rsid w:val="7A3D0290"/>
    <w:rsid w:val="7A573CB0"/>
    <w:rsid w:val="7A874A29"/>
    <w:rsid w:val="7AB90FF6"/>
    <w:rsid w:val="7AC21562"/>
    <w:rsid w:val="7AD474A4"/>
    <w:rsid w:val="7B115232"/>
    <w:rsid w:val="7B401C35"/>
    <w:rsid w:val="7B416BDC"/>
    <w:rsid w:val="7B5350AD"/>
    <w:rsid w:val="7B6867EB"/>
    <w:rsid w:val="7B697C89"/>
    <w:rsid w:val="7B8D34C3"/>
    <w:rsid w:val="7B932D3D"/>
    <w:rsid w:val="7B971D84"/>
    <w:rsid w:val="7BF32F03"/>
    <w:rsid w:val="7C1724A5"/>
    <w:rsid w:val="7C8E3CCF"/>
    <w:rsid w:val="7C9A7C3E"/>
    <w:rsid w:val="7CA54112"/>
    <w:rsid w:val="7CE50CE4"/>
    <w:rsid w:val="7D2E5ABF"/>
    <w:rsid w:val="7D955951"/>
    <w:rsid w:val="7DB576FB"/>
    <w:rsid w:val="7DCA1E7A"/>
    <w:rsid w:val="7E0C6B6D"/>
    <w:rsid w:val="7E2142A2"/>
    <w:rsid w:val="7E4F5384"/>
    <w:rsid w:val="7E5A6DFA"/>
    <w:rsid w:val="7E7B0BF2"/>
    <w:rsid w:val="7E7C7A78"/>
    <w:rsid w:val="7E8D75B6"/>
    <w:rsid w:val="7EB2417D"/>
    <w:rsid w:val="7EF760EE"/>
    <w:rsid w:val="7F2A21E7"/>
    <w:rsid w:val="7FA33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pPr>
      <w:spacing w:after="0"/>
    </w:pPr>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9"/>
    <w:semiHidden/>
    <w:qFormat/>
    <w:uiPriority w:val="99"/>
    <w:rPr>
      <w:rFonts w:ascii="宋体" w:hAnsi="Courier New" w:eastAsia="宋体" w:cs="Courier New"/>
      <w:sz w:val="21"/>
      <w:szCs w:val="21"/>
    </w:rPr>
  </w:style>
  <w:style w:type="character" w:customStyle="1" w:styleId="46">
    <w:name w:val="页眉 Char"/>
    <w:basedOn w:val="25"/>
    <w:link w:val="13"/>
    <w:qFormat/>
    <w:uiPriority w:val="99"/>
    <w:rPr>
      <w:rFonts w:ascii="Tahoma" w:hAnsi="Tahoma"/>
      <w:sz w:val="18"/>
      <w:szCs w:val="18"/>
    </w:rPr>
  </w:style>
  <w:style w:type="character" w:customStyle="1" w:styleId="47">
    <w:name w:val="页脚 Char"/>
    <w:basedOn w:val="25"/>
    <w:link w:val="12"/>
    <w:qFormat/>
    <w:uiPriority w:val="99"/>
    <w:rPr>
      <w:rFonts w:ascii="Tahoma" w:hAnsi="Tahoma"/>
      <w:sz w:val="18"/>
      <w:szCs w:val="18"/>
    </w:rPr>
  </w:style>
  <w:style w:type="character" w:customStyle="1" w:styleId="48">
    <w:name w:val="批注框文本 Char"/>
    <w:basedOn w:val="25"/>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83</Pages>
  <Words>34357</Words>
  <Characters>36954</Characters>
  <Lines>264</Lines>
  <Paragraphs>74</Paragraphs>
  <TotalTime>0</TotalTime>
  <ScaleCrop>false</ScaleCrop>
  <LinksUpToDate>false</LinksUpToDate>
  <CharactersWithSpaces>40170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2023-08-08T03:10:49Z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5C67F8769D164689AE141D4E06C926F3_13</vt:lpwstr>
  </property>
</Properties>
</file>