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441900014-2023-00531</w:t>
      </w:r>
    </w:p>
    <w:p>
      <w:pPr>
        <w:jc w:val="center"/>
      </w:pPr>
      <w:r>
        <w:rPr>
          <w:b/>
          <w:sz w:val="24"/>
        </w:rPr>
        <w:t>采购项目编号：</w:t>
      </w:r>
      <w:r>
        <w:rPr>
          <w:b/>
          <w:sz w:val="24"/>
        </w:rPr>
        <w:t>441900014-2023-00531</w:t>
      </w:r>
    </w:p>
    <w:p>
      <w:pPr>
        <w:jc w:val="center"/>
      </w:pPr>
      <w:r>
        <w:rPr>
          <w:b/>
          <w:sz w:val="24"/>
        </w:rPr>
        <w:t>项目名称：</w:t>
      </w:r>
      <w:r>
        <w:rPr>
          <w:b/>
          <w:sz w:val="24"/>
        </w:rPr>
        <w:t>横沥镇水利工程安全鉴定及标准化管理工作</w:t>
      </w:r>
    </w:p>
    <w:p>
      <w:pPr>
        <w:jc w:val="center"/>
      </w:pPr>
      <w:r>
        <w:rPr>
          <w:b/>
          <w:sz w:val="24"/>
        </w:rPr>
        <w:t>采购人：</w:t>
      </w:r>
      <w:r>
        <w:rPr>
          <w:b/>
          <w:sz w:val="24"/>
        </w:rPr>
        <w:t>东莞市横沥镇水务工程运营中心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东莞市横沥镇水务工程运营中心</w:t>
      </w:r>
      <w:r>
        <w:rPr/>
        <w:t>的委托，采用</w:t>
      </w:r>
      <w:r>
        <w:rPr/>
        <w:t>公开招标</w:t>
      </w:r>
      <w:r>
        <w:rPr/>
        <w:t>方式组织采购</w:t>
      </w:r>
      <w:r>
        <w:rPr/>
        <w:t>横沥镇水利工程安全鉴定及标准化管理工作</w:t>
      </w:r>
      <w:r>
        <w:rPr/>
        <w:t>。欢迎符合资格条件的国内供应商参加投标。</w:t>
      </w:r>
    </w:p>
    <w:p>
      <w:r>
        <w:rPr>
          <w:b/>
          <w:sz w:val="28"/>
        </w:rPr>
        <w:t>一.项目概述</w:t>
      </w:r>
    </w:p>
    <w:p>
      <w:r>
        <w:rPr>
          <w:b/>
          <w:sz w:val="24"/>
        </w:rPr>
        <w:t>1.名称与编号</w:t>
      </w:r>
    </w:p>
    <w:p>
      <w:pPr>
        <w:ind w:firstLine="480"/>
      </w:pPr>
      <w:r>
        <w:rPr/>
        <w:t>项目名称：</w:t>
      </w:r>
      <w:r>
        <w:rPr/>
        <w:t>横沥镇水利工程安全鉴定及标准化管理工作</w:t>
      </w:r>
    </w:p>
    <w:p>
      <w:pPr>
        <w:ind w:firstLine="480"/>
      </w:pPr>
      <w:r>
        <w:rPr/>
        <w:t>采购计划编号：</w:t>
      </w:r>
      <w:r>
        <w:rPr/>
        <w:t>441900014-2023-00531</w:t>
      </w:r>
    </w:p>
    <w:p>
      <w:pPr>
        <w:ind w:firstLine="480"/>
      </w:pPr>
      <w:r>
        <w:rPr/>
        <w:t>采购项目编号：</w:t>
      </w:r>
      <w:r>
        <w:rPr/>
        <w:t>441900014-2023-00531</w:t>
      </w:r>
    </w:p>
    <w:p>
      <w:pPr>
        <w:ind w:firstLine="480"/>
      </w:pPr>
      <w:r>
        <w:rPr/>
        <w:t>采购方式：</w:t>
      </w:r>
      <w:r>
        <w:rPr/>
        <w:t>公开招标</w:t>
      </w:r>
    </w:p>
    <w:p>
      <w:pPr>
        <w:ind w:firstLine="480"/>
      </w:pPr>
      <w:r>
        <w:rPr/>
        <w:t>预算金额：</w:t>
      </w:r>
      <w:r>
        <w:rPr/>
        <w:t>2,793,800.00</w:t>
      </w:r>
      <w:r>
        <w:rPr/>
        <w:t>元</w:t>
      </w:r>
    </w:p>
    <w:p>
      <w:r>
        <w:rPr>
          <w:b/>
          <w:sz w:val="24"/>
        </w:rPr>
        <w:t>2.项目内容及需求情况（采购项目技术规格、参数及要求）</w:t>
      </w:r>
    </w:p>
    <w:p>
      <w:pPr>
        <w:ind w:firstLine="480"/>
      </w:pPr>
    </w:p>
    <w:p/>
    <w:p>
      <w:r>
        <w:rPr/>
        <w:t>采购包1(横沥镇水利工程安全鉴定及标准化管理工作):</w:t>
      </w:r>
    </w:p>
    <w:p>
      <w:r>
        <w:rPr/>
        <w:t>采购包预算金额：2,793,800.00元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其他水利管理服务</w:t>
            </w:r>
          </w:p>
        </w:tc>
        <w:tc>
          <w:tcPr>
            <w:tcW w:type="dxa" w:w="2052"/>
          </w:tcPr>
          <w:p>
            <w:r>
              <w:rPr/>
              <w:t>横沥镇水利工程安全鉴定及标准化管理工作</w:t>
            </w:r>
          </w:p>
        </w:tc>
        <w:tc>
          <w:tcPr>
            <w:tcW w:type="dxa" w:w="977"/>
          </w:tcPr>
          <w:p>
            <w:r>
              <w:rPr/>
              <w:t>1.00(项)</w:t>
            </w:r>
          </w:p>
        </w:tc>
        <w:tc>
          <w:tcPr>
            <w:tcW w:type="dxa" w:w="977"/>
          </w:tcPr>
          <w:p>
            <w:r>
              <w:rPr/>
              <w:t>详见第二章</w:t>
            </w:r>
          </w:p>
        </w:tc>
        <w:tc>
          <w:tcPr>
            <w:tcW w:type="dxa" w:w="977"/>
          </w:tcPr>
          <w:p>
            <w:r>
              <w:rPr/>
              <w:t>2,793,800.00</w:t>
            </w:r>
          </w:p>
        </w:tc>
        <w:tc>
          <w:tcPr>
            <w:tcW w:type="dxa" w:w="977"/>
          </w:tcPr>
          <w:p>
            <w:r>
              <w:rPr/>
              <w:t>否</w:t>
            </w:r>
          </w:p>
        </w:tc>
      </w:tr>
    </w:tbl>
    <w:p/>
    <w:p>
      <w:r>
        <w:rPr/>
        <w:t>本采购包不接受联合体投标</w:t>
      </w:r>
    </w:p>
    <w:p/>
    <w:p>
      <w:r>
        <w:rPr/>
        <w:t>合同履行期限：1、安全鉴定：自合同签订日起90个日历天（不含采购人向相关行政主管部门申报的时间）。 2、标准化管理创建：自合同签订日起本项目服务期为150个日历天（不含采购人向相关行政主管部门申报的时间）。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2）有依法缴纳税收和社会保障资金的良好记录：提供《资格条件承诺函》，可参考公告附件格式。</w:t>
      </w:r>
    </w:p>
    <w:p/>
    <w:p>
      <w:r>
        <w:rPr/>
        <w:t>3）具有良好的商业信誉和健全的财务会计制度：提供《资格条件承诺函》，可参考公告附件格式。</w:t>
      </w:r>
    </w:p>
    <w:p/>
    <w:p>
      <w:r>
        <w:rPr/>
        <w:t>4）履行合同所必需的设备和专业技术能力：提供《资格条件承诺函》，可参考公告附件格式。</w:t>
      </w:r>
    </w:p>
    <w:p/>
    <w:p>
      <w:r>
        <w:rPr/>
        <w:t>5）参加采购活动前3年内，在经营活动中没有重大违法记录：提供《资格条件承诺函》，可参考公告附件格式。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采购包1（横沥镇水利工程安全鉴定及标准化管理工作）：</w:t>
      </w:r>
      <w:r>
        <w:rPr/>
        <w:t>采购包整体专门面向中小企业。投标人须符合本项目采购标的对应行业（本项目行业为：其他未列明行业）的政策划分标准。监狱企业、残疾人福利单位视同小型、微型企业。注：中小企业以供应商填写的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采购包1（横沥镇水利工程安全鉴定及标准化管理工作）：</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3)①投标人必须具有工程设计综合甲级资质或工程设计水利行业乙级（含）以上资质证书； ②投标人必须具有工程勘察综合甲级资质或工程勘察专业(岩土工程勘察、工程测量)乙级（含）以上资质。</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东莞市横沥镇水务工程运营中心</w:t>
      </w:r>
    </w:p>
    <w:p>
      <w:pPr>
        <w:ind w:firstLine="480"/>
      </w:pPr>
      <w:r>
        <w:rPr/>
        <w:t>地址：</w:t>
      </w:r>
      <w:r>
        <w:rPr/>
        <w:t>横沥镇水务工程运营中心</w:t>
      </w:r>
    </w:p>
    <w:p>
      <w:pPr>
        <w:ind w:firstLine="480"/>
      </w:pPr>
      <w:r>
        <w:rPr/>
        <w:t>联系方式：</w:t>
      </w:r>
      <w:r>
        <w:rPr/>
        <w:t>0769-22881803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本项目为横沥镇水利工程安全鉴定及标准化管理工作项目。</w:t>
      </w:r>
    </w:p>
    <w:p/>
    <w:p>
      <w:pPr>
        <w:ind w:firstLine="480"/>
      </w:pPr>
    </w:p>
    <w:p/>
    <w:p>
      <w:r>
        <w:rPr/>
        <w:t>采购包1（横沥镇水利工程安全鉴定及标准化管理工作）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1、安全鉴定：自合同签订日起90个日历天（不含采购人向相关行政主管部门申报的时间）。 2、标准化管理创建：自合同签订日起本项目服务期为150个日历天（不含采购人向相关行政主管部门申报的时间）。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1期：支付比例100%,按进度款支付： 1、排站安全鉴定 ①中标人完成单个排站的安全评价报告及专家评审会工作后，支付至该排站安全鉴定合同价的50%； ②单个排站取得鉴定审定部门印发的安全鉴定报告书后，采购人支付该排站安全鉴定剩余费用。 2、排站标准化规范化管理创建 ①中标人提交单个排站自检自评报告后，支付该排站管理标准化服务费用的60%； ②单个排站提交标准化管理申报资料并获批通过后，且申报材料通过主管部门达标验收，支付该排站管理标准化剩余费用。 3、堤防标准化规范化管理创建 ①中标人提交单个堤防自检自评报告后，支付该堤防管理标准化服务费用的60%； ②单个堤防提交标准化管理申报资料并获批通过后，且申报材料通过主管部门达标验收，支付该堤防管理标准化剩余费用。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报价要求，投标报价应包括本次招标所有服务内容的费用，包括人工、材料、机械设备使用费、措施费、税费以及合同实施过程中的不可预见费用等全部费用。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其他水利管理服务</w:t>
            </w:r>
          </w:p>
        </w:tc>
        <w:tc>
          <w:tcPr>
            <w:tcW w:type="dxa" w:w="933"/>
          </w:tcPr>
          <w:p>
            <w:pPr>
              <w:jc w:val="left"/>
            </w:pPr>
            <w:r>
              <w:rPr/>
              <w:t>横沥镇水利工程安全鉴定及标准化管理工作</w:t>
            </w:r>
          </w:p>
        </w:tc>
        <w:tc>
          <w:tcPr>
            <w:tcW w:type="dxa" w:w="933"/>
          </w:tcPr>
          <w:p>
            <w:pPr>
              <w:jc w:val="left"/>
            </w:pPr>
            <w:r>
              <w:rPr/>
              <w:t>项</w:t>
            </w:r>
          </w:p>
        </w:tc>
        <w:tc>
          <w:tcPr>
            <w:tcW w:type="dxa" w:w="933"/>
          </w:tcPr>
          <w:p>
            <w:pPr>
              <w:jc w:val="right"/>
            </w:pPr>
            <w:r>
              <w:rPr/>
              <w:t>1.00</w:t>
            </w:r>
          </w:p>
        </w:tc>
        <w:tc>
          <w:tcPr>
            <w:tcW w:type="dxa" w:w="933"/>
          </w:tcPr>
          <w:p>
            <w:pPr>
              <w:jc w:val="right"/>
            </w:pPr>
            <w:r>
              <w:rPr/>
              <w:t>2,793,800.00</w:t>
            </w:r>
          </w:p>
        </w:tc>
        <w:tc>
          <w:tcPr>
            <w:tcW w:type="dxa" w:w="933"/>
          </w:tcPr>
          <w:p>
            <w:pPr>
              <w:jc w:val="right"/>
            </w:pPr>
            <w:r>
              <w:rPr/>
              <w:t>2,793,800.00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横沥镇水利工程安全鉴定及标准化管理工作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一、项目概况及项目目标</w:t>
            </w:r>
          </w:p>
          <w:p>
            <w:pPr>
              <w:ind w:firstLine="422"/>
            </w:pPr>
            <w:r>
              <w:rPr>
                <w:b/>
                <w:sz w:val="21"/>
              </w:rPr>
              <w:t>1</w:t>
            </w:r>
            <w:r>
              <w:rPr>
                <w:b/>
                <w:sz w:val="21"/>
              </w:rPr>
              <w:t>、项目概况：</w:t>
            </w:r>
            <w:r>
              <w:rPr>
                <w:sz w:val="21"/>
              </w:rPr>
              <w:t>全面加强横沥镇水利工程的管理水平，以及为保证横沥镇</w:t>
            </w:r>
            <w:r>
              <w:rPr>
                <w:sz w:val="21"/>
              </w:rPr>
              <w:t>排站</w:t>
            </w:r>
            <w:r>
              <w:rPr>
                <w:sz w:val="21"/>
              </w:rPr>
              <w:t>的安全运行，</w:t>
            </w:r>
            <w:r>
              <w:rPr>
                <w:sz w:val="21"/>
              </w:rPr>
              <w:t>采购人</w:t>
            </w:r>
            <w:r>
              <w:rPr>
                <w:sz w:val="21"/>
              </w:rPr>
              <w:t>拟开展水利工程安全鉴定及标准化管理创建工作。</w:t>
            </w:r>
          </w:p>
          <w:p>
            <w:pPr>
              <w:ind w:firstLine="420"/>
            </w:pPr>
            <w:r>
              <w:rPr>
                <w:sz w:val="21"/>
              </w:rPr>
              <w:t>根据《关于印发东莞市</w:t>
            </w:r>
            <w:r>
              <w:rPr>
                <w:sz w:val="21"/>
              </w:rPr>
              <w:t>2023年水利工程管理工作要点的通知》（东水务〔2023〕36 号）和《关于加快开展2023年省水利运管重点工作任务的函》（东水务函〔2023〕145 号），2023年全横沥镇共有4座</w:t>
            </w:r>
            <w:r>
              <w:rPr>
                <w:sz w:val="21"/>
              </w:rPr>
              <w:t>排站</w:t>
            </w:r>
            <w:r>
              <w:rPr>
                <w:sz w:val="21"/>
              </w:rPr>
              <w:t>和</w:t>
            </w:r>
            <w:r>
              <w:rPr>
                <w:sz w:val="21"/>
              </w:rPr>
              <w:t>4条堤防需要进行标准化管理创建，7座</w:t>
            </w:r>
            <w:r>
              <w:rPr>
                <w:sz w:val="21"/>
              </w:rPr>
              <w:t>排站</w:t>
            </w:r>
            <w:r>
              <w:rPr>
                <w:sz w:val="21"/>
              </w:rPr>
              <w:t>需进行安全鉴定，详见下表。</w:t>
            </w:r>
          </w:p>
          <w:p>
            <w:pPr>
              <w:ind w:firstLine="422"/>
              <w:jc w:val="center"/>
            </w:pPr>
            <w:r>
              <w:rPr>
                <w:b/>
                <w:sz w:val="21"/>
              </w:rPr>
              <w:t>标准化管理创建工程</w:t>
            </w:r>
          </w:p>
          <w:tbl>
            <w:tblPr>
              <w:tblInd w:type="dxa" w:w="120"/>
              <w:tblBorders>
                <w:top w:val="none" w:color="000000" w:sz="4"/>
                <w:left w:val="none" w:color="000000" w:sz="4"/>
                <w:bottom w:val="none" w:color="000000" w:sz="4"/>
                <w:right w:val="none" w:color="000000" w:sz="4"/>
                <w:insideH w:val="none"/>
                <w:insideV w:val="none"/>
              </w:tblBorders>
            </w:tblPr>
            <w:tblGrid>
              <w:gridCol w:w="630"/>
              <w:gridCol w:w="899"/>
              <w:gridCol w:w="2269"/>
              <w:gridCol w:w="900"/>
              <w:gridCol w:w="899"/>
            </w:tblGrid>
            <w:tr>
              <w:tc>
                <w:tcPr>
                  <w:tcW w:type="dxa" w:w="63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99"/>
                  <w:tcBorders>
                    <w:top w:val="single" w:color="000000" w:sz="4"/>
                    <w:left w:val="none" w:color="000000" w:sz="4"/>
                    <w:bottom w:val="single" w:color="000000" w:sz="4"/>
                    <w:right w:val="single" w:color="000000" w:sz="4"/>
                  </w:tcBorders>
                  <w:vAlign w:val="top"/>
                </w:tcPr>
                <w:p>
                  <w:pPr>
                    <w:jc w:val="center"/>
                  </w:pPr>
                  <w:r>
                    <w:rPr>
                      <w:b/>
                      <w:sz w:val="21"/>
                    </w:rPr>
                    <w:t>工程类型</w:t>
                  </w:r>
                </w:p>
              </w:tc>
              <w:tc>
                <w:tcPr>
                  <w:tcW w:type="dxa" w:w="2269"/>
                  <w:tcBorders>
                    <w:top w:val="single" w:color="000000" w:sz="4"/>
                    <w:left w:val="none" w:color="000000" w:sz="4"/>
                    <w:bottom w:val="single" w:color="000000" w:sz="4"/>
                    <w:right w:val="single" w:color="000000" w:sz="4"/>
                  </w:tcBorders>
                  <w:vAlign w:val="top"/>
                </w:tcPr>
                <w:p>
                  <w:pPr>
                    <w:jc w:val="center"/>
                  </w:pPr>
                  <w:r>
                    <w:rPr>
                      <w:b/>
                      <w:sz w:val="21"/>
                    </w:rPr>
                    <w:t>工程名称</w:t>
                  </w:r>
                </w:p>
              </w:tc>
              <w:tc>
                <w:tcPr>
                  <w:tcW w:type="dxa" w:w="900"/>
                  <w:tcBorders>
                    <w:top w:val="single" w:color="000000" w:sz="4"/>
                    <w:left w:val="none" w:color="000000" w:sz="4"/>
                    <w:bottom w:val="single" w:color="000000" w:sz="4"/>
                    <w:right w:val="single" w:color="000000" w:sz="4"/>
                  </w:tcBorders>
                  <w:vAlign w:val="top"/>
                </w:tcPr>
                <w:p>
                  <w:pPr>
                    <w:jc w:val="center"/>
                  </w:pPr>
                  <w:r>
                    <w:rPr>
                      <w:b/>
                      <w:sz w:val="21"/>
                    </w:rPr>
                    <w:t>工程规模</w:t>
                  </w:r>
                </w:p>
              </w:tc>
              <w:tc>
                <w:tcPr>
                  <w:tcW w:type="dxa" w:w="899"/>
                  <w:tcBorders>
                    <w:top w:val="single" w:color="000000" w:sz="4"/>
                    <w:left w:val="none" w:color="000000" w:sz="4"/>
                    <w:bottom w:val="single" w:color="000000" w:sz="4"/>
                    <w:right w:val="single" w:color="000000" w:sz="4"/>
                  </w:tcBorders>
                  <w:vAlign w:val="top"/>
                </w:tcPr>
                <w:p>
                  <w:pPr>
                    <w:jc w:val="center"/>
                  </w:pPr>
                  <w:r>
                    <w:rPr>
                      <w:b/>
                      <w:sz w:val="21"/>
                    </w:rPr>
                    <w:t>创建规模</w:t>
                  </w:r>
                </w:p>
              </w:tc>
            </w:tr>
            <w:tr>
              <w:tc>
                <w:tcPr>
                  <w:tcW w:type="dxa" w:w="63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9"/>
                  <w:vMerge w:val="restart"/>
                  <w:tcBorders>
                    <w:top w:val="none" w:color="000000" w:sz="4"/>
                    <w:left w:val="none" w:color="000000" w:sz="4"/>
                    <w:bottom w:val="single" w:color="000000" w:sz="4"/>
                    <w:right w:val="single" w:color="000000" w:sz="4"/>
                  </w:tcBorders>
                  <w:vAlign w:val="top"/>
                </w:tcPr>
                <w:p>
                  <w:pPr>
                    <w:jc w:val="center"/>
                  </w:pPr>
                  <w:r>
                    <w:rPr>
                      <w:sz w:val="21"/>
                    </w:rPr>
                    <w:t>泵站</w:t>
                  </w:r>
                </w:p>
              </w:tc>
              <w:tc>
                <w:tcPr>
                  <w:tcW w:type="dxa" w:w="2269"/>
                  <w:tcBorders>
                    <w:top w:val="none" w:color="000000" w:sz="4"/>
                    <w:left w:val="none" w:color="000000" w:sz="4"/>
                    <w:bottom w:val="single" w:color="000000" w:sz="4"/>
                    <w:right w:val="single" w:color="000000" w:sz="4"/>
                  </w:tcBorders>
                  <w:vAlign w:val="top"/>
                </w:tcPr>
                <w:p>
                  <w:pPr>
                    <w:jc w:val="center"/>
                  </w:pPr>
                  <w:r>
                    <w:rPr>
                      <w:sz w:val="21"/>
                    </w:rPr>
                    <w:t>田头新排站</w:t>
                  </w:r>
                </w:p>
              </w:tc>
              <w:tc>
                <w:tcPr>
                  <w:tcW w:type="dxa" w:w="900"/>
                  <w:tcBorders>
                    <w:top w:val="none" w:color="000000" w:sz="4"/>
                    <w:left w:val="none" w:color="000000" w:sz="4"/>
                    <w:bottom w:val="single" w:color="000000" w:sz="4"/>
                    <w:right w:val="single" w:color="000000" w:sz="4"/>
                  </w:tcBorders>
                  <w:vAlign w:val="top"/>
                </w:tcPr>
                <w:p>
                  <w:pPr>
                    <w:jc w:val="center"/>
                  </w:pPr>
                  <w:r>
                    <w:rPr>
                      <w:sz w:val="21"/>
                    </w:rPr>
                    <w:t>小（</w:t>
                  </w:r>
                  <w:r>
                    <w:rPr>
                      <w:sz w:val="21"/>
                    </w:rPr>
                    <w:t>1）</w:t>
                  </w:r>
                </w:p>
              </w:tc>
              <w:tc>
                <w:tcPr>
                  <w:tcW w:type="dxa" w:w="899"/>
                  <w:tcBorders>
                    <w:top w:val="none" w:color="000000" w:sz="4"/>
                    <w:left w:val="none" w:color="000000" w:sz="4"/>
                    <w:bottom w:val="single" w:color="000000" w:sz="4"/>
                    <w:right w:val="single" w:color="000000" w:sz="4"/>
                  </w:tcBorders>
                  <w:vAlign w:val="bottom"/>
                </w:tcPr>
                <w:p>
                  <w:pPr>
                    <w:jc w:val="center"/>
                  </w:pPr>
                  <w:r>
                    <w:rPr>
                      <w:sz w:val="21"/>
                    </w:rPr>
                    <w:t>市级</w:t>
                  </w:r>
                </w:p>
              </w:tc>
            </w:tr>
            <w:tr>
              <w:tc>
                <w:tcPr>
                  <w:tcW w:type="dxa" w:w="63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9"/>
                  <w:vMerge/>
                  <w:tcBorders>
                    <w:top w:val="none" w:color="000000" w:sz="4"/>
                    <w:left w:val="non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vAlign w:val="top"/>
                </w:tcPr>
                <w:p>
                  <w:pPr>
                    <w:jc w:val="center"/>
                  </w:pPr>
                  <w:r>
                    <w:rPr>
                      <w:sz w:val="21"/>
                    </w:rPr>
                    <w:t>横田排站</w:t>
                  </w:r>
                </w:p>
              </w:tc>
              <w:tc>
                <w:tcPr>
                  <w:tcW w:type="dxa" w:w="900"/>
                  <w:tcBorders>
                    <w:top w:val="none" w:color="000000" w:sz="4"/>
                    <w:left w:val="none" w:color="000000" w:sz="4"/>
                    <w:bottom w:val="single" w:color="000000" w:sz="4"/>
                    <w:right w:val="single" w:color="000000" w:sz="4"/>
                  </w:tcBorders>
                  <w:vAlign w:val="top"/>
                </w:tcPr>
                <w:p>
                  <w:pPr>
                    <w:jc w:val="center"/>
                  </w:pPr>
                  <w:r>
                    <w:rPr>
                      <w:sz w:val="21"/>
                    </w:rPr>
                    <w:t>中型</w:t>
                  </w:r>
                </w:p>
              </w:tc>
              <w:tc>
                <w:tcPr>
                  <w:tcW w:type="dxa" w:w="899"/>
                  <w:tcBorders>
                    <w:top w:val="none" w:color="000000" w:sz="4"/>
                    <w:left w:val="none" w:color="000000" w:sz="4"/>
                    <w:bottom w:val="single" w:color="000000" w:sz="4"/>
                    <w:right w:val="single" w:color="000000" w:sz="4"/>
                  </w:tcBorders>
                  <w:vAlign w:val="bottom"/>
                </w:tcPr>
                <w:p>
                  <w:pPr>
                    <w:jc w:val="center"/>
                  </w:pPr>
                  <w:r>
                    <w:rPr>
                      <w:sz w:val="21"/>
                    </w:rPr>
                    <w:t>省级</w:t>
                  </w:r>
                </w:p>
              </w:tc>
            </w:tr>
            <w:tr>
              <w:tc>
                <w:tcPr>
                  <w:tcW w:type="dxa" w:w="63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9"/>
                  <w:vMerge/>
                  <w:tcBorders>
                    <w:top w:val="none" w:color="000000" w:sz="4"/>
                    <w:left w:val="non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vAlign w:val="top"/>
                </w:tcPr>
                <w:p>
                  <w:pPr>
                    <w:jc w:val="center"/>
                  </w:pPr>
                  <w:r>
                    <w:rPr>
                      <w:sz w:val="21"/>
                    </w:rPr>
                    <w:t>田甲排站</w:t>
                  </w:r>
                </w:p>
              </w:tc>
              <w:tc>
                <w:tcPr>
                  <w:tcW w:type="dxa" w:w="900"/>
                  <w:tcBorders>
                    <w:top w:val="none" w:color="000000" w:sz="4"/>
                    <w:left w:val="none" w:color="000000" w:sz="4"/>
                    <w:bottom w:val="single" w:color="000000" w:sz="4"/>
                    <w:right w:val="single" w:color="000000" w:sz="4"/>
                  </w:tcBorders>
                  <w:vAlign w:val="top"/>
                </w:tcPr>
                <w:p>
                  <w:pPr>
                    <w:jc w:val="center"/>
                  </w:pPr>
                  <w:r>
                    <w:rPr>
                      <w:sz w:val="21"/>
                    </w:rPr>
                    <w:t>小（</w:t>
                  </w:r>
                  <w:r>
                    <w:rPr>
                      <w:sz w:val="21"/>
                    </w:rPr>
                    <w:t>1）</w:t>
                  </w:r>
                </w:p>
              </w:tc>
              <w:tc>
                <w:tcPr>
                  <w:tcW w:type="dxa" w:w="899"/>
                  <w:tcBorders>
                    <w:top w:val="none" w:color="000000" w:sz="4"/>
                    <w:left w:val="none" w:color="000000" w:sz="4"/>
                    <w:bottom w:val="single" w:color="000000" w:sz="4"/>
                    <w:right w:val="single" w:color="000000" w:sz="4"/>
                  </w:tcBorders>
                  <w:vAlign w:val="bottom"/>
                </w:tcPr>
                <w:p>
                  <w:pPr>
                    <w:jc w:val="center"/>
                  </w:pPr>
                  <w:r>
                    <w:rPr>
                      <w:sz w:val="21"/>
                    </w:rPr>
                    <w:t>市级</w:t>
                  </w:r>
                </w:p>
              </w:tc>
            </w:tr>
            <w:tr>
              <w:tc>
                <w:tcPr>
                  <w:tcW w:type="dxa" w:w="63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9"/>
                  <w:vMerge/>
                  <w:tcBorders>
                    <w:top w:val="none" w:color="000000" w:sz="4"/>
                    <w:left w:val="non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vAlign w:val="top"/>
                </w:tcPr>
                <w:p>
                  <w:pPr>
                    <w:jc w:val="center"/>
                  </w:pPr>
                  <w:r>
                    <w:rPr>
                      <w:sz w:val="21"/>
                    </w:rPr>
                    <w:t>长巷第二排站</w:t>
                  </w:r>
                </w:p>
              </w:tc>
              <w:tc>
                <w:tcPr>
                  <w:tcW w:type="dxa" w:w="900"/>
                  <w:tcBorders>
                    <w:top w:val="none" w:color="000000" w:sz="4"/>
                    <w:left w:val="none" w:color="000000" w:sz="4"/>
                    <w:bottom w:val="single" w:color="000000" w:sz="4"/>
                    <w:right w:val="single" w:color="000000" w:sz="4"/>
                  </w:tcBorders>
                  <w:vAlign w:val="top"/>
                </w:tcPr>
                <w:p>
                  <w:pPr>
                    <w:jc w:val="center"/>
                  </w:pPr>
                  <w:r>
                    <w:rPr>
                      <w:sz w:val="21"/>
                    </w:rPr>
                    <w:t>小（</w:t>
                  </w:r>
                  <w:r>
                    <w:rPr>
                      <w:sz w:val="21"/>
                    </w:rPr>
                    <w:t>1）</w:t>
                  </w:r>
                </w:p>
              </w:tc>
              <w:tc>
                <w:tcPr>
                  <w:tcW w:type="dxa" w:w="899"/>
                  <w:tcBorders>
                    <w:top w:val="none" w:color="000000" w:sz="4"/>
                    <w:left w:val="none" w:color="000000" w:sz="4"/>
                    <w:bottom w:val="single" w:color="000000" w:sz="4"/>
                    <w:right w:val="single" w:color="000000" w:sz="4"/>
                  </w:tcBorders>
                  <w:vAlign w:val="bottom"/>
                </w:tcPr>
                <w:p>
                  <w:pPr>
                    <w:jc w:val="center"/>
                  </w:pPr>
                  <w:r>
                    <w:rPr>
                      <w:sz w:val="21"/>
                    </w:rPr>
                    <w:t>市级</w:t>
                  </w:r>
                </w:p>
              </w:tc>
            </w:tr>
            <w:tr>
              <w:tc>
                <w:tcPr>
                  <w:tcW w:type="dxa" w:w="63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9"/>
                  <w:vMerge w:val="restart"/>
                  <w:tcBorders>
                    <w:top w:val="none" w:color="000000" w:sz="4"/>
                    <w:left w:val="none" w:color="000000" w:sz="4"/>
                    <w:bottom w:val="single" w:color="000000" w:sz="4"/>
                    <w:right w:val="single" w:color="000000" w:sz="4"/>
                  </w:tcBorders>
                  <w:vAlign w:val="top"/>
                </w:tcPr>
                <w:p>
                  <w:pPr>
                    <w:jc w:val="center"/>
                  </w:pPr>
                  <w:r>
                    <w:rPr>
                      <w:sz w:val="21"/>
                    </w:rPr>
                    <w:t>堤防</w:t>
                  </w:r>
                </w:p>
              </w:tc>
              <w:tc>
                <w:tcPr>
                  <w:tcW w:type="dxa" w:w="2269"/>
                  <w:tcBorders>
                    <w:top w:val="none" w:color="000000" w:sz="4"/>
                    <w:left w:val="none" w:color="000000" w:sz="4"/>
                    <w:bottom w:val="single" w:color="000000" w:sz="4"/>
                    <w:right w:val="single" w:color="000000" w:sz="4"/>
                  </w:tcBorders>
                  <w:vAlign w:val="top"/>
                </w:tcPr>
                <w:p>
                  <w:pPr>
                    <w:jc w:val="center"/>
                  </w:pPr>
                  <w:r>
                    <w:rPr>
                      <w:sz w:val="21"/>
                    </w:rPr>
                    <w:t>松麻岭堤围</w:t>
                  </w:r>
                </w:p>
              </w:tc>
              <w:tc>
                <w:tcPr>
                  <w:tcW w:type="dxa" w:w="900"/>
                  <w:tcBorders>
                    <w:top w:val="none" w:color="000000" w:sz="4"/>
                    <w:left w:val="none" w:color="000000" w:sz="4"/>
                    <w:bottom w:val="single" w:color="000000" w:sz="4"/>
                    <w:right w:val="single" w:color="000000" w:sz="4"/>
                  </w:tcBorders>
                  <w:vAlign w:val="top"/>
                </w:tcPr>
                <w:p>
                  <w:pPr>
                    <w:jc w:val="center"/>
                  </w:pPr>
                  <w:r>
                    <w:rPr>
                      <w:sz w:val="21"/>
                    </w:rPr>
                    <w:t>2级</w:t>
                  </w:r>
                </w:p>
              </w:tc>
              <w:tc>
                <w:tcPr>
                  <w:tcW w:type="dxa" w:w="899"/>
                  <w:tcBorders>
                    <w:top w:val="none" w:color="000000" w:sz="4"/>
                    <w:left w:val="none" w:color="000000" w:sz="4"/>
                    <w:bottom w:val="single" w:color="000000" w:sz="4"/>
                    <w:right w:val="single" w:color="000000" w:sz="4"/>
                  </w:tcBorders>
                  <w:vAlign w:val="bottom"/>
                </w:tcPr>
                <w:p>
                  <w:pPr>
                    <w:jc w:val="center"/>
                  </w:pPr>
                  <w:r>
                    <w:rPr>
                      <w:sz w:val="21"/>
                    </w:rPr>
                    <w:t>省级</w:t>
                  </w:r>
                </w:p>
              </w:tc>
            </w:tr>
            <w:tr>
              <w:tc>
                <w:tcPr>
                  <w:tcW w:type="dxa" w:w="63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9"/>
                  <w:vMerge/>
                  <w:tcBorders>
                    <w:top w:val="none" w:color="000000" w:sz="4"/>
                    <w:left w:val="non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vAlign w:val="top"/>
                </w:tcPr>
                <w:p>
                  <w:pPr>
                    <w:jc w:val="center"/>
                  </w:pPr>
                  <w:r>
                    <w:rPr>
                      <w:sz w:val="21"/>
                    </w:rPr>
                    <w:t>小坑尾堤</w:t>
                  </w:r>
                </w:p>
              </w:tc>
              <w:tc>
                <w:tcPr>
                  <w:tcW w:type="dxa" w:w="900"/>
                  <w:tcBorders>
                    <w:top w:val="none" w:color="000000" w:sz="4"/>
                    <w:left w:val="none" w:color="000000" w:sz="4"/>
                    <w:bottom w:val="single" w:color="000000" w:sz="4"/>
                    <w:right w:val="single" w:color="000000" w:sz="4"/>
                  </w:tcBorders>
                  <w:vAlign w:val="top"/>
                </w:tcPr>
                <w:p>
                  <w:pPr>
                    <w:jc w:val="center"/>
                  </w:pPr>
                  <w:r>
                    <w:rPr>
                      <w:sz w:val="21"/>
                    </w:rPr>
                    <w:t>2级</w:t>
                  </w:r>
                </w:p>
              </w:tc>
              <w:tc>
                <w:tcPr>
                  <w:tcW w:type="dxa" w:w="899"/>
                  <w:tcBorders>
                    <w:top w:val="none" w:color="000000" w:sz="4"/>
                    <w:left w:val="none" w:color="000000" w:sz="4"/>
                    <w:bottom w:val="single" w:color="000000" w:sz="4"/>
                    <w:right w:val="single" w:color="000000" w:sz="4"/>
                  </w:tcBorders>
                  <w:vAlign w:val="bottom"/>
                </w:tcPr>
                <w:p>
                  <w:pPr>
                    <w:jc w:val="center"/>
                  </w:pPr>
                  <w:r>
                    <w:rPr>
                      <w:sz w:val="21"/>
                    </w:rPr>
                    <w:t>省级</w:t>
                  </w:r>
                </w:p>
              </w:tc>
            </w:tr>
            <w:tr>
              <w:tc>
                <w:tcPr>
                  <w:tcW w:type="dxa" w:w="63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9"/>
                  <w:vMerge/>
                  <w:tcBorders>
                    <w:top w:val="none" w:color="000000" w:sz="4"/>
                    <w:left w:val="non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vAlign w:val="top"/>
                </w:tcPr>
                <w:p>
                  <w:pPr>
                    <w:jc w:val="center"/>
                  </w:pPr>
                  <w:r>
                    <w:rPr>
                      <w:sz w:val="21"/>
                    </w:rPr>
                    <w:t>长巷堤围</w:t>
                  </w:r>
                </w:p>
              </w:tc>
              <w:tc>
                <w:tcPr>
                  <w:tcW w:type="dxa" w:w="900"/>
                  <w:tcBorders>
                    <w:top w:val="none" w:color="000000" w:sz="4"/>
                    <w:left w:val="none" w:color="000000" w:sz="4"/>
                    <w:bottom w:val="single" w:color="000000" w:sz="4"/>
                    <w:right w:val="single" w:color="000000" w:sz="4"/>
                  </w:tcBorders>
                  <w:vAlign w:val="top"/>
                </w:tcPr>
                <w:p>
                  <w:pPr>
                    <w:jc w:val="center"/>
                  </w:pPr>
                  <w:r>
                    <w:rPr>
                      <w:sz w:val="21"/>
                    </w:rPr>
                    <w:t>2级</w:t>
                  </w:r>
                </w:p>
              </w:tc>
              <w:tc>
                <w:tcPr>
                  <w:tcW w:type="dxa" w:w="899"/>
                  <w:tcBorders>
                    <w:top w:val="none" w:color="000000" w:sz="4"/>
                    <w:left w:val="none" w:color="000000" w:sz="4"/>
                    <w:bottom w:val="single" w:color="000000" w:sz="4"/>
                    <w:right w:val="single" w:color="000000" w:sz="4"/>
                  </w:tcBorders>
                  <w:vAlign w:val="bottom"/>
                </w:tcPr>
                <w:p>
                  <w:pPr>
                    <w:jc w:val="center"/>
                  </w:pPr>
                  <w:r>
                    <w:rPr>
                      <w:sz w:val="21"/>
                    </w:rPr>
                    <w:t>省级</w:t>
                  </w:r>
                </w:p>
              </w:tc>
            </w:tr>
            <w:tr>
              <w:tc>
                <w:tcPr>
                  <w:tcW w:type="dxa" w:w="63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9"/>
                  <w:vMerge/>
                  <w:tcBorders>
                    <w:top w:val="none" w:color="000000" w:sz="4"/>
                    <w:left w:val="none" w:color="000000" w:sz="4"/>
                    <w:bottom w:val="single" w:color="000000" w:sz="4"/>
                    <w:right w:val="single" w:color="000000" w:sz="4"/>
                  </w:tcBorders>
                </w:tcPr>
                <w:p/>
              </w:tc>
              <w:tc>
                <w:tcPr>
                  <w:tcW w:type="dxa" w:w="2269"/>
                  <w:tcBorders>
                    <w:top w:val="none" w:color="000000" w:sz="4"/>
                    <w:left w:val="none" w:color="000000" w:sz="4"/>
                    <w:bottom w:val="single" w:color="000000" w:sz="4"/>
                    <w:right w:val="single" w:color="000000" w:sz="4"/>
                  </w:tcBorders>
                  <w:vAlign w:val="top"/>
                </w:tcPr>
                <w:p>
                  <w:pPr>
                    <w:jc w:val="center"/>
                  </w:pPr>
                  <w:r>
                    <w:rPr>
                      <w:sz w:val="21"/>
                    </w:rPr>
                    <w:t>村头堤围</w:t>
                  </w:r>
                </w:p>
              </w:tc>
              <w:tc>
                <w:tcPr>
                  <w:tcW w:type="dxa" w:w="900"/>
                  <w:tcBorders>
                    <w:top w:val="none" w:color="000000" w:sz="4"/>
                    <w:left w:val="none" w:color="000000" w:sz="4"/>
                    <w:bottom w:val="single" w:color="000000" w:sz="4"/>
                    <w:right w:val="single" w:color="000000" w:sz="4"/>
                  </w:tcBorders>
                  <w:vAlign w:val="top"/>
                </w:tcPr>
                <w:p>
                  <w:pPr>
                    <w:jc w:val="center"/>
                  </w:pPr>
                  <w:r>
                    <w:rPr>
                      <w:sz w:val="21"/>
                    </w:rPr>
                    <w:t>2级</w:t>
                  </w:r>
                </w:p>
              </w:tc>
              <w:tc>
                <w:tcPr>
                  <w:tcW w:type="dxa" w:w="899"/>
                  <w:tcBorders>
                    <w:top w:val="none" w:color="000000" w:sz="4"/>
                    <w:left w:val="none" w:color="000000" w:sz="4"/>
                    <w:bottom w:val="single" w:color="000000" w:sz="4"/>
                    <w:right w:val="single" w:color="000000" w:sz="4"/>
                  </w:tcBorders>
                  <w:vAlign w:val="bottom"/>
                </w:tcPr>
                <w:p>
                  <w:pPr>
                    <w:jc w:val="center"/>
                  </w:pPr>
                  <w:r>
                    <w:rPr>
                      <w:sz w:val="21"/>
                    </w:rPr>
                    <w:t>省级</w:t>
                  </w:r>
                </w:p>
              </w:tc>
            </w:tr>
          </w:tbl>
          <w:p>
            <w:pPr>
              <w:ind w:firstLine="422"/>
              <w:jc w:val="center"/>
            </w:pPr>
            <w:r>
              <w:rPr>
                <w:b/>
                <w:sz w:val="21"/>
              </w:rPr>
              <w:t>安全鉴定工程</w:t>
            </w:r>
          </w:p>
          <w:tbl>
            <w:tblPr>
              <w:tblInd w:type="dxa" w:w="120"/>
              <w:tblBorders>
                <w:top w:val="none" w:color="000000" w:sz="4"/>
                <w:left w:val="none" w:color="000000" w:sz="4"/>
                <w:bottom w:val="none" w:color="000000" w:sz="4"/>
                <w:right w:val="none" w:color="000000" w:sz="4"/>
                <w:insideH w:val="none"/>
                <w:insideV w:val="none"/>
              </w:tblBorders>
            </w:tblPr>
            <w:tblGrid>
              <w:gridCol w:w="631"/>
              <w:gridCol w:w="1558"/>
              <w:gridCol w:w="1062"/>
              <w:gridCol w:w="977"/>
              <w:gridCol w:w="1369"/>
            </w:tblGrid>
            <w:tr>
              <w:tc>
                <w:tcPr>
                  <w:tcW w:type="dxa" w:w="63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58"/>
                  <w:tcBorders>
                    <w:top w:val="single" w:color="000000" w:sz="4"/>
                    <w:left w:val="none" w:color="000000" w:sz="4"/>
                    <w:bottom w:val="single" w:color="000000" w:sz="4"/>
                    <w:right w:val="single" w:color="000000" w:sz="4"/>
                  </w:tcBorders>
                  <w:vAlign w:val="top"/>
                </w:tcPr>
                <w:p>
                  <w:pPr>
                    <w:jc w:val="center"/>
                  </w:pPr>
                  <w:r>
                    <w:rPr>
                      <w:b/>
                      <w:sz w:val="21"/>
                    </w:rPr>
                    <w:t>工程名称</w:t>
                  </w:r>
                </w:p>
              </w:tc>
              <w:tc>
                <w:tcPr>
                  <w:tcW w:type="dxa" w:w="1062"/>
                  <w:tcBorders>
                    <w:top w:val="single" w:color="000000" w:sz="4"/>
                    <w:left w:val="none" w:color="000000" w:sz="4"/>
                    <w:bottom w:val="single" w:color="000000" w:sz="4"/>
                    <w:right w:val="single" w:color="000000" w:sz="4"/>
                  </w:tcBorders>
                  <w:vAlign w:val="top"/>
                </w:tcPr>
                <w:p>
                  <w:pPr>
                    <w:jc w:val="center"/>
                  </w:pPr>
                  <w:r>
                    <w:rPr>
                      <w:b/>
                      <w:sz w:val="21"/>
                    </w:rPr>
                    <w:t>工程规模</w:t>
                  </w:r>
                </w:p>
              </w:tc>
              <w:tc>
                <w:tcPr>
                  <w:tcW w:type="dxa" w:w="977"/>
                  <w:tcBorders>
                    <w:top w:val="single" w:color="000000" w:sz="4"/>
                    <w:left w:val="none" w:color="000000" w:sz="4"/>
                    <w:bottom w:val="single" w:color="000000" w:sz="4"/>
                    <w:right w:val="single" w:color="000000" w:sz="4"/>
                  </w:tcBorders>
                  <w:vAlign w:val="top"/>
                </w:tcPr>
                <w:p>
                  <w:pPr>
                    <w:jc w:val="center"/>
                  </w:pPr>
                  <w:r>
                    <w:rPr>
                      <w:b/>
                      <w:sz w:val="21"/>
                    </w:rPr>
                    <w:t>建成投运年份</w:t>
                  </w:r>
                </w:p>
              </w:tc>
              <w:tc>
                <w:tcPr>
                  <w:tcW w:type="dxa" w:w="1369"/>
                  <w:tcBorders>
                    <w:top w:val="single" w:color="000000" w:sz="4"/>
                    <w:left w:val="none" w:color="000000" w:sz="4"/>
                    <w:bottom w:val="single" w:color="000000" w:sz="4"/>
                    <w:right w:val="single" w:color="000000" w:sz="4"/>
                  </w:tcBorders>
                  <w:vAlign w:val="top"/>
                </w:tcPr>
                <w:p>
                  <w:pPr>
                    <w:jc w:val="center"/>
                  </w:pPr>
                  <w:r>
                    <w:rPr>
                      <w:b/>
                      <w:sz w:val="21"/>
                    </w:rPr>
                    <w:t>安全鉴定到期时间</w:t>
                  </w:r>
                </w:p>
              </w:tc>
            </w:tr>
            <w:tr>
              <w:tc>
                <w:tcPr>
                  <w:tcW w:type="dxa" w:w="63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58"/>
                  <w:tcBorders>
                    <w:top w:val="none" w:color="000000" w:sz="4"/>
                    <w:left w:val="none" w:color="000000" w:sz="4"/>
                    <w:bottom w:val="single" w:color="000000" w:sz="4"/>
                    <w:right w:val="single" w:color="000000" w:sz="4"/>
                  </w:tcBorders>
                  <w:vAlign w:val="top"/>
                </w:tcPr>
                <w:p>
                  <w:pPr>
                    <w:jc w:val="center"/>
                  </w:pPr>
                  <w:r>
                    <w:rPr>
                      <w:sz w:val="21"/>
                    </w:rPr>
                    <w:t>村尾排站</w:t>
                  </w:r>
                </w:p>
              </w:tc>
              <w:tc>
                <w:tcPr>
                  <w:tcW w:type="dxa" w:w="1062"/>
                  <w:tcBorders>
                    <w:top w:val="none" w:color="000000" w:sz="4"/>
                    <w:left w:val="none" w:color="000000" w:sz="4"/>
                    <w:bottom w:val="single" w:color="000000" w:sz="4"/>
                    <w:right w:val="single" w:color="000000" w:sz="4"/>
                  </w:tcBorders>
                  <w:vAlign w:val="top"/>
                </w:tcPr>
                <w:p>
                  <w:pPr>
                    <w:jc w:val="center"/>
                  </w:pPr>
                  <w:r>
                    <w:rPr>
                      <w:sz w:val="21"/>
                    </w:rPr>
                    <w:t>小（</w:t>
                  </w:r>
                  <w:r>
                    <w:rPr>
                      <w:sz w:val="21"/>
                    </w:rPr>
                    <w:t>1）</w:t>
                  </w:r>
                </w:p>
              </w:tc>
              <w:tc>
                <w:tcPr>
                  <w:tcW w:type="dxa" w:w="977"/>
                  <w:tcBorders>
                    <w:top w:val="none" w:color="000000" w:sz="4"/>
                    <w:left w:val="none" w:color="000000" w:sz="4"/>
                    <w:bottom w:val="single" w:color="000000" w:sz="4"/>
                    <w:right w:val="single" w:color="000000" w:sz="4"/>
                  </w:tcBorders>
                  <w:vAlign w:val="top"/>
                </w:tcPr>
                <w:p>
                  <w:pPr>
                    <w:jc w:val="center"/>
                  </w:pPr>
                  <w:r>
                    <w:rPr>
                      <w:sz w:val="21"/>
                    </w:rPr>
                    <w:t>1995</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2015</w:t>
                  </w:r>
                </w:p>
              </w:tc>
            </w:tr>
            <w:tr>
              <w:tc>
                <w:tcPr>
                  <w:tcW w:type="dxa" w:w="63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58"/>
                  <w:tcBorders>
                    <w:top w:val="none" w:color="000000" w:sz="4"/>
                    <w:left w:val="none" w:color="000000" w:sz="4"/>
                    <w:bottom w:val="single" w:color="000000" w:sz="4"/>
                    <w:right w:val="single" w:color="000000" w:sz="4"/>
                  </w:tcBorders>
                  <w:vAlign w:val="top"/>
                </w:tcPr>
                <w:p>
                  <w:pPr>
                    <w:jc w:val="center"/>
                  </w:pPr>
                  <w:r>
                    <w:rPr>
                      <w:sz w:val="21"/>
                    </w:rPr>
                    <w:t>新海围排站</w:t>
                  </w:r>
                </w:p>
              </w:tc>
              <w:tc>
                <w:tcPr>
                  <w:tcW w:type="dxa" w:w="1062"/>
                  <w:tcBorders>
                    <w:top w:val="none" w:color="000000" w:sz="4"/>
                    <w:left w:val="none" w:color="000000" w:sz="4"/>
                    <w:bottom w:val="single" w:color="000000" w:sz="4"/>
                    <w:right w:val="single" w:color="000000" w:sz="4"/>
                  </w:tcBorders>
                  <w:vAlign w:val="top"/>
                </w:tcPr>
                <w:p>
                  <w:pPr>
                    <w:jc w:val="center"/>
                  </w:pPr>
                  <w:r>
                    <w:rPr>
                      <w:sz w:val="21"/>
                    </w:rPr>
                    <w:t>小（</w:t>
                  </w:r>
                  <w:r>
                    <w:rPr>
                      <w:sz w:val="21"/>
                    </w:rPr>
                    <w:t>1）</w:t>
                  </w:r>
                </w:p>
              </w:tc>
              <w:tc>
                <w:tcPr>
                  <w:tcW w:type="dxa" w:w="977"/>
                  <w:tcBorders>
                    <w:top w:val="none" w:color="000000" w:sz="4"/>
                    <w:left w:val="none" w:color="000000" w:sz="4"/>
                    <w:bottom w:val="single" w:color="000000" w:sz="4"/>
                    <w:right w:val="single" w:color="000000" w:sz="4"/>
                  </w:tcBorders>
                  <w:vAlign w:val="top"/>
                </w:tcPr>
                <w:p>
                  <w:pPr>
                    <w:jc w:val="center"/>
                  </w:pPr>
                  <w:r>
                    <w:rPr>
                      <w:sz w:val="21"/>
                    </w:rPr>
                    <w:t>1996</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2016</w:t>
                  </w:r>
                </w:p>
              </w:tc>
            </w:tr>
            <w:tr>
              <w:tc>
                <w:tcPr>
                  <w:tcW w:type="dxa" w:w="63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58"/>
                  <w:tcBorders>
                    <w:top w:val="none" w:color="000000" w:sz="4"/>
                    <w:left w:val="none" w:color="000000" w:sz="4"/>
                    <w:bottom w:val="single" w:color="000000" w:sz="4"/>
                    <w:right w:val="single" w:color="000000" w:sz="4"/>
                  </w:tcBorders>
                  <w:vAlign w:val="top"/>
                </w:tcPr>
                <w:p>
                  <w:pPr>
                    <w:jc w:val="center"/>
                  </w:pPr>
                  <w:r>
                    <w:rPr>
                      <w:sz w:val="21"/>
                    </w:rPr>
                    <w:t>半坑排站</w:t>
                  </w:r>
                </w:p>
              </w:tc>
              <w:tc>
                <w:tcPr>
                  <w:tcW w:type="dxa" w:w="1062"/>
                  <w:tcBorders>
                    <w:top w:val="none" w:color="000000" w:sz="4"/>
                    <w:left w:val="none" w:color="000000" w:sz="4"/>
                    <w:bottom w:val="single" w:color="000000" w:sz="4"/>
                    <w:right w:val="single" w:color="000000" w:sz="4"/>
                  </w:tcBorders>
                  <w:vAlign w:val="top"/>
                </w:tcPr>
                <w:p>
                  <w:pPr>
                    <w:jc w:val="center"/>
                  </w:pPr>
                  <w:r>
                    <w:rPr>
                      <w:sz w:val="21"/>
                    </w:rPr>
                    <w:t>小（</w:t>
                  </w:r>
                  <w:r>
                    <w:rPr>
                      <w:sz w:val="21"/>
                    </w:rPr>
                    <w:t>1）</w:t>
                  </w:r>
                </w:p>
              </w:tc>
              <w:tc>
                <w:tcPr>
                  <w:tcW w:type="dxa" w:w="977"/>
                  <w:tcBorders>
                    <w:top w:val="none" w:color="000000" w:sz="4"/>
                    <w:left w:val="none" w:color="000000" w:sz="4"/>
                    <w:bottom w:val="single" w:color="000000" w:sz="4"/>
                    <w:right w:val="single" w:color="000000" w:sz="4"/>
                  </w:tcBorders>
                  <w:vAlign w:val="top"/>
                </w:tcPr>
                <w:p>
                  <w:pPr>
                    <w:jc w:val="center"/>
                  </w:pPr>
                  <w:r>
                    <w:rPr>
                      <w:sz w:val="21"/>
                    </w:rPr>
                    <w:t>第一：</w:t>
                  </w:r>
                  <w:r>
                    <w:rPr>
                      <w:sz w:val="21"/>
                    </w:rPr>
                    <w:t>1965</w:t>
                  </w:r>
                  <w:r>
                    <w:br/>
                  </w:r>
                  <w:r>
                    <w:rPr>
                      <w:sz w:val="21"/>
                    </w:rPr>
                    <w:t>第二：</w:t>
                  </w:r>
                  <w:r>
                    <w:rPr>
                      <w:sz w:val="21"/>
                    </w:rPr>
                    <w:t>1995</w:t>
                  </w:r>
                  <w:r>
                    <w:br/>
                  </w:r>
                  <w:r>
                    <w:rPr>
                      <w:sz w:val="21"/>
                    </w:rPr>
                    <w:t>第三：</w:t>
                  </w:r>
                  <w:r>
                    <w:rPr>
                      <w:sz w:val="21"/>
                    </w:rPr>
                    <w:t>1998</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第一：</w:t>
                  </w:r>
                  <w:r>
                    <w:rPr>
                      <w:sz w:val="21"/>
                    </w:rPr>
                    <w:t>1985</w:t>
                  </w:r>
                  <w:r>
                    <w:br/>
                  </w:r>
                  <w:r>
                    <w:rPr>
                      <w:sz w:val="21"/>
                    </w:rPr>
                    <w:t>第二：</w:t>
                  </w:r>
                  <w:r>
                    <w:rPr>
                      <w:sz w:val="21"/>
                    </w:rPr>
                    <w:t>2015</w:t>
                  </w:r>
                  <w:r>
                    <w:br/>
                  </w:r>
                  <w:r>
                    <w:rPr>
                      <w:sz w:val="21"/>
                    </w:rPr>
                    <w:t>第三：</w:t>
                  </w:r>
                  <w:r>
                    <w:rPr>
                      <w:sz w:val="21"/>
                    </w:rPr>
                    <w:t>2018</w:t>
                  </w:r>
                </w:p>
              </w:tc>
            </w:tr>
            <w:tr>
              <w:tc>
                <w:tcPr>
                  <w:tcW w:type="dxa" w:w="63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58"/>
                  <w:tcBorders>
                    <w:top w:val="none" w:color="000000" w:sz="4"/>
                    <w:left w:val="none" w:color="000000" w:sz="4"/>
                    <w:bottom w:val="single" w:color="000000" w:sz="4"/>
                    <w:right w:val="single" w:color="000000" w:sz="4"/>
                  </w:tcBorders>
                  <w:vAlign w:val="top"/>
                </w:tcPr>
                <w:p>
                  <w:pPr>
                    <w:jc w:val="center"/>
                  </w:pPr>
                  <w:r>
                    <w:rPr>
                      <w:sz w:val="21"/>
                    </w:rPr>
                    <w:t>隔坑排站</w:t>
                  </w:r>
                </w:p>
              </w:tc>
              <w:tc>
                <w:tcPr>
                  <w:tcW w:type="dxa" w:w="1062"/>
                  <w:tcBorders>
                    <w:top w:val="none" w:color="000000" w:sz="4"/>
                    <w:left w:val="none" w:color="000000" w:sz="4"/>
                    <w:bottom w:val="single" w:color="000000" w:sz="4"/>
                    <w:right w:val="single" w:color="000000" w:sz="4"/>
                  </w:tcBorders>
                  <w:vAlign w:val="top"/>
                </w:tcPr>
                <w:p>
                  <w:pPr>
                    <w:jc w:val="center"/>
                  </w:pPr>
                  <w:r>
                    <w:rPr>
                      <w:sz w:val="21"/>
                    </w:rPr>
                    <w:t>小（</w:t>
                  </w:r>
                  <w:r>
                    <w:rPr>
                      <w:sz w:val="21"/>
                    </w:rPr>
                    <w:t>1）</w:t>
                  </w:r>
                </w:p>
              </w:tc>
              <w:tc>
                <w:tcPr>
                  <w:tcW w:type="dxa" w:w="977"/>
                  <w:tcBorders>
                    <w:top w:val="none" w:color="000000" w:sz="4"/>
                    <w:left w:val="none" w:color="000000" w:sz="4"/>
                    <w:bottom w:val="single" w:color="000000" w:sz="4"/>
                    <w:right w:val="single" w:color="000000" w:sz="4"/>
                  </w:tcBorders>
                  <w:vAlign w:val="top"/>
                </w:tcPr>
                <w:p>
                  <w:pPr>
                    <w:jc w:val="center"/>
                  </w:pPr>
                  <w:r>
                    <w:rPr>
                      <w:sz w:val="21"/>
                    </w:rPr>
                    <w:t>2000</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2020</w:t>
                  </w:r>
                </w:p>
              </w:tc>
            </w:tr>
            <w:tr>
              <w:tc>
                <w:tcPr>
                  <w:tcW w:type="dxa" w:w="63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58"/>
                  <w:tcBorders>
                    <w:top w:val="none" w:color="000000" w:sz="4"/>
                    <w:left w:val="none" w:color="000000" w:sz="4"/>
                    <w:bottom w:val="single" w:color="000000" w:sz="4"/>
                    <w:right w:val="single" w:color="000000" w:sz="4"/>
                  </w:tcBorders>
                  <w:vAlign w:val="top"/>
                </w:tcPr>
                <w:p>
                  <w:pPr>
                    <w:jc w:val="center"/>
                  </w:pPr>
                  <w:r>
                    <w:rPr>
                      <w:sz w:val="21"/>
                    </w:rPr>
                    <w:t>田饶埔排站</w:t>
                  </w:r>
                </w:p>
              </w:tc>
              <w:tc>
                <w:tcPr>
                  <w:tcW w:type="dxa" w:w="1062"/>
                  <w:tcBorders>
                    <w:top w:val="none" w:color="000000" w:sz="4"/>
                    <w:left w:val="none" w:color="000000" w:sz="4"/>
                    <w:bottom w:val="single" w:color="000000" w:sz="4"/>
                    <w:right w:val="single" w:color="000000" w:sz="4"/>
                  </w:tcBorders>
                  <w:vAlign w:val="top"/>
                </w:tcPr>
                <w:p>
                  <w:pPr>
                    <w:jc w:val="center"/>
                  </w:pPr>
                  <w:r>
                    <w:rPr>
                      <w:sz w:val="21"/>
                    </w:rPr>
                    <w:t>小（</w:t>
                  </w:r>
                  <w:r>
                    <w:rPr>
                      <w:sz w:val="21"/>
                    </w:rPr>
                    <w:t>1）</w:t>
                  </w:r>
                </w:p>
              </w:tc>
              <w:tc>
                <w:tcPr>
                  <w:tcW w:type="dxa" w:w="977"/>
                  <w:tcBorders>
                    <w:top w:val="none" w:color="000000" w:sz="4"/>
                    <w:left w:val="none" w:color="000000" w:sz="4"/>
                    <w:bottom w:val="single" w:color="000000" w:sz="4"/>
                    <w:right w:val="single" w:color="000000" w:sz="4"/>
                  </w:tcBorders>
                  <w:vAlign w:val="top"/>
                </w:tcPr>
                <w:p>
                  <w:pPr>
                    <w:jc w:val="center"/>
                  </w:pPr>
                  <w:r>
                    <w:rPr>
                      <w:sz w:val="21"/>
                    </w:rPr>
                    <w:t>1999</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2019</w:t>
                  </w:r>
                </w:p>
              </w:tc>
            </w:tr>
            <w:tr>
              <w:tc>
                <w:tcPr>
                  <w:tcW w:type="dxa" w:w="63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58"/>
                  <w:tcBorders>
                    <w:top w:val="none" w:color="000000" w:sz="4"/>
                    <w:left w:val="none" w:color="000000" w:sz="4"/>
                    <w:bottom w:val="single" w:color="000000" w:sz="4"/>
                    <w:right w:val="single" w:color="000000" w:sz="4"/>
                  </w:tcBorders>
                  <w:vAlign w:val="top"/>
                </w:tcPr>
                <w:p>
                  <w:pPr>
                    <w:jc w:val="center"/>
                  </w:pPr>
                  <w:r>
                    <w:rPr>
                      <w:sz w:val="21"/>
                    </w:rPr>
                    <w:t>新城区排站</w:t>
                  </w:r>
                </w:p>
              </w:tc>
              <w:tc>
                <w:tcPr>
                  <w:tcW w:type="dxa" w:w="1062"/>
                  <w:tcBorders>
                    <w:top w:val="none" w:color="000000" w:sz="4"/>
                    <w:left w:val="none" w:color="000000" w:sz="4"/>
                    <w:bottom w:val="single" w:color="000000" w:sz="4"/>
                    <w:right w:val="single" w:color="000000" w:sz="4"/>
                  </w:tcBorders>
                  <w:vAlign w:val="top"/>
                </w:tcPr>
                <w:p>
                  <w:pPr>
                    <w:jc w:val="center"/>
                  </w:pPr>
                  <w:r>
                    <w:rPr>
                      <w:sz w:val="21"/>
                    </w:rPr>
                    <w:t>中型</w:t>
                  </w:r>
                </w:p>
              </w:tc>
              <w:tc>
                <w:tcPr>
                  <w:tcW w:type="dxa" w:w="977"/>
                  <w:tcBorders>
                    <w:top w:val="none" w:color="000000" w:sz="4"/>
                    <w:left w:val="none" w:color="000000" w:sz="4"/>
                    <w:bottom w:val="single" w:color="000000" w:sz="4"/>
                    <w:right w:val="single" w:color="000000" w:sz="4"/>
                  </w:tcBorders>
                  <w:vAlign w:val="top"/>
                </w:tcPr>
                <w:p>
                  <w:pPr>
                    <w:jc w:val="center"/>
                  </w:pPr>
                  <w:r>
                    <w:rPr>
                      <w:sz w:val="21"/>
                    </w:rPr>
                    <w:t>1994</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2014</w:t>
                  </w:r>
                </w:p>
              </w:tc>
            </w:tr>
            <w:tr>
              <w:tc>
                <w:tcPr>
                  <w:tcW w:type="dxa" w:w="63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58"/>
                  <w:tcBorders>
                    <w:top w:val="none" w:color="000000" w:sz="4"/>
                    <w:left w:val="none" w:color="000000" w:sz="4"/>
                    <w:bottom w:val="single" w:color="000000" w:sz="4"/>
                    <w:right w:val="single" w:color="000000" w:sz="4"/>
                  </w:tcBorders>
                  <w:vAlign w:val="top"/>
                </w:tcPr>
                <w:p>
                  <w:pPr>
                    <w:jc w:val="center"/>
                  </w:pPr>
                  <w:r>
                    <w:rPr>
                      <w:sz w:val="21"/>
                    </w:rPr>
                    <w:t>横沥围大塘排站</w:t>
                  </w:r>
                </w:p>
              </w:tc>
              <w:tc>
                <w:tcPr>
                  <w:tcW w:type="dxa" w:w="1062"/>
                  <w:tcBorders>
                    <w:top w:val="none" w:color="000000" w:sz="4"/>
                    <w:left w:val="none" w:color="000000" w:sz="4"/>
                    <w:bottom w:val="single" w:color="000000" w:sz="4"/>
                    <w:right w:val="single" w:color="000000" w:sz="4"/>
                  </w:tcBorders>
                  <w:vAlign w:val="top"/>
                </w:tcPr>
                <w:p>
                  <w:pPr>
                    <w:jc w:val="center"/>
                  </w:pPr>
                  <w:r>
                    <w:rPr>
                      <w:sz w:val="21"/>
                    </w:rPr>
                    <w:t>小（</w:t>
                  </w:r>
                  <w:r>
                    <w:rPr>
                      <w:sz w:val="21"/>
                    </w:rPr>
                    <w:t>1）</w:t>
                  </w:r>
                </w:p>
              </w:tc>
              <w:tc>
                <w:tcPr>
                  <w:tcW w:type="dxa" w:w="977"/>
                  <w:tcBorders>
                    <w:top w:val="none" w:color="000000" w:sz="4"/>
                    <w:left w:val="none" w:color="000000" w:sz="4"/>
                    <w:bottom w:val="single" w:color="000000" w:sz="4"/>
                    <w:right w:val="single" w:color="000000" w:sz="4"/>
                  </w:tcBorders>
                  <w:vAlign w:val="top"/>
                </w:tcPr>
                <w:p>
                  <w:pPr>
                    <w:jc w:val="center"/>
                  </w:pPr>
                  <w:r>
                    <w:rPr>
                      <w:sz w:val="21"/>
                    </w:rPr>
                    <w:t>1994</w:t>
                  </w:r>
                </w:p>
              </w:tc>
              <w:tc>
                <w:tcPr>
                  <w:tcW w:type="dxa" w:w="1369"/>
                  <w:tcBorders>
                    <w:top w:val="none" w:color="000000" w:sz="4"/>
                    <w:left w:val="none" w:color="000000" w:sz="4"/>
                    <w:bottom w:val="single" w:color="000000" w:sz="4"/>
                    <w:right w:val="single" w:color="000000" w:sz="4"/>
                  </w:tcBorders>
                  <w:vAlign w:val="top"/>
                </w:tcPr>
                <w:p>
                  <w:pPr>
                    <w:jc w:val="center"/>
                  </w:pPr>
                  <w:r>
                    <w:rPr>
                      <w:sz w:val="21"/>
                    </w:rPr>
                    <w:t>2014</w:t>
                  </w:r>
                </w:p>
              </w:tc>
            </w:tr>
          </w:tbl>
          <w:p>
            <w:pPr>
              <w:ind w:firstLine="420"/>
            </w:pPr>
          </w:p>
          <w:p>
            <w:pPr>
              <w:ind w:firstLine="422"/>
            </w:pPr>
            <w:r>
              <w:rPr>
                <w:b/>
                <w:sz w:val="21"/>
              </w:rPr>
              <w:t>2、项目目标：</w:t>
            </w:r>
          </w:p>
          <w:p>
            <w:pPr>
              <w:ind w:firstLine="420"/>
            </w:pPr>
            <w:r>
              <w:rPr>
                <w:sz w:val="21"/>
              </w:rPr>
              <w:t>（</w:t>
            </w:r>
            <w:r>
              <w:rPr>
                <w:sz w:val="21"/>
              </w:rPr>
              <w:t>1）安全鉴定</w:t>
            </w:r>
          </w:p>
          <w:p>
            <w:pPr>
              <w:ind w:firstLine="420"/>
            </w:pPr>
            <w:r>
              <w:rPr>
                <w:sz w:val="21"/>
              </w:rPr>
              <w:t>根据《泵站安全鉴定规程》（</w:t>
            </w:r>
            <w:r>
              <w:rPr>
                <w:sz w:val="21"/>
              </w:rPr>
              <w:t>SL316-2015）规定开展安全鉴定工作，编制现状调查分析报告、工程复核计算分析报告、检测报告和地勘报告，报告成果通过专家评审，协助</w:t>
            </w:r>
            <w:r>
              <w:rPr>
                <w:sz w:val="21"/>
              </w:rPr>
              <w:t>采购人</w:t>
            </w:r>
            <w:r>
              <w:rPr>
                <w:sz w:val="21"/>
              </w:rPr>
              <w:t>取得水行政主管部门出具的安全鉴定报告书。</w:t>
            </w:r>
          </w:p>
          <w:p>
            <w:pPr>
              <w:ind w:firstLine="420"/>
            </w:pPr>
            <w:r>
              <w:rPr>
                <w:sz w:val="21"/>
              </w:rPr>
              <w:t>（</w:t>
            </w:r>
            <w:r>
              <w:rPr>
                <w:sz w:val="21"/>
              </w:rPr>
              <w:t>2）标准化管理创建</w:t>
            </w:r>
          </w:p>
          <w:p>
            <w:pPr>
              <w:ind w:firstLine="420"/>
            </w:pPr>
            <w:r>
              <w:rPr>
                <w:sz w:val="21"/>
              </w:rPr>
              <w:t>根据《广东省水利工程标准化管理评价细则及评价标准》自检自评，协助</w:t>
            </w:r>
            <w:r>
              <w:rPr>
                <w:sz w:val="21"/>
              </w:rPr>
              <w:t>采购人</w:t>
            </w:r>
            <w:r>
              <w:rPr>
                <w:sz w:val="21"/>
              </w:rPr>
              <w:t>通过相应级别的标准化管理达标</w:t>
            </w:r>
            <w:r>
              <w:rPr>
                <w:sz w:val="21"/>
              </w:rPr>
              <w:t>排站</w:t>
            </w:r>
            <w:r>
              <w:rPr>
                <w:sz w:val="21"/>
              </w:rPr>
              <w:t>和堤防工程的申报</w:t>
            </w:r>
            <w:r>
              <w:rPr>
                <w:sz w:val="21"/>
              </w:rPr>
              <w:t>。</w:t>
            </w:r>
          </w:p>
          <w:p>
            <w:pPr>
              <w:ind w:firstLine="420"/>
            </w:pPr>
          </w:p>
          <w:p>
            <w:r>
              <w:rPr>
                <w:b/>
                <w:sz w:val="24"/>
              </w:rPr>
              <w:t>二、项目依据及参考标准</w:t>
            </w:r>
          </w:p>
          <w:p>
            <w:pPr>
              <w:ind w:firstLine="420"/>
            </w:pPr>
            <w:r>
              <w:rPr>
                <w:sz w:val="21"/>
              </w:rPr>
              <w:t>（</w:t>
            </w:r>
            <w:r>
              <w:rPr>
                <w:sz w:val="21"/>
              </w:rPr>
              <w:t>1）《水利部关于修订印发水利工程管理考核办法及其考核标准的通知》（水运管〔2019〕53号）；</w:t>
            </w:r>
          </w:p>
          <w:p>
            <w:pPr>
              <w:ind w:firstLine="420"/>
            </w:pPr>
            <w:r>
              <w:rPr>
                <w:sz w:val="21"/>
              </w:rPr>
              <w:t>（</w:t>
            </w:r>
            <w:r>
              <w:rPr>
                <w:sz w:val="21"/>
              </w:rPr>
              <w:t>2）《水利部关于印发&lt;关于推进水利工程标准化管理的指导意见&gt;&lt;水利工程标准化管理评价办法&gt;及其评价标准的通知》；</w:t>
            </w:r>
          </w:p>
          <w:p>
            <w:pPr>
              <w:ind w:firstLine="420"/>
            </w:pPr>
            <w:r>
              <w:rPr>
                <w:sz w:val="21"/>
              </w:rPr>
              <w:t>（</w:t>
            </w:r>
            <w:r>
              <w:rPr>
                <w:sz w:val="21"/>
              </w:rPr>
              <w:t>3）《广东省水利厅关于印发</w:t>
            </w:r>
            <w:r>
              <w:rPr>
                <w:sz w:val="21"/>
              </w:rPr>
              <w:t>&lt;</w:t>
            </w:r>
            <w:r>
              <w:rPr>
                <w:sz w:val="21"/>
              </w:rPr>
              <w:t>广东省水利工程标准化管理工作实施方案</w:t>
            </w:r>
            <w:r>
              <w:rPr>
                <w:sz w:val="21"/>
              </w:rPr>
              <w:t>&gt;</w:t>
            </w:r>
            <w:r>
              <w:rPr>
                <w:sz w:val="21"/>
              </w:rPr>
              <w:t>&lt;广东省水利工程标准化管理评价细则&gt;及其评价标准的通知》（粤水运管〔2022〕17 号）；</w:t>
            </w:r>
          </w:p>
          <w:p>
            <w:pPr>
              <w:ind w:firstLine="420"/>
            </w:pPr>
            <w:r>
              <w:rPr>
                <w:sz w:val="21"/>
              </w:rPr>
              <w:t>（</w:t>
            </w:r>
            <w:r>
              <w:rPr>
                <w:sz w:val="21"/>
              </w:rPr>
              <w:t>4）《水利部办公厅关于印发大中型灌区、灌排泵站标准化规范化管理指导意见（试行）的通知》（办农水〔2019〕125号）；</w:t>
            </w:r>
          </w:p>
          <w:p>
            <w:pPr>
              <w:ind w:firstLine="420"/>
            </w:pPr>
            <w:r>
              <w:rPr>
                <w:sz w:val="21"/>
              </w:rPr>
              <w:t>（</w:t>
            </w:r>
            <w:r>
              <w:rPr>
                <w:sz w:val="21"/>
              </w:rPr>
              <w:t>5）《广东省水利厅关于印发大中型灌区、灌排泵站标准化规范化管理实施细则（试行）的通知》（粤水农水农电函〔2021〕1428号）；</w:t>
            </w:r>
          </w:p>
          <w:p>
            <w:pPr>
              <w:ind w:firstLine="420"/>
            </w:pPr>
            <w:r>
              <w:rPr>
                <w:sz w:val="21"/>
              </w:rPr>
              <w:t>（</w:t>
            </w:r>
            <w:r>
              <w:rPr>
                <w:sz w:val="21"/>
              </w:rPr>
              <w:t>6）《东莞市水利工程标准化管理三年实施方案》（东水务〔2022〕141号）；</w:t>
            </w:r>
          </w:p>
          <w:p>
            <w:pPr>
              <w:ind w:firstLine="420"/>
            </w:pPr>
            <w:r>
              <w:rPr>
                <w:sz w:val="21"/>
              </w:rPr>
              <w:t>（</w:t>
            </w:r>
            <w:r>
              <w:rPr>
                <w:sz w:val="21"/>
              </w:rPr>
              <w:t>7）《堤防工程设计规范》（GB 50286-2013）；</w:t>
            </w:r>
          </w:p>
          <w:p>
            <w:pPr>
              <w:ind w:firstLine="420"/>
            </w:pPr>
            <w:r>
              <w:rPr>
                <w:sz w:val="21"/>
              </w:rPr>
              <w:t>（</w:t>
            </w:r>
            <w:r>
              <w:rPr>
                <w:sz w:val="21"/>
              </w:rPr>
              <w:t>8）《堤防工程安全评价导则》（SL/Z 679-2015）；</w:t>
            </w:r>
          </w:p>
          <w:p>
            <w:pPr>
              <w:ind w:firstLine="420"/>
            </w:pPr>
            <w:r>
              <w:rPr>
                <w:sz w:val="21"/>
              </w:rPr>
              <w:t>（</w:t>
            </w:r>
            <w:r>
              <w:rPr>
                <w:sz w:val="21"/>
              </w:rPr>
              <w:t>9）《广东省水利工程白蚁防治技术规范》（DB44T2282-2021）</w:t>
            </w:r>
          </w:p>
          <w:p>
            <w:pPr>
              <w:ind w:firstLine="420"/>
            </w:pPr>
            <w:r>
              <w:rPr>
                <w:sz w:val="21"/>
              </w:rPr>
              <w:t>（</w:t>
            </w:r>
            <w:r>
              <w:rPr>
                <w:sz w:val="21"/>
              </w:rPr>
              <w:t>10）《水利水电单元工程施工质量验收评定标准 堤防工程》（SL 634-2012）</w:t>
            </w:r>
          </w:p>
          <w:p>
            <w:pPr>
              <w:ind w:firstLine="420"/>
            </w:pPr>
            <w:r>
              <w:rPr>
                <w:sz w:val="21"/>
              </w:rPr>
              <w:t>（</w:t>
            </w:r>
            <w:r>
              <w:rPr>
                <w:sz w:val="21"/>
              </w:rPr>
              <w:t>11）《堤防工程管理设计规范》（SL/T 171-2020）</w:t>
            </w:r>
          </w:p>
          <w:p>
            <w:pPr>
              <w:ind w:firstLine="420"/>
            </w:pPr>
            <w:r>
              <w:rPr>
                <w:sz w:val="21"/>
              </w:rPr>
              <w:t>（</w:t>
            </w:r>
            <w:r>
              <w:rPr>
                <w:sz w:val="21"/>
              </w:rPr>
              <w:t>12）《堤防工程安全监测技术规程》（SL/T 794-2020）</w:t>
            </w:r>
          </w:p>
          <w:p>
            <w:pPr>
              <w:ind w:firstLine="420"/>
            </w:pPr>
            <w:r>
              <w:rPr>
                <w:sz w:val="21"/>
              </w:rPr>
              <w:t>（</w:t>
            </w:r>
            <w:r>
              <w:rPr>
                <w:sz w:val="21"/>
              </w:rPr>
              <w:t>13）《防汛物资储备定额编制规程》（SL298-2004）</w:t>
            </w:r>
          </w:p>
          <w:p>
            <w:pPr>
              <w:ind w:firstLine="420"/>
            </w:pPr>
            <w:r>
              <w:rPr>
                <w:sz w:val="21"/>
              </w:rPr>
              <w:t>（</w:t>
            </w:r>
            <w:r>
              <w:rPr>
                <w:sz w:val="21"/>
              </w:rPr>
              <w:t>14）《堤防工程养护修理规程》（SL595-2013）</w:t>
            </w:r>
          </w:p>
          <w:p>
            <w:pPr>
              <w:ind w:firstLine="420"/>
            </w:pPr>
            <w:r>
              <w:rPr>
                <w:sz w:val="21"/>
              </w:rPr>
              <w:t>（</w:t>
            </w:r>
            <w:r>
              <w:rPr>
                <w:sz w:val="21"/>
              </w:rPr>
              <w:t>15）《堤防工程施工质量验收评定标准》（SL634-2012）</w:t>
            </w:r>
          </w:p>
          <w:p>
            <w:pPr>
              <w:ind w:firstLine="420"/>
            </w:pPr>
            <w:r>
              <w:rPr>
                <w:sz w:val="21"/>
              </w:rPr>
              <w:t>（</w:t>
            </w:r>
            <w:r>
              <w:rPr>
                <w:sz w:val="21"/>
              </w:rPr>
              <w:t>16）《泵站技术管理规程》（GB/T 30948）；</w:t>
            </w:r>
          </w:p>
          <w:p>
            <w:pPr>
              <w:ind w:firstLine="420"/>
            </w:pPr>
            <w:r>
              <w:rPr>
                <w:sz w:val="21"/>
              </w:rPr>
              <w:t>（</w:t>
            </w:r>
            <w:r>
              <w:rPr>
                <w:sz w:val="21"/>
              </w:rPr>
              <w:t>17）《泵站安全鉴定规程》（SL316-2015）；</w:t>
            </w:r>
          </w:p>
          <w:p>
            <w:pPr>
              <w:ind w:firstLine="420"/>
            </w:pPr>
            <w:r>
              <w:rPr>
                <w:sz w:val="21"/>
              </w:rPr>
              <w:t>（</w:t>
            </w:r>
            <w:r>
              <w:rPr>
                <w:sz w:val="21"/>
              </w:rPr>
              <w:t>18）《泵站设计标准》（GB 50265-2022）</w:t>
            </w:r>
          </w:p>
          <w:p>
            <w:pPr>
              <w:ind w:firstLine="420"/>
            </w:pPr>
            <w:r>
              <w:rPr>
                <w:sz w:val="21"/>
              </w:rPr>
              <w:t>（</w:t>
            </w:r>
            <w:r>
              <w:rPr>
                <w:sz w:val="21"/>
              </w:rPr>
              <w:t>19）《广东省河湖及水利工程界桩、标示牌技术标准》</w:t>
            </w:r>
          </w:p>
          <w:p>
            <w:pPr>
              <w:ind w:firstLine="420"/>
            </w:pPr>
            <w:r>
              <w:rPr>
                <w:sz w:val="21"/>
              </w:rPr>
              <w:t>（</w:t>
            </w:r>
            <w:r>
              <w:rPr>
                <w:sz w:val="21"/>
              </w:rPr>
              <w:t>20）《广东省河道管理范围内建设项目技术规程》</w:t>
            </w:r>
          </w:p>
          <w:p>
            <w:pPr>
              <w:ind w:firstLine="420"/>
            </w:pPr>
            <w:r>
              <w:rPr>
                <w:sz w:val="21"/>
              </w:rPr>
              <w:t>（</w:t>
            </w:r>
            <w:r>
              <w:rPr>
                <w:sz w:val="21"/>
              </w:rPr>
              <w:t>21）《广东省水利工程管理条例》</w:t>
            </w:r>
          </w:p>
          <w:p>
            <w:pPr>
              <w:ind w:firstLine="420"/>
            </w:pPr>
            <w:r>
              <w:rPr>
                <w:sz w:val="21"/>
              </w:rPr>
              <w:t>（</w:t>
            </w:r>
            <w:r>
              <w:rPr>
                <w:sz w:val="21"/>
              </w:rPr>
              <w:t>22）《广东省堤防工程巡查细则》</w:t>
            </w:r>
          </w:p>
          <w:p>
            <w:r>
              <w:rPr>
                <w:b/>
                <w:sz w:val="24"/>
              </w:rPr>
              <w:t>三、安全鉴定工作内容</w:t>
            </w:r>
          </w:p>
          <w:p>
            <w:pPr>
              <w:ind w:firstLine="420"/>
            </w:pPr>
            <w:r>
              <w:rPr>
                <w:sz w:val="21"/>
              </w:rPr>
              <w:t>安全鉴定一般包含以下内容：收集有关资料，并根据需要开展地质勘探、地形测量、工程设施设备现场质量检测、鉴定试验等工作；按有关技术标准对安全状况进行评价，并提出安全评价报告；按鉴定审定部门的审查意见，补充相关工作，修改安全评价报告；其他相关内容。具体工作如下：</w:t>
            </w:r>
          </w:p>
          <w:p>
            <w:pPr>
              <w:ind w:firstLine="420"/>
            </w:pPr>
            <w:r>
              <w:rPr>
                <w:sz w:val="21"/>
              </w:rPr>
              <w:t>（</w:t>
            </w:r>
            <w:r>
              <w:rPr>
                <w:sz w:val="21"/>
              </w:rPr>
              <w:t>1）现场安全检查；</w:t>
            </w:r>
          </w:p>
          <w:p>
            <w:pPr>
              <w:ind w:firstLine="420"/>
            </w:pPr>
            <w:r>
              <w:rPr>
                <w:sz w:val="21"/>
              </w:rPr>
              <w:t>（</w:t>
            </w:r>
            <w:r>
              <w:rPr>
                <w:sz w:val="21"/>
              </w:rPr>
              <w:t>2）地形测量；</w:t>
            </w:r>
          </w:p>
          <w:p>
            <w:pPr>
              <w:ind w:firstLine="420"/>
            </w:pPr>
            <w:r>
              <w:rPr>
                <w:sz w:val="21"/>
              </w:rPr>
              <w:t>（</w:t>
            </w:r>
            <w:r>
              <w:rPr>
                <w:sz w:val="21"/>
              </w:rPr>
              <w:t>3）地质勘探（出具独立报告）；</w:t>
            </w:r>
          </w:p>
          <w:p>
            <w:pPr>
              <w:ind w:firstLine="420"/>
            </w:pPr>
            <w:r>
              <w:rPr>
                <w:sz w:val="21"/>
              </w:rPr>
              <w:t>（</w:t>
            </w:r>
            <w:r>
              <w:rPr>
                <w:sz w:val="21"/>
              </w:rPr>
              <w:t>4）工程设施现场质量检测；</w:t>
            </w:r>
          </w:p>
          <w:p>
            <w:pPr>
              <w:ind w:firstLine="420"/>
            </w:pPr>
            <w:r>
              <w:rPr>
                <w:sz w:val="21"/>
              </w:rPr>
              <w:t>（</w:t>
            </w:r>
            <w:r>
              <w:rPr>
                <w:sz w:val="21"/>
              </w:rPr>
              <w:t>4）按相关规范规程编制安全鉴定评价报告；</w:t>
            </w:r>
          </w:p>
          <w:p>
            <w:pPr>
              <w:ind w:firstLine="420"/>
            </w:pPr>
            <w:r>
              <w:rPr>
                <w:sz w:val="21"/>
              </w:rPr>
              <w:t>（</w:t>
            </w:r>
            <w:r>
              <w:rPr>
                <w:sz w:val="21"/>
              </w:rPr>
              <w:t>5）相关各方沟通协调及专家评审会务等。</w:t>
            </w:r>
          </w:p>
          <w:p>
            <w:r>
              <w:rPr>
                <w:b/>
                <w:sz w:val="24"/>
              </w:rPr>
              <w:t>四、标准化管理创建工作内容</w:t>
            </w:r>
          </w:p>
          <w:p>
            <w:pPr>
              <w:ind w:firstLine="420"/>
            </w:pPr>
            <w:r>
              <w:rPr>
                <w:sz w:val="21"/>
              </w:rPr>
              <w:t>标准化达标建设计划分自查阶段、整改阶段和申报阶段三步实施。</w:t>
            </w:r>
          </w:p>
          <w:p>
            <w:pPr>
              <w:ind w:firstLine="422"/>
            </w:pPr>
            <w:r>
              <w:rPr>
                <w:b/>
                <w:sz w:val="21"/>
              </w:rPr>
              <w:t>1、</w:t>
            </w:r>
            <w:r>
              <w:rPr>
                <w:b/>
                <w:sz w:val="21"/>
              </w:rPr>
              <w:t>排站</w:t>
            </w:r>
            <w:r>
              <w:rPr>
                <w:b/>
                <w:sz w:val="21"/>
              </w:rPr>
              <w:t>工程</w:t>
            </w:r>
          </w:p>
          <w:p>
            <w:pPr>
              <w:ind w:firstLine="420"/>
            </w:pPr>
            <w:r>
              <w:rPr>
                <w:sz w:val="21"/>
              </w:rPr>
              <w:t>1.1自查阶段</w:t>
            </w:r>
          </w:p>
          <w:p>
            <w:pPr>
              <w:ind w:firstLine="420"/>
            </w:pPr>
            <w:r>
              <w:rPr>
                <w:sz w:val="21"/>
              </w:rPr>
              <w:t>根据《考核办法》自检自评，梳理存在问题及差距，制订标准化管理创建工作方案。</w:t>
            </w:r>
          </w:p>
          <w:p>
            <w:pPr>
              <w:ind w:firstLine="420"/>
            </w:pPr>
            <w:r>
              <w:rPr>
                <w:sz w:val="21"/>
              </w:rPr>
              <w:t>本阶段服务内容包括：</w:t>
            </w:r>
          </w:p>
          <w:p>
            <w:pPr>
              <w:ind w:firstLine="420"/>
            </w:pPr>
            <w:r>
              <w:rPr>
                <w:sz w:val="21"/>
              </w:rPr>
              <w:t>（</w:t>
            </w:r>
            <w:r>
              <w:rPr>
                <w:sz w:val="21"/>
              </w:rPr>
              <w:t>1）制作所需资料清单台账；</w:t>
            </w:r>
          </w:p>
          <w:p>
            <w:pPr>
              <w:ind w:firstLine="420"/>
            </w:pPr>
            <w:r>
              <w:rPr>
                <w:sz w:val="21"/>
              </w:rPr>
              <w:t>（</w:t>
            </w:r>
            <w:r>
              <w:rPr>
                <w:sz w:val="21"/>
              </w:rPr>
              <w:t>2）根据台账收集整理资料，并分析所提供资料是否符合《东莞市大中型泵站标准化规范化管理指南（试行）》和有关规范要求。</w:t>
            </w:r>
          </w:p>
          <w:p>
            <w:pPr>
              <w:ind w:firstLine="420"/>
            </w:pPr>
            <w:r>
              <w:rPr>
                <w:sz w:val="21"/>
              </w:rPr>
              <w:t>（</w:t>
            </w:r>
            <w:r>
              <w:rPr>
                <w:sz w:val="21"/>
              </w:rPr>
              <w:t>3）现场调研，包括进行航拍，检查泵房和周边环境的卫生、防火、照明和绿化等情况，检查建筑物有无裂缝、露筋和沉降等损坏情况，对有问题的地方进行拍照取证和记录；</w:t>
            </w:r>
          </w:p>
          <w:p>
            <w:pPr>
              <w:ind w:firstLine="420"/>
            </w:pPr>
            <w:r>
              <w:rPr>
                <w:sz w:val="21"/>
              </w:rPr>
              <w:t>（</w:t>
            </w:r>
            <w:r>
              <w:rPr>
                <w:sz w:val="21"/>
              </w:rPr>
              <w:t>4）</w:t>
            </w:r>
            <w:r>
              <w:rPr>
                <w:sz w:val="21"/>
              </w:rPr>
              <w:t>排站</w:t>
            </w:r>
            <w:r>
              <w:rPr>
                <w:sz w:val="21"/>
              </w:rPr>
              <w:t>技术经济指标计算；</w:t>
            </w:r>
          </w:p>
          <w:p>
            <w:pPr>
              <w:ind w:firstLine="420"/>
            </w:pPr>
            <w:r>
              <w:rPr>
                <w:sz w:val="21"/>
              </w:rPr>
              <w:t>（</w:t>
            </w:r>
            <w:r>
              <w:rPr>
                <w:sz w:val="21"/>
              </w:rPr>
              <w:t>5）根据以上资料进行自检自评，列出问题清单，编制初步自检自评报告，得出现阶段考核分数；</w:t>
            </w:r>
          </w:p>
          <w:p>
            <w:pPr>
              <w:ind w:firstLine="420"/>
            </w:pPr>
            <w:r>
              <w:rPr>
                <w:sz w:val="21"/>
              </w:rPr>
              <w:t>（</w:t>
            </w:r>
            <w:r>
              <w:rPr>
                <w:sz w:val="21"/>
              </w:rPr>
              <w:t>6）根据实际情况制订</w:t>
            </w:r>
            <w:r>
              <w:rPr>
                <w:sz w:val="21"/>
              </w:rPr>
              <w:t>排站</w:t>
            </w:r>
            <w:r>
              <w:rPr>
                <w:sz w:val="21"/>
              </w:rPr>
              <w:t>标准化管理创建工作方案，并测算创建工作经费。</w:t>
            </w:r>
          </w:p>
          <w:p>
            <w:pPr>
              <w:ind w:firstLine="420"/>
            </w:pPr>
            <w:r>
              <w:rPr>
                <w:sz w:val="21"/>
              </w:rPr>
              <w:t>1.2整改阶段</w:t>
            </w:r>
          </w:p>
          <w:p>
            <w:pPr>
              <w:ind w:firstLine="420"/>
            </w:pPr>
            <w:r>
              <w:rPr>
                <w:sz w:val="21"/>
              </w:rPr>
              <w:t>根据创建工作方案对扣分项中非工程类整改措施与意见进行整改。</w:t>
            </w:r>
          </w:p>
          <w:p>
            <w:pPr>
              <w:ind w:firstLine="420"/>
            </w:pPr>
            <w:r>
              <w:rPr>
                <w:sz w:val="21"/>
              </w:rPr>
              <w:t>本阶段服务内容包括：</w:t>
            </w:r>
          </w:p>
          <w:p>
            <w:pPr>
              <w:ind w:firstLine="420"/>
            </w:pPr>
            <w:r>
              <w:rPr>
                <w:sz w:val="21"/>
              </w:rPr>
              <w:t>（</w:t>
            </w:r>
            <w:r>
              <w:rPr>
                <w:sz w:val="21"/>
              </w:rPr>
              <w:t>1）等级评定报告编制，如有三类或四类则制订除险加固或更新改造计划；</w:t>
            </w:r>
          </w:p>
          <w:p>
            <w:pPr>
              <w:ind w:firstLine="420"/>
            </w:pPr>
            <w:r>
              <w:rPr>
                <w:sz w:val="21"/>
              </w:rPr>
              <w:t>（</w:t>
            </w:r>
            <w:r>
              <w:rPr>
                <w:sz w:val="21"/>
              </w:rPr>
              <w:t>2）整编各类制度、规程；</w:t>
            </w:r>
          </w:p>
          <w:p>
            <w:pPr>
              <w:ind w:firstLine="420"/>
            </w:pPr>
            <w:r>
              <w:rPr>
                <w:sz w:val="21"/>
              </w:rPr>
              <w:t>（</w:t>
            </w:r>
            <w:r>
              <w:rPr>
                <w:sz w:val="21"/>
              </w:rPr>
              <w:t>3）设计各类标识牌、排版及安装（包括但不仅限于</w:t>
            </w:r>
            <w:r>
              <w:rPr>
                <w:sz w:val="21"/>
              </w:rPr>
              <w:t>排站</w:t>
            </w:r>
            <w:r>
              <w:rPr>
                <w:sz w:val="21"/>
              </w:rPr>
              <w:t>立面、平面图及</w:t>
            </w:r>
            <w:r>
              <w:rPr>
                <w:sz w:val="21"/>
              </w:rPr>
              <w:t>排站</w:t>
            </w:r>
            <w:r>
              <w:rPr>
                <w:sz w:val="21"/>
              </w:rPr>
              <w:t>相关指标表、各类设备的标识标记、水行政警示警告标志、安全隐患标识等与标准化创建有关的标识标牌）；</w:t>
            </w:r>
          </w:p>
          <w:p>
            <w:pPr>
              <w:ind w:firstLine="420"/>
            </w:pPr>
            <w:r>
              <w:rPr>
                <w:sz w:val="21"/>
              </w:rPr>
              <w:t>（</w:t>
            </w:r>
            <w:r>
              <w:rPr>
                <w:sz w:val="21"/>
              </w:rPr>
              <w:t>4）完成设备的建档挂卡（包含建档挂卡相关材料、人工费用等）；</w:t>
            </w:r>
          </w:p>
          <w:p>
            <w:pPr>
              <w:ind w:firstLine="420"/>
            </w:pPr>
            <w:r>
              <w:rPr>
                <w:sz w:val="21"/>
              </w:rPr>
              <w:t>（</w:t>
            </w:r>
            <w:r>
              <w:rPr>
                <w:sz w:val="21"/>
              </w:rPr>
              <w:t>5）完善调度方案和应急预案。</w:t>
            </w:r>
          </w:p>
          <w:p>
            <w:pPr>
              <w:ind w:firstLine="420"/>
            </w:pPr>
            <w:r>
              <w:rPr>
                <w:sz w:val="21"/>
              </w:rPr>
              <w:t>（</w:t>
            </w:r>
            <w:r>
              <w:rPr>
                <w:sz w:val="21"/>
              </w:rPr>
              <w:t>6）根据整改后情况，编制出版自检自评报告。</w:t>
            </w:r>
          </w:p>
          <w:p>
            <w:pPr>
              <w:ind w:firstLine="420"/>
            </w:pPr>
            <w:r>
              <w:rPr>
                <w:sz w:val="21"/>
              </w:rPr>
              <w:t>1.3申报阶段</w:t>
            </w:r>
          </w:p>
          <w:p>
            <w:pPr>
              <w:ind w:firstLine="420"/>
            </w:pPr>
            <w:r>
              <w:rPr>
                <w:sz w:val="21"/>
              </w:rPr>
              <w:t>协助采购人通过相应级别的标准化管理达标</w:t>
            </w:r>
            <w:r>
              <w:rPr>
                <w:sz w:val="21"/>
              </w:rPr>
              <w:t>排站</w:t>
            </w:r>
            <w:r>
              <w:rPr>
                <w:sz w:val="21"/>
              </w:rPr>
              <w:t>的申报。</w:t>
            </w:r>
          </w:p>
          <w:p>
            <w:pPr>
              <w:ind w:firstLine="422"/>
            </w:pPr>
            <w:r>
              <w:rPr>
                <w:b/>
                <w:sz w:val="21"/>
              </w:rPr>
              <w:t>2、堤防工程</w:t>
            </w:r>
          </w:p>
          <w:p>
            <w:pPr>
              <w:ind w:firstLine="420"/>
            </w:pPr>
            <w:r>
              <w:rPr>
                <w:sz w:val="21"/>
              </w:rPr>
              <w:t>2.1自查阶段</w:t>
            </w:r>
          </w:p>
          <w:p>
            <w:pPr>
              <w:ind w:firstLine="420"/>
            </w:pPr>
            <w:r>
              <w:rPr>
                <w:sz w:val="21"/>
              </w:rPr>
              <w:t>根据《评价办法》自检自评，梳理存在问题及差距，制订堤防标准化管理自评报告并提出相应整改措施与意见。不包括堤防的隐患探测和根石探测以及堤防除险加固、路面修复、标志牌界桩的采购和安装、维修养护、地勘测量等工程费。</w:t>
            </w:r>
          </w:p>
          <w:p>
            <w:pPr>
              <w:ind w:firstLine="420"/>
            </w:pPr>
            <w:r>
              <w:rPr>
                <w:sz w:val="21"/>
              </w:rPr>
              <w:t>本阶段服务内容包括：</w:t>
            </w:r>
          </w:p>
          <w:p>
            <w:pPr>
              <w:ind w:firstLine="420"/>
            </w:pPr>
            <w:r>
              <w:rPr>
                <w:sz w:val="21"/>
              </w:rPr>
              <w:t>（</w:t>
            </w:r>
            <w:r>
              <w:rPr>
                <w:sz w:val="21"/>
              </w:rPr>
              <w:t>1）制作所需资料清单台账；</w:t>
            </w:r>
          </w:p>
          <w:p>
            <w:pPr>
              <w:ind w:firstLine="420"/>
            </w:pPr>
            <w:r>
              <w:rPr>
                <w:sz w:val="21"/>
              </w:rPr>
              <w:t>（</w:t>
            </w:r>
            <w:r>
              <w:rPr>
                <w:sz w:val="21"/>
              </w:rPr>
              <w:t>2）根据台账收集整理资料，并分析所提供资料是否符合《东莞市堤防标准化管理指南（试行）》及《考核标准》。</w:t>
            </w:r>
          </w:p>
          <w:p>
            <w:pPr>
              <w:ind w:firstLine="420"/>
            </w:pPr>
            <w:r>
              <w:rPr>
                <w:sz w:val="21"/>
              </w:rPr>
              <w:t>（</w:t>
            </w:r>
            <w:r>
              <w:rPr>
                <w:sz w:val="21"/>
              </w:rPr>
              <w:t>3）现场调研，包括实地外业踏勘、内部资料内业整理及航拍。</w:t>
            </w:r>
          </w:p>
          <w:p>
            <w:pPr>
              <w:ind w:firstLine="420"/>
            </w:pPr>
            <w:r>
              <w:rPr>
                <w:sz w:val="21"/>
              </w:rPr>
              <w:t>（</w:t>
            </w:r>
            <w:r>
              <w:rPr>
                <w:sz w:val="21"/>
              </w:rPr>
              <w:t>4）根据以上资料进行自检自评，列出问题清单，得出现阶段考核分数；</w:t>
            </w:r>
          </w:p>
          <w:p>
            <w:pPr>
              <w:ind w:firstLine="420"/>
            </w:pPr>
            <w:r>
              <w:rPr>
                <w:sz w:val="21"/>
              </w:rPr>
              <w:t>（</w:t>
            </w:r>
            <w:r>
              <w:rPr>
                <w:sz w:val="21"/>
              </w:rPr>
              <w:t>5）根据实际情况提出堤防标准化管理创建工作整改措施与意见。</w:t>
            </w:r>
          </w:p>
          <w:p>
            <w:pPr>
              <w:ind w:firstLine="420"/>
            </w:pPr>
            <w:r>
              <w:rPr>
                <w:sz w:val="21"/>
              </w:rPr>
              <w:t>2.2整改阶段</w:t>
            </w:r>
          </w:p>
          <w:p>
            <w:pPr>
              <w:ind w:firstLine="420"/>
            </w:pPr>
            <w:r>
              <w:rPr>
                <w:sz w:val="21"/>
              </w:rPr>
              <w:t>根据堤防标准化管理创建工作整改措施与意见，对扣分项中非工程类整改措施与意见进行整改。</w:t>
            </w:r>
          </w:p>
          <w:p>
            <w:pPr>
              <w:ind w:firstLine="420"/>
            </w:pPr>
            <w:r>
              <w:rPr>
                <w:sz w:val="21"/>
              </w:rPr>
              <w:t>本阶段服务内容包括：</w:t>
            </w:r>
          </w:p>
          <w:p>
            <w:pPr>
              <w:ind w:firstLine="420"/>
            </w:pPr>
            <w:r>
              <w:rPr>
                <w:sz w:val="21"/>
              </w:rPr>
              <w:t>（</w:t>
            </w:r>
            <w:r>
              <w:rPr>
                <w:sz w:val="21"/>
              </w:rPr>
              <w:t>1）建立健全并补充完善各项管理制度、规程，并与现有的制度整合成《制度汇编》；</w:t>
            </w:r>
          </w:p>
          <w:p>
            <w:pPr>
              <w:ind w:firstLine="420"/>
            </w:pPr>
            <w:r>
              <w:rPr>
                <w:sz w:val="21"/>
              </w:rPr>
              <w:t>（</w:t>
            </w:r>
            <w:r>
              <w:rPr>
                <w:sz w:val="21"/>
              </w:rPr>
              <w:t>2）运行、巡查、设备检测等的记录表格设计、修改，完善现场检查、监察各项记录；</w:t>
            </w:r>
          </w:p>
          <w:p>
            <w:pPr>
              <w:ind w:firstLine="420"/>
            </w:pPr>
            <w:r>
              <w:rPr>
                <w:sz w:val="21"/>
              </w:rPr>
              <w:t>（</w:t>
            </w:r>
            <w:r>
              <w:rPr>
                <w:sz w:val="21"/>
              </w:rPr>
              <w:t>3）设计各类标识牌、排版（包括但不仅限于各类防汛物料厂的标识标记、警示警告标志、安全隐患标识等与标准化创建有关的标识标牌）；</w:t>
            </w:r>
          </w:p>
          <w:p>
            <w:pPr>
              <w:ind w:firstLine="420"/>
            </w:pPr>
            <w:r>
              <w:rPr>
                <w:sz w:val="21"/>
              </w:rPr>
              <w:t>（</w:t>
            </w:r>
            <w:r>
              <w:rPr>
                <w:sz w:val="21"/>
              </w:rPr>
              <w:t>4）补充完善防汛图表（包括防汛指挥图、调度运用计划图表及险工险段等图表）相关内容；</w:t>
            </w:r>
          </w:p>
          <w:p>
            <w:pPr>
              <w:ind w:firstLine="420"/>
            </w:pPr>
            <w:r>
              <w:rPr>
                <w:sz w:val="21"/>
              </w:rPr>
              <w:t>（</w:t>
            </w:r>
            <w:r>
              <w:rPr>
                <w:sz w:val="21"/>
              </w:rPr>
              <w:t>5）根据整改后情况，编制出版自检自评报告。</w:t>
            </w:r>
          </w:p>
          <w:p>
            <w:pPr>
              <w:ind w:firstLine="420"/>
            </w:pPr>
            <w:r>
              <w:rPr>
                <w:sz w:val="21"/>
              </w:rPr>
              <w:t>2.3申报阶段</w:t>
            </w:r>
          </w:p>
          <w:p>
            <w:pPr>
              <w:ind w:firstLine="420"/>
            </w:pPr>
            <w:r>
              <w:rPr>
                <w:sz w:val="21"/>
              </w:rPr>
              <w:t>协助采购人通过相应级别的标准化管理达标堤防的申报。</w:t>
            </w:r>
          </w:p>
          <w:p>
            <w:r>
              <w:rPr>
                <w:b/>
                <w:sz w:val="24"/>
              </w:rPr>
              <w:t>五、上交成果资料</w:t>
            </w:r>
          </w:p>
          <w:p>
            <w:pPr>
              <w:ind w:firstLine="420"/>
            </w:pPr>
            <w:r>
              <w:rPr>
                <w:sz w:val="21"/>
              </w:rPr>
              <w:t>（</w:t>
            </w:r>
            <w:r>
              <w:rPr>
                <w:sz w:val="21"/>
              </w:rPr>
              <w:t>1）</w:t>
            </w:r>
            <w:r>
              <w:rPr>
                <w:sz w:val="21"/>
              </w:rPr>
              <w:t>排站</w:t>
            </w:r>
            <w:r>
              <w:rPr>
                <w:sz w:val="21"/>
              </w:rPr>
              <w:t>安全鉴定</w:t>
            </w:r>
          </w:p>
          <w:p>
            <w:pPr>
              <w:ind w:firstLine="420"/>
            </w:pPr>
            <w:r>
              <w:rPr>
                <w:sz w:val="21"/>
              </w:rPr>
              <w:t>①</w:t>
            </w:r>
            <w:r>
              <w:rPr>
                <w:sz w:val="21"/>
              </w:rPr>
              <w:t>《现状调查分析报告》</w:t>
            </w:r>
          </w:p>
          <w:p>
            <w:pPr>
              <w:ind w:firstLine="420"/>
            </w:pPr>
            <w:r>
              <w:rPr>
                <w:sz w:val="21"/>
              </w:rPr>
              <w:t>②</w:t>
            </w:r>
            <w:r>
              <w:rPr>
                <w:sz w:val="21"/>
              </w:rPr>
              <w:t>《工程复核计算分析报告》</w:t>
            </w:r>
          </w:p>
          <w:p>
            <w:pPr>
              <w:ind w:firstLine="420"/>
            </w:pPr>
            <w:r>
              <w:rPr>
                <w:sz w:val="21"/>
              </w:rPr>
              <w:t>③</w:t>
            </w:r>
            <w:r>
              <w:rPr>
                <w:sz w:val="21"/>
              </w:rPr>
              <w:t>《检测报告》</w:t>
            </w:r>
          </w:p>
          <w:p>
            <w:pPr>
              <w:ind w:firstLine="420"/>
            </w:pPr>
            <w:r>
              <w:rPr>
                <w:sz w:val="21"/>
              </w:rPr>
              <w:t>④</w:t>
            </w:r>
            <w:r>
              <w:rPr>
                <w:sz w:val="21"/>
              </w:rPr>
              <w:t>《地勘报告》</w:t>
            </w:r>
          </w:p>
          <w:p>
            <w:pPr>
              <w:ind w:firstLine="420"/>
            </w:pPr>
            <w:r>
              <w:rPr>
                <w:sz w:val="21"/>
              </w:rPr>
              <w:t>⑤</w:t>
            </w:r>
            <w:r>
              <w:rPr>
                <w:sz w:val="21"/>
              </w:rPr>
              <w:t>《</w:t>
            </w:r>
            <w:r>
              <w:rPr>
                <w:sz w:val="21"/>
              </w:rPr>
              <w:t>排站</w:t>
            </w:r>
            <w:r>
              <w:rPr>
                <w:sz w:val="21"/>
              </w:rPr>
              <w:t>安全评价报告》</w:t>
            </w:r>
          </w:p>
          <w:p>
            <w:pPr>
              <w:ind w:firstLine="420"/>
            </w:pPr>
            <w:r>
              <w:rPr>
                <w:sz w:val="21"/>
              </w:rPr>
              <w:t>（</w:t>
            </w:r>
            <w:r>
              <w:rPr>
                <w:sz w:val="21"/>
              </w:rPr>
              <w:t>2）标准化管理创建</w:t>
            </w:r>
          </w:p>
          <w:p>
            <w:pPr>
              <w:ind w:firstLine="420"/>
            </w:pPr>
            <w:r>
              <w:rPr>
                <w:sz w:val="21"/>
              </w:rPr>
              <w:t>①</w:t>
            </w:r>
            <w:r>
              <w:rPr>
                <w:sz w:val="21"/>
              </w:rPr>
              <w:t>《标准化管理自检自评报告》</w:t>
            </w:r>
          </w:p>
          <w:p>
            <w:pPr>
              <w:ind w:firstLine="420"/>
            </w:pPr>
            <w:r>
              <w:rPr>
                <w:sz w:val="21"/>
              </w:rPr>
              <w:t>②</w:t>
            </w:r>
            <w:r>
              <w:rPr>
                <w:sz w:val="21"/>
              </w:rPr>
              <w:t>《标准化管理自检自评报告佐证材料》</w:t>
            </w:r>
          </w:p>
          <w:p>
            <w:pPr>
              <w:ind w:firstLine="420"/>
            </w:pPr>
            <w:r>
              <w:rPr>
                <w:sz w:val="21"/>
              </w:rPr>
              <w:t>③</w:t>
            </w:r>
            <w:r>
              <w:rPr>
                <w:sz w:val="21"/>
              </w:rPr>
              <w:t>《标准化工作手册》</w:t>
            </w:r>
          </w:p>
          <w:p>
            <w:pPr>
              <w:ind w:firstLine="420"/>
            </w:pPr>
            <w:r>
              <w:rPr>
                <w:sz w:val="21"/>
              </w:rPr>
              <w:t>中间成果按照评审会议要求的数量提供；最终成果提供文本文件十套</w:t>
            </w:r>
            <w:r>
              <w:rPr>
                <w:sz w:val="21"/>
              </w:rPr>
              <w:t>,电子文件（可编辑）。</w:t>
            </w:r>
          </w:p>
          <w:p>
            <w:r>
              <w:rPr>
                <w:b/>
                <w:sz w:val="24"/>
              </w:rPr>
              <w:t>六、技术要求</w:t>
            </w:r>
          </w:p>
          <w:p>
            <w:pPr>
              <w:ind w:firstLine="420"/>
            </w:pPr>
            <w:r>
              <w:rPr>
                <w:sz w:val="21"/>
              </w:rPr>
              <w:t>（</w:t>
            </w:r>
            <w:r>
              <w:rPr>
                <w:sz w:val="21"/>
              </w:rPr>
              <w:t>1）</w:t>
            </w:r>
            <w:r>
              <w:rPr>
                <w:sz w:val="21"/>
              </w:rPr>
              <w:t>本项目要求投入的设备：</w:t>
            </w:r>
          </w:p>
          <w:p>
            <w:pPr>
              <w:ind w:firstLine="420"/>
            </w:pPr>
            <w:r>
              <w:rPr>
                <w:sz w:val="21"/>
              </w:rPr>
              <w:t>项目所需设备由</w:t>
            </w:r>
            <w:r>
              <w:rPr>
                <w:sz w:val="21"/>
              </w:rPr>
              <w:t>中标人</w:t>
            </w:r>
            <w:r>
              <w:rPr>
                <w:sz w:val="21"/>
              </w:rPr>
              <w:t>自行配备，相关费用已包含在中标价。</w:t>
            </w:r>
          </w:p>
          <w:p>
            <w:pPr>
              <w:ind w:firstLine="420"/>
            </w:pPr>
            <w:r>
              <w:rPr>
                <w:sz w:val="21"/>
              </w:rPr>
              <w:t>（</w:t>
            </w:r>
            <w:r>
              <w:rPr>
                <w:sz w:val="21"/>
              </w:rPr>
              <w:t>2）项目管理要求：</w:t>
            </w:r>
          </w:p>
          <w:p>
            <w:pPr>
              <w:ind w:firstLine="420"/>
            </w:pPr>
            <w:r>
              <w:rPr>
                <w:sz w:val="21"/>
              </w:rPr>
              <w:t>①为保障项目顺利实施，中标人应制定科学合理的项目工作进度计划，并提出相应的进度、质量保障措施。</w:t>
            </w:r>
          </w:p>
          <w:p>
            <w:pPr>
              <w:ind w:firstLine="420"/>
            </w:pPr>
            <w:r>
              <w:rPr>
                <w:sz w:val="21"/>
              </w:rPr>
              <w:t>②中标人应保证因本项目而获知相关信息在未经采购人同意不得提供给第三方。</w:t>
            </w:r>
          </w:p>
          <w:p>
            <w:pPr>
              <w:ind w:firstLine="420"/>
            </w:pPr>
            <w:r>
              <w:rPr>
                <w:sz w:val="21"/>
              </w:rPr>
              <w:t>（</w:t>
            </w:r>
            <w:r>
              <w:rPr>
                <w:sz w:val="21"/>
              </w:rPr>
              <w:t>3）其他：</w:t>
            </w:r>
          </w:p>
          <w:p>
            <w:pPr>
              <w:ind w:firstLine="420"/>
            </w:pPr>
            <w:r>
              <w:rPr>
                <w:sz w:val="21"/>
              </w:rPr>
              <w:t>①中标人需合理安排工作和时间节点，并严格按照各项规章制度组织实施。</w:t>
            </w:r>
          </w:p>
          <w:p>
            <w:pPr>
              <w:ind w:firstLine="420"/>
            </w:pPr>
            <w:r>
              <w:rPr>
                <w:sz w:val="21"/>
              </w:rPr>
              <w:t>②</w:t>
            </w:r>
            <w:r>
              <w:rPr>
                <w:sz w:val="21"/>
              </w:rPr>
              <w:t>项目实施前，中标人需将项目团队人员、驻场人员、工作方案等报采购人审核备案。</w:t>
            </w:r>
          </w:p>
          <w:p>
            <w:r>
              <w:rPr>
                <w:b/>
                <w:sz w:val="24"/>
              </w:rPr>
              <w:t>七、进度要求</w:t>
            </w:r>
          </w:p>
          <w:p>
            <w:pPr>
              <w:ind w:firstLine="420"/>
            </w:pPr>
            <w:r>
              <w:rPr>
                <w:sz w:val="21"/>
              </w:rPr>
              <w:t>（</w:t>
            </w:r>
            <w:r>
              <w:rPr>
                <w:sz w:val="21"/>
              </w:rPr>
              <w:t>1）安全鉴定</w:t>
            </w:r>
          </w:p>
          <w:p>
            <w:pPr>
              <w:ind w:firstLine="420"/>
            </w:pPr>
            <w:r>
              <w:rPr>
                <w:sz w:val="21"/>
              </w:rPr>
              <w:t>本项目服务期为</w:t>
            </w:r>
            <w:r>
              <w:rPr>
                <w:sz w:val="21"/>
              </w:rPr>
              <w:t>90个日历天（不含</w:t>
            </w:r>
            <w:r>
              <w:rPr>
                <w:sz w:val="21"/>
              </w:rPr>
              <w:t>采购人</w:t>
            </w:r>
            <w:r>
              <w:rPr>
                <w:sz w:val="21"/>
              </w:rPr>
              <w:t>向相关行政主管部门申报的时间）。</w:t>
            </w:r>
          </w:p>
          <w:p>
            <w:pPr>
              <w:ind w:firstLine="420"/>
            </w:pPr>
            <w:r>
              <w:rPr>
                <w:sz w:val="21"/>
              </w:rPr>
              <w:t>本项目自合同签订之日起</w:t>
            </w:r>
            <w:r>
              <w:rPr>
                <w:sz w:val="21"/>
              </w:rPr>
              <w:t>60天内完成报告送审稿编制工作，专家评审后30天完成报告报批稿。</w:t>
            </w:r>
          </w:p>
          <w:p>
            <w:pPr>
              <w:ind w:firstLine="420"/>
            </w:pPr>
            <w:r>
              <w:rPr>
                <w:sz w:val="21"/>
              </w:rPr>
              <w:t>（</w:t>
            </w:r>
            <w:r>
              <w:rPr>
                <w:sz w:val="21"/>
              </w:rPr>
              <w:t>2）标准化管理创建</w:t>
            </w:r>
          </w:p>
          <w:p>
            <w:pPr>
              <w:ind w:firstLine="420"/>
            </w:pPr>
            <w:r>
              <w:rPr>
                <w:sz w:val="21"/>
              </w:rPr>
              <w:t>本项目服务期为</w:t>
            </w:r>
            <w:r>
              <w:rPr>
                <w:sz w:val="21"/>
              </w:rPr>
              <w:t>150个日历天（不含</w:t>
            </w:r>
            <w:r>
              <w:rPr>
                <w:sz w:val="21"/>
              </w:rPr>
              <w:t>采购人</w:t>
            </w:r>
            <w:r>
              <w:rPr>
                <w:sz w:val="21"/>
              </w:rPr>
              <w:t>向相关行政主管部门申报的时间）。</w:t>
            </w:r>
          </w:p>
          <w:p>
            <w:pPr>
              <w:ind w:firstLine="420"/>
            </w:pPr>
            <w:r>
              <w:rPr>
                <w:sz w:val="21"/>
              </w:rPr>
              <w:t>（</w:t>
            </w:r>
            <w:r>
              <w:rPr>
                <w:sz w:val="21"/>
              </w:rPr>
              <w:t>1)自查阶段：收集有关资料、现场调研和设备检测，60个日历日内向</w:t>
            </w:r>
            <w:r>
              <w:rPr>
                <w:sz w:val="21"/>
              </w:rPr>
              <w:t>采购人</w:t>
            </w:r>
            <w:r>
              <w:rPr>
                <w:sz w:val="21"/>
              </w:rPr>
              <w:t>提交标准化管理创建工作方案。</w:t>
            </w:r>
          </w:p>
          <w:p>
            <w:pPr>
              <w:ind w:firstLine="420"/>
            </w:pPr>
            <w:r>
              <w:rPr>
                <w:sz w:val="21"/>
              </w:rPr>
              <w:t>（</w:t>
            </w:r>
            <w:r>
              <w:rPr>
                <w:sz w:val="21"/>
              </w:rPr>
              <w:t>2) 整改阶段：提交标准化管理创建工作方案后90个日历日内完成非工程类整改，向</w:t>
            </w:r>
            <w:r>
              <w:rPr>
                <w:sz w:val="21"/>
              </w:rPr>
              <w:t>采购人</w:t>
            </w:r>
            <w:r>
              <w:rPr>
                <w:sz w:val="21"/>
              </w:rPr>
              <w:t>提交自检自评报告。</w:t>
            </w:r>
          </w:p>
          <w:p>
            <w:pPr>
              <w:ind w:firstLine="420"/>
            </w:pPr>
            <w:r>
              <w:rPr>
                <w:sz w:val="21"/>
              </w:rPr>
              <w:t>（</w:t>
            </w:r>
            <w:r>
              <w:rPr>
                <w:sz w:val="21"/>
              </w:rPr>
              <w:t>3）申报阶段：配合</w:t>
            </w:r>
            <w:r>
              <w:rPr>
                <w:sz w:val="21"/>
              </w:rPr>
              <w:t>采购人</w:t>
            </w:r>
            <w:r>
              <w:rPr>
                <w:sz w:val="21"/>
              </w:rPr>
              <w:t>的申报工作，提供技术支持，以使通过相关行政主管部门组织的评审，取得相应级别的标准化管理达标工程称号。</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东莞市横沥镇水务工程运营中心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水利工程安全鉴定及标准化管理工作)：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采购包1（横沥镇水利工程安全鉴定及标准化管理工作）：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采购包1（横沥镇水利工程安全鉴定及标准化管理工作）：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①投标人必须具有工程设计综合甲级资质或工程设计水利行业乙级（含）以上资质证书； ②投标人必须具有工程勘察综合甲级资质或工程勘察专业(岩土工程勘察、工程测量)乙级（含）以上资质。</w:t>
            </w:r>
          </w:p>
        </w:tc>
      </w:tr>
      <w:tr>
        <w:tc>
          <w:tcPr>
            <w:tcW w:type="dxa" w:w="890"/>
          </w:tcPr>
          <w:p>
            <w:r>
              <w:rPr/>
              <w:t>9</w:t>
            </w:r>
          </w:p>
        </w:tc>
        <w:tc>
          <w:tcPr>
            <w:tcW w:type="dxa" w:w="3178"/>
          </w:tcPr>
          <w:p>
            <w:r>
              <w:rPr/>
              <w:t>本采购包专门面向中小企业采购</w:t>
            </w:r>
          </w:p>
        </w:tc>
        <w:tc>
          <w:tcPr>
            <w:tcW w:type="dxa" w:w="4238"/>
          </w:tcPr>
          <w:p>
            <w:r>
              <w:rPr/>
              <w:t>采购包整体专门面向中小企业。投标人须符合本项目采购标的对应行业（本项目行业为：其他未列明行业）的政策划分标准。监狱企业、残疾人福利单位视同小型、微型企业。注：中小企业以供应商填写的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采购包1（横沥镇水利工程安全鉴定及标准化管理工作）：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采购包1(横沥镇水利工程安全鉴定及标准化管理工作):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(10.0分)</w:t>
            </w:r>
            <w:r>
              <w:rPr/>
              <w:t>，（等次分值选择：</w:t>
            </w:r>
            <w:r>
              <w:rPr/>
              <w:t>0.0;</w:t>
            </w:r>
            <w:r>
              <w:rPr/>
              <w:t>1.0;</w:t>
            </w:r>
            <w:r>
              <w:rPr/>
              <w:t>4.0;</w:t>
            </w:r>
            <w:r>
              <w:rPr/>
              <w:t>7.0;</w:t>
            </w:r>
            <w:r>
              <w:rPr/>
              <w:t>10.0;</w:t>
            </w:r>
            <w:r>
              <w:rPr/>
              <w:t>）</w:t>
            </w:r>
          </w:p>
        </w:tc>
        <w:tc>
          <w:tcPr>
            <w:tcW w:type="dxa" w:w="5076"/>
          </w:tcPr>
          <w:p>
            <w:pPr>
              <w:jc w:val="left"/>
            </w:pPr>
            <w:r>
              <w:rPr/>
              <w:t>根据投标人是否能全面理解本项目的服务内容，明晰安全评价思路，完整制定项目技术路线，对方案构思的陈述合理、可行、有独到之处等进行综合评审： 1．完全理解项目的服务要求，思路清晰，对方案构思的陈述科学合理、可行，完全满足上述要求，得10分。 2．基本理解项目的服务要求，有基本的思路，对方案构思的陈述基本合理，可行性一般，得7分。 3．对项目的服务要求理解存在一定不足，思路不清晰，对方案构思的陈述不合理，可行性差，得4分。 4. 对项目的服务要求理解差，没有相关构思陈述，可行性差，得1分。 5. 无提供项目的相关理解，得0分。</w:t>
            </w:r>
          </w:p>
        </w:tc>
      </w:tr>
      <w:tr>
        <w:tc>
          <w:tcPr>
            <w:tcW w:type="dxa" w:w="922"/>
            <w:gridSpan w:val="2"/>
            <w:vMerge/>
          </w:tcPr>
          <w:p/>
        </w:tc>
        <w:tc>
          <w:tcPr>
            <w:tcW w:type="dxa" w:w="2307"/>
          </w:tcPr>
          <w:p>
            <w:pPr>
              <w:jc w:val="left"/>
            </w:pPr>
            <w:r>
              <w:rPr/>
              <w:t>总体技术方案 (10.0分)</w:t>
            </w:r>
            <w:r>
              <w:rPr/>
              <w:t>，（等次分值选择：</w:t>
            </w:r>
            <w:r>
              <w:rPr/>
              <w:t>0.0;</w:t>
            </w:r>
            <w:r>
              <w:rPr/>
              <w:t>1.0;</w:t>
            </w:r>
            <w:r>
              <w:rPr/>
              <w:t>4.0;</w:t>
            </w:r>
            <w:r>
              <w:rPr/>
              <w:t>7.0;</w:t>
            </w:r>
            <w:r>
              <w:rPr/>
              <w:t>10.0;</w:t>
            </w:r>
            <w:r>
              <w:rPr/>
              <w:t>）</w:t>
            </w:r>
          </w:p>
        </w:tc>
        <w:tc>
          <w:tcPr>
            <w:tcW w:type="dxa" w:w="5076"/>
          </w:tcPr>
          <w:p>
            <w:pPr>
              <w:jc w:val="left"/>
            </w:pPr>
            <w:r>
              <w:rPr/>
              <w:t>根据投标人总体技术方案的研究总体思路、可行性，服务方案的合理性、可靠性、完整性，采取的措施及提交的研究成果进行综合评审： 1.总体技术方案非常明确、详尽、合理、规范，针对方案非常合理、可行的，得10分； 2.总体技术方案比较明确、详尽、合理、规范，针对方案比较合理、可行的，得7分； 3.总体技术方案基本明确、合理、规范，针对方案基本合理、可行的，得4分； 4.总体技术方案简单，针对方案不够合理、可行的，得1分； 5.未提供对应方案不得分。</w:t>
            </w:r>
          </w:p>
        </w:tc>
      </w:tr>
      <w:tr>
        <w:tc>
          <w:tcPr>
            <w:tcW w:type="dxa" w:w="922"/>
            <w:gridSpan w:val="2"/>
            <w:vMerge/>
          </w:tcPr>
          <w:p/>
        </w:tc>
        <w:tc>
          <w:tcPr>
            <w:tcW w:type="dxa" w:w="2307"/>
          </w:tcPr>
          <w:p>
            <w:pPr>
              <w:jc w:val="left"/>
            </w:pPr>
            <w:r>
              <w:rPr/>
              <w:t>项目质量、进度保证措施 (5.0分)</w:t>
            </w:r>
            <w:r>
              <w:rPr/>
              <w:t>，（等次分值选择：</w:t>
            </w:r>
            <w:r>
              <w:rPr/>
              <w:t>0.0;</w:t>
            </w:r>
            <w:r>
              <w:rPr/>
              <w:t>1.0;</w:t>
            </w:r>
            <w:r>
              <w:rPr/>
              <w:t>3.0;</w:t>
            </w:r>
            <w:r>
              <w:rPr/>
              <w:t>5.0;</w:t>
            </w:r>
            <w:r>
              <w:rPr/>
              <w:t>）</w:t>
            </w:r>
          </w:p>
        </w:tc>
        <w:tc>
          <w:tcPr>
            <w:tcW w:type="dxa" w:w="5076"/>
          </w:tcPr>
          <w:p>
            <w:pPr>
              <w:jc w:val="left"/>
            </w:pPr>
            <w:r>
              <w:rPr/>
              <w:t>对项目质量、进度保证措施的合理性、具体性及可操作性等进行综合评审： 1.质量、进度保证措施详细、合理、具体可行，可操作性强，得5分； 2.质量、进度保证措施较为详细、合理，但操作有一定难度，得3分； 3.质量、进度保证措施基本合理，但不详细，可操作性不强，得1分； 4.无提供项目进度保证措施，得0分。</w:t>
            </w:r>
          </w:p>
        </w:tc>
      </w:tr>
      <w:tr>
        <w:tc>
          <w:tcPr>
            <w:tcW w:type="dxa" w:w="922"/>
            <w:gridSpan w:val="2"/>
            <w:vMerge/>
          </w:tcPr>
          <w:p/>
        </w:tc>
        <w:tc>
          <w:tcPr>
            <w:tcW w:type="dxa" w:w="2307"/>
          </w:tcPr>
          <w:p>
            <w:pPr>
              <w:jc w:val="left"/>
            </w:pPr>
            <w:r>
              <w:rPr/>
              <w:t>拟投入的本项目的设备情况 (5.0分)</w:t>
            </w:r>
            <w:r>
              <w:rPr/>
              <w:t>，（等次分值选择：</w:t>
            </w:r>
            <w:r>
              <w:rPr/>
              <w:t>0.0;</w:t>
            </w:r>
            <w:r>
              <w:rPr/>
              <w:t>1.0;</w:t>
            </w:r>
            <w:r>
              <w:rPr/>
              <w:t>3.0;</w:t>
            </w:r>
            <w:r>
              <w:rPr/>
              <w:t>5.0;</w:t>
            </w:r>
            <w:r>
              <w:rPr/>
              <w:t>）</w:t>
            </w:r>
          </w:p>
        </w:tc>
        <w:tc>
          <w:tcPr>
            <w:tcW w:type="dxa" w:w="5076"/>
          </w:tcPr>
          <w:p>
            <w:pPr>
              <w:jc w:val="left"/>
            </w:pPr>
            <w:r>
              <w:rPr/>
              <w:t>为保障项目的实施，根据投标人投入本项目测量的主要设备（水准仪、全站仪、高精度GNSS接收机、无人机、无人船等）进行综合评审： 1.提供的设备种类齐全、配套性好、性能先进，得5分； 2.提供的设备种类较齐全、配套性较好、性能较先进，得3分； 3.提供的设备种类少、配套性一般、性能一般，得1分； 4.无提供设备，得0分。</w:t>
            </w:r>
          </w:p>
        </w:tc>
      </w:tr>
      <w:tr>
        <w:tc>
          <w:tcPr>
            <w:tcW w:type="dxa" w:w="922"/>
            <w:gridSpan w:val="2"/>
            <w:vMerge/>
          </w:tcPr>
          <w:p/>
        </w:tc>
        <w:tc>
          <w:tcPr>
            <w:tcW w:type="dxa" w:w="2307"/>
          </w:tcPr>
          <w:p>
            <w:pPr>
              <w:jc w:val="left"/>
            </w:pPr>
            <w:r>
              <w:rPr/>
              <w:t>技术力量 (15.0分)</w:t>
            </w:r>
          </w:p>
        </w:tc>
        <w:tc>
          <w:tcPr>
            <w:tcW w:type="dxa" w:w="5076"/>
          </w:tcPr>
          <w:p>
            <w:pPr>
              <w:jc w:val="left"/>
            </w:pPr>
            <w:r>
              <w:rPr/>
              <w:t>（1）拟投入本项目的项目负责人（仅一人）： 1.具有水工建筑类高级（含）以上职称证书得2分；具有注册土木工程师（水利水电工程）（专业类别：水工结构）证书得2分；本项最高得4分； 2.在投标人本单位以主要完成人（或主要贡献人）获得过省级（含）以上奖项或荣誉或者表彰的得2分，本项最高得2分。 （2）拟投入本项目的专业负责人的专业技术能力进行评审： 1.水工专业负责人（仅一人）具有水工建筑类高级（含）以上职称证书得1分；具有注册土木工程师（水利水电工程）（专业类别：水工结构）证书得1分；本项最高得2分。 2.水文规划专业负责人（仅一人）具有水利规划类高级（含）以上职称证书得1分；具有注册土木工程师（水利水电工程）（专业类别：水利水电工程规划）证书得1分；本项最高得2分。 3.电气专业负责人（仅一人）具有电气类高级（含）以上职称证书得1分；具有注册电气工程师证书得1分；本项最高得2分。 4.测量专业负责人（仅一人）具有水利水电工程测量类高级（含）以上职称证得1分；具有注册测绘师证书得1分；本项最高得2分。 5.地质专业负责人（仅一人）具有地质类高级职称得1分；具备地质中级（含）以上职称的得0.5分；本项最高得1分。 注：须提供以上人员证书及距开标前3个月（不含开标当月）内任意1个月投标人为其缴纳的社保证明复印件加盖投标人公章，否则不得分。（以上人员不重复得分）</w:t>
            </w:r>
          </w:p>
        </w:tc>
      </w:tr>
      <w:tr>
        <w:tc>
          <w:tcPr>
            <w:tcW w:type="dxa" w:w="922"/>
            <w:gridSpan w:val="2"/>
            <w:vMerge/>
          </w:tcPr>
          <w:p/>
        </w:tc>
        <w:tc>
          <w:tcPr>
            <w:tcW w:type="dxa" w:w="2307"/>
          </w:tcPr>
          <w:p>
            <w:pPr>
              <w:jc w:val="left"/>
            </w:pPr>
            <w:r>
              <w:rPr/>
              <w:t>合理化建议 (5.0分)</w:t>
            </w:r>
            <w:r>
              <w:rPr/>
              <w:t>，（等次分值选择：</w:t>
            </w:r>
            <w:r>
              <w:rPr/>
              <w:t>0.0;</w:t>
            </w:r>
            <w:r>
              <w:rPr/>
              <w:t>1.0;</w:t>
            </w:r>
            <w:r>
              <w:rPr/>
              <w:t>3.0;</w:t>
            </w:r>
            <w:r>
              <w:rPr/>
              <w:t>5.0;</w:t>
            </w:r>
            <w:r>
              <w:rPr/>
              <w:t>）</w:t>
            </w:r>
          </w:p>
        </w:tc>
        <w:tc>
          <w:tcPr>
            <w:tcW w:type="dxa" w:w="5076"/>
          </w:tcPr>
          <w:p>
            <w:pPr>
              <w:jc w:val="left"/>
            </w:pPr>
            <w:r>
              <w:rPr/>
              <w:t>根据投标人对本项目提出的合理化建议进行综合评审。 1.能对本项目提出科学的合理化建议，针对性强，得5分。 2.能对本项目提出一定的合理化建议，针对性一般，得3分。 3.对本项目提出的合理化建议针对性差，得1分。  4.无提供合理化建议说明，得0分。</w:t>
            </w:r>
          </w:p>
        </w:tc>
      </w:tr>
      <w:tr>
        <w:tc>
          <w:tcPr>
            <w:tcW w:type="dxa" w:w="922"/>
            <w:gridSpan w:val="2"/>
            <w:vMerge w:val="restart"/>
          </w:tcPr>
          <w:p>
            <w:pPr>
              <w:jc w:val="center"/>
            </w:pPr>
            <w:r>
              <w:rPr/>
              <w:t>商务部分</w:t>
            </w:r>
          </w:p>
        </w:tc>
        <w:tc>
          <w:tcPr>
            <w:tcW w:type="dxa" w:w="2307"/>
          </w:tcPr>
          <w:p>
            <w:pPr>
              <w:jc w:val="left"/>
            </w:pPr>
            <w:r>
              <w:rPr/>
              <w:t>综合实力 (8.0分)</w:t>
            </w:r>
          </w:p>
        </w:tc>
        <w:tc>
          <w:tcPr>
            <w:tcW w:type="dxa" w:w="5076"/>
          </w:tcPr>
          <w:p>
            <w:pPr>
              <w:jc w:val="left"/>
            </w:pPr>
            <w:r>
              <w:rPr/>
              <w:t>投标人具有由国家认证认可监督管理部门批准设立的认证机构颁发并在有效期内的证书: 1.质量管理体系认证证书，得2分；环境管理体系认证证书，得2分；职业健康安全管理体系认证证书，得2分；本项最高得6分。 2.具有测量管理体系认证证书，得2分，本项最高得2 分； 注：须提供证书复印件加盖投标人公章，否则不得分。</w:t>
            </w:r>
          </w:p>
        </w:tc>
      </w:tr>
      <w:tr>
        <w:tc>
          <w:tcPr>
            <w:tcW w:type="dxa" w:w="922"/>
            <w:gridSpan w:val="2"/>
            <w:vMerge/>
          </w:tcPr>
          <w:p/>
        </w:tc>
        <w:tc>
          <w:tcPr>
            <w:tcW w:type="dxa" w:w="2307"/>
          </w:tcPr>
          <w:p>
            <w:pPr>
              <w:jc w:val="left"/>
            </w:pPr>
            <w:r>
              <w:rPr/>
              <w:t>业绩 (20.0分)</w:t>
            </w:r>
          </w:p>
        </w:tc>
        <w:tc>
          <w:tcPr>
            <w:tcW w:type="dxa" w:w="5076"/>
          </w:tcPr>
          <w:p>
            <w:pPr>
              <w:jc w:val="left"/>
            </w:pPr>
            <w:r>
              <w:rPr/>
              <w:t>1.投标人具有泵站（或排站或堤防）安全鉴定(或安全评价)项目业绩的，每提供一个项目合同得2分；本项最高得12分。  2.投标人具有泵站(或排站或堤防)运营项目或泵站（或排站或堤防）管理标准化项目业绩的，每提供一个项目合同得1分；本项最高得8分。  注：须提供项目合同复印件并加盖投标人公章，否则不得分。【单个合同如包含多宗项目泵站（或排站或堤防）的，一个合同按一个项目计算】</w:t>
            </w:r>
          </w:p>
        </w:tc>
      </w:tr>
      <w:tr>
        <w:tc>
          <w:tcPr>
            <w:tcW w:type="dxa" w:w="922"/>
            <w:gridSpan w:val="2"/>
            <w:vMerge/>
          </w:tcPr>
          <w:p/>
        </w:tc>
        <w:tc>
          <w:tcPr>
            <w:tcW w:type="dxa" w:w="2307"/>
          </w:tcPr>
          <w:p>
            <w:pPr>
              <w:jc w:val="left"/>
            </w:pPr>
            <w:r>
              <w:rPr/>
              <w:t>获奖及信誉 (8.0分)</w:t>
            </w:r>
          </w:p>
        </w:tc>
        <w:tc>
          <w:tcPr>
            <w:tcW w:type="dxa" w:w="5076"/>
          </w:tcPr>
          <w:p>
            <w:pPr>
              <w:jc w:val="left"/>
            </w:pPr>
            <w:r>
              <w:rPr/>
              <w:t>投标人承接的水利类项目获得过省级（含）以上奖项（或荣誉或表彰）的，每个得2分，本项最高得8分。 注：须提供奖项（或荣誉）证书或表彰文件复印件并加盖投标人公章，否则不得分。</w:t>
            </w:r>
          </w:p>
        </w:tc>
      </w:tr>
      <w:tr>
        <w:tc>
          <w:tcPr>
            <w:tcW w:type="dxa" w:w="922"/>
            <w:gridSpan w:val="2"/>
            <w:vMerge/>
          </w:tcPr>
          <w:p/>
        </w:tc>
        <w:tc>
          <w:tcPr>
            <w:tcW w:type="dxa" w:w="2307"/>
          </w:tcPr>
          <w:p>
            <w:pPr>
              <w:jc w:val="left"/>
            </w:pPr>
            <w:r>
              <w:rPr/>
              <w:t>服务便利性 (4.0分)</w:t>
            </w:r>
          </w:p>
        </w:tc>
        <w:tc>
          <w:tcPr>
            <w:tcW w:type="dxa" w:w="5076"/>
          </w:tcPr>
          <w:p>
            <w:pPr>
              <w:jc w:val="left"/>
            </w:pPr>
            <w:r>
              <w:rPr/>
              <w:t>根据投标人提供的服务响应时间承诺进行评分： 投标人承诺在接到采购人通知后1小时（含）内到现场，得4分； 投标人承诺在接到采购人通知后2小时（含）内到现场，得2分； 投标人承诺在接到采购人通知后3小时（含）内到现场，得1分； 投标人承诺在接到采购人通知后超过3小时（不含）到现场或不承诺，不得分。 注：投标人需提供服务承诺书并加盖投标人公章，否则不得分。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441900014-2023-00531</w:t>
      </w:r>
    </w:p>
    <w:p>
      <w:pPr>
        <w:jc w:val="center"/>
      </w:pPr>
      <w:r>
        <w:rPr>
          <w:b/>
          <w:sz w:val="24"/>
        </w:rPr>
        <w:t>采购项目编号：</w:t>
      </w:r>
      <w:r>
        <w:rPr>
          <w:b/>
          <w:sz w:val="24"/>
        </w:rPr>
        <w:t>441900014-2023-00531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横沥镇水利工程安全鉴定及标准化管理工作</w:t>
      </w:r>
      <w:r>
        <w:rPr>
          <w:u w:val="single"/>
        </w:rPr>
        <w:t>”</w:t>
      </w:r>
      <w:r>
        <w:rPr/>
        <w:t>项目的招标[采购项目编号为：</w:t>
      </w:r>
      <w:r>
        <w:rPr>
          <w:u w:val="single"/>
        </w:rPr>
        <w:t>441900014-2023-00531</w:t>
      </w:r>
      <w:r>
        <w:rPr/>
        <w:t>]，我方愿参与投标。</w:t>
      </w:r>
    </w:p>
    <w:p>
      <w:pPr>
        <w:ind w:firstLine="480"/>
      </w:pPr>
      <w:r>
        <w:rPr/>
        <w:t>我方确认收到贵方提供的</w:t>
      </w:r>
      <w:r>
        <w:rPr>
          <w:u w:val="single"/>
        </w:rPr>
        <w:t>“</w:t>
      </w:r>
      <w:r>
        <w:rPr>
          <w:u w:val="single"/>
        </w:rPr>
        <w:t>横沥镇水利工程安全鉴定及标准化管理工作</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横沥镇水利工程安全鉴定及标准化管理工作</w:t>
      </w:r>
      <w:r>
        <w:rPr/>
        <w:t>”项目采购[采购项目编号为</w:t>
      </w:r>
      <w:r>
        <w:rPr/>
        <w:t>441900014-2023-00531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东莞市横沥镇水务工程运营中心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横沥镇水利工程安全鉴定及标准化管理工作</w:t>
      </w:r>
      <w:r>
        <w:rPr/>
        <w:t>招标中获中标（采购项目编号：</w:t>
      </w:r>
      <w:r>
        <w:rPr/>
        <w:t>441900014-2023-00531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横沥镇水利工程安全鉴定及标准化管理工作</w:t>
      </w:r>
      <w:r>
        <w:rPr/>
        <w:t>”项目（采购项目编号：</w:t>
      </w:r>
      <w:r>
        <w:rPr/>
        <w:t>441900014-2023-00531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