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lang w:val="en-US" w:eastAsia="zh-CN"/>
        </w:rPr>
        <w:t>国内</w:t>
      </w:r>
      <w:r>
        <w:rPr>
          <w:rFonts w:hint="eastAsia" w:ascii="黑体" w:hAnsi="黑体" w:eastAsia="黑体" w:cs="黑体"/>
          <w:bCs/>
          <w:color w:val="auto"/>
          <w:spacing w:val="57"/>
          <w:sz w:val="72"/>
          <w:szCs w:val="72"/>
          <w:highlight w:val="none"/>
        </w:rPr>
        <w:t>采购</w:t>
      </w:r>
    </w:p>
    <w:p>
      <w:pPr>
        <w:pStyle w:val="8"/>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24"/>
        <w:ind w:left="0" w:firstLine="0" w:firstLineChars="0"/>
        <w:rPr>
          <w:rFonts w:ascii="黑体" w:eastAsia="黑体"/>
          <w:color w:val="auto"/>
          <w:szCs w:val="21"/>
          <w:highlight w:val="none"/>
        </w:rPr>
      </w:pPr>
    </w:p>
    <w:tbl>
      <w:tblPr>
        <w:tblStyle w:val="26"/>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GDZT2023135C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东莞市横沥镇第二幼儿园食材配送项目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东莞市横沥镇教育管理中心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2"/>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pPr>
        <w:pStyle w:val="22"/>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22"/>
        <w:ind w:left="0" w:leftChars="0"/>
        <w:rPr>
          <w:color w:val="auto"/>
          <w:sz w:val="40"/>
          <w:szCs w:val="40"/>
          <w:highlight w:val="none"/>
        </w:rPr>
      </w:pPr>
      <w:r>
        <w:rPr>
          <w:rFonts w:hint="eastAsia"/>
          <w:color w:val="auto"/>
          <w:sz w:val="40"/>
          <w:szCs w:val="40"/>
          <w:highlight w:val="none"/>
        </w:rPr>
        <w:t>目录</w:t>
      </w:r>
    </w:p>
    <w:p>
      <w:pPr>
        <w:pStyle w:val="22"/>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52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八、政府采购投标担保函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84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86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87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5"/>
        <w:jc w:val="center"/>
        <w:rPr>
          <w:rFonts w:ascii="宋体" w:hAnsi="宋体" w:cs="宋体"/>
          <w:color w:val="auto"/>
          <w:highlight w:val="none"/>
        </w:rPr>
      </w:pPr>
      <w:bookmarkStart w:id="2" w:name="_Toc1420"/>
      <w:bookmarkStart w:id="3" w:name="_Toc8850"/>
      <w:bookmarkStart w:id="4" w:name="_Toc7123"/>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东莞市横沥镇教育管理中心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东莞市横沥镇第二幼儿园食材配送项目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w:t>
      </w:r>
      <w:bookmarkStart w:id="390" w:name="_GoBack"/>
      <w:bookmarkEnd w:id="390"/>
      <w:r>
        <w:rPr>
          <w:rFonts w:hint="eastAsia" w:ascii="宋体" w:hAnsi="宋体"/>
          <w:color w:val="auto"/>
          <w:szCs w:val="21"/>
          <w:highlight w:val="none"/>
        </w:rPr>
        <w:t>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GDZT2023135C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lang w:eastAsia="zh-CN"/>
        </w:rPr>
        <w:t>东莞市横沥镇第二幼儿园食材配送项目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5"/>
        <w:tblW w:w="44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483"/>
        <w:gridCol w:w="795"/>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22"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36"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13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022"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东莞市横沥镇第二幼儿园食材配送项目</w:t>
            </w:r>
          </w:p>
        </w:tc>
        <w:tc>
          <w:tcPr>
            <w:tcW w:w="536"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138" w:type="pct"/>
            <w:noWrap/>
            <w:tcMar>
              <w:top w:w="15" w:type="dxa"/>
              <w:left w:w="15" w:type="dxa"/>
              <w:right w:w="15" w:type="dxa"/>
            </w:tcMar>
            <w:vAlign w:val="center"/>
          </w:tcPr>
          <w:p>
            <w:pPr>
              <w:spacing w:line="240" w:lineRule="auto"/>
              <w:jc w:val="center"/>
              <w:textAlignment w:val="center"/>
              <w:rPr>
                <w:rFonts w:hint="default" w:ascii="宋体" w:hAnsi="宋体"/>
                <w:color w:val="auto"/>
                <w:szCs w:val="21"/>
                <w:highlight w:val="none"/>
                <w:lang w:val="en-US"/>
              </w:rPr>
            </w:pPr>
            <w:r>
              <w:rPr>
                <w:rFonts w:hint="eastAsia" w:ascii="宋体" w:hAnsi="宋体"/>
                <w:b/>
                <w:bCs/>
                <w:color w:val="auto"/>
                <w:szCs w:val="21"/>
                <w:highlight w:val="none"/>
                <w:u w:val="single"/>
                <w:lang w:val="en-US" w:eastAsia="zh-CN"/>
              </w:rPr>
              <w:t>840,000.00元</w:t>
            </w:r>
          </w:p>
        </w:tc>
      </w:tr>
    </w:tbl>
    <w:p>
      <w:pPr>
        <w:pStyle w:val="8"/>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shd w:val="clear"/>
        <w:spacing w:after="0" w:line="360" w:lineRule="auto"/>
        <w:ind w:firstLine="411" w:firstLineChars="196"/>
        <w:rPr>
          <w:rFonts w:hint="eastAsia"/>
          <w:color w:val="auto"/>
          <w:highlight w:val="none"/>
          <w:lang w:eastAsia="zh-CN"/>
        </w:rPr>
      </w:pPr>
      <w:r>
        <w:rPr>
          <w:rFonts w:hint="eastAsia"/>
          <w:color w:val="auto"/>
          <w:highlight w:val="none"/>
        </w:rPr>
        <w:t>本项目整体专门面向中小企业采购。投标人须符合本项目采购标的对应行业（本项目行业为：</w:t>
      </w:r>
      <w:r>
        <w:rPr>
          <w:rFonts w:hint="eastAsia"/>
          <w:color w:val="auto"/>
          <w:highlight w:val="none"/>
          <w:lang w:val="en-US" w:eastAsia="zh-CN"/>
        </w:rPr>
        <w:t>批发业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bidi w:val="0"/>
        <w:rPr>
          <w:rFonts w:hint="eastAsia"/>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1、项目公示时间：2023年</w:t>
      </w:r>
      <w:r>
        <w:rPr>
          <w:rFonts w:hint="eastAsia" w:ascii="宋体" w:hAnsi="宋体"/>
          <w:color w:val="auto"/>
          <w:szCs w:val="21"/>
          <w:highlight w:val="none"/>
          <w:lang w:val="en-US" w:eastAsia="zh-CN"/>
        </w:rPr>
        <w:t>7月24日</w:t>
      </w:r>
      <w:r>
        <w:rPr>
          <w:rFonts w:hint="eastAsia" w:ascii="宋体" w:hAnsi="宋体"/>
          <w:color w:val="auto"/>
          <w:szCs w:val="21"/>
          <w:highlight w:val="none"/>
        </w:rPr>
        <w:t>起至2023年</w:t>
      </w:r>
      <w:r>
        <w:rPr>
          <w:rFonts w:hint="eastAsia" w:ascii="宋体" w:hAnsi="宋体"/>
          <w:color w:val="auto"/>
          <w:szCs w:val="21"/>
          <w:highlight w:val="none"/>
          <w:lang w:val="en-US" w:eastAsia="zh-CN"/>
        </w:rPr>
        <w:t>7月31日</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rPr>
        <w:t>2023年</w:t>
      </w:r>
      <w:r>
        <w:rPr>
          <w:rFonts w:hint="eastAsia" w:ascii="宋体" w:hAnsi="宋体"/>
          <w:color w:val="auto"/>
          <w:szCs w:val="21"/>
          <w:highlight w:val="none"/>
          <w:lang w:val="en-US" w:eastAsia="zh-CN"/>
        </w:rPr>
        <w:t>7月24日</w:t>
      </w:r>
      <w:r>
        <w:rPr>
          <w:rFonts w:hint="eastAsia" w:ascii="宋体" w:hAnsi="宋体"/>
          <w:color w:val="auto"/>
          <w:szCs w:val="21"/>
          <w:highlight w:val="none"/>
        </w:rPr>
        <w:t>起至2023年</w:t>
      </w:r>
      <w:r>
        <w:rPr>
          <w:rFonts w:hint="eastAsia" w:ascii="宋体" w:hAnsi="宋体"/>
          <w:color w:val="auto"/>
          <w:szCs w:val="21"/>
          <w:highlight w:val="none"/>
          <w:lang w:val="en-US" w:eastAsia="zh-CN"/>
        </w:rPr>
        <w:t>7月31日</w:t>
      </w:r>
      <w:r>
        <w:rPr>
          <w:rFonts w:hint="eastAsia" w:ascii="宋体" w:hAnsi="宋体"/>
          <w:color w:val="auto"/>
          <w:szCs w:val="21"/>
          <w:highlight w:val="none"/>
        </w:rPr>
        <w:t xml:space="preserve">（节假日除外），上午9：00～12：00，下午14：30～17：30（北京时间）。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w:t>
      </w:r>
      <w:r>
        <w:rPr>
          <w:rFonts w:hint="eastAsia" w:ascii="宋体" w:hAnsi="宋体"/>
          <w:color w:val="auto"/>
          <w:szCs w:val="21"/>
          <w:highlight w:val="none"/>
          <w:lang w:eastAsia="zh-CN"/>
        </w:rPr>
        <w:t>（</w:t>
      </w:r>
      <w:r>
        <w:rPr>
          <w:rFonts w:hint="eastAsia" w:ascii="宋体" w:hAnsi="宋体"/>
          <w:color w:val="auto"/>
          <w:szCs w:val="21"/>
          <w:highlight w:val="none"/>
        </w:rPr>
        <w:t>http://www.zttendering.com/</w:t>
      </w:r>
      <w:r>
        <w:rPr>
          <w:rFonts w:hint="eastAsia" w:ascii="宋体" w:hAnsi="宋体"/>
          <w:color w:val="auto"/>
          <w:szCs w:val="21"/>
          <w:highlight w:val="none"/>
          <w:lang w:eastAsia="zh-CN"/>
        </w:rPr>
        <w:t>）</w:t>
      </w:r>
      <w:r>
        <w:rPr>
          <w:rFonts w:hint="eastAsia" w:ascii="宋体" w:hAnsi="宋体"/>
          <w:color w:val="auto"/>
          <w:szCs w:val="21"/>
          <w:highlight w:val="none"/>
        </w:rPr>
        <w:t>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联系人：</w:t>
      </w:r>
      <w:r>
        <w:rPr>
          <w:rFonts w:hint="eastAsia" w:ascii="宋体" w:hAnsi="宋体"/>
          <w:color w:val="auto"/>
          <w:szCs w:val="21"/>
          <w:highlight w:val="none"/>
          <w:lang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8月14日下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：00～</w:t>
      </w:r>
      <w:r>
        <w:rPr>
          <w:rFonts w:hint="eastAsia" w:ascii="宋体" w:hAnsi="宋体"/>
          <w:bCs/>
          <w:color w:val="auto"/>
          <w:szCs w:val="21"/>
          <w:highlight w:val="none"/>
          <w:lang w:val="en-US" w:eastAsia="zh-CN"/>
        </w:rPr>
        <w:t>14</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8月14日下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赖老师</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东莞市横沥镇</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0769-83733203</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p>
    <w:p>
      <w:pPr>
        <w:pStyle w:val="8"/>
        <w:rPr>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4"/>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5"/>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批发业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
                <w:color w:val="auto"/>
                <w:szCs w:val="21"/>
                <w:highlight w:val="none"/>
                <w:lang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b/>
                <w:color w:val="auto"/>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b/>
                <w:color w:val="auto"/>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 w:val="21"/>
                <w:szCs w:val="21"/>
                <w:highlight w:val="none"/>
                <w:lang w:val="en-US" w:eastAsia="zh-CN"/>
              </w:rPr>
              <w:t>本项目不需提供投标</w:t>
            </w:r>
            <w:r>
              <w:rPr>
                <w:rFonts w:hint="eastAsia" w:ascii="宋体" w:hAnsi="宋体" w:eastAsia="宋体"/>
                <w:b/>
                <w:color w:val="auto"/>
                <w:sz w:val="21"/>
                <w:szCs w:val="21"/>
                <w:highlight w:val="none"/>
              </w:rPr>
              <w:t>保证金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w:t>
            </w: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spacing w:after="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履约保证金形式：采用银行转账或者以专业担保机构、金融机构出具的担保函的形式。</w:t>
            </w:r>
          </w:p>
          <w:p>
            <w:pPr>
              <w:jc w:val="both"/>
              <w:rPr>
                <w:rFonts w:hint="eastAsia" w:ascii="宋体" w:hAnsi="宋体" w:eastAsia="宋体"/>
                <w:b/>
                <w:color w:val="auto"/>
                <w:szCs w:val="21"/>
                <w:highlight w:val="none"/>
                <w:lang w:eastAsia="zh-CN"/>
              </w:rPr>
            </w:pPr>
            <w:r>
              <w:rPr>
                <w:rFonts w:hint="eastAsia" w:ascii="宋体" w:hAnsi="宋体" w:eastAsia="宋体"/>
                <w:color w:val="auto"/>
                <w:sz w:val="21"/>
                <w:szCs w:val="21"/>
                <w:highlight w:val="none"/>
              </w:rPr>
              <w:t>履约保证金账户：采购人指定账户(单位基本账户)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bookmarkStart w:id="8" w:name="_Hlk55300595"/>
      <w:bookmarkStart w:id="9" w:name="_Toc13473"/>
      <w:bookmarkStart w:id="10" w:name="_Toc5749"/>
      <w:bookmarkStart w:id="11" w:name="_Toc9572"/>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4"/>
        <w:spacing w:before="0" w:after="0" w:line="360" w:lineRule="auto"/>
        <w:rPr>
          <w:color w:val="auto"/>
          <w:highlight w:val="none"/>
        </w:rPr>
      </w:pPr>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5"/>
        <w:spacing w:line="240" w:lineRule="auto"/>
        <w:jc w:val="center"/>
        <w:rPr>
          <w:rFonts w:hint="eastAsia"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w:t>
            </w:r>
            <w:r>
              <w:rPr>
                <w:rFonts w:hint="eastAsia" w:asci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51" w:type="dxa"/>
            <w:tcBorders>
              <w:top w:val="single" w:color="auto" w:sz="4" w:space="0"/>
              <w:left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420" w:firstLineChars="20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本项目不进行价格评审。</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40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290" w:type="dxa"/>
            <w:tcBorders>
              <w:top w:val="single" w:color="auto" w:sz="4" w:space="0"/>
              <w:left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投标人实力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投标人具有国家认证认可监督管理部门批准设立的认证机构颁发并在有限期内以下认证证书的，每提供一个认证证书得</w:t>
            </w: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分，本项</w:t>
            </w:r>
            <w:r>
              <w:rPr>
                <w:rFonts w:hint="eastAsia" w:ascii="宋体" w:hAnsi="宋体" w:cs="宋体"/>
                <w:color w:val="auto"/>
                <w:kern w:val="2"/>
                <w:sz w:val="21"/>
                <w:szCs w:val="21"/>
                <w:highlight w:val="none"/>
                <w:lang w:val="en-US" w:eastAsia="zh-CN"/>
              </w:rPr>
              <w:t>满分共16</w:t>
            </w:r>
            <w:r>
              <w:rPr>
                <w:rFonts w:hint="eastAsia" w:ascii="宋体" w:hAnsi="宋体" w:eastAsia="宋体" w:cs="宋体"/>
                <w:color w:val="auto"/>
                <w:kern w:val="2"/>
                <w:sz w:val="21"/>
                <w:szCs w:val="21"/>
                <w:highlight w:val="none"/>
              </w:rPr>
              <w:t>分：</w:t>
            </w:r>
          </w:p>
          <w:p>
            <w:pPr>
              <w:spacing w:line="240" w:lineRule="auto"/>
              <w:ind w:firstLine="420" w:firstLineChars="200"/>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val="en-US" w:eastAsia="zh-CN" w:bidi="ar"/>
              </w:rPr>
              <w:t>1、</w:t>
            </w:r>
            <w:r>
              <w:rPr>
                <w:rFonts w:hint="eastAsia" w:ascii="宋体" w:hAnsi="宋体" w:eastAsia="宋体" w:cs="宋体"/>
                <w:color w:val="auto"/>
                <w:sz w:val="21"/>
                <w:szCs w:val="21"/>
                <w:highlight w:val="none"/>
                <w:lang w:bidi="ar"/>
              </w:rPr>
              <w:t>质量管理体系认证</w:t>
            </w:r>
            <w:r>
              <w:rPr>
                <w:rFonts w:hint="eastAsia" w:ascii="宋体" w:hAnsi="宋体" w:cs="宋体"/>
                <w:color w:val="auto"/>
                <w:sz w:val="21"/>
                <w:szCs w:val="21"/>
                <w:highlight w:val="none"/>
                <w:lang w:eastAsia="zh-CN" w:bidi="ar"/>
              </w:rPr>
              <w:t>；</w:t>
            </w:r>
          </w:p>
          <w:p>
            <w:pPr>
              <w:spacing w:line="240" w:lineRule="auto"/>
              <w:ind w:firstLine="420" w:firstLineChars="200"/>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val="en-US" w:eastAsia="zh-CN" w:bidi="ar"/>
              </w:rPr>
              <w:t>2、</w:t>
            </w:r>
            <w:r>
              <w:rPr>
                <w:rFonts w:hint="eastAsia" w:ascii="宋体" w:hAnsi="宋体" w:eastAsia="宋体" w:cs="宋体"/>
                <w:color w:val="auto"/>
                <w:sz w:val="21"/>
                <w:szCs w:val="21"/>
                <w:highlight w:val="none"/>
                <w:lang w:bidi="ar"/>
              </w:rPr>
              <w:t>环境管理体系认证</w:t>
            </w:r>
            <w:r>
              <w:rPr>
                <w:rFonts w:hint="eastAsia" w:ascii="宋体" w:hAnsi="宋体" w:cs="宋体"/>
                <w:color w:val="auto"/>
                <w:sz w:val="21"/>
                <w:szCs w:val="21"/>
                <w:highlight w:val="none"/>
                <w:lang w:eastAsia="zh-CN" w:bidi="ar"/>
              </w:rPr>
              <w:t>；</w:t>
            </w:r>
          </w:p>
          <w:p>
            <w:pPr>
              <w:spacing w:line="240" w:lineRule="auto"/>
              <w:ind w:firstLine="420" w:firstLineChars="200"/>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val="en-US" w:eastAsia="zh-CN" w:bidi="ar"/>
              </w:rPr>
              <w:t>3、</w:t>
            </w:r>
            <w:r>
              <w:rPr>
                <w:rFonts w:hint="eastAsia" w:ascii="宋体" w:hAnsi="宋体" w:eastAsia="宋体" w:cs="宋体"/>
                <w:color w:val="auto"/>
                <w:sz w:val="21"/>
                <w:szCs w:val="21"/>
                <w:highlight w:val="none"/>
                <w:lang w:bidi="ar"/>
              </w:rPr>
              <w:fldChar w:fldCharType="begin"/>
            </w:r>
            <w:r>
              <w:rPr>
                <w:rFonts w:hint="eastAsia" w:ascii="宋体" w:hAnsi="宋体" w:eastAsia="宋体" w:cs="宋体"/>
                <w:color w:val="auto"/>
                <w:sz w:val="21"/>
                <w:szCs w:val="21"/>
                <w:highlight w:val="none"/>
                <w:lang w:bidi="ar"/>
              </w:rPr>
              <w:instrText xml:space="preserve"> HYPERLINK "https://baike.baidu.com/item/%E9%A3%9F%E5%93%81%E5%AE%89%E5%85%A8%E7%AE%A1%E7%90%86" \t "https://baike.baidu.com/item/_blank" </w:instrText>
            </w:r>
            <w:r>
              <w:rPr>
                <w:rFonts w:hint="eastAsia" w:ascii="宋体" w:hAnsi="宋体" w:eastAsia="宋体" w:cs="宋体"/>
                <w:color w:val="auto"/>
                <w:sz w:val="21"/>
                <w:szCs w:val="21"/>
                <w:highlight w:val="none"/>
                <w:lang w:bidi="ar"/>
              </w:rPr>
              <w:fldChar w:fldCharType="separate"/>
            </w:r>
            <w:r>
              <w:rPr>
                <w:rFonts w:hint="eastAsia" w:ascii="宋体" w:hAnsi="宋体" w:eastAsia="宋体" w:cs="宋体"/>
                <w:color w:val="auto"/>
                <w:sz w:val="21"/>
                <w:szCs w:val="21"/>
                <w:highlight w:val="none"/>
                <w:lang w:bidi="ar"/>
              </w:rPr>
              <w:t>食品安全管理</w:t>
            </w:r>
            <w:r>
              <w:rPr>
                <w:rFonts w:hint="eastAsia" w:ascii="宋体" w:hAnsi="宋体" w:eastAsia="宋体" w:cs="宋体"/>
                <w:color w:val="auto"/>
                <w:sz w:val="21"/>
                <w:szCs w:val="21"/>
                <w:highlight w:val="none"/>
                <w:lang w:bidi="ar"/>
              </w:rPr>
              <w:fldChar w:fldCharType="end"/>
            </w:r>
            <w:r>
              <w:rPr>
                <w:rFonts w:hint="eastAsia" w:ascii="宋体" w:hAnsi="宋体" w:eastAsia="宋体" w:cs="宋体"/>
                <w:color w:val="auto"/>
                <w:sz w:val="21"/>
                <w:szCs w:val="21"/>
                <w:highlight w:val="none"/>
                <w:lang w:bidi="ar"/>
              </w:rPr>
              <w:t>体系认证</w:t>
            </w:r>
            <w:r>
              <w:rPr>
                <w:rFonts w:hint="eastAsia" w:ascii="宋体" w:hAnsi="宋体" w:cs="宋体"/>
                <w:color w:val="auto"/>
                <w:sz w:val="21"/>
                <w:szCs w:val="21"/>
                <w:highlight w:val="none"/>
                <w:lang w:eastAsia="zh-CN" w:bidi="ar"/>
              </w:rPr>
              <w:t>；</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cs="宋体"/>
                <w:color w:val="auto"/>
                <w:sz w:val="21"/>
                <w:szCs w:val="21"/>
                <w:highlight w:val="none"/>
                <w:lang w:val="en-US" w:eastAsia="zh-CN" w:bidi="ar"/>
              </w:rPr>
              <w:t>4、</w:t>
            </w:r>
            <w:r>
              <w:rPr>
                <w:rFonts w:hint="eastAsia" w:ascii="宋体" w:hAnsi="宋体" w:eastAsia="宋体" w:cs="宋体"/>
                <w:color w:val="auto"/>
                <w:sz w:val="21"/>
                <w:szCs w:val="21"/>
                <w:highlight w:val="none"/>
                <w:lang w:bidi="ar"/>
              </w:rPr>
              <w:t>职业健康安全管理体系认证。</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kern w:val="2"/>
                <w:sz w:val="21"/>
                <w:szCs w:val="21"/>
                <w:highlight w:val="none"/>
              </w:rPr>
              <w:t>注：须提供认证证书复印件加盖投标人公章</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投标人自2017年1月1日至今（以合同签订时间为准），具有食堂食材配送项目业绩</w:t>
            </w:r>
            <w:r>
              <w:rPr>
                <w:rFonts w:hint="eastAsia" w:ascii="宋体" w:hAnsi="宋体" w:cs="宋体"/>
                <w:color w:val="auto"/>
                <w:sz w:val="21"/>
                <w:szCs w:val="21"/>
                <w:highlight w:val="none"/>
                <w:lang w:val="en-US" w:eastAsia="zh-CN" w:bidi="ar"/>
              </w:rPr>
              <w:t>的，</w:t>
            </w:r>
            <w:r>
              <w:rPr>
                <w:rFonts w:hint="eastAsia" w:ascii="宋体" w:hAnsi="宋体" w:eastAsia="宋体" w:cs="宋体"/>
                <w:color w:val="auto"/>
                <w:sz w:val="21"/>
                <w:szCs w:val="21"/>
                <w:highlight w:val="none"/>
                <w:lang w:bidi="ar"/>
              </w:rPr>
              <w:t>每</w:t>
            </w:r>
            <w:r>
              <w:rPr>
                <w:rFonts w:hint="eastAsia" w:ascii="宋体" w:hAnsi="宋体" w:cs="宋体"/>
                <w:color w:val="auto"/>
                <w:sz w:val="21"/>
                <w:szCs w:val="21"/>
                <w:highlight w:val="none"/>
                <w:lang w:val="en-US" w:eastAsia="zh-CN" w:bidi="ar"/>
              </w:rPr>
              <w:t>提供一</w:t>
            </w:r>
            <w:r>
              <w:rPr>
                <w:rFonts w:hint="eastAsia" w:ascii="宋体" w:hAnsi="宋体" w:eastAsia="宋体" w:cs="宋体"/>
                <w:color w:val="auto"/>
                <w:sz w:val="21"/>
                <w:szCs w:val="21"/>
                <w:highlight w:val="none"/>
                <w:lang w:bidi="ar"/>
              </w:rPr>
              <w:t>个</w:t>
            </w:r>
            <w:r>
              <w:rPr>
                <w:rFonts w:hint="eastAsia" w:ascii="宋体" w:hAnsi="宋体" w:cs="宋体"/>
                <w:color w:val="auto"/>
                <w:sz w:val="21"/>
                <w:szCs w:val="21"/>
                <w:highlight w:val="none"/>
                <w:lang w:val="en-US" w:eastAsia="zh-CN" w:bidi="ar"/>
              </w:rPr>
              <w:t>业绩合同</w:t>
            </w:r>
            <w:r>
              <w:rPr>
                <w:rFonts w:hint="eastAsia" w:ascii="宋体" w:hAnsi="宋体" w:eastAsia="宋体" w:cs="宋体"/>
                <w:color w:val="auto"/>
                <w:sz w:val="21"/>
                <w:szCs w:val="21"/>
                <w:highlight w:val="none"/>
                <w:lang w:bidi="ar"/>
              </w:rPr>
              <w:t>得4分，满分20分。</w:t>
            </w:r>
          </w:p>
          <w:p>
            <w:pPr>
              <w:spacing w:line="240" w:lineRule="auto"/>
              <w:ind w:firstLine="420" w:firstLineChars="200"/>
              <w:rPr>
                <w:rFonts w:hint="eastAsia" w:ascii="宋体" w:hAnsi="宋体" w:eastAsia="宋体" w:cs="宋体"/>
                <w:color w:val="auto"/>
                <w:sz w:val="21"/>
                <w:szCs w:val="21"/>
                <w:highlight w:val="none"/>
                <w:lang w:val="zh-CN" w:bidi="ar"/>
              </w:rPr>
            </w:pPr>
            <w:r>
              <w:rPr>
                <w:rFonts w:hint="eastAsia" w:ascii="宋体" w:hAnsi="宋体" w:cs="宋体"/>
                <w:color w:val="auto"/>
                <w:sz w:val="21"/>
                <w:szCs w:val="21"/>
                <w:highlight w:val="none"/>
                <w:lang w:val="en-US" w:eastAsia="zh-CN" w:bidi="ar"/>
              </w:rPr>
              <w:t>注：</w:t>
            </w:r>
            <w:r>
              <w:rPr>
                <w:rFonts w:hint="eastAsia" w:ascii="宋体" w:hAnsi="宋体" w:eastAsia="宋体" w:cs="宋体"/>
                <w:color w:val="auto"/>
                <w:sz w:val="21"/>
                <w:szCs w:val="21"/>
                <w:highlight w:val="none"/>
              </w:rPr>
              <w:t>以上业绩须提供项目合同复印件</w:t>
            </w:r>
            <w:r>
              <w:rPr>
                <w:rFonts w:hint="eastAsia" w:ascii="宋体" w:hAnsi="宋体" w:cs="宋体"/>
                <w:color w:val="auto"/>
                <w:sz w:val="21"/>
                <w:szCs w:val="21"/>
                <w:highlight w:val="none"/>
                <w:lang w:val="en-US" w:eastAsia="zh-CN"/>
              </w:rPr>
              <w:t>及</w:t>
            </w:r>
            <w:r>
              <w:rPr>
                <w:rFonts w:hint="eastAsia" w:ascii="宋体" w:hAnsi="宋体" w:eastAsia="宋体" w:cs="宋体"/>
                <w:color w:val="auto"/>
                <w:sz w:val="21"/>
                <w:szCs w:val="21"/>
                <w:highlight w:val="none"/>
              </w:rPr>
              <w:t>服务期内任意一个月的发票</w:t>
            </w:r>
            <w:r>
              <w:rPr>
                <w:rFonts w:hint="eastAsia" w:ascii="宋体" w:hAnsi="宋体" w:cs="宋体"/>
                <w:color w:val="auto"/>
                <w:sz w:val="21"/>
                <w:szCs w:val="21"/>
                <w:highlight w:val="none"/>
                <w:lang w:val="en-US" w:eastAsia="zh-CN"/>
              </w:rPr>
              <w:t>复印件</w:t>
            </w:r>
            <w:r>
              <w:rPr>
                <w:rFonts w:hint="eastAsia" w:ascii="宋体" w:hAnsi="宋体" w:eastAsia="宋体" w:cs="宋体"/>
                <w:color w:val="auto"/>
                <w:sz w:val="21"/>
                <w:szCs w:val="21"/>
                <w:highlight w:val="none"/>
              </w:rPr>
              <w:t>加盖投标人公章，</w:t>
            </w:r>
            <w:r>
              <w:rPr>
                <w:rFonts w:hint="eastAsia" w:ascii="宋体" w:hAnsi="宋体" w:cs="宋体"/>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3</w:t>
            </w:r>
          </w:p>
        </w:tc>
        <w:tc>
          <w:tcPr>
            <w:tcW w:w="1290" w:type="dxa"/>
            <w:tcBorders>
              <w:top w:val="single" w:color="auto" w:sz="4" w:space="0"/>
              <w:left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bCs/>
                <w:color w:val="auto"/>
                <w:szCs w:val="21"/>
                <w:highlight w:val="none"/>
                <w:lang w:val="pt-BR"/>
              </w:rPr>
              <w:t>根据投标人提供的服务响应时间承诺进行评审：</w:t>
            </w:r>
          </w:p>
          <w:p>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color w:val="auto"/>
                <w:szCs w:val="21"/>
                <w:highlight w:val="none"/>
                <w:lang w:bidi="ar"/>
              </w:rPr>
              <w:t>①</w:t>
            </w:r>
            <w:r>
              <w:rPr>
                <w:rFonts w:hint="eastAsia" w:ascii="宋体" w:hAnsi="宋体" w:cs="宋体"/>
                <w:bCs/>
                <w:color w:val="auto"/>
                <w:szCs w:val="21"/>
                <w:highlight w:val="none"/>
                <w:lang w:val="pt-BR"/>
              </w:rPr>
              <w:t>投标人承诺在接到采购人通知后</w:t>
            </w:r>
            <w:r>
              <w:rPr>
                <w:rFonts w:hint="eastAsia" w:ascii="宋体" w:hAnsi="宋体" w:cs="宋体"/>
                <w:bCs/>
                <w:color w:val="auto"/>
                <w:szCs w:val="21"/>
                <w:highlight w:val="none"/>
                <w:lang w:val="en-US" w:eastAsia="zh-CN"/>
              </w:rPr>
              <w:t>1小时</w:t>
            </w:r>
            <w:r>
              <w:rPr>
                <w:rFonts w:hint="eastAsia" w:ascii="宋体" w:hAnsi="宋体" w:cs="宋体"/>
                <w:bCs/>
                <w:color w:val="auto"/>
                <w:szCs w:val="21"/>
                <w:highlight w:val="none"/>
              </w:rPr>
              <w:t>（含）</w:t>
            </w:r>
            <w:r>
              <w:rPr>
                <w:rFonts w:hint="eastAsia" w:ascii="宋体" w:hAnsi="宋体" w:cs="宋体"/>
                <w:bCs/>
                <w:color w:val="auto"/>
                <w:szCs w:val="21"/>
                <w:highlight w:val="none"/>
                <w:lang w:val="pt-BR"/>
              </w:rPr>
              <w:t>内到现场，得</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lang w:val="pt-BR"/>
              </w:rPr>
              <w:t>分；</w:t>
            </w:r>
          </w:p>
          <w:p>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color w:val="auto"/>
                <w:szCs w:val="21"/>
                <w:highlight w:val="none"/>
                <w:lang w:bidi="ar"/>
              </w:rPr>
              <w:t>②</w:t>
            </w:r>
            <w:r>
              <w:rPr>
                <w:rFonts w:hint="eastAsia" w:ascii="宋体" w:hAnsi="宋体" w:cs="宋体"/>
                <w:bCs/>
                <w:color w:val="auto"/>
                <w:szCs w:val="21"/>
                <w:highlight w:val="none"/>
                <w:lang w:val="pt-BR"/>
              </w:rPr>
              <w:t>投标人承诺在接到采购人通知后</w:t>
            </w:r>
            <w:r>
              <w:rPr>
                <w:rFonts w:hint="eastAsia" w:ascii="宋体" w:hAnsi="宋体" w:cs="宋体"/>
                <w:bCs/>
                <w:color w:val="auto"/>
                <w:szCs w:val="21"/>
                <w:highlight w:val="none"/>
                <w:lang w:val="en-US" w:eastAsia="zh-CN"/>
              </w:rPr>
              <w:t>2小时</w:t>
            </w:r>
            <w:r>
              <w:rPr>
                <w:rFonts w:hint="eastAsia" w:ascii="宋体" w:hAnsi="宋体" w:cs="宋体"/>
                <w:bCs/>
                <w:color w:val="auto"/>
                <w:szCs w:val="21"/>
                <w:highlight w:val="none"/>
              </w:rPr>
              <w:t>（含）</w:t>
            </w:r>
            <w:r>
              <w:rPr>
                <w:rFonts w:hint="eastAsia" w:ascii="宋体" w:hAnsi="宋体" w:cs="宋体"/>
                <w:bCs/>
                <w:color w:val="auto"/>
                <w:szCs w:val="21"/>
                <w:highlight w:val="none"/>
                <w:lang w:val="pt-BR"/>
              </w:rPr>
              <w:t>内到现场，得</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lang w:val="pt-BR"/>
              </w:rPr>
              <w:t>分；</w:t>
            </w:r>
          </w:p>
          <w:p>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color w:val="auto"/>
                <w:szCs w:val="21"/>
                <w:highlight w:val="none"/>
                <w:lang w:bidi="ar"/>
              </w:rPr>
              <w:t>③</w:t>
            </w:r>
            <w:r>
              <w:rPr>
                <w:rFonts w:hint="eastAsia" w:ascii="宋体" w:hAnsi="宋体" w:cs="宋体"/>
                <w:bCs/>
                <w:color w:val="auto"/>
                <w:szCs w:val="21"/>
                <w:highlight w:val="none"/>
                <w:lang w:val="pt-BR"/>
              </w:rPr>
              <w:t>投标人承诺在接到采购人通知后</w:t>
            </w:r>
            <w:r>
              <w:rPr>
                <w:rFonts w:hint="eastAsia" w:ascii="宋体" w:hAnsi="宋体" w:cs="宋体"/>
                <w:bCs/>
                <w:color w:val="auto"/>
                <w:szCs w:val="21"/>
                <w:highlight w:val="none"/>
                <w:lang w:val="en-US" w:eastAsia="zh-CN"/>
              </w:rPr>
              <w:t>3小时</w:t>
            </w:r>
            <w:r>
              <w:rPr>
                <w:rFonts w:hint="eastAsia" w:ascii="宋体" w:hAnsi="宋体" w:cs="宋体"/>
                <w:bCs/>
                <w:color w:val="auto"/>
                <w:szCs w:val="21"/>
                <w:highlight w:val="none"/>
              </w:rPr>
              <w:t>（含）</w:t>
            </w:r>
            <w:r>
              <w:rPr>
                <w:rFonts w:hint="eastAsia" w:ascii="宋体" w:hAnsi="宋体" w:cs="宋体"/>
                <w:bCs/>
                <w:color w:val="auto"/>
                <w:szCs w:val="21"/>
                <w:highlight w:val="none"/>
                <w:lang w:val="pt-BR"/>
              </w:rPr>
              <w:t>内到现场，得1分；</w:t>
            </w:r>
          </w:p>
          <w:p>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color w:val="auto"/>
                <w:szCs w:val="21"/>
                <w:highlight w:val="none"/>
                <w:lang w:bidi="ar"/>
              </w:rPr>
              <w:t>④</w:t>
            </w:r>
            <w:r>
              <w:rPr>
                <w:rFonts w:hint="eastAsia" w:ascii="宋体" w:hAnsi="宋体" w:cs="宋体"/>
                <w:bCs/>
                <w:color w:val="auto"/>
                <w:szCs w:val="21"/>
                <w:highlight w:val="none"/>
                <w:lang w:val="en-US" w:eastAsia="zh-CN"/>
              </w:rPr>
              <w:t>其他情况</w:t>
            </w:r>
            <w:r>
              <w:rPr>
                <w:rFonts w:hint="eastAsia" w:ascii="宋体" w:hAnsi="宋体" w:cs="宋体"/>
                <w:bCs/>
                <w:color w:val="auto"/>
                <w:szCs w:val="21"/>
                <w:highlight w:val="none"/>
                <w:lang w:val="pt-BR"/>
              </w:rPr>
              <w:t>，不得分。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cs="宋体"/>
                <w:bCs/>
                <w:color w:val="auto"/>
                <w:szCs w:val="21"/>
                <w:highlight w:val="none"/>
                <w:lang w:val="pt-BR"/>
              </w:rPr>
              <w:t>注：须提供承诺书并加盖投标人公章，否则不得分。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60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总体实施方案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cs="宋体"/>
                <w:color w:val="auto"/>
                <w:sz w:val="21"/>
                <w:szCs w:val="21"/>
                <w:highlight w:val="none"/>
                <w:lang w:val="en-US" w:eastAsia="zh-CN" w:bidi="ar"/>
              </w:rPr>
              <w:t>根据投标人提供的</w:t>
            </w:r>
            <w:r>
              <w:rPr>
                <w:rFonts w:hint="eastAsia" w:ascii="宋体" w:hAnsi="宋体" w:eastAsia="宋体" w:cs="宋体"/>
                <w:color w:val="auto"/>
                <w:sz w:val="21"/>
                <w:szCs w:val="21"/>
                <w:highlight w:val="none"/>
                <w:lang w:bidi="ar"/>
              </w:rPr>
              <w:t>所有涉及本项目配送服务的各方面方案，包括货源、采购渠道、供货保障、品质监控、日常管理组织、应急预案、物流配送方案及各种规章制度等，进行综合</w:t>
            </w:r>
            <w:r>
              <w:rPr>
                <w:rFonts w:hint="eastAsia" w:ascii="宋体" w:hAnsi="宋体" w:cs="宋体"/>
                <w:color w:val="auto"/>
                <w:sz w:val="21"/>
                <w:szCs w:val="21"/>
                <w:highlight w:val="none"/>
                <w:lang w:val="en-US" w:eastAsia="zh-CN" w:bidi="ar"/>
              </w:rPr>
              <w:t>评价</w:t>
            </w:r>
            <w:r>
              <w:rPr>
                <w:rFonts w:hint="eastAsia" w:ascii="宋体" w:hAnsi="宋体" w:eastAsia="宋体" w:cs="宋体"/>
                <w:color w:val="auto"/>
                <w:sz w:val="21"/>
                <w:szCs w:val="21"/>
                <w:highlight w:val="none"/>
                <w:lang w:bidi="ar"/>
              </w:rPr>
              <w:t>：</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配送服务的各方面方案完整齐全，科学合理，可行性强的，得14分；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配送服务的各方面方案完整，科学合理，可行性较强的，得10分；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配送服务的各方面方案基本完整，科学合理，可行性一般的，得6分；</w:t>
            </w:r>
          </w:p>
          <w:p>
            <w:pPr>
              <w:spacing w:line="240" w:lineRule="auto"/>
              <w:ind w:firstLine="420" w:firstLineChars="200"/>
              <w:rPr>
                <w:rFonts w:hint="eastAsia" w:ascii="宋体" w:hAnsi="宋体" w:cs="宋体"/>
                <w:color w:val="auto"/>
                <w:sz w:val="21"/>
                <w:szCs w:val="21"/>
                <w:highlight w:val="none"/>
                <w:lang w:eastAsia="zh-CN" w:bidi="ar"/>
              </w:rPr>
            </w:pPr>
            <w:r>
              <w:rPr>
                <w:rFonts w:hint="eastAsia" w:ascii="宋体" w:hAnsi="宋体" w:eastAsia="宋体" w:cs="宋体"/>
                <w:color w:val="auto"/>
                <w:sz w:val="21"/>
                <w:szCs w:val="21"/>
                <w:highlight w:val="none"/>
                <w:lang w:bidi="ar"/>
              </w:rPr>
              <w:t>配送服务的各方面方案不完整，不合理，可行性差的，得2分</w:t>
            </w:r>
            <w:r>
              <w:rPr>
                <w:rFonts w:hint="eastAsia" w:ascii="宋体" w:hAnsi="宋体" w:cs="宋体"/>
                <w:color w:val="auto"/>
                <w:sz w:val="21"/>
                <w:szCs w:val="21"/>
                <w:highlight w:val="none"/>
                <w:lang w:eastAsia="zh-CN" w:bidi="ar"/>
              </w:rPr>
              <w:t>；</w:t>
            </w:r>
          </w:p>
          <w:p>
            <w:pPr>
              <w:spacing w:line="240" w:lineRule="auto"/>
              <w:ind w:firstLine="420" w:firstLineChars="200"/>
              <w:rPr>
                <w:rFonts w:hint="default" w:ascii="宋体" w:hAnsi="宋体" w:eastAsia="宋体" w:cs="宋体"/>
                <w:color w:val="auto"/>
                <w:sz w:val="21"/>
                <w:szCs w:val="21"/>
                <w:highlight w:val="none"/>
                <w:lang w:val="en-US" w:eastAsia="zh-CN" w:bidi="ar"/>
              </w:rPr>
            </w:pPr>
            <w:r>
              <w:rPr>
                <w:rFonts w:hint="eastAsia" w:ascii="宋体" w:hAnsi="宋体" w:cs="宋体"/>
                <w:color w:val="auto"/>
                <w:sz w:val="21"/>
                <w:szCs w:val="21"/>
                <w:highlight w:val="none"/>
                <w:lang w:val="en-US" w:eastAsia="zh-CN" w:bidi="ar"/>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质量安全保障措施</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根据投标人食物卫生、安全的标准、控制措施、质量保障措施等进行综合评价：</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质量、卫生、安全保障措施方案科学合理，可行性强的，得10分；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良质量、卫生、安全保障措施方案科学合理，可行性较强的，得7分；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质量、卫生、安全保障措施方案基本完整，科学合理，可行性一般的，得4分；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质量、卫生、安全保障措施方案不完整，不合理，可行性差的，得1分。</w:t>
            </w:r>
          </w:p>
          <w:p>
            <w:pPr>
              <w:spacing w:line="240" w:lineRule="auto"/>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cs="宋体"/>
                <w:color w:val="auto"/>
                <w:sz w:val="21"/>
                <w:szCs w:val="21"/>
                <w:highlight w:val="none"/>
                <w:lang w:val="en-US" w:eastAsia="zh-CN" w:bidi="ar"/>
              </w:rPr>
              <w:t>未提供</w:t>
            </w:r>
            <w:r>
              <w:rPr>
                <w:rFonts w:hint="eastAsia" w:ascii="宋体" w:hAnsi="宋体" w:eastAsia="宋体" w:cs="宋体"/>
                <w:color w:val="auto"/>
                <w:sz w:val="21"/>
                <w:szCs w:val="21"/>
                <w:highlight w:val="none"/>
              </w:rPr>
              <w:t>质量安全保障措施</w:t>
            </w:r>
            <w:r>
              <w:rPr>
                <w:rFonts w:hint="eastAsia" w:ascii="宋体" w:hAnsi="宋体" w:eastAsia="宋体" w:cs="宋体"/>
                <w:color w:val="auto"/>
                <w:sz w:val="21"/>
                <w:szCs w:val="21"/>
                <w:highlight w:val="none"/>
                <w:lang w:val="en-US" w:eastAsia="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检测设备</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根据投标人投入本项目的食材检测设备情况进行综合评价：</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设备配置齐全、合理、先进、科学，得5分；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设备配置齐全、基本合理，得3分；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设备配置不完整，得1分；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无检测设备不得分。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人员组织架构</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根据投标人提供的人员管理架构、岗位人员配备、岗位制度、服务人员综合素质、培训及考核方案等进行综合评价：</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方案完整合理、可行性强，得10分；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方案完整、可行性一般，得7分；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方案基本完整、可行性较差，得4分；</w:t>
            </w:r>
          </w:p>
          <w:p>
            <w:pPr>
              <w:spacing w:line="240" w:lineRule="auto"/>
              <w:ind w:firstLine="420" w:firstLineChars="200"/>
              <w:rPr>
                <w:rFonts w:hint="eastAsia" w:ascii="宋体" w:hAnsi="宋体" w:cs="宋体"/>
                <w:color w:val="auto"/>
                <w:sz w:val="21"/>
                <w:szCs w:val="21"/>
                <w:highlight w:val="none"/>
                <w:lang w:eastAsia="zh-CN" w:bidi="ar"/>
              </w:rPr>
            </w:pPr>
            <w:r>
              <w:rPr>
                <w:rFonts w:hint="eastAsia" w:ascii="宋体" w:hAnsi="宋体" w:eastAsia="宋体" w:cs="宋体"/>
                <w:color w:val="auto"/>
                <w:sz w:val="21"/>
                <w:szCs w:val="21"/>
                <w:highlight w:val="none"/>
                <w:lang w:bidi="ar"/>
              </w:rPr>
              <w:t>方案缺漏较多，可行性差或未提供方案，得1分</w:t>
            </w:r>
            <w:r>
              <w:rPr>
                <w:rFonts w:hint="eastAsia" w:ascii="宋体" w:hAnsi="宋体" w:cs="宋体"/>
                <w:color w:val="auto"/>
                <w:sz w:val="21"/>
                <w:szCs w:val="21"/>
                <w:highlight w:val="none"/>
                <w:lang w:eastAsia="zh-CN" w:bidi="ar"/>
              </w:rPr>
              <w:t>；</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cs="宋体"/>
                <w:color w:val="auto"/>
                <w:sz w:val="21"/>
                <w:szCs w:val="21"/>
                <w:highlight w:val="none"/>
                <w:lang w:val="en-US" w:eastAsia="zh-CN" w:bidi="ar"/>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拟投入配送车辆情况</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投标人投入本项目的配送车辆（含冷链配送车辆）自有的每辆得3分，租赁的每辆得1分，满分6分。</w:t>
            </w:r>
          </w:p>
          <w:p>
            <w:pPr>
              <w:spacing w:line="240" w:lineRule="auto"/>
              <w:ind w:firstLine="420" w:firstLineChars="200"/>
              <w:rPr>
                <w:rFonts w:hint="eastAsia" w:ascii="宋体" w:hAnsi="宋体" w:eastAsia="宋体" w:cs="宋体"/>
                <w:color w:val="auto"/>
                <w:sz w:val="21"/>
                <w:szCs w:val="21"/>
                <w:highlight w:val="none"/>
                <w:lang w:val="zh-CN" w:bidi="ar"/>
              </w:rPr>
            </w:pPr>
            <w:r>
              <w:rPr>
                <w:rFonts w:hint="eastAsia" w:ascii="宋体" w:hAnsi="宋体" w:eastAsia="宋体" w:cs="宋体"/>
                <w:color w:val="auto"/>
                <w:sz w:val="21"/>
                <w:szCs w:val="21"/>
                <w:highlight w:val="none"/>
                <w:lang w:bidi="ar"/>
              </w:rPr>
              <w:t>注：自有车辆需提供车辆行驶证复印件（车辆所有人为投标人或其法人）</w:t>
            </w:r>
            <w:r>
              <w:rPr>
                <w:rFonts w:hint="eastAsia" w:ascii="宋体" w:hAnsi="宋体" w:cs="宋体"/>
                <w:color w:val="auto"/>
                <w:sz w:val="21"/>
                <w:szCs w:val="21"/>
                <w:highlight w:val="none"/>
                <w:lang w:val="en-US" w:eastAsia="zh-CN" w:bidi="ar"/>
              </w:rPr>
              <w:t>加盖公章</w:t>
            </w:r>
            <w:r>
              <w:rPr>
                <w:rFonts w:hint="eastAsia" w:ascii="宋体" w:hAnsi="宋体" w:eastAsia="宋体" w:cs="宋体"/>
                <w:color w:val="auto"/>
                <w:sz w:val="21"/>
                <w:szCs w:val="21"/>
                <w:highlight w:val="none"/>
                <w:lang w:bidi="ar"/>
              </w:rPr>
              <w:t>；租赁配送车辆需提供车辆租赁合同及车辆行驶证复印件</w:t>
            </w:r>
            <w:r>
              <w:rPr>
                <w:rFonts w:hint="eastAsia" w:ascii="宋体" w:hAnsi="宋体" w:cs="宋体"/>
                <w:color w:val="auto"/>
                <w:sz w:val="21"/>
                <w:szCs w:val="21"/>
                <w:highlight w:val="none"/>
                <w:lang w:val="en-US" w:eastAsia="zh-CN" w:bidi="ar"/>
              </w:rPr>
              <w:t>加盖公章</w:t>
            </w:r>
            <w:r>
              <w:rPr>
                <w:rFonts w:hint="eastAsia" w:ascii="宋体" w:hAnsi="宋体" w:eastAsia="宋体" w:cs="宋体"/>
                <w:color w:val="auto"/>
                <w:sz w:val="21"/>
                <w:szCs w:val="21"/>
                <w:highlight w:val="none"/>
                <w:lang w:bidi="ar"/>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应急预案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根据投标人出现紧急事件的处理预案进行综合评价：</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方案完整合理、可行性强，得5分；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方案完整、可行性一般，得3分；</w:t>
            </w:r>
          </w:p>
          <w:p>
            <w:pPr>
              <w:spacing w:line="240" w:lineRule="auto"/>
              <w:ind w:firstLine="420" w:firstLineChars="200"/>
              <w:rPr>
                <w:rFonts w:hint="eastAsia" w:ascii="宋体" w:hAnsi="宋体" w:cs="宋体"/>
                <w:color w:val="auto"/>
                <w:sz w:val="21"/>
                <w:szCs w:val="21"/>
                <w:highlight w:val="none"/>
                <w:lang w:eastAsia="zh-CN" w:bidi="ar"/>
              </w:rPr>
            </w:pPr>
            <w:r>
              <w:rPr>
                <w:rFonts w:hint="eastAsia" w:ascii="宋体" w:hAnsi="宋体" w:eastAsia="宋体" w:cs="宋体"/>
                <w:color w:val="auto"/>
                <w:sz w:val="21"/>
                <w:szCs w:val="21"/>
                <w:highlight w:val="none"/>
                <w:lang w:bidi="ar"/>
              </w:rPr>
              <w:t>方案基本完整、可行性较差，得1分</w:t>
            </w:r>
            <w:r>
              <w:rPr>
                <w:rFonts w:hint="eastAsia" w:ascii="宋体" w:hAnsi="宋体" w:cs="宋体"/>
                <w:color w:val="auto"/>
                <w:sz w:val="21"/>
                <w:szCs w:val="21"/>
                <w:highlight w:val="none"/>
                <w:lang w:eastAsia="zh-CN" w:bidi="ar"/>
              </w:rPr>
              <w:t>；</w:t>
            </w:r>
          </w:p>
          <w:p>
            <w:pPr>
              <w:spacing w:line="240" w:lineRule="auto"/>
              <w:ind w:firstLine="420" w:firstLineChars="200"/>
              <w:rPr>
                <w:rFonts w:hint="eastAsia" w:ascii="宋体" w:hAnsi="宋体" w:eastAsia="宋体" w:cs="宋体"/>
                <w:color w:val="auto"/>
                <w:sz w:val="21"/>
                <w:szCs w:val="21"/>
                <w:highlight w:val="none"/>
                <w:lang w:val="zh-CN" w:bidi="ar"/>
              </w:rPr>
            </w:pPr>
            <w:r>
              <w:rPr>
                <w:rFonts w:hint="eastAsia" w:ascii="宋体" w:hAnsi="宋体" w:cs="宋体"/>
                <w:color w:val="auto"/>
                <w:sz w:val="21"/>
                <w:szCs w:val="21"/>
                <w:highlight w:val="none"/>
                <w:lang w:val="en-US" w:eastAsia="zh-CN" w:bidi="ar"/>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7</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根据投标人</w:t>
            </w:r>
            <w:r>
              <w:rPr>
                <w:rFonts w:hint="eastAsia" w:ascii="宋体" w:hAnsi="宋体" w:eastAsia="宋体" w:cs="宋体"/>
                <w:color w:val="auto"/>
                <w:sz w:val="21"/>
                <w:szCs w:val="21"/>
                <w:highlight w:val="none"/>
                <w:lang w:val="en-US" w:eastAsia="zh-CN" w:bidi="ar"/>
              </w:rPr>
              <w:t>提供的</w:t>
            </w:r>
            <w:r>
              <w:rPr>
                <w:rFonts w:hint="eastAsia" w:ascii="宋体" w:hAnsi="宋体" w:eastAsia="宋体" w:cs="宋体"/>
                <w:color w:val="auto"/>
                <w:sz w:val="21"/>
                <w:szCs w:val="21"/>
                <w:highlight w:val="none"/>
              </w:rPr>
              <w:t>售后服务方案</w:t>
            </w:r>
            <w:r>
              <w:rPr>
                <w:rFonts w:hint="eastAsia" w:ascii="宋体" w:hAnsi="宋体" w:eastAsia="宋体" w:cs="宋体"/>
                <w:color w:val="auto"/>
                <w:sz w:val="21"/>
                <w:szCs w:val="21"/>
                <w:highlight w:val="none"/>
                <w:lang w:bidi="ar"/>
              </w:rPr>
              <w:t>进行综合评价：</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投标人提供的售后服务方案、服务承诺、保质期、服务响应时限等方案完善、合理， 得10分；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投标人提供的售后服务方案、服务承诺、保质期、服务响应时限等方案</w:t>
            </w:r>
            <w:r>
              <w:rPr>
                <w:rFonts w:hint="eastAsia" w:ascii="宋体" w:hAnsi="宋体" w:eastAsia="宋体" w:cs="宋体"/>
                <w:color w:val="auto"/>
                <w:sz w:val="21"/>
                <w:szCs w:val="21"/>
                <w:highlight w:val="none"/>
                <w:lang w:val="en-US" w:eastAsia="zh-CN" w:bidi="ar"/>
              </w:rPr>
              <w:t>较</w:t>
            </w:r>
            <w:r>
              <w:rPr>
                <w:rFonts w:hint="eastAsia" w:ascii="宋体" w:hAnsi="宋体" w:eastAsia="宋体" w:cs="宋体"/>
                <w:color w:val="auto"/>
                <w:sz w:val="21"/>
                <w:szCs w:val="21"/>
                <w:highlight w:val="none"/>
                <w:lang w:bidi="ar"/>
              </w:rPr>
              <w:t>完善、</w:t>
            </w:r>
            <w:r>
              <w:rPr>
                <w:rFonts w:hint="eastAsia" w:ascii="宋体" w:hAnsi="宋体" w:eastAsia="宋体" w:cs="宋体"/>
                <w:color w:val="auto"/>
                <w:sz w:val="21"/>
                <w:szCs w:val="21"/>
                <w:highlight w:val="none"/>
                <w:lang w:val="en-US" w:eastAsia="zh-CN" w:bidi="ar"/>
              </w:rPr>
              <w:t>较</w:t>
            </w:r>
            <w:r>
              <w:rPr>
                <w:rFonts w:hint="eastAsia" w:ascii="宋体" w:hAnsi="宋体" w:eastAsia="宋体" w:cs="宋体"/>
                <w:color w:val="auto"/>
                <w:sz w:val="21"/>
                <w:szCs w:val="21"/>
                <w:highlight w:val="none"/>
                <w:lang w:bidi="ar"/>
              </w:rPr>
              <w:t>合理， 得</w:t>
            </w:r>
            <w:r>
              <w:rPr>
                <w:rFonts w:hint="eastAsia" w:ascii="宋体" w:hAnsi="宋体" w:eastAsia="宋体" w:cs="宋体"/>
                <w:color w:val="auto"/>
                <w:sz w:val="21"/>
                <w:szCs w:val="21"/>
                <w:highlight w:val="none"/>
                <w:lang w:val="en-US" w:eastAsia="zh-CN" w:bidi="ar"/>
              </w:rPr>
              <w:t>7</w:t>
            </w:r>
            <w:r>
              <w:rPr>
                <w:rFonts w:hint="eastAsia" w:ascii="宋体" w:hAnsi="宋体" w:eastAsia="宋体" w:cs="宋体"/>
                <w:color w:val="auto"/>
                <w:sz w:val="21"/>
                <w:szCs w:val="21"/>
                <w:highlight w:val="none"/>
                <w:lang w:bidi="ar"/>
              </w:rPr>
              <w:t>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投标人提供的售后服务方案、服务承诺、保质期、服务响应时限等方案基本完善、基本合理， 得</w:t>
            </w:r>
            <w:r>
              <w:rPr>
                <w:rFonts w:hint="eastAsia" w:ascii="宋体" w:hAnsi="宋体" w:cs="宋体"/>
                <w:color w:val="auto"/>
                <w:sz w:val="21"/>
                <w:szCs w:val="21"/>
                <w:highlight w:val="none"/>
                <w:lang w:val="en-US" w:eastAsia="zh-CN" w:bidi="ar"/>
              </w:rPr>
              <w:t>4</w:t>
            </w:r>
            <w:r>
              <w:rPr>
                <w:rFonts w:hint="eastAsia" w:ascii="宋体" w:hAnsi="宋体" w:eastAsia="宋体" w:cs="宋体"/>
                <w:color w:val="auto"/>
                <w:sz w:val="21"/>
                <w:szCs w:val="21"/>
                <w:highlight w:val="none"/>
                <w:lang w:bidi="ar"/>
              </w:rPr>
              <w:t>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投标人提供的售后服务方案、服务承诺、保质期、服务响应时限等方案不是很完善、不是很合理， 得</w:t>
            </w:r>
            <w:r>
              <w:rPr>
                <w:rFonts w:hint="eastAsia" w:ascii="宋体" w:hAnsi="宋体" w:cs="宋体"/>
                <w:color w:val="auto"/>
                <w:sz w:val="21"/>
                <w:szCs w:val="21"/>
                <w:highlight w:val="none"/>
                <w:lang w:val="en-US" w:eastAsia="zh-CN" w:bidi="ar"/>
              </w:rPr>
              <w:t>1</w:t>
            </w:r>
            <w:r>
              <w:rPr>
                <w:rFonts w:hint="eastAsia" w:ascii="宋体" w:hAnsi="宋体" w:eastAsia="宋体" w:cs="宋体"/>
                <w:color w:val="auto"/>
                <w:sz w:val="21"/>
                <w:szCs w:val="21"/>
                <w:highlight w:val="none"/>
                <w:lang w:bidi="ar"/>
              </w:rPr>
              <w:t>分。</w:t>
            </w:r>
          </w:p>
          <w:p>
            <w:pPr>
              <w:spacing w:line="240" w:lineRule="auto"/>
              <w:ind w:firstLine="420" w:firstLineChars="200"/>
              <w:rPr>
                <w:rFonts w:hint="eastAsia" w:ascii="宋体" w:hAnsi="宋体" w:eastAsia="宋体" w:cs="宋体"/>
                <w:color w:val="auto"/>
                <w:sz w:val="21"/>
                <w:szCs w:val="21"/>
                <w:highlight w:val="none"/>
                <w:lang w:val="zh-CN" w:bidi="ar"/>
              </w:rPr>
            </w:pPr>
            <w:r>
              <w:rPr>
                <w:rFonts w:hint="eastAsia" w:ascii="宋体" w:hAnsi="宋体" w:cs="宋体"/>
                <w:color w:val="auto"/>
                <w:sz w:val="21"/>
                <w:szCs w:val="21"/>
                <w:highlight w:val="none"/>
                <w:lang w:val="en-US" w:eastAsia="zh-CN" w:bidi="ar"/>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shd w:val="clear"/>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shd w:val="clear"/>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w:t>
            </w:r>
            <w:r>
              <w:rPr>
                <w:rFonts w:hint="eastAsia" w:ascii="宋体" w:hAnsi="宋体" w:cs="宋体"/>
                <w:b/>
                <w:color w:val="auto"/>
                <w:sz w:val="21"/>
                <w:szCs w:val="21"/>
                <w:highlight w:val="none"/>
                <w:lang w:val="en-US" w:eastAsia="zh-CN"/>
              </w:rPr>
              <w:t>响应</w:t>
            </w:r>
            <w:r>
              <w:rPr>
                <w:rFonts w:hint="eastAsia" w:ascii="宋体" w:hAnsi="宋体" w:eastAsia="宋体" w:cs="宋体"/>
                <w:b/>
                <w:color w:val="auto"/>
                <w:sz w:val="21"/>
                <w:szCs w:val="21"/>
                <w:highlight w:val="none"/>
              </w:rPr>
              <w:t>材料因模糊不清导致评标委员会无法清晰辨认进行评审的，视为无效材料。</w:t>
            </w:r>
          </w:p>
        </w:tc>
      </w:tr>
    </w:tbl>
    <w:p>
      <w:pPr>
        <w:rPr>
          <w:color w:val="auto"/>
          <w:highlight w:val="none"/>
        </w:rPr>
      </w:pPr>
    </w:p>
    <w:p>
      <w:pPr>
        <w:rPr>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29685"/>
      <w:bookmarkStart w:id="18" w:name="_Toc2479"/>
      <w:bookmarkStart w:id="19" w:name="_Toc30638"/>
      <w:bookmarkStart w:id="20" w:name="_Toc14146"/>
      <w:r>
        <w:rPr>
          <w:rFonts w:hint="eastAsia"/>
          <w:color w:val="auto"/>
          <w:sz w:val="28"/>
          <w:szCs w:val="28"/>
          <w:highlight w:val="none"/>
        </w:rPr>
        <w:t>第四部分 投标人须知</w:t>
      </w:r>
      <w:bookmarkEnd w:id="17"/>
      <w:bookmarkEnd w:id="18"/>
      <w:bookmarkEnd w:id="19"/>
    </w:p>
    <w:p>
      <w:pPr>
        <w:pStyle w:val="5"/>
        <w:spacing w:line="480" w:lineRule="auto"/>
        <w:jc w:val="center"/>
        <w:rPr>
          <w:rFonts w:ascii="宋体" w:hAnsi="宋体"/>
          <w:color w:val="auto"/>
          <w:highlight w:val="none"/>
        </w:rPr>
      </w:pPr>
      <w:bookmarkStart w:id="21" w:name="_Toc11105"/>
      <w:bookmarkStart w:id="22" w:name="_Toc19746"/>
      <w:bookmarkStart w:id="23" w:name="_Toc3095"/>
      <w:r>
        <w:rPr>
          <w:rFonts w:hint="eastAsia" w:ascii="宋体" w:hAnsi="宋体"/>
          <w:color w:val="auto"/>
          <w:highlight w:val="none"/>
        </w:rPr>
        <w:t>第一章说明</w:t>
      </w:r>
      <w:bookmarkEnd w:id="21"/>
      <w:bookmarkEnd w:id="22"/>
      <w:bookmarkEnd w:id="23"/>
    </w:p>
    <w:p>
      <w:pPr>
        <w:pStyle w:val="6"/>
        <w:widowControl w:val="0"/>
        <w:overflowPunct w:val="0"/>
        <w:spacing w:line="240" w:lineRule="auto"/>
        <w:rPr>
          <w:rFonts w:ascii="宋体" w:hAnsi="宋体"/>
          <w:color w:val="auto"/>
          <w:sz w:val="21"/>
          <w:szCs w:val="21"/>
          <w:highlight w:val="none"/>
        </w:rPr>
      </w:pPr>
      <w:bookmarkStart w:id="24" w:name="_Toc18488"/>
      <w:bookmarkStart w:id="25" w:name="_Toc22847"/>
      <w:bookmarkStart w:id="26" w:name="_Toc22803"/>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27" w:name="_Toc21002"/>
      <w:bookmarkStart w:id="28" w:name="_Toc13400"/>
      <w:bookmarkStart w:id="29" w:name="_Toc16848"/>
      <w:r>
        <w:rPr>
          <w:rFonts w:hint="eastAsia" w:ascii="宋体" w:hAnsi="宋体"/>
          <w:color w:val="auto"/>
          <w:sz w:val="21"/>
          <w:szCs w:val="21"/>
          <w:highlight w:val="none"/>
        </w:rPr>
        <w:t>2.</w:t>
      </w:r>
      <w:bookmarkStart w:id="30" w:name="_Toc298847174"/>
      <w:bookmarkStart w:id="31" w:name="_Toc303084246"/>
      <w:bookmarkStart w:id="32" w:name="_Toc1530"/>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4" w:name="_Toc3780"/>
      <w:bookmarkStart w:id="35" w:name="_Toc9710"/>
      <w:bookmarkStart w:id="36" w:name="_Toc2996"/>
      <w:r>
        <w:rPr>
          <w:rFonts w:hint="eastAsia" w:ascii="宋体" w:hAnsi="宋体"/>
          <w:color w:val="auto"/>
          <w:sz w:val="21"/>
          <w:szCs w:val="21"/>
          <w:highlight w:val="none"/>
        </w:rPr>
        <w:t>3.货物和服务</w:t>
      </w:r>
      <w:bookmarkEnd w:id="34"/>
      <w:bookmarkEnd w:id="35"/>
      <w:bookmarkEnd w:id="36"/>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7" w:name="_Toc12536"/>
      <w:bookmarkStart w:id="38" w:name="_Toc15945"/>
      <w:bookmarkStart w:id="39" w:name="_Toc13909"/>
      <w:r>
        <w:rPr>
          <w:rFonts w:hint="eastAsia" w:ascii="宋体" w:hAnsi="宋体"/>
          <w:color w:val="auto"/>
          <w:sz w:val="21"/>
          <w:szCs w:val="21"/>
          <w:highlight w:val="none"/>
        </w:rPr>
        <w:t>4.投标费用</w:t>
      </w:r>
      <w:bookmarkEnd w:id="37"/>
      <w:bookmarkEnd w:id="38"/>
      <w:bookmarkEnd w:id="39"/>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0" w:name="_Toc19094"/>
      <w:bookmarkStart w:id="41" w:name="_Toc25040"/>
      <w:bookmarkStart w:id="42" w:name="_Toc19532"/>
      <w:r>
        <w:rPr>
          <w:rFonts w:hint="eastAsia" w:ascii="宋体" w:hAnsi="宋体"/>
          <w:color w:val="auto"/>
          <w:sz w:val="21"/>
          <w:szCs w:val="21"/>
          <w:highlight w:val="none"/>
        </w:rPr>
        <w:t>5.知识产权</w:t>
      </w:r>
      <w:bookmarkEnd w:id="40"/>
      <w:bookmarkEnd w:id="41"/>
      <w:bookmarkEnd w:id="42"/>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3" w:name="_Toc31885"/>
      <w:bookmarkStart w:id="44" w:name="_Toc8432"/>
      <w:bookmarkStart w:id="45" w:name="_Toc21930"/>
      <w:r>
        <w:rPr>
          <w:rFonts w:hint="eastAsia" w:ascii="宋体" w:hAnsi="宋体"/>
          <w:color w:val="auto"/>
          <w:sz w:val="21"/>
          <w:szCs w:val="21"/>
          <w:highlight w:val="none"/>
        </w:rPr>
        <w:t>6.关于联合体投标</w:t>
      </w:r>
      <w:bookmarkEnd w:id="43"/>
      <w:bookmarkEnd w:id="44"/>
      <w:bookmarkEnd w:id="45"/>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6" w:name="_Toc32331"/>
      <w:bookmarkStart w:id="47" w:name="_Toc16571"/>
      <w:bookmarkStart w:id="48" w:name="_Toc13811"/>
      <w:bookmarkStart w:id="49" w:name="_Toc17879"/>
      <w:r>
        <w:rPr>
          <w:rFonts w:hint="eastAsia" w:ascii="宋体" w:hAnsi="宋体"/>
          <w:color w:val="auto"/>
          <w:sz w:val="21"/>
          <w:szCs w:val="21"/>
          <w:highlight w:val="none"/>
        </w:rPr>
        <w:t>7.关于分支机构投标</w:t>
      </w:r>
      <w:bookmarkEnd w:id="46"/>
      <w:bookmarkEnd w:id="47"/>
      <w:bookmarkEnd w:id="48"/>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6"/>
        <w:widowControl w:val="0"/>
        <w:overflowPunct w:val="0"/>
        <w:spacing w:line="240" w:lineRule="auto"/>
        <w:rPr>
          <w:rFonts w:ascii="宋体" w:hAnsi="宋体"/>
          <w:color w:val="auto"/>
          <w:sz w:val="21"/>
          <w:szCs w:val="21"/>
          <w:highlight w:val="none"/>
        </w:rPr>
      </w:pPr>
      <w:bookmarkStart w:id="53" w:name="_Toc21771"/>
      <w:bookmarkStart w:id="54" w:name="_Toc13494"/>
      <w:bookmarkStart w:id="55" w:name="_Toc1423"/>
      <w:r>
        <w:rPr>
          <w:rFonts w:hint="eastAsia" w:ascii="宋体" w:hAnsi="宋体"/>
          <w:color w:val="auto"/>
          <w:sz w:val="21"/>
          <w:szCs w:val="21"/>
          <w:highlight w:val="none"/>
        </w:rPr>
        <w:t>8.招标文件的组成</w:t>
      </w:r>
      <w:bookmarkEnd w:id="53"/>
      <w:bookmarkEnd w:id="54"/>
      <w:bookmarkEnd w:id="55"/>
    </w:p>
    <w:p>
      <w:pPr>
        <w:pStyle w:val="35"/>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rPr>
          <w:rFonts w:ascii="宋体" w:hAnsi="宋体"/>
          <w:color w:val="auto"/>
          <w:sz w:val="21"/>
          <w:szCs w:val="21"/>
          <w:highlight w:val="none"/>
        </w:rPr>
      </w:pPr>
      <w:bookmarkStart w:id="56" w:name="_Toc17274"/>
      <w:bookmarkStart w:id="57" w:name="_Toc7997"/>
      <w:bookmarkStart w:id="58" w:name="_Toc14217"/>
      <w:r>
        <w:rPr>
          <w:rFonts w:hint="eastAsia" w:ascii="宋体" w:hAnsi="宋体"/>
          <w:color w:val="auto"/>
          <w:sz w:val="21"/>
          <w:szCs w:val="21"/>
          <w:highlight w:val="none"/>
        </w:rPr>
        <w:t>9.招标文件的澄清或修改</w:t>
      </w:r>
      <w:bookmarkEnd w:id="56"/>
      <w:bookmarkEnd w:id="57"/>
      <w:bookmarkEnd w:id="58"/>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spacing w:line="480" w:lineRule="auto"/>
        <w:jc w:val="center"/>
        <w:rPr>
          <w:rFonts w:ascii="宋体" w:hAnsi="宋体"/>
          <w:color w:val="auto"/>
          <w:highlight w:val="none"/>
        </w:rPr>
      </w:pPr>
      <w:bookmarkStart w:id="59" w:name="_Toc23726"/>
      <w:bookmarkStart w:id="60" w:name="_Toc16712"/>
      <w:bookmarkStart w:id="61" w:name="_Toc4773"/>
      <w:r>
        <w:rPr>
          <w:rFonts w:hint="eastAsia" w:ascii="宋体" w:hAnsi="宋体"/>
          <w:color w:val="auto"/>
          <w:highlight w:val="none"/>
        </w:rPr>
        <w:t>第三章投标文件的编制</w:t>
      </w:r>
      <w:bookmarkEnd w:id="59"/>
      <w:bookmarkEnd w:id="60"/>
      <w:bookmarkEnd w:id="61"/>
    </w:p>
    <w:p>
      <w:pPr>
        <w:pStyle w:val="6"/>
        <w:widowControl w:val="0"/>
        <w:overflowPunct w:val="0"/>
        <w:rPr>
          <w:rFonts w:ascii="宋体" w:hAnsi="宋体"/>
          <w:color w:val="auto"/>
          <w:sz w:val="21"/>
          <w:szCs w:val="21"/>
          <w:highlight w:val="none"/>
        </w:rPr>
      </w:pPr>
      <w:bookmarkStart w:id="62" w:name="_Toc7434"/>
      <w:bookmarkStart w:id="63" w:name="_Toc20623"/>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65" w:name="_Toc28866"/>
      <w:bookmarkStart w:id="66" w:name="_Toc303084256"/>
      <w:bookmarkStart w:id="67" w:name="_Toc18999"/>
      <w:bookmarkStart w:id="68" w:name="_Toc307934854"/>
      <w:bookmarkStart w:id="69" w:name="_Toc12145"/>
      <w:bookmarkStart w:id="70" w:name="_Toc382049103"/>
      <w:bookmarkStart w:id="71" w:name="_Toc7728"/>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6"/>
        <w:widowControl w:val="0"/>
        <w:overflowPunct w:val="0"/>
        <w:rPr>
          <w:rFonts w:ascii="宋体" w:hAnsi="宋体"/>
          <w:color w:val="auto"/>
          <w:sz w:val="21"/>
          <w:szCs w:val="21"/>
          <w:highlight w:val="none"/>
        </w:rPr>
      </w:pPr>
      <w:bookmarkStart w:id="72" w:name="_Toc21747"/>
      <w:bookmarkStart w:id="73" w:name="_Toc30189"/>
      <w:bookmarkStart w:id="74" w:name="_Toc3882"/>
      <w:r>
        <w:rPr>
          <w:rFonts w:hint="eastAsia" w:ascii="宋体" w:hAnsi="宋体"/>
          <w:color w:val="auto"/>
          <w:sz w:val="21"/>
          <w:szCs w:val="21"/>
          <w:highlight w:val="none"/>
        </w:rPr>
        <w:t>12.投标文件编制</w:t>
      </w:r>
      <w:bookmarkEnd w:id="72"/>
      <w:bookmarkEnd w:id="73"/>
      <w:bookmarkEnd w:id="74"/>
    </w:p>
    <w:p>
      <w:pPr>
        <w:pStyle w:val="35"/>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5"/>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5"/>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rPr>
          <w:rFonts w:ascii="宋体" w:hAnsi="宋体"/>
          <w:color w:val="auto"/>
          <w:sz w:val="21"/>
          <w:szCs w:val="21"/>
          <w:highlight w:val="none"/>
        </w:rPr>
      </w:pPr>
      <w:bookmarkStart w:id="76" w:name="_Toc17188"/>
      <w:bookmarkStart w:id="77" w:name="_Toc7847"/>
      <w:bookmarkStart w:id="78" w:name="_Toc259"/>
      <w:r>
        <w:rPr>
          <w:rFonts w:hint="eastAsia" w:ascii="宋体" w:hAnsi="宋体"/>
          <w:color w:val="auto"/>
          <w:sz w:val="21"/>
          <w:szCs w:val="21"/>
          <w:highlight w:val="none"/>
        </w:rPr>
        <w:t>13.投标报价说明</w:t>
      </w:r>
      <w:bookmarkEnd w:id="76"/>
      <w:bookmarkEnd w:id="77"/>
      <w:bookmarkEnd w:id="78"/>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rPr>
          <w:rFonts w:ascii="宋体" w:hAnsi="宋体"/>
          <w:color w:val="auto"/>
          <w:sz w:val="21"/>
          <w:szCs w:val="21"/>
          <w:highlight w:val="none"/>
        </w:rPr>
      </w:pPr>
      <w:bookmarkStart w:id="79" w:name="_Toc27724"/>
      <w:bookmarkStart w:id="80" w:name="_Toc18911"/>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5"/>
        <w:widowControl w:val="0"/>
        <w:adjustRightInd/>
        <w:snapToGrid/>
        <w:ind w:left="425" w:firstLine="0" w:firstLineChars="0"/>
        <w:jc w:val="both"/>
        <w:rPr>
          <w:color w:val="auto"/>
          <w:highlight w:val="none"/>
        </w:rPr>
      </w:pPr>
    </w:p>
    <w:p>
      <w:pPr>
        <w:pStyle w:val="6"/>
        <w:widowControl w:val="0"/>
        <w:overflowPunct w:val="0"/>
        <w:rPr>
          <w:rFonts w:ascii="宋体" w:hAnsi="宋体"/>
          <w:color w:val="auto"/>
          <w:sz w:val="21"/>
          <w:szCs w:val="21"/>
          <w:highlight w:val="none"/>
        </w:rPr>
      </w:pPr>
      <w:bookmarkStart w:id="84" w:name="_Toc22169"/>
      <w:bookmarkStart w:id="85" w:name="_Toc30815"/>
      <w:bookmarkStart w:id="86" w:name="_Toc19520"/>
      <w:r>
        <w:rPr>
          <w:rFonts w:hint="eastAsia" w:ascii="宋体" w:hAnsi="宋体"/>
          <w:color w:val="auto"/>
          <w:sz w:val="21"/>
          <w:szCs w:val="21"/>
          <w:highlight w:val="none"/>
        </w:rPr>
        <w:t>15.★投标有效期</w:t>
      </w:r>
      <w:bookmarkEnd w:id="84"/>
      <w:bookmarkEnd w:id="85"/>
      <w:bookmarkEnd w:id="86"/>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87" w:name="_Toc12456"/>
      <w:bookmarkStart w:id="88" w:name="_Toc30257"/>
      <w:bookmarkStart w:id="89" w:name="_Toc25817"/>
      <w:r>
        <w:rPr>
          <w:rFonts w:hint="eastAsia" w:ascii="宋体" w:hAnsi="宋体"/>
          <w:color w:val="auto"/>
          <w:sz w:val="21"/>
          <w:szCs w:val="21"/>
          <w:highlight w:val="none"/>
        </w:rPr>
        <w:t>16.★投标保证金</w:t>
      </w:r>
      <w:bookmarkEnd w:id="87"/>
      <w:bookmarkEnd w:id="88"/>
      <w:bookmarkEnd w:id="89"/>
    </w:p>
    <w:p>
      <w:pPr>
        <w:pStyle w:val="35"/>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spacing w:line="480" w:lineRule="auto"/>
        <w:jc w:val="center"/>
        <w:rPr>
          <w:rFonts w:ascii="宋体" w:hAnsi="宋体"/>
          <w:color w:val="auto"/>
          <w:highlight w:val="none"/>
        </w:rPr>
      </w:pPr>
      <w:bookmarkStart w:id="91" w:name="_Toc3200"/>
      <w:bookmarkStart w:id="92" w:name="_Toc31124"/>
      <w:bookmarkStart w:id="93" w:name="_Toc24109"/>
      <w:r>
        <w:rPr>
          <w:rFonts w:hint="eastAsia" w:ascii="宋体" w:hAnsi="宋体"/>
          <w:color w:val="auto"/>
          <w:highlight w:val="none"/>
        </w:rPr>
        <w:t>第四章投标文件的递交</w:t>
      </w:r>
      <w:bookmarkEnd w:id="91"/>
      <w:bookmarkEnd w:id="92"/>
      <w:bookmarkEnd w:id="93"/>
    </w:p>
    <w:p>
      <w:pPr>
        <w:pStyle w:val="6"/>
        <w:widowControl w:val="0"/>
        <w:overflowPunct w:val="0"/>
        <w:rPr>
          <w:rFonts w:ascii="宋体" w:hAnsi="宋体"/>
          <w:color w:val="auto"/>
          <w:sz w:val="21"/>
          <w:szCs w:val="21"/>
          <w:highlight w:val="none"/>
        </w:rPr>
      </w:pPr>
      <w:bookmarkStart w:id="94" w:name="_Toc473"/>
      <w:bookmarkStart w:id="95" w:name="_Toc382049111"/>
      <w:bookmarkStart w:id="96" w:name="_Toc23678"/>
      <w:bookmarkStart w:id="97" w:name="_Toc24997"/>
      <w:bookmarkStart w:id="98" w:name="_Toc29590"/>
      <w:bookmarkStart w:id="99" w:name="_Toc303084264"/>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00" w:name="_Toc17417"/>
      <w:bookmarkStart w:id="101" w:name="_Toc8628"/>
      <w:bookmarkStart w:id="102" w:name="_Toc7473"/>
      <w:r>
        <w:rPr>
          <w:rFonts w:hint="eastAsia" w:ascii="宋体" w:hAnsi="宋体"/>
          <w:color w:val="auto"/>
          <w:sz w:val="21"/>
          <w:szCs w:val="21"/>
          <w:highlight w:val="none"/>
        </w:rPr>
        <w:t>18.迟交的投标文件</w:t>
      </w:r>
      <w:bookmarkEnd w:id="100"/>
      <w:bookmarkEnd w:id="101"/>
      <w:bookmarkEnd w:id="102"/>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rPr>
          <w:rFonts w:ascii="宋体" w:hAnsi="宋体"/>
          <w:color w:val="auto"/>
          <w:sz w:val="21"/>
          <w:szCs w:val="21"/>
          <w:highlight w:val="none"/>
        </w:rPr>
      </w:pPr>
      <w:bookmarkStart w:id="103" w:name="_Toc19649"/>
      <w:bookmarkStart w:id="104" w:name="_Toc13212"/>
      <w:bookmarkStart w:id="105" w:name="_Toc8526"/>
      <w:r>
        <w:rPr>
          <w:rFonts w:hint="eastAsia" w:ascii="宋体" w:hAnsi="宋体"/>
          <w:color w:val="auto"/>
          <w:sz w:val="21"/>
          <w:szCs w:val="21"/>
          <w:highlight w:val="none"/>
        </w:rPr>
        <w:t>19.投标样品（如需提交）</w:t>
      </w:r>
      <w:bookmarkEnd w:id="103"/>
      <w:bookmarkEnd w:id="104"/>
      <w:bookmarkEnd w:id="105"/>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rPr>
          <w:rFonts w:ascii="宋体" w:hAnsi="宋体"/>
          <w:color w:val="auto"/>
          <w:sz w:val="21"/>
          <w:szCs w:val="21"/>
          <w:highlight w:val="none"/>
        </w:rPr>
      </w:pPr>
      <w:bookmarkStart w:id="106" w:name="_Toc5900"/>
      <w:bookmarkStart w:id="107" w:name="_Toc303084265"/>
      <w:bookmarkStart w:id="108" w:name="_Toc382049112"/>
      <w:bookmarkStart w:id="109" w:name="_Toc7689"/>
      <w:bookmarkStart w:id="110" w:name="_Toc23477"/>
      <w:bookmarkStart w:id="111" w:name="_Toc9777"/>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rPr>
          <w:rFonts w:ascii="宋体" w:hAnsi="宋体"/>
          <w:color w:val="auto"/>
          <w:sz w:val="21"/>
          <w:szCs w:val="21"/>
          <w:highlight w:val="none"/>
        </w:rPr>
      </w:pPr>
      <w:bookmarkStart w:id="112" w:name="_Toc15569"/>
      <w:bookmarkStart w:id="113" w:name="_Toc11133"/>
      <w:bookmarkStart w:id="114" w:name="_Toc6003"/>
      <w:r>
        <w:rPr>
          <w:rFonts w:hint="eastAsia" w:ascii="宋体" w:hAnsi="宋体"/>
          <w:color w:val="auto"/>
          <w:sz w:val="21"/>
          <w:szCs w:val="21"/>
          <w:highlight w:val="none"/>
        </w:rPr>
        <w:t>21.投标文件的补充、修改与撤回</w:t>
      </w:r>
      <w:bookmarkEnd w:id="112"/>
      <w:bookmarkEnd w:id="113"/>
      <w:bookmarkEnd w:id="114"/>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8"/>
        <w:rPr>
          <w:color w:val="auto"/>
          <w:highlight w:val="none"/>
        </w:rPr>
      </w:pPr>
    </w:p>
    <w:p>
      <w:pPr>
        <w:pStyle w:val="5"/>
        <w:spacing w:line="480" w:lineRule="auto"/>
        <w:jc w:val="center"/>
        <w:rPr>
          <w:rFonts w:ascii="宋体" w:hAnsi="宋体"/>
          <w:color w:val="auto"/>
          <w:highlight w:val="none"/>
        </w:rPr>
      </w:pPr>
      <w:bookmarkStart w:id="115" w:name="_Toc29574"/>
      <w:bookmarkStart w:id="116" w:name="_Toc23466"/>
      <w:bookmarkStart w:id="117" w:name="_Toc5049"/>
      <w:r>
        <w:rPr>
          <w:rFonts w:hint="eastAsia" w:ascii="宋体" w:hAnsi="宋体"/>
          <w:color w:val="auto"/>
          <w:highlight w:val="none"/>
        </w:rPr>
        <w:t>第五章开标与评标</w:t>
      </w:r>
      <w:bookmarkEnd w:id="115"/>
      <w:bookmarkEnd w:id="116"/>
      <w:bookmarkEnd w:id="117"/>
    </w:p>
    <w:p>
      <w:pPr>
        <w:pStyle w:val="6"/>
        <w:widowControl w:val="0"/>
        <w:overflowPunct w:val="0"/>
        <w:rPr>
          <w:rFonts w:ascii="宋体" w:hAnsi="宋体"/>
          <w:color w:val="auto"/>
          <w:sz w:val="21"/>
          <w:szCs w:val="21"/>
          <w:highlight w:val="none"/>
        </w:rPr>
      </w:pPr>
      <w:bookmarkStart w:id="118" w:name="_Toc28458"/>
      <w:bookmarkStart w:id="119" w:name="_Toc24251"/>
      <w:bookmarkStart w:id="120" w:name="_Toc27700"/>
      <w:r>
        <w:rPr>
          <w:rFonts w:hint="eastAsia" w:ascii="宋体" w:hAnsi="宋体"/>
          <w:color w:val="auto"/>
          <w:sz w:val="21"/>
          <w:szCs w:val="21"/>
          <w:highlight w:val="none"/>
        </w:rPr>
        <w:t>22.开标</w:t>
      </w:r>
      <w:bookmarkEnd w:id="118"/>
      <w:bookmarkEnd w:id="119"/>
      <w:bookmarkEnd w:id="120"/>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121" w:name="_Toc4921"/>
      <w:bookmarkStart w:id="122" w:name="_Toc5974"/>
      <w:bookmarkStart w:id="123" w:name="_Toc5524"/>
      <w:r>
        <w:rPr>
          <w:rFonts w:hint="eastAsia" w:ascii="宋体" w:hAnsi="宋体"/>
          <w:color w:val="auto"/>
          <w:sz w:val="21"/>
          <w:szCs w:val="21"/>
          <w:highlight w:val="none"/>
        </w:rPr>
        <w:t>23.评标委员会及评标方法</w:t>
      </w:r>
      <w:bookmarkEnd w:id="121"/>
      <w:bookmarkEnd w:id="122"/>
      <w:bookmarkEnd w:id="123"/>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24" w:name="_Toc26402"/>
      <w:bookmarkStart w:id="125" w:name="_Toc15231"/>
      <w:bookmarkStart w:id="126" w:name="_Toc32730"/>
      <w:r>
        <w:rPr>
          <w:rFonts w:hint="eastAsia" w:ascii="宋体" w:hAnsi="宋体"/>
          <w:color w:val="auto"/>
          <w:sz w:val="21"/>
          <w:szCs w:val="21"/>
          <w:highlight w:val="none"/>
        </w:rPr>
        <w:t>24.评审原则及评标过程的保密</w:t>
      </w:r>
      <w:bookmarkEnd w:id="124"/>
      <w:bookmarkEnd w:id="125"/>
      <w:bookmarkEnd w:id="126"/>
    </w:p>
    <w:p>
      <w:pPr>
        <w:pStyle w:val="35"/>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rPr>
          <w:rFonts w:ascii="宋体" w:hAnsi="宋体"/>
          <w:color w:val="auto"/>
          <w:sz w:val="21"/>
          <w:szCs w:val="21"/>
          <w:highlight w:val="none"/>
        </w:rPr>
      </w:pPr>
      <w:bookmarkStart w:id="127" w:name="_Toc16745"/>
      <w:bookmarkStart w:id="128" w:name="_Toc18436"/>
      <w:bookmarkStart w:id="129" w:name="_Toc3762"/>
      <w:r>
        <w:rPr>
          <w:rFonts w:hint="eastAsia" w:ascii="宋体" w:hAnsi="宋体"/>
          <w:color w:val="auto"/>
          <w:sz w:val="21"/>
          <w:szCs w:val="21"/>
          <w:highlight w:val="none"/>
        </w:rPr>
        <w:t>25.投标文件的初审</w:t>
      </w:r>
      <w:bookmarkEnd w:id="127"/>
      <w:bookmarkEnd w:id="128"/>
      <w:bookmarkEnd w:id="129"/>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rPr>
          <w:rFonts w:ascii="宋体" w:hAnsi="宋体"/>
          <w:color w:val="auto"/>
          <w:sz w:val="21"/>
          <w:szCs w:val="21"/>
          <w:highlight w:val="none"/>
        </w:rPr>
      </w:pPr>
      <w:bookmarkStart w:id="130" w:name="_Toc27673"/>
      <w:bookmarkStart w:id="131" w:name="_Toc29184"/>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3" w:name="_Toc17683"/>
      <w:bookmarkStart w:id="134" w:name="_Toc22192"/>
      <w:bookmarkStart w:id="135" w:name="_Toc7593"/>
      <w:r>
        <w:rPr>
          <w:rFonts w:hint="eastAsia" w:ascii="宋体" w:hAnsi="宋体"/>
          <w:color w:val="auto"/>
          <w:sz w:val="21"/>
          <w:szCs w:val="21"/>
          <w:highlight w:val="none"/>
        </w:rPr>
        <w:t>27.优惠政策</w:t>
      </w:r>
      <w:bookmarkEnd w:id="133"/>
      <w:bookmarkEnd w:id="134"/>
      <w:bookmarkEnd w:id="135"/>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6" w:name="_Toc316375620"/>
      <w:bookmarkStart w:id="137" w:name="_Toc20328"/>
      <w:bookmarkStart w:id="138" w:name="_Toc31141"/>
      <w:bookmarkStart w:id="139" w:name="_Toc22591"/>
      <w:bookmarkStart w:id="140" w:name="_Toc12115"/>
      <w:bookmarkStart w:id="141" w:name="_Toc382049120"/>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spacing w:line="480" w:lineRule="auto"/>
        <w:jc w:val="center"/>
        <w:rPr>
          <w:rFonts w:ascii="宋体" w:hAnsi="宋体"/>
          <w:color w:val="auto"/>
          <w:highlight w:val="none"/>
        </w:rPr>
      </w:pPr>
      <w:bookmarkStart w:id="142" w:name="_Toc29310"/>
      <w:bookmarkStart w:id="143" w:name="_Toc12251"/>
      <w:bookmarkStart w:id="144" w:name="_Toc5528"/>
      <w:r>
        <w:rPr>
          <w:rFonts w:hint="eastAsia" w:ascii="宋体" w:hAnsi="宋体"/>
          <w:color w:val="auto"/>
          <w:highlight w:val="none"/>
        </w:rPr>
        <w:t>第六章授予合同</w:t>
      </w:r>
      <w:bookmarkEnd w:id="142"/>
      <w:bookmarkEnd w:id="143"/>
      <w:bookmarkEnd w:id="144"/>
    </w:p>
    <w:p>
      <w:pPr>
        <w:pStyle w:val="6"/>
        <w:widowControl w:val="0"/>
        <w:overflowPunct w:val="0"/>
        <w:rPr>
          <w:rFonts w:ascii="宋体" w:hAnsi="宋体"/>
          <w:color w:val="auto"/>
          <w:sz w:val="21"/>
          <w:szCs w:val="21"/>
          <w:highlight w:val="none"/>
        </w:rPr>
      </w:pPr>
      <w:bookmarkStart w:id="145" w:name="_Toc17778"/>
      <w:bookmarkStart w:id="146" w:name="_Toc508284011"/>
      <w:bookmarkStart w:id="147" w:name="_Toc27817"/>
      <w:bookmarkStart w:id="148" w:name="_Toc6696"/>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rPr>
          <w:rFonts w:ascii="宋体" w:hAnsi="宋体"/>
          <w:color w:val="auto"/>
          <w:sz w:val="21"/>
          <w:szCs w:val="21"/>
          <w:highlight w:val="none"/>
        </w:rPr>
      </w:pPr>
      <w:bookmarkStart w:id="149" w:name="_Toc29283"/>
      <w:bookmarkStart w:id="150" w:name="_Toc12440"/>
      <w:bookmarkStart w:id="151" w:name="_Toc23136"/>
      <w:bookmarkStart w:id="152" w:name="_Toc508284013"/>
      <w:r>
        <w:rPr>
          <w:rFonts w:hint="eastAsia" w:ascii="宋体" w:hAnsi="宋体"/>
          <w:color w:val="auto"/>
          <w:sz w:val="21"/>
          <w:szCs w:val="21"/>
          <w:highlight w:val="none"/>
        </w:rPr>
        <w:t>30.发布采购结果</w:t>
      </w:r>
      <w:bookmarkEnd w:id="149"/>
      <w:bookmarkEnd w:id="150"/>
      <w:bookmarkEnd w:id="151"/>
      <w:bookmarkEnd w:id="152"/>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rPr>
          <w:rFonts w:ascii="宋体" w:hAnsi="宋体"/>
          <w:color w:val="auto"/>
          <w:sz w:val="21"/>
          <w:szCs w:val="21"/>
          <w:highlight w:val="none"/>
        </w:rPr>
      </w:pPr>
      <w:bookmarkStart w:id="153" w:name="_Toc22451"/>
      <w:bookmarkStart w:id="154" w:name="_Toc22262"/>
      <w:bookmarkStart w:id="155" w:name="_Toc27279"/>
      <w:r>
        <w:rPr>
          <w:rFonts w:hint="eastAsia" w:ascii="宋体" w:hAnsi="宋体"/>
          <w:color w:val="auto"/>
          <w:sz w:val="21"/>
          <w:szCs w:val="21"/>
          <w:highlight w:val="none"/>
        </w:rPr>
        <w:t>31.合同的签订与履行</w:t>
      </w:r>
      <w:bookmarkEnd w:id="153"/>
      <w:bookmarkEnd w:id="154"/>
      <w:bookmarkEnd w:id="155"/>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rPr>
          <w:rFonts w:ascii="宋体" w:hAnsi="宋体"/>
          <w:color w:val="auto"/>
          <w:sz w:val="21"/>
          <w:szCs w:val="21"/>
          <w:highlight w:val="none"/>
        </w:rPr>
      </w:pPr>
      <w:bookmarkStart w:id="156" w:name="_Toc303084277"/>
      <w:bookmarkStart w:id="157" w:name="_Toc2744"/>
      <w:bookmarkStart w:id="158" w:name="_Toc25756"/>
      <w:bookmarkStart w:id="159" w:name="_Toc29009"/>
      <w:bookmarkStart w:id="160" w:name="_Toc382049124"/>
      <w:bookmarkStart w:id="161" w:name="_Toc7405"/>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spacing w:line="480" w:lineRule="auto"/>
        <w:jc w:val="center"/>
        <w:rPr>
          <w:rFonts w:ascii="宋体" w:hAnsi="宋体"/>
          <w:color w:val="auto"/>
          <w:highlight w:val="none"/>
        </w:rPr>
      </w:pPr>
      <w:bookmarkStart w:id="162" w:name="_Toc13694"/>
      <w:bookmarkStart w:id="163" w:name="_Toc20699"/>
      <w:bookmarkStart w:id="164" w:name="_Toc7360"/>
      <w:r>
        <w:rPr>
          <w:rFonts w:hint="eastAsia" w:ascii="宋体" w:hAnsi="宋体"/>
          <w:color w:val="auto"/>
          <w:highlight w:val="none"/>
        </w:rPr>
        <w:t>第七章询问或质疑</w:t>
      </w:r>
      <w:bookmarkEnd w:id="162"/>
      <w:bookmarkEnd w:id="163"/>
      <w:bookmarkEnd w:id="164"/>
    </w:p>
    <w:p>
      <w:pPr>
        <w:pStyle w:val="6"/>
        <w:widowControl w:val="0"/>
        <w:overflowPunct w:val="0"/>
        <w:rPr>
          <w:rFonts w:ascii="宋体" w:hAnsi="宋体"/>
          <w:color w:val="auto"/>
          <w:sz w:val="21"/>
          <w:szCs w:val="21"/>
          <w:highlight w:val="none"/>
        </w:rPr>
      </w:pPr>
      <w:bookmarkStart w:id="165" w:name="_Toc22900"/>
      <w:bookmarkStart w:id="166" w:name="_Toc17974"/>
      <w:bookmarkStart w:id="167" w:name="_Toc25498"/>
      <w:r>
        <w:rPr>
          <w:rFonts w:hint="eastAsia" w:ascii="宋体" w:hAnsi="宋体"/>
          <w:color w:val="auto"/>
          <w:sz w:val="21"/>
          <w:szCs w:val="21"/>
          <w:highlight w:val="none"/>
        </w:rPr>
        <w:t>33.询问</w:t>
      </w:r>
      <w:bookmarkEnd w:id="165"/>
      <w:bookmarkEnd w:id="166"/>
      <w:bookmarkEnd w:id="167"/>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6"/>
        <w:widowControl w:val="0"/>
        <w:overflowPunct w:val="0"/>
        <w:rPr>
          <w:rFonts w:ascii="宋体" w:hAnsi="宋体"/>
          <w:color w:val="auto"/>
          <w:sz w:val="21"/>
          <w:szCs w:val="21"/>
          <w:highlight w:val="none"/>
        </w:rPr>
      </w:pPr>
      <w:bookmarkStart w:id="168" w:name="_Toc2767"/>
      <w:bookmarkStart w:id="169" w:name="_Toc11264"/>
      <w:bookmarkStart w:id="170" w:name="_Toc8234"/>
      <w:r>
        <w:rPr>
          <w:rFonts w:hint="eastAsia" w:ascii="宋体" w:hAnsi="宋体"/>
          <w:color w:val="auto"/>
          <w:sz w:val="21"/>
          <w:szCs w:val="21"/>
          <w:highlight w:val="none"/>
        </w:rPr>
        <w:t>34.质疑</w:t>
      </w:r>
      <w:bookmarkEnd w:id="168"/>
      <w:bookmarkEnd w:id="169"/>
      <w:bookmarkEnd w:id="170"/>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spacing w:line="480" w:lineRule="auto"/>
        <w:jc w:val="center"/>
        <w:rPr>
          <w:rFonts w:ascii="宋体" w:hAnsi="宋体"/>
          <w:color w:val="auto"/>
          <w:highlight w:val="none"/>
        </w:rPr>
      </w:pPr>
      <w:bookmarkStart w:id="171" w:name="_Toc5690"/>
      <w:bookmarkStart w:id="172" w:name="_Toc24383"/>
      <w:bookmarkStart w:id="173" w:name="_Toc8919"/>
      <w:r>
        <w:rPr>
          <w:rFonts w:hint="eastAsia" w:ascii="宋体" w:hAnsi="宋体"/>
          <w:color w:val="auto"/>
          <w:highlight w:val="none"/>
        </w:rPr>
        <w:t>第八章其他</w:t>
      </w:r>
      <w:bookmarkEnd w:id="171"/>
      <w:bookmarkEnd w:id="172"/>
      <w:bookmarkEnd w:id="173"/>
    </w:p>
    <w:p>
      <w:pPr>
        <w:pStyle w:val="6"/>
        <w:widowControl w:val="0"/>
        <w:overflowPunct w:val="0"/>
        <w:rPr>
          <w:rFonts w:ascii="宋体" w:hAnsi="宋体"/>
          <w:color w:val="auto"/>
          <w:sz w:val="21"/>
          <w:szCs w:val="21"/>
          <w:highlight w:val="none"/>
        </w:rPr>
      </w:pPr>
      <w:bookmarkStart w:id="174" w:name="_Toc6548"/>
      <w:bookmarkStart w:id="175" w:name="_Toc10082"/>
      <w:bookmarkStart w:id="176" w:name="_Toc21187"/>
      <w:r>
        <w:rPr>
          <w:rFonts w:hint="eastAsia" w:ascii="宋体" w:hAnsi="宋体"/>
          <w:color w:val="auto"/>
          <w:sz w:val="21"/>
          <w:szCs w:val="21"/>
          <w:highlight w:val="none"/>
        </w:rPr>
        <w:t>35.招标文件的解释权</w:t>
      </w:r>
      <w:bookmarkEnd w:id="174"/>
      <w:bookmarkEnd w:id="175"/>
      <w:bookmarkEnd w:id="176"/>
    </w:p>
    <w:p>
      <w:pPr>
        <w:pStyle w:val="35"/>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color w:val="auto"/>
          <w:sz w:val="28"/>
          <w:szCs w:val="28"/>
          <w:highlight w:val="none"/>
        </w:rPr>
      </w:pPr>
      <w:bookmarkStart w:id="177" w:name="_Toc7011"/>
      <w:bookmarkStart w:id="178" w:name="_Toc382"/>
      <w:bookmarkStart w:id="179" w:name="_Toc31854"/>
      <w:r>
        <w:rPr>
          <w:rFonts w:hint="eastAsia"/>
          <w:color w:val="auto"/>
          <w:sz w:val="28"/>
          <w:szCs w:val="28"/>
          <w:highlight w:val="none"/>
        </w:rPr>
        <w:t>第五部分 用户需求书</w:t>
      </w:r>
      <w:bookmarkEnd w:id="177"/>
      <w:bookmarkEnd w:id="178"/>
      <w:bookmarkEnd w:id="179"/>
    </w:p>
    <w:p>
      <w:pPr>
        <w:pStyle w:val="5"/>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5"/>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501"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条款名称</w:t>
            </w:r>
          </w:p>
        </w:tc>
        <w:tc>
          <w:tcPr>
            <w:tcW w:w="6466"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1</w:t>
            </w:r>
          </w:p>
        </w:tc>
        <w:tc>
          <w:tcPr>
            <w:tcW w:w="1501"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合格投标人</w:t>
            </w:r>
          </w:p>
        </w:tc>
        <w:tc>
          <w:tcPr>
            <w:tcW w:w="6466" w:type="dxa"/>
            <w:vAlign w:val="center"/>
          </w:tcPr>
          <w:p>
            <w:pPr>
              <w:pStyle w:val="35"/>
              <w:ind w:left="210" w:leftChars="100" w:firstLine="210" w:firstLineChars="100"/>
              <w:rPr>
                <w:rFonts w:ascii="宋体" w:hAnsi="宋体" w:cs="宋体"/>
                <w:bCs/>
                <w:color w:val="auto"/>
                <w:kern w:val="44"/>
                <w:szCs w:val="21"/>
                <w:highlight w:val="none"/>
              </w:rPr>
            </w:pPr>
            <w:r>
              <w:rPr>
                <w:rFonts w:hint="eastAsia" w:ascii="宋体" w:hAnsi="宋体" w:cs="宋体"/>
                <w:color w:val="auto"/>
                <w:szCs w:val="21"/>
                <w:highlight w:val="none"/>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2</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b/>
                <w:bCs/>
                <w:color w:val="auto"/>
                <w:szCs w:val="21"/>
                <w:highlight w:val="none"/>
              </w:rPr>
            </w:pPr>
            <w:r>
              <w:rPr>
                <w:rFonts w:hint="eastAsia" w:ascii="宋体" w:hAnsi="宋体" w:eastAsia="宋体"/>
                <w:b/>
                <w:bCs/>
                <w:color w:val="auto"/>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合同签订之日起</w:t>
            </w:r>
            <w:r>
              <w:rPr>
                <w:rFonts w:hint="eastAsia" w:ascii="宋体" w:hAnsi="宋体" w:cs="宋体"/>
                <w:color w:val="auto"/>
                <w:sz w:val="21"/>
                <w:szCs w:val="21"/>
                <w:highlight w:val="none"/>
                <w:lang w:val="en-US" w:eastAsia="zh-CN"/>
              </w:rPr>
              <w:t>2年</w:t>
            </w:r>
            <w:r>
              <w:rPr>
                <w:rFonts w:hint="eastAsia" w:ascii="宋体" w:hAnsi="宋体" w:eastAsia="宋体" w:cs="宋体"/>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8"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3</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b/>
                <w:bCs/>
                <w:color w:val="auto"/>
                <w:szCs w:val="21"/>
                <w:highlight w:val="none"/>
              </w:rPr>
            </w:pPr>
            <w:r>
              <w:rPr>
                <w:rFonts w:hint="eastAsia" w:ascii="宋体" w:hAnsi="宋体" w:eastAsia="宋体"/>
                <w:b/>
                <w:bCs/>
                <w:color w:val="auto"/>
                <w:szCs w:val="21"/>
                <w:highlight w:val="none"/>
              </w:rPr>
              <w:t>保质期</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保质期超过15日的货品剩余保质期不得短于保质期的90%，保质期低于15日的货品必须为送货当日屠宰或制作的货品。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b/>
                <w:bCs/>
                <w:color w:val="auto"/>
                <w:szCs w:val="21"/>
                <w:highlight w:val="none"/>
              </w:rPr>
            </w:pPr>
            <w:r>
              <w:rPr>
                <w:rFonts w:hint="eastAsia" w:ascii="宋体" w:hAnsi="宋体" w:eastAsia="宋体"/>
                <w:b/>
                <w:bCs/>
                <w:color w:val="auto"/>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采购人指定的地点。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b/>
                <w:bCs/>
                <w:color w:val="auto"/>
                <w:szCs w:val="21"/>
                <w:highlight w:val="none"/>
              </w:rPr>
            </w:pPr>
            <w:r>
              <w:rPr>
                <w:rFonts w:hint="eastAsia" w:ascii="宋体" w:hAnsi="宋体" w:eastAsia="宋体"/>
                <w:b/>
                <w:bCs/>
                <w:color w:val="auto"/>
                <w:szCs w:val="21"/>
                <w:highlight w:val="none"/>
              </w:rPr>
              <w:t>付款</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每月结算一次。中标人完成当月供货订单后，于次月凭正式发票及经采购人确认的送货清单，向采购人申请付款，采购人收到申请核对无误后在30日内结清上月所有货款。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b/>
                <w:bCs/>
                <w:color w:val="auto"/>
                <w:szCs w:val="21"/>
                <w:highlight w:val="none"/>
                <w:lang w:val="en-US" w:eastAsia="zh-CN"/>
              </w:rPr>
            </w:pPr>
            <w:r>
              <w:rPr>
                <w:rFonts w:hint="eastAsia" w:ascii="宋体" w:hAnsi="宋体" w:eastAsia="宋体"/>
                <w:b/>
                <w:bCs/>
                <w:color w:val="auto"/>
                <w:szCs w:val="21"/>
                <w:highlight w:val="none"/>
                <w:lang w:val="en-US" w:eastAsia="zh-CN"/>
              </w:rPr>
              <w:t xml:space="preserve">★定价方式 </w:t>
            </w:r>
          </w:p>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b/>
                <w:bCs/>
                <w:color w:val="auto"/>
                <w:szCs w:val="21"/>
                <w:highlight w:val="none"/>
              </w:rPr>
            </w:pP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1、中标人供货价以周边肉菜市场（</w:t>
            </w:r>
            <w:r>
              <w:rPr>
                <w:rFonts w:hint="eastAsia" w:ascii="宋体" w:hAnsi="宋体" w:cs="宋体"/>
                <w:color w:val="auto"/>
                <w:sz w:val="21"/>
                <w:szCs w:val="21"/>
                <w:highlight w:val="none"/>
                <w:lang w:val="en-US" w:eastAsia="zh-CN"/>
              </w:rPr>
              <w:t>东部蔬菜</w:t>
            </w:r>
            <w:r>
              <w:rPr>
                <w:rFonts w:hint="eastAsia" w:ascii="宋体" w:hAnsi="宋体" w:eastAsia="宋体" w:cs="宋体"/>
                <w:color w:val="auto"/>
                <w:sz w:val="21"/>
                <w:szCs w:val="21"/>
                <w:highlight w:val="none"/>
                <w:lang w:val="en-US" w:eastAsia="zh-CN"/>
              </w:rPr>
              <w:t>批发市场、</w:t>
            </w:r>
            <w:r>
              <w:rPr>
                <w:rFonts w:hint="eastAsia" w:ascii="宋体" w:hAnsi="宋体" w:cs="宋体"/>
                <w:color w:val="auto"/>
                <w:sz w:val="21"/>
                <w:szCs w:val="21"/>
                <w:highlight w:val="none"/>
                <w:lang w:val="en-US" w:eastAsia="zh-CN"/>
              </w:rPr>
              <w:t>兴利肉菜</w:t>
            </w:r>
            <w:r>
              <w:rPr>
                <w:rFonts w:hint="eastAsia" w:ascii="宋体" w:hAnsi="宋体" w:eastAsia="宋体" w:cs="宋体"/>
                <w:color w:val="auto"/>
                <w:sz w:val="21"/>
                <w:szCs w:val="21"/>
                <w:highlight w:val="none"/>
                <w:lang w:val="en-US" w:eastAsia="zh-CN"/>
              </w:rPr>
              <w:t>市场、</w:t>
            </w:r>
            <w:r>
              <w:rPr>
                <w:rFonts w:hint="eastAsia" w:ascii="宋体" w:hAnsi="宋体" w:cs="宋体"/>
                <w:color w:val="auto"/>
                <w:sz w:val="21"/>
                <w:szCs w:val="21"/>
                <w:highlight w:val="none"/>
                <w:lang w:val="en-US" w:eastAsia="zh-CN"/>
              </w:rPr>
              <w:t>村尾农贸</w:t>
            </w:r>
            <w:r>
              <w:rPr>
                <w:rFonts w:hint="eastAsia" w:ascii="宋体" w:hAnsi="宋体" w:eastAsia="宋体" w:cs="宋体"/>
                <w:color w:val="auto"/>
                <w:sz w:val="21"/>
                <w:szCs w:val="21"/>
                <w:highlight w:val="none"/>
                <w:lang w:val="en-US" w:eastAsia="zh-CN"/>
              </w:rPr>
              <w:t>市场</w:t>
            </w:r>
            <w:r>
              <w:rPr>
                <w:rFonts w:hint="eastAsia" w:ascii="宋体" w:hAnsi="宋体" w:eastAsia="宋体" w:cs="宋体"/>
                <w:color w:val="auto"/>
                <w:sz w:val="21"/>
                <w:szCs w:val="21"/>
                <w:highlight w:val="none"/>
                <w:lang w:val="en-US" w:eastAsia="zh-CN"/>
              </w:rPr>
              <w:t>）进行抽样统计，以核定相同品种的市场平均价格（市场平均价=3个市场抽样价格之和÷3）为基准价（不含税）。</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2、定价时间：每15天调整一次价格，中标人须提前两天向采购人提供下一期的价格表，供采购人确认后开始执行。</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3、若遇台风、暴雨等意外原因造成的个别品种价格需临时调整，应通知采购人，并征得采购人同意后方可调整，每次送货按通知价格计算。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b/>
                <w:bCs/>
                <w:color w:val="auto"/>
                <w:szCs w:val="21"/>
                <w:highlight w:val="none"/>
              </w:rPr>
            </w:pPr>
            <w:r>
              <w:rPr>
                <w:rFonts w:hint="eastAsia" w:ascii="宋体" w:hAnsi="宋体" w:eastAsia="宋体"/>
                <w:b/>
                <w:bCs/>
                <w:color w:val="auto"/>
                <w:szCs w:val="21"/>
                <w:highlight w:val="none"/>
              </w:rPr>
              <w:t>售后服务</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接到采购人通知后1个小时内到达现场，服务方式均为中标人上门服务。非采购人的人为原因而出现产品质量问题，由中标人负责包换或包退。并承担上述情况产生的一切费用。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b/>
                <w:bCs/>
                <w:color w:val="auto"/>
                <w:szCs w:val="21"/>
                <w:highlight w:val="none"/>
                <w:lang w:val="en-US" w:eastAsia="zh-CN"/>
              </w:rPr>
            </w:pPr>
            <w:r>
              <w:rPr>
                <w:rFonts w:hint="eastAsia" w:ascii="宋体" w:hAnsi="宋体"/>
                <w:b/>
                <w:bCs/>
                <w:color w:val="auto"/>
                <w:szCs w:val="21"/>
                <w:highlight w:val="none"/>
                <w:lang w:val="en-US" w:eastAsia="zh-CN"/>
              </w:rPr>
              <w:t>★报价要求</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本项目统一按预算金额</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84</w:t>
            </w:r>
            <w:r>
              <w:rPr>
                <w:rFonts w:hint="eastAsia" w:ascii="宋体" w:hAnsi="宋体" w:eastAsia="宋体" w:cs="宋体"/>
                <w:color w:val="auto"/>
                <w:sz w:val="21"/>
                <w:szCs w:val="21"/>
                <w:highlight w:val="none"/>
                <w:lang w:eastAsia="zh-CN"/>
              </w:rPr>
              <w:t>0,000.00</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固定报价。投标报价应包括本次招标所有服务内容的费用</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包括</w:t>
            </w:r>
            <w:r>
              <w:rPr>
                <w:rFonts w:hint="eastAsia" w:ascii="宋体" w:hAnsi="宋体" w:eastAsia="宋体" w:cs="宋体"/>
                <w:color w:val="auto"/>
                <w:sz w:val="21"/>
                <w:szCs w:val="21"/>
                <w:highlight w:val="none"/>
              </w:rPr>
              <w:t>人工、包装、运输、保险、税费以及合同实施过程中的不可预见费用等全部费用。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9</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b/>
                <w:bCs/>
                <w:color w:val="auto"/>
                <w:szCs w:val="21"/>
                <w:highlight w:val="none"/>
                <w:lang w:val="en-US" w:eastAsia="zh-CN"/>
              </w:rPr>
            </w:pPr>
            <w:r>
              <w:rPr>
                <w:rFonts w:hint="eastAsia" w:ascii="宋体" w:hAnsi="宋体" w:eastAsia="宋体"/>
                <w:b/>
                <w:bCs/>
                <w:color w:val="auto"/>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投标人实质响应合同条款。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10</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b/>
                <w:bCs/>
                <w:color w:val="auto"/>
                <w:szCs w:val="21"/>
                <w:highlight w:val="none"/>
              </w:rPr>
            </w:pPr>
            <w:r>
              <w:rPr>
                <w:rFonts w:ascii="宋体" w:hAnsi="宋体" w:eastAsia="宋体"/>
                <w:b/>
                <w:bCs/>
                <w:color w:val="auto"/>
                <w:szCs w:val="21"/>
                <w:highlight w:val="none"/>
              </w:rPr>
              <w:t>其它要求</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5"/>
        <w:jc w:val="center"/>
        <w:rPr>
          <w:rFonts w:ascii="宋体" w:hAnsi="宋体"/>
          <w:color w:val="auto"/>
          <w:sz w:val="24"/>
          <w:highlight w:val="none"/>
        </w:rPr>
      </w:pPr>
      <w:bookmarkStart w:id="181" w:name="_Toc19316"/>
      <w:r>
        <w:rPr>
          <w:rFonts w:hint="eastAsia" w:ascii="宋体" w:hAnsi="宋体"/>
          <w:color w:val="auto"/>
          <w:highlight w:val="none"/>
        </w:rPr>
        <w:t>第二章 技术需求书</w:t>
      </w:r>
      <w:bookmarkEnd w:id="181"/>
    </w:p>
    <w:p>
      <w:pPr>
        <w:pStyle w:val="6"/>
        <w:bidi w:val="0"/>
        <w:rPr>
          <w:rFonts w:hint="eastAsia"/>
          <w:color w:val="auto"/>
          <w:highlight w:val="none"/>
        </w:rPr>
      </w:pPr>
      <w:bookmarkStart w:id="182" w:name="_Toc477332117"/>
      <w:bookmarkStart w:id="183" w:name="_Toc13112"/>
      <w:bookmarkStart w:id="184" w:name="_Toc24679"/>
      <w:bookmarkStart w:id="185" w:name="_Toc14462"/>
      <w:bookmarkStart w:id="186" w:name="_Toc31278"/>
      <w:r>
        <w:rPr>
          <w:rFonts w:hint="eastAsia"/>
          <w:color w:val="auto"/>
          <w:highlight w:val="none"/>
        </w:rPr>
        <w:t>一、服务内容和情况</w:t>
      </w:r>
    </w:p>
    <w:p>
      <w:pPr>
        <w:pageBreakBefore w:val="0"/>
        <w:widowControl/>
        <w:wordWrap/>
        <w:topLinePunct w:val="0"/>
        <w:autoSpaceDE/>
        <w:autoSpaceDN/>
        <w:bidi w:val="0"/>
        <w:adjustRightInd w:val="0"/>
        <w:snapToGrid w:val="0"/>
        <w:spacing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1、交货时间和地点：每天供货量及时间由采购人指定并送到用户指定地点（早餐食材6:30前、午晚餐食材9:00前）。</w:t>
      </w:r>
    </w:p>
    <w:p>
      <w:pPr>
        <w:pageBreakBefore w:val="0"/>
        <w:widowControl/>
        <w:wordWrap/>
        <w:topLinePunct w:val="0"/>
        <w:autoSpaceDE/>
        <w:autoSpaceDN/>
        <w:bidi w:val="0"/>
        <w:adjustRightInd w:val="0"/>
        <w:snapToGrid w:val="0"/>
        <w:spacing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2、中标人按照采购人提出的物品订货清单，不论数量多少，必须保证在规定的时间（以采购人下的供货通知单为依据）、地点（食堂）送货。</w:t>
      </w:r>
    </w:p>
    <w:p>
      <w:pPr>
        <w:pageBreakBefore w:val="0"/>
        <w:widowControl/>
        <w:wordWrap/>
        <w:topLinePunct w:val="0"/>
        <w:autoSpaceDE/>
        <w:autoSpaceDN/>
        <w:bidi w:val="0"/>
        <w:adjustRightInd w:val="0"/>
        <w:snapToGrid w:val="0"/>
        <w:spacing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3、中标人的供货价应包含交给采购人之前的一切费用，包括购置费、包装费、运输费、储存费、人工费、保险费、各种税费等，并承担送货途中的一切风险。</w:t>
      </w:r>
    </w:p>
    <w:p>
      <w:pPr>
        <w:pageBreakBefore w:val="0"/>
        <w:widowControl/>
        <w:wordWrap/>
        <w:topLinePunct w:val="0"/>
        <w:autoSpaceDE/>
        <w:autoSpaceDN/>
        <w:bidi w:val="0"/>
        <w:adjustRightInd w:val="0"/>
        <w:snapToGrid w:val="0"/>
        <w:spacing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4、售后服务：接到采购人通知后1个小时内到达现场，服务方式均为中标人上门服务。非采购人的人为原因而出现产品质量问题，由中标人负责包换或包退。并承担上述情况产生的一切费用。</w:t>
      </w:r>
    </w:p>
    <w:p>
      <w:pPr>
        <w:pStyle w:val="6"/>
        <w:bidi w:val="0"/>
        <w:rPr>
          <w:rFonts w:hint="eastAsia" w:eastAsia="宋体"/>
          <w:color w:val="auto"/>
          <w:highlight w:val="none"/>
        </w:rPr>
      </w:pPr>
      <w:r>
        <w:rPr>
          <w:rFonts w:hint="eastAsia" w:eastAsia="宋体"/>
          <w:color w:val="auto"/>
          <w:highlight w:val="none"/>
        </w:rPr>
        <w:t>二、质量及数量要求</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（一）质量要求：</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1、蔬果类应保持较好的色泽和新鲜度，符合国家食品卫生标准，不得有黄叶、腐烂、泥沙等现象，蔬果类农药等化学物不得超标，并提供农药残留检测证明。（蔬菜利用率不低于95% ）</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2、冻品、干货类为一级以上的优质品，有生产厂家、生产日期和保质期。</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3、海鲜、河鲜类必须鲜活。（利用率不低于95%）</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4、鲜肉类全部来源于正规肉联厂，保证为当日新鲜肉，并提供政府检疫部门出示的检疫合格证明。（鲜肉类利用率不低于98%）</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5、粮油、副食，调料类由正规厂家供货，相关证件齐全，并符合国家食品卫生标准，坚决杜绝出售假冒、变质、过期的产品。</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6、豆制品来源于政府许可的正规厂商。</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7、对于不符合采购方质量要求的品种可无偿退货或换货，如换货中标方必须在采购方规定的时间内把货送到目的地。</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（二）数量要求</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应保证斤、两的准确性；以采购人的验收数量为准，中标方每次随货携带一式两联的送货清单，食品经双方验收后须签字确认。</w:t>
      </w:r>
    </w:p>
    <w:p>
      <w:pPr>
        <w:pStyle w:val="6"/>
        <w:bidi w:val="0"/>
        <w:rPr>
          <w:rFonts w:hint="eastAsia" w:eastAsia="宋体"/>
          <w:color w:val="auto"/>
          <w:highlight w:val="none"/>
        </w:rPr>
      </w:pPr>
      <w:r>
        <w:rPr>
          <w:rFonts w:hint="eastAsia" w:eastAsia="宋体"/>
          <w:color w:val="auto"/>
          <w:highlight w:val="none"/>
        </w:rPr>
        <w:t>三、食品安全保障措施</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1、中标方必须遵守国家规定的《食品安全法》、《农产品质量安全法》等法律和行政法规的规定，严禁配送假冒、变质、过期的农副产品。</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2、中标方须对采购方购买的食品分类用器具装载，不得混装，运输过程应采取相应的保鲜防护措施。</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3、如因中标方所送的食品引起食用的人身体不适、发生食物中毒等问题，经市级质量检验部门确定后是中标方的责任，由中标方承担全部经济赔偿与法律责任。</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4、中标方保证供应的货品均为正规生产的新鲜（冰鲜除外）检验合格、无毒、无辐射、无侵权货品，符合国家有关卫生、质量、包装和保质标准，要使用有效期的货品。</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中标方提供的鲜鱼、肉类保证每日新鲜，提供的猪肉牛肉羊肉均为东莞市定点屠宰厂（场）经检疫和肉品品质检验合格的产品，具有由定点屠宰厂（场）加盖验讫印章并出具《畜产品检验证明》或《动物检疫合格证明》，所有产品并可追索。</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中标方提供的蔬菜必须保证每日新鲜，取得无公害认证优先选择，并符合食品卫生安全法要求并出具有效的《农产品检验报告》。采购人使用“农药测试卡”检验蔬菜农药含量，如含量超标要求中标方无条件退货或换货，出现 1 次含量超标情况的，并处以中标方人民币3000元罚款，罚款由当批次的供货结算款内扣除。出现3次以上含量超标情况的，采购人有权单方终止合同。</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7、中标方保证所提供的鲜肉类、生禽、鲜水产、蔬菜种类的多样性和季节性，以保证新鲜感。</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8、货物有包装的，货物的包装必须完整清洁（无损、无污、无皱），采购人有权拒收包装不整齐、已拆封的商品。</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9、采购人发现商品出现损坏（包括表面损坏），或出现水渍、串味、受潮等导致货物性质改变的，中标方必须无条件退货或更换商品。</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10、中标方提供假冒伪劣、过期、变质的、有毒食品的，一经发现，除按采购人要求无条件退货或换货外，还将受到如下处罚：</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（1）中标方提供假冒伪劣、过期、变质食品的，采购人有权要求无条件退货或换货，并处以中标方人民币3000元罚款，罚款由当批次的供货结算款内扣除。出现3次以上情况，采购人有权单方终止合同。</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（2）中标方若提供有毒食品，造成食品安全事故的，经有关单位鉴定原因后，如确实为中标方提供的食品问题，中标方须负担全数的医药费，同时承担相应的民事及刑事法律责任及放弃先诉抗辩权。</w:t>
      </w:r>
    </w:p>
    <w:p>
      <w:pPr>
        <w:pStyle w:val="6"/>
        <w:bidi w:val="0"/>
        <w:rPr>
          <w:rFonts w:hint="eastAsia" w:eastAsia="宋体"/>
          <w:color w:val="auto"/>
          <w:highlight w:val="none"/>
        </w:rPr>
      </w:pPr>
      <w:r>
        <w:rPr>
          <w:rFonts w:hint="eastAsia" w:eastAsia="宋体"/>
          <w:color w:val="auto"/>
          <w:highlight w:val="none"/>
        </w:rPr>
        <w:t>四、交货及运输</w:t>
      </w:r>
    </w:p>
    <w:p>
      <w:pPr>
        <w:pStyle w:val="8"/>
        <w:pageBreakBefore w:val="0"/>
        <w:widowControl/>
        <w:kinsoku w:val="0"/>
        <w:wordWrap/>
        <w:overflowPunct w:val="0"/>
        <w:topLinePunct w:val="0"/>
        <w:autoSpaceDE/>
        <w:autoSpaceDN/>
        <w:bidi w:val="0"/>
        <w:adjustRightInd w:val="0"/>
        <w:snapToGrid w:val="0"/>
        <w:spacing w:before="0" w:after="0"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1、中标方应保证每天早上将所订的货物按照约定时间（早餐食材6:30前、午晚餐食材9:00前）送至采购人指定地方，运输车辆内外必须清洁干净，无污渍，无异味。</w:t>
      </w:r>
    </w:p>
    <w:p>
      <w:pPr>
        <w:pStyle w:val="8"/>
        <w:pageBreakBefore w:val="0"/>
        <w:widowControl/>
        <w:kinsoku w:val="0"/>
        <w:wordWrap/>
        <w:overflowPunct w:val="0"/>
        <w:topLinePunct w:val="0"/>
        <w:autoSpaceDE/>
        <w:autoSpaceDN/>
        <w:bidi w:val="0"/>
        <w:adjustRightInd w:val="0"/>
        <w:snapToGrid w:val="0"/>
        <w:spacing w:before="0" w:after="0"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2、采购人需要临时增加补货，中标方须尽力配合，约定时间到位。</w:t>
      </w:r>
    </w:p>
    <w:p>
      <w:pPr>
        <w:pStyle w:val="8"/>
        <w:pageBreakBefore w:val="0"/>
        <w:widowControl/>
        <w:kinsoku w:val="0"/>
        <w:wordWrap/>
        <w:overflowPunct w:val="0"/>
        <w:topLinePunct w:val="0"/>
        <w:autoSpaceDE/>
        <w:autoSpaceDN/>
        <w:bidi w:val="0"/>
        <w:adjustRightInd w:val="0"/>
        <w:snapToGrid w:val="0"/>
        <w:spacing w:before="0" w:after="0"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3、中标方的送货单必须详细注明商品的品牌、品种、单价、数量、送货单不得涂改。</w:t>
      </w:r>
    </w:p>
    <w:p>
      <w:pPr>
        <w:pStyle w:val="6"/>
        <w:bidi w:val="0"/>
        <w:rPr>
          <w:rFonts w:hint="eastAsia" w:eastAsia="宋体"/>
          <w:color w:val="auto"/>
          <w:highlight w:val="none"/>
        </w:rPr>
      </w:pPr>
      <w:r>
        <w:rPr>
          <w:rFonts w:hint="eastAsia" w:eastAsia="宋体"/>
          <w:color w:val="auto"/>
          <w:highlight w:val="none"/>
          <w:lang w:val="en-US" w:eastAsia="zh-CN"/>
        </w:rPr>
        <w:t>五</w:t>
      </w:r>
      <w:r>
        <w:rPr>
          <w:rFonts w:hint="eastAsia" w:eastAsia="宋体"/>
          <w:color w:val="auto"/>
          <w:highlight w:val="none"/>
        </w:rPr>
        <w:t>、</w:t>
      </w:r>
      <w:bookmarkEnd w:id="182"/>
      <w:r>
        <w:rPr>
          <w:rFonts w:hint="eastAsia" w:eastAsia="宋体"/>
          <w:color w:val="auto"/>
          <w:highlight w:val="none"/>
        </w:rPr>
        <w:t>采购参考清单</w:t>
      </w:r>
    </w:p>
    <w:p>
      <w:pPr>
        <w:pageBreakBefore w:val="0"/>
        <w:widowControl/>
        <w:wordWrap/>
        <w:topLinePunct w:val="0"/>
        <w:autoSpaceDE/>
        <w:autoSpaceDN/>
        <w:bidi w:val="0"/>
        <w:adjustRightInd w:val="0"/>
        <w:snapToGrid w:val="0"/>
        <w:spacing w:line="360" w:lineRule="auto"/>
        <w:ind w:left="0" w:righ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清单一：</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489"/>
        <w:gridCol w:w="2394"/>
        <w:gridCol w:w="1896"/>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48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分类</w:t>
            </w: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名称</w:t>
            </w:r>
          </w:p>
        </w:tc>
        <w:tc>
          <w:tcPr>
            <w:tcW w:w="18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品质要求</w:t>
            </w:r>
          </w:p>
        </w:tc>
        <w:tc>
          <w:tcPr>
            <w:tcW w:w="84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48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早餐</w:t>
            </w: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河粉</w:t>
            </w:r>
          </w:p>
        </w:tc>
        <w:tc>
          <w:tcPr>
            <w:tcW w:w="1896"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新鲜、无味</w:t>
            </w:r>
          </w:p>
        </w:tc>
        <w:tc>
          <w:tcPr>
            <w:tcW w:w="84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48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粉卷</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48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濑粉</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48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云吞</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489"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蔬菜类</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大白菜</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新鲜、无腐烂</w:t>
            </w:r>
          </w:p>
        </w:tc>
        <w:tc>
          <w:tcPr>
            <w:tcW w:w="849"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菜心</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芥兰</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菠菜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椰菜花</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茄瓜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白萝卜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莲藕</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芥菜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上海青</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韭菜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西洋菜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通心菜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番茄</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京包菜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尖椒</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马铃薯</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青瓜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西芹</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奶白菜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凉瓜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豆角</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红萝卜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冬瓜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豆腐</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油豆腐</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豆腐干</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葱</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酸菜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咸菜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蒜肉</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芫茜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韭黄</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w:t>
            </w:r>
          </w:p>
        </w:tc>
        <w:tc>
          <w:tcPr>
            <w:tcW w:w="1489"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蔬菜类</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香芹</w:t>
            </w:r>
          </w:p>
        </w:tc>
        <w:tc>
          <w:tcPr>
            <w:tcW w:w="1896" w:type="dxa"/>
            <w:vMerge w:val="restart"/>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新鲜、无腐烂</w:t>
            </w:r>
          </w:p>
        </w:tc>
        <w:tc>
          <w:tcPr>
            <w:tcW w:w="849"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洋葱</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西椒</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红尖椒</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番薯</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沙葛</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木瓜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节瓜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蒲瓜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莴笋(去皮)</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茅根</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水白菜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小白菜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宁夏奶白菜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油麦菜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鸡比菇</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栗米条</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茶树菇</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荷兰豆</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平包菜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酸豆角</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西兰花</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向阳白</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鲜草菇</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粟米粒</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园青豆</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金针菇</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马蹄肉</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云南小瓜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新鲜木耳</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山药</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去皮芋头</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梅菜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大头菜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芥兰头</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红苋</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78</w:t>
            </w:r>
          </w:p>
        </w:tc>
        <w:tc>
          <w:tcPr>
            <w:tcW w:w="148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丝瓜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79</w:t>
            </w:r>
          </w:p>
        </w:tc>
        <w:tc>
          <w:tcPr>
            <w:tcW w:w="148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丝瓜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淮山</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81</w:t>
            </w:r>
          </w:p>
        </w:tc>
        <w:tc>
          <w:tcPr>
            <w:tcW w:w="1489"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蔬菜类</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芦笋</w:t>
            </w:r>
          </w:p>
        </w:tc>
        <w:tc>
          <w:tcPr>
            <w:tcW w:w="18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新鲜、无腐烂</w:t>
            </w:r>
          </w:p>
        </w:tc>
        <w:tc>
          <w:tcPr>
            <w:tcW w:w="84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82</w:t>
            </w:r>
          </w:p>
        </w:tc>
        <w:tc>
          <w:tcPr>
            <w:tcW w:w="148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肉类</w:t>
            </w: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有皮上肉</w:t>
            </w:r>
          </w:p>
        </w:tc>
        <w:tc>
          <w:tcPr>
            <w:tcW w:w="1896"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正规屠杀场</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瘦肉</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肉丸</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花腩</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排骨</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大骨</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腊肉</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正规厂</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腊肠</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边骨</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正规屠杀场</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猪手</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火腿</w:t>
            </w:r>
          </w:p>
        </w:tc>
        <w:tc>
          <w:tcPr>
            <w:tcW w:w="1896"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正规厂</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牛肉</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正规屠杀场</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碎牛腩</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冻排骨</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正规厂</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冻猪肚</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去皮上肉</w:t>
            </w:r>
          </w:p>
        </w:tc>
        <w:tc>
          <w:tcPr>
            <w:tcW w:w="1896"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正规屠杀场</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鸡肉肠</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进口品牌或国产一线品牌</w:t>
            </w:r>
          </w:p>
        </w:tc>
        <w:tc>
          <w:tcPr>
            <w:tcW w:w="84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鸡腩肉</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腊肠</w:t>
            </w:r>
          </w:p>
        </w:tc>
        <w:tc>
          <w:tcPr>
            <w:tcW w:w="1896"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国产一线品牌</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w:t>
            </w:r>
          </w:p>
        </w:tc>
        <w:tc>
          <w:tcPr>
            <w:tcW w:w="1489" w:type="dxa"/>
            <w:vMerge w:val="restart"/>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蛋类</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鸡蛋</w:t>
            </w:r>
          </w:p>
        </w:tc>
        <w:tc>
          <w:tcPr>
            <w:tcW w:w="1896"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咸蛋黄</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正规厂</w:t>
            </w:r>
          </w:p>
        </w:tc>
        <w:tc>
          <w:tcPr>
            <w:tcW w:w="84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咸蛋</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皮蛋</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105</w:t>
            </w:r>
          </w:p>
        </w:tc>
        <w:tc>
          <w:tcPr>
            <w:tcW w:w="1489" w:type="dxa"/>
            <w:vMerge w:val="restart"/>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三鸟类</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土光鸡</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正规屠杀场</w:t>
            </w:r>
          </w:p>
        </w:tc>
        <w:tc>
          <w:tcPr>
            <w:tcW w:w="84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番鸭</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冻鸭腿</w:t>
            </w:r>
          </w:p>
        </w:tc>
        <w:tc>
          <w:tcPr>
            <w:tcW w:w="1896"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正规厂</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108</w:t>
            </w:r>
          </w:p>
        </w:tc>
        <w:tc>
          <w:tcPr>
            <w:tcW w:w="148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光鹅</w:t>
            </w:r>
          </w:p>
        </w:tc>
        <w:tc>
          <w:tcPr>
            <w:tcW w:w="18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正规屠杀场</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烧鹅（整只）</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烧鹅（散）</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鸡腿</w:t>
            </w:r>
          </w:p>
        </w:tc>
        <w:tc>
          <w:tcPr>
            <w:tcW w:w="1896"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正规屠杀场</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冻鸡翼</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w:t>
            </w:r>
          </w:p>
        </w:tc>
        <w:tc>
          <w:tcPr>
            <w:tcW w:w="1489" w:type="dxa"/>
            <w:vMerge w:val="restart"/>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水产类</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鱼头</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咸鱼</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鲩鱼腩</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鲩鱼骨</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大头鱼骨</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麻虾</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119</w:t>
            </w:r>
          </w:p>
        </w:tc>
        <w:tc>
          <w:tcPr>
            <w:tcW w:w="1489" w:type="dxa"/>
            <w:vMerge w:val="restart"/>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水果</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苹果</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新鲜、无腐烂</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梨</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121</w:t>
            </w:r>
          </w:p>
        </w:tc>
        <w:tc>
          <w:tcPr>
            <w:tcW w:w="1489" w:type="dxa"/>
            <w:vMerge w:val="restart"/>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水果</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黑美人</w:t>
            </w:r>
          </w:p>
        </w:tc>
        <w:tc>
          <w:tcPr>
            <w:tcW w:w="1896"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新鲜、无腐烂</w:t>
            </w:r>
          </w:p>
        </w:tc>
        <w:tc>
          <w:tcPr>
            <w:tcW w:w="84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香蕉</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柠檬</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雪梨</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橙子</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红提</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香梨</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压沙瓜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火龙果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哈蜜瓜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石榴（番石榴）</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圣女果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龙眼</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金奇异果30个装</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菠萝</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桂味荔枝</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奶蕉</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沙糖桔</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bl>
    <w:p>
      <w:pPr>
        <w:pageBreakBefore w:val="0"/>
        <w:widowControl/>
        <w:wordWrap/>
        <w:topLinePunct w:val="0"/>
        <w:autoSpaceDE/>
        <w:autoSpaceDN/>
        <w:bidi w:val="0"/>
        <w:adjustRightInd w:val="0"/>
        <w:snapToGrid w:val="0"/>
        <w:spacing w:line="360" w:lineRule="auto"/>
        <w:ind w:left="0" w:right="0" w:firstLine="413" w:firstLineChars="196"/>
        <w:textAlignment w:val="auto"/>
        <w:rPr>
          <w:rFonts w:hint="eastAsia" w:ascii="宋体" w:hAnsi="宋体" w:eastAsia="宋体" w:cs="宋体"/>
          <w:b/>
          <w:color w:val="auto"/>
          <w:sz w:val="21"/>
          <w:szCs w:val="21"/>
          <w:highlight w:val="none"/>
        </w:rPr>
      </w:pPr>
    </w:p>
    <w:p>
      <w:pPr>
        <w:pageBreakBefore w:val="0"/>
        <w:widowControl/>
        <w:wordWrap/>
        <w:topLinePunct w:val="0"/>
        <w:autoSpaceDE/>
        <w:autoSpaceDN/>
        <w:bidi w:val="0"/>
        <w:adjustRightInd w:val="0"/>
        <w:snapToGrid w:val="0"/>
        <w:spacing w:line="360" w:lineRule="auto"/>
        <w:ind w:left="0" w:righ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清单二：</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288"/>
        <w:gridCol w:w="2140"/>
        <w:gridCol w:w="1743"/>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288"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分类</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名称</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规格/型号</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139</w:t>
            </w:r>
          </w:p>
        </w:tc>
        <w:tc>
          <w:tcPr>
            <w:tcW w:w="1288"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油类</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调和油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15升</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花生油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5升</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141</w:t>
            </w:r>
          </w:p>
        </w:tc>
        <w:tc>
          <w:tcPr>
            <w:tcW w:w="1288"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米类</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糯米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25千克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泰曼香米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50斤</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新惠大米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25KG</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晚稻七丝粘米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30斤/包</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东北大米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50斤</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泰娘特级面粉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22.5KG</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148</w:t>
            </w:r>
          </w:p>
        </w:tc>
        <w:tc>
          <w:tcPr>
            <w:tcW w:w="1288" w:type="dxa"/>
            <w:noWrap w:val="0"/>
            <w:textDirection w:val="tbRlV"/>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糖</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一级白糖</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50千克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149</w:t>
            </w:r>
          </w:p>
        </w:tc>
        <w:tc>
          <w:tcPr>
            <w:tcW w:w="1288"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干货类</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去皮荞麦</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燕麦</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粗米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黑豆</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梅菜干（菜干）</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大粒扁豆</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155</w:t>
            </w:r>
          </w:p>
        </w:tc>
        <w:tc>
          <w:tcPr>
            <w:tcW w:w="1288"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干货类</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五指毛桃</w:t>
            </w:r>
          </w:p>
        </w:tc>
        <w:tc>
          <w:tcPr>
            <w:tcW w:w="1743"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西米</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小麦</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黄豆</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赤小豆</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大粒花生</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大粒绿豆</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去皮绿豆</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大粒红豆</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八角</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香叶</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虾米</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桂皮</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丁香</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草果</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支竹</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腐竹片</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海带</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金针</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木耳</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榄角</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紫菜</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榨菜</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辣椒粹</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辣椒干</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厚冬菇</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干茶树菇</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雪耳</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南杏</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北杏</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麦芽糖</w:t>
            </w:r>
          </w:p>
        </w:tc>
        <w:tc>
          <w:tcPr>
            <w:tcW w:w="1743"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柚子皮</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淡菜子</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188</w:t>
            </w:r>
          </w:p>
        </w:tc>
        <w:tc>
          <w:tcPr>
            <w:tcW w:w="1288"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调味料</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沙姜粉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英标生抽</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2罐/10升</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蚝油皇1</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2桶/6KG</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味事达生抽</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170ML/24支</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金标生抽</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1.9L/6瓶</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米酒</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肉丁菜甫</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12支*284克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195</w:t>
            </w:r>
          </w:p>
        </w:tc>
        <w:tc>
          <w:tcPr>
            <w:tcW w:w="1288"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调味料</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食粉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12支*230克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老干妈</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300克/24瓶</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广州腐乳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330克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石岐米酒</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12支*610ML</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陈村碱水</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4千克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进口生粉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25千克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国产生粉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25千克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金标老抽</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6瓶*1.9升</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12瓶</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鸡料</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300克/盒</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味精</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50包*454克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白醋</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12支</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陈醋</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20瓶/410克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面鼓</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12支/230克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豆鼓</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5斤</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椰酱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400毫升</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味椒盐</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18瓶*50克/件</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芝麻酱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450克/12瓶</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柱侯酱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6.5KG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海鲜酱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15支/230克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叉烧酱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15支/240克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胡椒粉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20包/454克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绿色精盐</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10包*2500克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低钠盐</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250g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松肉粉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片糖</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4.6千克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生抽</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辣椒油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210克/瓶*24瓶</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桂林三宝辣椒酱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20瓶*215克/瓶</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榄菜</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12瓶/175克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柱候酱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240克*15瓶</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汉斯茄酱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客家盐焗鸡粉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20小包*20克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229</w:t>
            </w:r>
          </w:p>
        </w:tc>
        <w:tc>
          <w:tcPr>
            <w:tcW w:w="1288"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其他食品</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石龙金燕米粉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3.25KG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东莞米粉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龙口粉丝</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陈村面</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糯米粉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20包∕500G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燕麦片</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三花奶</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48支</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茶叶</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2.3千克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铁观音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500克/包</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普洱茶</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500克/包</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炭烧咖啡</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雀巢咖啡因</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伊利牛奶</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6支/1000ML</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雀巢健心奶粉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900克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柚子蜜</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1KG</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柑桔蜜</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1KG</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伊利奶</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250ML*16支</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椰子汁</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245ML*24罐</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青岛啤酒</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330ML*24罐</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阿华田</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1150克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七喜</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330ML*24</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太古糖浆</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怡宝水</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555ML*24</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王老吉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24瓶</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可口可乐</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330ML*24</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方包</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3斤</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莲蓉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15千克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红豆馅</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5千克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伊面</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2.5斤</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乌冬面</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30包*200克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水磨粘米粉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500克*20包</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塔塔粉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马蹄粉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炮打粉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3千克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淀粉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猪油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30斤</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牛油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12千克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大粒松子</w:t>
            </w:r>
          </w:p>
        </w:tc>
        <w:tc>
          <w:tcPr>
            <w:tcW w:w="1743"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白芝麻</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瓜子仁</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依士</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椰丝</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条状</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黑芝麻</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芝士片</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虫草花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白糖包</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1.25KG</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高级饱油底纸</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长6.8*宽6.8</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咖啡糖包</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百花蜂蜜糖</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日本豆腐</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100克/条、40条/件</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花椒油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400ML</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炼奶</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粟米羹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24*450克/瓶</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栗粉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454克/24盒</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琼脂</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柚子酱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800克/瓶</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花生酱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1000克/瓶</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五香粉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454克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黑椒碎</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455克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咖喱粉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350克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红枣片</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大饺子皮</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猪大油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乡醇醪糟酒</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450克/瓶</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吉士粉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普通茶叶</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蛋糕油纸</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48cm*38cm</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粉丝</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180g</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提子干</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bl>
    <w:p>
      <w:pPr>
        <w:pageBreakBefore w:val="0"/>
        <w:widowControl/>
        <w:wordWrap/>
        <w:topLinePunct w:val="0"/>
        <w:autoSpaceDE/>
        <w:autoSpaceDN/>
        <w:bidi w:val="0"/>
        <w:adjustRightInd w:val="0"/>
        <w:snapToGrid w:val="0"/>
        <w:spacing w:line="360" w:lineRule="auto"/>
        <w:ind w:left="0" w:right="0" w:firstLine="630" w:firstLineChars="3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以上清单内容仅供参考，不构成对投标人所报品牌的任何约束。所有产品的实际采购数量以采购人实际需要为准，送货数量及时间由采购人按需通知，投标人须按采购人指定时间将产品送至指定地点。</w:t>
      </w:r>
    </w:p>
    <w:p>
      <w:pPr>
        <w:bidi w:val="0"/>
        <w:rPr>
          <w:rFonts w:hint="eastAsia"/>
          <w:color w:val="auto"/>
          <w:highlight w:val="none"/>
          <w:lang w:eastAsia="zh-CN"/>
        </w:rPr>
      </w:pPr>
    </w:p>
    <w:p>
      <w:pPr>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pPr>
        <w:pStyle w:val="8"/>
        <w:ind w:left="0" w:leftChars="0" w:firstLine="0" w:firstLineChars="0"/>
        <w:rPr>
          <w:color w:val="auto"/>
          <w:highlight w:val="none"/>
        </w:rPr>
        <w:sectPr>
          <w:pgSz w:w="11906" w:h="16838"/>
          <w:pgMar w:top="1440" w:right="1800" w:bottom="1440" w:left="1800" w:header="851" w:footer="992" w:gutter="0"/>
          <w:pgNumType w:fmt="decimal"/>
          <w:cols w:space="720" w:num="1"/>
          <w:docGrid w:type="lines" w:linePitch="312" w:charSpace="0"/>
        </w:sectPr>
      </w:pPr>
    </w:p>
    <w:bookmarkEnd w:id="183"/>
    <w:bookmarkEnd w:id="184"/>
    <w:bookmarkEnd w:id="185"/>
    <w:bookmarkEnd w:id="186"/>
    <w:p>
      <w:pPr>
        <w:pStyle w:val="4"/>
        <w:spacing w:before="0" w:after="0" w:line="240" w:lineRule="auto"/>
        <w:rPr>
          <w:color w:val="auto"/>
          <w:sz w:val="28"/>
          <w:szCs w:val="28"/>
          <w:highlight w:val="none"/>
        </w:rPr>
      </w:pPr>
      <w:bookmarkStart w:id="187" w:name="_Toc12485"/>
      <w:bookmarkStart w:id="188" w:name="_Toc12014"/>
      <w:bookmarkStart w:id="189" w:name="_Toc21448"/>
      <w:r>
        <w:rPr>
          <w:rFonts w:hint="eastAsia"/>
          <w:color w:val="auto"/>
          <w:sz w:val="28"/>
          <w:szCs w:val="28"/>
          <w:highlight w:val="none"/>
        </w:rPr>
        <w:t>第六部分 合同格式（仅供参考）</w:t>
      </w:r>
      <w:bookmarkEnd w:id="187"/>
      <w:bookmarkEnd w:id="188"/>
      <w:bookmarkEnd w:id="189"/>
      <w:bookmarkStart w:id="190" w:name="_Toc13430"/>
      <w:bookmarkStart w:id="191" w:name="_Toc1534"/>
      <w:bookmarkStart w:id="192" w:name="_Toc21155"/>
    </w:p>
    <w:bookmarkEnd w:id="190"/>
    <w:bookmarkEnd w:id="191"/>
    <w:bookmarkEnd w:id="192"/>
    <w:p>
      <w:pPr>
        <w:pStyle w:val="5"/>
        <w:spacing w:line="240" w:lineRule="auto"/>
        <w:jc w:val="center"/>
        <w:rPr>
          <w:rFonts w:ascii="宋体" w:hAnsi="宋体" w:cs="宋体"/>
          <w:color w:val="auto"/>
          <w:highlight w:val="none"/>
        </w:rPr>
      </w:pPr>
      <w:bookmarkStart w:id="193" w:name="_Toc19575"/>
      <w:bookmarkStart w:id="194" w:name="_Toc16730"/>
      <w:bookmarkStart w:id="195" w:name="_Toc8880"/>
      <w:r>
        <w:rPr>
          <w:rFonts w:hint="eastAsia" w:ascii="宋体" w:hAnsi="宋体" w:cs="宋体"/>
          <w:color w:val="auto"/>
          <w:highlight w:val="none"/>
        </w:rPr>
        <w:t>合同格式</w:t>
      </w:r>
      <w:bookmarkEnd w:id="193"/>
      <w:bookmarkEnd w:id="194"/>
      <w:bookmarkEnd w:id="195"/>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6"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3"/>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3"/>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6"/>
    <w:p>
      <w:pPr>
        <w:ind w:firstLine="422" w:firstLineChars="200"/>
        <w:rPr>
          <w:rFonts w:ascii="宋体" w:hAnsi="宋体"/>
          <w:b/>
          <w:color w:val="auto"/>
          <w:szCs w:val="21"/>
          <w:highlight w:val="none"/>
        </w:rPr>
      </w:pPr>
      <w:bookmarkStart w:id="197"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8" w:name="_Toc86481569"/>
      <w:r>
        <w:rPr>
          <w:rFonts w:hint="eastAsia" w:ascii="宋体" w:hAnsi="宋体"/>
          <w:b/>
          <w:color w:val="auto"/>
          <w:szCs w:val="21"/>
          <w:highlight w:val="none"/>
        </w:rPr>
        <w:t>第十二条 合同生效</w:t>
      </w:r>
      <w:bookmarkEnd w:id="198"/>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7"/>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keepNext w:val="0"/>
        <w:keepLines w:val="0"/>
        <w:pageBreakBefore w:val="0"/>
        <w:kinsoku/>
        <w:wordWrap/>
        <w:overflowPunct/>
        <w:topLinePunct w:val="0"/>
        <w:autoSpaceDE/>
        <w:autoSpaceDN/>
        <w:bidi w:val="0"/>
        <w:spacing w:line="360" w:lineRule="auto"/>
        <w:textAlignment w:val="auto"/>
        <w:rPr>
          <w:rFonts w:hint="eastAsia" w:ascii="宋体" w:hAnsi="宋体"/>
          <w:b/>
          <w:color w:val="auto"/>
          <w:sz w:val="21"/>
          <w:szCs w:val="21"/>
          <w:highlight w:val="none"/>
        </w:rPr>
      </w:pPr>
    </w:p>
    <w:p>
      <w:pPr>
        <w:keepNext w:val="0"/>
        <w:keepLines w:val="0"/>
        <w:pageBreakBefore w:val="0"/>
        <w:kinsoku/>
        <w:wordWrap/>
        <w:overflowPunct/>
        <w:topLinePunct w:val="0"/>
        <w:autoSpaceDE/>
        <w:autoSpaceDN/>
        <w:bidi w:val="0"/>
        <w:spacing w:line="360" w:lineRule="auto"/>
        <w:textAlignment w:val="auto"/>
        <w:rPr>
          <w:color w:val="auto"/>
          <w:sz w:val="21"/>
          <w:szCs w:val="21"/>
          <w:highlight w:val="none"/>
        </w:rPr>
      </w:pPr>
      <w:r>
        <w:rPr>
          <w:rFonts w:hint="eastAsia" w:ascii="宋体" w:hAnsi="宋体"/>
          <w:b/>
          <w:color w:val="auto"/>
          <w:sz w:val="21"/>
          <w:szCs w:val="21"/>
          <w:highlight w:val="none"/>
        </w:rPr>
        <w:t>此仅为合同书样本，</w:t>
      </w:r>
      <w:r>
        <w:rPr>
          <w:rFonts w:hint="eastAsia" w:ascii="宋体" w:hAnsi="宋体"/>
          <w:b/>
          <w:color w:val="auto"/>
          <w:sz w:val="21"/>
          <w:szCs w:val="21"/>
          <w:highlight w:val="none"/>
          <w:lang w:eastAsia="zh-CN"/>
        </w:rPr>
        <w:t>乙方</w:t>
      </w:r>
      <w:r>
        <w:rPr>
          <w:rFonts w:hint="eastAsia" w:ascii="宋体" w:hAnsi="宋体"/>
          <w:b/>
          <w:color w:val="auto"/>
          <w:sz w:val="21"/>
          <w:szCs w:val="21"/>
          <w:highlight w:val="none"/>
        </w:rPr>
        <w:t>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199" w:name="_Toc23749"/>
      <w:bookmarkStart w:id="200" w:name="_Toc31587"/>
      <w:bookmarkStart w:id="201" w:name="_Toc1478"/>
      <w:r>
        <w:rPr>
          <w:rFonts w:hint="eastAsia"/>
          <w:color w:val="auto"/>
          <w:sz w:val="28"/>
          <w:szCs w:val="28"/>
          <w:highlight w:val="none"/>
        </w:rPr>
        <w:t>第七部分  投标文件格式</w:t>
      </w:r>
      <w:bookmarkEnd w:id="199"/>
      <w:bookmarkEnd w:id="200"/>
      <w:bookmarkEnd w:id="201"/>
    </w:p>
    <w:p>
      <w:pPr>
        <w:rPr>
          <w:color w:val="auto"/>
          <w:highlight w:val="none"/>
        </w:rPr>
      </w:pPr>
    </w:p>
    <w:p>
      <w:pPr>
        <w:pStyle w:val="5"/>
        <w:rPr>
          <w:color w:val="auto"/>
          <w:highlight w:val="none"/>
        </w:rPr>
      </w:pPr>
      <w:bookmarkStart w:id="202" w:name="_Toc26830"/>
      <w:bookmarkStart w:id="203" w:name="_Toc6790"/>
      <w:bookmarkStart w:id="204" w:name="_Toc5794"/>
      <w:r>
        <w:rPr>
          <w:rFonts w:hint="eastAsia"/>
          <w:color w:val="auto"/>
          <w:highlight w:val="none"/>
        </w:rPr>
        <w:t>投标文件目录</w:t>
      </w:r>
      <w:bookmarkEnd w:id="202"/>
      <w:bookmarkEnd w:id="203"/>
      <w:bookmarkEnd w:id="204"/>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rPr>
          <w:color w:val="auto"/>
          <w:highlight w:val="none"/>
        </w:rPr>
      </w:pPr>
      <w:bookmarkStart w:id="205" w:name="_Toc25502"/>
      <w:bookmarkStart w:id="206" w:name="_Toc5670"/>
      <w:bookmarkStart w:id="207" w:name="_Toc18893"/>
      <w:r>
        <w:rPr>
          <w:rFonts w:hint="eastAsia"/>
          <w:color w:val="auto"/>
          <w:highlight w:val="none"/>
        </w:rPr>
        <w:t>评分标准索引表</w:t>
      </w:r>
      <w:bookmarkEnd w:id="205"/>
      <w:bookmarkEnd w:id="206"/>
      <w:bookmarkEnd w:id="207"/>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5"/>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5"/>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5"/>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5"/>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32"/>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8"/>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8"/>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jc w:val="center"/>
        <w:rPr>
          <w:color w:val="auto"/>
          <w:highlight w:val="none"/>
        </w:rPr>
      </w:pPr>
      <w:bookmarkStart w:id="208" w:name="_Toc8194"/>
      <w:bookmarkStart w:id="209" w:name="_Toc22080"/>
      <w:bookmarkStart w:id="210" w:name="_Toc30640"/>
      <w:r>
        <w:rPr>
          <w:rFonts w:hint="eastAsia"/>
          <w:color w:val="auto"/>
          <w:highlight w:val="none"/>
        </w:rPr>
        <w:t>第一章价格文件</w:t>
      </w:r>
      <w:bookmarkEnd w:id="208"/>
      <w:bookmarkEnd w:id="209"/>
    </w:p>
    <w:p>
      <w:pPr>
        <w:pStyle w:val="5"/>
        <w:jc w:val="center"/>
        <w:rPr>
          <w:color w:val="auto"/>
          <w:highlight w:val="none"/>
        </w:rPr>
      </w:pPr>
      <w:bookmarkStart w:id="211" w:name="_Toc4168"/>
      <w:bookmarkStart w:id="212" w:name="_Toc19750"/>
      <w:r>
        <w:rPr>
          <w:rFonts w:hint="eastAsia"/>
          <w:color w:val="auto"/>
          <w:highlight w:val="none"/>
        </w:rPr>
        <w:t>一、唱标一览表</w:t>
      </w:r>
      <w:bookmarkEnd w:id="211"/>
      <w:bookmarkEnd w:id="212"/>
    </w:p>
    <w:p>
      <w:pPr>
        <w:rPr>
          <w:color w:val="auto"/>
          <w:highlight w:val="none"/>
        </w:rPr>
      </w:pP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77"/>
        <w:gridCol w:w="2777"/>
        <w:gridCol w:w="1609"/>
        <w:gridCol w:w="22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101"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1629"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944"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服务期</w:t>
            </w:r>
          </w:p>
        </w:tc>
        <w:tc>
          <w:tcPr>
            <w:tcW w:w="1323"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101" w:type="pct"/>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s="宋体"/>
                <w:color w:val="auto"/>
                <w:szCs w:val="21"/>
                <w:highlight w:val="none"/>
                <w:lang w:eastAsia="zh-CN"/>
              </w:rPr>
              <w:t>东莞市横沥镇第二幼儿园食材配送项目</w:t>
            </w:r>
          </w:p>
        </w:tc>
        <w:tc>
          <w:tcPr>
            <w:tcW w:w="1629"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r>
              <w:rPr>
                <w:rFonts w:hint="eastAsia" w:ascii="宋体" w:hAnsi="宋体" w:eastAsia="宋体"/>
                <w:color w:val="auto"/>
                <w:sz w:val="21"/>
                <w:szCs w:val="21"/>
                <w:highlight w:val="none"/>
                <w:lang w:val="en-US" w:eastAsia="zh-CN"/>
              </w:rPr>
              <w:t>84</w:t>
            </w:r>
            <w:r>
              <w:rPr>
                <w:rFonts w:hint="eastAsia" w:ascii="宋体" w:hAnsi="宋体" w:eastAsia="宋体"/>
                <w:color w:val="auto"/>
                <w:sz w:val="21"/>
                <w:szCs w:val="21"/>
                <w:highlight w:val="none"/>
                <w:lang w:eastAsia="zh-CN"/>
              </w:rPr>
              <w:t>0,000.00</w:t>
            </w:r>
          </w:p>
        </w:tc>
        <w:tc>
          <w:tcPr>
            <w:tcW w:w="944" w:type="pct"/>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合同签订之日起2年。</w:t>
            </w:r>
          </w:p>
        </w:tc>
        <w:tc>
          <w:tcPr>
            <w:tcW w:w="1323" w:type="pct"/>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本项目为固定总价（与预算金额保持一致）报价。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101" w:type="pct"/>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1629"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大写：</w:t>
            </w:r>
            <w:r>
              <w:rPr>
                <w:rFonts w:hint="eastAsia" w:ascii="宋体" w:hAnsi="宋体"/>
                <w:color w:val="auto"/>
                <w:sz w:val="21"/>
                <w:szCs w:val="21"/>
                <w:highlight w:val="none"/>
                <w:lang w:val="en-US" w:eastAsia="zh-CN"/>
              </w:rPr>
              <w:t>捌拾肆万元整</w:t>
            </w:r>
          </w:p>
        </w:tc>
        <w:tc>
          <w:tcPr>
            <w:tcW w:w="944" w:type="pct"/>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c>
          <w:tcPr>
            <w:tcW w:w="1323" w:type="pct"/>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spacing w:after="0" w:line="360" w:lineRule="auto"/>
        <w:ind w:left="357" w:leftChars="170" w:firstLine="359" w:firstLineChars="171"/>
        <w:rPr>
          <w:rFonts w:ascii="宋体" w:hAnsi="宋体" w:eastAsia="宋体"/>
          <w:color w:val="auto"/>
          <w:sz w:val="21"/>
          <w:szCs w:val="21"/>
          <w:highlight w:val="none"/>
        </w:rPr>
      </w:pPr>
    </w:p>
    <w:p>
      <w:pPr>
        <w:spacing w:after="0" w:line="360" w:lineRule="auto"/>
        <w:ind w:left="357" w:leftChars="170" w:firstLine="359" w:firstLineChars="171"/>
        <w:rPr>
          <w:rFonts w:ascii="宋体" w:hAnsi="宋体" w:eastAsia="宋体"/>
          <w:color w:val="auto"/>
          <w:sz w:val="21"/>
          <w:szCs w:val="21"/>
          <w:highlight w:val="none"/>
        </w:rPr>
      </w:pPr>
    </w:p>
    <w:p>
      <w:pPr>
        <w:ind w:left="357" w:leftChars="170" w:firstLine="359" w:firstLineChars="171"/>
        <w:rPr>
          <w:rFonts w:ascii="宋体" w:hAnsi="宋体"/>
          <w:color w:val="auto"/>
          <w:szCs w:val="21"/>
          <w:highlight w:val="none"/>
        </w:rPr>
      </w:pPr>
    </w:p>
    <w:p>
      <w:pPr>
        <w:rPr>
          <w:color w:val="auto"/>
          <w:highlight w:val="none"/>
        </w:rPr>
      </w:pPr>
    </w:p>
    <w:p>
      <w:pPr>
        <w:pStyle w:val="8"/>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8"/>
        <w:ind w:left="0" w:leftChars="0" w:firstLine="0" w:firstLineChars="0"/>
        <w:rPr>
          <w:color w:val="auto"/>
          <w:highlight w:val="none"/>
        </w:rPr>
      </w:pPr>
    </w:p>
    <w:p>
      <w:pPr>
        <w:pStyle w:val="5"/>
        <w:jc w:val="center"/>
        <w:rPr>
          <w:color w:val="auto"/>
          <w:highlight w:val="none"/>
        </w:rPr>
      </w:pPr>
      <w:bookmarkStart w:id="213" w:name="_Toc31172"/>
      <w:bookmarkStart w:id="214" w:name="_Toc31062"/>
      <w:r>
        <w:rPr>
          <w:rFonts w:hint="eastAsia"/>
          <w:color w:val="auto"/>
          <w:highlight w:val="none"/>
        </w:rPr>
        <w:t>二、报价明细表</w:t>
      </w:r>
      <w:bookmarkEnd w:id="213"/>
      <w:bookmarkEnd w:id="214"/>
    </w:p>
    <w:p>
      <w:pPr>
        <w:pStyle w:val="32"/>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2"/>
        <w:rPr>
          <w:rFonts w:ascii="黑体" w:eastAsia="黑体"/>
          <w:color w:val="auto"/>
          <w:sz w:val="32"/>
          <w:szCs w:val="32"/>
          <w:highlight w:val="none"/>
        </w:rPr>
      </w:pPr>
    </w:p>
    <w:p>
      <w:pPr>
        <w:pStyle w:val="32"/>
        <w:rPr>
          <w:rFonts w:ascii="黑体" w:eastAsia="黑体"/>
          <w:color w:val="auto"/>
          <w:sz w:val="32"/>
          <w:szCs w:val="32"/>
          <w:highlight w:val="none"/>
        </w:rPr>
      </w:pPr>
    </w:p>
    <w:p>
      <w:pPr>
        <w:pStyle w:val="5"/>
        <w:jc w:val="center"/>
        <w:rPr>
          <w:color w:val="auto"/>
          <w:highlight w:val="none"/>
        </w:rPr>
      </w:pPr>
      <w:bookmarkStart w:id="215" w:name="_Toc23355"/>
      <w:bookmarkStart w:id="216" w:name="_Toc20974"/>
      <w:r>
        <w:rPr>
          <w:rFonts w:hint="eastAsia"/>
          <w:color w:val="auto"/>
          <w:highlight w:val="none"/>
        </w:rPr>
        <w:t>三、小型或微型企业（货物/服务/承担的工程）明细表</w:t>
      </w:r>
      <w:bookmarkEnd w:id="215"/>
      <w:bookmarkEnd w:id="216"/>
    </w:p>
    <w:tbl>
      <w:tblPr>
        <w:tblStyle w:val="25"/>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5"/>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注：</w:t>
      </w:r>
    </w:p>
    <w:p>
      <w:pPr>
        <w:ind w:firstLine="422" w:firstLineChars="200"/>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5"/>
          <w:rFonts w:hint="eastAsia" w:ascii="宋体" w:hAnsi="宋体" w:eastAsia="宋体" w:cs="宋体"/>
          <w:b/>
          <w:color w:val="auto"/>
          <w:sz w:val="21"/>
          <w:szCs w:val="21"/>
          <w:highlight w:val="none"/>
        </w:rPr>
        <w:t>；</w:t>
      </w:r>
    </w:p>
    <w:p>
      <w:pPr>
        <w:pStyle w:val="35"/>
        <w:ind w:firstLine="422"/>
        <w:rPr>
          <w:rFonts w:ascii="黑体" w:eastAsia="黑体"/>
          <w:color w:val="auto"/>
          <w:sz w:val="32"/>
          <w:szCs w:val="32"/>
          <w:highlight w:val="none"/>
        </w:rPr>
      </w:pPr>
      <w:r>
        <w:rPr>
          <w:rStyle w:val="45"/>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5"/>
        <w:jc w:val="center"/>
        <w:rPr>
          <w:color w:val="auto"/>
          <w:highlight w:val="none"/>
        </w:rPr>
      </w:pPr>
      <w:bookmarkStart w:id="217" w:name="_Toc16718"/>
      <w:bookmarkStart w:id="218" w:name="_Toc13970"/>
      <w:r>
        <w:rPr>
          <w:rFonts w:hint="eastAsia"/>
          <w:color w:val="auto"/>
          <w:highlight w:val="none"/>
        </w:rPr>
        <w:t>四、节能产品或环境标志产品明细表</w:t>
      </w:r>
      <w:bookmarkEnd w:id="217"/>
      <w:bookmarkEnd w:id="218"/>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2"/>
        <w:rPr>
          <w:color w:val="auto"/>
          <w:highlight w:val="none"/>
        </w:rPr>
      </w:pPr>
    </w:p>
    <w:p>
      <w:pPr>
        <w:tabs>
          <w:tab w:val="left" w:pos="284"/>
        </w:tabs>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注：</w:t>
      </w:r>
    </w:p>
    <w:p>
      <w:pPr>
        <w:tabs>
          <w:tab w:val="left" w:pos="284"/>
        </w:tabs>
        <w:ind w:firstLine="422" w:firstLineChars="200"/>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5"/>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jc w:val="center"/>
        <w:rPr>
          <w:color w:val="auto"/>
          <w:highlight w:val="none"/>
        </w:rPr>
      </w:pPr>
      <w:bookmarkStart w:id="219" w:name="_Toc10853"/>
      <w:bookmarkStart w:id="220" w:name="_Toc17482"/>
      <w:r>
        <w:rPr>
          <w:rFonts w:hint="eastAsia"/>
          <w:color w:val="auto"/>
          <w:highlight w:val="none"/>
        </w:rPr>
        <w:t>五、中小企业声明函</w:t>
      </w:r>
      <w:bookmarkEnd w:id="219"/>
      <w:bookmarkEnd w:id="220"/>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8"/>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8"/>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8"/>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8"/>
        <w:wordWrap w:val="0"/>
        <w:ind w:left="0" w:firstLine="480"/>
        <w:jc w:val="right"/>
        <w:rPr>
          <w:rFonts w:asciiTheme="minorEastAsia" w:hAnsiTheme="minorEastAsia" w:eastAsiaTheme="minorEastAsia" w:cstheme="minorEastAsia"/>
          <w:color w:val="auto"/>
          <w:sz w:val="21"/>
          <w:szCs w:val="21"/>
          <w:highlight w:val="none"/>
          <w:lang w:val="en-US"/>
        </w:rPr>
      </w:pPr>
    </w:p>
    <w:p>
      <w:pPr>
        <w:pStyle w:val="8"/>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8"/>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8"/>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8"/>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8"/>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8"/>
        <w:ind w:left="0" w:firstLine="480"/>
        <w:rPr>
          <w:rFonts w:asciiTheme="minorEastAsia" w:hAnsiTheme="minorEastAsia" w:eastAsiaTheme="minorEastAsia" w:cstheme="minorEastAsia"/>
          <w:color w:val="auto"/>
          <w:sz w:val="21"/>
          <w:szCs w:val="21"/>
          <w:highlight w:val="none"/>
          <w:lang w:val="en-US"/>
        </w:rPr>
      </w:pPr>
    </w:p>
    <w:p>
      <w:pPr>
        <w:pStyle w:val="8"/>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8"/>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21" w:name="_Toc7959"/>
      <w:bookmarkStart w:id="222" w:name="_Toc8560"/>
      <w:r>
        <w:rPr>
          <w:rFonts w:hint="eastAsia"/>
          <w:color w:val="auto"/>
          <w:highlight w:val="none"/>
        </w:rPr>
        <w:t>六、残疾人福利性单位声明函</w:t>
      </w:r>
      <w:bookmarkEnd w:id="221"/>
      <w:bookmarkEnd w:id="222"/>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223" w:name="_Toc510171693"/>
      <w:bookmarkStart w:id="224" w:name="_Toc30247"/>
      <w:bookmarkStart w:id="225" w:name="_Toc509479530"/>
      <w:bookmarkStart w:id="226" w:name="_Toc508958703"/>
      <w:bookmarkStart w:id="227" w:name="_Toc509927455"/>
      <w:bookmarkStart w:id="228" w:name="_Toc508960153"/>
      <w:bookmarkStart w:id="229" w:name="_Toc508898066"/>
      <w:bookmarkStart w:id="230" w:name="_Toc20910"/>
      <w:bookmarkStart w:id="231" w:name="_Toc30277"/>
      <w:bookmarkStart w:id="232" w:name="_Toc17761"/>
      <w:bookmarkStart w:id="233" w:name="_Toc509844825"/>
      <w:bookmarkStart w:id="234" w:name="_Toc22970"/>
    </w:p>
    <w:p>
      <w:pPr>
        <w:jc w:val="center"/>
        <w:rPr>
          <w:rFonts w:ascii="宋体" w:hAnsi="宋体"/>
          <w:color w:val="auto"/>
          <w:szCs w:val="21"/>
          <w:highlight w:val="none"/>
        </w:rPr>
      </w:pPr>
      <w:r>
        <w:rPr>
          <w:rFonts w:hint="eastAsia" w:ascii="宋体" w:hAnsi="宋体"/>
          <w:color w:val="auto"/>
          <w:szCs w:val="21"/>
          <w:highlight w:val="none"/>
        </w:rPr>
        <w:t>日  期：</w:t>
      </w:r>
      <w:bookmarkEnd w:id="223"/>
      <w:bookmarkEnd w:id="224"/>
      <w:bookmarkEnd w:id="225"/>
      <w:bookmarkEnd w:id="226"/>
      <w:bookmarkEnd w:id="227"/>
      <w:bookmarkEnd w:id="228"/>
      <w:bookmarkEnd w:id="229"/>
      <w:bookmarkEnd w:id="230"/>
      <w:bookmarkEnd w:id="231"/>
      <w:bookmarkEnd w:id="232"/>
      <w:bookmarkEnd w:id="233"/>
      <w:bookmarkEnd w:id="234"/>
    </w:p>
    <w:p>
      <w:pPr>
        <w:pStyle w:val="8"/>
        <w:rPr>
          <w:color w:val="auto"/>
          <w:highlight w:val="none"/>
        </w:rPr>
      </w:pPr>
    </w:p>
    <w:p>
      <w:pPr>
        <w:ind w:firstLine="420" w:firstLineChars="200"/>
        <w:rPr>
          <w:rFonts w:ascii="宋体" w:hAnsi="宋体"/>
          <w:color w:val="auto"/>
          <w:szCs w:val="21"/>
          <w:highlight w:val="none"/>
        </w:rPr>
      </w:pPr>
      <w:bookmarkStart w:id="235" w:name="_Toc510171694"/>
      <w:bookmarkStart w:id="236" w:name="_Toc509927456"/>
      <w:bookmarkStart w:id="237" w:name="_Toc508958704"/>
      <w:bookmarkStart w:id="238" w:name="_Toc28527"/>
      <w:bookmarkStart w:id="239" w:name="_Toc509844826"/>
      <w:bookmarkStart w:id="240" w:name="_Toc21053"/>
      <w:bookmarkStart w:id="241" w:name="_Toc5447"/>
      <w:bookmarkStart w:id="242" w:name="_Toc31520"/>
      <w:bookmarkStart w:id="243" w:name="_Toc26216"/>
      <w:bookmarkStart w:id="244" w:name="_Toc508960154"/>
      <w:bookmarkStart w:id="245" w:name="_Toc509479531"/>
      <w:bookmarkStart w:id="246" w:name="_Toc50889806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5"/>
      <w:bookmarkEnd w:id="236"/>
      <w:bookmarkEnd w:id="237"/>
      <w:bookmarkEnd w:id="238"/>
      <w:bookmarkEnd w:id="239"/>
      <w:bookmarkEnd w:id="240"/>
      <w:bookmarkEnd w:id="241"/>
      <w:bookmarkEnd w:id="242"/>
      <w:bookmarkEnd w:id="243"/>
      <w:bookmarkEnd w:id="244"/>
      <w:bookmarkEnd w:id="245"/>
      <w:bookmarkEnd w:id="246"/>
    </w:p>
    <w:p>
      <w:pPr>
        <w:ind w:firstLine="420" w:firstLineChars="200"/>
        <w:rPr>
          <w:rFonts w:ascii="宋体" w:hAnsi="宋体"/>
          <w:color w:val="auto"/>
          <w:szCs w:val="21"/>
          <w:highlight w:val="none"/>
        </w:rPr>
      </w:pPr>
      <w:bookmarkStart w:id="247" w:name="_Toc28626"/>
      <w:bookmarkStart w:id="248" w:name="_Toc509844827"/>
      <w:bookmarkStart w:id="249" w:name="_Toc509479532"/>
      <w:bookmarkStart w:id="250" w:name="_Toc14653"/>
      <w:bookmarkStart w:id="251" w:name="_Toc508958705"/>
      <w:bookmarkStart w:id="252" w:name="_Toc24848"/>
      <w:bookmarkStart w:id="253" w:name="_Toc28126"/>
      <w:bookmarkStart w:id="254" w:name="_Toc510171695"/>
      <w:bookmarkStart w:id="255" w:name="_Toc508960155"/>
      <w:bookmarkStart w:id="256" w:name="_Toc9148"/>
      <w:bookmarkStart w:id="257" w:name="_Toc509927457"/>
      <w:bookmarkStart w:id="258" w:name="_Toc508898068"/>
      <w:r>
        <w:rPr>
          <w:rFonts w:hint="eastAsia" w:ascii="宋体" w:hAnsi="宋体"/>
          <w:color w:val="auto"/>
          <w:szCs w:val="21"/>
          <w:highlight w:val="none"/>
        </w:rPr>
        <w:t>（2）中标人为残疾人福利性单位的，采购代理机构将随中标结果同时公告其《残疾人福利性单位声明函》，接受社会监督。</w:t>
      </w:r>
      <w:bookmarkEnd w:id="247"/>
      <w:bookmarkEnd w:id="248"/>
      <w:bookmarkEnd w:id="249"/>
      <w:bookmarkEnd w:id="250"/>
      <w:bookmarkEnd w:id="251"/>
      <w:bookmarkEnd w:id="252"/>
      <w:bookmarkEnd w:id="253"/>
      <w:bookmarkEnd w:id="254"/>
      <w:bookmarkEnd w:id="255"/>
      <w:bookmarkEnd w:id="256"/>
      <w:bookmarkEnd w:id="257"/>
      <w:bookmarkEnd w:id="258"/>
    </w:p>
    <w:p>
      <w:pPr>
        <w:ind w:firstLine="420" w:firstLineChars="200"/>
        <w:rPr>
          <w:rFonts w:ascii="宋体" w:hAnsi="宋体"/>
          <w:color w:val="auto"/>
          <w:szCs w:val="21"/>
          <w:highlight w:val="none"/>
        </w:rPr>
      </w:pPr>
      <w:bookmarkStart w:id="259" w:name="_Toc508898069"/>
      <w:bookmarkStart w:id="260" w:name="_Toc28044"/>
      <w:bookmarkStart w:id="261" w:name="_Toc509479533"/>
      <w:bookmarkStart w:id="262" w:name="_Toc509927458"/>
      <w:bookmarkStart w:id="263" w:name="_Toc7858"/>
      <w:bookmarkStart w:id="264" w:name="_Toc508958706"/>
      <w:bookmarkStart w:id="265" w:name="_Toc508960156"/>
      <w:bookmarkStart w:id="266" w:name="_Toc9837"/>
      <w:bookmarkStart w:id="267" w:name="_Toc28686"/>
      <w:bookmarkStart w:id="268" w:name="_Toc509844828"/>
      <w:bookmarkStart w:id="269" w:name="_Toc510171696"/>
      <w:bookmarkStart w:id="270" w:name="_Toc22981"/>
      <w:r>
        <w:rPr>
          <w:rFonts w:hint="eastAsia" w:ascii="宋体" w:hAnsi="宋体"/>
          <w:color w:val="auto"/>
          <w:szCs w:val="21"/>
          <w:highlight w:val="none"/>
        </w:rPr>
        <w:t>（3）投标人提供的《残疾人福利性单位声明函》与事实不符的，依照《政府采购法》第七十七条第一款的规定追究法律责任。</w:t>
      </w:r>
      <w:bookmarkEnd w:id="259"/>
      <w:bookmarkEnd w:id="260"/>
      <w:bookmarkEnd w:id="261"/>
      <w:bookmarkEnd w:id="262"/>
      <w:bookmarkEnd w:id="263"/>
      <w:bookmarkEnd w:id="264"/>
      <w:bookmarkEnd w:id="265"/>
      <w:bookmarkEnd w:id="266"/>
      <w:bookmarkEnd w:id="267"/>
      <w:bookmarkEnd w:id="268"/>
      <w:bookmarkEnd w:id="269"/>
      <w:bookmarkEnd w:id="270"/>
    </w:p>
    <w:p>
      <w:pPr>
        <w:ind w:firstLine="420" w:firstLineChars="200"/>
        <w:rPr>
          <w:rFonts w:ascii="宋体" w:hAnsi="宋体"/>
          <w:color w:val="auto"/>
          <w:szCs w:val="21"/>
          <w:highlight w:val="none"/>
        </w:rPr>
      </w:pPr>
      <w:bookmarkStart w:id="271" w:name="_Toc510171697"/>
      <w:bookmarkStart w:id="272" w:name="_Toc508898070"/>
      <w:bookmarkStart w:id="273" w:name="_Toc509479534"/>
      <w:bookmarkStart w:id="274" w:name="_Toc508960157"/>
      <w:bookmarkStart w:id="275" w:name="_Toc508958707"/>
      <w:bookmarkStart w:id="276" w:name="_Toc509844829"/>
      <w:bookmarkStart w:id="277" w:name="_Toc18843"/>
      <w:bookmarkStart w:id="278" w:name="_Toc509927459"/>
      <w:bookmarkStart w:id="279" w:name="_Toc528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1"/>
      <w:bookmarkEnd w:id="272"/>
      <w:bookmarkEnd w:id="273"/>
      <w:bookmarkEnd w:id="274"/>
      <w:bookmarkEnd w:id="275"/>
      <w:bookmarkEnd w:id="276"/>
      <w:bookmarkEnd w:id="277"/>
      <w:bookmarkEnd w:id="278"/>
      <w:bookmarkEnd w:id="279"/>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5"/>
        <w:jc w:val="center"/>
        <w:rPr>
          <w:color w:val="auto"/>
          <w:highlight w:val="none"/>
        </w:rPr>
      </w:pPr>
      <w:bookmarkStart w:id="280" w:name="_Toc23948"/>
      <w:bookmarkStart w:id="281" w:name="_Toc6471"/>
      <w:r>
        <w:rPr>
          <w:rFonts w:hint="eastAsia"/>
          <w:color w:val="auto"/>
          <w:highlight w:val="none"/>
        </w:rPr>
        <w:t>第二章商务文件</w:t>
      </w:r>
      <w:bookmarkEnd w:id="280"/>
      <w:bookmarkEnd w:id="281"/>
    </w:p>
    <w:bookmarkEnd w:id="210"/>
    <w:p>
      <w:pPr>
        <w:pStyle w:val="5"/>
        <w:jc w:val="center"/>
        <w:rPr>
          <w:color w:val="auto"/>
          <w:highlight w:val="none"/>
        </w:rPr>
      </w:pPr>
      <w:bookmarkStart w:id="282" w:name="_Toc1952"/>
      <w:bookmarkStart w:id="283" w:name="_Toc23787"/>
      <w:r>
        <w:rPr>
          <w:rFonts w:hint="eastAsia"/>
          <w:color w:val="auto"/>
          <w:highlight w:val="none"/>
        </w:rPr>
        <w:t>一、投标函</w:t>
      </w:r>
      <w:bookmarkEnd w:id="282"/>
      <w:bookmarkEnd w:id="283"/>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5"/>
        <w:jc w:val="center"/>
        <w:rPr>
          <w:color w:val="auto"/>
          <w:highlight w:val="none"/>
        </w:rPr>
      </w:pPr>
      <w:bookmarkStart w:id="284" w:name="_Toc28616"/>
      <w:bookmarkStart w:id="285" w:name="_Toc15719"/>
      <w:r>
        <w:rPr>
          <w:rFonts w:hint="eastAsia"/>
          <w:color w:val="auto"/>
          <w:highlight w:val="none"/>
        </w:rPr>
        <w:t>二、资格申明函</w:t>
      </w:r>
      <w:bookmarkEnd w:id="284"/>
      <w:bookmarkEnd w:id="285"/>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8"/>
        <w:spacing w:line="500" w:lineRule="atLeast"/>
        <w:ind w:firstLine="3517" w:firstLineChars="1675"/>
        <w:rPr>
          <w:rFonts w:ascii="宋体" w:eastAsia="宋体"/>
          <w:color w:val="auto"/>
          <w:sz w:val="21"/>
          <w:szCs w:val="21"/>
          <w:highlight w:val="none"/>
        </w:rPr>
      </w:pPr>
    </w:p>
    <w:p>
      <w:pPr>
        <w:pStyle w:val="38"/>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8"/>
        <w:rPr>
          <w:color w:val="auto"/>
          <w:sz w:val="21"/>
          <w:szCs w:val="21"/>
          <w:highlight w:val="none"/>
        </w:rPr>
      </w:pPr>
    </w:p>
    <w:p>
      <w:pPr>
        <w:rPr>
          <w:rFonts w:ascii="宋体" w:hAnsi="宋体"/>
          <w:color w:val="auto"/>
          <w:szCs w:val="21"/>
          <w:highlight w:val="none"/>
        </w:rPr>
      </w:pPr>
    </w:p>
    <w:p>
      <w:pPr>
        <w:pStyle w:val="8"/>
        <w:rPr>
          <w:color w:val="auto"/>
          <w:sz w:val="21"/>
          <w:szCs w:val="21"/>
          <w:highlight w:val="none"/>
        </w:rPr>
      </w:pPr>
    </w:p>
    <w:p>
      <w:pPr>
        <w:rPr>
          <w:rFonts w:ascii="宋体" w:hAnsi="宋体"/>
          <w:color w:val="auto"/>
          <w:szCs w:val="21"/>
          <w:highlight w:val="none"/>
        </w:rPr>
      </w:pPr>
    </w:p>
    <w:p>
      <w:pPr>
        <w:pStyle w:val="8"/>
        <w:rPr>
          <w:color w:val="auto"/>
          <w:sz w:val="21"/>
          <w:szCs w:val="21"/>
          <w:highlight w:val="none"/>
        </w:rPr>
      </w:pPr>
    </w:p>
    <w:p>
      <w:pPr>
        <w:rPr>
          <w:rFonts w:ascii="宋体" w:hAnsi="宋体"/>
          <w:color w:val="auto"/>
          <w:szCs w:val="21"/>
          <w:highlight w:val="none"/>
        </w:rPr>
      </w:pPr>
    </w:p>
    <w:p>
      <w:pPr>
        <w:pStyle w:val="8"/>
        <w:rPr>
          <w:color w:val="auto"/>
          <w:highlight w:val="none"/>
        </w:rPr>
      </w:pPr>
    </w:p>
    <w:p>
      <w:pPr>
        <w:rPr>
          <w:color w:val="auto"/>
          <w:highlight w:val="none"/>
        </w:rPr>
      </w:pPr>
      <w:bookmarkStart w:id="286" w:name="_Toc16412"/>
    </w:p>
    <w:p>
      <w:pPr>
        <w:pStyle w:val="5"/>
        <w:jc w:val="center"/>
        <w:rPr>
          <w:color w:val="auto"/>
          <w:highlight w:val="none"/>
        </w:rPr>
      </w:pPr>
      <w:bookmarkStart w:id="287" w:name="_Toc32742"/>
      <w:bookmarkStart w:id="288" w:name="_Toc21273"/>
      <w:r>
        <w:rPr>
          <w:rFonts w:hint="eastAsia"/>
          <w:color w:val="auto"/>
          <w:highlight w:val="none"/>
        </w:rPr>
        <w:t>三、在参与政府采购活动前三年未有重大违法记录、没有不良信用记录的声明函</w:t>
      </w:r>
      <w:bookmarkEnd w:id="287"/>
      <w:bookmarkEnd w:id="288"/>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Cs w:val="21"/>
          <w:highlight w:val="none"/>
          <w:lang w:eastAsia="zh-CN"/>
        </w:rPr>
        <w:t>税收违法黑名单</w:t>
      </w:r>
      <w:r>
        <w:rPr>
          <w:rFonts w:hint="eastAsia" w:ascii="宋体" w:hAnsi="宋体" w:cs="宋体"/>
          <w:color w:val="auto"/>
          <w:szCs w:val="21"/>
          <w:highlight w:val="none"/>
        </w:rPr>
        <w:t>、政府采购严重违法失信行为记录名单。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6"/>
    </w:p>
    <w:p>
      <w:pPr>
        <w:pStyle w:val="5"/>
        <w:jc w:val="center"/>
        <w:rPr>
          <w:color w:val="auto"/>
          <w:highlight w:val="none"/>
        </w:rPr>
      </w:pPr>
      <w:bookmarkStart w:id="289" w:name="_Toc3894"/>
      <w:bookmarkStart w:id="290" w:name="_Toc13243"/>
      <w:r>
        <w:rPr>
          <w:rFonts w:hint="eastAsia"/>
          <w:color w:val="auto"/>
          <w:highlight w:val="none"/>
        </w:rPr>
        <w:t>四、法定代表人证明书</w:t>
      </w:r>
      <w:bookmarkEnd w:id="289"/>
      <w:bookmarkEnd w:id="290"/>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8"/>
        <w:spacing w:line="420" w:lineRule="atLeast"/>
        <w:ind w:firstLine="433"/>
        <w:rPr>
          <w:rFonts w:ascii="宋体" w:eastAsia="宋体"/>
          <w:color w:val="auto"/>
          <w:sz w:val="21"/>
          <w:szCs w:val="21"/>
          <w:highlight w:val="none"/>
        </w:rPr>
      </w:pPr>
    </w:p>
    <w:p>
      <w:pPr>
        <w:pStyle w:val="38"/>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8"/>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627" w:hRule="atLeast"/>
          <w:jc w:val="center"/>
        </w:trPr>
        <w:tc>
          <w:tcPr>
            <w:tcW w:w="5732" w:type="dxa"/>
            <w:vAlign w:val="center"/>
          </w:tcPr>
          <w:p>
            <w:pPr>
              <w:pStyle w:val="38"/>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91" w:name="_Toc5918"/>
      <w:bookmarkStart w:id="292" w:name="_Toc5626"/>
      <w:r>
        <w:rPr>
          <w:rFonts w:hint="eastAsia"/>
          <w:color w:val="auto"/>
          <w:highlight w:val="none"/>
        </w:rPr>
        <w:t>五、法定代表人授权书</w:t>
      </w:r>
      <w:bookmarkEnd w:id="291"/>
      <w:bookmarkEnd w:id="292"/>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8"/>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8"/>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8"/>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3"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5"/>
        <w:jc w:val="center"/>
        <w:rPr>
          <w:color w:val="auto"/>
          <w:highlight w:val="none"/>
        </w:rPr>
      </w:pPr>
      <w:bookmarkStart w:id="294" w:name="_Toc18562"/>
      <w:bookmarkStart w:id="295" w:name="_Toc24013"/>
      <w:r>
        <w:rPr>
          <w:rFonts w:hint="eastAsia"/>
          <w:color w:val="auto"/>
          <w:highlight w:val="none"/>
        </w:rPr>
        <w:t>六、投标人基本情况说明</w:t>
      </w:r>
      <w:bookmarkEnd w:id="294"/>
      <w:bookmarkEnd w:id="295"/>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8"/>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5"/>
        <w:jc w:val="center"/>
        <w:rPr>
          <w:color w:val="auto"/>
          <w:highlight w:val="none"/>
        </w:rPr>
      </w:pPr>
      <w:bookmarkStart w:id="296" w:name="_Toc5919"/>
      <w:bookmarkStart w:id="297" w:name="_Toc28067"/>
      <w:bookmarkStart w:id="298" w:name="_Toc4926"/>
      <w:bookmarkStart w:id="299" w:name="_Toc1511"/>
      <w:bookmarkStart w:id="300" w:name="_Toc24210"/>
      <w:bookmarkStart w:id="301" w:name="_Toc17470"/>
      <w:bookmarkStart w:id="302" w:name="_Toc29995"/>
      <w:r>
        <w:rPr>
          <w:rFonts w:hint="eastAsia"/>
          <w:color w:val="auto"/>
          <w:highlight w:val="none"/>
        </w:rPr>
        <w:t>七、营业执照</w:t>
      </w:r>
      <w:bookmarkEnd w:id="296"/>
      <w:bookmarkEnd w:id="297"/>
      <w:bookmarkEnd w:id="298"/>
      <w:bookmarkEnd w:id="299"/>
      <w:bookmarkEnd w:id="300"/>
      <w:bookmarkEnd w:id="301"/>
      <w:bookmarkEnd w:id="302"/>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3"/>
    <w:p>
      <w:pPr>
        <w:pStyle w:val="5"/>
        <w:jc w:val="center"/>
        <w:rPr>
          <w:color w:val="auto"/>
          <w:highlight w:val="none"/>
        </w:rPr>
      </w:pPr>
      <w:bookmarkStart w:id="303" w:name="_Toc21638"/>
      <w:bookmarkStart w:id="304" w:name="_Toc29439"/>
      <w:r>
        <w:rPr>
          <w:rFonts w:hint="eastAsia"/>
          <w:color w:val="auto"/>
          <w:highlight w:val="none"/>
        </w:rPr>
        <w:t>八、特殊资格要求证明文件</w:t>
      </w:r>
      <w:bookmarkEnd w:id="303"/>
      <w:bookmarkEnd w:id="304"/>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highlight w:val="none"/>
        </w:rPr>
      </w:pPr>
    </w:p>
    <w:p>
      <w:pPr>
        <w:pStyle w:val="5"/>
        <w:jc w:val="center"/>
        <w:rPr>
          <w:color w:val="auto"/>
          <w:highlight w:val="none"/>
        </w:rPr>
      </w:pPr>
      <w:bookmarkStart w:id="305" w:name="_Toc14263"/>
      <w:bookmarkStart w:id="306" w:name="_Toc23341"/>
      <w:r>
        <w:rPr>
          <w:rFonts w:hint="eastAsia"/>
          <w:color w:val="auto"/>
          <w:highlight w:val="none"/>
        </w:rPr>
        <w:t>九、承诺书</w:t>
      </w:r>
      <w:bookmarkEnd w:id="305"/>
      <w:bookmarkEnd w:id="306"/>
    </w:p>
    <w:p>
      <w:pPr>
        <w:pStyle w:val="38"/>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8"/>
        <w:spacing w:line="420" w:lineRule="exact"/>
        <w:ind w:firstLine="433"/>
        <w:rPr>
          <w:rFonts w:ascii="宋体" w:eastAsia="宋体" w:cs="宋体"/>
          <w:color w:val="auto"/>
          <w:sz w:val="21"/>
          <w:szCs w:val="21"/>
          <w:highlight w:val="none"/>
        </w:rPr>
      </w:pPr>
      <w:bookmarkStart w:id="307"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7"/>
      <w:r>
        <w:rPr>
          <w:rFonts w:hint="eastAsia" w:ascii="宋体" w:eastAsia="宋体" w:cs="宋体"/>
          <w:color w:val="auto"/>
          <w:sz w:val="21"/>
          <w:szCs w:val="21"/>
          <w:highlight w:val="none"/>
        </w:rPr>
        <w:cr/>
      </w:r>
    </w:p>
    <w:p>
      <w:pPr>
        <w:pStyle w:val="38"/>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5"/>
        <w:jc w:val="center"/>
        <w:rPr>
          <w:color w:val="auto"/>
          <w:highlight w:val="none"/>
        </w:rPr>
      </w:pPr>
      <w:bookmarkStart w:id="308" w:name="_Toc13955"/>
      <w:bookmarkStart w:id="309" w:name="_Toc13653"/>
      <w:r>
        <w:rPr>
          <w:rFonts w:hint="eastAsia"/>
          <w:color w:val="auto"/>
          <w:highlight w:val="none"/>
        </w:rPr>
        <w:t>十、招标代理服务费承诺书</w:t>
      </w:r>
      <w:bookmarkEnd w:id="308"/>
      <w:bookmarkEnd w:id="309"/>
    </w:p>
    <w:p>
      <w:pPr>
        <w:pStyle w:val="38"/>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1"/>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jc w:val="center"/>
        <w:rPr>
          <w:color w:val="auto"/>
          <w:highlight w:val="none"/>
        </w:rPr>
      </w:pPr>
      <w:bookmarkStart w:id="310" w:name="_Toc12598"/>
      <w:bookmarkStart w:id="311" w:name="_Toc1975"/>
      <w:r>
        <w:rPr>
          <w:rFonts w:hint="eastAsia"/>
          <w:color w:val="auto"/>
          <w:highlight w:val="none"/>
        </w:rPr>
        <w:t>十一、商务条款偏离表</w:t>
      </w:r>
      <w:bookmarkEnd w:id="310"/>
      <w:bookmarkEnd w:id="311"/>
    </w:p>
    <w:tbl>
      <w:tblPr>
        <w:tblStyle w:val="25"/>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2" w:name="_Toc32183"/>
    </w:p>
    <w:p>
      <w:pPr>
        <w:pStyle w:val="5"/>
        <w:jc w:val="center"/>
        <w:rPr>
          <w:color w:val="auto"/>
          <w:highlight w:val="none"/>
        </w:rPr>
      </w:pPr>
      <w:bookmarkStart w:id="313" w:name="_Toc19276"/>
      <w:bookmarkStart w:id="314" w:name="_Toc25391"/>
      <w:r>
        <w:rPr>
          <w:rFonts w:hint="eastAsia"/>
          <w:color w:val="auto"/>
          <w:highlight w:val="none"/>
        </w:rPr>
        <w:t>十二、业绩表</w:t>
      </w:r>
      <w:bookmarkEnd w:id="313"/>
      <w:bookmarkEnd w:id="314"/>
    </w:p>
    <w:tbl>
      <w:tblPr>
        <w:tblStyle w:val="25"/>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5"/>
        <w:rPr>
          <w:rFonts w:ascii="宋体" w:hAnsi="宋体"/>
          <w:color w:val="auto"/>
          <w:szCs w:val="21"/>
          <w:highlight w:val="none"/>
        </w:rPr>
      </w:pPr>
    </w:p>
    <w:p>
      <w:pPr>
        <w:pStyle w:val="35"/>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8"/>
        <w:rPr>
          <w:color w:val="auto"/>
          <w:highlight w:val="none"/>
        </w:rPr>
      </w:pPr>
    </w:p>
    <w:p>
      <w:pPr>
        <w:pStyle w:val="8"/>
        <w:ind w:left="0"/>
        <w:rPr>
          <w:color w:val="auto"/>
          <w:highlight w:val="none"/>
        </w:rPr>
      </w:pPr>
    </w:p>
    <w:p>
      <w:pPr>
        <w:pStyle w:val="5"/>
        <w:jc w:val="center"/>
        <w:rPr>
          <w:rFonts w:ascii="黑体" w:eastAsia="黑体"/>
          <w:color w:val="auto"/>
          <w:szCs w:val="28"/>
          <w:highlight w:val="none"/>
        </w:rPr>
      </w:pPr>
      <w:bookmarkStart w:id="315" w:name="_Toc20520"/>
      <w:bookmarkStart w:id="316" w:name="_Toc14688"/>
      <w:r>
        <w:rPr>
          <w:rFonts w:hint="eastAsia"/>
          <w:color w:val="auto"/>
          <w:highlight w:val="none"/>
        </w:rPr>
        <w:t>第三章技术文件</w:t>
      </w:r>
      <w:bookmarkEnd w:id="312"/>
      <w:bookmarkEnd w:id="315"/>
      <w:bookmarkEnd w:id="316"/>
    </w:p>
    <w:p>
      <w:pPr>
        <w:pStyle w:val="5"/>
        <w:jc w:val="center"/>
        <w:rPr>
          <w:color w:val="auto"/>
          <w:highlight w:val="none"/>
        </w:rPr>
      </w:pPr>
      <w:bookmarkStart w:id="317" w:name="_Toc7092"/>
      <w:bookmarkStart w:id="318" w:name="_Toc13097"/>
      <w:r>
        <w:rPr>
          <w:rFonts w:hint="eastAsia"/>
          <w:color w:val="auto"/>
          <w:highlight w:val="none"/>
        </w:rPr>
        <w:t>一、技术规格偏离表</w:t>
      </w:r>
      <w:bookmarkEnd w:id="317"/>
      <w:bookmarkEnd w:id="318"/>
    </w:p>
    <w:tbl>
      <w:tblPr>
        <w:tblStyle w:val="25"/>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9" w:name="_Toc17691"/>
      <w:r>
        <w:rPr>
          <w:rFonts w:hint="eastAsia" w:ascii="宋体" w:hAnsi="宋体"/>
          <w:color w:val="auto"/>
          <w:szCs w:val="21"/>
          <w:highlight w:val="none"/>
        </w:rPr>
        <w:br w:type="page"/>
      </w:r>
      <w:bookmarkEnd w:id="319"/>
      <w:bookmarkStart w:id="320" w:name="_Toc4464"/>
      <w:bookmarkStart w:id="321" w:name="_Toc6080"/>
      <w:bookmarkStart w:id="322" w:name="_Toc4827"/>
      <w:bookmarkStart w:id="323" w:name="_Toc26078"/>
      <w:bookmarkStart w:id="324" w:name="_Toc1274"/>
      <w:bookmarkStart w:id="325" w:name="_Toc18668"/>
    </w:p>
    <w:p>
      <w:pPr>
        <w:pStyle w:val="5"/>
        <w:jc w:val="center"/>
        <w:rPr>
          <w:color w:val="auto"/>
          <w:highlight w:val="none"/>
        </w:rPr>
      </w:pPr>
      <w:bookmarkStart w:id="326" w:name="_Toc13461"/>
      <w:bookmarkStart w:id="327" w:name="_Toc10734"/>
      <w:r>
        <w:rPr>
          <w:rFonts w:hint="eastAsia"/>
          <w:color w:val="auto"/>
          <w:highlight w:val="none"/>
        </w:rPr>
        <w:t>二、重要技术参数（▲）响应表</w:t>
      </w:r>
      <w:bookmarkEnd w:id="320"/>
      <w:bookmarkEnd w:id="321"/>
      <w:bookmarkEnd w:id="322"/>
      <w:bookmarkEnd w:id="323"/>
      <w:bookmarkEnd w:id="324"/>
      <w:bookmarkEnd w:id="325"/>
      <w:bookmarkEnd w:id="326"/>
      <w:bookmarkEnd w:id="327"/>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28" w:name="_Toc29560"/>
            <w:bookmarkStart w:id="329" w:name="_Toc27079"/>
            <w:bookmarkStart w:id="330" w:name="_Toc29642"/>
            <w:r>
              <w:rPr>
                <w:rFonts w:hint="eastAsia" w:ascii="宋体" w:hAnsi="宋体" w:cs="宋体"/>
                <w:b w:val="0"/>
                <w:bCs w:val="0"/>
                <w:color w:val="auto"/>
                <w:sz w:val="21"/>
                <w:szCs w:val="21"/>
                <w:highlight w:val="none"/>
              </w:rPr>
              <w:t>序号</w:t>
            </w:r>
            <w:bookmarkEnd w:id="328"/>
            <w:bookmarkEnd w:id="329"/>
            <w:bookmarkEnd w:id="330"/>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1" w:name="_Toc15368"/>
            <w:bookmarkStart w:id="332" w:name="_Toc15903"/>
            <w:bookmarkStart w:id="333" w:name="_Toc16872"/>
            <w:bookmarkStart w:id="334" w:name="_Toc2700"/>
            <w:bookmarkStart w:id="335" w:name="_Toc1016"/>
            <w:bookmarkStart w:id="336" w:name="_Toc4304"/>
            <w:bookmarkStart w:id="337" w:name="_Toc26124"/>
            <w:bookmarkStart w:id="338" w:name="_Toc10045"/>
            <w:bookmarkStart w:id="339" w:name="_Toc22448"/>
            <w:bookmarkStart w:id="340" w:name="_Toc12049"/>
            <w:bookmarkStart w:id="341" w:name="_Toc21739"/>
            <w:bookmarkStart w:id="342" w:name="_Toc27090"/>
            <w:bookmarkStart w:id="343" w:name="_Toc14815"/>
            <w:bookmarkStart w:id="344" w:name="_Toc19251"/>
            <w:bookmarkStart w:id="345" w:name="_Toc7333"/>
            <w:bookmarkStart w:id="346" w:name="_Toc8490"/>
            <w:bookmarkStart w:id="347" w:name="_Toc24662"/>
            <w:bookmarkStart w:id="348" w:name="_Toc27442"/>
            <w:bookmarkStart w:id="349" w:name="_Toc8312"/>
            <w:bookmarkStart w:id="350" w:name="_Toc22879"/>
            <w:bookmarkStart w:id="351" w:name="_Toc22917"/>
            <w:bookmarkStart w:id="352" w:name="_Toc21809"/>
            <w:bookmarkStart w:id="353" w:name="_Toc32531"/>
            <w:r>
              <w:rPr>
                <w:rFonts w:hint="eastAsia" w:ascii="宋体" w:hAnsi="宋体" w:cs="宋体"/>
                <w:b w:val="0"/>
                <w:bCs w:val="0"/>
                <w:color w:val="auto"/>
                <w:sz w:val="21"/>
                <w:szCs w:val="21"/>
                <w:highlight w:val="none"/>
              </w:rPr>
              <w:t>重要技术参数评分条款（▲）</w:t>
            </w:r>
            <w:bookmarkEnd w:id="331"/>
            <w:bookmarkEnd w:id="332"/>
            <w:bookmarkEnd w:id="333"/>
            <w:bookmarkEnd w:id="334"/>
            <w:bookmarkEnd w:id="335"/>
            <w:bookmarkEnd w:id="336"/>
            <w:bookmarkEnd w:id="337"/>
            <w:bookmarkEnd w:id="338"/>
            <w:bookmarkEnd w:id="339"/>
            <w:bookmarkEnd w:id="340"/>
            <w:bookmarkEnd w:id="341"/>
            <w:bookmarkEnd w:id="342"/>
            <w:bookmarkEnd w:id="343"/>
          </w:p>
          <w:bookmarkEnd w:id="344"/>
          <w:bookmarkEnd w:id="345"/>
          <w:bookmarkEnd w:id="346"/>
          <w:bookmarkEnd w:id="347"/>
          <w:bookmarkEnd w:id="348"/>
          <w:bookmarkEnd w:id="349"/>
          <w:bookmarkEnd w:id="350"/>
          <w:bookmarkEnd w:id="351"/>
          <w:bookmarkEnd w:id="352"/>
          <w:bookmarkEnd w:id="353"/>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4" w:name="_Toc2408"/>
            <w:bookmarkStart w:id="355" w:name="_Toc10122"/>
            <w:bookmarkStart w:id="356" w:name="_Toc22153"/>
            <w:r>
              <w:rPr>
                <w:rFonts w:hint="eastAsia" w:ascii="宋体" w:hAnsi="宋体" w:cs="宋体"/>
                <w:b w:val="0"/>
                <w:bCs w:val="0"/>
                <w:color w:val="auto"/>
                <w:sz w:val="21"/>
                <w:szCs w:val="21"/>
                <w:highlight w:val="none"/>
              </w:rPr>
              <w:t>投标文件响应内容</w:t>
            </w:r>
            <w:bookmarkEnd w:id="354"/>
            <w:bookmarkEnd w:id="355"/>
            <w:bookmarkEnd w:id="356"/>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7" w:name="_Toc29838"/>
            <w:bookmarkStart w:id="358" w:name="_Toc16003"/>
            <w:bookmarkStart w:id="359" w:name="_Toc27285"/>
            <w:bookmarkStart w:id="360" w:name="_Toc17642"/>
            <w:bookmarkStart w:id="361" w:name="_Toc17296"/>
            <w:bookmarkStart w:id="362" w:name="_Toc1330"/>
            <w:bookmarkStart w:id="363" w:name="_Toc5563"/>
            <w:bookmarkStart w:id="364" w:name="_Toc20139"/>
            <w:bookmarkStart w:id="365" w:name="_Toc3701"/>
            <w:bookmarkStart w:id="366" w:name="_Toc27185"/>
            <w:bookmarkStart w:id="367" w:name="_Toc1912"/>
            <w:bookmarkStart w:id="368" w:name="_Toc20820"/>
            <w:bookmarkStart w:id="369" w:name="_Toc5992"/>
            <w:r>
              <w:rPr>
                <w:rFonts w:hint="eastAsia" w:ascii="宋体" w:hAnsi="宋体" w:cs="宋体"/>
                <w:b w:val="0"/>
                <w:bCs w:val="0"/>
                <w:color w:val="auto"/>
                <w:sz w:val="21"/>
                <w:szCs w:val="21"/>
                <w:highlight w:val="none"/>
              </w:rPr>
              <w:t>说明</w:t>
            </w:r>
            <w:bookmarkEnd w:id="357"/>
            <w:bookmarkEnd w:id="358"/>
            <w:bookmarkEnd w:id="359"/>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70" w:name="_Toc857"/>
            <w:bookmarkStart w:id="371" w:name="_Toc3520"/>
            <w:bookmarkStart w:id="372" w:name="_Toc19105"/>
            <w:r>
              <w:rPr>
                <w:rFonts w:hint="eastAsia" w:ascii="宋体" w:hAnsi="宋体" w:cs="宋体"/>
                <w:b w:val="0"/>
                <w:bCs w:val="0"/>
                <w:color w:val="auto"/>
                <w:sz w:val="21"/>
                <w:szCs w:val="21"/>
                <w:highlight w:val="none"/>
              </w:rPr>
              <w:t>页码范围</w:t>
            </w:r>
            <w:bookmarkEnd w:id="360"/>
            <w:bookmarkEnd w:id="361"/>
            <w:bookmarkEnd w:id="362"/>
            <w:bookmarkEnd w:id="363"/>
            <w:bookmarkEnd w:id="364"/>
            <w:bookmarkEnd w:id="365"/>
            <w:bookmarkEnd w:id="366"/>
            <w:bookmarkEnd w:id="367"/>
            <w:bookmarkEnd w:id="368"/>
            <w:bookmarkEnd w:id="369"/>
            <w:bookmarkEnd w:id="370"/>
            <w:bookmarkEnd w:id="371"/>
            <w:bookmarkEnd w:id="37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5"/>
        <w:rPr>
          <w:rFonts w:ascii="宋体" w:hAnsi="宋体"/>
          <w:color w:val="auto"/>
          <w:szCs w:val="21"/>
          <w:highlight w:val="none"/>
        </w:rPr>
      </w:pPr>
    </w:p>
    <w:p>
      <w:pPr>
        <w:pStyle w:val="35"/>
        <w:rPr>
          <w:rFonts w:ascii="宋体" w:hAnsi="宋体"/>
          <w:color w:val="auto"/>
          <w:szCs w:val="21"/>
          <w:highlight w:val="none"/>
        </w:rPr>
      </w:pPr>
      <w:r>
        <w:rPr>
          <w:rFonts w:hint="eastAsia" w:ascii="宋体" w:hAnsi="宋体"/>
          <w:color w:val="auto"/>
          <w:szCs w:val="21"/>
          <w:highlight w:val="none"/>
        </w:rPr>
        <w:t>注：</w:t>
      </w:r>
    </w:p>
    <w:p>
      <w:pPr>
        <w:pStyle w:val="35"/>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5"/>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5"/>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5"/>
        <w:rPr>
          <w:rFonts w:ascii="宋体" w:hAnsi="宋体"/>
          <w:color w:val="auto"/>
          <w:szCs w:val="21"/>
          <w:highlight w:val="none"/>
        </w:rPr>
      </w:pPr>
    </w:p>
    <w:p>
      <w:pPr>
        <w:pStyle w:val="35"/>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pPr>
        <w:pStyle w:val="5"/>
        <w:jc w:val="center"/>
        <w:rPr>
          <w:color w:val="auto"/>
          <w:highlight w:val="none"/>
        </w:rPr>
      </w:pPr>
      <w:bookmarkStart w:id="373" w:name="_Toc27139"/>
      <w:bookmarkStart w:id="374" w:name="_Toc19349"/>
      <w:r>
        <w:rPr>
          <w:rFonts w:hint="eastAsia"/>
          <w:color w:val="auto"/>
          <w:highlight w:val="none"/>
        </w:rPr>
        <w:t>三、实质性条款（标记★）投标响应表</w:t>
      </w:r>
      <w:bookmarkEnd w:id="373"/>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5"/>
        <w:jc w:val="center"/>
        <w:rPr>
          <w:color w:val="auto"/>
          <w:highlight w:val="none"/>
        </w:rPr>
      </w:pPr>
      <w:bookmarkStart w:id="375" w:name="_Toc21519"/>
      <w:r>
        <w:rPr>
          <w:rFonts w:hint="eastAsia"/>
          <w:color w:val="auto"/>
          <w:highlight w:val="none"/>
        </w:rPr>
        <w:t>四、项目技术方案</w:t>
      </w:r>
      <w:bookmarkEnd w:id="374"/>
      <w:bookmarkEnd w:id="375"/>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jc w:val="center"/>
        <w:rPr>
          <w:color w:val="auto"/>
          <w:highlight w:val="none"/>
        </w:rPr>
      </w:pPr>
      <w:bookmarkStart w:id="376" w:name="_Toc16328"/>
      <w:bookmarkStart w:id="377" w:name="_Toc26880"/>
      <w:r>
        <w:rPr>
          <w:rFonts w:hint="eastAsia"/>
          <w:color w:val="auto"/>
          <w:highlight w:val="none"/>
        </w:rPr>
        <w:t>五、项目负责人及团队成员资料表</w:t>
      </w:r>
      <w:bookmarkEnd w:id="376"/>
      <w:bookmarkEnd w:id="377"/>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8"/>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78" w:name="_Toc15431"/>
      <w:bookmarkStart w:id="379" w:name="_Toc26980"/>
      <w:r>
        <w:rPr>
          <w:rFonts w:hint="eastAsia"/>
          <w:color w:val="auto"/>
          <w:highlight w:val="none"/>
        </w:rPr>
        <w:t>六、投标货物明细一览表</w:t>
      </w:r>
      <w:bookmarkEnd w:id="378"/>
      <w:bookmarkEnd w:id="379"/>
    </w:p>
    <w:tbl>
      <w:tblPr>
        <w:tblStyle w:val="25"/>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5"/>
        <w:jc w:val="center"/>
        <w:rPr>
          <w:color w:val="auto"/>
          <w:highlight w:val="none"/>
        </w:rPr>
      </w:pPr>
      <w:bookmarkStart w:id="380" w:name="_Toc16710"/>
      <w:bookmarkStart w:id="381" w:name="_Toc21541"/>
      <w:r>
        <w:rPr>
          <w:rFonts w:hint="eastAsia"/>
          <w:color w:val="auto"/>
          <w:highlight w:val="none"/>
        </w:rPr>
        <w:t>七、投标保证金汇入情况说明</w:t>
      </w:r>
      <w:bookmarkEnd w:id="380"/>
      <w:bookmarkEnd w:id="381"/>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5"/>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82" w:name="_Toc26855"/>
      <w:bookmarkStart w:id="383" w:name="_Toc24545"/>
      <w:r>
        <w:rPr>
          <w:rFonts w:hint="eastAsia"/>
          <w:color w:val="auto"/>
          <w:highlight w:val="none"/>
        </w:rPr>
        <w:t>八、政府采购投标担保函</w:t>
      </w:r>
      <w:bookmarkEnd w:id="382"/>
      <w:bookmarkEnd w:id="38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5"/>
        <w:jc w:val="center"/>
        <w:rPr>
          <w:color w:val="auto"/>
          <w:highlight w:val="none"/>
        </w:rPr>
      </w:pPr>
      <w:bookmarkStart w:id="384" w:name="_Toc6961"/>
      <w:r>
        <w:rPr>
          <w:rFonts w:hint="eastAsia"/>
          <w:color w:val="auto"/>
          <w:highlight w:val="none"/>
        </w:rPr>
        <w:t>九、政府采购履约担保函</w:t>
      </w:r>
      <w:bookmarkEnd w:id="384"/>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8"/>
        <w:rPr>
          <w:color w:val="auto"/>
          <w:highlight w:val="none"/>
        </w:rPr>
      </w:pPr>
    </w:p>
    <w:p>
      <w:pPr>
        <w:rPr>
          <w:color w:val="auto"/>
          <w:highlight w:val="none"/>
        </w:rPr>
      </w:pPr>
      <w:r>
        <w:rPr>
          <w:color w:val="auto"/>
          <w:highlight w:val="none"/>
        </w:rPr>
        <w:br w:type="page"/>
      </w:r>
    </w:p>
    <w:p>
      <w:pPr>
        <w:pStyle w:val="5"/>
        <w:jc w:val="center"/>
        <w:rPr>
          <w:color w:val="auto"/>
          <w:highlight w:val="none"/>
        </w:rPr>
      </w:pPr>
      <w:bookmarkStart w:id="385" w:name="_Toc26782"/>
      <w:bookmarkStart w:id="386" w:name="_Toc26772"/>
      <w:r>
        <w:rPr>
          <w:rFonts w:hint="eastAsia"/>
          <w:color w:val="auto"/>
          <w:highlight w:val="none"/>
        </w:rPr>
        <w:t>第四章唱标信封（单独封装）</w:t>
      </w:r>
      <w:bookmarkEnd w:id="385"/>
      <w:bookmarkEnd w:id="386"/>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7"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8"/>
        <w:rPr>
          <w:color w:val="auto"/>
          <w:highlight w:val="none"/>
        </w:rPr>
      </w:pPr>
    </w:p>
    <w:p>
      <w:pPr>
        <w:rPr>
          <w:color w:val="auto"/>
          <w:highlight w:val="none"/>
        </w:rPr>
      </w:pPr>
    </w:p>
    <w:p>
      <w:pPr>
        <w:pStyle w:val="8"/>
        <w:rPr>
          <w:color w:val="auto"/>
          <w:highlight w:val="none"/>
        </w:rPr>
      </w:pPr>
    </w:p>
    <w:p>
      <w:pPr>
        <w:rPr>
          <w:color w:val="auto"/>
          <w:highlight w:val="none"/>
        </w:rPr>
      </w:pPr>
    </w:p>
    <w:p>
      <w:pPr>
        <w:pStyle w:val="8"/>
        <w:rPr>
          <w:color w:val="auto"/>
          <w:highlight w:val="none"/>
        </w:rPr>
      </w:pPr>
    </w:p>
    <w:p>
      <w:pPr>
        <w:rPr>
          <w:color w:val="auto"/>
          <w:highlight w:val="none"/>
        </w:rPr>
      </w:pPr>
    </w:p>
    <w:p>
      <w:pPr>
        <w:pStyle w:val="8"/>
        <w:rPr>
          <w:color w:val="auto"/>
          <w:highlight w:val="none"/>
        </w:rPr>
      </w:pPr>
    </w:p>
    <w:p>
      <w:pPr>
        <w:rPr>
          <w:color w:val="auto"/>
          <w:highlight w:val="none"/>
        </w:rPr>
      </w:pPr>
    </w:p>
    <w:p>
      <w:pPr>
        <w:pStyle w:val="5"/>
        <w:jc w:val="center"/>
        <w:rPr>
          <w:color w:val="auto"/>
          <w:highlight w:val="none"/>
        </w:rPr>
      </w:pPr>
      <w:bookmarkStart w:id="388" w:name="_Toc2710"/>
      <w:bookmarkStart w:id="389" w:name="_Toc22736"/>
      <w:r>
        <w:rPr>
          <w:rFonts w:hint="eastAsia"/>
          <w:color w:val="auto"/>
          <w:highlight w:val="none"/>
        </w:rPr>
        <w:t>第五章联合体共同投标协议书（如有需要）</w:t>
      </w:r>
      <w:bookmarkEnd w:id="388"/>
      <w:bookmarkEnd w:id="389"/>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六、本协议书一式份，随响应文件装订份，联合体成员各份。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7"/>
    <w:p>
      <w:pPr>
        <w:pStyle w:val="8"/>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8"/>
        <w:rPr>
          <w:color w:val="auto"/>
          <w:highlight w:val="none"/>
        </w:rPr>
      </w:pPr>
    </w:p>
    <w:p>
      <w:pPr>
        <w:rPr>
          <w:color w:val="auto"/>
          <w:highlight w:val="none"/>
        </w:rPr>
      </w:pPr>
    </w:p>
    <w:p>
      <w:pPr>
        <w:pStyle w:val="8"/>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5"/>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w:t>
            </w:r>
            <w:r>
              <w:rPr>
                <w:rFonts w:hint="eastAsia" w:ascii="宋体" w:hAnsi="宋体" w:cs="宋体"/>
                <w:color w:val="auto"/>
                <w:sz w:val="28"/>
                <w:szCs w:val="28"/>
                <w:highlight w:val="none"/>
                <w:lang w:val="en-US" w:eastAsia="zh-CN"/>
              </w:rPr>
              <w:t>300</w:t>
            </w:r>
            <w:r>
              <w:rPr>
                <w:rFonts w:hint="eastAsia" w:ascii="宋体" w:hAnsi="宋体" w:cs="宋体"/>
                <w:color w:val="auto"/>
                <w:sz w:val="28"/>
                <w:szCs w:val="28"/>
                <w:highlight w:val="none"/>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24"/>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1"/>
        <w:rPr>
          <w:rFonts w:eastAsia="微软雅黑"/>
        </w:rPr>
      </w:pPr>
      <w:r>
        <w:rPr>
          <w:rStyle w:val="31"/>
        </w:rPr>
        <w:footnoteRef/>
      </w:r>
      <w:r>
        <w:rPr>
          <w:rFonts w:hint="eastAsia"/>
        </w:rPr>
        <w:t>从业人员、营业人员、资产总额填报上一年度数据，无上一年度数据的新成立企业可不填报。</w:t>
      </w:r>
    </w:p>
  </w:footnote>
  <w:footnote w:id="1">
    <w:p>
      <w:pPr>
        <w:pStyle w:val="21"/>
      </w:pPr>
      <w:r>
        <w:rPr>
          <w:rStyle w:val="31"/>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B3A87"/>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08F7"/>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3D89"/>
    <w:rsid w:val="01E74B6E"/>
    <w:rsid w:val="02126CDB"/>
    <w:rsid w:val="021832B7"/>
    <w:rsid w:val="024E2E49"/>
    <w:rsid w:val="02A741FD"/>
    <w:rsid w:val="02C16E5D"/>
    <w:rsid w:val="02D964CF"/>
    <w:rsid w:val="032D0464"/>
    <w:rsid w:val="0340787C"/>
    <w:rsid w:val="03707410"/>
    <w:rsid w:val="037F03E3"/>
    <w:rsid w:val="03A0770F"/>
    <w:rsid w:val="03A27BF9"/>
    <w:rsid w:val="03A448B8"/>
    <w:rsid w:val="03A4578A"/>
    <w:rsid w:val="03AD071E"/>
    <w:rsid w:val="03B67E12"/>
    <w:rsid w:val="03BB2048"/>
    <w:rsid w:val="03D10969"/>
    <w:rsid w:val="04DF1036"/>
    <w:rsid w:val="050F6021"/>
    <w:rsid w:val="055214B8"/>
    <w:rsid w:val="05690927"/>
    <w:rsid w:val="05A97DEC"/>
    <w:rsid w:val="05C81981"/>
    <w:rsid w:val="05C935B6"/>
    <w:rsid w:val="065A32ED"/>
    <w:rsid w:val="06BC41F2"/>
    <w:rsid w:val="06DF3DBD"/>
    <w:rsid w:val="06FA1908"/>
    <w:rsid w:val="07197D08"/>
    <w:rsid w:val="071C2CFD"/>
    <w:rsid w:val="071E5C55"/>
    <w:rsid w:val="07213DF9"/>
    <w:rsid w:val="07391925"/>
    <w:rsid w:val="073A47CB"/>
    <w:rsid w:val="073F7319"/>
    <w:rsid w:val="07536A42"/>
    <w:rsid w:val="07595F41"/>
    <w:rsid w:val="07615EC0"/>
    <w:rsid w:val="076E24F4"/>
    <w:rsid w:val="077005AB"/>
    <w:rsid w:val="078F4581"/>
    <w:rsid w:val="07995C5E"/>
    <w:rsid w:val="07B34F45"/>
    <w:rsid w:val="07BE179A"/>
    <w:rsid w:val="07BF027F"/>
    <w:rsid w:val="08031A31"/>
    <w:rsid w:val="081A5CC7"/>
    <w:rsid w:val="087400C9"/>
    <w:rsid w:val="08A276E5"/>
    <w:rsid w:val="09061A75"/>
    <w:rsid w:val="09182241"/>
    <w:rsid w:val="09242E62"/>
    <w:rsid w:val="093C069F"/>
    <w:rsid w:val="09417888"/>
    <w:rsid w:val="09855177"/>
    <w:rsid w:val="09870F93"/>
    <w:rsid w:val="09A955D6"/>
    <w:rsid w:val="09D658E4"/>
    <w:rsid w:val="09F1637C"/>
    <w:rsid w:val="0A25628F"/>
    <w:rsid w:val="0AA534D5"/>
    <w:rsid w:val="0AA650EB"/>
    <w:rsid w:val="0AB8066A"/>
    <w:rsid w:val="0AF47339"/>
    <w:rsid w:val="0B22594B"/>
    <w:rsid w:val="0B797387"/>
    <w:rsid w:val="0B8B2381"/>
    <w:rsid w:val="0BC044BE"/>
    <w:rsid w:val="0BD25EAF"/>
    <w:rsid w:val="0BDF26F7"/>
    <w:rsid w:val="0BE31BA4"/>
    <w:rsid w:val="0C264099"/>
    <w:rsid w:val="0C2B4952"/>
    <w:rsid w:val="0C430B50"/>
    <w:rsid w:val="0C7B2220"/>
    <w:rsid w:val="0CC538D1"/>
    <w:rsid w:val="0CEC6050"/>
    <w:rsid w:val="0D1B775E"/>
    <w:rsid w:val="0D890E47"/>
    <w:rsid w:val="0DC64A00"/>
    <w:rsid w:val="0DFC60BA"/>
    <w:rsid w:val="0E4249F1"/>
    <w:rsid w:val="0F267EF5"/>
    <w:rsid w:val="0F2955F4"/>
    <w:rsid w:val="0F6C5A53"/>
    <w:rsid w:val="0F7C5FF6"/>
    <w:rsid w:val="0FC63FBD"/>
    <w:rsid w:val="10382D43"/>
    <w:rsid w:val="106C564D"/>
    <w:rsid w:val="107224BA"/>
    <w:rsid w:val="107B7B8F"/>
    <w:rsid w:val="107C67CE"/>
    <w:rsid w:val="1080523F"/>
    <w:rsid w:val="108F06C9"/>
    <w:rsid w:val="109D68CB"/>
    <w:rsid w:val="10A949B8"/>
    <w:rsid w:val="10C54639"/>
    <w:rsid w:val="11200D07"/>
    <w:rsid w:val="11D33670"/>
    <w:rsid w:val="11DA73AF"/>
    <w:rsid w:val="12C03E1F"/>
    <w:rsid w:val="12C60D80"/>
    <w:rsid w:val="13081C86"/>
    <w:rsid w:val="131867D4"/>
    <w:rsid w:val="131F7A3A"/>
    <w:rsid w:val="132645D0"/>
    <w:rsid w:val="13455ABC"/>
    <w:rsid w:val="1370322B"/>
    <w:rsid w:val="138C240A"/>
    <w:rsid w:val="13B27845"/>
    <w:rsid w:val="13BE469F"/>
    <w:rsid w:val="13F87121"/>
    <w:rsid w:val="141A03E1"/>
    <w:rsid w:val="143B2E0B"/>
    <w:rsid w:val="14672B11"/>
    <w:rsid w:val="14892735"/>
    <w:rsid w:val="14A846B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A00AEE"/>
    <w:rsid w:val="17CD022B"/>
    <w:rsid w:val="17E277F7"/>
    <w:rsid w:val="17E62B67"/>
    <w:rsid w:val="180C0192"/>
    <w:rsid w:val="180F4499"/>
    <w:rsid w:val="18221ECE"/>
    <w:rsid w:val="18251D29"/>
    <w:rsid w:val="184A6EA2"/>
    <w:rsid w:val="18DD0A66"/>
    <w:rsid w:val="190B7894"/>
    <w:rsid w:val="199C6F1F"/>
    <w:rsid w:val="199F68F8"/>
    <w:rsid w:val="19A2789F"/>
    <w:rsid w:val="19B7100D"/>
    <w:rsid w:val="19C60B92"/>
    <w:rsid w:val="1A460CF5"/>
    <w:rsid w:val="1A515546"/>
    <w:rsid w:val="1A7F297D"/>
    <w:rsid w:val="1AB16AC1"/>
    <w:rsid w:val="1B034A52"/>
    <w:rsid w:val="1B1F34AD"/>
    <w:rsid w:val="1B5A51FC"/>
    <w:rsid w:val="1B8D5DC6"/>
    <w:rsid w:val="1BFE1D3B"/>
    <w:rsid w:val="1C2775EC"/>
    <w:rsid w:val="1C750ECE"/>
    <w:rsid w:val="1CA22168"/>
    <w:rsid w:val="1D0836D7"/>
    <w:rsid w:val="1D196139"/>
    <w:rsid w:val="1DB85900"/>
    <w:rsid w:val="1DF051AF"/>
    <w:rsid w:val="1DF21EC6"/>
    <w:rsid w:val="1E010AF7"/>
    <w:rsid w:val="1E0178EB"/>
    <w:rsid w:val="1E301173"/>
    <w:rsid w:val="1E38333E"/>
    <w:rsid w:val="1E5C7612"/>
    <w:rsid w:val="1E636E30"/>
    <w:rsid w:val="1EA40BB4"/>
    <w:rsid w:val="1F143386"/>
    <w:rsid w:val="1F43381C"/>
    <w:rsid w:val="1FA4148D"/>
    <w:rsid w:val="20121621"/>
    <w:rsid w:val="201A421D"/>
    <w:rsid w:val="20341172"/>
    <w:rsid w:val="204E554F"/>
    <w:rsid w:val="20590035"/>
    <w:rsid w:val="20C35213"/>
    <w:rsid w:val="20FC799E"/>
    <w:rsid w:val="21072664"/>
    <w:rsid w:val="21693C0A"/>
    <w:rsid w:val="22154DDD"/>
    <w:rsid w:val="22213E42"/>
    <w:rsid w:val="22336873"/>
    <w:rsid w:val="225C57F7"/>
    <w:rsid w:val="23175889"/>
    <w:rsid w:val="232C5C75"/>
    <w:rsid w:val="238C2182"/>
    <w:rsid w:val="239015D1"/>
    <w:rsid w:val="23B02530"/>
    <w:rsid w:val="23BB4E7D"/>
    <w:rsid w:val="23C172D6"/>
    <w:rsid w:val="23F04F64"/>
    <w:rsid w:val="24814CBE"/>
    <w:rsid w:val="24AC168B"/>
    <w:rsid w:val="25857F75"/>
    <w:rsid w:val="258C3BEC"/>
    <w:rsid w:val="25E576CC"/>
    <w:rsid w:val="260E3862"/>
    <w:rsid w:val="262569FC"/>
    <w:rsid w:val="26344C98"/>
    <w:rsid w:val="264B6870"/>
    <w:rsid w:val="26F56CE2"/>
    <w:rsid w:val="272D1F94"/>
    <w:rsid w:val="27435D49"/>
    <w:rsid w:val="27A34F71"/>
    <w:rsid w:val="27B36A67"/>
    <w:rsid w:val="27EB0D9B"/>
    <w:rsid w:val="286602C8"/>
    <w:rsid w:val="28665C95"/>
    <w:rsid w:val="28A64522"/>
    <w:rsid w:val="28CC5B40"/>
    <w:rsid w:val="28F525D1"/>
    <w:rsid w:val="290B3EB9"/>
    <w:rsid w:val="291418C2"/>
    <w:rsid w:val="2950768C"/>
    <w:rsid w:val="29794227"/>
    <w:rsid w:val="297A5FC4"/>
    <w:rsid w:val="2A1113BC"/>
    <w:rsid w:val="2A8D4F8F"/>
    <w:rsid w:val="2A911082"/>
    <w:rsid w:val="2A917B34"/>
    <w:rsid w:val="2AA33C87"/>
    <w:rsid w:val="2AE3766F"/>
    <w:rsid w:val="2B4B680F"/>
    <w:rsid w:val="2B7E4054"/>
    <w:rsid w:val="2BC92502"/>
    <w:rsid w:val="2BF22742"/>
    <w:rsid w:val="2C987C56"/>
    <w:rsid w:val="2CBD45CF"/>
    <w:rsid w:val="2CEB5F6D"/>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7350B9"/>
    <w:rsid w:val="308C7755"/>
    <w:rsid w:val="30914729"/>
    <w:rsid w:val="30BC2179"/>
    <w:rsid w:val="30FF27D2"/>
    <w:rsid w:val="31170995"/>
    <w:rsid w:val="31264A30"/>
    <w:rsid w:val="31884E67"/>
    <w:rsid w:val="31A0275E"/>
    <w:rsid w:val="31B060CA"/>
    <w:rsid w:val="31B7357A"/>
    <w:rsid w:val="31ED6B08"/>
    <w:rsid w:val="31F915C9"/>
    <w:rsid w:val="32310A09"/>
    <w:rsid w:val="32610CE6"/>
    <w:rsid w:val="32631A32"/>
    <w:rsid w:val="328464CE"/>
    <w:rsid w:val="32AB70C5"/>
    <w:rsid w:val="32DC33E0"/>
    <w:rsid w:val="3309322B"/>
    <w:rsid w:val="335D0AF5"/>
    <w:rsid w:val="3370088C"/>
    <w:rsid w:val="33A3154A"/>
    <w:rsid w:val="33DC2F78"/>
    <w:rsid w:val="3428227C"/>
    <w:rsid w:val="350D6342"/>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7E6262"/>
    <w:rsid w:val="389B3A1E"/>
    <w:rsid w:val="38EB6119"/>
    <w:rsid w:val="39DE33DA"/>
    <w:rsid w:val="39FA5B4A"/>
    <w:rsid w:val="39FE0BE9"/>
    <w:rsid w:val="3A3C1AAF"/>
    <w:rsid w:val="3A424C25"/>
    <w:rsid w:val="3A4B7CC1"/>
    <w:rsid w:val="3A51228C"/>
    <w:rsid w:val="3A552E60"/>
    <w:rsid w:val="3A5D642F"/>
    <w:rsid w:val="3AB210FC"/>
    <w:rsid w:val="3ACE216B"/>
    <w:rsid w:val="3AD95C13"/>
    <w:rsid w:val="3B0E42D3"/>
    <w:rsid w:val="3B1E260C"/>
    <w:rsid w:val="3B261E51"/>
    <w:rsid w:val="3B973F88"/>
    <w:rsid w:val="3BCD72F7"/>
    <w:rsid w:val="3BF92417"/>
    <w:rsid w:val="3C414142"/>
    <w:rsid w:val="3CE114D9"/>
    <w:rsid w:val="3CE47DD8"/>
    <w:rsid w:val="3CF737A2"/>
    <w:rsid w:val="3CF7509A"/>
    <w:rsid w:val="3D10295A"/>
    <w:rsid w:val="3DAD2A99"/>
    <w:rsid w:val="3DFB13EA"/>
    <w:rsid w:val="3E0572FD"/>
    <w:rsid w:val="3E1A5292"/>
    <w:rsid w:val="3E5A7FE7"/>
    <w:rsid w:val="3EC8179E"/>
    <w:rsid w:val="3EF66B2E"/>
    <w:rsid w:val="3F217914"/>
    <w:rsid w:val="3F942B76"/>
    <w:rsid w:val="3FAB5A5B"/>
    <w:rsid w:val="3FD70BB0"/>
    <w:rsid w:val="3FFB55AC"/>
    <w:rsid w:val="401C5F9D"/>
    <w:rsid w:val="401C690C"/>
    <w:rsid w:val="401D7195"/>
    <w:rsid w:val="405F1BE4"/>
    <w:rsid w:val="40A51286"/>
    <w:rsid w:val="40CE3DC0"/>
    <w:rsid w:val="40D7455A"/>
    <w:rsid w:val="40E743E5"/>
    <w:rsid w:val="40F35EEC"/>
    <w:rsid w:val="4110038E"/>
    <w:rsid w:val="41734CBA"/>
    <w:rsid w:val="419C2E65"/>
    <w:rsid w:val="41AA4BF2"/>
    <w:rsid w:val="41C01B53"/>
    <w:rsid w:val="41DD7057"/>
    <w:rsid w:val="420F7A65"/>
    <w:rsid w:val="4216611A"/>
    <w:rsid w:val="423E300F"/>
    <w:rsid w:val="425656C8"/>
    <w:rsid w:val="4257273C"/>
    <w:rsid w:val="425D7213"/>
    <w:rsid w:val="42677B61"/>
    <w:rsid w:val="42756DB0"/>
    <w:rsid w:val="42AC485F"/>
    <w:rsid w:val="42B21AD2"/>
    <w:rsid w:val="42BF022A"/>
    <w:rsid w:val="42D208E8"/>
    <w:rsid w:val="42FD694D"/>
    <w:rsid w:val="42FF0BC3"/>
    <w:rsid w:val="434A6D8F"/>
    <w:rsid w:val="43FA5777"/>
    <w:rsid w:val="44044D92"/>
    <w:rsid w:val="441C1611"/>
    <w:rsid w:val="443C440B"/>
    <w:rsid w:val="443F7DBF"/>
    <w:rsid w:val="44514F52"/>
    <w:rsid w:val="446B348A"/>
    <w:rsid w:val="448965CB"/>
    <w:rsid w:val="44C5497E"/>
    <w:rsid w:val="44FA2D53"/>
    <w:rsid w:val="4571374F"/>
    <w:rsid w:val="458B1BB0"/>
    <w:rsid w:val="4611075B"/>
    <w:rsid w:val="461A2EB2"/>
    <w:rsid w:val="46214818"/>
    <w:rsid w:val="467A0297"/>
    <w:rsid w:val="468B7125"/>
    <w:rsid w:val="46C4691F"/>
    <w:rsid w:val="47841568"/>
    <w:rsid w:val="479D1D34"/>
    <w:rsid w:val="47B609C0"/>
    <w:rsid w:val="47CF543E"/>
    <w:rsid w:val="482D31EA"/>
    <w:rsid w:val="485970A0"/>
    <w:rsid w:val="48847961"/>
    <w:rsid w:val="48946B91"/>
    <w:rsid w:val="48A41906"/>
    <w:rsid w:val="48B65C71"/>
    <w:rsid w:val="48F303D7"/>
    <w:rsid w:val="492837FF"/>
    <w:rsid w:val="492E6A57"/>
    <w:rsid w:val="497D4383"/>
    <w:rsid w:val="498A4CE5"/>
    <w:rsid w:val="49B86103"/>
    <w:rsid w:val="4A0030EE"/>
    <w:rsid w:val="4AC36065"/>
    <w:rsid w:val="4AEE4B1C"/>
    <w:rsid w:val="4B560086"/>
    <w:rsid w:val="4B7501F5"/>
    <w:rsid w:val="4B8C2DEB"/>
    <w:rsid w:val="4BF80520"/>
    <w:rsid w:val="4BFA3C9F"/>
    <w:rsid w:val="4BFB5208"/>
    <w:rsid w:val="4C0E3379"/>
    <w:rsid w:val="4C107F48"/>
    <w:rsid w:val="4C30671C"/>
    <w:rsid w:val="4C3277BC"/>
    <w:rsid w:val="4C686851"/>
    <w:rsid w:val="4CB25875"/>
    <w:rsid w:val="4CC353EB"/>
    <w:rsid w:val="4CF36F3C"/>
    <w:rsid w:val="4D3739CE"/>
    <w:rsid w:val="4D4F67BA"/>
    <w:rsid w:val="4D603399"/>
    <w:rsid w:val="4D867EE1"/>
    <w:rsid w:val="4DBC4C65"/>
    <w:rsid w:val="4DD731F1"/>
    <w:rsid w:val="4DF6568D"/>
    <w:rsid w:val="4E2E1A80"/>
    <w:rsid w:val="4E550010"/>
    <w:rsid w:val="4E5F14CB"/>
    <w:rsid w:val="4E7B561B"/>
    <w:rsid w:val="4ED81ECB"/>
    <w:rsid w:val="4F3705F8"/>
    <w:rsid w:val="4F651D09"/>
    <w:rsid w:val="4FAC3540"/>
    <w:rsid w:val="4FBB12F4"/>
    <w:rsid w:val="4FCF1583"/>
    <w:rsid w:val="4FFA7625"/>
    <w:rsid w:val="501B0BF9"/>
    <w:rsid w:val="506F29A5"/>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860E2E"/>
    <w:rsid w:val="549A6BFA"/>
    <w:rsid w:val="54C61423"/>
    <w:rsid w:val="54E72921"/>
    <w:rsid w:val="55806F07"/>
    <w:rsid w:val="558F3CE2"/>
    <w:rsid w:val="55F3454C"/>
    <w:rsid w:val="55FA2961"/>
    <w:rsid w:val="55FE2696"/>
    <w:rsid w:val="565E3E0E"/>
    <w:rsid w:val="565E7F4F"/>
    <w:rsid w:val="56775789"/>
    <w:rsid w:val="56857D06"/>
    <w:rsid w:val="56914056"/>
    <w:rsid w:val="569F0E63"/>
    <w:rsid w:val="56DB613D"/>
    <w:rsid w:val="573810DA"/>
    <w:rsid w:val="57D9014C"/>
    <w:rsid w:val="57FC2169"/>
    <w:rsid w:val="58096275"/>
    <w:rsid w:val="580E4560"/>
    <w:rsid w:val="581C04F1"/>
    <w:rsid w:val="582E6EF7"/>
    <w:rsid w:val="58434392"/>
    <w:rsid w:val="584E30E6"/>
    <w:rsid w:val="59014D02"/>
    <w:rsid w:val="597B384D"/>
    <w:rsid w:val="59903AA4"/>
    <w:rsid w:val="59996DA8"/>
    <w:rsid w:val="59AC3CE9"/>
    <w:rsid w:val="59C30F1B"/>
    <w:rsid w:val="5A0D5854"/>
    <w:rsid w:val="5A20156F"/>
    <w:rsid w:val="5A250E62"/>
    <w:rsid w:val="5A4311D3"/>
    <w:rsid w:val="5A603473"/>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B843E0"/>
    <w:rsid w:val="5CBB0F9F"/>
    <w:rsid w:val="5CF55792"/>
    <w:rsid w:val="5CFD533A"/>
    <w:rsid w:val="5D893B14"/>
    <w:rsid w:val="5D9F3D30"/>
    <w:rsid w:val="5DA70699"/>
    <w:rsid w:val="5E2810D5"/>
    <w:rsid w:val="5E2B7D62"/>
    <w:rsid w:val="5E2F31A6"/>
    <w:rsid w:val="5E71411E"/>
    <w:rsid w:val="5EA06921"/>
    <w:rsid w:val="5ED5006A"/>
    <w:rsid w:val="5F576E4B"/>
    <w:rsid w:val="5F5D4EDE"/>
    <w:rsid w:val="5F7A2C30"/>
    <w:rsid w:val="5FBE370A"/>
    <w:rsid w:val="60292845"/>
    <w:rsid w:val="61027308"/>
    <w:rsid w:val="612E1A5D"/>
    <w:rsid w:val="61693E96"/>
    <w:rsid w:val="61816046"/>
    <w:rsid w:val="61881DE7"/>
    <w:rsid w:val="62182687"/>
    <w:rsid w:val="62391564"/>
    <w:rsid w:val="623E50A4"/>
    <w:rsid w:val="62816669"/>
    <w:rsid w:val="62BA0953"/>
    <w:rsid w:val="62D03A7C"/>
    <w:rsid w:val="62F16BCB"/>
    <w:rsid w:val="62F648FE"/>
    <w:rsid w:val="630A30D8"/>
    <w:rsid w:val="63246317"/>
    <w:rsid w:val="63341DB1"/>
    <w:rsid w:val="63447612"/>
    <w:rsid w:val="63907004"/>
    <w:rsid w:val="63A10995"/>
    <w:rsid w:val="63B7664D"/>
    <w:rsid w:val="63C23EFA"/>
    <w:rsid w:val="63C41644"/>
    <w:rsid w:val="643A070A"/>
    <w:rsid w:val="644C573D"/>
    <w:rsid w:val="647F1ACC"/>
    <w:rsid w:val="648667A7"/>
    <w:rsid w:val="64A96F56"/>
    <w:rsid w:val="64DB383A"/>
    <w:rsid w:val="65032F85"/>
    <w:rsid w:val="65136B50"/>
    <w:rsid w:val="653B0C50"/>
    <w:rsid w:val="657E2A35"/>
    <w:rsid w:val="65A94E9D"/>
    <w:rsid w:val="65AA5B01"/>
    <w:rsid w:val="65C60A92"/>
    <w:rsid w:val="662203DD"/>
    <w:rsid w:val="66615FB2"/>
    <w:rsid w:val="666B723B"/>
    <w:rsid w:val="6678045A"/>
    <w:rsid w:val="66DD6702"/>
    <w:rsid w:val="679406CB"/>
    <w:rsid w:val="67AB52F1"/>
    <w:rsid w:val="67C35C0B"/>
    <w:rsid w:val="681233D2"/>
    <w:rsid w:val="68165B0D"/>
    <w:rsid w:val="681D5EE5"/>
    <w:rsid w:val="681E3671"/>
    <w:rsid w:val="686226DB"/>
    <w:rsid w:val="68652AB3"/>
    <w:rsid w:val="6895578E"/>
    <w:rsid w:val="689F1926"/>
    <w:rsid w:val="68AD17BB"/>
    <w:rsid w:val="68D94D22"/>
    <w:rsid w:val="692B2E4A"/>
    <w:rsid w:val="692E7663"/>
    <w:rsid w:val="694303FB"/>
    <w:rsid w:val="696A0B34"/>
    <w:rsid w:val="698D6A17"/>
    <w:rsid w:val="69A233E7"/>
    <w:rsid w:val="69DA61FF"/>
    <w:rsid w:val="69EE3535"/>
    <w:rsid w:val="69F954C1"/>
    <w:rsid w:val="6A2031B6"/>
    <w:rsid w:val="6A440C53"/>
    <w:rsid w:val="6A507D0C"/>
    <w:rsid w:val="6AC61F6F"/>
    <w:rsid w:val="6ADE74F0"/>
    <w:rsid w:val="6AEF2137"/>
    <w:rsid w:val="6B1002C0"/>
    <w:rsid w:val="6B1F5CFA"/>
    <w:rsid w:val="6B723594"/>
    <w:rsid w:val="6B805156"/>
    <w:rsid w:val="6BD50977"/>
    <w:rsid w:val="6BEA2A9B"/>
    <w:rsid w:val="6BEE7B02"/>
    <w:rsid w:val="6C63003E"/>
    <w:rsid w:val="6C9C0875"/>
    <w:rsid w:val="6C9D1F03"/>
    <w:rsid w:val="6CAA3931"/>
    <w:rsid w:val="6CF31086"/>
    <w:rsid w:val="6D3933CA"/>
    <w:rsid w:val="6D7B61EC"/>
    <w:rsid w:val="6DB02CF5"/>
    <w:rsid w:val="6DC3266E"/>
    <w:rsid w:val="6DD049FF"/>
    <w:rsid w:val="6E09491E"/>
    <w:rsid w:val="6E0D3655"/>
    <w:rsid w:val="6E427AF6"/>
    <w:rsid w:val="6E5F4465"/>
    <w:rsid w:val="6E8C54DA"/>
    <w:rsid w:val="6EF11E03"/>
    <w:rsid w:val="6F111C62"/>
    <w:rsid w:val="6F2176E5"/>
    <w:rsid w:val="6F3053CA"/>
    <w:rsid w:val="6F592303"/>
    <w:rsid w:val="6F5F5B74"/>
    <w:rsid w:val="6F764C2E"/>
    <w:rsid w:val="6F9B1C65"/>
    <w:rsid w:val="6FD47A25"/>
    <w:rsid w:val="6FF44026"/>
    <w:rsid w:val="6FFB146E"/>
    <w:rsid w:val="701A5C74"/>
    <w:rsid w:val="706516C3"/>
    <w:rsid w:val="70864A71"/>
    <w:rsid w:val="70896E68"/>
    <w:rsid w:val="70CE0D31"/>
    <w:rsid w:val="71322C59"/>
    <w:rsid w:val="714556B4"/>
    <w:rsid w:val="715B60E9"/>
    <w:rsid w:val="71860FA0"/>
    <w:rsid w:val="71E96309"/>
    <w:rsid w:val="71EA1FED"/>
    <w:rsid w:val="72284A0C"/>
    <w:rsid w:val="728409C4"/>
    <w:rsid w:val="72C16204"/>
    <w:rsid w:val="72E250CB"/>
    <w:rsid w:val="730313F6"/>
    <w:rsid w:val="731E1007"/>
    <w:rsid w:val="73370D24"/>
    <w:rsid w:val="7359268C"/>
    <w:rsid w:val="739503EB"/>
    <w:rsid w:val="73A05B28"/>
    <w:rsid w:val="73BE7013"/>
    <w:rsid w:val="73C07D69"/>
    <w:rsid w:val="749720BE"/>
    <w:rsid w:val="749E2255"/>
    <w:rsid w:val="74B42AE4"/>
    <w:rsid w:val="750A429D"/>
    <w:rsid w:val="75167F59"/>
    <w:rsid w:val="752B63DB"/>
    <w:rsid w:val="754D77D2"/>
    <w:rsid w:val="755D38A7"/>
    <w:rsid w:val="755F5A0F"/>
    <w:rsid w:val="75614792"/>
    <w:rsid w:val="756672DA"/>
    <w:rsid w:val="756E5849"/>
    <w:rsid w:val="75784473"/>
    <w:rsid w:val="757E044C"/>
    <w:rsid w:val="75977BC3"/>
    <w:rsid w:val="75B161B3"/>
    <w:rsid w:val="75E470E3"/>
    <w:rsid w:val="76736B32"/>
    <w:rsid w:val="76800E11"/>
    <w:rsid w:val="76E3765E"/>
    <w:rsid w:val="76FC2AFA"/>
    <w:rsid w:val="773F0836"/>
    <w:rsid w:val="77653671"/>
    <w:rsid w:val="778546CC"/>
    <w:rsid w:val="77B56730"/>
    <w:rsid w:val="77B911F9"/>
    <w:rsid w:val="77C04A8B"/>
    <w:rsid w:val="77D266D3"/>
    <w:rsid w:val="77D85DB3"/>
    <w:rsid w:val="780252A0"/>
    <w:rsid w:val="78027772"/>
    <w:rsid w:val="78671E95"/>
    <w:rsid w:val="78A50513"/>
    <w:rsid w:val="78B92B9D"/>
    <w:rsid w:val="78CC45F8"/>
    <w:rsid w:val="79385FFF"/>
    <w:rsid w:val="793B7339"/>
    <w:rsid w:val="796518DD"/>
    <w:rsid w:val="796E0C55"/>
    <w:rsid w:val="79AA0532"/>
    <w:rsid w:val="79B82D71"/>
    <w:rsid w:val="79F70999"/>
    <w:rsid w:val="79FE1DDD"/>
    <w:rsid w:val="7A075767"/>
    <w:rsid w:val="7A212062"/>
    <w:rsid w:val="7A282A11"/>
    <w:rsid w:val="7A9E122C"/>
    <w:rsid w:val="7AB90FF6"/>
    <w:rsid w:val="7AC21562"/>
    <w:rsid w:val="7ACA60B5"/>
    <w:rsid w:val="7AD474A4"/>
    <w:rsid w:val="7B115232"/>
    <w:rsid w:val="7B233152"/>
    <w:rsid w:val="7B3E6396"/>
    <w:rsid w:val="7B416BDC"/>
    <w:rsid w:val="7B5350AD"/>
    <w:rsid w:val="7B6867EB"/>
    <w:rsid w:val="7B697C89"/>
    <w:rsid w:val="7B8D34C3"/>
    <w:rsid w:val="7B971D84"/>
    <w:rsid w:val="7BF32F03"/>
    <w:rsid w:val="7C1724A5"/>
    <w:rsid w:val="7C8E3CCF"/>
    <w:rsid w:val="7CA54112"/>
    <w:rsid w:val="7CBC5262"/>
    <w:rsid w:val="7CDD3461"/>
    <w:rsid w:val="7CE50CE4"/>
    <w:rsid w:val="7D2177E3"/>
    <w:rsid w:val="7D2E5ABF"/>
    <w:rsid w:val="7E2142A2"/>
    <w:rsid w:val="7E4F5384"/>
    <w:rsid w:val="7E5A6DFA"/>
    <w:rsid w:val="7E730D4D"/>
    <w:rsid w:val="7E7B0BF2"/>
    <w:rsid w:val="7E7C57AE"/>
    <w:rsid w:val="7E7C7A78"/>
    <w:rsid w:val="7E8D75B6"/>
    <w:rsid w:val="7E9300A0"/>
    <w:rsid w:val="7EB2417D"/>
    <w:rsid w:val="7EF760EE"/>
    <w:rsid w:val="7F2A21E7"/>
    <w:rsid w:val="7F763FE8"/>
    <w:rsid w:val="7F8048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4"/>
    <w:unhideWhenUsed/>
    <w:qFormat/>
    <w:uiPriority w:val="9"/>
    <w:pPr>
      <w:keepNext/>
      <w:keepLines/>
      <w:outlineLvl w:val="2"/>
    </w:pPr>
    <w:rPr>
      <w:b/>
      <w:bCs/>
      <w:sz w:val="28"/>
      <w:szCs w:val="32"/>
    </w:rPr>
  </w:style>
  <w:style w:type="paragraph" w:styleId="6">
    <w:name w:val="heading 4"/>
    <w:basedOn w:val="1"/>
    <w:next w:val="1"/>
    <w:link w:val="36"/>
    <w:unhideWhenUsed/>
    <w:qFormat/>
    <w:uiPriority w:val="9"/>
    <w:pPr>
      <w:keepNext/>
      <w:keepLines/>
      <w:outlineLvl w:val="3"/>
    </w:pPr>
    <w:rPr>
      <w:rFonts w:asciiTheme="majorHAnsi" w:hAnsiTheme="majorHAnsi" w:cstheme="majorBidi"/>
      <w:b/>
      <w:bCs/>
      <w:sz w:val="24"/>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7">
    <w:name w:val="annotation text"/>
    <w:basedOn w:val="1"/>
    <w:semiHidden/>
    <w:unhideWhenUsed/>
    <w:qFormat/>
    <w:uiPriority w:val="99"/>
  </w:style>
  <w:style w:type="paragraph" w:styleId="8">
    <w:name w:val="Body Text"/>
    <w:basedOn w:val="1"/>
    <w:next w:val="1"/>
    <w:qFormat/>
    <w:uiPriority w:val="1"/>
    <w:pPr>
      <w:spacing w:before="161"/>
      <w:ind w:left="120"/>
    </w:pPr>
    <w:rPr>
      <w:rFonts w:ascii="宋体" w:hAnsi="宋体" w:cs="宋体"/>
      <w:sz w:val="24"/>
      <w:lang w:val="zh-CN" w:bidi="zh-CN"/>
    </w:rPr>
  </w:style>
  <w:style w:type="paragraph" w:styleId="9">
    <w:name w:val="Body Text Indent"/>
    <w:basedOn w:val="1"/>
    <w:qFormat/>
    <w:uiPriority w:val="0"/>
    <w:pPr>
      <w:ind w:left="540"/>
    </w:pPr>
    <w:rPr>
      <w:rFonts w:ascii="Times New Roman" w:hAnsi="Times New Roman" w:eastAsia="宋体" w:cs="Times New Roman"/>
      <w:szCs w:val="20"/>
    </w:rPr>
  </w:style>
  <w:style w:type="paragraph" w:styleId="10">
    <w:name w:val="toc 3"/>
    <w:basedOn w:val="1"/>
    <w:next w:val="1"/>
    <w:unhideWhenUsed/>
    <w:qFormat/>
    <w:uiPriority w:val="39"/>
    <w:pPr>
      <w:tabs>
        <w:tab w:val="right" w:leader="dot" w:pos="8296"/>
      </w:tabs>
      <w:ind w:left="838" w:leftChars="381"/>
    </w:pPr>
    <w:rPr>
      <w:szCs w:val="21"/>
    </w:rPr>
  </w:style>
  <w:style w:type="paragraph" w:styleId="11">
    <w:name w:val="Plain Text"/>
    <w:basedOn w:val="1"/>
    <w:link w:val="47"/>
    <w:qFormat/>
    <w:uiPriority w:val="0"/>
    <w:pPr>
      <w:widowControl w:val="0"/>
      <w:adjustRightInd/>
      <w:snapToGrid/>
      <w:jc w:val="both"/>
    </w:pPr>
    <w:rPr>
      <w:rFonts w:ascii="宋体" w:hAnsi="Courier New" w:cs="Times New Roman"/>
      <w:b/>
      <w:kern w:val="2"/>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50"/>
    <w:semiHidden/>
    <w:unhideWhenUsed/>
    <w:qFormat/>
    <w:uiPriority w:val="99"/>
    <w:rPr>
      <w:sz w:val="18"/>
      <w:szCs w:val="18"/>
    </w:rPr>
  </w:style>
  <w:style w:type="paragraph" w:styleId="14">
    <w:name w:val="footer"/>
    <w:basedOn w:val="1"/>
    <w:link w:val="49"/>
    <w:unhideWhenUsed/>
    <w:qFormat/>
    <w:uiPriority w:val="99"/>
    <w:pPr>
      <w:tabs>
        <w:tab w:val="center" w:pos="4153"/>
        <w:tab w:val="right" w:pos="8306"/>
      </w:tabs>
    </w:pPr>
    <w:rPr>
      <w:sz w:val="18"/>
      <w:szCs w:val="18"/>
    </w:rPr>
  </w:style>
  <w:style w:type="paragraph" w:styleId="15">
    <w:name w:val="header"/>
    <w:basedOn w:val="1"/>
    <w:link w:val="48"/>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1">
    <w:name w:val="footnote text"/>
    <w:basedOn w:val="1"/>
    <w:semiHidden/>
    <w:unhideWhenUsed/>
    <w:qFormat/>
    <w:uiPriority w:val="99"/>
    <w:rPr>
      <w:sz w:val="18"/>
    </w:rPr>
  </w:style>
  <w:style w:type="paragraph" w:styleId="22">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3">
    <w:name w:val="Normal (Web)"/>
    <w:basedOn w:val="1"/>
    <w:link w:val="52"/>
    <w:qFormat/>
    <w:uiPriority w:val="0"/>
    <w:pPr>
      <w:widowControl w:val="0"/>
      <w:adjustRightInd/>
      <w:snapToGrid/>
      <w:jc w:val="both"/>
    </w:pPr>
    <w:rPr>
      <w:rFonts w:asciiTheme="minorHAnsi" w:hAnsiTheme="minorHAnsi"/>
      <w:kern w:val="2"/>
      <w:sz w:val="24"/>
      <w:szCs w:val="24"/>
    </w:rPr>
  </w:style>
  <w:style w:type="paragraph" w:styleId="24">
    <w:name w:val="Body Text First Indent"/>
    <w:basedOn w:val="8"/>
    <w:unhideWhenUsed/>
    <w:qFormat/>
    <w:uiPriority w:val="99"/>
    <w:pPr>
      <w:ind w:firstLine="420" w:firstLineChars="100"/>
    </w:pPr>
    <w:rPr>
      <w:rFonts w:ascii="Times New Roman" w:hAnsi="Times New Roman" w:cs="Times New Roman"/>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Emphasis"/>
    <w:basedOn w:val="27"/>
    <w:qFormat/>
    <w:uiPriority w:val="20"/>
    <w:rPr>
      <w:i/>
      <w:iCs/>
    </w:rPr>
  </w:style>
  <w:style w:type="character" w:styleId="29">
    <w:name w:val="Hyperlink"/>
    <w:qFormat/>
    <w:uiPriority w:val="99"/>
    <w:rPr>
      <w:rFonts w:hint="eastAsia" w:ascii="宋体" w:hAnsi="宋体" w:eastAsia="宋体" w:cs="宋体"/>
      <w:b/>
      <w:color w:val="0031C1"/>
      <w:kern w:val="0"/>
      <w:sz w:val="18"/>
      <w:szCs w:val="18"/>
      <w:u w:val="none"/>
      <w:lang w:eastAsia="en-US"/>
    </w:rPr>
  </w:style>
  <w:style w:type="character" w:styleId="30">
    <w:name w:val="annotation reference"/>
    <w:basedOn w:val="27"/>
    <w:semiHidden/>
    <w:unhideWhenUsed/>
    <w:qFormat/>
    <w:uiPriority w:val="99"/>
    <w:rPr>
      <w:sz w:val="21"/>
      <w:szCs w:val="21"/>
    </w:rPr>
  </w:style>
  <w:style w:type="character" w:styleId="31">
    <w:name w:val="footnote reference"/>
    <w:basedOn w:val="27"/>
    <w:semiHidden/>
    <w:unhideWhenUsed/>
    <w:qFormat/>
    <w:uiPriority w:val="99"/>
    <w:rPr>
      <w:vertAlign w:val="superscript"/>
    </w:rPr>
  </w:style>
  <w:style w:type="paragraph" w:customStyle="1" w:styleId="32">
    <w:name w:val="表格文字"/>
    <w:basedOn w:val="1"/>
    <w:qFormat/>
    <w:uiPriority w:val="0"/>
    <w:pPr>
      <w:adjustRightInd/>
      <w:spacing w:before="25" w:after="25"/>
    </w:pPr>
    <w:rPr>
      <w:rFonts w:ascii="Times New Roman"/>
      <w:bCs/>
      <w:spacing w:val="10"/>
      <w:szCs w:val="20"/>
    </w:rPr>
  </w:style>
  <w:style w:type="character" w:customStyle="1" w:styleId="33">
    <w:name w:val="标题 2 Char"/>
    <w:basedOn w:val="27"/>
    <w:link w:val="4"/>
    <w:qFormat/>
    <w:uiPriority w:val="9"/>
    <w:rPr>
      <w:rFonts w:asciiTheme="majorHAnsi" w:hAnsiTheme="majorHAnsi" w:eastAsiaTheme="majorEastAsia" w:cstheme="majorBidi"/>
      <w:b/>
      <w:bCs/>
      <w:sz w:val="32"/>
      <w:szCs w:val="32"/>
    </w:rPr>
  </w:style>
  <w:style w:type="character" w:customStyle="1" w:styleId="34">
    <w:name w:val="标题 3 Char"/>
    <w:basedOn w:val="27"/>
    <w:link w:val="5"/>
    <w:qFormat/>
    <w:uiPriority w:val="9"/>
    <w:rPr>
      <w:rFonts w:ascii="Tahoma" w:hAnsi="Tahoma" w:eastAsia="宋体"/>
      <w:b/>
      <w:bCs/>
      <w:sz w:val="28"/>
      <w:szCs w:val="32"/>
    </w:rPr>
  </w:style>
  <w:style w:type="paragraph" w:styleId="35">
    <w:name w:val="List Paragraph"/>
    <w:basedOn w:val="1"/>
    <w:qFormat/>
    <w:uiPriority w:val="34"/>
    <w:pPr>
      <w:ind w:firstLine="420" w:firstLineChars="200"/>
    </w:pPr>
  </w:style>
  <w:style w:type="character" w:customStyle="1" w:styleId="36">
    <w:name w:val="标题 4 Char"/>
    <w:basedOn w:val="27"/>
    <w:link w:val="6"/>
    <w:qFormat/>
    <w:uiPriority w:val="9"/>
    <w:rPr>
      <w:rFonts w:eastAsia="宋体" w:asciiTheme="majorHAnsi" w:hAnsiTheme="majorHAnsi" w:cstheme="majorBidi"/>
      <w:b/>
      <w:bCs/>
      <w:sz w:val="24"/>
      <w:szCs w:val="28"/>
    </w:rPr>
  </w:style>
  <w:style w:type="character" w:customStyle="1" w:styleId="37">
    <w:name w:val="正文缩进2格 Char"/>
    <w:link w:val="38"/>
    <w:qFormat/>
    <w:uiPriority w:val="0"/>
    <w:rPr>
      <w:rFonts w:ascii="仿宋_GB2312" w:hAnsi="宋体" w:eastAsia="仿宋_GB2312"/>
      <w:kern w:val="2"/>
      <w:sz w:val="31"/>
    </w:rPr>
  </w:style>
  <w:style w:type="paragraph" w:customStyle="1" w:styleId="38">
    <w:name w:val="正文缩进2格"/>
    <w:basedOn w:val="1"/>
    <w:next w:val="1"/>
    <w:link w:val="37"/>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9">
    <w:name w:val="正文缩进4格"/>
    <w:basedOn w:val="38"/>
    <w:qFormat/>
    <w:uiPriority w:val="0"/>
    <w:pPr>
      <w:ind w:left="2" w:firstLine="538" w:firstLineChars="192"/>
    </w:pPr>
    <w:rPr>
      <w:color w:val="0000FF"/>
      <w:sz w:val="28"/>
    </w:rPr>
  </w:style>
  <w:style w:type="character" w:customStyle="1" w:styleId="40">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1">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2">
    <w:name w:val="标题1"/>
    <w:qFormat/>
    <w:uiPriority w:val="0"/>
    <w:rPr>
      <w:rFonts w:ascii="Times New Roman" w:hAnsi="Times New Roman" w:eastAsia="宋体" w:cs="Times New Roman"/>
      <w:b/>
      <w:kern w:val="0"/>
      <w:sz w:val="24"/>
      <w:szCs w:val="20"/>
      <w:lang w:eastAsia="en-US"/>
    </w:rPr>
  </w:style>
  <w:style w:type="character" w:customStyle="1" w:styleId="43">
    <w:name w:val="标题 3.1 Char"/>
    <w:link w:val="44"/>
    <w:qFormat/>
    <w:uiPriority w:val="0"/>
    <w:rPr>
      <w:rFonts w:ascii="宋体" w:hAnsi="宋体" w:eastAsia="宋体"/>
      <w:b/>
      <w:color w:val="FF0000"/>
      <w:kern w:val="2"/>
      <w:sz w:val="32"/>
    </w:rPr>
  </w:style>
  <w:style w:type="paragraph" w:customStyle="1" w:styleId="44">
    <w:name w:val="标题 3.1"/>
    <w:basedOn w:val="5"/>
    <w:link w:val="43"/>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5">
    <w:name w:val="样式 楷体_GB2312 小四"/>
    <w:qFormat/>
    <w:uiPriority w:val="0"/>
    <w:rPr>
      <w:rFonts w:ascii="楷体_GB2312" w:hAnsi="楷体_GB2312" w:eastAsia="仿宋_GB2312"/>
      <w:sz w:val="24"/>
    </w:rPr>
  </w:style>
  <w:style w:type="character" w:customStyle="1" w:styleId="46">
    <w:name w:val="纯文本 Char"/>
    <w:qFormat/>
    <w:uiPriority w:val="0"/>
    <w:rPr>
      <w:rFonts w:ascii="宋体" w:hAnsi="Courier New" w:eastAsia="宋体" w:cs="Times New Roman"/>
      <w:b/>
      <w:kern w:val="2"/>
      <w:sz w:val="21"/>
      <w:szCs w:val="20"/>
    </w:rPr>
  </w:style>
  <w:style w:type="character" w:customStyle="1" w:styleId="47">
    <w:name w:val="纯文本 Char1"/>
    <w:basedOn w:val="27"/>
    <w:link w:val="11"/>
    <w:semiHidden/>
    <w:qFormat/>
    <w:uiPriority w:val="99"/>
    <w:rPr>
      <w:rFonts w:ascii="宋体" w:hAnsi="Courier New" w:eastAsia="宋体" w:cs="Courier New"/>
      <w:sz w:val="21"/>
      <w:szCs w:val="21"/>
    </w:rPr>
  </w:style>
  <w:style w:type="character" w:customStyle="1" w:styleId="48">
    <w:name w:val="页眉 Char"/>
    <w:basedOn w:val="27"/>
    <w:link w:val="15"/>
    <w:qFormat/>
    <w:uiPriority w:val="99"/>
    <w:rPr>
      <w:rFonts w:ascii="Tahoma" w:hAnsi="Tahoma"/>
      <w:sz w:val="18"/>
      <w:szCs w:val="18"/>
    </w:rPr>
  </w:style>
  <w:style w:type="character" w:customStyle="1" w:styleId="49">
    <w:name w:val="页脚 Char"/>
    <w:basedOn w:val="27"/>
    <w:link w:val="14"/>
    <w:qFormat/>
    <w:uiPriority w:val="99"/>
    <w:rPr>
      <w:rFonts w:ascii="Tahoma" w:hAnsi="Tahoma"/>
      <w:sz w:val="18"/>
      <w:szCs w:val="18"/>
    </w:rPr>
  </w:style>
  <w:style w:type="character" w:customStyle="1" w:styleId="50">
    <w:name w:val="批注框文本 Char"/>
    <w:basedOn w:val="27"/>
    <w:link w:val="13"/>
    <w:semiHidden/>
    <w:qFormat/>
    <w:uiPriority w:val="99"/>
    <w:rPr>
      <w:rFonts w:ascii="Tahoma" w:hAnsi="Tahoma"/>
      <w:sz w:val="18"/>
      <w:szCs w:val="18"/>
    </w:rPr>
  </w:style>
  <w:style w:type="paragraph" w:customStyle="1" w:styleId="51">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2">
    <w:name w:val="普通(网站) Char"/>
    <w:link w:val="23"/>
    <w:qFormat/>
    <w:uiPriority w:val="0"/>
    <w:rPr>
      <w:rFonts w:eastAsia="宋体"/>
      <w:kern w:val="2"/>
      <w:sz w:val="24"/>
      <w:szCs w:val="24"/>
    </w:rPr>
  </w:style>
  <w:style w:type="paragraph" w:customStyle="1" w:styleId="53">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4">
    <w:name w:val="p141"/>
    <w:qFormat/>
    <w:uiPriority w:val="0"/>
    <w:rPr>
      <w:sz w:val="21"/>
      <w:szCs w:val="21"/>
    </w:rPr>
  </w:style>
  <w:style w:type="paragraph" w:customStyle="1" w:styleId="55">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6">
    <w:name w:val="正文无缩进"/>
    <w:basedOn w:val="38"/>
    <w:qFormat/>
    <w:uiPriority w:val="0"/>
    <w:pPr>
      <w:ind w:firstLine="0" w:firstLineChars="0"/>
    </w:pPr>
  </w:style>
  <w:style w:type="paragraph" w:customStyle="1" w:styleId="57">
    <w:name w:val="一级条标题"/>
    <w:basedOn w:val="58"/>
    <w:next w:val="59"/>
    <w:qFormat/>
    <w:uiPriority w:val="0"/>
    <w:pPr>
      <w:tabs>
        <w:tab w:val="left" w:pos="720"/>
      </w:tabs>
      <w:spacing w:beforeLines="0" w:afterLines="0"/>
      <w:outlineLvl w:val="2"/>
    </w:pPr>
  </w:style>
  <w:style w:type="paragraph" w:customStyle="1" w:styleId="58">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9">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60">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1">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2">
    <w:name w:val="font131"/>
    <w:basedOn w:val="27"/>
    <w:qFormat/>
    <w:uiPriority w:val="0"/>
    <w:rPr>
      <w:rFonts w:hint="eastAsia" w:ascii="宋体" w:hAnsi="宋体" w:eastAsia="宋体" w:cs="宋体"/>
      <w:color w:val="000000"/>
      <w:sz w:val="18"/>
      <w:szCs w:val="18"/>
      <w:u w:val="none"/>
    </w:rPr>
  </w:style>
  <w:style w:type="paragraph" w:customStyle="1" w:styleId="63">
    <w:name w:val="Table Paragraph"/>
    <w:basedOn w:val="1"/>
    <w:qFormat/>
    <w:uiPriority w:val="1"/>
    <w:rPr>
      <w:rFonts w:ascii="宋体" w:hAnsi="宋体" w:eastAsia="宋体" w:cs="宋体"/>
      <w:lang w:val="zh-CN" w:eastAsia="zh-CN" w:bidi="zh-CN"/>
    </w:rPr>
  </w:style>
  <w:style w:type="character" w:customStyle="1" w:styleId="64">
    <w:name w:val="font31"/>
    <w:basedOn w:val="27"/>
    <w:qFormat/>
    <w:uiPriority w:val="0"/>
    <w:rPr>
      <w:rFonts w:hint="eastAsia" w:ascii="宋体" w:hAnsi="宋体" w:eastAsia="宋体" w:cs="宋体"/>
      <w:color w:val="000000"/>
      <w:sz w:val="21"/>
      <w:szCs w:val="21"/>
      <w:u w:val="none"/>
    </w:rPr>
  </w:style>
  <w:style w:type="character" w:customStyle="1" w:styleId="65">
    <w:name w:val="font21"/>
    <w:basedOn w:val="27"/>
    <w:qFormat/>
    <w:uiPriority w:val="0"/>
    <w:rPr>
      <w:rFonts w:hint="default"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90</Pages>
  <Words>35641</Words>
  <Characters>37267</Characters>
  <Lines>349</Lines>
  <Paragraphs>98</Paragraphs>
  <TotalTime>4</TotalTime>
  <ScaleCrop>false</ScaleCrop>
  <LinksUpToDate>false</LinksUpToDate>
  <CharactersWithSpaces>38673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2023-05-10T11:25:00Z</cp:lastPrinted>
  <dcterms:modified xsi:type="dcterms:W3CDTF">2023-07-24T09:14:45Z</dcterms:modified>
  <dc:subject>公开招标文件版本</dc:subject>
  <dc:title>公开招标文件版本</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F316E9E3537044A89306FF6DDAED2B82_13</vt:lpwstr>
  </property>
</Properties>
</file>