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441900021-2023-00358</w:t>
      </w:r>
    </w:p>
    <w:p>
      <w:pPr>
        <w:jc w:val="center"/>
      </w:pPr>
      <w:r>
        <w:rPr>
          <w:b/>
          <w:sz w:val="24"/>
        </w:rPr>
        <w:t>采购项目编号：</w:t>
      </w:r>
      <w:r>
        <w:rPr>
          <w:b/>
          <w:sz w:val="24"/>
        </w:rPr>
        <w:t>441900021-2023-00358</w:t>
      </w:r>
    </w:p>
    <w:p>
      <w:pPr>
        <w:jc w:val="center"/>
      </w:pPr>
      <w:r>
        <w:rPr>
          <w:b/>
          <w:sz w:val="24"/>
        </w:rPr>
        <w:t>项目名称：</w:t>
      </w:r>
      <w:r>
        <w:rPr>
          <w:b/>
          <w:sz w:val="24"/>
        </w:rPr>
        <w:t>东莞市大朗镇专职网格员采购项目</w:t>
      </w:r>
    </w:p>
    <w:p>
      <w:pPr>
        <w:jc w:val="center"/>
      </w:pPr>
      <w:r>
        <w:rPr>
          <w:b/>
          <w:sz w:val="24"/>
        </w:rPr>
        <w:t>采购人：</w:t>
      </w:r>
      <w:r>
        <w:rPr>
          <w:b/>
          <w:sz w:val="24"/>
        </w:rPr>
        <w:t>东莞市大朗镇网格管理中心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东莞市大朗镇网格管理中心</w:t>
      </w:r>
      <w:r>
        <w:rPr/>
        <w:t>的委托，采用</w:t>
      </w:r>
      <w:r>
        <w:rPr/>
        <w:t>公开招标</w:t>
      </w:r>
      <w:r>
        <w:rPr/>
        <w:t>方式组织采购</w:t>
      </w:r>
      <w:r>
        <w:rPr/>
        <w:t>东莞市大朗镇专职网格员采购项目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东莞市大朗镇专职网格员采购项目</w:t>
      </w:r>
    </w:p>
    <w:p>
      <w:pPr>
        <w:ind w:firstLine="480"/>
      </w:pPr>
      <w:r>
        <w:rPr/>
        <w:t>采购计划编号：</w:t>
      </w:r>
      <w:r>
        <w:rPr/>
        <w:t>441900021-2023-00358</w:t>
      </w:r>
    </w:p>
    <w:p>
      <w:pPr>
        <w:ind w:firstLine="480"/>
      </w:pPr>
      <w:r>
        <w:rPr/>
        <w:t>采购项目编号：</w:t>
      </w:r>
      <w:r>
        <w:rPr/>
        <w:t>441900021-2023-00358</w:t>
      </w:r>
    </w:p>
    <w:p>
      <w:pPr>
        <w:ind w:firstLine="480"/>
      </w:pPr>
      <w:r>
        <w:rPr/>
        <w:t>采购方式：</w:t>
      </w:r>
      <w:r>
        <w:rPr/>
        <w:t>公开招标</w:t>
      </w:r>
    </w:p>
    <w:p>
      <w:pPr>
        <w:ind w:firstLine="480"/>
      </w:pPr>
      <w:r>
        <w:rPr/>
        <w:t>预算金额：</w:t>
      </w:r>
      <w:r>
        <w:rPr/>
        <w:t>17,875,000.00</w:t>
      </w:r>
      <w:r>
        <w:rPr/>
        <w:t>元</w:t>
      </w:r>
    </w:p>
    <w:p>
      <w:r>
        <w:rPr>
          <w:b/>
          <w:sz w:val="24"/>
        </w:rPr>
        <w:t>2.项目内容及需求情况（采购项目技术规格、参数及要求）</w:t>
      </w:r>
    </w:p>
    <w:p>
      <w:pPr>
        <w:ind w:firstLine="480"/>
      </w:pPr>
    </w:p>
    <w:p/>
    <w:p>
      <w:r>
        <w:rPr/>
        <w:t>采购包1(东莞市大朗镇专职网格员采购项目):</w:t>
      </w:r>
    </w:p>
    <w:p>
      <w:r>
        <w:rPr/>
        <w:t>采购包预算金额：17,875,000.00元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东莞市大朗镇专职网格员采购项目</w:t>
            </w:r>
          </w:p>
        </w:tc>
        <w:tc>
          <w:tcPr>
            <w:tcW w:type="dxa" w:w="977"/>
          </w:tcPr>
          <w:p>
            <w:r>
              <w:rPr/>
              <w:t>1(项)</w:t>
            </w:r>
          </w:p>
        </w:tc>
        <w:tc>
          <w:tcPr>
            <w:tcW w:type="dxa" w:w="977"/>
          </w:tcPr>
          <w:p>
            <w:r>
              <w:rPr/>
              <w:t>详见第二章</w:t>
            </w:r>
          </w:p>
        </w:tc>
        <w:tc>
          <w:tcPr>
            <w:tcW w:type="dxa" w:w="977"/>
          </w:tcPr>
          <w:p>
            <w:r>
              <w:rPr/>
              <w:t>17,875,000.00</w:t>
            </w:r>
          </w:p>
        </w:tc>
        <w:tc>
          <w:tcPr>
            <w:tcW w:type="dxa" w:w="977"/>
          </w:tcPr>
          <w:p>
            <w:r>
              <w:rPr/>
              <w:t>否</w:t>
            </w:r>
          </w:p>
        </w:tc>
      </w:tr>
    </w:tbl>
    <w:p/>
    <w:p>
      <w:r>
        <w:rPr/>
        <w:t>本采购包不接受联合体投标</w:t>
      </w:r>
    </w:p>
    <w:p/>
    <w:p>
      <w:r>
        <w:rPr/>
        <w:t>合同履行期限：2023年8月1日至2024年6月30日。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采购包1（东莞市大朗镇专职网格员采购项目）：</w:t>
      </w:r>
      <w:r>
        <w:rPr/>
        <w:t>本项目整体专门面向中小企业采购。投标人须符合本项目采购标的对应行业（本项目行业为：租赁和商务服务业）的政策划分标准。监狱企业、残疾人福利单位视同小型、微型企业。注：中小企业以供应商填写的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采购包1（东莞市大朗镇专职网格员采购项目）：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东莞市大朗镇网格管理中心</w:t>
      </w:r>
    </w:p>
    <w:p>
      <w:pPr>
        <w:ind w:firstLine="480"/>
      </w:pPr>
      <w:r>
        <w:rPr/>
        <w:t>地址：</w:t>
      </w:r>
      <w:r>
        <w:rPr/>
        <w:t>东莞市大朗镇银朗南路288号</w:t>
      </w:r>
    </w:p>
    <w:p>
      <w:pPr>
        <w:ind w:firstLine="480"/>
      </w:pPr>
      <w:r>
        <w:rPr/>
        <w:t>联系方式：</w:t>
      </w:r>
      <w:r>
        <w:rPr/>
        <w:t>0769-82816200</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为满足大朗镇专职网格管理人员对社会服务的工作需求，现需选定一家服务商，参照镇内对专职队伍管理的做法，对专职网格员队伍进行管理，协助镇网格管理中心开展专职网格员队伍建设工作，包括与专职网格员签订《劳动合同》，</w:t>
      </w:r>
      <w:r>
        <w:rPr>
          <w:sz w:val="21"/>
        </w:rPr>
        <w:t>缴纳</w:t>
      </w:r>
      <w:r>
        <w:rPr>
          <w:sz w:val="21"/>
        </w:rPr>
        <w:t>“五险一金”，开展每月绩效评定，协助发放网格员薪酬待遇等服务。</w:t>
      </w:r>
    </w:p>
    <w:p>
      <w:r>
        <w:rPr>
          <w:sz w:val="21"/>
        </w:rPr>
        <w:t>附件一：</w:t>
      </w:r>
      <w:r>
        <w:rPr>
          <w:sz w:val="21"/>
        </w:rPr>
        <w:t>月度考核评分表</w:t>
      </w:r>
    </w:p>
    <w:tbl>
      <w:tblPr>
        <w:tblW w:w="0" w:type="auto"/>
        <w:tblBorders>
          <w:top w:val="none" w:color="000000" w:sz="4"/>
          <w:left w:val="none" w:color="000000" w:sz="4"/>
          <w:bottom w:val="none" w:color="000000" w:sz="4"/>
          <w:right w:val="none" w:color="000000" w:sz="4"/>
          <w:insideH w:val="none"/>
          <w:insideV w:val="none"/>
        </w:tblBorders>
      </w:tblPr>
      <w:tblGrid>
        <w:gridCol w:w="1530"/>
        <w:gridCol w:w="6047"/>
        <w:gridCol w:w="699"/>
      </w:tblGrid>
      <w:tr>
        <w:tc>
          <w:tcPr>
            <w:tcW w:type="dxa" w:w="1530"/>
            <w:tcBorders>
              <w:top w:val="single" w:color="000000" w:sz="4"/>
              <w:left w:val="single" w:color="000000" w:sz="4"/>
              <w:bottom w:val="single" w:color="000000" w:sz="4"/>
              <w:right w:val="single" w:color="000000" w:sz="4"/>
            </w:tcBorders>
            <w:vAlign w:val="top"/>
          </w:tcPr>
          <w:p>
            <w:pPr>
              <w:jc w:val="center"/>
            </w:pPr>
            <w:r>
              <w:rPr>
                <w:sz w:val="21"/>
              </w:rPr>
              <w:t>考核事项</w:t>
            </w:r>
          </w:p>
        </w:tc>
        <w:tc>
          <w:tcPr>
            <w:tcW w:type="dxa" w:w="6047"/>
            <w:tcBorders>
              <w:top w:val="single" w:color="000000" w:sz="4"/>
              <w:left w:val="single" w:color="000000" w:sz="4"/>
              <w:bottom w:val="single" w:color="000000" w:sz="4"/>
              <w:right w:val="single" w:color="000000" w:sz="4"/>
            </w:tcBorders>
            <w:vAlign w:val="top"/>
          </w:tcPr>
          <w:p>
            <w:pPr>
              <w:jc w:val="center"/>
            </w:pPr>
            <w:r>
              <w:rPr>
                <w:sz w:val="21"/>
              </w:rPr>
              <w:t>考核指标</w:t>
            </w:r>
          </w:p>
        </w:tc>
        <w:tc>
          <w:tcPr>
            <w:tcW w:type="dxa" w:w="699"/>
            <w:tcBorders>
              <w:top w:val="single" w:color="000000" w:sz="4"/>
              <w:left w:val="single" w:color="000000" w:sz="4"/>
              <w:bottom w:val="single" w:color="000000" w:sz="4"/>
              <w:right w:val="single" w:color="000000" w:sz="4"/>
            </w:tcBorders>
            <w:vAlign w:val="top"/>
          </w:tcPr>
          <w:p>
            <w:pPr>
              <w:jc w:val="center"/>
            </w:pPr>
            <w:r>
              <w:rPr>
                <w:sz w:val="21"/>
              </w:rPr>
              <w:t>分值</w:t>
            </w:r>
          </w:p>
        </w:tc>
      </w:tr>
      <w:tr>
        <w:tc>
          <w:tcPr>
            <w:tcW w:type="dxa" w:w="1530"/>
            <w:tcBorders>
              <w:top w:val="none" w:color="000000" w:sz="4"/>
              <w:left w:val="single" w:color="000000" w:sz="4"/>
              <w:bottom w:val="single" w:color="000000" w:sz="4"/>
              <w:right w:val="single" w:color="000000" w:sz="4"/>
            </w:tcBorders>
            <w:vAlign w:val="top"/>
          </w:tcPr>
          <w:p>
            <w:pPr>
              <w:jc w:val="center"/>
            </w:pPr>
            <w:r>
              <w:rPr>
                <w:sz w:val="21"/>
              </w:rPr>
              <w:t>平均岗位满编率</w:t>
            </w:r>
          </w:p>
        </w:tc>
        <w:tc>
          <w:tcPr>
            <w:tcW w:type="dxa" w:w="6047"/>
            <w:tcBorders>
              <w:top w:val="none" w:color="000000" w:sz="4"/>
              <w:left w:val="single" w:color="000000" w:sz="4"/>
              <w:bottom w:val="single" w:color="000000" w:sz="4"/>
              <w:right w:val="single" w:color="000000" w:sz="4"/>
            </w:tcBorders>
            <w:vAlign w:val="top"/>
          </w:tcPr>
          <w:p>
            <w:pPr>
              <w:ind w:firstLine="460"/>
            </w:pPr>
            <w:r>
              <w:rPr>
                <w:sz w:val="21"/>
              </w:rPr>
              <w:t>月度平均岗位满编率高于等于</w:t>
            </w:r>
            <w:r>
              <w:rPr>
                <w:sz w:val="21"/>
              </w:rPr>
              <w:t>90%，得满分，每低一个百分点，扣2分，扣完为止。</w:t>
            </w:r>
          </w:p>
          <w:p>
            <w:pPr>
              <w:ind w:firstLine="460"/>
            </w:pPr>
            <w:r>
              <w:rPr>
                <w:sz w:val="21"/>
              </w:rPr>
              <w:t>合同签署之后</w:t>
            </w:r>
            <w:r>
              <w:rPr>
                <w:sz w:val="21"/>
              </w:rPr>
              <w:t>15天招聘到岗率低于90%的，每低一个百分点，扣1分，扣完为止。</w:t>
            </w:r>
          </w:p>
          <w:p>
            <w:pPr>
              <w:ind w:firstLine="460"/>
            </w:pPr>
            <w:r>
              <w:rPr>
                <w:sz w:val="21"/>
              </w:rPr>
              <w:t>出现人员到岗严重不足</w:t>
            </w:r>
            <w:r>
              <w:rPr>
                <w:sz w:val="21"/>
              </w:rPr>
              <w:t>(低于总人数的比例80%)影响大厅正常运行的，</w:t>
            </w:r>
            <w:r>
              <w:rPr>
                <w:sz w:val="21"/>
              </w:rPr>
              <w:t>采购人</w:t>
            </w:r>
            <w:r>
              <w:rPr>
                <w:sz w:val="21"/>
              </w:rPr>
              <w:t>可更换供应商。</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30分</w:t>
            </w:r>
          </w:p>
        </w:tc>
      </w:tr>
      <w:tr>
        <w:tc>
          <w:tcPr>
            <w:tcW w:type="dxa" w:w="1530"/>
            <w:tcBorders>
              <w:top w:val="none" w:color="000000" w:sz="4"/>
              <w:left w:val="single" w:color="000000" w:sz="4"/>
              <w:bottom w:val="single" w:color="000000" w:sz="4"/>
              <w:right w:val="single" w:color="000000" w:sz="4"/>
            </w:tcBorders>
            <w:vAlign w:val="top"/>
          </w:tcPr>
          <w:p>
            <w:pPr>
              <w:jc w:val="center"/>
            </w:pPr>
            <w:r>
              <w:rPr>
                <w:sz w:val="21"/>
              </w:rPr>
              <w:t>服务人员检查监督</w:t>
            </w:r>
          </w:p>
        </w:tc>
        <w:tc>
          <w:tcPr>
            <w:tcW w:type="dxa" w:w="6047"/>
            <w:tcBorders>
              <w:top w:val="none" w:color="000000" w:sz="4"/>
              <w:left w:val="single" w:color="000000" w:sz="4"/>
              <w:bottom w:val="single" w:color="000000" w:sz="4"/>
              <w:right w:val="single" w:color="000000" w:sz="4"/>
            </w:tcBorders>
            <w:vAlign w:val="top"/>
          </w:tcPr>
          <w:p>
            <w:pPr>
              <w:ind w:firstLine="420"/>
            </w:pPr>
            <w:r>
              <w:rPr>
                <w:sz w:val="21"/>
              </w:rPr>
              <w:t>乙方对服务人员服务质量管理检查监督不力，每月不按频率进行现场检查监督管理记录，扣</w:t>
            </w:r>
            <w:r>
              <w:rPr>
                <w:sz w:val="21"/>
              </w:rPr>
              <w:t>2分，扣完为止。</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20分</w:t>
            </w:r>
          </w:p>
        </w:tc>
      </w:tr>
      <w:tr>
        <w:tc>
          <w:tcPr>
            <w:tcW w:type="dxa" w:w="1530"/>
            <w:tcBorders>
              <w:top w:val="none" w:color="000000" w:sz="4"/>
              <w:left w:val="single" w:color="000000" w:sz="4"/>
              <w:bottom w:val="single" w:color="000000" w:sz="4"/>
              <w:right w:val="single" w:color="000000" w:sz="4"/>
            </w:tcBorders>
            <w:vAlign w:val="top"/>
          </w:tcPr>
          <w:p>
            <w:pPr>
              <w:jc w:val="center"/>
            </w:pPr>
            <w:r>
              <w:rPr>
                <w:sz w:val="21"/>
              </w:rPr>
              <w:t>薪酬社保项</w:t>
            </w:r>
          </w:p>
        </w:tc>
        <w:tc>
          <w:tcPr>
            <w:tcW w:type="dxa" w:w="6047"/>
            <w:tcBorders>
              <w:top w:val="none" w:color="000000" w:sz="4"/>
              <w:left w:val="single" w:color="000000" w:sz="4"/>
              <w:bottom w:val="single" w:color="000000" w:sz="4"/>
              <w:right w:val="single" w:color="000000" w:sz="4"/>
            </w:tcBorders>
            <w:vAlign w:val="top"/>
          </w:tcPr>
          <w:p>
            <w:pPr>
              <w:ind w:firstLine="460"/>
            </w:pPr>
            <w:r>
              <w:rPr>
                <w:sz w:val="21"/>
              </w:rPr>
              <w:t>按时发</w:t>
            </w:r>
            <w:r>
              <w:rPr>
                <w:sz w:val="21"/>
              </w:rPr>
              <w:t>工资，</w:t>
            </w:r>
            <w:r>
              <w:rPr>
                <w:sz w:val="21"/>
              </w:rPr>
              <w:t>不得无故拖延，</w:t>
            </w:r>
            <w:r>
              <w:rPr>
                <w:sz w:val="21"/>
              </w:rPr>
              <w:t>每拖延一天扣</w:t>
            </w:r>
            <w:r>
              <w:rPr>
                <w:sz w:val="21"/>
              </w:rPr>
              <w:t>2分（法定节假日顺延发放工资除外）；</w:t>
            </w:r>
          </w:p>
          <w:p>
            <w:pPr>
              <w:ind w:firstLine="460"/>
            </w:pPr>
            <w:r>
              <w:rPr>
                <w:sz w:val="21"/>
              </w:rPr>
              <w:t>工资发放出现少发的，根据主观性判断扣分，非有意截留的，每出现</w:t>
            </w:r>
            <w:r>
              <w:rPr>
                <w:sz w:val="21"/>
              </w:rPr>
              <w:t>1例扣1分，扣完为止。如果是有意截留工资的，当月总评分为0分。</w:t>
            </w:r>
          </w:p>
          <w:p>
            <w:pPr>
              <w:ind w:firstLine="460"/>
            </w:pPr>
            <w:r>
              <w:rPr>
                <w:sz w:val="21"/>
              </w:rPr>
              <w:t>乙方应提交相关证明</w:t>
            </w:r>
            <w:r>
              <w:rPr>
                <w:sz w:val="21"/>
              </w:rPr>
              <w:t>(已按时发放工资证明文件资料)随时供甲方核对。</w:t>
            </w:r>
          </w:p>
          <w:p>
            <w:pPr>
              <w:ind w:firstLine="460"/>
            </w:pPr>
            <w:r>
              <w:rPr>
                <w:sz w:val="21"/>
              </w:rPr>
              <w:t>社保公积金出现漏缴错缴的，每</w:t>
            </w:r>
            <w:r>
              <w:rPr>
                <w:sz w:val="21"/>
              </w:rPr>
              <w:t>1例扣1分，扣完为止。</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20分</w:t>
            </w:r>
          </w:p>
        </w:tc>
      </w:tr>
      <w:tr>
        <w:tc>
          <w:tcPr>
            <w:tcW w:type="dxa" w:w="1530"/>
            <w:tcBorders>
              <w:top w:val="none" w:color="000000" w:sz="4"/>
              <w:left w:val="single" w:color="000000" w:sz="4"/>
              <w:bottom w:val="single" w:color="000000" w:sz="4"/>
              <w:right w:val="single" w:color="000000" w:sz="4"/>
            </w:tcBorders>
            <w:vAlign w:val="top"/>
          </w:tcPr>
          <w:p>
            <w:pPr>
              <w:jc w:val="center"/>
            </w:pPr>
            <w:r>
              <w:rPr>
                <w:sz w:val="21"/>
              </w:rPr>
              <w:t>人员管理</w:t>
            </w:r>
          </w:p>
        </w:tc>
        <w:tc>
          <w:tcPr>
            <w:tcW w:type="dxa" w:w="6047"/>
            <w:tcBorders>
              <w:top w:val="none" w:color="000000" w:sz="4"/>
              <w:left w:val="single" w:color="000000" w:sz="4"/>
              <w:bottom w:val="single" w:color="000000" w:sz="4"/>
              <w:right w:val="single" w:color="000000" w:sz="4"/>
            </w:tcBorders>
            <w:vAlign w:val="top"/>
          </w:tcPr>
          <w:p>
            <w:pPr>
              <w:ind w:firstLine="460"/>
            </w:pPr>
            <w:r>
              <w:rPr>
                <w:sz w:val="21"/>
              </w:rPr>
              <w:t>服务人员工作失误造成影响的，根据情况扣分，最低</w:t>
            </w:r>
            <w:r>
              <w:rPr>
                <w:sz w:val="21"/>
              </w:rPr>
              <w:t>1分，扣完为止。</w:t>
            </w:r>
          </w:p>
          <w:p>
            <w:pPr>
              <w:ind w:firstLine="460"/>
            </w:pPr>
            <w:r>
              <w:rPr>
                <w:sz w:val="21"/>
              </w:rPr>
              <w:t>服务人员在服务期间受到</w:t>
            </w:r>
            <w:r>
              <w:rPr>
                <w:sz w:val="21"/>
              </w:rPr>
              <w:t>采购人投诉</w:t>
            </w:r>
            <w:r>
              <w:rPr>
                <w:sz w:val="21"/>
              </w:rPr>
              <w:t>，每</w:t>
            </w:r>
            <w:r>
              <w:rPr>
                <w:sz w:val="21"/>
              </w:rPr>
              <w:t>1例扣1分，扣完为止。</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10分</w:t>
            </w:r>
          </w:p>
        </w:tc>
      </w:tr>
      <w:tr>
        <w:tc>
          <w:tcPr>
            <w:tcW w:type="dxa" w:w="1530"/>
            <w:tcBorders>
              <w:top w:val="none" w:color="000000" w:sz="4"/>
              <w:left w:val="single" w:color="000000" w:sz="4"/>
              <w:bottom w:val="single" w:color="000000" w:sz="4"/>
              <w:right w:val="single" w:color="000000" w:sz="4"/>
            </w:tcBorders>
            <w:vAlign w:val="top"/>
          </w:tcPr>
          <w:p>
            <w:pPr>
              <w:jc w:val="center"/>
            </w:pPr>
            <w:r>
              <w:rPr>
                <w:sz w:val="21"/>
              </w:rPr>
              <w:t>其他管理</w:t>
            </w:r>
          </w:p>
        </w:tc>
        <w:tc>
          <w:tcPr>
            <w:tcW w:type="dxa" w:w="6047"/>
            <w:tcBorders>
              <w:top w:val="none" w:color="000000" w:sz="4"/>
              <w:left w:val="single" w:color="000000" w:sz="4"/>
              <w:bottom w:val="single" w:color="000000" w:sz="4"/>
              <w:right w:val="single" w:color="000000" w:sz="4"/>
            </w:tcBorders>
            <w:vAlign w:val="top"/>
          </w:tcPr>
          <w:p>
            <w:pPr>
              <w:ind w:firstLine="460"/>
            </w:pPr>
            <w:r>
              <w:rPr>
                <w:sz w:val="21"/>
              </w:rPr>
              <w:t>采购人</w:t>
            </w:r>
            <w:r>
              <w:rPr>
                <w:sz w:val="21"/>
              </w:rPr>
              <w:t>根据日常运营需求，对乙方提出要求，根据乙方配合情况，进行评分。</w:t>
            </w:r>
          </w:p>
        </w:tc>
        <w:tc>
          <w:tcPr>
            <w:tcW w:type="dxa" w:w="699"/>
            <w:tcBorders>
              <w:top w:val="none" w:color="000000" w:sz="4"/>
              <w:left w:val="single" w:color="000000" w:sz="4"/>
              <w:bottom w:val="single" w:color="000000" w:sz="4"/>
              <w:right w:val="single" w:color="000000" w:sz="4"/>
            </w:tcBorders>
            <w:vAlign w:val="top"/>
          </w:tcPr>
          <w:p>
            <w:pPr>
              <w:jc w:val="center"/>
            </w:pPr>
            <w:r>
              <w:rPr>
                <w:sz w:val="21"/>
              </w:rPr>
              <w:t>20分</w:t>
            </w:r>
          </w:p>
        </w:tc>
      </w:tr>
    </w:tbl>
    <w:p>
      <w:pPr>
        <w:ind w:firstLine="420"/>
      </w:pPr>
      <w:r>
        <w:rPr>
          <w:sz w:val="21"/>
        </w:rPr>
        <w:t>管理费计算系数表</w:t>
      </w:r>
    </w:p>
    <w:p>
      <w:pPr>
        <w:ind w:firstLine="420"/>
      </w:pPr>
      <w:r>
        <w:rPr>
          <w:sz w:val="21"/>
        </w:rPr>
        <w:t>根据每月的考核评分结果，按照下表对应的考核系数，作为结算依据进行结算支付。</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vAlign w:val="top"/>
          </w:tcPr>
          <w:p>
            <w:pPr>
              <w:jc w:val="center"/>
            </w:pPr>
            <w:r>
              <w:rPr>
                <w:sz w:val="21"/>
              </w:rPr>
              <w:t>考核得分</w:t>
            </w:r>
          </w:p>
        </w:tc>
        <w:tc>
          <w:tcPr>
            <w:tcW w:type="dxa" w:w="4153"/>
            <w:tcBorders>
              <w:top w:val="single" w:color="000000" w:sz="4"/>
              <w:left w:val="single" w:color="000000" w:sz="4"/>
              <w:bottom w:val="single" w:color="000000" w:sz="4"/>
              <w:right w:val="single" w:color="000000" w:sz="4"/>
            </w:tcBorders>
            <w:vAlign w:val="top"/>
          </w:tcPr>
          <w:p>
            <w:pPr>
              <w:jc w:val="center"/>
            </w:pPr>
            <w:r>
              <w:rPr>
                <w:sz w:val="21"/>
              </w:rPr>
              <w:t>考核系数</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1"/>
              </w:rPr>
              <w:t>大于等于</w:t>
            </w:r>
            <w:r>
              <w:rPr>
                <w:sz w:val="21"/>
              </w:rPr>
              <w:t>9</w:t>
            </w:r>
            <w:r>
              <w:rPr>
                <w:sz w:val="21"/>
              </w:rPr>
              <w:t>5</w:t>
            </w:r>
            <w:r>
              <w:rPr>
                <w:sz w:val="21"/>
              </w:rPr>
              <w:t>分</w:t>
            </w:r>
          </w:p>
        </w:tc>
        <w:tc>
          <w:tcPr>
            <w:tcW w:type="dxa" w:w="4153"/>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1"/>
              </w:rPr>
              <w:t>94</w:t>
            </w:r>
            <w:r>
              <w:rPr>
                <w:sz w:val="21"/>
              </w:rPr>
              <w:t>分至</w:t>
            </w:r>
            <w:r>
              <w:rPr>
                <w:sz w:val="21"/>
              </w:rPr>
              <w:t>90分</w:t>
            </w:r>
          </w:p>
        </w:tc>
        <w:tc>
          <w:tcPr>
            <w:tcW w:type="dxa" w:w="4153"/>
            <w:tcBorders>
              <w:top w:val="none" w:color="000000" w:sz="4"/>
              <w:left w:val="single" w:color="000000" w:sz="4"/>
              <w:bottom w:val="single" w:color="000000" w:sz="4"/>
              <w:right w:val="single" w:color="000000" w:sz="4"/>
            </w:tcBorders>
            <w:vAlign w:val="top"/>
          </w:tcPr>
          <w:p>
            <w:pPr>
              <w:jc w:val="center"/>
            </w:pPr>
            <w:r>
              <w:rPr>
                <w:sz w:val="21"/>
              </w:rPr>
              <w:t>90</w:t>
            </w:r>
            <w:r>
              <w:rPr>
                <w:sz w:val="21"/>
              </w:rPr>
              <w:t>%</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1"/>
              </w:rPr>
              <w:t>89</w:t>
            </w:r>
            <w:r>
              <w:rPr>
                <w:sz w:val="21"/>
              </w:rPr>
              <w:t>分至</w:t>
            </w:r>
            <w:r>
              <w:rPr>
                <w:sz w:val="21"/>
              </w:rPr>
              <w:t>80分</w:t>
            </w:r>
          </w:p>
        </w:tc>
        <w:tc>
          <w:tcPr>
            <w:tcW w:type="dxa" w:w="4153"/>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4153"/>
            <w:tcBorders>
              <w:top w:val="none" w:color="000000" w:sz="4"/>
              <w:left w:val="single" w:color="000000" w:sz="4"/>
              <w:bottom w:val="single" w:color="000000" w:sz="4"/>
              <w:right w:val="single" w:color="000000" w:sz="4"/>
            </w:tcBorders>
            <w:vAlign w:val="top"/>
          </w:tcPr>
          <w:p>
            <w:pPr>
              <w:jc w:val="center"/>
            </w:pPr>
            <w:r>
              <w:rPr>
                <w:sz w:val="21"/>
              </w:rPr>
              <w:t>低于</w:t>
            </w:r>
            <w:r>
              <w:rPr>
                <w:sz w:val="21"/>
              </w:rPr>
              <w:t>80分</w:t>
            </w:r>
          </w:p>
        </w:tc>
        <w:tc>
          <w:tcPr>
            <w:tcW w:type="dxa" w:w="4153"/>
            <w:tcBorders>
              <w:top w:val="none" w:color="000000" w:sz="4"/>
              <w:left w:val="single" w:color="000000" w:sz="4"/>
              <w:bottom w:val="single" w:color="000000" w:sz="4"/>
              <w:right w:val="single" w:color="000000" w:sz="4"/>
            </w:tcBorders>
            <w:vAlign w:val="top"/>
          </w:tcPr>
          <w:p>
            <w:pPr>
              <w:jc w:val="center"/>
            </w:pPr>
            <w:r>
              <w:rPr>
                <w:sz w:val="21"/>
              </w:rPr>
              <w:t>0</w:t>
            </w:r>
          </w:p>
        </w:tc>
      </w:tr>
    </w:tbl>
    <w:p/>
    <w:p>
      <w:pPr>
        <w:ind w:firstLine="480"/>
      </w:pPr>
    </w:p>
    <w:p/>
    <w:p>
      <w:r>
        <w:rPr/>
        <w:t>采购包1（东莞市大朗镇专职网格员采购项目）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2023年8月1日至2024年6月30日。</w:t>
            </w:r>
          </w:p>
        </w:tc>
      </w:tr>
      <w:tr>
        <w:tc>
          <w:tcPr>
            <w:tcW w:type="dxa" w:w="4153"/>
          </w:tcPr>
          <w:p>
            <w:r>
              <w:rPr/>
              <w:t>标的提供的地点</w:t>
            </w:r>
          </w:p>
        </w:tc>
        <w:tc>
          <w:tcPr>
            <w:tcW w:type="dxa" w:w="4153"/>
          </w:tcPr>
          <w:p/>
          <w:p>
            <w:r>
              <w:rPr/>
              <w:t>采购人指定的地点。</w:t>
            </w:r>
          </w:p>
        </w:tc>
      </w:tr>
      <w:tr>
        <w:tc>
          <w:tcPr>
            <w:tcW w:type="dxa" w:w="4153"/>
          </w:tcPr>
          <w:p>
            <w:r>
              <w:rPr/>
              <w:t>付款方式</w:t>
            </w:r>
          </w:p>
        </w:tc>
        <w:tc>
          <w:tcPr>
            <w:tcW w:type="dxa" w:w="4153"/>
          </w:tcPr>
          <w:p/>
          <w:p/>
          <w:p>
            <w:r>
              <w:rPr/>
              <w:t>1期：支付比例100%,1.每月月底前采购人与中标人核对各个岗位上月服务人数，根据双方确定的人数由中标人制作费用明细表（含工资、社保、个税、奖金等），费用明细表待采购人确认无误后，中标人须在采购人办理支付手续前5个工作日内提供等额正式发票，采购人收到后于10个工作日内完成支付。 2.中标人须如实发放员工工资，如中标人出现克扣员工工资情况，一切法律责任由中标人承担。采购人有权对中标人保存的工资记录进行抽检和监督。中标人必须按照法律规定和本合同约定为服务人员代扣代缴个人所得税、社会保险，采购人有权审查相关缴纳资料。 3.本项目服务人员工资费用由采购人确定，包括基本工资、社会保险费和公积金（ 五险一金）、津贴、补贴、奖金、人身意外保险、福利、国家政策性收费及其他费用（如办公经费）等，具体以实际发生额为准。</w:t>
            </w:r>
          </w:p>
        </w:tc>
      </w:tr>
      <w:tr>
        <w:tc>
          <w:tcPr>
            <w:tcW w:type="dxa" w:w="4153"/>
          </w:tcPr>
          <w:p>
            <w:r>
              <w:rPr/>
              <w:t>验收要求</w:t>
            </w:r>
          </w:p>
        </w:tc>
        <w:tc>
          <w:tcPr>
            <w:tcW w:type="dxa" w:w="4153"/>
          </w:tcPr>
          <w:p/>
          <w:p/>
          <w:p/>
          <w:p>
            <w:r>
              <w:rPr/>
              <w:t>1期：根据采购需求及中标人服务情况进行考核。（附件一：月度考核评分表）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报价要求，投标总报价=17589000.00元（人员薪酬福利费用）+260人×人员管理费（元/人/月）×11个月</w:t>
            </w:r>
          </w:p>
          <w:p/>
          <w:p>
            <w:r>
              <w:rPr/>
              <w:t>其他，★2、人员管理费最高限价:￥100.00元/人/月。</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东莞市大朗镇专职网格员采购项目</w:t>
            </w:r>
          </w:p>
        </w:tc>
        <w:tc>
          <w:tcPr>
            <w:tcW w:type="dxa" w:w="933"/>
          </w:tcPr>
          <w:p>
            <w:pPr>
              <w:jc w:val="left"/>
            </w:pPr>
            <w:r>
              <w:rPr/>
              <w:t>项</w:t>
            </w:r>
          </w:p>
        </w:tc>
        <w:tc>
          <w:tcPr>
            <w:tcW w:type="dxa" w:w="933"/>
          </w:tcPr>
          <w:p>
            <w:pPr>
              <w:jc w:val="right"/>
            </w:pPr>
            <w:r>
              <w:rPr/>
              <w:t>1.00</w:t>
            </w:r>
          </w:p>
        </w:tc>
        <w:tc>
          <w:tcPr>
            <w:tcW w:type="dxa" w:w="933"/>
          </w:tcPr>
          <w:p>
            <w:pPr>
              <w:jc w:val="right"/>
            </w:pPr>
            <w:r>
              <w:rPr/>
              <w:t>17,875,000.00</w:t>
            </w:r>
          </w:p>
        </w:tc>
        <w:tc>
          <w:tcPr>
            <w:tcW w:type="dxa" w:w="933"/>
          </w:tcPr>
          <w:p>
            <w:pPr>
              <w:jc w:val="right"/>
            </w:pPr>
            <w:r>
              <w:rPr/>
              <w:t>17,875,000.00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东莞市大朗镇专职网格员采购项目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一、项目概况</w:t>
            </w:r>
          </w:p>
          <w:p>
            <w:pPr>
              <w:ind w:firstLine="420"/>
            </w:pPr>
            <w:r>
              <w:rPr>
                <w:sz w:val="21"/>
              </w:rPr>
              <w:t>为满足大朗镇专职网格管理人员对社会服务的工作需求，现需选定一家服务商，参照镇内对专职队伍管理的做法，对专职网格员队伍进行管理，协助镇网格管理中心开展专职网格员队伍建设工作，包括与专职网格员签订《劳动合同》，</w:t>
            </w:r>
            <w:r>
              <w:rPr>
                <w:sz w:val="21"/>
              </w:rPr>
              <w:t>缴纳</w:t>
            </w:r>
            <w:r>
              <w:rPr>
                <w:sz w:val="21"/>
              </w:rPr>
              <w:t>“五险一金”，开展每月绩效评定，协助发放网格员薪酬待遇等服务。</w:t>
            </w:r>
          </w:p>
          <w:p>
            <w:r>
              <w:rPr>
                <w:b/>
                <w:sz w:val="24"/>
              </w:rPr>
              <w:t>二</w:t>
            </w:r>
            <w:r>
              <w:rPr>
                <w:b/>
                <w:sz w:val="24"/>
              </w:rPr>
              <w:t>、技术要求</w:t>
            </w:r>
          </w:p>
          <w:p>
            <w:r>
              <w:rPr>
                <w:b/>
                <w:sz w:val="21"/>
              </w:rPr>
              <w:t>(一)服务内容（包括以下服务内容，但不仅限于）</w:t>
            </w:r>
          </w:p>
          <w:tbl>
            <w:tblPr>
              <w:tblBorders>
                <w:top w:val="none" w:color="000000" w:sz="4"/>
                <w:left w:val="none" w:color="000000" w:sz="4"/>
                <w:bottom w:val="none" w:color="000000" w:sz="4"/>
                <w:right w:val="none" w:color="000000" w:sz="4"/>
                <w:insideH w:val="none"/>
                <w:insideV w:val="none"/>
              </w:tblBorders>
            </w:tblPr>
            <w:tblGrid>
              <w:gridCol w:w="460"/>
              <w:gridCol w:w="800"/>
              <w:gridCol w:w="4338"/>
            </w:tblGrid>
            <w:tr>
              <w:tc>
                <w:tcPr>
                  <w:tcW w:type="dxa" w:w="46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800"/>
                  <w:tcBorders>
                    <w:top w:val="single" w:color="000000" w:sz="4"/>
                    <w:left w:val="none" w:color="000000" w:sz="4"/>
                    <w:bottom w:val="single" w:color="000000" w:sz="4"/>
                    <w:right w:val="single" w:color="000000" w:sz="4"/>
                  </w:tcBorders>
                  <w:vAlign w:val="top"/>
                </w:tcPr>
                <w:p>
                  <w:pPr>
                    <w:jc w:val="center"/>
                  </w:pPr>
                  <w:r>
                    <w:rPr>
                      <w:b/>
                      <w:sz w:val="21"/>
                    </w:rPr>
                    <w:t>项目</w:t>
                  </w:r>
                </w:p>
              </w:tc>
              <w:tc>
                <w:tcPr>
                  <w:tcW w:type="dxa" w:w="4338"/>
                  <w:tcBorders>
                    <w:top w:val="single" w:color="000000" w:sz="4"/>
                    <w:left w:val="none" w:color="000000" w:sz="4"/>
                    <w:bottom w:val="single" w:color="000000" w:sz="4"/>
                    <w:right w:val="single" w:color="000000" w:sz="4"/>
                  </w:tcBorders>
                  <w:vAlign w:val="top"/>
                </w:tcPr>
                <w:p>
                  <w:pPr>
                    <w:jc w:val="center"/>
                  </w:pPr>
                  <w:r>
                    <w:rPr>
                      <w:b/>
                      <w:sz w:val="21"/>
                    </w:rPr>
                    <w:t>服务内容</w:t>
                  </w:r>
                </w:p>
              </w:tc>
            </w:tr>
            <w:tr>
              <w:tc>
                <w:tcPr>
                  <w:tcW w:type="dxa" w:w="46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00"/>
                  <w:tcBorders>
                    <w:top w:val="none" w:color="000000" w:sz="4"/>
                    <w:left w:val="none" w:color="000000" w:sz="4"/>
                    <w:bottom w:val="single" w:color="000000" w:sz="4"/>
                    <w:right w:val="single" w:color="000000" w:sz="4"/>
                  </w:tcBorders>
                  <w:vAlign w:val="top"/>
                </w:tcPr>
                <w:p>
                  <w:pPr>
                    <w:jc w:val="center"/>
                  </w:pPr>
                  <w:r>
                    <w:rPr>
                      <w:sz w:val="21"/>
                    </w:rPr>
                    <w:t>招聘</w:t>
                  </w:r>
                </w:p>
              </w:tc>
              <w:tc>
                <w:tcPr>
                  <w:tcW w:type="dxa" w:w="4338"/>
                  <w:tcBorders>
                    <w:top w:val="none" w:color="000000" w:sz="4"/>
                    <w:left w:val="none" w:color="000000" w:sz="4"/>
                    <w:bottom w:val="single" w:color="000000" w:sz="4"/>
                    <w:right w:val="single" w:color="000000" w:sz="4"/>
                  </w:tcBorders>
                  <w:vAlign w:val="top"/>
                </w:tcPr>
                <w:p>
                  <w:pPr>
                    <w:jc w:val="both"/>
                  </w:pPr>
                  <w:r>
                    <w:rPr>
                      <w:sz w:val="21"/>
                    </w:rPr>
                    <w:t>协助采购人进行人员招聘（其中招聘事项包含但不限于招聘公告发布、简历筛选、求职者背景调查等）</w:t>
                  </w:r>
                </w:p>
              </w:tc>
            </w:tr>
            <w:tr>
              <w:tc>
                <w:tcPr>
                  <w:tcW w:type="dxa" w:w="460"/>
                  <w:vMerge w:val="restart"/>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00"/>
                  <w:vMerge w:val="restart"/>
                  <w:tcBorders>
                    <w:top w:val="none" w:color="000000" w:sz="4"/>
                    <w:left w:val="none" w:color="000000" w:sz="4"/>
                    <w:bottom w:val="single" w:color="000000" w:sz="4"/>
                    <w:right w:val="single" w:color="000000" w:sz="4"/>
                  </w:tcBorders>
                  <w:vAlign w:val="top"/>
                </w:tcPr>
                <w:p>
                  <w:pPr>
                    <w:jc w:val="center"/>
                  </w:pPr>
                  <w:r>
                    <w:rPr>
                      <w:sz w:val="21"/>
                    </w:rPr>
                    <w:t>培训</w:t>
                  </w:r>
                </w:p>
              </w:tc>
              <w:tc>
                <w:tcPr>
                  <w:tcW w:type="dxa" w:w="4338"/>
                  <w:tcBorders>
                    <w:top w:val="none" w:color="000000" w:sz="4"/>
                    <w:left w:val="none" w:color="000000" w:sz="4"/>
                    <w:bottom w:val="single" w:color="000000" w:sz="4"/>
                    <w:right w:val="single" w:color="000000" w:sz="4"/>
                  </w:tcBorders>
                  <w:vAlign w:val="top"/>
                </w:tcPr>
                <w:p>
                  <w:pPr>
                    <w:jc w:val="both"/>
                  </w:pPr>
                  <w:r>
                    <w:rPr>
                      <w:sz w:val="21"/>
                    </w:rPr>
                    <w:t>根据采购人要求制定科学合理的培训方案</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组织师资对网格管理员进行培训</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做好培训记录以备采购人随时查阅</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left"/>
                  </w:pPr>
                  <w:r>
                    <w:rPr>
                      <w:sz w:val="21"/>
                    </w:rPr>
                    <w:t>每个季度组织一次全员培训，请时事政治历史等方面专家教授讲课。每个月组织一次小范围培训，内容根据采购人指定业务需要设定。</w:t>
                  </w:r>
                </w:p>
              </w:tc>
            </w:tr>
            <w:tr>
              <w:tc>
                <w:tcPr>
                  <w:tcW w:type="dxa" w:w="460"/>
                  <w:vMerge w:val="restart"/>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00"/>
                  <w:vMerge w:val="restart"/>
                  <w:tcBorders>
                    <w:top w:val="none" w:color="000000" w:sz="4"/>
                    <w:left w:val="none" w:color="000000" w:sz="4"/>
                    <w:bottom w:val="single" w:color="000000" w:sz="4"/>
                    <w:right w:val="single" w:color="000000" w:sz="4"/>
                  </w:tcBorders>
                  <w:vAlign w:val="top"/>
                </w:tcPr>
                <w:p>
                  <w:pPr>
                    <w:jc w:val="center"/>
                  </w:pPr>
                  <w:r>
                    <w:rPr>
                      <w:sz w:val="21"/>
                    </w:rPr>
                    <w:t>薪酬福利</w:t>
                  </w:r>
                </w:p>
              </w:tc>
              <w:tc>
                <w:tcPr>
                  <w:tcW w:type="dxa" w:w="4338"/>
                  <w:tcBorders>
                    <w:top w:val="none" w:color="000000" w:sz="4"/>
                    <w:left w:val="none" w:color="000000" w:sz="4"/>
                    <w:bottom w:val="single" w:color="000000" w:sz="4"/>
                    <w:right w:val="single" w:color="000000" w:sz="4"/>
                  </w:tcBorders>
                  <w:vAlign w:val="top"/>
                </w:tcPr>
                <w:p>
                  <w:pPr>
                    <w:jc w:val="both"/>
                  </w:pPr>
                  <w:r>
                    <w:rPr>
                      <w:sz w:val="21"/>
                    </w:rPr>
                    <w:t>为网格管理员办理工资卡</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网格管理员每月薪酬的计算</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网格管理员每月绩效评定计算</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负责个税的计算及缴纳</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每月按时足额发放网格管理员工资</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员工关怀</w:t>
                  </w:r>
                  <w:r>
                    <w:rPr>
                      <w:sz w:val="21"/>
                    </w:rPr>
                    <w:t>: 端午节、中秋节、春节慰问，激光打上“大朗网格管理中心”的名字，此费用已包含在</w:t>
                  </w:r>
                  <w:r>
                    <w:rPr>
                      <w:sz w:val="21"/>
                    </w:rPr>
                    <w:t>人员</w:t>
                  </w:r>
                  <w:r>
                    <w:rPr>
                      <w:sz w:val="21"/>
                    </w:rPr>
                    <w:t>管理费中</w:t>
                  </w:r>
                </w:p>
              </w:tc>
            </w:tr>
            <w:tr>
              <w:tc>
                <w:tcPr>
                  <w:tcW w:type="dxa" w:w="460"/>
                  <w:vMerge w:val="restart"/>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00"/>
                  <w:vMerge w:val="restart"/>
                  <w:tcBorders>
                    <w:top w:val="none" w:color="000000" w:sz="4"/>
                    <w:left w:val="none" w:color="000000" w:sz="4"/>
                    <w:bottom w:val="single" w:color="000000" w:sz="4"/>
                    <w:right w:val="single" w:color="000000" w:sz="4"/>
                  </w:tcBorders>
                  <w:vAlign w:val="top"/>
                </w:tcPr>
                <w:p>
                  <w:pPr>
                    <w:jc w:val="center"/>
                  </w:pPr>
                  <w:r>
                    <w:rPr>
                      <w:sz w:val="21"/>
                    </w:rPr>
                    <w:t>员工关系</w:t>
                  </w:r>
                </w:p>
              </w:tc>
              <w:tc>
                <w:tcPr>
                  <w:tcW w:type="dxa" w:w="4338"/>
                  <w:tcBorders>
                    <w:top w:val="none" w:color="000000" w:sz="4"/>
                    <w:left w:val="none" w:color="000000" w:sz="4"/>
                    <w:bottom w:val="single" w:color="000000" w:sz="4"/>
                    <w:right w:val="single" w:color="000000" w:sz="4"/>
                  </w:tcBorders>
                  <w:vAlign w:val="top"/>
                </w:tcPr>
                <w:p>
                  <w:pPr>
                    <w:jc w:val="both"/>
                  </w:pPr>
                  <w:r>
                    <w:rPr>
                      <w:sz w:val="21"/>
                    </w:rPr>
                    <w:t>制定严密的劳动合同并与员工签订书面的劳动合同</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负责根据国家政策为网格管理员缴纳社会保险</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网格管理员经济赔偿的手续办理</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处理网格管理员提出的劳动仲裁、诉讼等事宜</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网格管理员发生重大疾病、非因工死亡等事故，中标人依照法律法规进行调查处理</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网格管理员发生工伤事故，由中标人以雇主身份进行调查及处理，并为员工进行工伤鉴定、工伤待遇申报</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网格管理员退休手续的办理</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网格管理员离职手续的办理</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员工社保转移、享受等手续的办理</w:t>
                  </w:r>
                </w:p>
              </w:tc>
            </w:tr>
            <w:tr>
              <w:tc>
                <w:tcPr>
                  <w:tcW w:type="dxa" w:w="460"/>
                  <w:vMerge w:val="restart"/>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00"/>
                  <w:vMerge w:val="restart"/>
                  <w:tcBorders>
                    <w:top w:val="none" w:color="000000" w:sz="4"/>
                    <w:left w:val="none" w:color="000000" w:sz="4"/>
                    <w:bottom w:val="single" w:color="000000" w:sz="4"/>
                    <w:right w:val="single" w:color="000000" w:sz="4"/>
                  </w:tcBorders>
                  <w:vAlign w:val="top"/>
                </w:tcPr>
                <w:p>
                  <w:pPr>
                    <w:jc w:val="center"/>
                  </w:pPr>
                  <w:r>
                    <w:rPr>
                      <w:sz w:val="21"/>
                    </w:rPr>
                    <w:t>其他</w:t>
                  </w:r>
                </w:p>
              </w:tc>
              <w:tc>
                <w:tcPr>
                  <w:tcW w:type="dxa" w:w="4338"/>
                  <w:tcBorders>
                    <w:top w:val="none" w:color="000000" w:sz="4"/>
                    <w:left w:val="none" w:color="000000" w:sz="4"/>
                    <w:bottom w:val="single" w:color="000000" w:sz="4"/>
                    <w:right w:val="single" w:color="000000" w:sz="4"/>
                  </w:tcBorders>
                  <w:vAlign w:val="top"/>
                </w:tcPr>
                <w:p>
                  <w:pPr>
                    <w:jc w:val="both"/>
                  </w:pPr>
                  <w:r>
                    <w:rPr>
                      <w:sz w:val="21"/>
                    </w:rPr>
                    <w:t>按照采购人要求进行驻点及上门服务</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妥善保管员工档案以备采购人随时查阅</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网格管理员食宿自行解决</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监督抽查：每个月完成一次对所有村级现场抽查网格员的工作情况，拍照及现场巡查方式完成</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图像及视频拍摄：安排专业拍摄团队，拍摄取素材，协助完成公众号及抖音视频内容输出，每个月完成一套</w:t>
                  </w:r>
                </w:p>
              </w:tc>
            </w:tr>
            <w:tr>
              <w:tc>
                <w:tcPr>
                  <w:tcW w:type="dxa" w:w="460"/>
                  <w:vMerge/>
                  <w:tcBorders>
                    <w:top w:val="none" w:color="000000" w:sz="4"/>
                    <w:left w:val="single" w:color="000000" w:sz="4"/>
                    <w:bottom w:val="single" w:color="000000" w:sz="4"/>
                    <w:right w:val="single" w:color="000000" w:sz="4"/>
                  </w:tcBorders>
                </w:tcPr>
                <w:p/>
              </w:tc>
              <w:tc>
                <w:tcPr>
                  <w:tcW w:type="dxa" w:w="800"/>
                  <w:vMerge/>
                  <w:tcBorders>
                    <w:top w:val="none" w:color="000000" w:sz="4"/>
                    <w:left w:val="none" w:color="000000" w:sz="4"/>
                    <w:bottom w:val="single" w:color="000000" w:sz="4"/>
                    <w:right w:val="single" w:color="000000" w:sz="4"/>
                  </w:tcBorders>
                </w:tcPr>
                <w:p/>
              </w:tc>
              <w:tc>
                <w:tcPr>
                  <w:tcW w:type="dxa" w:w="4338"/>
                  <w:tcBorders>
                    <w:top w:val="none" w:color="000000" w:sz="4"/>
                    <w:left w:val="none" w:color="000000" w:sz="4"/>
                    <w:bottom w:val="single" w:color="000000" w:sz="4"/>
                    <w:right w:val="single" w:color="000000" w:sz="4"/>
                  </w:tcBorders>
                  <w:vAlign w:val="top"/>
                </w:tcPr>
                <w:p>
                  <w:pPr>
                    <w:jc w:val="both"/>
                  </w:pPr>
                  <w:r>
                    <w:rPr>
                      <w:sz w:val="21"/>
                    </w:rPr>
                    <w:t>团队建设活动：每个季度完成对所有员工的团建活动，包括户外拓展训练、爬山等户外活动</w:t>
                  </w:r>
                </w:p>
              </w:tc>
            </w:tr>
          </w:tbl>
          <w:p>
            <w:r>
              <w:rPr>
                <w:b/>
                <w:sz w:val="21"/>
              </w:rPr>
              <w:t>(二)日常服务内容明细（包括以下服务内容，但不仅限于）</w:t>
            </w:r>
          </w:p>
          <w:tbl>
            <w:tblPr>
              <w:tblBorders>
                <w:top w:val="none" w:color="000000" w:sz="4"/>
                <w:left w:val="none" w:color="000000" w:sz="4"/>
                <w:bottom w:val="none" w:color="000000" w:sz="4"/>
                <w:right w:val="none" w:color="000000" w:sz="4"/>
                <w:insideH w:val="none"/>
                <w:insideV w:val="none"/>
              </w:tblBorders>
            </w:tblPr>
            <w:tblGrid>
              <w:gridCol w:w="1309"/>
              <w:gridCol w:w="4289"/>
            </w:tblGrid>
            <w:tr>
              <w:tc>
                <w:tcPr>
                  <w:tcW w:type="dxa" w:w="1309"/>
                  <w:tcBorders>
                    <w:top w:val="single" w:color="000000" w:sz="4"/>
                    <w:left w:val="single" w:color="000000" w:sz="4"/>
                    <w:bottom w:val="single" w:color="000000" w:sz="4"/>
                    <w:right w:val="single" w:color="000000" w:sz="4"/>
                  </w:tcBorders>
                  <w:vAlign w:val="top"/>
                </w:tcPr>
                <w:p>
                  <w:pPr>
                    <w:jc w:val="left"/>
                  </w:pPr>
                  <w:r>
                    <w:rPr>
                      <w:sz w:val="21"/>
                    </w:rPr>
                    <w:t>服务方式</w:t>
                  </w:r>
                </w:p>
              </w:tc>
              <w:tc>
                <w:tcPr>
                  <w:tcW w:type="dxa" w:w="4289"/>
                  <w:tcBorders>
                    <w:top w:val="single" w:color="000000" w:sz="4"/>
                    <w:left w:val="none" w:color="000000" w:sz="4"/>
                    <w:bottom w:val="single" w:color="000000" w:sz="4"/>
                    <w:right w:val="single" w:color="000000" w:sz="4"/>
                  </w:tcBorders>
                  <w:vAlign w:val="top"/>
                </w:tcPr>
                <w:p>
                  <w:pPr>
                    <w:jc w:val="left"/>
                  </w:pPr>
                  <w:r>
                    <w:rPr>
                      <w:sz w:val="21"/>
                    </w:rPr>
                    <w:t>指派一名负责人对接各项事务</w:t>
                  </w:r>
                </w:p>
              </w:tc>
            </w:tr>
            <w:tr>
              <w:tc>
                <w:tcPr>
                  <w:tcW w:type="dxa" w:w="1309"/>
                  <w:tcBorders>
                    <w:top w:val="none" w:color="000000" w:sz="4"/>
                    <w:left w:val="single" w:color="000000" w:sz="4"/>
                    <w:bottom w:val="single" w:color="000000" w:sz="4"/>
                    <w:right w:val="single" w:color="000000" w:sz="4"/>
                  </w:tcBorders>
                  <w:vAlign w:val="top"/>
                </w:tcPr>
                <w:p>
                  <w:pPr>
                    <w:jc w:val="left"/>
                  </w:pPr>
                  <w:r>
                    <w:rPr>
                      <w:sz w:val="21"/>
                    </w:rPr>
                    <w:t>入职</w:t>
                  </w:r>
                  <w:r>
                    <w:rPr>
                      <w:sz w:val="21"/>
                    </w:rPr>
                    <w:t>/离职</w:t>
                  </w:r>
                </w:p>
              </w:tc>
              <w:tc>
                <w:tcPr>
                  <w:tcW w:type="dxa" w:w="4289"/>
                  <w:tcBorders>
                    <w:top w:val="none" w:color="000000" w:sz="4"/>
                    <w:left w:val="none" w:color="000000" w:sz="4"/>
                    <w:bottom w:val="single" w:color="000000" w:sz="4"/>
                    <w:right w:val="single" w:color="000000" w:sz="4"/>
                  </w:tcBorders>
                  <w:vAlign w:val="top"/>
                </w:tcPr>
                <w:p>
                  <w:pPr>
                    <w:jc w:val="left"/>
                  </w:pPr>
                  <w:r>
                    <w:rPr>
                      <w:sz w:val="21"/>
                    </w:rPr>
                    <w:t>员工个人材料收缴，办理员工录用、离职的相关手续</w:t>
                  </w:r>
                </w:p>
              </w:tc>
            </w:tr>
            <w:tr>
              <w:tc>
                <w:tcPr>
                  <w:tcW w:type="dxa" w:w="1309"/>
                  <w:vMerge w:val="restart"/>
                  <w:tcBorders>
                    <w:top w:val="none" w:color="000000" w:sz="4"/>
                    <w:left w:val="single" w:color="000000" w:sz="4"/>
                    <w:bottom w:val="single" w:color="000000" w:sz="4"/>
                    <w:right w:val="single" w:color="000000" w:sz="4"/>
                  </w:tcBorders>
                  <w:vAlign w:val="top"/>
                </w:tcPr>
                <w:p>
                  <w:pPr>
                    <w:jc w:val="left"/>
                  </w:pPr>
                  <w:r>
                    <w:rPr>
                      <w:sz w:val="21"/>
                    </w:rPr>
                    <w:t>社会保险</w:t>
                  </w:r>
                </w:p>
              </w:tc>
              <w:tc>
                <w:tcPr>
                  <w:tcW w:type="dxa" w:w="4289"/>
                  <w:tcBorders>
                    <w:top w:val="none" w:color="000000" w:sz="4"/>
                    <w:left w:val="none" w:color="000000" w:sz="4"/>
                    <w:bottom w:val="single" w:color="000000" w:sz="4"/>
                    <w:right w:val="single" w:color="000000" w:sz="4"/>
                  </w:tcBorders>
                  <w:vAlign w:val="top"/>
                </w:tcPr>
                <w:p>
                  <w:pPr>
                    <w:jc w:val="left"/>
                  </w:pPr>
                  <w:r>
                    <w:rPr>
                      <w:sz w:val="21"/>
                    </w:rPr>
                    <w:t>社会保险开户</w:t>
                  </w:r>
                  <w:r>
                    <w:rPr>
                      <w:sz w:val="21"/>
                    </w:rPr>
                    <w:t>/转入</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left"/>
                  </w:pPr>
                  <w:r>
                    <w:rPr>
                      <w:sz w:val="21"/>
                    </w:rPr>
                    <w:t>社会保险基数的审核</w:t>
                  </w:r>
                  <w:r>
                    <w:rPr>
                      <w:sz w:val="21"/>
                    </w:rPr>
                    <w:t>/计算/申报/缴纳</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left"/>
                  </w:pPr>
                  <w:r>
                    <w:rPr>
                      <w:sz w:val="21"/>
                    </w:rPr>
                    <w:t>养老</w:t>
                  </w:r>
                  <w:r>
                    <w:rPr>
                      <w:sz w:val="21"/>
                    </w:rPr>
                    <w:t>/工伤/失业/医疗/生育保险政策咨询和领取或享受</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left"/>
                  </w:pPr>
                  <w:r>
                    <w:rPr>
                      <w:sz w:val="21"/>
                    </w:rPr>
                    <w:t>社会保险转出</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left"/>
                  </w:pPr>
                  <w:r>
                    <w:rPr>
                      <w:sz w:val="21"/>
                    </w:rPr>
                    <w:t>帮助员工做工伤定级以及工伤理赔等事宜</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left"/>
                  </w:pPr>
                  <w:r>
                    <w:rPr>
                      <w:sz w:val="21"/>
                    </w:rPr>
                    <w:t>为员工做社会医疗保险的报销手续、开分割单，进行医保赔付咨询</w:t>
                  </w:r>
                </w:p>
              </w:tc>
            </w:tr>
            <w:tr>
              <w:tc>
                <w:tcPr>
                  <w:tcW w:type="dxa" w:w="1309"/>
                  <w:vMerge w:val="restart"/>
                  <w:tcBorders>
                    <w:top w:val="none" w:color="000000" w:sz="4"/>
                    <w:left w:val="single" w:color="000000" w:sz="4"/>
                    <w:bottom w:val="single" w:color="000000" w:sz="4"/>
                    <w:right w:val="single" w:color="000000" w:sz="4"/>
                  </w:tcBorders>
                  <w:vAlign w:val="top"/>
                </w:tcPr>
                <w:p>
                  <w:pPr>
                    <w:jc w:val="left"/>
                  </w:pPr>
                  <w:r>
                    <w:rPr>
                      <w:sz w:val="21"/>
                    </w:rPr>
                    <w:t>住房公积金</w:t>
                  </w:r>
                </w:p>
              </w:tc>
              <w:tc>
                <w:tcPr>
                  <w:tcW w:type="dxa" w:w="4289"/>
                  <w:tcBorders>
                    <w:top w:val="none" w:color="000000" w:sz="4"/>
                    <w:left w:val="none" w:color="000000" w:sz="4"/>
                    <w:bottom w:val="single" w:color="000000" w:sz="4"/>
                    <w:right w:val="single" w:color="000000" w:sz="4"/>
                  </w:tcBorders>
                  <w:vAlign w:val="top"/>
                </w:tcPr>
                <w:p>
                  <w:pPr>
                    <w:jc w:val="left"/>
                  </w:pPr>
                  <w:r>
                    <w:rPr>
                      <w:sz w:val="21"/>
                    </w:rPr>
                    <w:t>开户</w:t>
                  </w:r>
                  <w:r>
                    <w:rPr>
                      <w:sz w:val="21"/>
                    </w:rPr>
                    <w:t>/转入</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left"/>
                  </w:pPr>
                  <w:r>
                    <w:rPr>
                      <w:sz w:val="21"/>
                    </w:rPr>
                    <w:t>基数审核</w:t>
                  </w:r>
                  <w:r>
                    <w:rPr>
                      <w:sz w:val="21"/>
                    </w:rPr>
                    <w:t>/计算/申报/缴纳</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left"/>
                  </w:pPr>
                  <w:r>
                    <w:rPr>
                      <w:sz w:val="21"/>
                    </w:rPr>
                    <w:t>公积金支取指导和协助办理</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left"/>
                  </w:pPr>
                  <w:r>
                    <w:rPr>
                      <w:sz w:val="21"/>
                    </w:rPr>
                    <w:t>公积金转出</w:t>
                  </w:r>
                </w:p>
              </w:tc>
            </w:tr>
            <w:tr>
              <w:tc>
                <w:tcPr>
                  <w:tcW w:type="dxa" w:w="1309"/>
                  <w:vMerge w:val="restart"/>
                  <w:tcBorders>
                    <w:top w:val="none" w:color="000000" w:sz="4"/>
                    <w:left w:val="single" w:color="000000" w:sz="4"/>
                    <w:bottom w:val="single" w:color="000000" w:sz="4"/>
                    <w:right w:val="single" w:color="000000" w:sz="4"/>
                  </w:tcBorders>
                  <w:vAlign w:val="top"/>
                </w:tcPr>
                <w:p>
                  <w:pPr>
                    <w:jc w:val="left"/>
                  </w:pPr>
                  <w:r>
                    <w:rPr>
                      <w:sz w:val="21"/>
                    </w:rPr>
                    <w:t>人事档案</w:t>
                  </w:r>
                </w:p>
              </w:tc>
              <w:tc>
                <w:tcPr>
                  <w:tcW w:type="dxa" w:w="4289"/>
                  <w:tcBorders>
                    <w:top w:val="none" w:color="000000" w:sz="4"/>
                    <w:left w:val="none" w:color="000000" w:sz="4"/>
                    <w:bottom w:val="single" w:color="000000" w:sz="4"/>
                    <w:right w:val="single" w:color="000000" w:sz="4"/>
                  </w:tcBorders>
                  <w:vAlign w:val="top"/>
                </w:tcPr>
                <w:p>
                  <w:pPr>
                    <w:jc w:val="left"/>
                  </w:pPr>
                  <w:r>
                    <w:rPr>
                      <w:sz w:val="21"/>
                    </w:rPr>
                    <w:t>为符合要求员工办理人事档案调入（本地</w:t>
                  </w:r>
                  <w:r>
                    <w:rPr>
                      <w:sz w:val="21"/>
                    </w:rPr>
                    <w:t>/外地/复员)</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left"/>
                  </w:pPr>
                  <w:r>
                    <w:rPr>
                      <w:sz w:val="21"/>
                    </w:rPr>
                    <w:t>档案调出</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both"/>
                  </w:pPr>
                  <w:r>
                    <w:rPr>
                      <w:sz w:val="21"/>
                    </w:rPr>
                    <w:t>人事档案检查，存放</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both"/>
                  </w:pPr>
                  <w:r>
                    <w:rPr>
                      <w:sz w:val="21"/>
                    </w:rPr>
                    <w:t>为符合要求的员工办理相关政审盖章（出国</w:t>
                  </w:r>
                  <w:r>
                    <w:rPr>
                      <w:sz w:val="21"/>
                    </w:rPr>
                    <w:t>/转正定级/职称评定/资格报考/工作表现政审）</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both"/>
                  </w:pPr>
                  <w:r>
                    <w:rPr>
                      <w:sz w:val="21"/>
                    </w:rPr>
                    <w:t>为符合条件的应届毕业生申请和办理人事档案调入（应届毕业生分配）</w:t>
                  </w:r>
                </w:p>
              </w:tc>
            </w:tr>
            <w:tr>
              <w:tc>
                <w:tcPr>
                  <w:tcW w:type="dxa" w:w="1309"/>
                  <w:vMerge w:val="restart"/>
                  <w:tcBorders>
                    <w:top w:val="none" w:color="000000" w:sz="4"/>
                    <w:left w:val="single" w:color="000000" w:sz="4"/>
                    <w:bottom w:val="single" w:color="000000" w:sz="4"/>
                    <w:right w:val="single" w:color="000000" w:sz="4"/>
                  </w:tcBorders>
                  <w:vAlign w:val="top"/>
                </w:tcPr>
                <w:p>
                  <w:pPr>
                    <w:jc w:val="center"/>
                  </w:pPr>
                  <w:r>
                    <w:rPr>
                      <w:sz w:val="21"/>
                    </w:rPr>
                    <w:t>政策和年</w:t>
                  </w:r>
                </w:p>
                <w:p>
                  <w:pPr>
                    <w:jc w:val="center"/>
                  </w:pPr>
                  <w:r>
                    <w:rPr>
                      <w:sz w:val="21"/>
                    </w:rPr>
                    <w:t>检咨询</w:t>
                  </w:r>
                </w:p>
              </w:tc>
              <w:tc>
                <w:tcPr>
                  <w:tcW w:type="dxa" w:w="4289"/>
                  <w:tcBorders>
                    <w:top w:val="none" w:color="000000" w:sz="4"/>
                    <w:left w:val="none" w:color="000000" w:sz="4"/>
                    <w:bottom w:val="single" w:color="000000" w:sz="4"/>
                    <w:right w:val="single" w:color="000000" w:sz="4"/>
                  </w:tcBorders>
                  <w:vAlign w:val="top"/>
                </w:tcPr>
                <w:p>
                  <w:pPr>
                    <w:jc w:val="both"/>
                  </w:pPr>
                  <w:r>
                    <w:rPr>
                      <w:sz w:val="21"/>
                    </w:rPr>
                    <w:t>提供有关人事和劳动管理方面的信息及最新颁布的各地政府政策和规定</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both"/>
                  </w:pPr>
                  <w:r>
                    <w:rPr>
                      <w:sz w:val="21"/>
                    </w:rPr>
                    <w:t>提供社会保险、公积金政策变化</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both"/>
                  </w:pPr>
                  <w:r>
                    <w:rPr>
                      <w:sz w:val="21"/>
                    </w:rPr>
                    <w:t>签证、就业证、居住证等</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both"/>
                  </w:pPr>
                  <w:r>
                    <w:rPr>
                      <w:sz w:val="21"/>
                    </w:rPr>
                    <w:t>社会保险年检</w:t>
                  </w:r>
                </w:p>
              </w:tc>
            </w:tr>
            <w:tr>
              <w:tc>
                <w:tcPr>
                  <w:tcW w:type="dxa" w:w="1309"/>
                  <w:vMerge/>
                  <w:tcBorders>
                    <w:top w:val="none" w:color="000000" w:sz="4"/>
                    <w:left w:val="single" w:color="000000" w:sz="4"/>
                    <w:bottom w:val="single" w:color="000000" w:sz="4"/>
                    <w:right w:val="single" w:color="000000" w:sz="4"/>
                  </w:tcBorders>
                </w:tcPr>
                <w:p/>
              </w:tc>
              <w:tc>
                <w:tcPr>
                  <w:tcW w:type="dxa" w:w="4289"/>
                  <w:tcBorders>
                    <w:top w:val="none" w:color="000000" w:sz="4"/>
                    <w:left w:val="none" w:color="000000" w:sz="4"/>
                    <w:bottom w:val="single" w:color="000000" w:sz="4"/>
                    <w:right w:val="single" w:color="000000" w:sz="4"/>
                  </w:tcBorders>
                  <w:vAlign w:val="top"/>
                </w:tcPr>
                <w:p>
                  <w:pPr>
                    <w:jc w:val="both"/>
                  </w:pPr>
                  <w:r>
                    <w:rPr>
                      <w:sz w:val="21"/>
                    </w:rPr>
                    <w:t>社会保险监察</w:t>
                  </w:r>
                </w:p>
              </w:tc>
            </w:tr>
          </w:tbl>
          <w:p>
            <w:r>
              <w:rPr>
                <w:b/>
                <w:sz w:val="21"/>
              </w:rPr>
              <w:t>(三)其它具体服务要求</w:t>
            </w:r>
          </w:p>
          <w:p>
            <w:pPr>
              <w:ind w:firstLine="420"/>
            </w:pPr>
            <w:r>
              <w:rPr>
                <w:sz w:val="21"/>
              </w:rPr>
              <w:t>1.按照有关法律法规规定与网格管理员订立书面劳动合同，为网格管理员在工作所在地办理社会保险手续等，并根据采购人提供的网格管理员考勤、考核、教育培训、奖惩等资料情况建立网格管理员人事信息档案。对新招网格管理员应在规定时间内办齐所有用工手续，并提供包括但不限于网格管理员档案表、花名册、身份证及学历证复印件等供采购人备案。</w:t>
            </w:r>
          </w:p>
          <w:p>
            <w:pPr>
              <w:ind w:firstLine="420"/>
            </w:pPr>
            <w:r>
              <w:rPr>
                <w:sz w:val="21"/>
              </w:rPr>
              <w:t>2.根据网格管理员人数和服务项目配备专门的管理人员，负责网格管理员的日常事务，协调处理网格管理员与采购人之间的关系，向采购人提供政策法规方面的咨询。</w:t>
            </w:r>
          </w:p>
          <w:p>
            <w:pPr>
              <w:ind w:firstLine="420"/>
            </w:pPr>
            <w:r>
              <w:rPr>
                <w:sz w:val="21"/>
              </w:rPr>
              <w:t>3.及时掌握国家和省有关劳动标准、劳动条件、工资福利、社会保险等方面的最新政策动态并知会采购人，积极配合采购人对新政策规定的组织实施。</w:t>
            </w:r>
          </w:p>
          <w:p>
            <w:pPr>
              <w:ind w:firstLine="420"/>
            </w:pPr>
            <w:r>
              <w:rPr>
                <w:sz w:val="21"/>
              </w:rPr>
              <w:t>4.按采购人要求，教育网格管理员严格遵守采购人的规章制度和管理规范规程、忠于职守、文明礼貌、严格遵守劳动纪律、服从和执行采购人做出的工作安排和调度。</w:t>
            </w:r>
          </w:p>
          <w:p>
            <w:pPr>
              <w:ind w:firstLine="420"/>
            </w:pPr>
            <w:r>
              <w:rPr>
                <w:sz w:val="21"/>
              </w:rPr>
              <w:t>5.协助采购人对员工进行岗前培训教育，培训项目负责人对安全生产巡查有相关知识进行培训，以保证网格管理员素质提升及平时人身安全防护。</w:t>
            </w:r>
          </w:p>
          <w:p>
            <w:pPr>
              <w:ind w:firstLine="420"/>
            </w:pPr>
            <w:r>
              <w:rPr>
                <w:sz w:val="21"/>
              </w:rPr>
              <w:t>6.定期会同采购人共同对网格管理员进行考核，并委托采购人进行网格管理员的现场管理和工作考核，相关考核、考勤和奖惩资料由采购人提供。中标人依据采购人提供的考核、考勤和奖惩资料及时足额给网格管理员发放工资福利。</w:t>
            </w:r>
          </w:p>
          <w:p>
            <w:pPr>
              <w:ind w:firstLine="420"/>
            </w:pPr>
            <w:r>
              <w:rPr>
                <w:sz w:val="21"/>
              </w:rPr>
              <w:t>7.负责网格管理员的招聘/录用退工手续办理、薪酬管理、福利发放、各种社保和住房公积金（五险一金：按照当地社会保险缴费标准和规定）办理及个税代扣代缴。</w:t>
            </w:r>
          </w:p>
          <w:p>
            <w:pPr>
              <w:ind w:firstLine="420"/>
            </w:pPr>
            <w:r>
              <w:rPr>
                <w:sz w:val="21"/>
              </w:rPr>
              <w:t>8.负责网格管理员的档案管理、计生关系管理及专业技术人员的职称申报、评定等。</w:t>
            </w:r>
          </w:p>
          <w:p>
            <w:pPr>
              <w:ind w:firstLine="420"/>
            </w:pPr>
            <w:r>
              <w:rPr>
                <w:sz w:val="21"/>
              </w:rPr>
              <w:t>9.服务期内发生劳资纠纷由中标人负责处理。</w:t>
            </w:r>
          </w:p>
          <w:p>
            <w:pPr>
              <w:ind w:firstLine="420"/>
            </w:pPr>
            <w:r>
              <w:rPr>
                <w:sz w:val="21"/>
              </w:rPr>
              <w:t>10.中标人投入本项目的网格管理员发生工伤事故，由中标人负责。</w:t>
            </w:r>
          </w:p>
          <w:p>
            <w:pPr>
              <w:ind w:firstLine="420"/>
            </w:pPr>
            <w:r>
              <w:rPr>
                <w:sz w:val="21"/>
              </w:rPr>
              <w:t>11.中标人投入本项目的网格管理员发生重大疾病、非因工死亡等事故，中标人依照法律法规进行调查处理。</w:t>
            </w:r>
          </w:p>
          <w:p>
            <w:pPr>
              <w:ind w:firstLine="420"/>
            </w:pPr>
            <w:r>
              <w:rPr>
                <w:sz w:val="21"/>
              </w:rPr>
              <w:t>12.负责需负责投入本项目的网格管理员经济赔偿的手续办理。</w:t>
            </w:r>
          </w:p>
          <w:p>
            <w:pPr>
              <w:ind w:firstLine="420"/>
            </w:pPr>
            <w:r>
              <w:rPr>
                <w:sz w:val="21"/>
              </w:rPr>
              <w:t>13.负责处理投入本项目的网格管理员提出的劳动仲裁、诉讼等事宜。</w:t>
            </w:r>
          </w:p>
          <w:p>
            <w:r>
              <w:rPr>
                <w:b/>
                <w:sz w:val="21"/>
              </w:rPr>
              <w:t>(四)网格管理员资格条件要求简述</w:t>
            </w:r>
          </w:p>
          <w:p>
            <w:pPr>
              <w:ind w:firstLine="420"/>
            </w:pPr>
            <w:r>
              <w:rPr>
                <w:sz w:val="21"/>
              </w:rPr>
              <w:t>1.具有大专或以上学历。</w:t>
            </w:r>
          </w:p>
          <w:p>
            <w:pPr>
              <w:ind w:firstLine="420"/>
            </w:pPr>
            <w:r>
              <w:rPr>
                <w:sz w:val="21"/>
              </w:rPr>
              <w:t>2.品行端正，遵纪守法，思想政治素质好，无违法犯罪记录，热爱网格管理工作。</w:t>
            </w:r>
          </w:p>
          <w:p>
            <w:pPr>
              <w:ind w:firstLine="420"/>
            </w:pPr>
            <w:r>
              <w:rPr>
                <w:sz w:val="21"/>
              </w:rPr>
              <w:t>3.身体健康，无传染病；具有正常履行职责的身体条件和工作能力，工作责任感强，能吃苦耐劳，承受工作压力，有良好的团队合作精神。</w:t>
            </w:r>
          </w:p>
          <w:p>
            <w:pPr>
              <w:ind w:firstLine="420"/>
            </w:pPr>
            <w:r>
              <w:rPr>
                <w:sz w:val="21"/>
              </w:rPr>
              <w:t>4.接受采购人的工作安排和培训安排。</w:t>
            </w:r>
          </w:p>
          <w:p>
            <w:pPr>
              <w:ind w:firstLine="420"/>
            </w:pPr>
            <w:r>
              <w:rPr>
                <w:sz w:val="21"/>
              </w:rPr>
              <w:t>5.符合采购人要求及日常管理工作规范。</w:t>
            </w:r>
          </w:p>
          <w:p>
            <w:pPr>
              <w:ind w:firstLine="420"/>
            </w:pPr>
            <w:r>
              <w:rPr>
                <w:sz w:val="21"/>
              </w:rPr>
              <w:t>6.符合岗位规定的其他资格条件。</w:t>
            </w:r>
          </w:p>
          <w:p>
            <w:pPr>
              <w:ind w:firstLine="420"/>
            </w:pPr>
            <w:r>
              <w:rPr>
                <w:sz w:val="21"/>
              </w:rPr>
              <w:t>7.采购人可根据实际情况或需求对网格管理员资格条件要求进行调整，中标人必须服从，且安排的网格管理员必须符合采购人的要求。</w:t>
            </w:r>
          </w:p>
          <w:p>
            <w:r>
              <w:rPr>
                <w:b/>
                <w:sz w:val="21"/>
              </w:rPr>
              <w:t>(五)质量保证及售后要求</w:t>
            </w:r>
          </w:p>
          <w:p>
            <w:pPr>
              <w:ind w:firstLine="420"/>
            </w:pPr>
            <w:r>
              <w:rPr>
                <w:sz w:val="21"/>
              </w:rPr>
              <w:t>1.中标人应提供所有</w:t>
            </w:r>
            <w:r>
              <w:rPr>
                <w:sz w:val="21"/>
              </w:rPr>
              <w:t>服务人员</w:t>
            </w:r>
            <w:r>
              <w:rPr>
                <w:sz w:val="21"/>
              </w:rPr>
              <w:t>的个人基本资料，经采购人确认后才能上岗。</w:t>
            </w:r>
          </w:p>
          <w:p>
            <w:pPr>
              <w:ind w:firstLine="420"/>
            </w:pPr>
            <w:r>
              <w:rPr>
                <w:sz w:val="21"/>
              </w:rPr>
              <w:t>2.中标人签订合同前必须按照国家相关保密规定和采购人签订《保密协议》，对违反《保密协议》相关内容规定的，采购人有权追究其法律责任。</w:t>
            </w:r>
          </w:p>
          <w:p>
            <w:pPr>
              <w:ind w:firstLine="420"/>
            </w:pPr>
            <w:r>
              <w:rPr>
                <w:sz w:val="21"/>
              </w:rPr>
              <w:t>3.服务期内发生各种事故：包括但不仅限于安全、交通、防火和劳资纠纷等事件均由中标人负责处理，采购人对此不承担任何责任。</w:t>
            </w:r>
          </w:p>
          <w:p>
            <w:pPr>
              <w:ind w:firstLine="420"/>
            </w:pPr>
            <w:r>
              <w:rPr>
                <w:sz w:val="21"/>
              </w:rPr>
              <w:t>4.如因中标人引起的劳资纠纷问题，影响正常工作的，采购人有权另行聘请人员确保正常工作，所产生的费用由中标人承担。</w:t>
            </w:r>
          </w:p>
          <w:p>
            <w:pPr>
              <w:ind w:firstLine="420"/>
            </w:pPr>
            <w:r>
              <w:rPr>
                <w:sz w:val="21"/>
              </w:rPr>
              <w:t>5.如中标人派遣的网格管理员不服从采购人的管理、违反采购人制定的相关规章制度或未达到采购人制定的考核标准时，采购人可以要求更换，中标人必须及时且无条件的为采购人更换合格的人员，此过程中如果产生了相关费用，其费用全部由中标人承担。</w:t>
            </w:r>
          </w:p>
          <w:p>
            <w:pPr>
              <w:ind w:firstLine="420"/>
            </w:pPr>
            <w:r>
              <w:rPr>
                <w:sz w:val="21"/>
              </w:rPr>
              <w:t>6.服务期内，采购人按月度对中标人的工作质量、履约情况、社保购买情况、工作配合度等进行综合评价，评价合格的则继续履行服务合同。如项目服务未达到要求，则采购人上报监管部门终止服务合同。</w:t>
            </w:r>
          </w:p>
          <w:p>
            <w:pPr>
              <w:ind w:firstLine="420"/>
            </w:pPr>
            <w:r>
              <w:rPr>
                <w:sz w:val="21"/>
              </w:rPr>
              <w:t>7.</w:t>
            </w:r>
            <w:r>
              <w:rPr>
                <w:sz w:val="21"/>
              </w:rPr>
              <w:t>服务人员</w:t>
            </w:r>
            <w:r>
              <w:rPr>
                <w:sz w:val="21"/>
              </w:rPr>
              <w:t>的工作由采购人进行分配、管理，对</w:t>
            </w:r>
            <w:r>
              <w:rPr>
                <w:sz w:val="21"/>
              </w:rPr>
              <w:t>服务人员</w:t>
            </w:r>
            <w:r>
              <w:rPr>
                <w:sz w:val="21"/>
              </w:rPr>
              <w:t>的奖惩、撤换或辞退等须经采购人同意认可。</w:t>
            </w:r>
          </w:p>
          <w:p>
            <w:r>
              <w:rPr>
                <w:b/>
                <w:sz w:val="21"/>
              </w:rPr>
              <w:t>(六)★违约责任（须提供承诺函并加盖投标人公章，承诺函格式自拟）</w:t>
            </w:r>
          </w:p>
          <w:p>
            <w:pPr>
              <w:ind w:firstLine="420"/>
            </w:pPr>
            <w:r>
              <w:rPr>
                <w:sz w:val="21"/>
              </w:rPr>
              <w:t>1.未经采购人同意，中标人不得将承包项目发包或转包，否则视为中标人违约，采购人有权解除服务合同。</w:t>
            </w:r>
          </w:p>
          <w:p>
            <w:pPr>
              <w:ind w:firstLine="420"/>
            </w:pPr>
            <w:r>
              <w:rPr>
                <w:sz w:val="21"/>
              </w:rPr>
              <w:t>2.在服务期间，未经采购人同意，中标人不得随意更换网格管理员。网格管理员因为调走、辞职或被中标人辞退等原因导致网格管理员不足时，需在15天内补充，中标人在15天内未能及时补齐符合项目要求的网格管理员，当月内不得超过3次，因网格管理员未能及时补充而引起采购人造成经济损失的，由中标人承担并赔偿损失。</w:t>
            </w:r>
          </w:p>
          <w:p>
            <w:pPr>
              <w:ind w:firstLine="420"/>
            </w:pPr>
            <w:r>
              <w:rPr>
                <w:sz w:val="21"/>
              </w:rPr>
              <w:t>3.由于中标人工作失误的原因造成网格管理员的经济损失的，所产生的损失及后果由中标人承担。因中标人投入本项目的专职网格管理员蓄意破坏设备设施、违反规程造成重大事故的，一经查实，则视为中标人严重违约，采购人有权终止合同。</w:t>
            </w:r>
          </w:p>
          <w:p>
            <w:pPr>
              <w:ind w:firstLine="420"/>
            </w:pPr>
            <w:r>
              <w:rPr>
                <w:sz w:val="21"/>
              </w:rPr>
              <w:t>4.若中标人在服务期内违反其服务承诺或以下情况三次或以上，则视为中标人违约，采购人有权拒绝支付当年月平均服务费，并终止合同。</w:t>
            </w:r>
          </w:p>
          <w:p>
            <w:pPr>
              <w:ind w:firstLine="420"/>
            </w:pPr>
            <w:r>
              <w:rPr>
                <w:sz w:val="21"/>
              </w:rPr>
              <w:t>5.不按时足额发放专职网格管理员工资导致网格管理员投诉；</w:t>
            </w:r>
          </w:p>
          <w:p>
            <w:pPr>
              <w:ind w:firstLine="420"/>
            </w:pPr>
            <w:r>
              <w:rPr>
                <w:sz w:val="21"/>
              </w:rPr>
              <w:t>6.网格管理员因为调走、辞职或被中标人辞退等原因导致网格管理员不足时，中标人在15天内未能及时补齐符合项目要求的网格管理员或每月缺员人次总数超过3人次；</w:t>
            </w:r>
          </w:p>
          <w:p>
            <w:pPr>
              <w:ind w:firstLine="420"/>
            </w:pPr>
            <w:r>
              <w:rPr>
                <w:sz w:val="21"/>
              </w:rPr>
              <w:t>7.没有按照采购人要求对网格管理员进行招聘和培训。</w:t>
            </w:r>
          </w:p>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东莞市大朗镇网格管理中心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 采购机构代理服务收费标准：本项目固定收取中标服务费金额为人民币贰万肆仟元整（¥24,000.00），向中标单位收取。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大朗镇专职网格员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采购包1（东莞市大朗镇专职网格员采购项目）：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采购包1（东莞市大朗镇专职网格员采购项目）：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本项目整体专门面向中小企业采购。投标人须符合本项目采购标的对应行业（本项目行业为：租赁和商务服务业）的政策划分标准。监狱企业、残疾人福利单位视同小型、微型企业。注：中小企业以供应商填写的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采购包1（东莞市大朗镇专职网格员采购项目）：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采购包1(东莞市大朗镇专职网格员采购项目):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对本项目采购需求理解程度 (10.0分)</w:t>
            </w:r>
            <w:r>
              <w:rPr/>
              <w:t>，（等次分值选择：</w:t>
            </w:r>
            <w:r>
              <w:rPr/>
              <w:t>0.0;</w:t>
            </w:r>
            <w:r>
              <w:rPr/>
              <w:t>1.0;</w:t>
            </w:r>
            <w:r>
              <w:rPr/>
              <w:t>4.0;</w:t>
            </w:r>
            <w:r>
              <w:rPr/>
              <w:t>7.0;</w:t>
            </w:r>
            <w:r>
              <w:rPr/>
              <w:t>10.0;</w:t>
            </w:r>
            <w:r>
              <w:rPr/>
              <w:t>）</w:t>
            </w:r>
          </w:p>
        </w:tc>
        <w:tc>
          <w:tcPr>
            <w:tcW w:type="dxa" w:w="5076"/>
          </w:tcPr>
          <w:p>
            <w:pPr>
              <w:jc w:val="left"/>
            </w:pPr>
            <w:r>
              <w:rPr/>
              <w:t>根据投标人对本项目采购需求的理解程度，重点难点的分析进行评审： ①对招标文件采购需求理解非常透彻；对项目重点难点的理解十分到位，提出的重点难点有利于项目实施，完全符合招标需求的得10分； ②对招标文件采购需求理解比较透彻，符合项目实际情况，对项目重点难点的理解分析比较到位，提出的重点难点利于项目实施，比较符合招标需求的得7分； ③对招标文件采购需求理解基本符合项目实际情况，对项目重点难点的理解分析基本到位，基本符合招标需求的得4分； ④对招标文件采购需求理解一般，对项目重点难点的理解分析不到位，对项目整体把握不太高，不太符合招标需求，得1分； ⑤未提供对应方案不得分。</w:t>
            </w:r>
          </w:p>
        </w:tc>
      </w:tr>
      <w:tr>
        <w:tc>
          <w:tcPr>
            <w:tcW w:type="dxa" w:w="922"/>
            <w:gridSpan w:val="2"/>
            <w:vMerge/>
          </w:tcPr>
          <w:p/>
        </w:tc>
        <w:tc>
          <w:tcPr>
            <w:tcW w:type="dxa" w:w="2307"/>
          </w:tcPr>
          <w:p>
            <w:pPr>
              <w:jc w:val="left"/>
            </w:pPr>
            <w:r>
              <w:rPr/>
              <w:t>项目总体服务方案 (10.0分)</w:t>
            </w:r>
            <w:r>
              <w:rPr/>
              <w:t>，（等次分值选择：</w:t>
            </w:r>
            <w:r>
              <w:rPr/>
              <w:t>0.0;</w:t>
            </w:r>
            <w:r>
              <w:rPr/>
              <w:t>1.0;</w:t>
            </w:r>
            <w:r>
              <w:rPr/>
              <w:t>4.0;</w:t>
            </w:r>
            <w:r>
              <w:rPr/>
              <w:t>7.0;</w:t>
            </w:r>
            <w:r>
              <w:rPr/>
              <w:t>10.0;</w:t>
            </w:r>
            <w:r>
              <w:rPr/>
              <w:t>）</w:t>
            </w:r>
          </w:p>
        </w:tc>
        <w:tc>
          <w:tcPr>
            <w:tcW w:type="dxa" w:w="5076"/>
          </w:tcPr>
          <w:p>
            <w:pPr>
              <w:jc w:val="left"/>
            </w:pPr>
            <w:r>
              <w:rPr/>
              <w:t>根据投标人提供的项目总体服务方案（包括不限于服务内容、服务流程、人员档案等）进行评审： ① 方案内容非常具体详细，服务流程非常全面、可行，对项目研究的工作思路、方法非常清晰的得10分； ② 方案内容比较具体详细，服务流程比较全面、可行，对项目研究的工作思路、方法比较清晰的得7分； ③ 方案内容基本具体详细，服务流程基本全面、可行，对项目研究的工作思路、方法基本清晰的得4分； ④ 方案内容、服务流程简单，对项目研究的工作思路、方法较差的得1分； ⑤未提供对应方案不得分。</w:t>
            </w:r>
          </w:p>
        </w:tc>
      </w:tr>
      <w:tr>
        <w:tc>
          <w:tcPr>
            <w:tcW w:type="dxa" w:w="922"/>
            <w:gridSpan w:val="2"/>
            <w:vMerge/>
          </w:tcPr>
          <w:p/>
        </w:tc>
        <w:tc>
          <w:tcPr>
            <w:tcW w:type="dxa" w:w="2307"/>
          </w:tcPr>
          <w:p>
            <w:pPr>
              <w:jc w:val="left"/>
            </w:pPr>
            <w:r>
              <w:rPr/>
              <w:t>管理方案 (10.0分)</w:t>
            </w:r>
            <w:r>
              <w:rPr/>
              <w:t>，（等次分值选择：</w:t>
            </w:r>
            <w:r>
              <w:rPr/>
              <w:t>0.0;</w:t>
            </w:r>
            <w:r>
              <w:rPr/>
              <w:t>1.0;</w:t>
            </w:r>
            <w:r>
              <w:rPr/>
              <w:t>4.0;</w:t>
            </w:r>
            <w:r>
              <w:rPr/>
              <w:t>7.0;</w:t>
            </w:r>
            <w:r>
              <w:rPr/>
              <w:t>10.0;</w:t>
            </w:r>
            <w:r>
              <w:rPr/>
              <w:t>）</w:t>
            </w:r>
          </w:p>
        </w:tc>
        <w:tc>
          <w:tcPr>
            <w:tcW w:type="dxa" w:w="5076"/>
          </w:tcPr>
          <w:p>
            <w:pPr>
              <w:jc w:val="left"/>
            </w:pPr>
            <w:r>
              <w:rPr/>
              <w:t>根据投标人所提供的管理方案(包括不限于培训、管理服务架构、管理办法、管理制度等)进行评审： ① 方案非常明确、详尽，人员培训内容非常合理，管理服务框架、管理办法、管理制度非常具体可行的得10分； ② 方案比较明确、详尽，人员培训内容比较合理，管理服务框架、管理办法、管理制度比较具体可行的得7分； ③ 方案基本明确、详尽，人员培训内容基本合理，管理服务框架、管理办法、管理制度基本具体可行的得4分； ④ 方案一般，人员培训、管理服务框架、管理办法、管理制度简单的得1分； ⑤未提供对应方案不得分。</w:t>
            </w:r>
          </w:p>
        </w:tc>
      </w:tr>
      <w:tr>
        <w:tc>
          <w:tcPr>
            <w:tcW w:type="dxa" w:w="922"/>
            <w:gridSpan w:val="2"/>
            <w:vMerge/>
          </w:tcPr>
          <w:p/>
        </w:tc>
        <w:tc>
          <w:tcPr>
            <w:tcW w:type="dxa" w:w="2307"/>
          </w:tcPr>
          <w:p>
            <w:pPr>
              <w:jc w:val="left"/>
            </w:pPr>
            <w:r>
              <w:rPr/>
              <w:t>客户服务及关系维护方案 (10.0分)</w:t>
            </w:r>
            <w:r>
              <w:rPr/>
              <w:t>，（等次分值选择：</w:t>
            </w:r>
            <w:r>
              <w:rPr/>
              <w:t>0.0;</w:t>
            </w:r>
            <w:r>
              <w:rPr/>
              <w:t>1.0;</w:t>
            </w:r>
            <w:r>
              <w:rPr/>
              <w:t>4.0;</w:t>
            </w:r>
            <w:r>
              <w:rPr/>
              <w:t>7.0;</w:t>
            </w:r>
            <w:r>
              <w:rPr/>
              <w:t>10.0;</w:t>
            </w:r>
            <w:r>
              <w:rPr/>
              <w:t>）</w:t>
            </w:r>
          </w:p>
        </w:tc>
        <w:tc>
          <w:tcPr>
            <w:tcW w:type="dxa" w:w="5076"/>
          </w:tcPr>
          <w:p>
            <w:pPr>
              <w:jc w:val="left"/>
            </w:pPr>
            <w:r>
              <w:rPr/>
              <w:t>根据投标人所提供客户服务及关系维护方案（含劳动争议处理流程及相关措施、风险防范等）进行评审： ① 客户服务及关系维护方案非常严谨合理、明确，针对性非常强，可行性、有效性非常高的得10分； ② 客户服务及关系维护方案比较合理、明确，针对性强，可行性、有效性较高的得7分； ③ 客户服务及关系维护方案基本合理、明确，针对性一般，可行性、有效性一般的得4分； ④ 客户服务及关系维护方案不太严谨合理、明确，针对性较差，可行性、有效性较低的得1分； ⑤未提供对应方案不得分。</w:t>
            </w:r>
          </w:p>
        </w:tc>
      </w:tr>
      <w:tr>
        <w:tc>
          <w:tcPr>
            <w:tcW w:type="dxa" w:w="922"/>
            <w:gridSpan w:val="2"/>
            <w:vMerge/>
          </w:tcPr>
          <w:p/>
        </w:tc>
        <w:tc>
          <w:tcPr>
            <w:tcW w:type="dxa" w:w="2307"/>
          </w:tcPr>
          <w:p>
            <w:pPr>
              <w:jc w:val="left"/>
            </w:pPr>
            <w:r>
              <w:rPr/>
              <w:t>应急预案和保障措施方案 (6.0分)</w:t>
            </w:r>
            <w:r>
              <w:rPr/>
              <w:t>，（等次分值选择：</w:t>
            </w:r>
            <w:r>
              <w:rPr/>
              <w:t>0.0;</w:t>
            </w:r>
            <w:r>
              <w:rPr/>
              <w:t>1.0;</w:t>
            </w:r>
            <w:r>
              <w:rPr/>
              <w:t>2.0;</w:t>
            </w:r>
            <w:r>
              <w:rPr/>
              <w:t>4.0;</w:t>
            </w:r>
            <w:r>
              <w:rPr/>
              <w:t>6.0;</w:t>
            </w:r>
            <w:r>
              <w:rPr/>
              <w:t>）</w:t>
            </w:r>
          </w:p>
        </w:tc>
        <w:tc>
          <w:tcPr>
            <w:tcW w:type="dxa" w:w="5076"/>
          </w:tcPr>
          <w:p>
            <w:pPr>
              <w:jc w:val="left"/>
            </w:pPr>
            <w:r>
              <w:rPr/>
              <w:t>根据投标人提供的应急预案（包括但不限于劳务纠纷、工伤事故应急预案、对投入的服务人员发生工伤的处理的及时性，后继跟进保障措施等）突发事件的处理措施和应急预案进行评审： ①方案制定非常详细、针对性强，非常科学合理且操作性非常强，处理措施和跟进保障措施完善严密，后续服务非常具有针对性和适用性的，完全满足招标文件的得6分； ②方案制定较详细、针对性较强，科学合理、操作性较强，处理措施和跟进保障措施较完善严密，满足招标文件的得4分； ③方案制定基本完善，具有一定针对性、基本合理、操作性一般，处理措施和跟进保障措施不太完善，基本满足招标文件要求的得2分； ④方案制定一般，针对性、可操作性较差，处理措施和跟进保障措施较差，不太满足招标文件要求的得1分； ⑤未提供对应方案不得分。</w:t>
            </w:r>
          </w:p>
        </w:tc>
      </w:tr>
      <w:tr>
        <w:tc>
          <w:tcPr>
            <w:tcW w:type="dxa" w:w="922"/>
            <w:gridSpan w:val="2"/>
            <w:vMerge/>
          </w:tcPr>
          <w:p/>
        </w:tc>
        <w:tc>
          <w:tcPr>
            <w:tcW w:type="dxa" w:w="2307"/>
          </w:tcPr>
          <w:p>
            <w:pPr>
              <w:jc w:val="left"/>
            </w:pPr>
            <w:r>
              <w:rPr/>
              <w:t>拟投入人员情况 (9.0分)</w:t>
            </w:r>
          </w:p>
        </w:tc>
        <w:tc>
          <w:tcPr>
            <w:tcW w:type="dxa" w:w="5076"/>
          </w:tcPr>
          <w:p>
            <w:pPr>
              <w:jc w:val="left"/>
            </w:pPr>
            <w:r>
              <w:rPr/>
              <w:t>（1）根据投标人拟投入本项目项目负责人（仅一人）进行评审： ①具有人社部颁发的人力资源管理类的中级（或以上）职称证书的得2分，本项最高得2分。 注：须提供有效证书复印件和距开标当月（不含）前六个月内任意一个月投标人为其购买的社保证明复印件加盖投标人公章，否则不得分。 （2）根据投标人拟投入本项目其他服务人员（项目负责人除外）进行评审： ①具有由人社部颁发的中级（或以上）档案馆员职称证书的得2分，具有初级档案馆员证书的得1分，本项最高得2分。 ②具有由人社部颁发的客户服务管理师证书的得1分，本项最高得1分。 ③具有由人社部颁发的企业人力资源管理师证书的，每提供一个证书得2分， 本项最高得4分。 注：①同一人员具有不同证书的按得分最高计算，不重复计分； ②以上人员须提供人员有效证书复印件和距开标当月（不含）前六个月内任意一个月投标人为其购买的社保证明复印件加盖投标人公章，否则不得分。</w:t>
            </w:r>
          </w:p>
        </w:tc>
      </w:tr>
      <w:tr>
        <w:tc>
          <w:tcPr>
            <w:tcW w:type="dxa" w:w="922"/>
            <w:gridSpan w:val="2"/>
            <w:vMerge w:val="restart"/>
          </w:tcPr>
          <w:p>
            <w:pPr>
              <w:jc w:val="center"/>
            </w:pPr>
            <w:r>
              <w:rPr/>
              <w:t>商务部分</w:t>
            </w:r>
          </w:p>
        </w:tc>
        <w:tc>
          <w:tcPr>
            <w:tcW w:type="dxa" w:w="2307"/>
          </w:tcPr>
          <w:p>
            <w:pPr>
              <w:jc w:val="left"/>
            </w:pPr>
            <w:r>
              <w:rPr/>
              <w:t>企业认证 (15.0分)</w:t>
            </w:r>
          </w:p>
        </w:tc>
        <w:tc>
          <w:tcPr>
            <w:tcW w:type="dxa" w:w="5076"/>
          </w:tcPr>
          <w:p>
            <w:pPr>
              <w:jc w:val="left"/>
            </w:pPr>
            <w:r>
              <w:rPr/>
              <w:t>投标人具有由国家认证认可监督管理部门批准设立的认证机构颁发并在有效期内的以下证书进行评审： ① 质量管理体系认证证书的得2分； ② 职业健康安全管理体系认证证书的得2分； ③ 环境管理体系认证证书的得2 分； ④ 信息安全管理体系认证证书的得2分； ⑤ 售后服务认证证书五星或以上的得3分，四星或以下的得1分； ⑥ 具有人力资源服务机构等级认证证书的得2分； ⑦ 具有社会责任管理体系认证证书的得2分。 注：须提供有效证书复印件加盖投标人公章，否则不得分。</w:t>
            </w:r>
          </w:p>
        </w:tc>
      </w:tr>
      <w:tr>
        <w:tc>
          <w:tcPr>
            <w:tcW w:type="dxa" w:w="922"/>
            <w:gridSpan w:val="2"/>
            <w:vMerge/>
          </w:tcPr>
          <w:p/>
        </w:tc>
        <w:tc>
          <w:tcPr>
            <w:tcW w:type="dxa" w:w="2307"/>
          </w:tcPr>
          <w:p>
            <w:pPr>
              <w:jc w:val="left"/>
            </w:pPr>
            <w:r>
              <w:rPr/>
              <w:t>业绩 (20.0分)</w:t>
            </w:r>
          </w:p>
        </w:tc>
        <w:tc>
          <w:tcPr>
            <w:tcW w:type="dxa" w:w="5076"/>
          </w:tcPr>
          <w:p>
            <w:pPr>
              <w:jc w:val="left"/>
            </w:pPr>
            <w:r>
              <w:rPr/>
              <w:t>根据投标人具有的人力资源服务类项目业绩进行评审，每提供一个有效业绩得1分，最高得20分。  注：须提供合同关键页复印件加盖投标人公章（关键页包括合同名称、签字及落款盖章页），未提供或提供不完整的不得分。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441900021-2023-00358</w:t>
      </w:r>
    </w:p>
    <w:p>
      <w:pPr>
        <w:jc w:val="center"/>
      </w:pPr>
      <w:r>
        <w:rPr>
          <w:b/>
          <w:sz w:val="24"/>
        </w:rPr>
        <w:t>采购项目编号：</w:t>
      </w:r>
      <w:r>
        <w:rPr>
          <w:b/>
          <w:sz w:val="24"/>
        </w:rPr>
        <w:t>441900021-2023-00358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东莞市大朗镇专职网格员采购项目</w:t>
      </w:r>
      <w:r>
        <w:rPr>
          <w:u w:val="single"/>
        </w:rPr>
        <w:t>”</w:t>
      </w:r>
      <w:r>
        <w:rPr/>
        <w:t>项目的招标[采购项目编号为：</w:t>
      </w:r>
      <w:r>
        <w:rPr>
          <w:u w:val="single"/>
        </w:rPr>
        <w:t>441900021-2023-00358</w:t>
      </w:r>
      <w:r>
        <w:rPr/>
        <w:t>]，我方愿参与投标。</w:t>
      </w:r>
    </w:p>
    <w:p>
      <w:pPr>
        <w:ind w:firstLine="480"/>
      </w:pPr>
      <w:r>
        <w:rPr/>
        <w:t>我方确认收到贵方提供的</w:t>
      </w:r>
      <w:r>
        <w:rPr>
          <w:u w:val="single"/>
        </w:rPr>
        <w:t>“</w:t>
      </w:r>
      <w:r>
        <w:rPr>
          <w:u w:val="single"/>
        </w:rPr>
        <w:t>东莞市大朗镇专职网格员采购项目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东莞市大朗镇专职网格员采购项目</w:t>
      </w:r>
      <w:r>
        <w:rPr/>
        <w:t>”项目采购[采购项目编号为</w:t>
      </w:r>
      <w:r>
        <w:rPr/>
        <w:t>441900021-2023-00358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东莞市大朗镇网格管理中心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东莞市大朗镇专职网格员采购项目</w:t>
      </w:r>
      <w:r>
        <w:rPr/>
        <w:t>招标中获中标（采购项目编号：</w:t>
      </w:r>
      <w:r>
        <w:rPr/>
        <w:t>441900021-2023-00358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东莞市大朗镇专职网格员采购项目</w:t>
      </w:r>
      <w:r>
        <w:rPr/>
        <w:t>”项目（采购项目编号：</w:t>
      </w:r>
      <w:r>
        <w:rPr/>
        <w:t>441900021-2023-00358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