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10"/>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6"/>
        <w:ind w:firstLine="240"/>
        <w:rPr>
          <w:rFonts w:ascii="黑体" w:eastAsia="黑体"/>
          <w:color w:val="auto"/>
          <w:szCs w:val="21"/>
          <w:highlight w:val="none"/>
        </w:rPr>
      </w:pPr>
    </w:p>
    <w:p>
      <w:pPr>
        <w:pStyle w:val="26"/>
        <w:ind w:left="0" w:firstLine="0" w:firstLineChars="0"/>
        <w:rPr>
          <w:rFonts w:ascii="黑体" w:eastAsia="黑体"/>
          <w:color w:val="auto"/>
          <w:szCs w:val="21"/>
          <w:highlight w:val="none"/>
        </w:rPr>
      </w:pPr>
    </w:p>
    <w:tbl>
      <w:tblPr>
        <w:tblStyle w:val="28"/>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GDZT2023129A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东莞市商业学校（莞城校区）电子班牌采购项目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东莞市商业学校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3"/>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3"/>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pPr>
        <w:pStyle w:val="23"/>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3"/>
        <w:ind w:left="0" w:leftChars="0"/>
        <w:rPr>
          <w:color w:val="auto"/>
          <w:sz w:val="40"/>
          <w:szCs w:val="40"/>
          <w:highlight w:val="none"/>
        </w:rPr>
      </w:pPr>
      <w:r>
        <w:rPr>
          <w:rFonts w:hint="eastAsia"/>
          <w:color w:val="auto"/>
          <w:sz w:val="40"/>
          <w:szCs w:val="40"/>
          <w:highlight w:val="none"/>
        </w:rPr>
        <w:t>目录</w:t>
      </w:r>
    </w:p>
    <w:p>
      <w:pPr>
        <w:pStyle w:val="23"/>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2"/>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3"/>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4"/>
        <w:jc w:val="center"/>
        <w:rPr>
          <w:rFonts w:ascii="宋体" w:hAnsi="宋体" w:cs="宋体"/>
          <w:color w:val="auto"/>
          <w:highlight w:val="none"/>
        </w:rPr>
      </w:pPr>
      <w:bookmarkStart w:id="2" w:name="_Toc8850"/>
      <w:bookmarkStart w:id="3" w:name="_Toc1420"/>
      <w:bookmarkStart w:id="4" w:name="_Toc7123"/>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东莞市商业学校</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东莞市商业学校（莞城校区）电子班牌采购项目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GDZT2023129A</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东莞市商业学校（莞城校区）电子班牌采购项目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7"/>
        <w:tblW w:w="45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623"/>
        <w:gridCol w:w="826"/>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9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7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4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078"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9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1</w:t>
            </w:r>
          </w:p>
        </w:tc>
        <w:tc>
          <w:tcPr>
            <w:tcW w:w="3073" w:type="pct"/>
            <w:noWrap/>
            <w:tcMar>
              <w:top w:w="15" w:type="dxa"/>
              <w:left w:w="15" w:type="dxa"/>
              <w:right w:w="15" w:type="dxa"/>
            </w:tcMar>
            <w:vAlign w:val="center"/>
          </w:tcPr>
          <w:p>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东莞市商业学校（莞城校区）电子班牌采购项目</w:t>
            </w:r>
          </w:p>
        </w:tc>
        <w:tc>
          <w:tcPr>
            <w:tcW w:w="54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1项</w:t>
            </w:r>
          </w:p>
        </w:tc>
        <w:tc>
          <w:tcPr>
            <w:tcW w:w="1078"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color w:val="auto"/>
                <w:szCs w:val="21"/>
                <w:highlight w:val="none"/>
                <w:lang w:val="en-US" w:eastAsia="zh-CN"/>
              </w:rPr>
              <w:t>400,000.00</w:t>
            </w:r>
            <w:r>
              <w:rPr>
                <w:rFonts w:hint="eastAsia" w:ascii="宋体" w:hAnsi="宋体"/>
                <w:color w:val="auto"/>
                <w:szCs w:val="21"/>
                <w:highlight w:val="none"/>
              </w:rPr>
              <w:t>元</w:t>
            </w:r>
          </w:p>
        </w:tc>
      </w:tr>
    </w:tbl>
    <w:p>
      <w:pPr>
        <w:pStyle w:val="10"/>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28</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7</w:t>
      </w:r>
      <w:r>
        <w:rPr>
          <w:rFonts w:hint="eastAsia" w:ascii="宋体" w:hAnsi="宋体"/>
          <w:color w:val="auto"/>
          <w:szCs w:val="21"/>
          <w:highlight w:val="none"/>
        </w:rPr>
        <w:t>月</w:t>
      </w:r>
      <w:r>
        <w:rPr>
          <w:rFonts w:hint="eastAsia" w:ascii="宋体" w:hAnsi="宋体"/>
          <w:color w:val="auto"/>
          <w:szCs w:val="21"/>
          <w:highlight w:val="none"/>
          <w:lang w:val="en-US" w:eastAsia="zh-CN"/>
        </w:rPr>
        <w:t>5</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28</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7</w:t>
      </w:r>
      <w:r>
        <w:rPr>
          <w:rFonts w:hint="eastAsia" w:ascii="宋体" w:hAnsi="宋体"/>
          <w:color w:val="auto"/>
          <w:szCs w:val="21"/>
          <w:highlight w:val="none"/>
        </w:rPr>
        <w:t>月</w:t>
      </w:r>
      <w:r>
        <w:rPr>
          <w:rFonts w:hint="eastAsia" w:ascii="宋体" w:hAnsi="宋体"/>
          <w:color w:val="auto"/>
          <w:szCs w:val="21"/>
          <w:highlight w:val="none"/>
          <w:lang w:val="en-US" w:eastAsia="zh-CN"/>
        </w:rPr>
        <w:t>5</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徐先生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bookmarkStart w:id="385" w:name="_GoBack"/>
      <w:bookmarkEnd w:id="385"/>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7</w:t>
      </w:r>
      <w:r>
        <w:rPr>
          <w:rFonts w:hint="eastAsia" w:ascii="宋体" w:hAnsi="宋体"/>
          <w:bCs/>
          <w:color w:val="auto"/>
          <w:szCs w:val="21"/>
          <w:highlight w:val="none"/>
        </w:rPr>
        <w:t>月</w:t>
      </w:r>
      <w:r>
        <w:rPr>
          <w:rFonts w:hint="eastAsia" w:ascii="宋体" w:hAnsi="宋体"/>
          <w:bCs/>
          <w:color w:val="auto"/>
          <w:szCs w:val="21"/>
          <w:highlight w:val="none"/>
          <w:lang w:val="en-US" w:eastAsia="zh-CN"/>
        </w:rPr>
        <w:t>19</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：00～</w:t>
      </w:r>
      <w:r>
        <w:rPr>
          <w:rFonts w:hint="eastAsia" w:ascii="宋体" w:hAnsi="宋体"/>
          <w:bCs/>
          <w:color w:val="auto"/>
          <w:szCs w:val="21"/>
          <w:highlight w:val="none"/>
          <w:lang w:val="en-US" w:eastAsia="zh-CN"/>
        </w:rPr>
        <w:t>9</w:t>
      </w:r>
      <w:r>
        <w:rPr>
          <w:rFonts w:hint="eastAsia" w:ascii="宋体" w:hAnsi="宋体"/>
          <w:bCs/>
          <w:color w:val="auto"/>
          <w:szCs w:val="21"/>
          <w:highlight w:val="none"/>
        </w:rPr>
        <w:t>：30。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7</w:t>
      </w:r>
      <w:r>
        <w:rPr>
          <w:rFonts w:hint="eastAsia" w:ascii="宋体" w:hAnsi="宋体"/>
          <w:bCs/>
          <w:color w:val="auto"/>
          <w:szCs w:val="21"/>
          <w:highlight w:val="none"/>
        </w:rPr>
        <w:t>月</w:t>
      </w:r>
      <w:r>
        <w:rPr>
          <w:rFonts w:hint="eastAsia" w:ascii="宋体" w:hAnsi="宋体"/>
          <w:bCs/>
          <w:color w:val="auto"/>
          <w:szCs w:val="21"/>
          <w:highlight w:val="none"/>
          <w:lang w:val="en-US" w:eastAsia="zh-CN"/>
        </w:rPr>
        <w:t>19</w:t>
      </w:r>
      <w:r>
        <w:rPr>
          <w:rFonts w:hint="eastAsia" w:ascii="宋体" w:hAnsi="宋体"/>
          <w:bCs/>
          <w:color w:val="auto"/>
          <w:szCs w:val="21"/>
          <w:highlight w:val="none"/>
        </w:rPr>
        <w:t>日下午</w:t>
      </w:r>
      <w:r>
        <w:rPr>
          <w:rFonts w:hint="eastAsia" w:ascii="宋体" w:hAnsi="宋体"/>
          <w:bCs/>
          <w:color w:val="auto"/>
          <w:szCs w:val="21"/>
          <w:highlight w:val="none"/>
          <w:lang w:val="en-US" w:eastAsia="zh-CN"/>
        </w:rPr>
        <w:t>9</w:t>
      </w:r>
      <w:r>
        <w:rPr>
          <w:rFonts w:hint="eastAsia" w:ascii="宋体" w:hAnsi="宋体"/>
          <w:bCs/>
          <w:color w:val="auto"/>
          <w:szCs w:val="21"/>
          <w:highlight w:val="none"/>
        </w:rPr>
        <w:t>时30分。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林老师</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东莞市莞城街道</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联系电话：</w:t>
      </w:r>
      <w:r>
        <w:rPr>
          <w:rFonts w:hint="eastAsia" w:ascii="宋体" w:hAnsi="宋体"/>
          <w:bCs/>
          <w:color w:val="auto"/>
          <w:szCs w:val="21"/>
          <w:highlight w:val="none"/>
          <w:lang w:val="en-US" w:eastAsia="zh-CN"/>
        </w:rPr>
        <w:t>0769-22412982</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2023年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p>
    <w:p>
      <w:pPr>
        <w:pStyle w:val="10"/>
        <w:rPr>
          <w:color w:val="auto"/>
          <w:sz w:val="21"/>
          <w:szCs w:val="21"/>
          <w:highlight w:val="none"/>
        </w:rPr>
      </w:pPr>
    </w:p>
    <w:p>
      <w:pPr>
        <w:pStyle w:val="3"/>
        <w:spacing w:before="0" w:after="0" w:line="240" w:lineRule="auto"/>
        <w:rPr>
          <w:color w:val="auto"/>
          <w:sz w:val="28"/>
          <w:szCs w:val="28"/>
          <w:highlight w:val="none"/>
        </w:rPr>
      </w:pPr>
      <w:bookmarkStart w:id="5" w:name="_Toc28550"/>
      <w:bookmarkStart w:id="6" w:name="_Toc24505"/>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7"/>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Cs/>
                <w:color w:val="auto"/>
                <w:szCs w:val="21"/>
                <w:highlight w:val="none"/>
              </w:rPr>
            </w:pPr>
            <w:r>
              <w:rPr>
                <w:rFonts w:hint="eastAsia" w:ascii="宋体" w:hAnsi="宋体"/>
                <w:bCs/>
                <w:color w:val="auto"/>
                <w:szCs w:val="21"/>
                <w:highlight w:val="none"/>
              </w:rPr>
              <w:t>所属行业：工业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1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rPr>
          <w:color w:val="auto"/>
          <w:highlight w:val="none"/>
        </w:rPr>
      </w:pPr>
    </w:p>
    <w:p>
      <w:pPr>
        <w:pStyle w:val="3"/>
        <w:spacing w:before="0" w:after="0" w:line="360" w:lineRule="auto"/>
        <w:rPr>
          <w:color w:val="auto"/>
          <w:highlight w:val="none"/>
        </w:rPr>
      </w:pPr>
      <w:bookmarkStart w:id="8" w:name="_Toc13473"/>
      <w:bookmarkStart w:id="9" w:name="_Hlk55300595"/>
      <w:bookmarkStart w:id="10" w:name="_Toc5749"/>
      <w:bookmarkStart w:id="11" w:name="_Toc9572"/>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4"/>
        <w:spacing w:line="240" w:lineRule="auto"/>
        <w:jc w:val="center"/>
        <w:rPr>
          <w:rFonts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bookmarkStart w:id="17" w:name="_Toc30638"/>
            <w:bookmarkStart w:id="18" w:name="_Toc2479"/>
            <w:bookmarkStart w:id="19" w:name="_Toc29685"/>
            <w:bookmarkStart w:id="20" w:name="_Toc14146"/>
            <w:r>
              <w:rPr>
                <w:rFonts w:hint="eastAsia" w:ascii="宋体" w:hAns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商务评审（</w:t>
            </w:r>
            <w:r>
              <w:rPr>
                <w:rFonts w:hint="eastAsia" w:asci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690" w:type="dxa"/>
            <w:tcBorders>
              <w:top w:val="single" w:color="auto" w:sz="4" w:space="0"/>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业绩</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eastAsia="宋体" w:cs="宋体"/>
                <w:bCs/>
                <w:color w:val="auto"/>
                <w:sz w:val="21"/>
                <w:szCs w:val="21"/>
                <w:highlight w:val="none"/>
                <w:lang w:val="en-US" w:eastAsia="zh-CN"/>
              </w:rPr>
              <w:t>根据</w:t>
            </w:r>
            <w:r>
              <w:rPr>
                <w:rFonts w:hint="eastAsia" w:ascii="宋体" w:hAnsi="宋体" w:eastAsia="宋体" w:cs="宋体"/>
                <w:bCs/>
                <w:color w:val="auto"/>
                <w:sz w:val="21"/>
                <w:szCs w:val="21"/>
                <w:highlight w:val="none"/>
                <w:lang w:val="zh-CN" w:eastAsia="zh-CN"/>
              </w:rPr>
              <w:t>投标人具有</w:t>
            </w:r>
            <w:r>
              <w:rPr>
                <w:rFonts w:hint="eastAsia" w:asci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lang w:val="zh-CN" w:eastAsia="zh-CN"/>
              </w:rPr>
              <w:t>系统集成</w:t>
            </w:r>
            <w:r>
              <w:rPr>
                <w:rFonts w:hint="eastAsia" w:ascii="宋体" w:eastAsia="宋体" w:cs="宋体"/>
                <w:bCs/>
                <w:color w:val="auto"/>
                <w:sz w:val="21"/>
                <w:szCs w:val="21"/>
                <w:highlight w:val="none"/>
                <w:lang w:val="en-US" w:eastAsia="zh-CN"/>
              </w:rPr>
              <w:t>类</w:t>
            </w:r>
            <w:r>
              <w:rPr>
                <w:rFonts w:hint="eastAsia" w:ascii="宋体" w:hAnsi="宋体" w:eastAsia="宋体" w:cs="宋体"/>
                <w:bCs/>
                <w:color w:val="auto"/>
                <w:sz w:val="21"/>
                <w:szCs w:val="21"/>
                <w:highlight w:val="none"/>
                <w:lang w:val="zh-CN" w:eastAsia="zh-CN"/>
              </w:rPr>
              <w:t>项目业绩</w:t>
            </w:r>
            <w:r>
              <w:rPr>
                <w:rFonts w:hint="eastAsia" w:ascii="宋体" w:eastAsia="宋体" w:cs="宋体"/>
                <w:bCs/>
                <w:color w:val="auto"/>
                <w:sz w:val="21"/>
                <w:szCs w:val="21"/>
                <w:highlight w:val="none"/>
                <w:lang w:val="en-US" w:eastAsia="zh-CN"/>
              </w:rPr>
              <w:t>进行评审</w:t>
            </w:r>
            <w:r>
              <w:rPr>
                <w:rFonts w:hint="eastAsia" w:ascii="宋体" w:hAnsi="宋体" w:eastAsia="宋体" w:cs="宋体"/>
                <w:bCs/>
                <w:color w:val="auto"/>
                <w:sz w:val="21"/>
                <w:szCs w:val="21"/>
                <w:highlight w:val="none"/>
                <w:lang w:val="zh-CN" w:eastAsia="zh-CN"/>
              </w:rPr>
              <w:t>，每</w:t>
            </w:r>
            <w:r>
              <w:rPr>
                <w:rFonts w:hint="eastAsia" w:ascii="宋体" w:eastAsia="宋体" w:cs="宋体"/>
                <w:bCs/>
                <w:color w:val="auto"/>
                <w:sz w:val="21"/>
                <w:szCs w:val="21"/>
                <w:highlight w:val="none"/>
                <w:lang w:val="en-US" w:eastAsia="zh-CN"/>
              </w:rPr>
              <w:t>提供一</w:t>
            </w:r>
            <w:r>
              <w:rPr>
                <w:rFonts w:hint="eastAsia" w:ascii="宋体" w:hAnsi="宋体" w:eastAsia="宋体" w:cs="宋体"/>
                <w:bCs/>
                <w:color w:val="auto"/>
                <w:sz w:val="21"/>
                <w:szCs w:val="21"/>
                <w:highlight w:val="none"/>
                <w:lang w:val="zh-CN" w:eastAsia="zh-CN"/>
              </w:rPr>
              <w:t>个</w:t>
            </w:r>
            <w:r>
              <w:rPr>
                <w:rFonts w:hint="eastAsia" w:ascii="宋体" w:eastAsia="宋体" w:cs="宋体"/>
                <w:bCs/>
                <w:color w:val="auto"/>
                <w:sz w:val="21"/>
                <w:szCs w:val="21"/>
                <w:highlight w:val="none"/>
                <w:lang w:val="en-US" w:eastAsia="zh-CN"/>
              </w:rPr>
              <w:t>业绩合同</w:t>
            </w:r>
            <w:r>
              <w:rPr>
                <w:rFonts w:hint="eastAsia" w:ascii="宋体" w:hAnsi="宋体" w:eastAsia="宋体" w:cs="宋体"/>
                <w:bCs/>
                <w:color w:val="auto"/>
                <w:sz w:val="21"/>
                <w:szCs w:val="21"/>
                <w:highlight w:val="none"/>
                <w:lang w:val="zh-CN" w:eastAsia="zh-CN"/>
              </w:rPr>
              <w:t>得2.5分，最高得10分。</w:t>
            </w:r>
          </w:p>
          <w:p>
            <w:pPr>
              <w:pStyle w:val="41"/>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lang w:val="zh-CN" w:eastAsia="zh-CN"/>
              </w:rPr>
              <w:t>须提供</w:t>
            </w:r>
            <w:r>
              <w:rPr>
                <w:rFonts w:hint="eastAsia" w:ascii="宋体" w:eastAsia="宋体" w:cs="宋体"/>
                <w:bCs/>
                <w:color w:val="auto"/>
                <w:sz w:val="21"/>
                <w:szCs w:val="21"/>
                <w:highlight w:val="none"/>
                <w:lang w:val="en-US" w:eastAsia="zh-CN"/>
              </w:rPr>
              <w:t>业绩</w:t>
            </w:r>
            <w:r>
              <w:rPr>
                <w:rFonts w:hint="eastAsia" w:ascii="宋体" w:hAnsi="宋体" w:eastAsia="宋体" w:cs="宋体"/>
                <w:bCs/>
                <w:color w:val="auto"/>
                <w:sz w:val="21"/>
                <w:szCs w:val="21"/>
                <w:highlight w:val="none"/>
                <w:lang w:val="zh-CN" w:eastAsia="zh-CN"/>
              </w:rPr>
              <w:t>合同复印件加盖投标人公章</w:t>
            </w:r>
            <w:r>
              <w:rPr>
                <w:rFonts w:hint="eastAsia" w:ascii="宋体" w:eastAsia="宋体" w:cs="宋体"/>
                <w:bCs/>
                <w:color w:val="auto"/>
                <w:sz w:val="21"/>
                <w:szCs w:val="21"/>
                <w:highlight w:val="none"/>
                <w:lang w:val="zh-CN" w:eastAsia="zh-CN"/>
              </w:rPr>
              <w:t>，</w:t>
            </w:r>
            <w:r>
              <w:rPr>
                <w:rFonts w:hint="eastAsia" w:ascii="宋体" w:eastAsia="宋体" w:cs="宋体"/>
                <w:bCs/>
                <w:color w:val="auto"/>
                <w:sz w:val="21"/>
                <w:szCs w:val="21"/>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技术评审（</w:t>
            </w:r>
            <w:r>
              <w:rPr>
                <w:rFonts w:hint="eastAsia" w:ascii="宋体" w:eastAsia="宋体" w:cs="宋体"/>
                <w:color w:val="auto"/>
                <w:sz w:val="21"/>
                <w:szCs w:val="21"/>
                <w:highlight w:val="none"/>
                <w:lang w:val="en-US" w:eastAsia="zh-CN"/>
              </w:rPr>
              <w:t>60</w:t>
            </w:r>
            <w:r>
              <w:rPr>
                <w:rFonts w:hint="eastAsia" w:ascii="宋体" w:hAnsi="宋体" w:eastAsia="宋体" w:cs="宋体"/>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7"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重要技术参数响应情况</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20</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根据投标人对“用户需求”中加注“▲”号的条款响应情况进行评分：全部满足或优于的得20分，出现负偏离或未响应的，每项扣2分，扣完为止。</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①用户需求有明确要求具体证明材料的按用户需求要求的证明材料为准；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eastAsia="zh-CN"/>
              </w:rPr>
              <w:t>②用户需求未明确要求具体证明材料的需在投标文件中提供所投产品彩页或制造商的公开网址链接【及参数截图】或制造商对所投设备技术参数出具的证明或技术白皮书。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07"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项目实施方案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根据投标人提供的项目实施方案（包括但不限于前期工作方案、供货计划、安装调试等方案）进行</w:t>
            </w:r>
            <w:r>
              <w:rPr>
                <w:rFonts w:hint="eastAsia" w:ascii="宋体" w:hAnsi="宋体" w:cs="宋体"/>
                <w:bCs/>
                <w:color w:val="auto"/>
                <w:sz w:val="21"/>
                <w:szCs w:val="21"/>
                <w:highlight w:val="none"/>
                <w:lang w:val="en-US" w:eastAsia="zh-CN"/>
              </w:rPr>
              <w:t>评分</w:t>
            </w:r>
            <w:r>
              <w:rPr>
                <w:rFonts w:hint="eastAsia" w:ascii="宋体" w:hAnsi="宋体" w:eastAsia="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方案详细完整，科学合理，可行性高的，得10分；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方案基本完整，具备可行性的，得6分；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en-US"/>
              </w:rPr>
            </w:pPr>
            <w:r>
              <w:rPr>
                <w:rFonts w:hint="eastAsia" w:ascii="宋体" w:hAnsi="宋体" w:eastAsia="宋体" w:cs="宋体"/>
                <w:bCs/>
                <w:color w:val="auto"/>
                <w:sz w:val="21"/>
                <w:szCs w:val="21"/>
                <w:highlight w:val="none"/>
                <w:lang w:eastAsia="en-US"/>
              </w:rPr>
              <w:t>方案缺乏合理性的，得</w:t>
            </w:r>
            <w:r>
              <w:rPr>
                <w:rFonts w:hint="eastAsia" w:ascii="宋体" w:hAnsi="宋体" w:eastAsia="宋体" w:cs="宋体"/>
                <w:bCs/>
                <w:color w:val="auto"/>
                <w:sz w:val="21"/>
                <w:szCs w:val="21"/>
                <w:highlight w:val="none"/>
                <w:lang w:eastAsia="zh-CN"/>
              </w:rPr>
              <w:t>2</w:t>
            </w:r>
            <w:r>
              <w:rPr>
                <w:rFonts w:hint="eastAsia" w:ascii="宋体" w:hAnsi="宋体" w:eastAsia="宋体" w:cs="宋体"/>
                <w:bCs/>
                <w:color w:val="auto"/>
                <w:sz w:val="21"/>
                <w:szCs w:val="21"/>
                <w:highlight w:val="none"/>
                <w:lang w:eastAsia="en-US"/>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en-US"/>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607"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技术培训方案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根据投标人提供的技术培训方案（包括但不限于培训计划、培训内容、培训方式等方案）进行评分：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方案详细完整，科学合理，可行性高的，得10分；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方案基本完整，具备可行性的，得6分；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en-US"/>
              </w:rPr>
            </w:pPr>
            <w:r>
              <w:rPr>
                <w:rFonts w:hint="eastAsia" w:ascii="宋体" w:hAnsi="宋体" w:eastAsia="宋体" w:cs="宋体"/>
                <w:bCs/>
                <w:color w:val="auto"/>
                <w:sz w:val="21"/>
                <w:szCs w:val="21"/>
                <w:highlight w:val="none"/>
                <w:lang w:eastAsia="en-US"/>
              </w:rPr>
              <w:t>方案缺乏合理性的，得</w:t>
            </w:r>
            <w:r>
              <w:rPr>
                <w:rFonts w:hint="eastAsia" w:ascii="宋体" w:hAnsi="宋体" w:eastAsia="宋体" w:cs="宋体"/>
                <w:bCs/>
                <w:color w:val="auto"/>
                <w:sz w:val="21"/>
                <w:szCs w:val="21"/>
                <w:highlight w:val="none"/>
                <w:lang w:eastAsia="zh-CN"/>
              </w:rPr>
              <w:t>2</w:t>
            </w:r>
            <w:r>
              <w:rPr>
                <w:rFonts w:hint="eastAsia" w:ascii="宋体" w:hAnsi="宋体" w:eastAsia="宋体" w:cs="宋体"/>
                <w:bCs/>
                <w:color w:val="auto"/>
                <w:sz w:val="21"/>
                <w:szCs w:val="21"/>
                <w:highlight w:val="none"/>
                <w:lang w:eastAsia="en-US"/>
              </w:rPr>
              <w:t>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eastAsia="en-US"/>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607"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售后服务方案</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根据投标人提供售后服务方案（包括但不限于服务计划安排、应急方案等）进行评分：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方案详细完整，科学合理，可行性强的，得10分；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方案基本完整，具备可行性的，得6分；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en-US"/>
              </w:rPr>
            </w:pPr>
            <w:r>
              <w:rPr>
                <w:rFonts w:hint="eastAsia" w:ascii="宋体" w:hAnsi="宋体" w:eastAsia="宋体" w:cs="宋体"/>
                <w:bCs/>
                <w:color w:val="auto"/>
                <w:sz w:val="21"/>
                <w:szCs w:val="21"/>
                <w:highlight w:val="none"/>
                <w:lang w:eastAsia="en-US"/>
              </w:rPr>
              <w:t>方案缺乏合理性的，得2分；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en-US"/>
              </w:rPr>
              <w:t>未提供方不得分。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607"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质量保证措施</w:t>
            </w:r>
          </w:p>
        </w:tc>
        <w:tc>
          <w:tcPr>
            <w:tcW w:w="762"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根据投标人提供的质量保证措施进行评分：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措施详细完整，科学合理，可行性高的，得5分；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措施基本完整，具备可行性的，得6分；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eastAsia="en-US"/>
              </w:rPr>
            </w:pPr>
            <w:r>
              <w:rPr>
                <w:rFonts w:hint="eastAsia" w:ascii="宋体" w:hAnsi="宋体" w:eastAsia="宋体" w:cs="宋体"/>
                <w:bCs/>
                <w:color w:val="auto"/>
                <w:sz w:val="21"/>
                <w:szCs w:val="21"/>
                <w:highlight w:val="none"/>
                <w:lang w:eastAsia="en-US"/>
              </w:rPr>
              <w:t>措施缺乏合理性的，得2分；</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eastAsia="en-US"/>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（1）无特殊说明外，以上评审项，同一证明文件不重复计分。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（2）投标人根据以上评分要求提供的投标材料因模糊不清导致评标委员会无法清晰辨认进行评审的，视为无效材料。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价格评审（30分）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投标报价得分=(评标基准价／投标报价)×价格权值</w:t>
            </w:r>
          </w:p>
        </w:tc>
      </w:tr>
    </w:tbl>
    <w:p>
      <w:pPr>
        <w:bidi w:val="0"/>
        <w:rPr>
          <w:rFonts w:hint="eastAsia"/>
          <w:color w:val="auto"/>
          <w:highlight w:val="none"/>
        </w:rPr>
      </w:pPr>
    </w:p>
    <w:p>
      <w:pPr>
        <w:bidi w:val="0"/>
        <w:rPr>
          <w:rFonts w:hint="eastAsia"/>
          <w:color w:val="auto"/>
          <w:highlight w:val="none"/>
        </w:rPr>
      </w:pPr>
    </w:p>
    <w:p>
      <w:pPr>
        <w:rPr>
          <w:rFonts w:hint="eastAsia"/>
          <w:color w:val="auto"/>
          <w:highlight w:val="none"/>
        </w:rPr>
      </w:pPr>
    </w:p>
    <w:p>
      <w:pPr>
        <w:bidi w:val="0"/>
        <w:rPr>
          <w:rFonts w:hint="eastAsia"/>
          <w:color w:val="auto"/>
          <w:highlight w:val="none"/>
        </w:rPr>
      </w:pPr>
    </w:p>
    <w:p>
      <w:pPr>
        <w:rPr>
          <w:rFonts w:hint="eastAsia"/>
          <w:color w:val="auto"/>
          <w:highlight w:val="none"/>
        </w:rPr>
      </w:pPr>
    </w:p>
    <w:p>
      <w:pPr>
        <w:bidi w:val="0"/>
        <w:rPr>
          <w:rFonts w:hint="eastAsia"/>
          <w:color w:val="auto"/>
          <w:highlight w:val="none"/>
        </w:rPr>
      </w:pPr>
    </w:p>
    <w:p>
      <w:pPr>
        <w:bidi w:val="0"/>
        <w:rPr>
          <w:rFonts w:hint="eastAsia"/>
          <w:color w:val="auto"/>
          <w:highlight w:val="none"/>
        </w:rPr>
      </w:pPr>
    </w:p>
    <w:p>
      <w:pPr>
        <w:rPr>
          <w:rFonts w:hint="eastAsia"/>
          <w:color w:val="auto"/>
          <w:highlight w:val="none"/>
        </w:rPr>
      </w:pPr>
    </w:p>
    <w:p>
      <w:pPr>
        <w:bidi w:val="0"/>
        <w:rPr>
          <w:rFonts w:hint="eastAsia"/>
          <w:color w:val="auto"/>
          <w:highlight w:val="none"/>
        </w:rPr>
      </w:pPr>
    </w:p>
    <w:p>
      <w:pPr>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3"/>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pPr>
        <w:pStyle w:val="4"/>
        <w:spacing w:line="480" w:lineRule="auto"/>
        <w:jc w:val="center"/>
        <w:rPr>
          <w:rFonts w:ascii="宋体" w:hAnsi="宋体"/>
          <w:color w:val="auto"/>
          <w:highlight w:val="none"/>
        </w:rPr>
      </w:pPr>
      <w:bookmarkStart w:id="21" w:name="_Toc19746"/>
      <w:bookmarkStart w:id="22" w:name="_Toc11105"/>
      <w:bookmarkStart w:id="23" w:name="_Toc3095"/>
      <w:r>
        <w:rPr>
          <w:rFonts w:hint="eastAsia" w:ascii="宋体" w:hAnsi="宋体"/>
          <w:color w:val="auto"/>
          <w:highlight w:val="none"/>
        </w:rPr>
        <w:t>第一章说明</w:t>
      </w:r>
      <w:bookmarkEnd w:id="21"/>
      <w:bookmarkEnd w:id="22"/>
      <w:bookmarkEnd w:id="23"/>
    </w:p>
    <w:p>
      <w:pPr>
        <w:pStyle w:val="5"/>
        <w:widowControl w:val="0"/>
        <w:overflowPunct w:val="0"/>
        <w:spacing w:line="240" w:lineRule="auto"/>
        <w:rPr>
          <w:rFonts w:ascii="宋体" w:hAnsi="宋体"/>
          <w:color w:val="auto"/>
          <w:sz w:val="21"/>
          <w:szCs w:val="21"/>
          <w:highlight w:val="none"/>
        </w:rPr>
      </w:pPr>
      <w:bookmarkStart w:id="24" w:name="_Toc22803"/>
      <w:bookmarkStart w:id="25" w:name="_Toc22847"/>
      <w:bookmarkStart w:id="26" w:name="_Toc18488"/>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27" w:name="_Toc21002"/>
      <w:bookmarkStart w:id="28" w:name="_Toc16848"/>
      <w:bookmarkStart w:id="29" w:name="_Toc13400"/>
      <w:r>
        <w:rPr>
          <w:rFonts w:hint="eastAsia" w:ascii="宋体" w:hAnsi="宋体"/>
          <w:color w:val="auto"/>
          <w:sz w:val="21"/>
          <w:szCs w:val="21"/>
          <w:highlight w:val="none"/>
        </w:rPr>
        <w:t>2.</w:t>
      </w:r>
      <w:bookmarkStart w:id="30" w:name="_Toc1530"/>
      <w:bookmarkStart w:id="31" w:name="_Toc303084246"/>
      <w:bookmarkStart w:id="32" w:name="_Toc298847174"/>
      <w:bookmarkStart w:id="33" w:name="_Toc382049092"/>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4" w:name="_Toc9710"/>
      <w:bookmarkStart w:id="35" w:name="_Toc2996"/>
      <w:bookmarkStart w:id="36" w:name="_Toc3780"/>
      <w:r>
        <w:rPr>
          <w:rFonts w:hint="eastAsia" w:ascii="宋体" w:hAnsi="宋体"/>
          <w:color w:val="auto"/>
          <w:sz w:val="21"/>
          <w:szCs w:val="21"/>
          <w:highlight w:val="none"/>
        </w:rPr>
        <w:t>3.货物和服务</w:t>
      </w:r>
      <w:bookmarkEnd w:id="34"/>
      <w:bookmarkEnd w:id="35"/>
      <w:bookmarkEnd w:id="36"/>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7" w:name="_Toc12536"/>
      <w:bookmarkStart w:id="38" w:name="_Toc15945"/>
      <w:bookmarkStart w:id="39" w:name="_Toc13909"/>
      <w:r>
        <w:rPr>
          <w:rFonts w:hint="eastAsia" w:ascii="宋体" w:hAnsi="宋体"/>
          <w:color w:val="auto"/>
          <w:sz w:val="21"/>
          <w:szCs w:val="21"/>
          <w:highlight w:val="none"/>
        </w:rPr>
        <w:t>4.投标费用</w:t>
      </w:r>
      <w:bookmarkEnd w:id="37"/>
      <w:bookmarkEnd w:id="38"/>
      <w:bookmarkEnd w:id="39"/>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0" w:name="_Toc19532"/>
      <w:bookmarkStart w:id="41" w:name="_Toc25040"/>
      <w:bookmarkStart w:id="42" w:name="_Toc19094"/>
      <w:r>
        <w:rPr>
          <w:rFonts w:hint="eastAsia" w:ascii="宋体" w:hAnsi="宋体"/>
          <w:color w:val="auto"/>
          <w:sz w:val="21"/>
          <w:szCs w:val="21"/>
          <w:highlight w:val="none"/>
        </w:rPr>
        <w:t>5.知识产权</w:t>
      </w:r>
      <w:bookmarkEnd w:id="40"/>
      <w:bookmarkEnd w:id="41"/>
      <w:bookmarkEnd w:id="42"/>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3" w:name="_Toc31885"/>
      <w:bookmarkStart w:id="44" w:name="_Toc8432"/>
      <w:bookmarkStart w:id="45" w:name="_Toc21930"/>
      <w:r>
        <w:rPr>
          <w:rFonts w:hint="eastAsia" w:ascii="宋体" w:hAnsi="宋体"/>
          <w:color w:val="auto"/>
          <w:sz w:val="21"/>
          <w:szCs w:val="21"/>
          <w:highlight w:val="none"/>
        </w:rPr>
        <w:t>6.关于联合体投标</w:t>
      </w:r>
      <w:bookmarkEnd w:id="43"/>
      <w:bookmarkEnd w:id="44"/>
      <w:bookmarkEnd w:id="45"/>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6" w:name="_Toc32331"/>
      <w:bookmarkStart w:id="47" w:name="_Toc16571"/>
      <w:bookmarkStart w:id="48" w:name="_Toc13811"/>
      <w:bookmarkStart w:id="49" w:name="_Toc17879"/>
      <w:r>
        <w:rPr>
          <w:rFonts w:hint="eastAsia" w:ascii="宋体" w:hAnsi="宋体"/>
          <w:color w:val="auto"/>
          <w:sz w:val="21"/>
          <w:szCs w:val="21"/>
          <w:highlight w:val="none"/>
        </w:rPr>
        <w:t>7.关于分支机构投标</w:t>
      </w:r>
      <w:bookmarkEnd w:id="46"/>
      <w:bookmarkEnd w:id="47"/>
      <w:bookmarkEnd w:id="48"/>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spacing w:line="480" w:lineRule="auto"/>
        <w:jc w:val="center"/>
        <w:rPr>
          <w:rFonts w:ascii="宋体" w:hAnsi="宋体"/>
          <w:color w:val="auto"/>
          <w:highlight w:val="none"/>
        </w:rPr>
      </w:pPr>
      <w:bookmarkStart w:id="51" w:name="_Toc18115"/>
      <w:bookmarkStart w:id="52" w:name="_Toc27045"/>
      <w:r>
        <w:rPr>
          <w:rFonts w:hint="eastAsia" w:ascii="宋体" w:hAnsi="宋体"/>
          <w:color w:val="auto"/>
          <w:highlight w:val="none"/>
        </w:rPr>
        <w:t>第二章招标文件</w:t>
      </w:r>
      <w:bookmarkEnd w:id="49"/>
      <w:bookmarkEnd w:id="51"/>
      <w:bookmarkEnd w:id="52"/>
    </w:p>
    <w:p>
      <w:pPr>
        <w:pStyle w:val="5"/>
        <w:widowControl w:val="0"/>
        <w:overflowPunct w:val="0"/>
        <w:spacing w:line="240" w:lineRule="auto"/>
        <w:rPr>
          <w:rFonts w:ascii="宋体" w:hAnsi="宋体"/>
          <w:color w:val="auto"/>
          <w:sz w:val="21"/>
          <w:szCs w:val="21"/>
          <w:highlight w:val="none"/>
        </w:rPr>
      </w:pPr>
      <w:bookmarkStart w:id="53" w:name="_Toc1423"/>
      <w:bookmarkStart w:id="54" w:name="_Toc13494"/>
      <w:bookmarkStart w:id="55" w:name="_Toc21771"/>
      <w:r>
        <w:rPr>
          <w:rFonts w:hint="eastAsia" w:ascii="宋体" w:hAnsi="宋体"/>
          <w:color w:val="auto"/>
          <w:sz w:val="21"/>
          <w:szCs w:val="21"/>
          <w:highlight w:val="none"/>
        </w:rPr>
        <w:t>8.招标文件的组成</w:t>
      </w:r>
      <w:bookmarkEnd w:id="53"/>
      <w:bookmarkEnd w:id="54"/>
      <w:bookmarkEnd w:id="55"/>
    </w:p>
    <w:p>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5"/>
        <w:widowControl w:val="0"/>
        <w:overflowPunct w:val="0"/>
        <w:rPr>
          <w:rFonts w:ascii="宋体" w:hAnsi="宋体"/>
          <w:color w:val="auto"/>
          <w:sz w:val="21"/>
          <w:szCs w:val="21"/>
          <w:highlight w:val="none"/>
        </w:rPr>
      </w:pPr>
      <w:bookmarkStart w:id="56" w:name="_Toc17274"/>
      <w:bookmarkStart w:id="57" w:name="_Toc7997"/>
      <w:bookmarkStart w:id="58" w:name="_Toc14217"/>
      <w:r>
        <w:rPr>
          <w:rFonts w:hint="eastAsia" w:ascii="宋体" w:hAnsi="宋体"/>
          <w:color w:val="auto"/>
          <w:sz w:val="21"/>
          <w:szCs w:val="21"/>
          <w:highlight w:val="none"/>
        </w:rPr>
        <w:t>9.招标文件的澄清或修改</w:t>
      </w:r>
      <w:bookmarkEnd w:id="56"/>
      <w:bookmarkEnd w:id="57"/>
      <w:bookmarkEnd w:id="58"/>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4"/>
        <w:spacing w:line="480" w:lineRule="auto"/>
        <w:jc w:val="center"/>
        <w:rPr>
          <w:rFonts w:ascii="宋体" w:hAnsi="宋体"/>
          <w:color w:val="auto"/>
          <w:highlight w:val="none"/>
        </w:rPr>
      </w:pPr>
      <w:bookmarkStart w:id="59" w:name="_Toc23726"/>
      <w:bookmarkStart w:id="60" w:name="_Toc16712"/>
      <w:bookmarkStart w:id="61" w:name="_Toc4773"/>
      <w:r>
        <w:rPr>
          <w:rFonts w:hint="eastAsia" w:ascii="宋体" w:hAnsi="宋体"/>
          <w:color w:val="auto"/>
          <w:highlight w:val="none"/>
        </w:rPr>
        <w:t>第三章投标文件的编制</w:t>
      </w:r>
      <w:bookmarkEnd w:id="59"/>
      <w:bookmarkEnd w:id="60"/>
      <w:bookmarkEnd w:id="61"/>
    </w:p>
    <w:p>
      <w:pPr>
        <w:pStyle w:val="5"/>
        <w:widowControl w:val="0"/>
        <w:overflowPunct w:val="0"/>
        <w:rPr>
          <w:rFonts w:ascii="宋体" w:hAnsi="宋体"/>
          <w:color w:val="auto"/>
          <w:sz w:val="21"/>
          <w:szCs w:val="21"/>
          <w:highlight w:val="none"/>
        </w:rPr>
      </w:pPr>
      <w:bookmarkStart w:id="62" w:name="_Toc7434"/>
      <w:bookmarkStart w:id="63" w:name="_Toc28092"/>
      <w:bookmarkStart w:id="64" w:name="_Toc20623"/>
      <w:r>
        <w:rPr>
          <w:rFonts w:hint="eastAsia" w:ascii="宋体" w:hAnsi="宋体"/>
          <w:color w:val="auto"/>
          <w:sz w:val="21"/>
          <w:szCs w:val="21"/>
          <w:highlight w:val="none"/>
        </w:rPr>
        <w:t>10.投标文件的语言及度量衡单位</w:t>
      </w:r>
      <w:bookmarkEnd w:id="62"/>
      <w:bookmarkEnd w:id="63"/>
      <w:bookmarkEnd w:id="64"/>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65" w:name="_Toc28866"/>
      <w:bookmarkStart w:id="66" w:name="_Toc7728"/>
      <w:bookmarkStart w:id="67" w:name="_Toc303084256"/>
      <w:bookmarkStart w:id="68" w:name="_Toc382049103"/>
      <w:bookmarkStart w:id="69" w:name="_Toc12145"/>
      <w:bookmarkStart w:id="70" w:name="_Toc307934854"/>
      <w:bookmarkStart w:id="71" w:name="_Toc18999"/>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5"/>
        <w:widowControl w:val="0"/>
        <w:overflowPunct w:val="0"/>
        <w:rPr>
          <w:rFonts w:ascii="宋体" w:hAnsi="宋体"/>
          <w:color w:val="auto"/>
          <w:sz w:val="21"/>
          <w:szCs w:val="21"/>
          <w:highlight w:val="none"/>
        </w:rPr>
      </w:pPr>
      <w:bookmarkStart w:id="72" w:name="_Toc30189"/>
      <w:bookmarkStart w:id="73" w:name="_Toc21747"/>
      <w:bookmarkStart w:id="74" w:name="_Toc3882"/>
      <w:r>
        <w:rPr>
          <w:rFonts w:hint="eastAsia" w:ascii="宋体" w:hAnsi="宋体"/>
          <w:color w:val="auto"/>
          <w:sz w:val="21"/>
          <w:szCs w:val="21"/>
          <w:highlight w:val="none"/>
        </w:rPr>
        <w:t>12.投标文件编制</w:t>
      </w:r>
      <w:bookmarkEnd w:id="72"/>
      <w:bookmarkEnd w:id="73"/>
      <w:bookmarkEnd w:id="74"/>
    </w:p>
    <w:p>
      <w:pPr>
        <w:pStyle w:val="38"/>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5"/>
        <w:widowControl w:val="0"/>
        <w:overflowPunct w:val="0"/>
        <w:rPr>
          <w:rFonts w:ascii="宋体" w:hAnsi="宋体"/>
          <w:color w:val="auto"/>
          <w:sz w:val="21"/>
          <w:szCs w:val="21"/>
          <w:highlight w:val="none"/>
        </w:rPr>
      </w:pPr>
      <w:bookmarkStart w:id="76" w:name="_Toc7847"/>
      <w:bookmarkStart w:id="77" w:name="_Toc17188"/>
      <w:bookmarkStart w:id="78" w:name="_Toc259"/>
      <w:r>
        <w:rPr>
          <w:rFonts w:hint="eastAsia" w:ascii="宋体" w:hAnsi="宋体"/>
          <w:color w:val="auto"/>
          <w:sz w:val="21"/>
          <w:szCs w:val="21"/>
          <w:highlight w:val="none"/>
        </w:rPr>
        <w:t>13.投标报价说明</w:t>
      </w:r>
      <w:bookmarkEnd w:id="76"/>
      <w:bookmarkEnd w:id="77"/>
      <w:bookmarkEnd w:id="78"/>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5"/>
        <w:widowControl w:val="0"/>
        <w:overflowPunct w:val="0"/>
        <w:rPr>
          <w:rFonts w:ascii="宋体" w:hAnsi="宋体"/>
          <w:color w:val="auto"/>
          <w:sz w:val="21"/>
          <w:szCs w:val="21"/>
          <w:highlight w:val="none"/>
        </w:rPr>
      </w:pPr>
      <w:bookmarkStart w:id="79" w:name="_Toc16535"/>
      <w:bookmarkStart w:id="80" w:name="_Toc18911"/>
      <w:bookmarkStart w:id="81" w:name="_Toc27724"/>
      <w:r>
        <w:rPr>
          <w:rFonts w:hint="eastAsia" w:ascii="宋体" w:hAnsi="宋体"/>
          <w:color w:val="auto"/>
          <w:sz w:val="21"/>
          <w:szCs w:val="21"/>
          <w:highlight w:val="none"/>
        </w:rPr>
        <w:t>14.投标人所提供的服务或货物的证明文件</w:t>
      </w:r>
      <w:bookmarkEnd w:id="79"/>
      <w:bookmarkEnd w:id="80"/>
      <w:bookmarkEnd w:id="81"/>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8"/>
        <w:widowControl w:val="0"/>
        <w:adjustRightInd/>
        <w:snapToGrid/>
        <w:ind w:left="425" w:firstLine="0" w:firstLineChars="0"/>
        <w:jc w:val="both"/>
        <w:rPr>
          <w:color w:val="auto"/>
          <w:highlight w:val="none"/>
        </w:rPr>
      </w:pPr>
    </w:p>
    <w:p>
      <w:pPr>
        <w:pStyle w:val="5"/>
        <w:widowControl w:val="0"/>
        <w:overflowPunct w:val="0"/>
        <w:rPr>
          <w:rFonts w:ascii="宋体" w:hAnsi="宋体"/>
          <w:color w:val="auto"/>
          <w:sz w:val="21"/>
          <w:szCs w:val="21"/>
          <w:highlight w:val="none"/>
        </w:rPr>
      </w:pPr>
      <w:bookmarkStart w:id="84" w:name="_Toc30815"/>
      <w:bookmarkStart w:id="85" w:name="_Toc22169"/>
      <w:bookmarkStart w:id="86" w:name="_Toc19520"/>
      <w:r>
        <w:rPr>
          <w:rFonts w:hint="eastAsia" w:ascii="宋体" w:hAnsi="宋体"/>
          <w:color w:val="auto"/>
          <w:sz w:val="21"/>
          <w:szCs w:val="21"/>
          <w:highlight w:val="none"/>
        </w:rPr>
        <w:t>15.★投标有效期</w:t>
      </w:r>
      <w:bookmarkEnd w:id="84"/>
      <w:bookmarkEnd w:id="85"/>
      <w:bookmarkEnd w:id="86"/>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87" w:name="_Toc12456"/>
      <w:bookmarkStart w:id="88" w:name="_Toc25817"/>
      <w:bookmarkStart w:id="89" w:name="_Toc30257"/>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pPr>
        <w:pStyle w:val="38"/>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4"/>
        <w:spacing w:line="480" w:lineRule="auto"/>
        <w:jc w:val="center"/>
        <w:rPr>
          <w:rFonts w:ascii="宋体" w:hAnsi="宋体"/>
          <w:color w:val="auto"/>
          <w:highlight w:val="none"/>
        </w:rPr>
      </w:pPr>
      <w:bookmarkStart w:id="91" w:name="_Toc24109"/>
      <w:bookmarkStart w:id="92" w:name="_Toc31124"/>
      <w:bookmarkStart w:id="93" w:name="_Toc3200"/>
      <w:r>
        <w:rPr>
          <w:rFonts w:hint="eastAsia" w:ascii="宋体" w:hAnsi="宋体"/>
          <w:color w:val="auto"/>
          <w:highlight w:val="none"/>
        </w:rPr>
        <w:t>第四章投标文件的递交</w:t>
      </w:r>
      <w:bookmarkEnd w:id="91"/>
      <w:bookmarkEnd w:id="92"/>
      <w:bookmarkEnd w:id="93"/>
    </w:p>
    <w:p>
      <w:pPr>
        <w:pStyle w:val="5"/>
        <w:widowControl w:val="0"/>
        <w:overflowPunct w:val="0"/>
        <w:rPr>
          <w:rFonts w:ascii="宋体" w:hAnsi="宋体"/>
          <w:color w:val="auto"/>
          <w:sz w:val="21"/>
          <w:szCs w:val="21"/>
          <w:highlight w:val="none"/>
        </w:rPr>
      </w:pPr>
      <w:bookmarkStart w:id="94" w:name="_Toc29590"/>
      <w:bookmarkStart w:id="95" w:name="_Toc24997"/>
      <w:bookmarkStart w:id="96" w:name="_Toc473"/>
      <w:bookmarkStart w:id="97" w:name="_Toc382049111"/>
      <w:bookmarkStart w:id="98" w:name="_Toc23678"/>
      <w:bookmarkStart w:id="99" w:name="_Toc303084264"/>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00" w:name="_Toc7473"/>
      <w:bookmarkStart w:id="101" w:name="_Toc8628"/>
      <w:bookmarkStart w:id="102" w:name="_Toc17417"/>
      <w:r>
        <w:rPr>
          <w:rFonts w:hint="eastAsia" w:ascii="宋体" w:hAnsi="宋体"/>
          <w:color w:val="auto"/>
          <w:sz w:val="21"/>
          <w:szCs w:val="21"/>
          <w:highlight w:val="none"/>
        </w:rPr>
        <w:t>18.迟交的投标文件</w:t>
      </w:r>
      <w:bookmarkEnd w:id="100"/>
      <w:bookmarkEnd w:id="101"/>
      <w:bookmarkEnd w:id="102"/>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5"/>
        <w:widowControl w:val="0"/>
        <w:overflowPunct w:val="0"/>
        <w:rPr>
          <w:rFonts w:ascii="宋体" w:hAnsi="宋体"/>
          <w:color w:val="auto"/>
          <w:sz w:val="21"/>
          <w:szCs w:val="21"/>
          <w:highlight w:val="none"/>
        </w:rPr>
      </w:pPr>
      <w:bookmarkStart w:id="103" w:name="_Toc19649"/>
      <w:bookmarkStart w:id="104" w:name="_Toc13212"/>
      <w:bookmarkStart w:id="105" w:name="_Toc8526"/>
      <w:r>
        <w:rPr>
          <w:rFonts w:hint="eastAsia" w:ascii="宋体" w:hAnsi="宋体"/>
          <w:color w:val="auto"/>
          <w:sz w:val="21"/>
          <w:szCs w:val="21"/>
          <w:highlight w:val="none"/>
        </w:rPr>
        <w:t>19.投标样品（如需提交）</w:t>
      </w:r>
      <w:bookmarkEnd w:id="103"/>
      <w:bookmarkEnd w:id="104"/>
      <w:bookmarkEnd w:id="105"/>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5"/>
        <w:widowControl w:val="0"/>
        <w:overflowPunct w:val="0"/>
        <w:rPr>
          <w:rFonts w:ascii="宋体" w:hAnsi="宋体"/>
          <w:color w:val="auto"/>
          <w:sz w:val="21"/>
          <w:szCs w:val="21"/>
          <w:highlight w:val="none"/>
        </w:rPr>
      </w:pPr>
      <w:bookmarkStart w:id="106" w:name="_Toc23477"/>
      <w:bookmarkStart w:id="107" w:name="_Toc303084265"/>
      <w:bookmarkStart w:id="108" w:name="_Toc7689"/>
      <w:bookmarkStart w:id="109" w:name="_Toc9777"/>
      <w:bookmarkStart w:id="110" w:name="_Toc5900"/>
      <w:bookmarkStart w:id="111" w:name="_Toc382049112"/>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5"/>
        <w:widowControl w:val="0"/>
        <w:overflowPunct w:val="0"/>
        <w:rPr>
          <w:rFonts w:ascii="宋体" w:hAnsi="宋体"/>
          <w:color w:val="auto"/>
          <w:sz w:val="21"/>
          <w:szCs w:val="21"/>
          <w:highlight w:val="none"/>
        </w:rPr>
      </w:pPr>
      <w:bookmarkStart w:id="112" w:name="_Toc15569"/>
      <w:bookmarkStart w:id="113" w:name="_Toc6003"/>
      <w:bookmarkStart w:id="114" w:name="_Toc11133"/>
      <w:r>
        <w:rPr>
          <w:rFonts w:hint="eastAsia" w:ascii="宋体" w:hAnsi="宋体"/>
          <w:color w:val="auto"/>
          <w:sz w:val="21"/>
          <w:szCs w:val="21"/>
          <w:highlight w:val="none"/>
        </w:rPr>
        <w:t>21.投标文件的补充、修改与撤回</w:t>
      </w:r>
      <w:bookmarkEnd w:id="112"/>
      <w:bookmarkEnd w:id="113"/>
      <w:bookmarkEnd w:id="114"/>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10"/>
        <w:rPr>
          <w:color w:val="auto"/>
          <w:highlight w:val="none"/>
        </w:rPr>
      </w:pPr>
    </w:p>
    <w:p>
      <w:pPr>
        <w:pStyle w:val="4"/>
        <w:spacing w:line="480" w:lineRule="auto"/>
        <w:jc w:val="center"/>
        <w:rPr>
          <w:rFonts w:ascii="宋体" w:hAnsi="宋体"/>
          <w:color w:val="auto"/>
          <w:highlight w:val="none"/>
        </w:rPr>
      </w:pPr>
      <w:bookmarkStart w:id="115" w:name="_Toc23466"/>
      <w:bookmarkStart w:id="116" w:name="_Toc29574"/>
      <w:bookmarkStart w:id="117" w:name="_Toc5049"/>
      <w:r>
        <w:rPr>
          <w:rFonts w:hint="eastAsia" w:ascii="宋体" w:hAnsi="宋体"/>
          <w:color w:val="auto"/>
          <w:highlight w:val="none"/>
        </w:rPr>
        <w:t>第五章开标与评标</w:t>
      </w:r>
      <w:bookmarkEnd w:id="115"/>
      <w:bookmarkEnd w:id="116"/>
      <w:bookmarkEnd w:id="117"/>
    </w:p>
    <w:p>
      <w:pPr>
        <w:pStyle w:val="5"/>
        <w:widowControl w:val="0"/>
        <w:overflowPunct w:val="0"/>
        <w:rPr>
          <w:rFonts w:ascii="宋体" w:hAnsi="宋体"/>
          <w:color w:val="auto"/>
          <w:sz w:val="21"/>
          <w:szCs w:val="21"/>
          <w:highlight w:val="none"/>
        </w:rPr>
      </w:pPr>
      <w:bookmarkStart w:id="118" w:name="_Toc28458"/>
      <w:bookmarkStart w:id="119" w:name="_Toc27700"/>
      <w:bookmarkStart w:id="120" w:name="_Toc24251"/>
      <w:r>
        <w:rPr>
          <w:rFonts w:hint="eastAsia" w:ascii="宋体" w:hAnsi="宋体"/>
          <w:color w:val="auto"/>
          <w:sz w:val="21"/>
          <w:szCs w:val="21"/>
          <w:highlight w:val="none"/>
        </w:rPr>
        <w:t>22.开标</w:t>
      </w:r>
      <w:bookmarkEnd w:id="118"/>
      <w:bookmarkEnd w:id="119"/>
      <w:bookmarkEnd w:id="120"/>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121" w:name="_Toc4921"/>
      <w:bookmarkStart w:id="122" w:name="_Toc5974"/>
      <w:bookmarkStart w:id="123" w:name="_Toc5524"/>
      <w:r>
        <w:rPr>
          <w:rFonts w:hint="eastAsia" w:ascii="宋体" w:hAnsi="宋体"/>
          <w:color w:val="auto"/>
          <w:sz w:val="21"/>
          <w:szCs w:val="21"/>
          <w:highlight w:val="none"/>
        </w:rPr>
        <w:t>23.评标委员会及评标方法</w:t>
      </w:r>
      <w:bookmarkEnd w:id="121"/>
      <w:bookmarkEnd w:id="122"/>
      <w:bookmarkEnd w:id="123"/>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24" w:name="_Toc26402"/>
      <w:bookmarkStart w:id="125" w:name="_Toc15231"/>
      <w:bookmarkStart w:id="126" w:name="_Toc32730"/>
      <w:r>
        <w:rPr>
          <w:rFonts w:hint="eastAsia" w:ascii="宋体" w:hAnsi="宋体"/>
          <w:color w:val="auto"/>
          <w:sz w:val="21"/>
          <w:szCs w:val="21"/>
          <w:highlight w:val="none"/>
        </w:rPr>
        <w:t>24.评审原则及评标过程的保密</w:t>
      </w:r>
      <w:bookmarkEnd w:id="124"/>
      <w:bookmarkEnd w:id="125"/>
      <w:bookmarkEnd w:id="126"/>
    </w:p>
    <w:p>
      <w:pPr>
        <w:pStyle w:val="38"/>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5"/>
        <w:widowControl w:val="0"/>
        <w:overflowPunct w:val="0"/>
        <w:rPr>
          <w:rFonts w:ascii="宋体" w:hAnsi="宋体"/>
          <w:color w:val="auto"/>
          <w:sz w:val="21"/>
          <w:szCs w:val="21"/>
          <w:highlight w:val="none"/>
        </w:rPr>
      </w:pPr>
      <w:bookmarkStart w:id="127" w:name="_Toc18436"/>
      <w:bookmarkStart w:id="128" w:name="_Toc16745"/>
      <w:bookmarkStart w:id="129" w:name="_Toc3762"/>
      <w:r>
        <w:rPr>
          <w:rFonts w:hint="eastAsia" w:ascii="宋体" w:hAnsi="宋体"/>
          <w:color w:val="auto"/>
          <w:sz w:val="21"/>
          <w:szCs w:val="21"/>
          <w:highlight w:val="none"/>
        </w:rPr>
        <w:t>25.投标文件的初审</w:t>
      </w:r>
      <w:bookmarkEnd w:id="127"/>
      <w:bookmarkEnd w:id="128"/>
      <w:bookmarkEnd w:id="129"/>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5"/>
        <w:widowControl w:val="0"/>
        <w:overflowPunct w:val="0"/>
        <w:rPr>
          <w:rFonts w:ascii="宋体" w:hAnsi="宋体"/>
          <w:color w:val="auto"/>
          <w:sz w:val="21"/>
          <w:szCs w:val="21"/>
          <w:highlight w:val="none"/>
        </w:rPr>
      </w:pPr>
      <w:bookmarkStart w:id="130" w:name="_Toc21742"/>
      <w:bookmarkStart w:id="131" w:name="_Toc29184"/>
      <w:bookmarkStart w:id="132" w:name="_Toc27673"/>
      <w:r>
        <w:rPr>
          <w:rFonts w:hint="eastAsia" w:ascii="宋体" w:hAnsi="宋体"/>
          <w:color w:val="auto"/>
          <w:sz w:val="21"/>
          <w:szCs w:val="21"/>
          <w:highlight w:val="none"/>
        </w:rPr>
        <w:t>26.商务、技术、价格评审（具体评审项目详见投标资料表）</w:t>
      </w:r>
      <w:bookmarkEnd w:id="130"/>
      <w:bookmarkEnd w:id="131"/>
      <w:bookmarkEnd w:id="132"/>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3" w:name="_Toc22192"/>
      <w:bookmarkStart w:id="134" w:name="_Toc7593"/>
      <w:bookmarkStart w:id="135" w:name="_Toc17683"/>
      <w:r>
        <w:rPr>
          <w:rFonts w:hint="eastAsia" w:ascii="宋体" w:hAnsi="宋体"/>
          <w:color w:val="auto"/>
          <w:sz w:val="21"/>
          <w:szCs w:val="21"/>
          <w:highlight w:val="none"/>
        </w:rPr>
        <w:t>27.优惠政策</w:t>
      </w:r>
      <w:bookmarkEnd w:id="133"/>
      <w:bookmarkEnd w:id="134"/>
      <w:bookmarkEnd w:id="135"/>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6" w:name="_Toc316375620"/>
      <w:bookmarkStart w:id="137" w:name="_Toc382049120"/>
      <w:bookmarkStart w:id="138" w:name="_Toc22591"/>
      <w:bookmarkStart w:id="139" w:name="_Toc20328"/>
      <w:bookmarkStart w:id="140" w:name="_Toc31141"/>
      <w:bookmarkStart w:id="141" w:name="_Toc12115"/>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spacing w:line="480" w:lineRule="auto"/>
        <w:jc w:val="center"/>
        <w:rPr>
          <w:rFonts w:ascii="宋体" w:hAnsi="宋体"/>
          <w:color w:val="auto"/>
          <w:highlight w:val="none"/>
        </w:rPr>
      </w:pPr>
      <w:bookmarkStart w:id="142" w:name="_Toc5528"/>
      <w:bookmarkStart w:id="143" w:name="_Toc29310"/>
      <w:bookmarkStart w:id="144" w:name="_Toc12251"/>
      <w:r>
        <w:rPr>
          <w:rFonts w:hint="eastAsia" w:ascii="宋体" w:hAnsi="宋体"/>
          <w:color w:val="auto"/>
          <w:highlight w:val="none"/>
        </w:rPr>
        <w:t>第六章授予合同</w:t>
      </w:r>
      <w:bookmarkEnd w:id="142"/>
      <w:bookmarkEnd w:id="143"/>
      <w:bookmarkEnd w:id="144"/>
    </w:p>
    <w:p>
      <w:pPr>
        <w:pStyle w:val="5"/>
        <w:widowControl w:val="0"/>
        <w:overflowPunct w:val="0"/>
        <w:rPr>
          <w:rFonts w:ascii="宋体" w:hAnsi="宋体"/>
          <w:color w:val="auto"/>
          <w:sz w:val="21"/>
          <w:szCs w:val="21"/>
          <w:highlight w:val="none"/>
        </w:rPr>
      </w:pPr>
      <w:bookmarkStart w:id="145" w:name="_Toc508284011"/>
      <w:bookmarkStart w:id="146" w:name="_Toc17778"/>
      <w:bookmarkStart w:id="147" w:name="_Toc6696"/>
      <w:bookmarkStart w:id="148" w:name="_Toc27817"/>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5"/>
        <w:widowControl w:val="0"/>
        <w:overflowPunct w:val="0"/>
        <w:rPr>
          <w:rFonts w:ascii="宋体" w:hAnsi="宋体"/>
          <w:color w:val="auto"/>
          <w:sz w:val="21"/>
          <w:szCs w:val="21"/>
          <w:highlight w:val="none"/>
        </w:rPr>
      </w:pPr>
      <w:bookmarkStart w:id="149" w:name="_Toc29283"/>
      <w:bookmarkStart w:id="150" w:name="_Toc23136"/>
      <w:bookmarkStart w:id="151" w:name="_Toc12440"/>
      <w:bookmarkStart w:id="152" w:name="_Toc508284013"/>
      <w:r>
        <w:rPr>
          <w:rFonts w:hint="eastAsia" w:ascii="宋体" w:hAnsi="宋体"/>
          <w:color w:val="auto"/>
          <w:sz w:val="21"/>
          <w:szCs w:val="21"/>
          <w:highlight w:val="none"/>
        </w:rPr>
        <w:t>30.发布采购结果</w:t>
      </w:r>
      <w:bookmarkEnd w:id="149"/>
      <w:bookmarkEnd w:id="150"/>
      <w:bookmarkEnd w:id="151"/>
      <w:bookmarkEnd w:id="152"/>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5"/>
        <w:widowControl w:val="0"/>
        <w:overflowPunct w:val="0"/>
        <w:rPr>
          <w:rFonts w:ascii="宋体" w:hAnsi="宋体"/>
          <w:color w:val="auto"/>
          <w:sz w:val="21"/>
          <w:szCs w:val="21"/>
          <w:highlight w:val="none"/>
        </w:rPr>
      </w:pPr>
      <w:bookmarkStart w:id="153" w:name="_Toc22262"/>
      <w:bookmarkStart w:id="154" w:name="_Toc22451"/>
      <w:bookmarkStart w:id="155" w:name="_Toc27279"/>
      <w:r>
        <w:rPr>
          <w:rFonts w:hint="eastAsia" w:ascii="宋体" w:hAnsi="宋体"/>
          <w:color w:val="auto"/>
          <w:sz w:val="21"/>
          <w:szCs w:val="21"/>
          <w:highlight w:val="none"/>
        </w:rPr>
        <w:t>31.合同的签订与履行</w:t>
      </w:r>
      <w:bookmarkEnd w:id="153"/>
      <w:bookmarkEnd w:id="154"/>
      <w:bookmarkEnd w:id="155"/>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5"/>
        <w:widowControl w:val="0"/>
        <w:overflowPunct w:val="0"/>
        <w:rPr>
          <w:rFonts w:ascii="宋体" w:hAnsi="宋体"/>
          <w:color w:val="auto"/>
          <w:sz w:val="21"/>
          <w:szCs w:val="21"/>
          <w:highlight w:val="none"/>
        </w:rPr>
      </w:pPr>
      <w:bookmarkStart w:id="156" w:name="_Toc382049124"/>
      <w:bookmarkStart w:id="157" w:name="_Toc2744"/>
      <w:bookmarkStart w:id="158" w:name="_Toc7405"/>
      <w:bookmarkStart w:id="159" w:name="_Toc29009"/>
      <w:bookmarkStart w:id="160" w:name="_Toc25756"/>
      <w:bookmarkStart w:id="161" w:name="_Toc303084277"/>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spacing w:line="480" w:lineRule="auto"/>
        <w:jc w:val="center"/>
        <w:rPr>
          <w:rFonts w:ascii="宋体" w:hAnsi="宋体"/>
          <w:color w:val="auto"/>
          <w:highlight w:val="none"/>
        </w:rPr>
      </w:pPr>
      <w:bookmarkStart w:id="162" w:name="_Toc13694"/>
      <w:bookmarkStart w:id="163" w:name="_Toc20699"/>
      <w:bookmarkStart w:id="164" w:name="_Toc7360"/>
      <w:r>
        <w:rPr>
          <w:rFonts w:hint="eastAsia" w:ascii="宋体" w:hAnsi="宋体"/>
          <w:color w:val="auto"/>
          <w:highlight w:val="none"/>
        </w:rPr>
        <w:t>第七章询问或质疑</w:t>
      </w:r>
      <w:bookmarkEnd w:id="162"/>
      <w:bookmarkEnd w:id="163"/>
      <w:bookmarkEnd w:id="164"/>
    </w:p>
    <w:p>
      <w:pPr>
        <w:pStyle w:val="5"/>
        <w:widowControl w:val="0"/>
        <w:overflowPunct w:val="0"/>
        <w:rPr>
          <w:rFonts w:ascii="宋体" w:hAnsi="宋体"/>
          <w:color w:val="auto"/>
          <w:sz w:val="21"/>
          <w:szCs w:val="21"/>
          <w:highlight w:val="none"/>
        </w:rPr>
      </w:pPr>
      <w:bookmarkStart w:id="165" w:name="_Toc22900"/>
      <w:bookmarkStart w:id="166" w:name="_Toc17974"/>
      <w:bookmarkStart w:id="167" w:name="_Toc25498"/>
      <w:r>
        <w:rPr>
          <w:rFonts w:hint="eastAsia" w:ascii="宋体" w:hAnsi="宋体"/>
          <w:color w:val="auto"/>
          <w:sz w:val="21"/>
          <w:szCs w:val="21"/>
          <w:highlight w:val="none"/>
        </w:rPr>
        <w:t>33.询问</w:t>
      </w:r>
      <w:bookmarkEnd w:id="165"/>
      <w:bookmarkEnd w:id="166"/>
      <w:bookmarkEnd w:id="167"/>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68" w:name="_Toc11264"/>
      <w:bookmarkStart w:id="169" w:name="_Toc2767"/>
      <w:bookmarkStart w:id="170" w:name="_Toc8234"/>
      <w:r>
        <w:rPr>
          <w:rFonts w:hint="eastAsia" w:ascii="宋体" w:hAnsi="宋体"/>
          <w:color w:val="auto"/>
          <w:sz w:val="21"/>
          <w:szCs w:val="21"/>
          <w:highlight w:val="none"/>
        </w:rPr>
        <w:t>34.质疑</w:t>
      </w:r>
      <w:bookmarkEnd w:id="168"/>
      <w:bookmarkEnd w:id="169"/>
      <w:bookmarkEnd w:id="170"/>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4"/>
        <w:spacing w:line="480" w:lineRule="auto"/>
        <w:jc w:val="center"/>
        <w:rPr>
          <w:rFonts w:ascii="宋体" w:hAnsi="宋体"/>
          <w:color w:val="auto"/>
          <w:highlight w:val="none"/>
        </w:rPr>
      </w:pPr>
      <w:bookmarkStart w:id="171" w:name="_Toc24383"/>
      <w:bookmarkStart w:id="172" w:name="_Toc5690"/>
      <w:bookmarkStart w:id="173" w:name="_Toc8919"/>
      <w:r>
        <w:rPr>
          <w:rFonts w:hint="eastAsia" w:ascii="宋体" w:hAnsi="宋体"/>
          <w:color w:val="auto"/>
          <w:highlight w:val="none"/>
        </w:rPr>
        <w:t>第八章其他</w:t>
      </w:r>
      <w:bookmarkEnd w:id="171"/>
      <w:bookmarkEnd w:id="172"/>
      <w:bookmarkEnd w:id="173"/>
    </w:p>
    <w:p>
      <w:pPr>
        <w:pStyle w:val="5"/>
        <w:widowControl w:val="0"/>
        <w:overflowPunct w:val="0"/>
        <w:rPr>
          <w:rFonts w:ascii="宋体" w:hAnsi="宋体"/>
          <w:color w:val="auto"/>
          <w:sz w:val="21"/>
          <w:szCs w:val="21"/>
          <w:highlight w:val="none"/>
        </w:rPr>
      </w:pPr>
      <w:bookmarkStart w:id="174" w:name="_Toc10082"/>
      <w:bookmarkStart w:id="175" w:name="_Toc6548"/>
      <w:bookmarkStart w:id="176" w:name="_Toc21187"/>
      <w:r>
        <w:rPr>
          <w:rFonts w:hint="eastAsia" w:ascii="宋体" w:hAnsi="宋体"/>
          <w:color w:val="auto"/>
          <w:sz w:val="21"/>
          <w:szCs w:val="21"/>
          <w:highlight w:val="none"/>
        </w:rPr>
        <w:t>35.招标文件的解释权</w:t>
      </w:r>
      <w:bookmarkEnd w:id="174"/>
      <w:bookmarkEnd w:id="175"/>
      <w:bookmarkEnd w:id="176"/>
    </w:p>
    <w:p>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3"/>
        <w:spacing w:before="0" w:after="0" w:line="240" w:lineRule="auto"/>
        <w:rPr>
          <w:color w:val="auto"/>
          <w:sz w:val="28"/>
          <w:szCs w:val="28"/>
          <w:highlight w:val="none"/>
        </w:rPr>
      </w:pPr>
      <w:bookmarkStart w:id="177" w:name="_Toc382"/>
      <w:bookmarkStart w:id="178" w:name="_Toc7011"/>
      <w:bookmarkStart w:id="179" w:name="_Toc31854"/>
      <w:r>
        <w:rPr>
          <w:rFonts w:hint="eastAsia"/>
          <w:color w:val="auto"/>
          <w:sz w:val="28"/>
          <w:szCs w:val="28"/>
          <w:highlight w:val="none"/>
        </w:rPr>
        <w:t>第五部分 用户需求书</w:t>
      </w:r>
      <w:bookmarkEnd w:id="177"/>
      <w:bookmarkEnd w:id="178"/>
      <w:bookmarkEnd w:id="179"/>
    </w:p>
    <w:p>
      <w:pPr>
        <w:pStyle w:val="4"/>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7"/>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8"/>
              <w:keepNext w:val="0"/>
              <w:keepLines w:val="0"/>
              <w:pageBreakBefore w:val="0"/>
              <w:widowControl/>
              <w:kinsoku/>
              <w:wordWrap/>
              <w:overflowPunct/>
              <w:topLinePunct w:val="0"/>
              <w:autoSpaceDE/>
              <w:autoSpaceDN/>
              <w:bidi w:val="0"/>
              <w:adjustRightInd w:val="0"/>
              <w:snapToGrid w:val="0"/>
              <w:spacing w:after="0" w:line="360" w:lineRule="auto"/>
              <w:ind w:left="21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供货</w:t>
            </w:r>
            <w:r>
              <w:rPr>
                <w:rFonts w:hint="eastAsia" w:ascii="宋体" w:hAnsi="宋体" w:eastAsia="宋体" w:cs="宋体"/>
                <w:color w:val="auto"/>
                <w:sz w:val="21"/>
                <w:szCs w:val="21"/>
                <w:highlight w:val="none"/>
              </w:rPr>
              <w:t>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44"/>
                <w:sz w:val="21"/>
                <w:szCs w:val="21"/>
                <w:highlight w:val="none"/>
              </w:rPr>
              <w:t>自合同签订之日起</w:t>
            </w:r>
            <w:r>
              <w:rPr>
                <w:rFonts w:hint="eastAsia" w:ascii="宋体" w:hAnsi="宋体" w:cs="宋体"/>
                <w:bCs/>
                <w:color w:val="auto"/>
                <w:kern w:val="44"/>
                <w:sz w:val="21"/>
                <w:szCs w:val="21"/>
                <w:highlight w:val="none"/>
                <w:lang w:val="en-US" w:eastAsia="zh-CN"/>
              </w:rPr>
              <w:t>30</w:t>
            </w:r>
            <w:r>
              <w:rPr>
                <w:rFonts w:hint="eastAsia" w:ascii="宋体" w:hAnsi="宋体" w:eastAsia="宋体" w:cs="宋体"/>
                <w:bCs/>
                <w:color w:val="auto"/>
                <w:kern w:val="44"/>
                <w:sz w:val="21"/>
                <w:szCs w:val="21"/>
                <w:highlight w:val="none"/>
              </w:rPr>
              <w:t>天</w:t>
            </w:r>
            <w:r>
              <w:rPr>
                <w:rFonts w:hint="eastAsia" w:ascii="宋体" w:hAnsi="宋体" w:eastAsia="宋体" w:cs="宋体"/>
                <w:bCs/>
                <w:color w:val="auto"/>
                <w:kern w:val="44"/>
                <w:sz w:val="21"/>
                <w:szCs w:val="21"/>
                <w:highlight w:val="none"/>
                <w:lang w:val="en-US" w:eastAsia="zh-CN"/>
              </w:rPr>
              <w:t>内完成供货、安装、调试及验收</w:t>
            </w:r>
            <w:r>
              <w:rPr>
                <w:rFonts w:hint="eastAsia" w:ascii="宋体" w:hAnsi="宋体" w:eastAsia="宋体" w:cs="宋体"/>
                <w:bCs/>
                <w:color w:val="auto"/>
                <w:kern w:val="44"/>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3"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质保期</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一</w:t>
            </w:r>
            <w:r>
              <w:rPr>
                <w:rFonts w:hint="eastAsia" w:ascii="宋体" w:hAnsi="宋体" w:eastAsia="宋体" w:cs="宋体"/>
                <w:color w:val="auto"/>
                <w:sz w:val="21"/>
                <w:szCs w:val="21"/>
                <w:highlight w:val="none"/>
                <w:lang w:val="en-US" w:eastAsia="zh-CN"/>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8"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（1）签订合同后,支付合同总价的</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）供货安装及调试结束，提交全部报告材料,并验收合格后,支付合同总价的</w:t>
            </w:r>
            <w:r>
              <w:rPr>
                <w:rFonts w:hint="eastAsia" w:ascii="宋体" w:hAnsi="宋体" w:cs="宋体"/>
                <w:color w:val="auto"/>
                <w:sz w:val="21"/>
                <w:szCs w:val="21"/>
                <w:highlight w:val="none"/>
                <w:lang w:val="en-US" w:eastAsia="zh-CN"/>
              </w:rPr>
              <w:t>70</w:t>
            </w:r>
            <w:r>
              <w:rPr>
                <w:rFonts w:hint="eastAsia" w:ascii="宋体" w:hAnsi="宋体" w:eastAsia="宋体" w:cs="宋体"/>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rPr>
          <w:color w:val="auto"/>
          <w:highlight w:val="none"/>
        </w:rPr>
      </w:pPr>
    </w:p>
    <w:p>
      <w:pPr>
        <w:pStyle w:val="10"/>
        <w:rPr>
          <w:color w:val="auto"/>
          <w:highlight w:val="none"/>
          <w:lang w:val="en-US"/>
        </w:rPr>
      </w:pPr>
    </w:p>
    <w:p>
      <w:pPr>
        <w:pStyle w:val="26"/>
        <w:ind w:left="0" w:leftChars="0" w:firstLine="0" w:firstLineChars="0"/>
        <w:rPr>
          <w:color w:val="auto"/>
          <w:highlight w:val="none"/>
          <w:lang w:val="en-US"/>
        </w:rPr>
      </w:pPr>
    </w:p>
    <w:p>
      <w:pPr>
        <w:pStyle w:val="26"/>
        <w:ind w:left="0" w:leftChars="0" w:firstLine="0" w:firstLineChars="0"/>
        <w:rPr>
          <w:color w:val="auto"/>
          <w:highlight w:val="none"/>
          <w:lang w:val="en-US"/>
        </w:rPr>
      </w:pPr>
    </w:p>
    <w:p>
      <w:pPr>
        <w:pStyle w:val="26"/>
        <w:ind w:left="0" w:leftChars="0" w:firstLine="0" w:firstLineChars="0"/>
        <w:rPr>
          <w:color w:val="auto"/>
          <w:highlight w:val="none"/>
          <w:lang w:val="en-US"/>
        </w:rPr>
      </w:pPr>
    </w:p>
    <w:p>
      <w:pPr>
        <w:pStyle w:val="26"/>
        <w:ind w:left="0" w:leftChars="0" w:firstLine="0" w:firstLineChars="0"/>
        <w:rPr>
          <w:color w:val="auto"/>
          <w:highlight w:val="none"/>
          <w:lang w:val="en-US"/>
        </w:rPr>
      </w:pPr>
    </w:p>
    <w:p>
      <w:pPr>
        <w:pStyle w:val="26"/>
        <w:ind w:left="0" w:leftChars="0" w:firstLine="0" w:firstLineChars="0"/>
        <w:rPr>
          <w:color w:val="auto"/>
          <w:highlight w:val="none"/>
          <w:lang w:val="en-US"/>
        </w:rPr>
      </w:pPr>
    </w:p>
    <w:p>
      <w:pPr>
        <w:pStyle w:val="26"/>
        <w:ind w:left="0" w:leftChars="0" w:firstLine="0" w:firstLineChars="0"/>
        <w:rPr>
          <w:color w:val="auto"/>
          <w:highlight w:val="none"/>
          <w:lang w:val="en-US"/>
        </w:rPr>
      </w:pPr>
    </w:p>
    <w:p>
      <w:pPr>
        <w:pStyle w:val="4"/>
        <w:numPr>
          <w:ilvl w:val="0"/>
          <w:numId w:val="9"/>
        </w:numPr>
        <w:jc w:val="center"/>
        <w:rPr>
          <w:rFonts w:ascii="宋体" w:hAnsi="宋体"/>
          <w:color w:val="auto"/>
          <w:highlight w:val="none"/>
        </w:rPr>
      </w:pPr>
      <w:bookmarkStart w:id="181" w:name="_Toc19316"/>
      <w:r>
        <w:rPr>
          <w:rFonts w:hint="eastAsia" w:ascii="宋体" w:hAnsi="宋体"/>
          <w:color w:val="auto"/>
          <w:highlight w:val="none"/>
        </w:rPr>
        <w:t>技术需求书</w:t>
      </w:r>
      <w:bookmarkEnd w:id="181"/>
    </w:p>
    <w:p>
      <w:pPr>
        <w:pStyle w:val="5"/>
        <w:bidi w:val="0"/>
        <w:rPr>
          <w:rFonts w:hint="eastAsia" w:eastAsia="宋体"/>
          <w:color w:val="auto"/>
          <w:highlight w:val="none"/>
          <w:lang w:val="en-US" w:eastAsia="zh-CN"/>
        </w:rPr>
      </w:pPr>
      <w:bookmarkStart w:id="182" w:name="_Toc14462"/>
      <w:bookmarkStart w:id="183" w:name="_Toc31278"/>
      <w:bookmarkStart w:id="184" w:name="_Toc13112"/>
      <w:bookmarkStart w:id="185" w:name="_Toc24679"/>
      <w:r>
        <w:rPr>
          <w:rFonts w:hint="eastAsia" w:eastAsia="宋体"/>
          <w:color w:val="auto"/>
          <w:highlight w:val="none"/>
          <w:lang w:val="en-US" w:eastAsia="zh-CN"/>
        </w:rPr>
        <w:t>一、项目基本要求</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1、投标人须提供厂商原装、全新的、符合用户提出的有关质量标准的设备、货物。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2、所有货物在开箱检验时必须完好，无破损，配置与装箱单相符。货物外观清洁，标记编号以及盘面显示等字体清晰明确。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3、对于影响货物正常工作的必要组成部分，无论在技术规范中指出与否，投标人都应提供并在投标文件中明确列出。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4、投标人须保证产品符合相关验收标准，并通过验收后，再移交采购人。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5、投标人所投设备应符合中华人民共和国有关规范和安全要求。</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6</w:t>
      </w:r>
      <w:r>
        <w:rPr>
          <w:rFonts w:hint="eastAsia"/>
          <w:color w:val="auto"/>
          <w:sz w:val="21"/>
          <w:szCs w:val="21"/>
          <w:highlight w:val="none"/>
          <w:lang w:val="en-US"/>
        </w:rPr>
        <w:t xml:space="preserve">、投标须负责投标货物的运输、验收、试运行和售后服务、培训等。 </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7</w:t>
      </w:r>
      <w:r>
        <w:rPr>
          <w:rFonts w:hint="eastAsia"/>
          <w:color w:val="auto"/>
          <w:sz w:val="21"/>
          <w:szCs w:val="21"/>
          <w:highlight w:val="none"/>
          <w:lang w:val="en-US"/>
        </w:rPr>
        <w:t>、本项目产品技术参数及功能要求仅供投标人参考，涉及具体品牌、型号、产地的产品，仅作为项目质量水平与配置的参考，在不低于此基准的前提下，投标人可以选用同档次或更优的同类产品替代。</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8</w:t>
      </w:r>
      <w:r>
        <w:rPr>
          <w:rFonts w:hint="eastAsia"/>
          <w:color w:val="auto"/>
          <w:sz w:val="21"/>
          <w:szCs w:val="21"/>
          <w:highlight w:val="none"/>
          <w:lang w:val="en-US"/>
        </w:rPr>
        <w:t>、本项目为一个整体，投标人必须对本项目整体进行投标，不能只对其中一部分货物进行投标，且要提供详细的技术资料。</w:t>
      </w:r>
    </w:p>
    <w:p>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9</w:t>
      </w:r>
      <w:r>
        <w:rPr>
          <w:rFonts w:hint="eastAsia"/>
          <w:color w:val="auto"/>
          <w:sz w:val="21"/>
          <w:szCs w:val="21"/>
          <w:highlight w:val="none"/>
          <w:lang w:val="en-US"/>
        </w:rPr>
        <w:t>、投标人提供的产品必须符合招标文件要求的技术参数及功能要求。</w:t>
      </w:r>
    </w:p>
    <w:p>
      <w:pPr>
        <w:rPr>
          <w:color w:val="auto"/>
          <w:highlight w:val="none"/>
          <w:lang w:val="en-US"/>
        </w:rPr>
      </w:pPr>
    </w:p>
    <w:p>
      <w:pPr>
        <w:pStyle w:val="5"/>
        <w:keepNext/>
        <w:keepLines/>
        <w:pageBreakBefore w:val="0"/>
        <w:widowControl/>
        <w:kinsoku/>
        <w:wordWrap/>
        <w:overflowPunct/>
        <w:topLinePunct w:val="0"/>
        <w:autoSpaceDE/>
        <w:autoSpaceDN/>
        <w:bidi w:val="0"/>
        <w:adjustRightInd w:val="0"/>
        <w:snapToGrid w:val="0"/>
        <w:textAlignment w:val="auto"/>
        <w:rPr>
          <w:rFonts w:hint="eastAsia" w:eastAsia="宋体"/>
          <w:color w:val="auto"/>
          <w:highlight w:val="none"/>
          <w:lang w:val="en-US" w:eastAsia="zh-CN"/>
        </w:rPr>
      </w:pPr>
      <w:r>
        <w:rPr>
          <w:rFonts w:hint="eastAsia"/>
          <w:color w:val="auto"/>
          <w:highlight w:val="none"/>
          <w:lang w:val="en-US" w:eastAsia="zh-CN"/>
        </w:rPr>
        <w:t>二</w:t>
      </w:r>
      <w:r>
        <w:rPr>
          <w:rFonts w:hint="eastAsia" w:eastAsia="宋体"/>
          <w:color w:val="auto"/>
          <w:highlight w:val="none"/>
          <w:lang w:val="en-US" w:eastAsia="zh-CN"/>
        </w:rPr>
        <w:t>、项目清单</w:t>
      </w:r>
    </w:p>
    <w:tbl>
      <w:tblPr>
        <w:tblStyle w:val="27"/>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480"/>
        <w:gridCol w:w="4680"/>
        <w:gridCol w:w="82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auto" w:fill="auto"/>
            <w:noWrap/>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1480" w:type="dxa"/>
            <w:shd w:val="clear" w:color="auto" w:fill="auto"/>
            <w:noWrap/>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名称</w:t>
            </w:r>
          </w:p>
        </w:tc>
        <w:tc>
          <w:tcPr>
            <w:tcW w:w="4680" w:type="dxa"/>
            <w:shd w:val="clear" w:color="auto" w:fill="auto"/>
            <w:noWrap/>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主要参数</w:t>
            </w:r>
          </w:p>
        </w:tc>
        <w:tc>
          <w:tcPr>
            <w:tcW w:w="820" w:type="dxa"/>
            <w:shd w:val="clear" w:color="auto" w:fill="auto"/>
            <w:noWrap/>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数量</w:t>
            </w:r>
          </w:p>
        </w:tc>
        <w:tc>
          <w:tcPr>
            <w:tcW w:w="840" w:type="dxa"/>
            <w:shd w:val="clear" w:color="auto" w:fill="auto"/>
            <w:noWrap/>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8500" w:type="dxa"/>
            <w:gridSpan w:val="5"/>
            <w:shd w:val="clear" w:color="000000" w:fill="D9D9D9"/>
            <w:vAlign w:val="center"/>
          </w:tcPr>
          <w:p>
            <w:pPr>
              <w:widowControl/>
              <w:jc w:val="left"/>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一.系统管理平台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80" w:type="dxa"/>
            <w:shd w:val="clear" w:color="auto" w:fill="auto"/>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480" w:type="dxa"/>
            <w:shd w:val="clear" w:color="auto" w:fill="auto"/>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云班牌软件</w:t>
            </w:r>
          </w:p>
        </w:tc>
        <w:tc>
          <w:tcPr>
            <w:tcW w:w="4680" w:type="dxa"/>
            <w:shd w:val="clear" w:color="auto" w:fill="auto"/>
          </w:tcPr>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1、公告发布支持家长提交回执设置，打开需要家长回执开关后，公众号会实时通知家长公告消息，老师可以在小程序实时查看家长提交回执明细。</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2、支持发布校级重要公告，新增公告内容同步在全校班牌置顶展示。</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3、▲系统内置超过20套公告模板（如：家长会通知、寒暑假通知等），可供用户发布公告时套用。(</w:t>
            </w:r>
            <w:r>
              <w:rPr>
                <w:rFonts w:hint="eastAsia" w:ascii="宋体" w:hAnsi="宋体" w:eastAsia="宋体" w:cs="宋体"/>
                <w:color w:val="auto"/>
                <w:kern w:val="0"/>
                <w:sz w:val="21"/>
                <w:szCs w:val="21"/>
                <w:highlight w:val="none"/>
                <w:lang w:val="en-US" w:eastAsia="zh-CN"/>
              </w:rPr>
              <w:t>须</w:t>
            </w:r>
            <w:r>
              <w:rPr>
                <w:rFonts w:hint="eastAsia" w:ascii="宋体" w:hAnsi="宋体" w:eastAsia="宋体" w:cs="宋体"/>
                <w:color w:val="auto"/>
                <w:kern w:val="0"/>
                <w:sz w:val="21"/>
                <w:szCs w:val="21"/>
                <w:highlight w:val="none"/>
              </w:rPr>
              <w:t>提供</w:t>
            </w:r>
            <w:r>
              <w:rPr>
                <w:rFonts w:hint="eastAsia" w:ascii="宋体" w:hAnsi="宋体" w:eastAsia="宋体" w:cs="宋体"/>
                <w:color w:val="auto"/>
                <w:kern w:val="0"/>
                <w:sz w:val="21"/>
                <w:szCs w:val="21"/>
                <w:highlight w:val="none"/>
                <w:lang w:val="en-US" w:eastAsia="zh-CN"/>
              </w:rPr>
              <w:t>第三方</w:t>
            </w:r>
            <w:r>
              <w:rPr>
                <w:rFonts w:hint="eastAsia" w:ascii="宋体" w:hAnsi="宋体" w:eastAsia="宋体" w:cs="宋体"/>
                <w:color w:val="auto"/>
                <w:kern w:val="0"/>
                <w:sz w:val="21"/>
                <w:szCs w:val="21"/>
                <w:highlight w:val="none"/>
              </w:rPr>
              <w:t>检测机构出具的检测报告复印件并加盖</w:t>
            </w:r>
            <w:r>
              <w:rPr>
                <w:rFonts w:hint="eastAsia" w:ascii="宋体" w:hAnsi="宋体" w:eastAsia="宋体" w:cs="宋体"/>
                <w:color w:val="auto"/>
                <w:kern w:val="0"/>
                <w:sz w:val="21"/>
                <w:szCs w:val="21"/>
                <w:highlight w:val="none"/>
                <w:lang w:val="en-US" w:eastAsia="zh-CN"/>
              </w:rPr>
              <w:t>投标人</w:t>
            </w:r>
            <w:r>
              <w:rPr>
                <w:rFonts w:hint="eastAsia" w:ascii="宋体" w:hAnsi="宋体" w:eastAsia="宋体" w:cs="宋体"/>
                <w:color w:val="auto"/>
                <w:kern w:val="0"/>
                <w:sz w:val="21"/>
                <w:szCs w:val="21"/>
                <w:highlight w:val="none"/>
              </w:rPr>
              <w:t>公章)</w:t>
            </w:r>
          </w:p>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4、▲班牌投票：支持老师在手机端发布投票到班牌，然后学生可以在班牌端通过刷脸或刷卡进行投票表决。(</w:t>
            </w:r>
            <w:r>
              <w:rPr>
                <w:rFonts w:hint="eastAsia" w:ascii="宋体" w:hAnsi="宋体" w:eastAsia="宋体" w:cs="宋体"/>
                <w:color w:val="auto"/>
                <w:kern w:val="0"/>
                <w:sz w:val="21"/>
                <w:szCs w:val="21"/>
                <w:highlight w:val="none"/>
                <w:lang w:val="en-US" w:eastAsia="zh-CN"/>
              </w:rPr>
              <w:t>须</w:t>
            </w:r>
            <w:r>
              <w:rPr>
                <w:rFonts w:hint="eastAsia" w:ascii="宋体" w:hAnsi="宋体" w:eastAsia="宋体" w:cs="宋体"/>
                <w:color w:val="auto"/>
                <w:kern w:val="0"/>
                <w:sz w:val="21"/>
                <w:szCs w:val="21"/>
                <w:highlight w:val="none"/>
              </w:rPr>
              <w:t>提供</w:t>
            </w:r>
            <w:r>
              <w:rPr>
                <w:rFonts w:hint="eastAsia" w:ascii="宋体" w:hAnsi="宋体" w:eastAsia="宋体" w:cs="宋体"/>
                <w:color w:val="auto"/>
                <w:kern w:val="0"/>
                <w:sz w:val="21"/>
                <w:szCs w:val="21"/>
                <w:highlight w:val="none"/>
                <w:lang w:val="en-US" w:eastAsia="zh-CN"/>
              </w:rPr>
              <w:t>第三方</w:t>
            </w:r>
            <w:r>
              <w:rPr>
                <w:rFonts w:hint="eastAsia" w:ascii="宋体" w:hAnsi="宋体" w:eastAsia="宋体" w:cs="宋体"/>
                <w:color w:val="auto"/>
                <w:kern w:val="0"/>
                <w:sz w:val="21"/>
                <w:szCs w:val="21"/>
                <w:highlight w:val="none"/>
              </w:rPr>
              <w:t>检测机构出具的检测报告复印件并加盖</w:t>
            </w:r>
            <w:r>
              <w:rPr>
                <w:rFonts w:hint="eastAsia" w:ascii="宋体" w:hAnsi="宋体" w:eastAsia="宋体" w:cs="宋体"/>
                <w:color w:val="auto"/>
                <w:kern w:val="0"/>
                <w:sz w:val="21"/>
                <w:szCs w:val="21"/>
                <w:highlight w:val="none"/>
                <w:lang w:val="en-US" w:eastAsia="zh-CN"/>
              </w:rPr>
              <w:t>投标人</w:t>
            </w:r>
            <w:r>
              <w:rPr>
                <w:rFonts w:hint="eastAsia" w:ascii="宋体" w:hAnsi="宋体" w:eastAsia="宋体" w:cs="宋体"/>
                <w:color w:val="auto"/>
                <w:kern w:val="0"/>
                <w:sz w:val="21"/>
                <w:szCs w:val="21"/>
                <w:highlight w:val="none"/>
              </w:rPr>
              <w:t>公章)</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5、班牌端录入人脸识别照片：老师在班牌端扫码后，即可进入人脸照片录入界面，可依次让学生直接在班牌上拍照上传人脸识别照片。</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6、系统提供学生个人空间，学生可在个人空间中查询与自己个人相关的信息，也可与家长进行留言互动。</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7、▲支持学生在全校任意班牌通过刷卡或者人脸识别登录学生个人空间。(</w:t>
            </w:r>
            <w:r>
              <w:rPr>
                <w:rFonts w:hint="eastAsia" w:ascii="宋体" w:hAnsi="宋体" w:eastAsia="宋体" w:cs="宋体"/>
                <w:color w:val="auto"/>
                <w:kern w:val="0"/>
                <w:sz w:val="21"/>
                <w:szCs w:val="21"/>
                <w:highlight w:val="none"/>
                <w:lang w:val="en-US" w:eastAsia="zh-CN"/>
              </w:rPr>
              <w:t>须</w:t>
            </w:r>
            <w:r>
              <w:rPr>
                <w:rFonts w:hint="eastAsia" w:ascii="宋体" w:hAnsi="宋体" w:eastAsia="宋体" w:cs="宋体"/>
                <w:color w:val="auto"/>
                <w:kern w:val="0"/>
                <w:sz w:val="21"/>
                <w:szCs w:val="21"/>
                <w:highlight w:val="none"/>
              </w:rPr>
              <w:t>提供</w:t>
            </w:r>
            <w:r>
              <w:rPr>
                <w:rFonts w:hint="eastAsia" w:ascii="宋体" w:hAnsi="宋体" w:eastAsia="宋体" w:cs="宋体"/>
                <w:color w:val="auto"/>
                <w:kern w:val="0"/>
                <w:sz w:val="21"/>
                <w:szCs w:val="21"/>
                <w:highlight w:val="none"/>
                <w:lang w:val="en-US" w:eastAsia="zh-CN"/>
              </w:rPr>
              <w:t>第三方</w:t>
            </w:r>
            <w:r>
              <w:rPr>
                <w:rFonts w:hint="eastAsia" w:ascii="宋体" w:hAnsi="宋体" w:eastAsia="宋体" w:cs="宋体"/>
                <w:color w:val="auto"/>
                <w:kern w:val="0"/>
                <w:sz w:val="21"/>
                <w:szCs w:val="21"/>
                <w:highlight w:val="none"/>
              </w:rPr>
              <w:t>检测机构出具的检测报告复印件并加盖</w:t>
            </w:r>
            <w:r>
              <w:rPr>
                <w:rFonts w:hint="eastAsia" w:ascii="宋体" w:hAnsi="宋体" w:eastAsia="宋体" w:cs="宋体"/>
                <w:color w:val="auto"/>
                <w:kern w:val="0"/>
                <w:sz w:val="21"/>
                <w:szCs w:val="21"/>
                <w:highlight w:val="none"/>
                <w:lang w:val="en-US" w:eastAsia="zh-CN"/>
              </w:rPr>
              <w:t>投标人</w:t>
            </w:r>
            <w:r>
              <w:rPr>
                <w:rFonts w:hint="eastAsia" w:ascii="宋体" w:hAnsi="宋体" w:eastAsia="宋体" w:cs="宋体"/>
                <w:color w:val="auto"/>
                <w:kern w:val="0"/>
                <w:sz w:val="21"/>
                <w:szCs w:val="21"/>
                <w:highlight w:val="none"/>
              </w:rPr>
              <w:t>公章)</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8、支持学生在个人空间查看每日课程表，包含上课时间、场地、任课老师等信息。</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9、支持学生在个人空间查看个人每日考勤记录。</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10、学生在班牌刷卡登录个人中心后，可以主动向家长发起语音留言，留言后家长可收到提醒。</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11、支持在学生个人空间内嵌入第三方应用，以满足学校多样化的业务查询需求。</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12、▲家长发送留言后，学生所在班级的班牌会显示该学生有新信息提醒，学生刷卡或人脸识别验证后方可查看信息，保护学生隐私。</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13、▲一个学生最多可以绑定4个家长，学生的考勤信息、在校动态、亲情留言均支持和多位家长对应。(</w:t>
            </w:r>
            <w:r>
              <w:rPr>
                <w:rFonts w:hint="eastAsia" w:ascii="宋体" w:hAnsi="宋体" w:eastAsia="宋体" w:cs="宋体"/>
                <w:color w:val="auto"/>
                <w:kern w:val="0"/>
                <w:sz w:val="21"/>
                <w:szCs w:val="21"/>
                <w:highlight w:val="none"/>
                <w:lang w:val="en-US" w:eastAsia="zh-CN"/>
              </w:rPr>
              <w:t>须</w:t>
            </w:r>
            <w:r>
              <w:rPr>
                <w:rFonts w:hint="eastAsia" w:ascii="宋体" w:hAnsi="宋体" w:eastAsia="宋体" w:cs="宋体"/>
                <w:color w:val="auto"/>
                <w:kern w:val="0"/>
                <w:sz w:val="21"/>
                <w:szCs w:val="21"/>
                <w:highlight w:val="none"/>
              </w:rPr>
              <w:t>提供</w:t>
            </w:r>
            <w:r>
              <w:rPr>
                <w:rFonts w:hint="eastAsia" w:ascii="宋体" w:hAnsi="宋体" w:eastAsia="宋体" w:cs="宋体"/>
                <w:color w:val="auto"/>
                <w:kern w:val="0"/>
                <w:sz w:val="21"/>
                <w:szCs w:val="21"/>
                <w:highlight w:val="none"/>
                <w:lang w:val="en-US" w:eastAsia="zh-CN"/>
              </w:rPr>
              <w:t>第三方</w:t>
            </w:r>
            <w:r>
              <w:rPr>
                <w:rFonts w:hint="eastAsia" w:ascii="宋体" w:hAnsi="宋体" w:eastAsia="宋体" w:cs="宋体"/>
                <w:color w:val="auto"/>
                <w:kern w:val="0"/>
                <w:sz w:val="21"/>
                <w:szCs w:val="21"/>
                <w:highlight w:val="none"/>
              </w:rPr>
              <w:t>检测机构出具的检测报告复印件并加盖</w:t>
            </w:r>
            <w:r>
              <w:rPr>
                <w:rFonts w:hint="eastAsia" w:ascii="宋体" w:hAnsi="宋体" w:eastAsia="宋体" w:cs="宋体"/>
                <w:color w:val="auto"/>
                <w:kern w:val="0"/>
                <w:sz w:val="21"/>
                <w:szCs w:val="21"/>
                <w:highlight w:val="none"/>
                <w:lang w:val="en-US" w:eastAsia="zh-CN"/>
              </w:rPr>
              <w:t>投标人</w:t>
            </w:r>
            <w:r>
              <w:rPr>
                <w:rFonts w:hint="eastAsia" w:ascii="宋体" w:hAnsi="宋体" w:eastAsia="宋体" w:cs="宋体"/>
                <w:color w:val="auto"/>
                <w:kern w:val="0"/>
                <w:sz w:val="21"/>
                <w:szCs w:val="21"/>
                <w:highlight w:val="none"/>
              </w:rPr>
              <w:t>公章)</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14、家长可在手机端查看孩子每日的课程表、考勤报告。</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15、支持向家长发送语音、文字和表情包留言，留言信息实时推送至家长小程序手机端，并且家长可对留言进行文字回复；支持学生通过个人空间査看家长回复的文字留言。</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16、家长可在手机端发起学生请假请求，可添加照片作为请假凭证。班主任手机端即时收到提醒，班牌同步该学生的请假状态，取消该学生的考勤要求。同时，学生可以在个人空间查看个人请假记录。支持导出电子表格的学生请假列表。</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17、教师可在手机端发起学生请假请求，可添加照片作为请假凭证，家长手机端即时收到提醒。同时，学生可以在个人空间查看个人请假记录。</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18、▲支持学生在班牌端发起请假，学生发起请假后，老师和家长可以收到学生的请假通知。老师在手机端审批学生提交的请教条后，家长可以收到学生的已审批请假条通知，学生可以在个人空间查看个人请假记录。(</w:t>
            </w:r>
            <w:r>
              <w:rPr>
                <w:rFonts w:hint="eastAsia" w:ascii="宋体" w:hAnsi="宋体" w:eastAsia="宋体" w:cs="宋体"/>
                <w:color w:val="auto"/>
                <w:kern w:val="0"/>
                <w:sz w:val="21"/>
                <w:szCs w:val="21"/>
                <w:highlight w:val="none"/>
                <w:lang w:val="en-US" w:eastAsia="zh-CN"/>
              </w:rPr>
              <w:t>须</w:t>
            </w:r>
            <w:r>
              <w:rPr>
                <w:rFonts w:hint="eastAsia" w:ascii="宋体" w:hAnsi="宋体" w:eastAsia="宋体" w:cs="宋体"/>
                <w:color w:val="auto"/>
                <w:kern w:val="0"/>
                <w:sz w:val="21"/>
                <w:szCs w:val="21"/>
                <w:highlight w:val="none"/>
              </w:rPr>
              <w:t>提供</w:t>
            </w:r>
            <w:r>
              <w:rPr>
                <w:rFonts w:hint="eastAsia" w:ascii="宋体" w:hAnsi="宋体" w:eastAsia="宋体" w:cs="宋体"/>
                <w:color w:val="auto"/>
                <w:kern w:val="0"/>
                <w:sz w:val="21"/>
                <w:szCs w:val="21"/>
                <w:highlight w:val="none"/>
                <w:lang w:val="en-US" w:eastAsia="zh-CN"/>
              </w:rPr>
              <w:t>第三方</w:t>
            </w:r>
            <w:r>
              <w:rPr>
                <w:rFonts w:hint="eastAsia" w:ascii="宋体" w:hAnsi="宋体" w:eastAsia="宋体" w:cs="宋体"/>
                <w:color w:val="auto"/>
                <w:kern w:val="0"/>
                <w:sz w:val="21"/>
                <w:szCs w:val="21"/>
                <w:highlight w:val="none"/>
              </w:rPr>
              <w:t>检测机构出具的检测报告复印件并加盖</w:t>
            </w:r>
            <w:r>
              <w:rPr>
                <w:rFonts w:hint="eastAsia" w:ascii="宋体" w:hAnsi="宋体" w:eastAsia="宋体" w:cs="宋体"/>
                <w:color w:val="auto"/>
                <w:kern w:val="0"/>
                <w:sz w:val="21"/>
                <w:szCs w:val="21"/>
                <w:highlight w:val="none"/>
                <w:lang w:val="en-US" w:eastAsia="zh-CN"/>
              </w:rPr>
              <w:t>投标人</w:t>
            </w:r>
            <w:r>
              <w:rPr>
                <w:rFonts w:hint="eastAsia" w:ascii="宋体" w:hAnsi="宋体" w:eastAsia="宋体" w:cs="宋体"/>
                <w:color w:val="auto"/>
                <w:kern w:val="0"/>
                <w:sz w:val="21"/>
                <w:szCs w:val="21"/>
                <w:highlight w:val="none"/>
              </w:rPr>
              <w:t>公章)</w:t>
            </w:r>
          </w:p>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19、手机端APP支持管理员、教师、家长多重身份切换，应用内可直接切换账户角色，无需退出账号重新登录。</w:t>
            </w:r>
          </w:p>
        </w:tc>
        <w:tc>
          <w:tcPr>
            <w:tcW w:w="820" w:type="dxa"/>
            <w:shd w:val="clear" w:color="auto" w:fill="auto"/>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48</w:t>
            </w:r>
          </w:p>
        </w:tc>
        <w:tc>
          <w:tcPr>
            <w:tcW w:w="840" w:type="dxa"/>
            <w:shd w:val="clear" w:color="auto" w:fill="auto"/>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80" w:type="dxa"/>
            <w:shd w:val="clear" w:color="auto" w:fill="auto"/>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云班牌平台</w:t>
            </w:r>
          </w:p>
        </w:tc>
        <w:tc>
          <w:tcPr>
            <w:tcW w:w="4680" w:type="dxa"/>
            <w:shd w:val="clear" w:color="000000" w:fill="FFFFFF"/>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1、云管理平台采用B/S架构设计，支持在Windows、Linux、IOS等多种不同的操作系统上，通过网页浏览器登陆的方式进行后台操作，方便管理者在不同的系统环境下进行班牌云平台管理。</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8500" w:type="dxa"/>
            <w:gridSpan w:val="5"/>
            <w:shd w:val="clear" w:color="000000" w:fill="D9D9D9"/>
            <w:vAlign w:val="center"/>
          </w:tcPr>
          <w:p>
            <w:pPr>
              <w:widowControl/>
              <w:jc w:val="left"/>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二.A栋教学楼（29个点）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480" w:type="dxa"/>
            <w:shd w:val="clear" w:color="auto" w:fill="auto"/>
            <w:noWrap/>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color w:val="auto"/>
                <w:szCs w:val="21"/>
                <w:highlight w:val="none"/>
              </w:rPr>
              <w:t>●</w:t>
            </w:r>
            <w:r>
              <w:rPr>
                <w:rFonts w:hint="eastAsia" w:ascii="宋体" w:hAnsi="宋体" w:eastAsia="宋体" w:cs="宋体"/>
                <w:color w:val="auto"/>
                <w:kern w:val="0"/>
                <w:sz w:val="21"/>
                <w:szCs w:val="21"/>
                <w:highlight w:val="none"/>
              </w:rPr>
              <w:t>云班牌</w:t>
            </w:r>
          </w:p>
        </w:tc>
        <w:tc>
          <w:tcPr>
            <w:tcW w:w="4680" w:type="dxa"/>
            <w:shd w:val="clear" w:color="000000" w:fill="FFFFFF"/>
          </w:tcPr>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1、整机不采用贴膜方式具备防眩光功能，采用21.5英寸式电容显示屏，支持10点触控，屏幕分辨率≥1920*1080，显示比例9:16；屏幕亮度≥500cd/㎡。</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2、刷卡器：具有内置IC卡刷卡器，支持14443协议。学生可佩带相应的终端设备完成刷卡签到、查看个人信息等操作。</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3、▲整机最大厚度不大于30mm。整机采用防水防尘结构设计，适用于学校教室半户外环境，防护等级不低于IP65。(</w:t>
            </w:r>
            <w:r>
              <w:rPr>
                <w:rFonts w:hint="eastAsia" w:ascii="宋体" w:hAnsi="宋体" w:eastAsia="宋体" w:cs="宋体"/>
                <w:color w:val="auto"/>
                <w:kern w:val="0"/>
                <w:sz w:val="21"/>
                <w:szCs w:val="21"/>
                <w:highlight w:val="none"/>
                <w:lang w:val="en-US" w:eastAsia="zh-CN"/>
              </w:rPr>
              <w:t>须</w:t>
            </w:r>
            <w:r>
              <w:rPr>
                <w:rFonts w:hint="eastAsia" w:ascii="宋体" w:hAnsi="宋体" w:eastAsia="宋体" w:cs="宋体"/>
                <w:color w:val="auto"/>
                <w:kern w:val="0"/>
                <w:sz w:val="21"/>
                <w:szCs w:val="21"/>
                <w:highlight w:val="none"/>
              </w:rPr>
              <w:t>提供</w:t>
            </w:r>
            <w:r>
              <w:rPr>
                <w:rFonts w:hint="eastAsia" w:ascii="宋体" w:hAnsi="宋体" w:eastAsia="宋体" w:cs="宋体"/>
                <w:color w:val="auto"/>
                <w:kern w:val="0"/>
                <w:sz w:val="21"/>
                <w:szCs w:val="21"/>
                <w:highlight w:val="none"/>
                <w:lang w:val="en-US" w:eastAsia="zh-CN"/>
              </w:rPr>
              <w:t>第三方</w:t>
            </w:r>
            <w:r>
              <w:rPr>
                <w:rFonts w:hint="eastAsia" w:ascii="宋体" w:hAnsi="宋体" w:eastAsia="宋体" w:cs="宋体"/>
                <w:color w:val="auto"/>
                <w:kern w:val="0"/>
                <w:sz w:val="21"/>
                <w:szCs w:val="21"/>
                <w:highlight w:val="none"/>
              </w:rPr>
              <w:t>检测机构出具的检测报告复印件并加盖</w:t>
            </w:r>
            <w:r>
              <w:rPr>
                <w:rFonts w:hint="eastAsia" w:ascii="宋体" w:hAnsi="宋体" w:eastAsia="宋体" w:cs="宋体"/>
                <w:color w:val="auto"/>
                <w:kern w:val="0"/>
                <w:sz w:val="21"/>
                <w:szCs w:val="21"/>
                <w:highlight w:val="none"/>
                <w:lang w:val="en-US" w:eastAsia="zh-CN"/>
              </w:rPr>
              <w:t>投标人</w:t>
            </w:r>
            <w:r>
              <w:rPr>
                <w:rFonts w:hint="eastAsia" w:ascii="宋体" w:hAnsi="宋体" w:eastAsia="宋体" w:cs="宋体"/>
                <w:color w:val="auto"/>
                <w:kern w:val="0"/>
                <w:sz w:val="21"/>
                <w:szCs w:val="21"/>
                <w:highlight w:val="none"/>
              </w:rPr>
              <w:t>公章)</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4、▲支持远程开关机功能，远程唤醒待机功耗≤2W。整机背部与墙面微距全贴合，背面与平整墙面间隙最大处≤2.5mm，保障教学环境的安全性。</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5、▲可拍摄不低于200W像素的照片，支持不少于10人同时进行人脸识别。可支持学生无卡考勤签到、查看个人课程表、家长留言等个人信息。(</w:t>
            </w:r>
            <w:r>
              <w:rPr>
                <w:rFonts w:hint="eastAsia" w:ascii="宋体" w:hAnsi="宋体" w:eastAsia="宋体" w:cs="宋体"/>
                <w:color w:val="auto"/>
                <w:kern w:val="0"/>
                <w:sz w:val="21"/>
                <w:szCs w:val="21"/>
                <w:highlight w:val="none"/>
                <w:lang w:val="en-US" w:eastAsia="zh-CN"/>
              </w:rPr>
              <w:t>须</w:t>
            </w:r>
            <w:r>
              <w:rPr>
                <w:rFonts w:hint="eastAsia" w:ascii="宋体" w:hAnsi="宋体" w:eastAsia="宋体" w:cs="宋体"/>
                <w:color w:val="auto"/>
                <w:kern w:val="0"/>
                <w:sz w:val="21"/>
                <w:szCs w:val="21"/>
                <w:highlight w:val="none"/>
              </w:rPr>
              <w:t>提供</w:t>
            </w:r>
            <w:r>
              <w:rPr>
                <w:rFonts w:hint="eastAsia" w:ascii="宋体" w:hAnsi="宋体" w:eastAsia="宋体" w:cs="宋体"/>
                <w:color w:val="auto"/>
                <w:kern w:val="0"/>
                <w:sz w:val="21"/>
                <w:szCs w:val="21"/>
                <w:highlight w:val="none"/>
                <w:lang w:val="en-US" w:eastAsia="zh-CN"/>
              </w:rPr>
              <w:t>第三方</w:t>
            </w:r>
            <w:r>
              <w:rPr>
                <w:rFonts w:hint="eastAsia" w:ascii="宋体" w:hAnsi="宋体" w:eastAsia="宋体" w:cs="宋体"/>
                <w:color w:val="auto"/>
                <w:kern w:val="0"/>
                <w:sz w:val="21"/>
                <w:szCs w:val="21"/>
                <w:highlight w:val="none"/>
              </w:rPr>
              <w:t>检测机构出具的检测报告复印件并加盖</w:t>
            </w:r>
            <w:r>
              <w:rPr>
                <w:rFonts w:hint="eastAsia" w:ascii="宋体" w:hAnsi="宋体" w:eastAsia="宋体" w:cs="宋体"/>
                <w:color w:val="auto"/>
                <w:kern w:val="0"/>
                <w:sz w:val="21"/>
                <w:szCs w:val="21"/>
                <w:highlight w:val="none"/>
                <w:lang w:val="en-US" w:eastAsia="zh-CN"/>
              </w:rPr>
              <w:t>投标人</w:t>
            </w:r>
            <w:r>
              <w:rPr>
                <w:rFonts w:hint="eastAsia" w:ascii="宋体" w:hAnsi="宋体" w:eastAsia="宋体" w:cs="宋体"/>
                <w:color w:val="auto"/>
                <w:kern w:val="0"/>
                <w:sz w:val="21"/>
                <w:szCs w:val="21"/>
                <w:highlight w:val="none"/>
              </w:rPr>
              <w:t>公章)</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6、▲整机在逆光（人像处于背景照度≥80000Lux）环境下距离≤0.5m可正常进行人脸识别(</w:t>
            </w:r>
            <w:r>
              <w:rPr>
                <w:rFonts w:hint="eastAsia" w:ascii="宋体" w:hAnsi="宋体" w:eastAsia="宋体" w:cs="宋体"/>
                <w:color w:val="auto"/>
                <w:kern w:val="0"/>
                <w:sz w:val="21"/>
                <w:szCs w:val="21"/>
                <w:highlight w:val="none"/>
                <w:lang w:val="en-US" w:eastAsia="zh-CN"/>
              </w:rPr>
              <w:t>须</w:t>
            </w:r>
            <w:r>
              <w:rPr>
                <w:rFonts w:hint="eastAsia" w:ascii="宋体" w:hAnsi="宋体" w:eastAsia="宋体" w:cs="宋体"/>
                <w:color w:val="auto"/>
                <w:kern w:val="0"/>
                <w:sz w:val="21"/>
                <w:szCs w:val="21"/>
                <w:highlight w:val="none"/>
              </w:rPr>
              <w:t>提供</w:t>
            </w:r>
            <w:r>
              <w:rPr>
                <w:rFonts w:hint="eastAsia" w:ascii="宋体" w:hAnsi="宋体" w:eastAsia="宋体" w:cs="宋体"/>
                <w:color w:val="auto"/>
                <w:kern w:val="0"/>
                <w:sz w:val="21"/>
                <w:szCs w:val="21"/>
                <w:highlight w:val="none"/>
                <w:lang w:val="en-US" w:eastAsia="zh-CN"/>
              </w:rPr>
              <w:t>第三方</w:t>
            </w:r>
            <w:r>
              <w:rPr>
                <w:rFonts w:hint="eastAsia" w:ascii="宋体" w:hAnsi="宋体" w:eastAsia="宋体" w:cs="宋体"/>
                <w:color w:val="auto"/>
                <w:kern w:val="0"/>
                <w:sz w:val="21"/>
                <w:szCs w:val="21"/>
                <w:highlight w:val="none"/>
              </w:rPr>
              <w:t>检测机构出具的检测报告复印件并加盖</w:t>
            </w:r>
            <w:r>
              <w:rPr>
                <w:rFonts w:hint="eastAsia" w:ascii="宋体" w:hAnsi="宋体" w:eastAsia="宋体" w:cs="宋体"/>
                <w:color w:val="auto"/>
                <w:kern w:val="0"/>
                <w:sz w:val="21"/>
                <w:szCs w:val="21"/>
                <w:highlight w:val="none"/>
                <w:lang w:val="en-US" w:eastAsia="zh-CN"/>
              </w:rPr>
              <w:t>投标人</w:t>
            </w:r>
            <w:r>
              <w:rPr>
                <w:rFonts w:hint="eastAsia" w:ascii="宋体" w:hAnsi="宋体" w:eastAsia="宋体" w:cs="宋体"/>
                <w:color w:val="auto"/>
                <w:kern w:val="0"/>
                <w:sz w:val="21"/>
                <w:szCs w:val="21"/>
                <w:highlight w:val="none"/>
              </w:rPr>
              <w:t>公章)</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7、内置2.0立体声道功放，支持视频及家长留言的音频播放。</w:t>
            </w:r>
          </w:p>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8、整机具备至少一路RJ45网络接口；具备不少于2路USB 2.0接口。</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网线</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CAT 6E 无氧铜 305m/箱</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电源线</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RVV 3*2.5 100m</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450</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线槽</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PVC线槽，国标</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辅材</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所用辅材等器件必须用符合国标的可靠质量产品并与设备相匹配,盒式三通,连接头,直通,90度弯头,45度弯头,管码,电工胶布,胶粒,银色油漆,6厘防暴螺丝,8厘防暴螺丝,水泥钉,自攻螺丝,其它小五金</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底盒插座</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3+3+2插座，86底盒</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机柜</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42U机柜</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光模块</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千兆单模光模块 光纤模块 （1310nm,10km,LC)</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交换机(24口)</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24个10/100/1000M自适应电口，4个1G光口，固化交流电源和风扇</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人工及技术</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设备安装（含29个电子班牌、1个机柜、2台交换机）</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人工及技术</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专业级布线人工</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人工及技术</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智慧校园平台系统对接及性能调试</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8500" w:type="dxa"/>
            <w:gridSpan w:val="5"/>
            <w:shd w:val="clear" w:color="000000" w:fill="D9D9D9"/>
            <w:vAlign w:val="center"/>
          </w:tcPr>
          <w:p>
            <w:pPr>
              <w:widowControl/>
              <w:jc w:val="left"/>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三.B栋教学楼（14个点）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color w:val="auto"/>
                <w:szCs w:val="21"/>
                <w:highlight w:val="none"/>
              </w:rPr>
              <w:t>●</w:t>
            </w:r>
            <w:r>
              <w:rPr>
                <w:rFonts w:hint="eastAsia" w:ascii="宋体" w:hAnsi="宋体" w:eastAsia="宋体" w:cs="宋体"/>
                <w:color w:val="auto"/>
                <w:kern w:val="0"/>
                <w:sz w:val="21"/>
                <w:szCs w:val="21"/>
                <w:highlight w:val="none"/>
              </w:rPr>
              <w:t>云班牌</w:t>
            </w:r>
          </w:p>
        </w:tc>
        <w:tc>
          <w:tcPr>
            <w:tcW w:w="4680" w:type="dxa"/>
            <w:shd w:val="clear" w:color="000000" w:fill="FFFFFF"/>
          </w:tcPr>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1、采用21.5英寸电容显示屏，支持10点触控，屏幕分辨率≥1920*1080，显示比例16:9；屏幕亮度≥500cd/㎡。</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2、屏体采用宽温液晶屏，屏体工作温度区间跨度不小于零下20°C-80°C。</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3、整机采用防水防尘结构设计，适用于学校教室半户外环境，防护等级不低于IP65。</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4、整机背部与墙面微距全贴合，背面与平整墙面间隙最大处≤2.5mm，保障教学环境的安全性。</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5、整机最大厚度不大于30mm。</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6、整机正面覆盖钢化玻璃</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7、整机正面不采用贴膜方式具备防眩光功能</w:t>
            </w:r>
          </w:p>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8、可拍摄不低于200W像素的照片，支持不少于10人同时进行人脸识别。可支持学生无卡考勤签到、查看个人课程表、家长留言等个人信息。</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网线</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CAT 6E 无氧铜 305m/箱</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电源线</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RVV 3*2.5</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250</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线槽</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PVC线槽，国标</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辅材</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所用辅材等器件必须用符合国标的可靠质量产品并与设备相匹配,盒式三通,连接头,直通,90度弯头,45度弯头,管码,电工胶布,胶粒,银色油漆,6厘防暴螺丝,8厘防暴螺丝,水泥钉,自攻螺丝,其它小五金</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底盒插座</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3+3+2插座，86底盒</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机柜</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12U壁挂</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光模块</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千兆单模光模块 光纤模块 （1310nm,10km,LC)</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交换机(24口)</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24个10/100/1000M自适应电口，4个1G SFP+光口，固化交流电源和风扇</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人工及技术</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设备安装（含11个电子班牌、1个机柜、1台交换机）</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人工及技术</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专业级布线人工</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人工及技术</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智慧校园平台系统对接及性能调试</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8500" w:type="dxa"/>
            <w:gridSpan w:val="5"/>
            <w:shd w:val="clear" w:color="000000" w:fill="D9D9D9"/>
            <w:vAlign w:val="center"/>
          </w:tcPr>
          <w:p>
            <w:pPr>
              <w:widowControl/>
              <w:jc w:val="left"/>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四.其它教学楼（5个点）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color w:val="auto"/>
                <w:szCs w:val="21"/>
                <w:highlight w:val="none"/>
              </w:rPr>
              <w:t>●</w:t>
            </w:r>
            <w:r>
              <w:rPr>
                <w:rFonts w:hint="eastAsia" w:ascii="宋体" w:hAnsi="宋体" w:eastAsia="宋体" w:cs="宋体"/>
                <w:color w:val="auto"/>
                <w:kern w:val="0"/>
                <w:sz w:val="21"/>
                <w:szCs w:val="21"/>
                <w:highlight w:val="none"/>
              </w:rPr>
              <w:t>云班牌</w:t>
            </w:r>
          </w:p>
        </w:tc>
        <w:tc>
          <w:tcPr>
            <w:tcW w:w="4680" w:type="dxa"/>
            <w:shd w:val="clear" w:color="000000" w:fill="FFFFFF"/>
          </w:tcPr>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1、采用21.5英寸横屏式电容显示屏，支持10点触控，屏幕分辨率≥1920*1080，显示比例16:9；屏幕亮度≥500cd/㎡。</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2、屏体采用宽温液晶屏，屏体工作温度区间跨度不小于零下20°C-80°C。</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3、整机采用防水防尘结构设计，适用于学校教室半户外环境，防护等级不低于IP65。</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4、整机背部与墙面微距全贴合，背面与平整墙面间隙最大处≤2.5mm，保障教学环境的安全性。</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5、整机最大厚度不大于30mm。</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6、整机正面覆盖钢化玻璃</w:t>
            </w:r>
          </w:p>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7、整机正面不采用贴膜方式具备防眩光功能</w:t>
            </w:r>
          </w:p>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8、可拍摄不低于200W像素的照片，支持不少于10人同时进行人脸识别。可支持学生无卡考勤签到、查看个人课程表、家长留言等个人信息。</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网线</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CAT 6E 无氧铜 305m/箱</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电源线</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RVV 3*2.5</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120</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线槽</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PVC线槽，国标</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70</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辅材</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所用辅材等器件必须用符合国标的可靠质量产品并与设备相匹配,盒式三通,连接头,直通,90度弯头,45度弯头,管码,电工胶布,胶粒,银色油漆,6厘防暴螺丝,8厘防暴螺丝,水泥钉,自攻螺丝,其它小五金</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底盒插座</w:t>
            </w:r>
          </w:p>
        </w:tc>
        <w:tc>
          <w:tcPr>
            <w:tcW w:w="4680" w:type="dxa"/>
            <w:shd w:val="clear" w:color="000000" w:fill="FFFFFF"/>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3+3+2插座，86底盒</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机柜</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12U壁挂</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光模块</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千兆单模光模块 光纤模块 （1310nm,10km,LC)</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交换机(8口)</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8口交换机</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人工及技术</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设备安装（含5个电子班牌、1个机柜、1台交换机）</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人工及技术</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专业级布线人工</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148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人工及技术</w:t>
            </w:r>
          </w:p>
        </w:tc>
        <w:tc>
          <w:tcPr>
            <w:tcW w:w="4680" w:type="dxa"/>
            <w:shd w:val="clear" w:color="auto" w:fill="auto"/>
            <w:vAlign w:val="center"/>
          </w:tcPr>
          <w:p>
            <w:pPr>
              <w:widowControl/>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智慧校园平台系统对接及性能调试</w:t>
            </w:r>
          </w:p>
        </w:tc>
        <w:tc>
          <w:tcPr>
            <w:tcW w:w="82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40" w:type="dxa"/>
            <w:shd w:val="clear" w:color="000000" w:fill="FFFFFF"/>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项</w:t>
            </w:r>
          </w:p>
        </w:tc>
      </w:tr>
    </w:tbl>
    <w:p>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21448"/>
      <w:bookmarkStart w:id="187" w:name="_Toc12485"/>
    </w:p>
    <w:p>
      <w:pPr>
        <w:pStyle w:val="3"/>
        <w:spacing w:before="0" w:after="0" w:line="240" w:lineRule="auto"/>
        <w:rPr>
          <w:color w:val="auto"/>
          <w:sz w:val="28"/>
          <w:szCs w:val="28"/>
          <w:highlight w:val="none"/>
        </w:rPr>
      </w:pPr>
      <w:bookmarkStart w:id="188" w:name="_Toc12014"/>
      <w:r>
        <w:rPr>
          <w:rFonts w:hint="eastAsia"/>
          <w:color w:val="auto"/>
          <w:sz w:val="28"/>
          <w:szCs w:val="28"/>
          <w:highlight w:val="none"/>
        </w:rPr>
        <w:t>第六部分 合同格式（仅供参考）</w:t>
      </w:r>
      <w:bookmarkEnd w:id="186"/>
      <w:bookmarkEnd w:id="187"/>
      <w:bookmarkEnd w:id="188"/>
      <w:bookmarkStart w:id="189" w:name="_Toc21155"/>
      <w:bookmarkStart w:id="190" w:name="_Toc1534"/>
      <w:bookmarkStart w:id="191" w:name="_Toc13430"/>
    </w:p>
    <w:p>
      <w:pPr>
        <w:pStyle w:val="4"/>
        <w:spacing w:line="240" w:lineRule="auto"/>
        <w:jc w:val="center"/>
        <w:rPr>
          <w:rFonts w:ascii="宋体" w:hAnsi="宋体" w:cs="宋体"/>
          <w:color w:val="auto"/>
          <w:highlight w:val="none"/>
        </w:rPr>
      </w:pPr>
      <w:bookmarkStart w:id="192" w:name="_Toc16730"/>
      <w:bookmarkStart w:id="193" w:name="_Toc8880"/>
      <w:bookmarkStart w:id="194" w:name="_Toc19575"/>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4"/>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4"/>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4"/>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4"/>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4"/>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4"/>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4"/>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4"/>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3"/>
        <w:spacing w:before="0" w:after="0" w:line="240" w:lineRule="auto"/>
        <w:rPr>
          <w:color w:val="auto"/>
          <w:sz w:val="28"/>
          <w:szCs w:val="28"/>
          <w:highlight w:val="none"/>
        </w:rPr>
      </w:pPr>
      <w:bookmarkStart w:id="198" w:name="_Toc31587"/>
      <w:bookmarkStart w:id="199" w:name="_Toc1478"/>
      <w:bookmarkStart w:id="200" w:name="_Toc23749"/>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4"/>
        <w:rPr>
          <w:color w:val="auto"/>
          <w:highlight w:val="none"/>
        </w:rPr>
      </w:pPr>
      <w:bookmarkStart w:id="201" w:name="_Toc5794"/>
      <w:bookmarkStart w:id="202" w:name="_Toc6790"/>
      <w:bookmarkStart w:id="203" w:name="_Toc26830"/>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rPr>
          <w:color w:val="auto"/>
          <w:highlight w:val="none"/>
        </w:rPr>
      </w:pPr>
      <w:bookmarkStart w:id="204" w:name="_Toc5670"/>
      <w:bookmarkStart w:id="205" w:name="_Toc25502"/>
      <w:bookmarkStart w:id="206" w:name="_Toc18893"/>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7"/>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5"/>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20"/>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5"/>
              <w:jc w:val="both"/>
              <w:rPr>
                <w:rFonts w:ascii="宋体" w:hAnsi="宋体" w:cs="宋体"/>
                <w:color w:val="auto"/>
                <w:szCs w:val="21"/>
                <w:highlight w:val="none"/>
              </w:rPr>
            </w:pPr>
          </w:p>
        </w:tc>
        <w:tc>
          <w:tcPr>
            <w:tcW w:w="5028" w:type="dxa"/>
            <w:vAlign w:val="center"/>
          </w:tcPr>
          <w:p>
            <w:pPr>
              <w:pStyle w:val="35"/>
              <w:jc w:val="both"/>
              <w:rPr>
                <w:rFonts w:ascii="宋体" w:hAnsi="宋体" w:cs="宋体"/>
                <w:color w:val="auto"/>
                <w:szCs w:val="21"/>
                <w:highlight w:val="none"/>
              </w:rPr>
            </w:pPr>
          </w:p>
        </w:tc>
        <w:tc>
          <w:tcPr>
            <w:tcW w:w="2126" w:type="dxa"/>
            <w:vAlign w:val="center"/>
          </w:tcPr>
          <w:p>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10"/>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jc w:val="center"/>
        <w:rPr>
          <w:color w:val="auto"/>
          <w:highlight w:val="none"/>
        </w:rPr>
      </w:pPr>
      <w:bookmarkStart w:id="207" w:name="_Toc8194"/>
      <w:bookmarkStart w:id="208" w:name="_Toc22080"/>
      <w:bookmarkStart w:id="209" w:name="_Toc30640"/>
      <w:r>
        <w:rPr>
          <w:rFonts w:hint="eastAsia"/>
          <w:color w:val="auto"/>
          <w:highlight w:val="none"/>
        </w:rPr>
        <w:t>第一章价格文件</w:t>
      </w:r>
      <w:bookmarkEnd w:id="207"/>
      <w:bookmarkEnd w:id="208"/>
    </w:p>
    <w:p>
      <w:pPr>
        <w:pStyle w:val="4"/>
        <w:jc w:val="center"/>
        <w:rPr>
          <w:color w:val="auto"/>
          <w:highlight w:val="none"/>
        </w:rPr>
      </w:pPr>
      <w:bookmarkStart w:id="210" w:name="_Toc19750"/>
      <w:bookmarkStart w:id="211" w:name="_Toc4168"/>
      <w:r>
        <w:rPr>
          <w:rFonts w:hint="eastAsia"/>
          <w:color w:val="auto"/>
          <w:highlight w:val="none"/>
        </w:rPr>
        <w:t>一、唱标一览表</w:t>
      </w:r>
      <w:bookmarkEnd w:id="210"/>
      <w:bookmarkEnd w:id="211"/>
    </w:p>
    <w:p>
      <w:pPr>
        <w:rPr>
          <w:color w:val="auto"/>
          <w:highlight w:val="none"/>
        </w:rPr>
      </w:pPr>
    </w:p>
    <w:tbl>
      <w:tblPr>
        <w:tblStyle w:val="27"/>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pPr>
        <w:rPr>
          <w:color w:val="auto"/>
          <w:highlight w:val="none"/>
        </w:rPr>
      </w:pPr>
    </w:p>
    <w:p>
      <w:pPr>
        <w:pStyle w:val="10"/>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pStyle w:val="26"/>
        <w:rPr>
          <w:color w:val="auto"/>
          <w:highlight w:val="none"/>
        </w:rPr>
      </w:pPr>
    </w:p>
    <w:p>
      <w:pPr>
        <w:rPr>
          <w:color w:val="auto"/>
          <w:highlight w:val="none"/>
        </w:rPr>
      </w:pPr>
    </w:p>
    <w:p>
      <w:pPr>
        <w:pStyle w:val="4"/>
        <w:jc w:val="center"/>
        <w:rPr>
          <w:color w:val="auto"/>
          <w:highlight w:val="none"/>
        </w:rPr>
      </w:pPr>
      <w:bookmarkStart w:id="212" w:name="_Toc31062"/>
      <w:bookmarkStart w:id="213" w:name="_Toc31172"/>
      <w:r>
        <w:rPr>
          <w:rFonts w:hint="eastAsia"/>
          <w:color w:val="auto"/>
          <w:highlight w:val="none"/>
        </w:rPr>
        <w:t>二、报价明细表</w:t>
      </w:r>
      <w:bookmarkEnd w:id="212"/>
      <w:bookmarkEnd w:id="213"/>
    </w:p>
    <w:p>
      <w:pPr>
        <w:pStyle w:val="35"/>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5"/>
        <w:rPr>
          <w:rFonts w:ascii="黑体" w:eastAsia="黑体"/>
          <w:color w:val="auto"/>
          <w:sz w:val="32"/>
          <w:szCs w:val="32"/>
          <w:highlight w:val="none"/>
        </w:rPr>
      </w:pPr>
    </w:p>
    <w:p>
      <w:pPr>
        <w:pStyle w:val="35"/>
        <w:rPr>
          <w:rFonts w:ascii="黑体" w:eastAsia="黑体"/>
          <w:color w:val="auto"/>
          <w:sz w:val="32"/>
          <w:szCs w:val="32"/>
          <w:highlight w:val="none"/>
        </w:rPr>
      </w:pPr>
    </w:p>
    <w:p>
      <w:pPr>
        <w:pStyle w:val="4"/>
        <w:jc w:val="center"/>
        <w:rPr>
          <w:color w:val="auto"/>
          <w:highlight w:val="none"/>
        </w:rPr>
      </w:pPr>
      <w:bookmarkStart w:id="214" w:name="_Toc23355"/>
      <w:bookmarkStart w:id="215" w:name="_Toc20974"/>
      <w:r>
        <w:rPr>
          <w:rFonts w:hint="eastAsia"/>
          <w:color w:val="auto"/>
          <w:highlight w:val="none"/>
        </w:rPr>
        <w:t>三、小型或微型企业（货物/服务/承担的工程）明细表</w:t>
      </w:r>
      <w:bookmarkEnd w:id="214"/>
      <w:bookmarkEnd w:id="215"/>
    </w:p>
    <w:tbl>
      <w:tblPr>
        <w:tblStyle w:val="27"/>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8"/>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pPr>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7"/>
          <w:rFonts w:hint="eastAsia" w:ascii="宋体" w:hAnsi="宋体" w:eastAsia="宋体" w:cs="宋体"/>
          <w:b/>
          <w:color w:val="auto"/>
          <w:sz w:val="21"/>
          <w:szCs w:val="21"/>
          <w:highlight w:val="none"/>
        </w:rPr>
        <w:t>；</w:t>
      </w:r>
    </w:p>
    <w:p>
      <w:pPr>
        <w:pStyle w:val="38"/>
        <w:ind w:firstLine="422"/>
        <w:rPr>
          <w:rFonts w:ascii="黑体" w:eastAsia="黑体"/>
          <w:color w:val="auto"/>
          <w:sz w:val="32"/>
          <w:szCs w:val="32"/>
          <w:highlight w:val="none"/>
        </w:rPr>
      </w:pPr>
      <w:r>
        <w:rPr>
          <w:rStyle w:val="47"/>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4"/>
        <w:jc w:val="center"/>
        <w:rPr>
          <w:color w:val="auto"/>
          <w:highlight w:val="none"/>
        </w:rPr>
      </w:pPr>
      <w:bookmarkStart w:id="216" w:name="_Toc16718"/>
      <w:bookmarkStart w:id="217" w:name="_Toc13970"/>
      <w:r>
        <w:rPr>
          <w:rFonts w:hint="eastAsia"/>
          <w:color w:val="auto"/>
          <w:highlight w:val="none"/>
        </w:rPr>
        <w:t>四、节能产品或环境标志产品明细表</w:t>
      </w:r>
      <w:bookmarkEnd w:id="216"/>
      <w:bookmarkEnd w:id="217"/>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5"/>
        <w:rPr>
          <w:color w:val="auto"/>
          <w:highlight w:val="none"/>
        </w:rPr>
      </w:pPr>
    </w:p>
    <w:p>
      <w:pPr>
        <w:tabs>
          <w:tab w:val="left" w:pos="284"/>
        </w:tabs>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pPr>
        <w:tabs>
          <w:tab w:val="left" w:pos="284"/>
        </w:tabs>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7"/>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jc w:val="center"/>
        <w:rPr>
          <w:color w:val="auto"/>
          <w:highlight w:val="none"/>
        </w:rPr>
      </w:pPr>
      <w:bookmarkStart w:id="218" w:name="_Toc10853"/>
      <w:bookmarkStart w:id="219" w:name="_Toc17482"/>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0"/>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0"/>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20" w:name="_Toc7959"/>
      <w:bookmarkStart w:id="221" w:name="_Toc8560"/>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17761"/>
      <w:bookmarkStart w:id="223" w:name="_Toc30247"/>
      <w:bookmarkStart w:id="224" w:name="_Toc20910"/>
      <w:bookmarkStart w:id="225" w:name="_Toc30277"/>
      <w:bookmarkStart w:id="226" w:name="_Toc508958703"/>
      <w:bookmarkStart w:id="227" w:name="_Toc509479530"/>
      <w:bookmarkStart w:id="228" w:name="_Toc508898066"/>
      <w:bookmarkStart w:id="229" w:name="_Toc509927455"/>
      <w:bookmarkStart w:id="230" w:name="_Toc22970"/>
      <w:bookmarkStart w:id="231" w:name="_Toc508960153"/>
      <w:bookmarkStart w:id="232" w:name="_Toc509844825"/>
      <w:bookmarkStart w:id="233" w:name="_Toc510171693"/>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pPr>
        <w:pStyle w:val="10"/>
        <w:rPr>
          <w:color w:val="auto"/>
          <w:highlight w:val="none"/>
        </w:rPr>
      </w:pPr>
    </w:p>
    <w:p>
      <w:pPr>
        <w:ind w:firstLine="420" w:firstLineChars="200"/>
        <w:rPr>
          <w:rFonts w:ascii="宋体" w:hAnsi="宋体"/>
          <w:color w:val="auto"/>
          <w:szCs w:val="21"/>
          <w:highlight w:val="none"/>
        </w:rPr>
      </w:pPr>
      <w:bookmarkStart w:id="234" w:name="_Toc510171694"/>
      <w:bookmarkStart w:id="235" w:name="_Toc21053"/>
      <w:bookmarkStart w:id="236" w:name="_Toc26216"/>
      <w:bookmarkStart w:id="237" w:name="_Toc5447"/>
      <w:bookmarkStart w:id="238" w:name="_Toc508958704"/>
      <w:bookmarkStart w:id="239" w:name="_Toc509844826"/>
      <w:bookmarkStart w:id="240" w:name="_Toc508960154"/>
      <w:bookmarkStart w:id="241" w:name="_Toc508898067"/>
      <w:bookmarkStart w:id="242" w:name="_Toc509927456"/>
      <w:bookmarkStart w:id="243" w:name="_Toc28527"/>
      <w:bookmarkStart w:id="244" w:name="_Toc31520"/>
      <w:bookmarkStart w:id="245" w:name="_Toc509479531"/>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509479532"/>
      <w:bookmarkStart w:id="247" w:name="_Toc508898068"/>
      <w:bookmarkStart w:id="248" w:name="_Toc9148"/>
      <w:bookmarkStart w:id="249" w:name="_Toc28626"/>
      <w:bookmarkStart w:id="250" w:name="_Toc14653"/>
      <w:bookmarkStart w:id="251" w:name="_Toc24848"/>
      <w:bookmarkStart w:id="252" w:name="_Toc510171695"/>
      <w:bookmarkStart w:id="253" w:name="_Toc508960155"/>
      <w:bookmarkStart w:id="254" w:name="_Toc508958705"/>
      <w:bookmarkStart w:id="255" w:name="_Toc509927457"/>
      <w:bookmarkStart w:id="256" w:name="_Toc28126"/>
      <w:bookmarkStart w:id="257" w:name="_Toc509844827"/>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22981"/>
      <w:bookmarkStart w:id="259" w:name="_Toc508958706"/>
      <w:bookmarkStart w:id="260" w:name="_Toc509844828"/>
      <w:bookmarkStart w:id="261" w:name="_Toc28686"/>
      <w:bookmarkStart w:id="262" w:name="_Toc7858"/>
      <w:bookmarkStart w:id="263" w:name="_Toc509479533"/>
      <w:bookmarkStart w:id="264" w:name="_Toc510171696"/>
      <w:bookmarkStart w:id="265" w:name="_Toc508960156"/>
      <w:bookmarkStart w:id="266" w:name="_Toc509927458"/>
      <w:bookmarkStart w:id="267" w:name="_Toc9837"/>
      <w:bookmarkStart w:id="268" w:name="_Toc28044"/>
      <w:bookmarkStart w:id="269" w:name="_Toc508898069"/>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08958707"/>
      <w:bookmarkStart w:id="271" w:name="_Toc18843"/>
      <w:bookmarkStart w:id="272" w:name="_Toc509479534"/>
      <w:bookmarkStart w:id="273" w:name="_Toc5289"/>
      <w:bookmarkStart w:id="274" w:name="_Toc508898070"/>
      <w:bookmarkStart w:id="275" w:name="_Toc509844829"/>
      <w:bookmarkStart w:id="276" w:name="_Toc509927459"/>
      <w:bookmarkStart w:id="277" w:name="_Toc510171697"/>
      <w:bookmarkStart w:id="278" w:name="_Toc508960157"/>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4"/>
        <w:jc w:val="center"/>
        <w:rPr>
          <w:color w:val="auto"/>
          <w:highlight w:val="none"/>
        </w:rPr>
      </w:pPr>
      <w:bookmarkStart w:id="279" w:name="_Toc6471"/>
      <w:bookmarkStart w:id="280" w:name="_Toc23948"/>
      <w:r>
        <w:rPr>
          <w:rFonts w:hint="eastAsia"/>
          <w:color w:val="auto"/>
          <w:highlight w:val="none"/>
        </w:rPr>
        <w:t>第二章商务文件</w:t>
      </w:r>
      <w:bookmarkEnd w:id="279"/>
      <w:bookmarkEnd w:id="280"/>
    </w:p>
    <w:bookmarkEnd w:id="209"/>
    <w:p>
      <w:pPr>
        <w:pStyle w:val="4"/>
        <w:jc w:val="center"/>
        <w:rPr>
          <w:color w:val="auto"/>
          <w:highlight w:val="none"/>
        </w:rPr>
      </w:pPr>
      <w:bookmarkStart w:id="281" w:name="_Toc1952"/>
      <w:bookmarkStart w:id="282" w:name="_Toc23787"/>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4"/>
        <w:jc w:val="center"/>
        <w:rPr>
          <w:color w:val="auto"/>
          <w:highlight w:val="none"/>
        </w:rPr>
      </w:pPr>
      <w:bookmarkStart w:id="283" w:name="_Toc28616"/>
      <w:bookmarkStart w:id="284" w:name="_Toc15719"/>
      <w:r>
        <w:rPr>
          <w:rFonts w:hint="eastAsia"/>
          <w:color w:val="auto"/>
          <w:highlight w:val="none"/>
        </w:rPr>
        <w:t>二、资格申明函</w:t>
      </w:r>
      <w:bookmarkEnd w:id="283"/>
      <w:bookmarkEnd w:id="284"/>
    </w:p>
    <w:p>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41"/>
        <w:spacing w:line="500" w:lineRule="atLeast"/>
        <w:ind w:firstLine="3517" w:firstLineChars="1675"/>
        <w:rPr>
          <w:rFonts w:ascii="宋体" w:eastAsia="宋体"/>
          <w:color w:val="auto"/>
          <w:sz w:val="21"/>
          <w:szCs w:val="21"/>
          <w:highlight w:val="none"/>
        </w:rPr>
      </w:pPr>
    </w:p>
    <w:p>
      <w:pPr>
        <w:pStyle w:val="41"/>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highlight w:val="none"/>
        </w:rPr>
      </w:pPr>
    </w:p>
    <w:p>
      <w:pPr>
        <w:rPr>
          <w:color w:val="auto"/>
          <w:highlight w:val="none"/>
        </w:rPr>
      </w:pPr>
      <w:bookmarkStart w:id="285" w:name="_Toc16412"/>
    </w:p>
    <w:p>
      <w:pPr>
        <w:pStyle w:val="4"/>
        <w:jc w:val="center"/>
        <w:rPr>
          <w:color w:val="auto"/>
          <w:highlight w:val="none"/>
        </w:rPr>
      </w:pPr>
      <w:bookmarkStart w:id="286" w:name="_Toc32742"/>
      <w:bookmarkStart w:id="287" w:name="_Toc21273"/>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4"/>
        <w:jc w:val="center"/>
        <w:rPr>
          <w:color w:val="auto"/>
          <w:highlight w:val="none"/>
        </w:rPr>
      </w:pPr>
      <w:bookmarkStart w:id="288" w:name="_Toc3894"/>
      <w:bookmarkStart w:id="289" w:name="_Toc13243"/>
      <w:r>
        <w:rPr>
          <w:rFonts w:hint="eastAsia"/>
          <w:color w:val="auto"/>
          <w:highlight w:val="none"/>
        </w:rPr>
        <w:t>四、法定代表人证明书</w:t>
      </w:r>
      <w:bookmarkEnd w:id="288"/>
      <w:bookmarkEnd w:id="289"/>
    </w:p>
    <w:p>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1"/>
        <w:spacing w:line="420" w:lineRule="atLeast"/>
        <w:ind w:firstLine="433"/>
        <w:rPr>
          <w:rFonts w:ascii="宋体" w:eastAsia="宋体"/>
          <w:color w:val="auto"/>
          <w:sz w:val="21"/>
          <w:szCs w:val="21"/>
          <w:highlight w:val="none"/>
        </w:rPr>
      </w:pPr>
    </w:p>
    <w:p>
      <w:pPr>
        <w:pStyle w:val="41"/>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1"/>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41"/>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90" w:name="_Toc5918"/>
      <w:bookmarkStart w:id="291" w:name="_Toc5626"/>
      <w:r>
        <w:rPr>
          <w:rFonts w:hint="eastAsia"/>
          <w:color w:val="auto"/>
          <w:highlight w:val="none"/>
        </w:rPr>
        <w:t>五、法定代表人授权书</w:t>
      </w:r>
      <w:bookmarkEnd w:id="290"/>
      <w:bookmarkEnd w:id="291"/>
    </w:p>
    <w:p>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1"/>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1"/>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41"/>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4"/>
        <w:jc w:val="center"/>
        <w:rPr>
          <w:color w:val="auto"/>
          <w:highlight w:val="none"/>
        </w:rPr>
      </w:pPr>
      <w:bookmarkStart w:id="293" w:name="_Toc18562"/>
      <w:bookmarkStart w:id="294" w:name="_Toc24013"/>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10"/>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
        <w:jc w:val="center"/>
        <w:rPr>
          <w:color w:val="auto"/>
          <w:highlight w:val="none"/>
        </w:rPr>
      </w:pPr>
      <w:bookmarkStart w:id="295" w:name="_Toc1511"/>
      <w:bookmarkStart w:id="296" w:name="_Toc5919"/>
      <w:bookmarkStart w:id="297" w:name="_Toc28067"/>
      <w:bookmarkStart w:id="298" w:name="_Toc24210"/>
      <w:bookmarkStart w:id="299" w:name="_Toc29995"/>
      <w:bookmarkStart w:id="300" w:name="_Toc17470"/>
      <w:bookmarkStart w:id="301" w:name="_Toc4926"/>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4"/>
        <w:jc w:val="center"/>
        <w:rPr>
          <w:color w:val="auto"/>
          <w:highlight w:val="none"/>
        </w:rPr>
      </w:pPr>
      <w:bookmarkStart w:id="302" w:name="_Toc29439"/>
      <w:bookmarkStart w:id="303" w:name="_Toc21638"/>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highlight w:val="none"/>
        </w:rPr>
      </w:pPr>
    </w:p>
    <w:p>
      <w:pPr>
        <w:pStyle w:val="4"/>
        <w:jc w:val="center"/>
        <w:rPr>
          <w:color w:val="auto"/>
          <w:highlight w:val="none"/>
        </w:rPr>
      </w:pPr>
      <w:bookmarkStart w:id="304" w:name="_Toc23341"/>
      <w:bookmarkStart w:id="305" w:name="_Toc14263"/>
      <w:r>
        <w:rPr>
          <w:rFonts w:hint="eastAsia"/>
          <w:color w:val="auto"/>
          <w:highlight w:val="none"/>
        </w:rPr>
        <w:t>九、承诺书</w:t>
      </w:r>
      <w:bookmarkEnd w:id="304"/>
      <w:bookmarkEnd w:id="305"/>
    </w:p>
    <w:p>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41"/>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41"/>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4"/>
        <w:jc w:val="center"/>
        <w:rPr>
          <w:color w:val="auto"/>
          <w:highlight w:val="none"/>
        </w:rPr>
      </w:pPr>
      <w:bookmarkStart w:id="307" w:name="_Toc13653"/>
      <w:bookmarkStart w:id="308" w:name="_Toc13955"/>
      <w:r>
        <w:rPr>
          <w:rFonts w:hint="eastAsia"/>
          <w:color w:val="auto"/>
          <w:highlight w:val="none"/>
        </w:rPr>
        <w:t>十、招标代理服务费承诺书</w:t>
      </w:r>
      <w:bookmarkEnd w:id="307"/>
      <w:bookmarkEnd w:id="308"/>
    </w:p>
    <w:p>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3"/>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jc w:val="center"/>
        <w:rPr>
          <w:color w:val="auto"/>
          <w:highlight w:val="none"/>
        </w:rPr>
      </w:pPr>
      <w:bookmarkStart w:id="309" w:name="_Toc12598"/>
      <w:bookmarkStart w:id="310" w:name="_Toc1975"/>
      <w:r>
        <w:rPr>
          <w:rFonts w:hint="eastAsia"/>
          <w:color w:val="auto"/>
          <w:highlight w:val="none"/>
        </w:rPr>
        <w:t>十一、商务条款偏离表</w:t>
      </w:r>
      <w:bookmarkEnd w:id="309"/>
      <w:bookmarkEnd w:id="310"/>
    </w:p>
    <w:tbl>
      <w:tblPr>
        <w:tblStyle w:val="27"/>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4"/>
        <w:jc w:val="center"/>
        <w:rPr>
          <w:color w:val="auto"/>
          <w:highlight w:val="none"/>
        </w:rPr>
      </w:pPr>
      <w:bookmarkStart w:id="312" w:name="_Toc19276"/>
      <w:bookmarkStart w:id="313" w:name="_Toc25391"/>
      <w:r>
        <w:rPr>
          <w:rFonts w:hint="eastAsia"/>
          <w:color w:val="auto"/>
          <w:highlight w:val="none"/>
        </w:rPr>
        <w:t>十二、业绩表</w:t>
      </w:r>
      <w:bookmarkEnd w:id="312"/>
      <w:bookmarkEnd w:id="313"/>
    </w:p>
    <w:tbl>
      <w:tblPr>
        <w:tblStyle w:val="27"/>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38"/>
        <w:rPr>
          <w:rFonts w:ascii="宋体" w:hAnsi="宋体"/>
          <w:color w:val="auto"/>
          <w:szCs w:val="21"/>
          <w:highlight w:val="none"/>
        </w:rPr>
      </w:pPr>
    </w:p>
    <w:p>
      <w:pPr>
        <w:pStyle w:val="38"/>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pStyle w:val="10"/>
        <w:ind w:left="0"/>
        <w:rPr>
          <w:color w:val="auto"/>
          <w:highlight w:val="none"/>
        </w:rPr>
      </w:pPr>
    </w:p>
    <w:p>
      <w:pPr>
        <w:pStyle w:val="4"/>
        <w:jc w:val="center"/>
        <w:rPr>
          <w:rFonts w:ascii="黑体" w:eastAsia="黑体"/>
          <w:color w:val="auto"/>
          <w:szCs w:val="28"/>
          <w:highlight w:val="none"/>
        </w:rPr>
      </w:pPr>
      <w:bookmarkStart w:id="314" w:name="_Toc14688"/>
      <w:bookmarkStart w:id="315" w:name="_Toc20520"/>
      <w:r>
        <w:rPr>
          <w:rFonts w:hint="eastAsia"/>
          <w:color w:val="auto"/>
          <w:highlight w:val="none"/>
        </w:rPr>
        <w:t>第三章技术文件</w:t>
      </w:r>
      <w:bookmarkEnd w:id="311"/>
      <w:bookmarkEnd w:id="314"/>
      <w:bookmarkEnd w:id="315"/>
    </w:p>
    <w:p>
      <w:pPr>
        <w:pStyle w:val="4"/>
        <w:jc w:val="center"/>
        <w:rPr>
          <w:color w:val="auto"/>
          <w:highlight w:val="none"/>
        </w:rPr>
      </w:pPr>
      <w:bookmarkStart w:id="316" w:name="_Toc13097"/>
      <w:bookmarkStart w:id="317" w:name="_Toc7092"/>
      <w:r>
        <w:rPr>
          <w:rFonts w:hint="eastAsia"/>
          <w:color w:val="auto"/>
          <w:highlight w:val="none"/>
        </w:rPr>
        <w:t>一、技术规格偏离表</w:t>
      </w:r>
      <w:bookmarkEnd w:id="316"/>
      <w:bookmarkEnd w:id="317"/>
    </w:p>
    <w:tbl>
      <w:tblPr>
        <w:tblStyle w:val="27"/>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26078"/>
      <w:bookmarkStart w:id="320" w:name="_Toc1274"/>
      <w:bookmarkStart w:id="321" w:name="_Toc6080"/>
      <w:bookmarkStart w:id="322" w:name="_Toc4827"/>
      <w:bookmarkStart w:id="323" w:name="_Toc18668"/>
      <w:bookmarkStart w:id="324" w:name="_Toc4464"/>
    </w:p>
    <w:p>
      <w:pPr>
        <w:pStyle w:val="4"/>
        <w:jc w:val="center"/>
        <w:rPr>
          <w:color w:val="auto"/>
          <w:highlight w:val="none"/>
        </w:rPr>
      </w:pPr>
      <w:bookmarkStart w:id="325" w:name="_Toc13461"/>
      <w:bookmarkStart w:id="326" w:name="_Toc10734"/>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27" w:name="_Toc29642"/>
            <w:bookmarkStart w:id="328" w:name="_Toc27079"/>
            <w:bookmarkStart w:id="329" w:name="_Toc29560"/>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30" w:name="_Toc14815"/>
            <w:bookmarkStart w:id="331" w:name="_Toc26124"/>
            <w:bookmarkStart w:id="332" w:name="_Toc16872"/>
            <w:bookmarkStart w:id="333" w:name="_Toc15368"/>
            <w:bookmarkStart w:id="334" w:name="_Toc4304"/>
            <w:bookmarkStart w:id="335" w:name="_Toc12049"/>
            <w:bookmarkStart w:id="336" w:name="_Toc27090"/>
            <w:bookmarkStart w:id="337" w:name="_Toc1016"/>
            <w:bookmarkStart w:id="338" w:name="_Toc10045"/>
            <w:bookmarkStart w:id="339" w:name="_Toc15903"/>
            <w:bookmarkStart w:id="340" w:name="_Toc21739"/>
            <w:bookmarkStart w:id="341" w:name="_Toc22448"/>
            <w:bookmarkStart w:id="342" w:name="_Toc2700"/>
            <w:bookmarkStart w:id="343" w:name="_Toc24662"/>
            <w:bookmarkStart w:id="344" w:name="_Toc19251"/>
            <w:bookmarkStart w:id="345" w:name="_Toc22879"/>
            <w:bookmarkStart w:id="346" w:name="_Toc32531"/>
            <w:bookmarkStart w:id="347" w:name="_Toc27442"/>
            <w:bookmarkStart w:id="348" w:name="_Toc22917"/>
            <w:bookmarkStart w:id="349" w:name="_Toc8312"/>
            <w:bookmarkStart w:id="350" w:name="_Toc21809"/>
            <w:bookmarkStart w:id="351" w:name="_Toc7333"/>
            <w:bookmarkStart w:id="352" w:name="_Toc8490"/>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3" w:name="_Toc2408"/>
            <w:bookmarkStart w:id="354" w:name="_Toc10122"/>
            <w:bookmarkStart w:id="355" w:name="_Toc22153"/>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6" w:name="_Toc27285"/>
            <w:bookmarkStart w:id="357" w:name="_Toc16003"/>
            <w:bookmarkStart w:id="358" w:name="_Toc29838"/>
            <w:bookmarkStart w:id="359" w:name="_Toc17642"/>
            <w:bookmarkStart w:id="360" w:name="_Toc1330"/>
            <w:bookmarkStart w:id="361" w:name="_Toc20139"/>
            <w:bookmarkStart w:id="362" w:name="_Toc27185"/>
            <w:bookmarkStart w:id="363" w:name="_Toc17296"/>
            <w:bookmarkStart w:id="364" w:name="_Toc5563"/>
            <w:bookmarkStart w:id="365" w:name="_Toc5992"/>
            <w:bookmarkStart w:id="366" w:name="_Toc1912"/>
            <w:bookmarkStart w:id="367" w:name="_Toc3701"/>
            <w:bookmarkStart w:id="368" w:name="_Toc20820"/>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69" w:name="_Toc857"/>
            <w:bookmarkStart w:id="370" w:name="_Toc19105"/>
            <w:bookmarkStart w:id="371" w:name="_Toc3520"/>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8"/>
        <w:rPr>
          <w:rFonts w:ascii="宋体" w:hAnsi="宋体"/>
          <w:color w:val="auto"/>
          <w:szCs w:val="21"/>
          <w:highlight w:val="none"/>
        </w:rPr>
      </w:pPr>
    </w:p>
    <w:p>
      <w:pPr>
        <w:pStyle w:val="38"/>
        <w:rPr>
          <w:rFonts w:ascii="宋体" w:hAnsi="宋体"/>
          <w:color w:val="auto"/>
          <w:szCs w:val="21"/>
          <w:highlight w:val="none"/>
        </w:rPr>
      </w:pPr>
      <w:r>
        <w:rPr>
          <w:rFonts w:hint="eastAsia" w:ascii="宋体" w:hAnsi="宋体"/>
          <w:color w:val="auto"/>
          <w:szCs w:val="21"/>
          <w:highlight w:val="none"/>
        </w:rPr>
        <w:t>注：</w:t>
      </w:r>
    </w:p>
    <w:p>
      <w:pPr>
        <w:pStyle w:val="38"/>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8"/>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8"/>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8"/>
        <w:rPr>
          <w:rFonts w:ascii="宋体" w:hAnsi="宋体"/>
          <w:color w:val="auto"/>
          <w:szCs w:val="21"/>
          <w:highlight w:val="none"/>
        </w:rPr>
      </w:pPr>
    </w:p>
    <w:p>
      <w:pPr>
        <w:pStyle w:val="38"/>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pPr>
        <w:pStyle w:val="4"/>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4"/>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4"/>
        <w:jc w:val="center"/>
        <w:rPr>
          <w:color w:val="auto"/>
          <w:highlight w:val="none"/>
        </w:rPr>
      </w:pPr>
      <w:bookmarkStart w:id="375" w:name="_Toc16328"/>
      <w:bookmarkStart w:id="376" w:name="_Toc26880"/>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10"/>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377" w:name="_Toc15431"/>
      <w:bookmarkStart w:id="378" w:name="_Toc26980"/>
      <w:r>
        <w:rPr>
          <w:rFonts w:hint="eastAsia"/>
          <w:color w:val="auto"/>
          <w:highlight w:val="none"/>
        </w:rPr>
        <w:t>六、投标货物明细一览表</w:t>
      </w:r>
      <w:bookmarkEnd w:id="377"/>
      <w:bookmarkEnd w:id="378"/>
    </w:p>
    <w:tbl>
      <w:tblPr>
        <w:tblStyle w:val="27"/>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3"/>
              <w:spacing w:line="300" w:lineRule="auto"/>
              <w:jc w:val="center"/>
              <w:rPr>
                <w:rFonts w:hAnsi="宋体" w:cs="宋体"/>
                <w:b w:val="0"/>
                <w:bCs/>
                <w:color w:val="auto"/>
                <w:szCs w:val="21"/>
                <w:highlight w:val="none"/>
              </w:rPr>
            </w:pPr>
          </w:p>
        </w:tc>
        <w:tc>
          <w:tcPr>
            <w:tcW w:w="738" w:type="dxa"/>
            <w:tcBorders>
              <w:tl2br w:val="nil"/>
              <w:tr2bl w:val="nil"/>
            </w:tcBorders>
          </w:tcPr>
          <w:p>
            <w:pPr>
              <w:pStyle w:val="13"/>
              <w:spacing w:line="300" w:lineRule="auto"/>
              <w:jc w:val="center"/>
              <w:rPr>
                <w:rFonts w:hAnsi="宋体" w:cs="宋体"/>
                <w:b w:val="0"/>
                <w:bCs/>
                <w:color w:val="auto"/>
                <w:szCs w:val="21"/>
                <w:highlight w:val="none"/>
              </w:rPr>
            </w:pPr>
          </w:p>
        </w:tc>
        <w:tc>
          <w:tcPr>
            <w:tcW w:w="1616" w:type="dxa"/>
            <w:tcBorders>
              <w:tl2br w:val="nil"/>
              <w:tr2bl w:val="nil"/>
            </w:tcBorders>
          </w:tcPr>
          <w:p>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3"/>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4"/>
        <w:jc w:val="center"/>
        <w:rPr>
          <w:color w:val="auto"/>
          <w:highlight w:val="none"/>
        </w:rPr>
      </w:pPr>
      <w:bookmarkStart w:id="379" w:name="_Toc6961"/>
      <w:r>
        <w:rPr>
          <w:rFonts w:hint="eastAsia"/>
          <w:color w:val="auto"/>
          <w:highlight w:val="none"/>
        </w:rPr>
        <w:t>七、政府采购履约担保函</w:t>
      </w:r>
      <w:bookmarkEnd w:id="379"/>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10"/>
        <w:rPr>
          <w:color w:val="auto"/>
          <w:highlight w:val="none"/>
        </w:rPr>
      </w:pPr>
    </w:p>
    <w:p>
      <w:pPr>
        <w:rPr>
          <w:color w:val="auto"/>
          <w:highlight w:val="none"/>
        </w:rPr>
      </w:pPr>
      <w:r>
        <w:rPr>
          <w:color w:val="auto"/>
          <w:highlight w:val="none"/>
        </w:rPr>
        <w:br w:type="page"/>
      </w:r>
    </w:p>
    <w:p>
      <w:pPr>
        <w:pStyle w:val="4"/>
        <w:jc w:val="center"/>
        <w:rPr>
          <w:color w:val="auto"/>
          <w:highlight w:val="none"/>
        </w:rPr>
      </w:pPr>
      <w:bookmarkStart w:id="380" w:name="_Toc26782"/>
      <w:bookmarkStart w:id="381" w:name="_Toc26772"/>
      <w:r>
        <w:rPr>
          <w:rFonts w:hint="eastAsia"/>
          <w:color w:val="auto"/>
          <w:highlight w:val="none"/>
        </w:rPr>
        <w:t>第四章唱标信封（单独封装）</w:t>
      </w:r>
      <w:bookmarkEnd w:id="380"/>
      <w:bookmarkEnd w:id="381"/>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2"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rPr>
          <w:color w:val="auto"/>
          <w:highlight w:val="none"/>
        </w:rPr>
      </w:pPr>
    </w:p>
    <w:p>
      <w:pPr>
        <w:rPr>
          <w:color w:val="auto"/>
          <w:highlight w:val="none"/>
        </w:rPr>
      </w:pPr>
    </w:p>
    <w:p>
      <w:pPr>
        <w:pStyle w:val="4"/>
        <w:jc w:val="center"/>
        <w:rPr>
          <w:color w:val="auto"/>
          <w:highlight w:val="none"/>
        </w:rPr>
      </w:pPr>
      <w:bookmarkStart w:id="383" w:name="_Toc22736"/>
      <w:bookmarkStart w:id="384" w:name="_Toc2710"/>
      <w:r>
        <w:rPr>
          <w:rFonts w:hint="eastAsia"/>
          <w:color w:val="auto"/>
          <w:highlight w:val="none"/>
        </w:rPr>
        <w:t>第五章联合体共同投标协议书（如有需要）</w:t>
      </w:r>
      <w:bookmarkEnd w:id="383"/>
      <w:bookmarkEnd w:id="384"/>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pPr>
        <w:pStyle w:val="10"/>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10"/>
        <w:rPr>
          <w:color w:val="auto"/>
          <w:sz w:val="21"/>
          <w:szCs w:val="21"/>
          <w:highlight w:val="none"/>
        </w:rPr>
      </w:pPr>
    </w:p>
    <w:p>
      <w:pPr>
        <w:rPr>
          <w:rFonts w:ascii="宋体" w:hAnsi="宋体" w:cs="宋体"/>
          <w:color w:val="auto"/>
          <w:szCs w:val="21"/>
          <w:highlight w:val="none"/>
        </w:rPr>
      </w:pPr>
    </w:p>
    <w:p>
      <w:pPr>
        <w:pStyle w:val="10"/>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10"/>
        <w:rPr>
          <w:color w:val="auto"/>
          <w:highlight w:val="none"/>
        </w:rPr>
      </w:pPr>
    </w:p>
    <w:p>
      <w:pPr>
        <w:rPr>
          <w:color w:val="auto"/>
          <w:highlight w:val="none"/>
        </w:rPr>
      </w:pPr>
    </w:p>
    <w:p>
      <w:pPr>
        <w:pStyle w:val="1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pStyle w:val="26"/>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7"/>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pPr>
        <w:pStyle w:val="26"/>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6"/>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6"/>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6"/>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6"/>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6"/>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6"/>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6"/>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6"/>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6"/>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6"/>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6"/>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6"/>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2"/>
        <w:rPr>
          <w:rFonts w:eastAsia="微软雅黑"/>
        </w:rPr>
      </w:pPr>
      <w:r>
        <w:rPr>
          <w:rStyle w:val="33"/>
        </w:rPr>
        <w:footnoteRef/>
      </w:r>
      <w:r>
        <w:t xml:space="preserve"> </w:t>
      </w:r>
      <w:r>
        <w:rPr>
          <w:rFonts w:hint="eastAsia"/>
        </w:rPr>
        <w:t>从业人员、营业人员、资产总额填报上一年度数据，无上一年度数据的新成立企业可不填报。</w:t>
      </w:r>
    </w:p>
  </w:footnote>
  <w:footnote w:id="1">
    <w:p>
      <w:pPr>
        <w:pStyle w:val="22"/>
      </w:pPr>
      <w:r>
        <w:rPr>
          <w:rStyle w:val="33"/>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554753B"/>
    <w:multiLevelType w:val="singleLevel"/>
    <w:tmpl w:val="6554753B"/>
    <w:lvl w:ilvl="0" w:tentative="0">
      <w:start w:val="2"/>
      <w:numFmt w:val="chineseCounting"/>
      <w:suff w:val="space"/>
      <w:lvlText w:val="第%1章"/>
      <w:lvlJc w:val="left"/>
      <w:rPr>
        <w:rFonts w:hint="eastAsia"/>
      </w:r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11"/>
  </w:num>
  <w:num w:numId="10">
    <w:abstractNumId w:val="2"/>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1C626C"/>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A97DEC"/>
    <w:rsid w:val="05C81981"/>
    <w:rsid w:val="064E6EC7"/>
    <w:rsid w:val="065A32ED"/>
    <w:rsid w:val="06BC41F2"/>
    <w:rsid w:val="06DF3DBD"/>
    <w:rsid w:val="06EA08AE"/>
    <w:rsid w:val="07197D08"/>
    <w:rsid w:val="071C2CFD"/>
    <w:rsid w:val="071E5C55"/>
    <w:rsid w:val="07366196"/>
    <w:rsid w:val="073A47CB"/>
    <w:rsid w:val="073F7319"/>
    <w:rsid w:val="07536A42"/>
    <w:rsid w:val="07595F41"/>
    <w:rsid w:val="07615EC0"/>
    <w:rsid w:val="077005AB"/>
    <w:rsid w:val="078F4581"/>
    <w:rsid w:val="07995C5E"/>
    <w:rsid w:val="07BE179A"/>
    <w:rsid w:val="07BF027F"/>
    <w:rsid w:val="07E23C93"/>
    <w:rsid w:val="08031A31"/>
    <w:rsid w:val="081A5CC7"/>
    <w:rsid w:val="089F1700"/>
    <w:rsid w:val="08A276E5"/>
    <w:rsid w:val="09061A75"/>
    <w:rsid w:val="09182241"/>
    <w:rsid w:val="09242E62"/>
    <w:rsid w:val="093C069F"/>
    <w:rsid w:val="09417888"/>
    <w:rsid w:val="096332E7"/>
    <w:rsid w:val="09855177"/>
    <w:rsid w:val="09870F93"/>
    <w:rsid w:val="09D658E4"/>
    <w:rsid w:val="09F1637C"/>
    <w:rsid w:val="0A25628F"/>
    <w:rsid w:val="0AA534D5"/>
    <w:rsid w:val="0AA650EB"/>
    <w:rsid w:val="0AB8066A"/>
    <w:rsid w:val="0AF47339"/>
    <w:rsid w:val="0B22594B"/>
    <w:rsid w:val="0B797387"/>
    <w:rsid w:val="0B8B2381"/>
    <w:rsid w:val="0BC044BE"/>
    <w:rsid w:val="0BDF26F7"/>
    <w:rsid w:val="0BE34502"/>
    <w:rsid w:val="0BF027CF"/>
    <w:rsid w:val="0C264099"/>
    <w:rsid w:val="0C2B4952"/>
    <w:rsid w:val="0C436DE4"/>
    <w:rsid w:val="0C7B2220"/>
    <w:rsid w:val="0D890E47"/>
    <w:rsid w:val="0DBD266C"/>
    <w:rsid w:val="0DC64A00"/>
    <w:rsid w:val="0DFC60BA"/>
    <w:rsid w:val="0E1243D2"/>
    <w:rsid w:val="0E4249F1"/>
    <w:rsid w:val="0E7A447D"/>
    <w:rsid w:val="0F0623D7"/>
    <w:rsid w:val="0F6C5A53"/>
    <w:rsid w:val="0F7C5FF6"/>
    <w:rsid w:val="0FC63FBD"/>
    <w:rsid w:val="101645B3"/>
    <w:rsid w:val="106C564D"/>
    <w:rsid w:val="107B7B8F"/>
    <w:rsid w:val="107C67CE"/>
    <w:rsid w:val="1080523F"/>
    <w:rsid w:val="108F06C9"/>
    <w:rsid w:val="109D68CB"/>
    <w:rsid w:val="10A949B8"/>
    <w:rsid w:val="10C54639"/>
    <w:rsid w:val="11200D07"/>
    <w:rsid w:val="11DA73AF"/>
    <w:rsid w:val="11DF733C"/>
    <w:rsid w:val="11E903EC"/>
    <w:rsid w:val="11F2417A"/>
    <w:rsid w:val="12C60D80"/>
    <w:rsid w:val="12CD47F0"/>
    <w:rsid w:val="131867D4"/>
    <w:rsid w:val="131F7A3A"/>
    <w:rsid w:val="132645D0"/>
    <w:rsid w:val="13455ABC"/>
    <w:rsid w:val="1370322B"/>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F72341"/>
    <w:rsid w:val="17095F55"/>
    <w:rsid w:val="17407617"/>
    <w:rsid w:val="17680CAB"/>
    <w:rsid w:val="176E4128"/>
    <w:rsid w:val="1783371F"/>
    <w:rsid w:val="17D54E75"/>
    <w:rsid w:val="17E62B67"/>
    <w:rsid w:val="180C0192"/>
    <w:rsid w:val="180F4499"/>
    <w:rsid w:val="18221ECE"/>
    <w:rsid w:val="190B7894"/>
    <w:rsid w:val="19302282"/>
    <w:rsid w:val="19A2789F"/>
    <w:rsid w:val="1A460CF5"/>
    <w:rsid w:val="1A7F297D"/>
    <w:rsid w:val="1AB16AC1"/>
    <w:rsid w:val="1B034A52"/>
    <w:rsid w:val="1B1F34AD"/>
    <w:rsid w:val="1B8D5DC6"/>
    <w:rsid w:val="1BFE1D3B"/>
    <w:rsid w:val="1C153208"/>
    <w:rsid w:val="1C2775EC"/>
    <w:rsid w:val="1C750ECE"/>
    <w:rsid w:val="1CA22168"/>
    <w:rsid w:val="1CD40CA8"/>
    <w:rsid w:val="1CE03EE3"/>
    <w:rsid w:val="1D0836D7"/>
    <w:rsid w:val="1D196139"/>
    <w:rsid w:val="1D301EE7"/>
    <w:rsid w:val="1DB85900"/>
    <w:rsid w:val="1DF051AF"/>
    <w:rsid w:val="1E010AF7"/>
    <w:rsid w:val="1E0178EB"/>
    <w:rsid w:val="1E301173"/>
    <w:rsid w:val="1E38333E"/>
    <w:rsid w:val="1E5C7612"/>
    <w:rsid w:val="1EA40BB4"/>
    <w:rsid w:val="1F43381C"/>
    <w:rsid w:val="1F6170AE"/>
    <w:rsid w:val="1FA4148D"/>
    <w:rsid w:val="20121621"/>
    <w:rsid w:val="201A421D"/>
    <w:rsid w:val="20341172"/>
    <w:rsid w:val="20360432"/>
    <w:rsid w:val="204E554F"/>
    <w:rsid w:val="20590035"/>
    <w:rsid w:val="20C35213"/>
    <w:rsid w:val="20FC799E"/>
    <w:rsid w:val="22154DDD"/>
    <w:rsid w:val="22213E42"/>
    <w:rsid w:val="22336873"/>
    <w:rsid w:val="22DA780D"/>
    <w:rsid w:val="23175889"/>
    <w:rsid w:val="23675953"/>
    <w:rsid w:val="238C2182"/>
    <w:rsid w:val="239015D1"/>
    <w:rsid w:val="23BB4E7D"/>
    <w:rsid w:val="23C172D6"/>
    <w:rsid w:val="23F04F64"/>
    <w:rsid w:val="24270557"/>
    <w:rsid w:val="24814CBE"/>
    <w:rsid w:val="24AC168B"/>
    <w:rsid w:val="24C8293B"/>
    <w:rsid w:val="258C3BEC"/>
    <w:rsid w:val="25E576CC"/>
    <w:rsid w:val="260E3862"/>
    <w:rsid w:val="262569FC"/>
    <w:rsid w:val="26344C98"/>
    <w:rsid w:val="26F56CE2"/>
    <w:rsid w:val="271316D3"/>
    <w:rsid w:val="27435D49"/>
    <w:rsid w:val="279D7544"/>
    <w:rsid w:val="27A34F71"/>
    <w:rsid w:val="27B36A67"/>
    <w:rsid w:val="27E35D14"/>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F22742"/>
    <w:rsid w:val="2C08720B"/>
    <w:rsid w:val="2C4A4550"/>
    <w:rsid w:val="2C987C56"/>
    <w:rsid w:val="2CC7419D"/>
    <w:rsid w:val="2CFF149A"/>
    <w:rsid w:val="2D113745"/>
    <w:rsid w:val="2D201865"/>
    <w:rsid w:val="2D4B5CEA"/>
    <w:rsid w:val="2D652658"/>
    <w:rsid w:val="2DC80C49"/>
    <w:rsid w:val="2DCA6355"/>
    <w:rsid w:val="2DDD36DB"/>
    <w:rsid w:val="2DF0699F"/>
    <w:rsid w:val="2E166748"/>
    <w:rsid w:val="2E556F01"/>
    <w:rsid w:val="2E8E20B4"/>
    <w:rsid w:val="2EB9239F"/>
    <w:rsid w:val="2ED06066"/>
    <w:rsid w:val="2ED1223D"/>
    <w:rsid w:val="2EE470F7"/>
    <w:rsid w:val="2EF223E2"/>
    <w:rsid w:val="2F000139"/>
    <w:rsid w:val="2F111253"/>
    <w:rsid w:val="2F561B8A"/>
    <w:rsid w:val="2F9F42DC"/>
    <w:rsid w:val="2FE04319"/>
    <w:rsid w:val="2FF37AB3"/>
    <w:rsid w:val="304A650F"/>
    <w:rsid w:val="308C7755"/>
    <w:rsid w:val="30FF27D2"/>
    <w:rsid w:val="31170995"/>
    <w:rsid w:val="31264A30"/>
    <w:rsid w:val="31612810"/>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4302B9"/>
    <w:rsid w:val="335D0AF5"/>
    <w:rsid w:val="3370088C"/>
    <w:rsid w:val="33A3154A"/>
    <w:rsid w:val="33DC2F78"/>
    <w:rsid w:val="3428227C"/>
    <w:rsid w:val="342C5935"/>
    <w:rsid w:val="35260F83"/>
    <w:rsid w:val="35602226"/>
    <w:rsid w:val="356B72E7"/>
    <w:rsid w:val="357065AB"/>
    <w:rsid w:val="3572424F"/>
    <w:rsid w:val="35FC3844"/>
    <w:rsid w:val="366061FD"/>
    <w:rsid w:val="36621B40"/>
    <w:rsid w:val="366B5A1C"/>
    <w:rsid w:val="36794DEF"/>
    <w:rsid w:val="36AD519D"/>
    <w:rsid w:val="36B57705"/>
    <w:rsid w:val="36E75B41"/>
    <w:rsid w:val="373563ED"/>
    <w:rsid w:val="374F1A0B"/>
    <w:rsid w:val="3778009F"/>
    <w:rsid w:val="37A103ED"/>
    <w:rsid w:val="37A358C5"/>
    <w:rsid w:val="37EA5E6E"/>
    <w:rsid w:val="37FA0B59"/>
    <w:rsid w:val="37FF016F"/>
    <w:rsid w:val="38427C0B"/>
    <w:rsid w:val="387C5ABE"/>
    <w:rsid w:val="38865AC7"/>
    <w:rsid w:val="389B3A1E"/>
    <w:rsid w:val="38EB6119"/>
    <w:rsid w:val="396320CA"/>
    <w:rsid w:val="39DE33DA"/>
    <w:rsid w:val="39FA5B4A"/>
    <w:rsid w:val="39FE0BE9"/>
    <w:rsid w:val="3A3C1AAF"/>
    <w:rsid w:val="3A424C25"/>
    <w:rsid w:val="3A4B7CC1"/>
    <w:rsid w:val="3A51228C"/>
    <w:rsid w:val="3A552E60"/>
    <w:rsid w:val="3A5D642F"/>
    <w:rsid w:val="3AB210FC"/>
    <w:rsid w:val="3ACE216B"/>
    <w:rsid w:val="3AD95C13"/>
    <w:rsid w:val="3AE668E2"/>
    <w:rsid w:val="3B261E51"/>
    <w:rsid w:val="3B3C0B7C"/>
    <w:rsid w:val="3B973F88"/>
    <w:rsid w:val="3BCD72F7"/>
    <w:rsid w:val="3C0E4B06"/>
    <w:rsid w:val="3C414142"/>
    <w:rsid w:val="3CE114D9"/>
    <w:rsid w:val="3CF737A2"/>
    <w:rsid w:val="3CF7509A"/>
    <w:rsid w:val="3D10295A"/>
    <w:rsid w:val="3DED21B5"/>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EB15FB"/>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6E004E6"/>
    <w:rsid w:val="47841568"/>
    <w:rsid w:val="479D1D34"/>
    <w:rsid w:val="47B609C0"/>
    <w:rsid w:val="47CF543E"/>
    <w:rsid w:val="482D31EA"/>
    <w:rsid w:val="485970A0"/>
    <w:rsid w:val="48847961"/>
    <w:rsid w:val="48A41906"/>
    <w:rsid w:val="48B65C71"/>
    <w:rsid w:val="48F303D7"/>
    <w:rsid w:val="492837FF"/>
    <w:rsid w:val="492E6A57"/>
    <w:rsid w:val="49894B84"/>
    <w:rsid w:val="49B86103"/>
    <w:rsid w:val="49F306B0"/>
    <w:rsid w:val="4A0030EE"/>
    <w:rsid w:val="4AC36065"/>
    <w:rsid w:val="4B1A0A44"/>
    <w:rsid w:val="4B560086"/>
    <w:rsid w:val="4B7501F5"/>
    <w:rsid w:val="4B813110"/>
    <w:rsid w:val="4B8C2DEB"/>
    <w:rsid w:val="4BFA3C9F"/>
    <w:rsid w:val="4C0E3379"/>
    <w:rsid w:val="4C107F48"/>
    <w:rsid w:val="4C3277BC"/>
    <w:rsid w:val="4C686851"/>
    <w:rsid w:val="4CB25875"/>
    <w:rsid w:val="4CC353EB"/>
    <w:rsid w:val="4CEA1028"/>
    <w:rsid w:val="4CF010CF"/>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24311E2"/>
    <w:rsid w:val="52506DA7"/>
    <w:rsid w:val="533B2B84"/>
    <w:rsid w:val="537A7243"/>
    <w:rsid w:val="539C1B81"/>
    <w:rsid w:val="53AA6184"/>
    <w:rsid w:val="53AE750F"/>
    <w:rsid w:val="53EB0895"/>
    <w:rsid w:val="53F263AD"/>
    <w:rsid w:val="54141A4D"/>
    <w:rsid w:val="54693932"/>
    <w:rsid w:val="549A6BFA"/>
    <w:rsid w:val="54E72921"/>
    <w:rsid w:val="553F3C8C"/>
    <w:rsid w:val="55806F07"/>
    <w:rsid w:val="55FA2961"/>
    <w:rsid w:val="565E3E0E"/>
    <w:rsid w:val="565E7F4F"/>
    <w:rsid w:val="56775789"/>
    <w:rsid w:val="56857D06"/>
    <w:rsid w:val="56914056"/>
    <w:rsid w:val="569F0E63"/>
    <w:rsid w:val="56DB613D"/>
    <w:rsid w:val="573810DA"/>
    <w:rsid w:val="57F13760"/>
    <w:rsid w:val="57FC2169"/>
    <w:rsid w:val="58096275"/>
    <w:rsid w:val="580E4560"/>
    <w:rsid w:val="581C04F1"/>
    <w:rsid w:val="582E6EF7"/>
    <w:rsid w:val="583848C6"/>
    <w:rsid w:val="58434392"/>
    <w:rsid w:val="584E30E6"/>
    <w:rsid w:val="58D6122A"/>
    <w:rsid w:val="59014D02"/>
    <w:rsid w:val="590F3CC3"/>
    <w:rsid w:val="59577976"/>
    <w:rsid w:val="597B384D"/>
    <w:rsid w:val="59996DA8"/>
    <w:rsid w:val="59AC3CE9"/>
    <w:rsid w:val="59C30F1B"/>
    <w:rsid w:val="5A0D5854"/>
    <w:rsid w:val="5A20156F"/>
    <w:rsid w:val="5A8E5D27"/>
    <w:rsid w:val="5A9847F3"/>
    <w:rsid w:val="5AAB640A"/>
    <w:rsid w:val="5AC7121C"/>
    <w:rsid w:val="5AD90B8D"/>
    <w:rsid w:val="5AE12927"/>
    <w:rsid w:val="5B2243E9"/>
    <w:rsid w:val="5B4E1A44"/>
    <w:rsid w:val="5B4E2617"/>
    <w:rsid w:val="5B595A64"/>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1B5066"/>
    <w:rsid w:val="5D562DA3"/>
    <w:rsid w:val="5D893B14"/>
    <w:rsid w:val="5D9F3D30"/>
    <w:rsid w:val="5E2810D5"/>
    <w:rsid w:val="5E2B7D62"/>
    <w:rsid w:val="5E71411E"/>
    <w:rsid w:val="5EA06921"/>
    <w:rsid w:val="5ED5006A"/>
    <w:rsid w:val="5F576E4B"/>
    <w:rsid w:val="5F5D4EDE"/>
    <w:rsid w:val="5F7A2C30"/>
    <w:rsid w:val="5F7E5DBD"/>
    <w:rsid w:val="5FBE370A"/>
    <w:rsid w:val="5FDA503D"/>
    <w:rsid w:val="5FE2787B"/>
    <w:rsid w:val="60292845"/>
    <w:rsid w:val="608544E6"/>
    <w:rsid w:val="60A4258E"/>
    <w:rsid w:val="61014BB6"/>
    <w:rsid w:val="61027308"/>
    <w:rsid w:val="612E1A5D"/>
    <w:rsid w:val="61816046"/>
    <w:rsid w:val="61C55CA9"/>
    <w:rsid w:val="62182687"/>
    <w:rsid w:val="62391564"/>
    <w:rsid w:val="62816669"/>
    <w:rsid w:val="62BA0953"/>
    <w:rsid w:val="62D03A7C"/>
    <w:rsid w:val="62F16BCB"/>
    <w:rsid w:val="62F648FE"/>
    <w:rsid w:val="632B573B"/>
    <w:rsid w:val="63341DB1"/>
    <w:rsid w:val="63447612"/>
    <w:rsid w:val="63907004"/>
    <w:rsid w:val="63A10995"/>
    <w:rsid w:val="63C23EFA"/>
    <w:rsid w:val="63FC0BD9"/>
    <w:rsid w:val="643A070A"/>
    <w:rsid w:val="644C573D"/>
    <w:rsid w:val="648667A7"/>
    <w:rsid w:val="64D448DB"/>
    <w:rsid w:val="64DB383A"/>
    <w:rsid w:val="65032F85"/>
    <w:rsid w:val="65136B50"/>
    <w:rsid w:val="657E2A35"/>
    <w:rsid w:val="65A94E9D"/>
    <w:rsid w:val="65AF3FB6"/>
    <w:rsid w:val="65C60A92"/>
    <w:rsid w:val="662203DD"/>
    <w:rsid w:val="666B723B"/>
    <w:rsid w:val="6678045A"/>
    <w:rsid w:val="66DD6702"/>
    <w:rsid w:val="66EB5152"/>
    <w:rsid w:val="674D780C"/>
    <w:rsid w:val="679406CB"/>
    <w:rsid w:val="67AB52F1"/>
    <w:rsid w:val="67C35C0B"/>
    <w:rsid w:val="681233D2"/>
    <w:rsid w:val="681D5EE5"/>
    <w:rsid w:val="68652AB3"/>
    <w:rsid w:val="6895578E"/>
    <w:rsid w:val="689F1926"/>
    <w:rsid w:val="68AD17BB"/>
    <w:rsid w:val="68AE30B8"/>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AFC023C"/>
    <w:rsid w:val="6B1002C0"/>
    <w:rsid w:val="6B1F5CFA"/>
    <w:rsid w:val="6B723594"/>
    <w:rsid w:val="6B805156"/>
    <w:rsid w:val="6BC8250C"/>
    <w:rsid w:val="6BD50977"/>
    <w:rsid w:val="6BEA2A9B"/>
    <w:rsid w:val="6BFC3A16"/>
    <w:rsid w:val="6C187AE1"/>
    <w:rsid w:val="6C9C0875"/>
    <w:rsid w:val="6C9D1F03"/>
    <w:rsid w:val="6CAA3931"/>
    <w:rsid w:val="6D3933CA"/>
    <w:rsid w:val="6D7B61EC"/>
    <w:rsid w:val="6DC3266E"/>
    <w:rsid w:val="6DD049FF"/>
    <w:rsid w:val="6DED73B5"/>
    <w:rsid w:val="6E09491E"/>
    <w:rsid w:val="6E0D3655"/>
    <w:rsid w:val="6E146808"/>
    <w:rsid w:val="6E5F4465"/>
    <w:rsid w:val="6E8C54DA"/>
    <w:rsid w:val="6E914FF3"/>
    <w:rsid w:val="6E9C2C58"/>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14556B4"/>
    <w:rsid w:val="715B60E9"/>
    <w:rsid w:val="719A5DFD"/>
    <w:rsid w:val="71E96309"/>
    <w:rsid w:val="71EA1FED"/>
    <w:rsid w:val="72284A0C"/>
    <w:rsid w:val="72C16204"/>
    <w:rsid w:val="72CC29CD"/>
    <w:rsid w:val="730313F6"/>
    <w:rsid w:val="731E1007"/>
    <w:rsid w:val="73370D24"/>
    <w:rsid w:val="7359268C"/>
    <w:rsid w:val="73676C3F"/>
    <w:rsid w:val="739503EB"/>
    <w:rsid w:val="73A05B28"/>
    <w:rsid w:val="73C07D69"/>
    <w:rsid w:val="749E2255"/>
    <w:rsid w:val="74A82DB5"/>
    <w:rsid w:val="74AB340D"/>
    <w:rsid w:val="74B42AE4"/>
    <w:rsid w:val="74D430B7"/>
    <w:rsid w:val="750A429D"/>
    <w:rsid w:val="75120317"/>
    <w:rsid w:val="75167F59"/>
    <w:rsid w:val="754D77D2"/>
    <w:rsid w:val="755D38A7"/>
    <w:rsid w:val="755F5A0F"/>
    <w:rsid w:val="75614792"/>
    <w:rsid w:val="75784473"/>
    <w:rsid w:val="757E044C"/>
    <w:rsid w:val="75977BC3"/>
    <w:rsid w:val="75B161B3"/>
    <w:rsid w:val="75C56F82"/>
    <w:rsid w:val="75E470E3"/>
    <w:rsid w:val="76736B32"/>
    <w:rsid w:val="76E3765E"/>
    <w:rsid w:val="76FC2AFA"/>
    <w:rsid w:val="773F0836"/>
    <w:rsid w:val="77653671"/>
    <w:rsid w:val="778546CC"/>
    <w:rsid w:val="77B56730"/>
    <w:rsid w:val="77C04A8B"/>
    <w:rsid w:val="77D85DB3"/>
    <w:rsid w:val="780252A0"/>
    <w:rsid w:val="78027772"/>
    <w:rsid w:val="78A50513"/>
    <w:rsid w:val="793B7339"/>
    <w:rsid w:val="794A31D9"/>
    <w:rsid w:val="796518DD"/>
    <w:rsid w:val="796E0C55"/>
    <w:rsid w:val="79AA0532"/>
    <w:rsid w:val="79F70999"/>
    <w:rsid w:val="79FE1DDD"/>
    <w:rsid w:val="7A075767"/>
    <w:rsid w:val="7A212062"/>
    <w:rsid w:val="7A282A11"/>
    <w:rsid w:val="7A354279"/>
    <w:rsid w:val="7AB90FF6"/>
    <w:rsid w:val="7ABA2E36"/>
    <w:rsid w:val="7AC21562"/>
    <w:rsid w:val="7AD474A4"/>
    <w:rsid w:val="7B115232"/>
    <w:rsid w:val="7B416BDC"/>
    <w:rsid w:val="7B5350AD"/>
    <w:rsid w:val="7B6867EB"/>
    <w:rsid w:val="7B697C89"/>
    <w:rsid w:val="7B8D34C3"/>
    <w:rsid w:val="7B971D84"/>
    <w:rsid w:val="7BA9508D"/>
    <w:rsid w:val="7BF32F03"/>
    <w:rsid w:val="7C1724A5"/>
    <w:rsid w:val="7C8E3CCF"/>
    <w:rsid w:val="7CA54112"/>
    <w:rsid w:val="7CE50CE4"/>
    <w:rsid w:val="7D0F49CF"/>
    <w:rsid w:val="7D2177E3"/>
    <w:rsid w:val="7D2E5ABF"/>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7"/>
    <w:unhideWhenUsed/>
    <w:qFormat/>
    <w:uiPriority w:val="9"/>
    <w:pPr>
      <w:keepNext/>
      <w:keepLines/>
      <w:outlineLvl w:val="2"/>
    </w:pPr>
    <w:rPr>
      <w:b/>
      <w:bCs/>
      <w:sz w:val="28"/>
      <w:szCs w:val="32"/>
    </w:rPr>
  </w:style>
  <w:style w:type="paragraph" w:styleId="5">
    <w:name w:val="heading 4"/>
    <w:basedOn w:val="1"/>
    <w:next w:val="1"/>
    <w:link w:val="39"/>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8">
    <w:name w:val="Normal Indent"/>
    <w:basedOn w:val="1"/>
    <w:qFormat/>
    <w:uiPriority w:val="0"/>
    <w:pPr>
      <w:autoSpaceDE w:val="0"/>
      <w:autoSpaceDN w:val="0"/>
      <w:adjustRightInd w:val="0"/>
      <w:ind w:firstLine="420"/>
      <w:jc w:val="left"/>
      <w:textAlignment w:val="baseline"/>
    </w:pPr>
    <w:rPr>
      <w:rFonts w:ascii="宋体"/>
      <w:kern w:val="0"/>
      <w:sz w:val="34"/>
      <w:szCs w:val="20"/>
    </w:rPr>
  </w:style>
  <w:style w:type="paragraph" w:styleId="9">
    <w:name w:val="annotation text"/>
    <w:basedOn w:val="1"/>
    <w:semiHidden/>
    <w:unhideWhenUsed/>
    <w:qFormat/>
    <w:uiPriority w:val="99"/>
  </w:style>
  <w:style w:type="paragraph" w:styleId="10">
    <w:name w:val="Body Text"/>
    <w:basedOn w:val="1"/>
    <w:next w:val="11"/>
    <w:qFormat/>
    <w:uiPriority w:val="1"/>
    <w:pPr>
      <w:spacing w:before="161"/>
      <w:ind w:left="120"/>
    </w:pPr>
    <w:rPr>
      <w:rFonts w:ascii="宋体" w:hAnsi="宋体" w:cs="宋体"/>
      <w:sz w:val="24"/>
      <w:lang w:val="zh-CN" w:bidi="zh-CN"/>
    </w:rPr>
  </w:style>
  <w:style w:type="paragraph" w:styleId="11">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12">
    <w:name w:val="toc 3"/>
    <w:basedOn w:val="1"/>
    <w:next w:val="1"/>
    <w:unhideWhenUsed/>
    <w:qFormat/>
    <w:uiPriority w:val="39"/>
    <w:pPr>
      <w:tabs>
        <w:tab w:val="right" w:leader="dot" w:pos="8296"/>
      </w:tabs>
      <w:ind w:left="838" w:leftChars="381"/>
    </w:pPr>
    <w:rPr>
      <w:szCs w:val="21"/>
    </w:rPr>
  </w:style>
  <w:style w:type="paragraph" w:styleId="13">
    <w:name w:val="Plain Text"/>
    <w:basedOn w:val="1"/>
    <w:link w:val="49"/>
    <w:qFormat/>
    <w:uiPriority w:val="0"/>
    <w:pPr>
      <w:widowControl w:val="0"/>
      <w:adjustRightInd/>
      <w:snapToGrid/>
      <w:jc w:val="both"/>
    </w:pPr>
    <w:rPr>
      <w:rFonts w:ascii="宋体" w:hAnsi="Courier New" w:cs="Times New Roman"/>
      <w:b/>
      <w:kern w:val="2"/>
      <w:szCs w:val="20"/>
    </w:rPr>
  </w:style>
  <w:style w:type="paragraph" w:styleId="14">
    <w:name w:val="Body Text Indent 2"/>
    <w:basedOn w:val="1"/>
    <w:qFormat/>
    <w:uiPriority w:val="0"/>
    <w:pPr>
      <w:ind w:firstLine="539" w:firstLineChars="174"/>
    </w:pPr>
    <w:rPr>
      <w:rFonts w:ascii="仿宋_GB2312" w:eastAsia="仿宋_GB2312"/>
      <w:sz w:val="31"/>
    </w:rPr>
  </w:style>
  <w:style w:type="paragraph" w:styleId="15">
    <w:name w:val="Balloon Text"/>
    <w:basedOn w:val="1"/>
    <w:link w:val="52"/>
    <w:semiHidden/>
    <w:unhideWhenUsed/>
    <w:qFormat/>
    <w:uiPriority w:val="99"/>
    <w:rPr>
      <w:sz w:val="18"/>
      <w:szCs w:val="18"/>
    </w:rPr>
  </w:style>
  <w:style w:type="paragraph" w:styleId="16">
    <w:name w:val="footer"/>
    <w:basedOn w:val="1"/>
    <w:link w:val="51"/>
    <w:unhideWhenUsed/>
    <w:qFormat/>
    <w:uiPriority w:val="99"/>
    <w:pPr>
      <w:tabs>
        <w:tab w:val="center" w:pos="4153"/>
        <w:tab w:val="right" w:pos="8306"/>
      </w:tabs>
    </w:pPr>
    <w:rPr>
      <w:sz w:val="18"/>
      <w:szCs w:val="18"/>
    </w:rPr>
  </w:style>
  <w:style w:type="paragraph" w:styleId="17">
    <w:name w:val="header"/>
    <w:basedOn w:val="1"/>
    <w:link w:val="50"/>
    <w:unhideWhenUsed/>
    <w:qFormat/>
    <w:uiPriority w:val="99"/>
    <w:pPr>
      <w:pBdr>
        <w:bottom w:val="single" w:color="auto" w:sz="6" w:space="1"/>
      </w:pBdr>
      <w:tabs>
        <w:tab w:val="center" w:pos="4153"/>
        <w:tab w:val="right" w:pos="8306"/>
      </w:tabs>
      <w:jc w:val="center"/>
    </w:pPr>
    <w:rPr>
      <w:sz w:val="18"/>
      <w:szCs w:val="18"/>
    </w:rPr>
  </w:style>
  <w:style w:type="paragraph" w:styleId="18">
    <w:name w:val="toc 1"/>
    <w:basedOn w:val="1"/>
    <w:next w:val="1"/>
    <w:semiHidden/>
    <w:unhideWhenUsed/>
    <w:qFormat/>
    <w:uiPriority w:val="39"/>
  </w:style>
  <w:style w:type="paragraph" w:styleId="19">
    <w:name w:val="toc 4"/>
    <w:basedOn w:val="1"/>
    <w:next w:val="1"/>
    <w:unhideWhenUsed/>
    <w:qFormat/>
    <w:uiPriority w:val="39"/>
    <w:pPr>
      <w:tabs>
        <w:tab w:val="right" w:leader="dot" w:pos="8296"/>
      </w:tabs>
      <w:spacing w:after="120"/>
      <w:ind w:left="1320" w:leftChars="600"/>
    </w:pPr>
  </w:style>
  <w:style w:type="paragraph" w:styleId="20">
    <w:name w:val="index heading"/>
    <w:basedOn w:val="1"/>
    <w:next w:val="21"/>
    <w:qFormat/>
    <w:uiPriority w:val="0"/>
    <w:rPr>
      <w:rFonts w:ascii="Times New Roman" w:hAnsi="Times New Roman"/>
      <w:szCs w:val="20"/>
    </w:rPr>
  </w:style>
  <w:style w:type="paragraph" w:styleId="21">
    <w:name w:val="index 1"/>
    <w:basedOn w:val="1"/>
    <w:next w:val="1"/>
    <w:unhideWhenUsed/>
    <w:qFormat/>
    <w:uiPriority w:val="99"/>
  </w:style>
  <w:style w:type="paragraph" w:styleId="22">
    <w:name w:val="footnote text"/>
    <w:basedOn w:val="1"/>
    <w:semiHidden/>
    <w:unhideWhenUsed/>
    <w:qFormat/>
    <w:uiPriority w:val="99"/>
    <w:rPr>
      <w:sz w:val="18"/>
    </w:rPr>
  </w:style>
  <w:style w:type="paragraph" w:styleId="23">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4">
    <w:name w:val="Normal (Web)"/>
    <w:basedOn w:val="1"/>
    <w:link w:val="54"/>
    <w:qFormat/>
    <w:uiPriority w:val="0"/>
    <w:pPr>
      <w:widowControl w:val="0"/>
      <w:adjustRightInd/>
      <w:snapToGrid/>
      <w:jc w:val="both"/>
    </w:pPr>
    <w:rPr>
      <w:rFonts w:asciiTheme="minorHAnsi" w:hAnsiTheme="minorHAnsi"/>
      <w:kern w:val="2"/>
      <w:sz w:val="24"/>
      <w:szCs w:val="24"/>
    </w:rPr>
  </w:style>
  <w:style w:type="paragraph" w:styleId="25">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6">
    <w:name w:val="Body Text First Indent"/>
    <w:basedOn w:val="10"/>
    <w:unhideWhenUsed/>
    <w:qFormat/>
    <w:uiPriority w:val="99"/>
    <w:pPr>
      <w:ind w:firstLine="420" w:firstLineChars="100"/>
    </w:pPr>
    <w:rPr>
      <w:rFonts w:ascii="Times New Roman" w:hAnsi="Times New Roman" w:cs="Times New Roman"/>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Emphasis"/>
    <w:basedOn w:val="29"/>
    <w:qFormat/>
    <w:uiPriority w:val="20"/>
    <w:rPr>
      <w:i/>
      <w:iCs/>
    </w:rPr>
  </w:style>
  <w:style w:type="character" w:styleId="31">
    <w:name w:val="Hyperlink"/>
    <w:qFormat/>
    <w:uiPriority w:val="99"/>
    <w:rPr>
      <w:rFonts w:hint="eastAsia" w:ascii="宋体" w:hAnsi="宋体" w:eastAsia="宋体" w:cs="宋体"/>
      <w:b/>
      <w:color w:val="0031C1"/>
      <w:kern w:val="0"/>
      <w:sz w:val="18"/>
      <w:szCs w:val="18"/>
      <w:u w:val="none"/>
      <w:lang w:eastAsia="en-US"/>
    </w:rPr>
  </w:style>
  <w:style w:type="character" w:styleId="32">
    <w:name w:val="annotation reference"/>
    <w:basedOn w:val="29"/>
    <w:semiHidden/>
    <w:unhideWhenUsed/>
    <w:qFormat/>
    <w:uiPriority w:val="99"/>
    <w:rPr>
      <w:sz w:val="21"/>
      <w:szCs w:val="21"/>
    </w:rPr>
  </w:style>
  <w:style w:type="character" w:styleId="33">
    <w:name w:val="footnote reference"/>
    <w:basedOn w:val="29"/>
    <w:semiHidden/>
    <w:unhideWhenUsed/>
    <w:qFormat/>
    <w:uiPriority w:val="99"/>
    <w:rPr>
      <w:vertAlign w:val="superscript"/>
    </w:rPr>
  </w:style>
  <w:style w:type="paragraph" w:customStyle="1" w:styleId="34">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5">
    <w:name w:val="表格文字"/>
    <w:basedOn w:val="1"/>
    <w:qFormat/>
    <w:uiPriority w:val="0"/>
    <w:pPr>
      <w:adjustRightInd/>
      <w:spacing w:before="25" w:after="25"/>
    </w:pPr>
    <w:rPr>
      <w:rFonts w:ascii="Times New Roman"/>
      <w:bCs/>
      <w:spacing w:val="10"/>
      <w:szCs w:val="20"/>
    </w:rPr>
  </w:style>
  <w:style w:type="character" w:customStyle="1" w:styleId="36">
    <w:name w:val="标题 2 Char"/>
    <w:basedOn w:val="29"/>
    <w:link w:val="3"/>
    <w:qFormat/>
    <w:uiPriority w:val="9"/>
    <w:rPr>
      <w:rFonts w:asciiTheme="majorHAnsi" w:hAnsiTheme="majorHAnsi" w:eastAsiaTheme="majorEastAsia" w:cstheme="majorBidi"/>
      <w:b/>
      <w:bCs/>
      <w:sz w:val="32"/>
      <w:szCs w:val="32"/>
    </w:rPr>
  </w:style>
  <w:style w:type="character" w:customStyle="1" w:styleId="37">
    <w:name w:val="标题 3 Char"/>
    <w:basedOn w:val="29"/>
    <w:link w:val="4"/>
    <w:qFormat/>
    <w:uiPriority w:val="9"/>
    <w:rPr>
      <w:rFonts w:ascii="Tahoma" w:hAnsi="Tahoma" w:eastAsia="宋体"/>
      <w:b/>
      <w:bCs/>
      <w:sz w:val="28"/>
      <w:szCs w:val="32"/>
    </w:rPr>
  </w:style>
  <w:style w:type="paragraph" w:styleId="38">
    <w:name w:val="List Paragraph"/>
    <w:basedOn w:val="1"/>
    <w:qFormat/>
    <w:uiPriority w:val="34"/>
    <w:pPr>
      <w:ind w:firstLine="420" w:firstLineChars="200"/>
    </w:pPr>
  </w:style>
  <w:style w:type="character" w:customStyle="1" w:styleId="39">
    <w:name w:val="标题 4 Char"/>
    <w:basedOn w:val="29"/>
    <w:link w:val="5"/>
    <w:qFormat/>
    <w:uiPriority w:val="9"/>
    <w:rPr>
      <w:rFonts w:eastAsia="宋体" w:asciiTheme="majorHAnsi" w:hAnsiTheme="majorHAnsi" w:cstheme="majorBidi"/>
      <w:b/>
      <w:bCs/>
      <w:sz w:val="24"/>
      <w:szCs w:val="28"/>
    </w:rPr>
  </w:style>
  <w:style w:type="character" w:customStyle="1" w:styleId="40">
    <w:name w:val="正文缩进2格 Char"/>
    <w:link w:val="41"/>
    <w:qFormat/>
    <w:uiPriority w:val="0"/>
    <w:rPr>
      <w:rFonts w:ascii="仿宋_GB2312" w:hAnsi="宋体" w:eastAsia="仿宋_GB2312"/>
      <w:kern w:val="2"/>
      <w:sz w:val="31"/>
    </w:rPr>
  </w:style>
  <w:style w:type="paragraph" w:customStyle="1" w:styleId="41">
    <w:name w:val="正文缩进2格"/>
    <w:basedOn w:val="1"/>
    <w:next w:val="1"/>
    <w:link w:val="40"/>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2">
    <w:name w:val="正文缩进4格"/>
    <w:basedOn w:val="41"/>
    <w:qFormat/>
    <w:uiPriority w:val="0"/>
    <w:pPr>
      <w:ind w:left="2" w:firstLine="538" w:firstLineChars="192"/>
    </w:pPr>
    <w:rPr>
      <w:color w:val="0000FF"/>
      <w:sz w:val="28"/>
    </w:rPr>
  </w:style>
  <w:style w:type="character" w:customStyle="1" w:styleId="43">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4">
    <w:name w:val="标题1"/>
    <w:qFormat/>
    <w:uiPriority w:val="0"/>
    <w:rPr>
      <w:rFonts w:ascii="Times New Roman" w:hAnsi="Times New Roman" w:eastAsia="宋体" w:cs="Times New Roman"/>
      <w:b/>
      <w:kern w:val="0"/>
      <w:sz w:val="24"/>
      <w:szCs w:val="20"/>
      <w:lang w:eastAsia="en-US"/>
    </w:rPr>
  </w:style>
  <w:style w:type="character" w:customStyle="1" w:styleId="45">
    <w:name w:val="标题 3.1 Char"/>
    <w:link w:val="46"/>
    <w:qFormat/>
    <w:uiPriority w:val="0"/>
    <w:rPr>
      <w:rFonts w:ascii="宋体" w:hAnsi="宋体" w:eastAsia="宋体"/>
      <w:b/>
      <w:color w:val="FF0000"/>
      <w:kern w:val="2"/>
      <w:sz w:val="32"/>
    </w:rPr>
  </w:style>
  <w:style w:type="paragraph" w:customStyle="1" w:styleId="46">
    <w:name w:val="标题 3.1"/>
    <w:basedOn w:val="4"/>
    <w:link w:val="45"/>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7">
    <w:name w:val="样式 楷体_GB2312 小四"/>
    <w:qFormat/>
    <w:uiPriority w:val="0"/>
    <w:rPr>
      <w:rFonts w:ascii="楷体_GB2312" w:hAnsi="楷体_GB2312" w:eastAsia="仿宋_GB2312"/>
      <w:sz w:val="24"/>
    </w:rPr>
  </w:style>
  <w:style w:type="character" w:customStyle="1" w:styleId="48">
    <w:name w:val="纯文本 Char"/>
    <w:qFormat/>
    <w:uiPriority w:val="0"/>
    <w:rPr>
      <w:rFonts w:ascii="宋体" w:hAnsi="Courier New" w:eastAsia="宋体" w:cs="Times New Roman"/>
      <w:b/>
      <w:kern w:val="2"/>
      <w:sz w:val="21"/>
      <w:szCs w:val="20"/>
    </w:rPr>
  </w:style>
  <w:style w:type="character" w:customStyle="1" w:styleId="49">
    <w:name w:val="纯文本 Char1"/>
    <w:basedOn w:val="29"/>
    <w:link w:val="13"/>
    <w:semiHidden/>
    <w:qFormat/>
    <w:uiPriority w:val="99"/>
    <w:rPr>
      <w:rFonts w:ascii="宋体" w:hAnsi="Courier New" w:eastAsia="宋体" w:cs="Courier New"/>
      <w:sz w:val="21"/>
      <w:szCs w:val="21"/>
    </w:rPr>
  </w:style>
  <w:style w:type="character" w:customStyle="1" w:styleId="50">
    <w:name w:val="页眉 Char"/>
    <w:basedOn w:val="29"/>
    <w:link w:val="17"/>
    <w:qFormat/>
    <w:uiPriority w:val="99"/>
    <w:rPr>
      <w:rFonts w:ascii="Tahoma" w:hAnsi="Tahoma"/>
      <w:sz w:val="18"/>
      <w:szCs w:val="18"/>
    </w:rPr>
  </w:style>
  <w:style w:type="character" w:customStyle="1" w:styleId="51">
    <w:name w:val="页脚 Char"/>
    <w:basedOn w:val="29"/>
    <w:link w:val="16"/>
    <w:qFormat/>
    <w:uiPriority w:val="99"/>
    <w:rPr>
      <w:rFonts w:ascii="Tahoma" w:hAnsi="Tahoma"/>
      <w:sz w:val="18"/>
      <w:szCs w:val="18"/>
    </w:rPr>
  </w:style>
  <w:style w:type="character" w:customStyle="1" w:styleId="52">
    <w:name w:val="批注框文本 Char"/>
    <w:basedOn w:val="29"/>
    <w:link w:val="15"/>
    <w:semiHidden/>
    <w:qFormat/>
    <w:uiPriority w:val="99"/>
    <w:rPr>
      <w:rFonts w:ascii="Tahoma" w:hAnsi="Tahoma"/>
      <w:sz w:val="18"/>
      <w:szCs w:val="18"/>
    </w:rPr>
  </w:style>
  <w:style w:type="paragraph" w:customStyle="1" w:styleId="53">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4">
    <w:name w:val="普通(网站) Char"/>
    <w:link w:val="24"/>
    <w:qFormat/>
    <w:uiPriority w:val="0"/>
    <w:rPr>
      <w:rFonts w:eastAsia="宋体"/>
      <w:kern w:val="2"/>
      <w:sz w:val="24"/>
      <w:szCs w:val="24"/>
    </w:rPr>
  </w:style>
  <w:style w:type="paragraph" w:customStyle="1" w:styleId="55">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6">
    <w:name w:val="p141"/>
    <w:qFormat/>
    <w:uiPriority w:val="0"/>
    <w:rPr>
      <w:sz w:val="21"/>
      <w:szCs w:val="21"/>
    </w:rPr>
  </w:style>
  <w:style w:type="paragraph" w:customStyle="1" w:styleId="57">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8">
    <w:name w:val="正文无缩进"/>
    <w:basedOn w:val="41"/>
    <w:qFormat/>
    <w:uiPriority w:val="0"/>
    <w:pPr>
      <w:ind w:firstLine="0" w:firstLineChars="0"/>
    </w:pPr>
  </w:style>
  <w:style w:type="paragraph" w:customStyle="1" w:styleId="59">
    <w:name w:val="一级条标题"/>
    <w:basedOn w:val="60"/>
    <w:next w:val="61"/>
    <w:qFormat/>
    <w:uiPriority w:val="0"/>
    <w:pPr>
      <w:tabs>
        <w:tab w:val="left" w:pos="720"/>
      </w:tabs>
      <w:spacing w:beforeLines="0" w:afterLines="0"/>
      <w:outlineLvl w:val="2"/>
    </w:pPr>
  </w:style>
  <w:style w:type="paragraph" w:customStyle="1" w:styleId="60">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1">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2">
    <w:name w:val="font212"/>
    <w:basedOn w:val="29"/>
    <w:qFormat/>
    <w:uiPriority w:val="0"/>
    <w:rPr>
      <w:rFonts w:ascii="宋体" w:hAnsi="宋体" w:eastAsia="宋体" w:cs="宋体"/>
      <w:color w:val="000000"/>
      <w:sz w:val="22"/>
      <w:szCs w:val="22"/>
      <w:u w:val="none"/>
    </w:rPr>
  </w:style>
  <w:style w:type="character" w:customStyle="1" w:styleId="63">
    <w:name w:val="font41"/>
    <w:basedOn w:val="29"/>
    <w:qFormat/>
    <w:uiPriority w:val="0"/>
    <w:rPr>
      <w:rFonts w:hint="eastAsia" w:ascii="宋体" w:hAnsi="宋体" w:eastAsia="宋体" w:cs="宋体"/>
      <w:color w:val="000000"/>
      <w:sz w:val="22"/>
      <w:szCs w:val="22"/>
      <w:u w:val="none"/>
    </w:rPr>
  </w:style>
  <w:style w:type="character" w:customStyle="1" w:styleId="64">
    <w:name w:val="font181"/>
    <w:basedOn w:val="29"/>
    <w:qFormat/>
    <w:uiPriority w:val="0"/>
    <w:rPr>
      <w:rFonts w:hint="default" w:ascii="Times New Roman" w:hAnsi="Times New Roman" w:cs="Times New Roman"/>
      <w:color w:val="000000"/>
      <w:sz w:val="22"/>
      <w:szCs w:val="22"/>
      <w:u w:val="none"/>
    </w:rPr>
  </w:style>
  <w:style w:type="character" w:customStyle="1" w:styleId="65">
    <w:name w:val="font221"/>
    <w:basedOn w:val="29"/>
    <w:qFormat/>
    <w:uiPriority w:val="0"/>
    <w:rPr>
      <w:rFonts w:hint="eastAsia" w:ascii="宋体" w:hAnsi="宋体" w:eastAsia="宋体" w:cs="宋体"/>
      <w:color w:val="000000"/>
      <w:sz w:val="22"/>
      <w:szCs w:val="22"/>
      <w:u w:val="none"/>
      <w:vertAlign w:val="superscript"/>
    </w:rPr>
  </w:style>
  <w:style w:type="character" w:customStyle="1" w:styleId="66">
    <w:name w:val="font161"/>
    <w:basedOn w:val="29"/>
    <w:qFormat/>
    <w:uiPriority w:val="0"/>
    <w:rPr>
      <w:rFonts w:hint="eastAsia" w:ascii="宋体" w:hAnsi="宋体" w:eastAsia="宋体" w:cs="宋体"/>
      <w:color w:val="000000"/>
      <w:sz w:val="22"/>
      <w:szCs w:val="22"/>
      <w:u w:val="none"/>
    </w:rPr>
  </w:style>
  <w:style w:type="character" w:customStyle="1" w:styleId="67">
    <w:name w:val="font131"/>
    <w:basedOn w:val="29"/>
    <w:qFormat/>
    <w:uiPriority w:val="0"/>
    <w:rPr>
      <w:rFonts w:hint="eastAsia" w:ascii="微软雅黑" w:hAnsi="微软雅黑" w:eastAsia="微软雅黑" w:cs="微软雅黑"/>
      <w:color w:val="000000"/>
      <w:sz w:val="22"/>
      <w:szCs w:val="22"/>
      <w:u w:val="none"/>
    </w:rPr>
  </w:style>
  <w:style w:type="paragraph" w:customStyle="1" w:styleId="68">
    <w:name w:val="*正文"/>
    <w:basedOn w:val="1"/>
    <w:qFormat/>
    <w:uiPriority w:val="0"/>
    <w:pPr>
      <w:spacing w:after="200"/>
      <w:ind w:firstLine="200"/>
    </w:pPr>
    <w:rPr>
      <w:rFonts w:ascii="宋体" w:hAnsi="宋体"/>
      <w:sz w:val="24"/>
      <w:szCs w:val="24"/>
    </w:rPr>
  </w:style>
  <w:style w:type="paragraph" w:customStyle="1" w:styleId="69">
    <w:name w:val="列出段落2"/>
    <w:basedOn w:val="1"/>
    <w:qFormat/>
    <w:uiPriority w:val="0"/>
    <w:pPr>
      <w:ind w:firstLine="420" w:firstLineChars="200"/>
    </w:pPr>
    <w:rPr>
      <w:rFonts w:ascii="Calibri" w:hAnsi="Calibri" w:cs="Times New Roman"/>
    </w:rPr>
  </w:style>
  <w:style w:type="paragraph" w:customStyle="1" w:styleId="70">
    <w:name w:val="Table Paragraph"/>
    <w:basedOn w:val="1"/>
    <w:qFormat/>
    <w:uiPriority w:val="1"/>
  </w:style>
  <w:style w:type="table" w:customStyle="1" w:styleId="71">
    <w:name w:val="Table Normal"/>
    <w:semiHidden/>
    <w:unhideWhenUsed/>
    <w:qFormat/>
    <w:uiPriority w:val="2"/>
    <w:pPr>
      <w:widowControl w:val="0"/>
      <w:autoSpaceDE w:val="0"/>
      <w:autoSpaceDN w:val="0"/>
    </w:pPr>
    <w:rPr>
      <w:rFonts w:ascii="Times New Roman" w:hAnsi="Times New Roman" w:eastAsia="宋体" w:cs="Times New Roman"/>
      <w:kern w:val="0"/>
      <w:sz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80</Pages>
  <Words>32351</Words>
  <Characters>33479</Characters>
  <Lines>392</Lines>
  <Paragraphs>110</Paragraphs>
  <TotalTime>2</TotalTime>
  <ScaleCrop>false</ScaleCrop>
  <LinksUpToDate>false</LinksUpToDate>
  <CharactersWithSpaces>35684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2023-06-28T02:58:14Z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253A37EFDBE949D3B49D0640D5D1FFA4_13</vt:lpwstr>
  </property>
</Properties>
</file>