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441900014-2023-00374</w:t>
      </w:r>
    </w:p>
    <w:p>
      <w:pPr>
        <w:jc w:val="center"/>
      </w:pPr>
      <w:r>
        <w:rPr>
          <w:b/>
          <w:sz w:val="24"/>
        </w:rPr>
        <w:t>采购项目编号：</w:t>
      </w:r>
      <w:r>
        <w:rPr>
          <w:b/>
          <w:sz w:val="24"/>
        </w:rPr>
        <w:t>441900014-2023-00374</w:t>
      </w:r>
    </w:p>
    <w:p>
      <w:pPr>
        <w:jc w:val="center"/>
      </w:pPr>
      <w:r>
        <w:rPr>
          <w:b/>
          <w:sz w:val="24"/>
        </w:rPr>
        <w:t>项目名称：</w:t>
      </w:r>
      <w:r>
        <w:rPr>
          <w:b/>
          <w:sz w:val="24"/>
        </w:rPr>
        <w:t>东莞市横沥医院64排CT球管采购项目</w:t>
      </w:r>
    </w:p>
    <w:p>
      <w:pPr>
        <w:jc w:val="center"/>
      </w:pPr>
      <w:r>
        <w:rPr>
          <w:b/>
          <w:sz w:val="24"/>
        </w:rPr>
        <w:t>采购人：</w:t>
      </w:r>
      <w:r>
        <w:rPr>
          <w:b/>
          <w:sz w:val="24"/>
        </w:rPr>
        <w:t>东莞市横沥医院</w:t>
      </w:r>
    </w:p>
    <w:p>
      <w:pPr>
        <w:jc w:val="center"/>
      </w:pPr>
      <w:r>
        <w:rPr>
          <w:b/>
          <w:sz w:val="24"/>
        </w:rPr>
        <w:t>采购代理机构：</w:t>
      </w:r>
      <w:r>
        <w:rPr>
          <w:b/>
          <w:sz w:val="24"/>
        </w:rPr>
        <w:t>广东政通招标有限公司</w:t>
      </w:r>
    </w:p>
    <w:p>
      <w:pPr>
        <w:ind w:firstLine="480"/>
      </w:pPr>
    </w:p>
    <w:p>
      <w:r>
        <w:rPr/>
        <w:t xml:space="preserve"> </w:t>
      </w:r>
    </w:p>
    <w:p/>
    <w:p>
      <w:pPr>
        <w:jc w:val="center"/>
      </w:pPr>
      <w:r>
        <w:rPr>
          <w:b/>
          <w:sz w:val="36"/>
        </w:rPr>
        <w:t>第一章投标邀请</w:t>
      </w:r>
    </w:p>
    <w:p>
      <w:pPr>
        <w:ind w:firstLine="480"/>
      </w:pPr>
      <w:r>
        <w:rPr/>
        <w:t>广东政通招标有限公司</w:t>
      </w:r>
      <w:r>
        <w:rPr/>
        <w:t>受</w:t>
      </w:r>
      <w:r>
        <w:rPr/>
        <w:t>东莞市横沥医院</w:t>
      </w:r>
      <w:r>
        <w:rPr/>
        <w:t>的委托，采用</w:t>
      </w:r>
      <w:r>
        <w:rPr/>
        <w:t>公开招标</w:t>
      </w:r>
      <w:r>
        <w:rPr/>
        <w:t>方式组织采购</w:t>
      </w:r>
      <w:r>
        <w:rPr/>
        <w:t>东莞市横沥医院64排CT球管采购项目</w:t>
      </w:r>
      <w:r>
        <w:rPr/>
        <w:t>。欢迎符合资格条件的国内供应商参加投标。</w:t>
      </w:r>
    </w:p>
    <w:p>
      <w:r>
        <w:rPr>
          <w:b/>
          <w:sz w:val="28"/>
        </w:rPr>
        <w:t>一.项目概述</w:t>
      </w:r>
    </w:p>
    <w:p>
      <w:r>
        <w:rPr>
          <w:b/>
          <w:sz w:val="24"/>
        </w:rPr>
        <w:t>1.名称与编号</w:t>
      </w:r>
    </w:p>
    <w:p>
      <w:pPr>
        <w:ind w:firstLine="480"/>
      </w:pPr>
      <w:r>
        <w:rPr/>
        <w:t>项目名称：</w:t>
      </w:r>
      <w:r>
        <w:rPr/>
        <w:t>东莞市横沥医院64排CT球管采购项目</w:t>
      </w:r>
    </w:p>
    <w:p>
      <w:pPr>
        <w:ind w:firstLine="480"/>
      </w:pPr>
      <w:r>
        <w:rPr/>
        <w:t>采购计划编号：</w:t>
      </w:r>
      <w:r>
        <w:rPr/>
        <w:t>441900014-2023-00374</w:t>
      </w:r>
    </w:p>
    <w:p>
      <w:pPr>
        <w:ind w:firstLine="480"/>
      </w:pPr>
      <w:r>
        <w:rPr/>
        <w:t>采购项目编号：</w:t>
      </w:r>
      <w:r>
        <w:rPr/>
        <w:t>441900014-2023-00374</w:t>
      </w:r>
    </w:p>
    <w:p>
      <w:pPr>
        <w:ind w:firstLine="480"/>
      </w:pPr>
      <w:r>
        <w:rPr/>
        <w:t>采购方式：</w:t>
      </w:r>
      <w:r>
        <w:rPr/>
        <w:t>公开招标</w:t>
      </w:r>
    </w:p>
    <w:p>
      <w:pPr>
        <w:ind w:firstLine="480"/>
      </w:pPr>
      <w:r>
        <w:rPr/>
        <w:t>预算金额：</w:t>
      </w:r>
      <w:r>
        <w:rPr/>
        <w:t>1,400,000.00</w:t>
      </w:r>
      <w:r>
        <w:rPr/>
        <w:t>元</w:t>
      </w:r>
    </w:p>
    <w:p>
      <w:r>
        <w:rPr>
          <w:b/>
          <w:sz w:val="24"/>
        </w:rPr>
        <w:t>2.项目内容及需求情况（采购项目技术规格、参数及要求）</w:t>
      </w:r>
    </w:p>
    <w:p>
      <w:pPr>
        <w:ind w:firstLine="480"/>
      </w:pPr>
    </w:p>
    <w:p/>
    <w:p>
      <w:r>
        <w:rPr/>
        <w:t>采购包1(东莞市横沥医院64排CT球管采购项目):</w:t>
      </w:r>
    </w:p>
    <w:p>
      <w:r>
        <w:rPr/>
        <w:t>采购包预算金额：1,400,000.00元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1-1</w:t>
            </w:r>
          </w:p>
        </w:tc>
        <w:tc>
          <w:tcPr>
            <w:tcW w:type="dxa" w:w="1368"/>
          </w:tcPr>
          <w:p>
            <w:r>
              <w:rPr/>
              <w:t>医疗设备零部件</w:t>
            </w:r>
          </w:p>
        </w:tc>
        <w:tc>
          <w:tcPr>
            <w:tcW w:type="dxa" w:w="2052"/>
          </w:tcPr>
          <w:p>
            <w:r>
              <w:rPr/>
              <w:t>64排CT球管</w:t>
            </w:r>
          </w:p>
        </w:tc>
        <w:tc>
          <w:tcPr>
            <w:tcW w:type="dxa" w:w="977"/>
          </w:tcPr>
          <w:p>
            <w:r>
              <w:rPr/>
              <w:t>1(套)</w:t>
            </w:r>
          </w:p>
        </w:tc>
        <w:tc>
          <w:tcPr>
            <w:tcW w:type="dxa" w:w="977"/>
          </w:tcPr>
          <w:p>
            <w:r>
              <w:rPr/>
              <w:t>详见第二章</w:t>
            </w:r>
          </w:p>
        </w:tc>
        <w:tc>
          <w:tcPr>
            <w:tcW w:type="dxa" w:w="977"/>
          </w:tcPr>
          <w:p>
            <w:r>
              <w:rPr/>
              <w:t>1,400,000.00</w:t>
            </w:r>
          </w:p>
        </w:tc>
        <w:tc>
          <w:tcPr>
            <w:tcW w:type="dxa" w:w="977"/>
          </w:tcPr>
          <w:p>
            <w:r>
              <w:rPr/>
              <w:t>否</w:t>
            </w:r>
          </w:p>
        </w:tc>
      </w:tr>
    </w:tbl>
    <w:p/>
    <w:p>
      <w:r>
        <w:rPr/>
        <w:t>本采购包不接受联合体投标</w:t>
      </w:r>
    </w:p>
    <w:p/>
    <w:p>
      <w:r>
        <w:rPr/>
        <w:t>合同履行期限：收到采购人通知后3天内。</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p/>
    <w:p>
      <w:r>
        <w:rPr/>
        <w:t>2）有依法缴纳税收和社会保障资金的良好记录：投标（响应）文件中提供《资格条件承诺函》。</w:t>
      </w:r>
    </w:p>
    <w:p/>
    <w:p>
      <w:r>
        <w:rPr/>
        <w:t>3）具有良好的商业信誉和健全的财务会计制度：投标（响应）文件中提供《资格条件承诺函》。</w:t>
      </w:r>
    </w:p>
    <w:p/>
    <w:p>
      <w:r>
        <w:rPr/>
        <w:t>4）履行合同所必需的设备和专业技术能力：投标（响应）文件中提供《资格条件承诺函》。</w:t>
      </w:r>
    </w:p>
    <w:p/>
    <w:p>
      <w:r>
        <w:rPr/>
        <w:t>5）参加采购活动前3年内，在经营活动中没有重大违法记录：投标（响应）文件中提供《资格条件承诺函》。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采购包1（东莞市横沥医院64排CT球管采购项目）：</w:t>
      </w:r>
      <w:r>
        <w:rPr/>
        <w:t>本项目不属于专门面向中小企业采购的项目。</w:t>
      </w:r>
    </w:p>
    <w:p/>
    <w:p>
      <w:r>
        <w:rPr>
          <w:b/>
          <w:sz w:val="24"/>
        </w:rPr>
        <w:t>3.本项目特定的资格要求：</w:t>
      </w:r>
    </w:p>
    <w:p>
      <w:pPr>
        <w:ind w:firstLine="480"/>
      </w:pPr>
    </w:p>
    <w:p/>
    <w:p>
      <w:r>
        <w:rPr/>
        <w:t>采购包1（东莞市横沥医院64排CT球管采购项目）：</w:t>
      </w:r>
    </w:p>
    <w:p/>
    <w:p>
      <w:r>
        <w:rPr/>
        <w:t>1)供应商未被列入“信用中国”网站(www.creditchina.gov.cn)“记录失信被执行人或税收违法黑名单”记录名单；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t>3)①投标人为代理商的，从事第三类医疗器械经营的应取得有效期内的《医疗器械经营许可证》或《医疗器械经营企业许可证》；从事第二类医疗器械经营的，需提供（或承诺中标后提供）有效的《第二类医疗器械经营备案凭证》； ②投标人为生产厂商的，从事第二类或第三类医疗器械生产的供应商，应取得药品监督管理部门颁发的在有效期内的《医疗器械生产许可证》或《医疗器械生产企业许可证》；从事第一类医疗器械生产的供应商，需提供（或承诺中标后提供）有效的《第一类医疗器械生产备案凭证》； ③投标货物若属于中国医疗器械注册管理范围内的，则应取得监督管理部门颁发的相应的《中华人民共和国医疗器械注册证》或《医疗器械产品注册登记表》。</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p>
    <w:p>
      <w:r>
        <w:rPr>
          <w:b/>
          <w:sz w:val="28"/>
        </w:rPr>
        <w:t>六.本项目联系方式：</w:t>
      </w:r>
    </w:p>
    <w:p>
      <w:r>
        <w:rPr>
          <w:b/>
          <w:sz w:val="24"/>
        </w:rPr>
        <w:t>1.采购人信息</w:t>
      </w:r>
    </w:p>
    <w:p>
      <w:pPr>
        <w:ind w:firstLine="480"/>
      </w:pPr>
      <w:r>
        <w:rPr/>
        <w:t>名称：</w:t>
      </w:r>
      <w:r>
        <w:rPr/>
        <w:t>东莞市横沥医院</w:t>
      </w:r>
    </w:p>
    <w:p>
      <w:pPr>
        <w:ind w:firstLine="480"/>
      </w:pPr>
      <w:r>
        <w:rPr/>
        <w:t>地址：</w:t>
      </w:r>
      <w:r>
        <w:rPr/>
        <w:t>东莞市横沥天桥路205号</w:t>
      </w:r>
    </w:p>
    <w:p>
      <w:pPr>
        <w:ind w:firstLine="480"/>
      </w:pPr>
      <w:r>
        <w:rPr/>
        <w:t>联系方式：</w:t>
      </w:r>
      <w:r>
        <w:rPr/>
        <w:t>0769-83371826</w:t>
      </w:r>
    </w:p>
    <w:p>
      <w:r>
        <w:rPr>
          <w:b/>
          <w:sz w:val="24"/>
        </w:rPr>
        <w:t>2.采购代理机构信息</w:t>
      </w:r>
    </w:p>
    <w:p>
      <w:pPr>
        <w:ind w:firstLine="480"/>
      </w:pPr>
      <w:r>
        <w:rPr/>
        <w:t>名称：</w:t>
      </w:r>
      <w:r>
        <w:rPr/>
        <w:t>广东政通招标有限公司</w:t>
      </w:r>
    </w:p>
    <w:p>
      <w:pPr>
        <w:ind w:firstLine="480"/>
      </w:pPr>
      <w:r>
        <w:rPr/>
        <w:t>地址：</w:t>
      </w:r>
      <w:r>
        <w:rPr/>
        <w:t>广东省东莞市南城街道广东省东莞市南城街道鸿福路199号410、411室</w:t>
      </w:r>
    </w:p>
    <w:p>
      <w:pPr>
        <w:ind w:firstLine="480"/>
      </w:pPr>
      <w:r>
        <w:rPr/>
        <w:t>联系方式：</w:t>
      </w:r>
      <w:r>
        <w:rPr/>
        <w:t>0769-22881803</w:t>
      </w:r>
    </w:p>
    <w:p>
      <w:r>
        <w:rPr>
          <w:b/>
          <w:sz w:val="24"/>
        </w:rPr>
        <w:t>3.项目联系方式</w:t>
      </w:r>
    </w:p>
    <w:p>
      <w:pPr>
        <w:ind w:firstLine="480"/>
      </w:pPr>
      <w:r>
        <w:rPr/>
        <w:t>项目联系人：</w:t>
      </w:r>
      <w:r>
        <w:rPr/>
        <w:t>杨俊平</w:t>
      </w:r>
    </w:p>
    <w:p>
      <w:pPr>
        <w:ind w:firstLine="480"/>
      </w:pPr>
      <w:r>
        <w:rPr/>
        <w:t>电话：</w:t>
      </w:r>
      <w:r>
        <w:rPr/>
        <w:t>0769-22881803</w:t>
      </w:r>
    </w:p>
    <w:p>
      <w:r>
        <w:rPr>
          <w:b/>
          <w:sz w:val="24"/>
        </w:rPr>
        <w:t>4.技术支持联系方式</w:t>
      </w:r>
    </w:p>
    <w:p>
      <w:pPr>
        <w:ind w:firstLine="480"/>
      </w:pPr>
      <w:r>
        <w:rPr/>
        <w:t>云平台联系方式：020-88696588</w:t>
      </w:r>
    </w:p>
    <w:p>
      <w:r>
        <w:rPr/>
        <w:t>采购代理机构：</w:t>
      </w:r>
      <w:r>
        <w:rPr/>
        <w:t>广东政通招标有限公司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both"/>
      </w:pPr>
      <w:r>
        <w:rPr>
          <w:sz w:val="21"/>
        </w:rPr>
        <w:t>本项目为</w:t>
      </w:r>
      <w:r>
        <w:rPr>
          <w:sz w:val="21"/>
        </w:rPr>
        <w:t>东莞市横沥医院</w:t>
      </w:r>
      <w:r>
        <w:rPr>
          <w:sz w:val="21"/>
        </w:rPr>
        <w:t>64排CT球管采购项目</w:t>
      </w:r>
      <w:r>
        <w:rPr>
          <w:sz w:val="21"/>
        </w:rPr>
        <w:t>。</w:t>
      </w:r>
    </w:p>
    <w:p/>
    <w:p>
      <w:pPr>
        <w:ind w:firstLine="480"/>
      </w:pPr>
    </w:p>
    <w:p/>
    <w:p>
      <w:r>
        <w:rPr/>
        <w:t>采购包1（东莞市横沥医院64排CT球管采购项目）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收到采购人通知后3天内。</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1期：支付比例100%,签订合同后60天内支付合同金额的20%，全部货物安装验收合格，中标人开具合格正规等额发票及验收报告，采购人在60天内支付合同金额的80%。</w:t>
            </w:r>
          </w:p>
        </w:tc>
      </w:tr>
      <w:tr>
        <w:tc>
          <w:tcPr>
            <w:tcW w:type="dxa" w:w="4153"/>
          </w:tcPr>
          <w:p>
            <w:r>
              <w:rPr/>
              <w:t>验收要求</w:t>
            </w:r>
          </w:p>
        </w:tc>
        <w:tc>
          <w:tcPr>
            <w:tcW w:type="dxa" w:w="4153"/>
          </w:tcPr>
          <w:p/>
          <w:p/>
          <w:p/>
          <w:p>
            <w:r>
              <w:rPr/>
              <w:t>1期：按国家及相关行业标准进行验收</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报价要求，投标报价应包括本次招标所有服务内容的费用，包括人工、材料、机械设备使用费、CT球管安装及调试费用、措施费、税费以及合同实施过程中的不可预见费用等全部费用。</w:t>
            </w:r>
          </w:p>
          <w:p/>
          <w:p>
            <w:r>
              <w:rPr/>
              <w:t>其他要求，（1）质保期：自安装验收合格结束之日起12个月。 （2）验收期：安装完成后7天之内需进行验收工作。 （3）投标人应充分结合本招标文件上下文了解项目招标需求、采购文件未尽事宜，将在合同签订或项目执行过程中双方协商确定，供应商须无条件满足采购单位的合理要求。</w:t>
            </w:r>
          </w:p>
        </w:tc>
      </w:tr>
    </w:tbl>
    <w:p>
      <w:r>
        <w:rPr>
          <w:b/>
        </w:rPr>
        <w:t>2.技术标准与要求</w:t>
      </w:r>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r>
              <w:rPr/>
              <w:t>△</w:t>
            </w:r>
          </w:p>
        </w:tc>
        <w:tc>
          <w:tcPr>
            <w:tcW w:type="dxa" w:w="831"/>
          </w:tcPr>
          <w:p>
            <w:pPr>
              <w:jc w:val="left"/>
            </w:pPr>
            <w:r>
              <w:rPr/>
              <w:t>医疗设备零部件</w:t>
            </w:r>
          </w:p>
        </w:tc>
        <w:tc>
          <w:tcPr>
            <w:tcW w:type="dxa" w:w="831"/>
          </w:tcPr>
          <w:p>
            <w:pPr>
              <w:jc w:val="left"/>
            </w:pPr>
            <w:r>
              <w:rPr/>
              <w:t>64排CT球管</w:t>
            </w:r>
          </w:p>
        </w:tc>
        <w:tc>
          <w:tcPr>
            <w:tcW w:type="dxa" w:w="831"/>
          </w:tcPr>
          <w:p>
            <w:pPr>
              <w:jc w:val="left"/>
            </w:pPr>
            <w:r>
              <w:rPr/>
              <w:t>套</w:t>
            </w:r>
          </w:p>
        </w:tc>
        <w:tc>
          <w:tcPr>
            <w:tcW w:type="dxa" w:w="831"/>
          </w:tcPr>
          <w:p>
            <w:pPr>
              <w:jc w:val="right"/>
            </w:pPr>
            <w:r>
              <w:rPr/>
              <w:t>1.00</w:t>
            </w:r>
          </w:p>
        </w:tc>
        <w:tc>
          <w:tcPr>
            <w:tcW w:type="dxa" w:w="831"/>
          </w:tcPr>
          <w:p>
            <w:pPr>
              <w:jc w:val="right"/>
            </w:pPr>
            <w:r>
              <w:rPr/>
              <w:t>1,400,000.00</w:t>
            </w:r>
          </w:p>
        </w:tc>
        <w:tc>
          <w:tcPr>
            <w:tcW w:type="dxa" w:w="831"/>
          </w:tcPr>
          <w:p>
            <w:pPr>
              <w:jc w:val="right"/>
            </w:pPr>
            <w:r>
              <w:rPr/>
              <w:t>1,400,000.00</w:t>
            </w:r>
          </w:p>
        </w:tc>
        <w:tc>
          <w:tcPr>
            <w:tcW w:type="dxa" w:w="831"/>
          </w:tcPr>
          <w:p>
            <w:r>
              <w:rPr/>
              <w:t>工业</w:t>
            </w:r>
          </w:p>
        </w:tc>
        <w:tc>
          <w:tcPr>
            <w:tcW w:type="dxa" w:w="831"/>
          </w:tcPr>
          <w:p>
            <w:r>
              <w:rPr/>
              <w:t>详见附表一</w:t>
            </w:r>
          </w:p>
        </w:tc>
      </w:tr>
    </w:tbl>
    <w:p/>
    <w:p>
      <w:r>
        <w:rPr>
          <w:b/>
        </w:rPr>
        <w:t>附表</w:t>
      </w:r>
      <w:r>
        <w:rPr>
          <w:b/>
        </w:rPr>
        <w:t>一</w:t>
      </w:r>
      <w:r>
        <w:rPr>
          <w:b/>
        </w:rPr>
        <w:t>：</w:t>
      </w:r>
      <w:r>
        <w:rPr>
          <w:b/>
        </w:rPr>
        <w:t>64排CT球管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b/>
                <w:sz w:val="24"/>
              </w:rPr>
              <w:t>一、</w:t>
            </w:r>
            <w:r>
              <w:rPr>
                <w:b/>
                <w:sz w:val="24"/>
              </w:rPr>
              <w:t>项目清单</w:t>
            </w:r>
          </w:p>
          <w:tbl>
            <w:tblPr>
              <w:tblBorders>
                <w:top w:val="none" w:color="000000" w:sz="4"/>
                <w:left w:val="none" w:color="000000" w:sz="4"/>
                <w:bottom w:val="none" w:color="000000" w:sz="4"/>
                <w:right w:val="none" w:color="000000" w:sz="4"/>
                <w:insideH w:val="none"/>
                <w:insideV w:val="none"/>
              </w:tblBorders>
            </w:tblPr>
            <w:tblGrid>
              <w:gridCol w:w="770"/>
              <w:gridCol w:w="2899"/>
              <w:gridCol w:w="1929"/>
            </w:tblGrid>
            <w:tr>
              <w:tc>
                <w:tcPr>
                  <w:tcW w:type="dxa" w:w="770"/>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2899"/>
                  <w:tcBorders>
                    <w:top w:val="single" w:color="000000" w:sz="4"/>
                    <w:left w:val="single" w:color="000000" w:sz="4"/>
                    <w:bottom w:val="single" w:color="000000" w:sz="4"/>
                    <w:right w:val="single" w:color="000000" w:sz="4"/>
                  </w:tcBorders>
                  <w:vAlign w:val="top"/>
                </w:tcPr>
                <w:p>
                  <w:pPr>
                    <w:jc w:val="center"/>
                  </w:pPr>
                  <w:r>
                    <w:rPr>
                      <w:sz w:val="21"/>
                    </w:rPr>
                    <w:t>名称</w:t>
                  </w:r>
                </w:p>
              </w:tc>
              <w:tc>
                <w:tcPr>
                  <w:tcW w:type="dxa" w:w="1929"/>
                  <w:tcBorders>
                    <w:top w:val="single" w:color="000000" w:sz="4"/>
                    <w:left w:val="single" w:color="000000" w:sz="4"/>
                    <w:bottom w:val="single" w:color="000000" w:sz="4"/>
                    <w:right w:val="single" w:color="000000" w:sz="4"/>
                  </w:tcBorders>
                  <w:vAlign w:val="top"/>
                </w:tcPr>
                <w:p>
                  <w:pPr>
                    <w:jc w:val="center"/>
                  </w:pPr>
                  <w:r>
                    <w:rPr>
                      <w:sz w:val="21"/>
                    </w:rPr>
                    <w:t>数量</w:t>
                  </w:r>
                </w:p>
              </w:tc>
            </w:tr>
            <w:tr>
              <w:tc>
                <w:tcPr>
                  <w:tcW w:type="dxa" w:w="770"/>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899"/>
                  <w:tcBorders>
                    <w:top w:val="none" w:color="000000" w:sz="4"/>
                    <w:left w:val="single" w:color="000000" w:sz="4"/>
                    <w:bottom w:val="single" w:color="000000" w:sz="4"/>
                    <w:right w:val="single" w:color="000000" w:sz="4"/>
                  </w:tcBorders>
                  <w:vAlign w:val="top"/>
                </w:tcPr>
                <w:p>
                  <w:pPr>
                    <w:jc w:val="center"/>
                  </w:pPr>
                  <w:r>
                    <w:rPr>
                      <w:sz w:val="21"/>
                    </w:rPr>
                    <w:t>△</w:t>
                  </w:r>
                  <w:r>
                    <w:rPr>
                      <w:sz w:val="21"/>
                    </w:rPr>
                    <w:t>CT球管</w:t>
                  </w:r>
                </w:p>
              </w:tc>
              <w:tc>
                <w:tcPr>
                  <w:tcW w:type="dxa" w:w="1929"/>
                  <w:tcBorders>
                    <w:top w:val="none" w:color="000000" w:sz="4"/>
                    <w:left w:val="single" w:color="000000" w:sz="4"/>
                    <w:bottom w:val="single" w:color="000000" w:sz="4"/>
                    <w:right w:val="single" w:color="000000" w:sz="4"/>
                  </w:tcBorders>
                  <w:vAlign w:val="top"/>
                </w:tcPr>
                <w:p>
                  <w:pPr>
                    <w:jc w:val="center"/>
                  </w:pPr>
                  <w:r>
                    <w:rPr>
                      <w:sz w:val="21"/>
                    </w:rPr>
                    <w:t>1根</w:t>
                  </w:r>
                </w:p>
              </w:tc>
            </w:tr>
          </w:tbl>
          <w:p>
            <w:pPr>
              <w:jc w:val="both"/>
            </w:pPr>
          </w:p>
          <w:p>
            <w:pPr>
              <w:jc w:val="both"/>
            </w:pPr>
            <w:r>
              <w:rPr>
                <w:b/>
                <w:sz w:val="24"/>
              </w:rPr>
              <w:t>二</w:t>
            </w:r>
            <w:r>
              <w:rPr>
                <w:b/>
                <w:sz w:val="24"/>
              </w:rPr>
              <w:t>、</w:t>
            </w:r>
            <w:r>
              <w:rPr>
                <w:b/>
                <w:sz w:val="24"/>
              </w:rPr>
              <w:t>技术参数</w:t>
            </w:r>
          </w:p>
          <w:p>
            <w:r>
              <w:rPr>
                <w:sz w:val="21"/>
              </w:rPr>
              <w:t>▲</w:t>
            </w:r>
            <w:r>
              <w:rPr>
                <w:sz w:val="21"/>
              </w:rPr>
              <w:t>1、</w:t>
            </w:r>
            <w:r>
              <w:rPr>
                <w:sz w:val="21"/>
              </w:rPr>
              <w:t>CT球管技术参数</w:t>
            </w:r>
          </w:p>
          <w:tbl>
            <w:tblPr>
              <w:tblBorders>
                <w:top w:val="none" w:color="000000" w:sz="4"/>
                <w:left w:val="none" w:color="000000" w:sz="4"/>
                <w:bottom w:val="none" w:color="000000" w:sz="4"/>
                <w:right w:val="none" w:color="000000" w:sz="4"/>
                <w:insideH w:val="none"/>
                <w:insideV w:val="none"/>
              </w:tblBorders>
            </w:tblPr>
            <w:tblGrid>
              <w:gridCol w:w="2888"/>
              <w:gridCol w:w="1306"/>
              <w:gridCol w:w="1404"/>
            </w:tblGrid>
            <w:tr>
              <w:tc>
                <w:tcPr>
                  <w:tcW w:type="dxa" w:w="2888"/>
                  <w:tcBorders>
                    <w:top w:val="single" w:color="000000" w:sz="4"/>
                    <w:left w:val="single" w:color="000000" w:sz="4"/>
                    <w:bottom w:val="single" w:color="000000" w:sz="4"/>
                    <w:right w:val="single" w:color="000000" w:sz="4"/>
                  </w:tcBorders>
                  <w:vAlign w:val="top"/>
                </w:tcPr>
                <w:p>
                  <w:r>
                    <w:rPr>
                      <w:sz w:val="21"/>
                    </w:rPr>
                    <w:t>对应于</w:t>
                  </w:r>
                  <w:r>
                    <w:rPr>
                      <w:sz w:val="21"/>
                    </w:rPr>
                    <w:t>250 W的阳极等效输入功率时的阳极标称输入功率</w:t>
                  </w:r>
                </w:p>
              </w:tc>
              <w:tc>
                <w:tcPr>
                  <w:tcW w:type="dxa" w:w="1306"/>
                  <w:tcBorders>
                    <w:top w:val="single" w:color="000000" w:sz="4"/>
                    <w:left w:val="none" w:color="000000" w:sz="4"/>
                    <w:bottom w:val="single" w:color="000000" w:sz="4"/>
                    <w:right w:val="single" w:color="000000" w:sz="4"/>
                  </w:tcBorders>
                  <w:vAlign w:val="top"/>
                </w:tcPr>
                <w:p>
                  <w:r>
                    <w:rPr>
                      <w:sz w:val="21"/>
                    </w:rPr>
                    <w:t>F1</w:t>
                  </w:r>
                </w:p>
                <w:p>
                  <w:r>
                    <w:rPr>
                      <w:sz w:val="21"/>
                    </w:rPr>
                    <w:t>28千瓦</w:t>
                  </w:r>
                </w:p>
              </w:tc>
              <w:tc>
                <w:tcPr>
                  <w:tcW w:type="dxa" w:w="1404"/>
                  <w:tcBorders>
                    <w:top w:val="single" w:color="000000" w:sz="4"/>
                    <w:left w:val="none" w:color="000000" w:sz="4"/>
                    <w:bottom w:val="single" w:color="000000" w:sz="4"/>
                    <w:right w:val="single" w:color="000000" w:sz="4"/>
                  </w:tcBorders>
                  <w:vAlign w:val="top"/>
                </w:tcPr>
                <w:p>
                  <w:r>
                    <w:rPr>
                      <w:sz w:val="21"/>
                    </w:rPr>
                    <w:t>F2</w:t>
                  </w:r>
                </w:p>
                <w:p>
                  <w:r>
                    <w:rPr>
                      <w:sz w:val="21"/>
                    </w:rPr>
                    <w:t>55千瓦</w:t>
                  </w:r>
                </w:p>
              </w:tc>
            </w:tr>
            <w:tr>
              <w:tc>
                <w:tcPr>
                  <w:tcW w:type="dxa" w:w="2888"/>
                  <w:tcBorders>
                    <w:top w:val="none" w:color="000000" w:sz="4"/>
                    <w:left w:val="single" w:color="000000" w:sz="4"/>
                    <w:bottom w:val="single" w:color="000000" w:sz="4"/>
                    <w:right w:val="single" w:color="000000" w:sz="4"/>
                  </w:tcBorders>
                  <w:vAlign w:val="top"/>
                </w:tcPr>
                <w:p>
                  <w:r>
                    <w:rPr>
                      <w:sz w:val="21"/>
                    </w:rPr>
                    <w:t>阳极最大热容量</w:t>
                  </w:r>
                </w:p>
              </w:tc>
              <w:tc>
                <w:tcPr>
                  <w:tcW w:type="dxa" w:w="2710"/>
                  <w:gridSpan w:val="2"/>
                  <w:tcBorders>
                    <w:top w:val="none" w:color="000000" w:sz="4"/>
                    <w:left w:val="none" w:color="000000" w:sz="4"/>
                    <w:bottom w:val="single" w:color="000000" w:sz="4"/>
                    <w:right w:val="single" w:color="000000" w:sz="4"/>
                  </w:tcBorders>
                  <w:vAlign w:val="top"/>
                </w:tcPr>
                <w:p>
                  <w:r>
                    <w:rPr>
                      <w:sz w:val="21"/>
                    </w:rPr>
                    <w:t>4,400,000 焦耳＝ 6,000,000 HU</w:t>
                  </w:r>
                </w:p>
              </w:tc>
            </w:tr>
            <w:tr>
              <w:tc>
                <w:tcPr>
                  <w:tcW w:type="dxa" w:w="2888"/>
                  <w:tcBorders>
                    <w:top w:val="none" w:color="000000" w:sz="4"/>
                    <w:left w:val="single" w:color="000000" w:sz="4"/>
                    <w:bottom w:val="single" w:color="000000" w:sz="4"/>
                    <w:right w:val="single" w:color="000000" w:sz="4"/>
                  </w:tcBorders>
                  <w:vAlign w:val="top"/>
                </w:tcPr>
                <w:p>
                  <w:r>
                    <w:rPr>
                      <w:sz w:val="21"/>
                    </w:rPr>
                    <w:t>靶材料</w:t>
                  </w:r>
                </w:p>
              </w:tc>
              <w:tc>
                <w:tcPr>
                  <w:tcW w:type="dxa" w:w="2710"/>
                  <w:gridSpan w:val="2"/>
                  <w:tcBorders>
                    <w:top w:val="none" w:color="000000" w:sz="4"/>
                    <w:left w:val="none" w:color="000000" w:sz="4"/>
                    <w:bottom w:val="single" w:color="000000" w:sz="4"/>
                    <w:right w:val="single" w:color="000000" w:sz="4"/>
                  </w:tcBorders>
                  <w:vAlign w:val="top"/>
                </w:tcPr>
                <w:p>
                  <w:r>
                    <w:rPr>
                      <w:sz w:val="21"/>
                    </w:rPr>
                    <w:t>铼－钨</w:t>
                  </w:r>
                </w:p>
              </w:tc>
            </w:tr>
            <w:tr>
              <w:tc>
                <w:tcPr>
                  <w:tcW w:type="dxa" w:w="2888"/>
                  <w:tcBorders>
                    <w:top w:val="none" w:color="000000" w:sz="4"/>
                    <w:left w:val="single" w:color="000000" w:sz="4"/>
                    <w:bottom w:val="single" w:color="000000" w:sz="4"/>
                    <w:right w:val="single" w:color="000000" w:sz="4"/>
                  </w:tcBorders>
                  <w:vAlign w:val="top"/>
                </w:tcPr>
                <w:p>
                  <w:r>
                    <w:rPr>
                      <w:sz w:val="21"/>
                    </w:rPr>
                    <w:t>标称</w:t>
                  </w:r>
                  <w:r>
                    <w:rPr>
                      <w:sz w:val="21"/>
                    </w:rPr>
                    <w:t>X射线管电压</w:t>
                  </w:r>
                </w:p>
              </w:tc>
              <w:tc>
                <w:tcPr>
                  <w:tcW w:type="dxa" w:w="2710"/>
                  <w:gridSpan w:val="2"/>
                  <w:tcBorders>
                    <w:top w:val="none" w:color="000000" w:sz="4"/>
                    <w:left w:val="none" w:color="000000" w:sz="4"/>
                    <w:bottom w:val="single" w:color="000000" w:sz="4"/>
                    <w:right w:val="single" w:color="000000" w:sz="4"/>
                  </w:tcBorders>
                  <w:vAlign w:val="top"/>
                </w:tcPr>
                <w:p>
                  <w:r>
                    <w:rPr>
                      <w:sz w:val="21"/>
                    </w:rPr>
                    <w:t>140千伏</w:t>
                  </w:r>
                </w:p>
              </w:tc>
            </w:tr>
            <w:tr>
              <w:tc>
                <w:tcPr>
                  <w:tcW w:type="dxa" w:w="2888"/>
                  <w:tcBorders>
                    <w:top w:val="none" w:color="000000" w:sz="4"/>
                    <w:left w:val="single" w:color="000000" w:sz="4"/>
                    <w:bottom w:val="single" w:color="000000" w:sz="4"/>
                    <w:right w:val="single" w:color="000000" w:sz="4"/>
                  </w:tcBorders>
                  <w:vAlign w:val="top"/>
                </w:tcPr>
                <w:p>
                  <w:r>
                    <w:rPr>
                      <w:sz w:val="21"/>
                    </w:rPr>
                    <w:t>阳极的最大散热功率</w:t>
                  </w:r>
                </w:p>
              </w:tc>
              <w:tc>
                <w:tcPr>
                  <w:tcW w:type="dxa" w:w="2710"/>
                  <w:gridSpan w:val="2"/>
                  <w:tcBorders>
                    <w:top w:val="none" w:color="000000" w:sz="4"/>
                    <w:left w:val="none" w:color="000000" w:sz="4"/>
                    <w:bottom w:val="single" w:color="000000" w:sz="4"/>
                    <w:right w:val="single" w:color="000000" w:sz="4"/>
                  </w:tcBorders>
                  <w:vAlign w:val="top"/>
                </w:tcPr>
                <w:p>
                  <w:r>
                    <w:rPr>
                      <w:sz w:val="21"/>
                    </w:rPr>
                    <w:t>12,000 瓦</w:t>
                  </w:r>
                </w:p>
              </w:tc>
            </w:tr>
            <w:tr>
              <w:tc>
                <w:tcPr>
                  <w:tcW w:type="dxa" w:w="2888"/>
                  <w:tcBorders>
                    <w:top w:val="none" w:color="000000" w:sz="4"/>
                    <w:left w:val="single" w:color="000000" w:sz="4"/>
                    <w:bottom w:val="single" w:color="000000" w:sz="4"/>
                    <w:right w:val="single" w:color="000000" w:sz="4"/>
                  </w:tcBorders>
                  <w:vAlign w:val="top"/>
                </w:tcPr>
                <w:p>
                  <w:r>
                    <w:rPr>
                      <w:sz w:val="21"/>
                    </w:rPr>
                    <w:t>阳极旋转标称频率</w:t>
                  </w:r>
                </w:p>
              </w:tc>
              <w:tc>
                <w:tcPr>
                  <w:tcW w:type="dxa" w:w="2710"/>
                  <w:gridSpan w:val="2"/>
                  <w:tcBorders>
                    <w:top w:val="none" w:color="000000" w:sz="4"/>
                    <w:left w:val="none" w:color="000000" w:sz="4"/>
                    <w:bottom w:val="single" w:color="000000" w:sz="4"/>
                    <w:right w:val="single" w:color="000000" w:sz="4"/>
                  </w:tcBorders>
                  <w:vAlign w:val="top"/>
                </w:tcPr>
                <w:p>
                  <w:r>
                    <w:rPr>
                      <w:sz w:val="21"/>
                    </w:rPr>
                    <w:t>160 赫兹</w:t>
                  </w:r>
                </w:p>
              </w:tc>
            </w:tr>
            <w:tr>
              <w:tc>
                <w:tcPr>
                  <w:tcW w:type="dxa" w:w="2888"/>
                  <w:tcBorders>
                    <w:top w:val="none" w:color="000000" w:sz="4"/>
                    <w:left w:val="single" w:color="000000" w:sz="4"/>
                    <w:bottom w:val="single" w:color="000000" w:sz="4"/>
                    <w:right w:val="single" w:color="000000" w:sz="4"/>
                  </w:tcBorders>
                  <w:vAlign w:val="top"/>
                </w:tcPr>
                <w:p>
                  <w:r>
                    <w:rPr>
                      <w:sz w:val="21"/>
                    </w:rPr>
                    <w:t>最大阳极灯丝发热</w:t>
                  </w:r>
                </w:p>
              </w:tc>
              <w:tc>
                <w:tcPr>
                  <w:tcW w:type="dxa" w:w="1306"/>
                  <w:tcBorders>
                    <w:top w:val="none" w:color="000000" w:sz="4"/>
                    <w:left w:val="none" w:color="000000" w:sz="4"/>
                    <w:bottom w:val="single" w:color="000000" w:sz="4"/>
                    <w:right w:val="single" w:color="000000" w:sz="4"/>
                  </w:tcBorders>
                  <w:vAlign w:val="top"/>
                </w:tcPr>
                <w:p>
                  <w:r>
                    <w:rPr>
                      <w:sz w:val="21"/>
                    </w:rPr>
                    <w:t>≈ 7.5 A</w:t>
                  </w:r>
                </w:p>
              </w:tc>
              <w:tc>
                <w:tcPr>
                  <w:tcW w:type="dxa" w:w="1404"/>
                  <w:tcBorders>
                    <w:top w:val="single" w:color="000000" w:sz="4"/>
                    <w:left w:val="none" w:color="000000" w:sz="4"/>
                    <w:bottom w:val="single" w:color="000000" w:sz="4"/>
                    <w:right w:val="single" w:color="000000" w:sz="4"/>
                  </w:tcBorders>
                  <w:vAlign w:val="top"/>
                </w:tcPr>
                <w:p>
                  <w:r>
                    <w:rPr>
                      <w:sz w:val="21"/>
                    </w:rPr>
                    <w:t>≈ 7.5 A</w:t>
                  </w:r>
                </w:p>
              </w:tc>
            </w:tr>
            <w:tr>
              <w:tc>
                <w:tcPr>
                  <w:tcW w:type="dxa" w:w="2888"/>
                  <w:tcBorders>
                    <w:top w:val="none" w:color="000000" w:sz="4"/>
                    <w:left w:val="single" w:color="000000" w:sz="4"/>
                    <w:bottom w:val="single" w:color="000000" w:sz="4"/>
                    <w:right w:val="single" w:color="000000" w:sz="4"/>
                  </w:tcBorders>
                  <w:vAlign w:val="top"/>
                </w:tcPr>
                <w:p>
                  <w:r>
                    <w:rPr>
                      <w:sz w:val="21"/>
                    </w:rPr>
                    <w:t>最大连续散热</w:t>
                  </w:r>
                </w:p>
              </w:tc>
              <w:tc>
                <w:tcPr>
                  <w:tcW w:type="dxa" w:w="2710"/>
                  <w:gridSpan w:val="2"/>
                  <w:tcBorders>
                    <w:top w:val="none" w:color="000000" w:sz="4"/>
                    <w:left w:val="none" w:color="000000" w:sz="4"/>
                    <w:bottom w:val="single" w:color="000000" w:sz="4"/>
                    <w:right w:val="single" w:color="000000" w:sz="4"/>
                  </w:tcBorders>
                  <w:vAlign w:val="top"/>
                </w:tcPr>
                <w:p>
                  <w:r>
                    <w:rPr>
                      <w:sz w:val="21"/>
                    </w:rPr>
                    <w:t>4.1千瓦</w:t>
                  </w:r>
                </w:p>
              </w:tc>
            </w:tr>
            <w:tr>
              <w:tc>
                <w:tcPr>
                  <w:tcW w:type="dxa" w:w="2888"/>
                  <w:tcBorders>
                    <w:top w:val="none" w:color="000000" w:sz="4"/>
                    <w:left w:val="single" w:color="000000" w:sz="4"/>
                    <w:bottom w:val="single" w:color="000000" w:sz="4"/>
                    <w:right w:val="single" w:color="000000" w:sz="4"/>
                  </w:tcBorders>
                  <w:vAlign w:val="top"/>
                </w:tcPr>
                <w:p>
                  <w:r>
                    <w:rPr>
                      <w:sz w:val="21"/>
                    </w:rPr>
                    <w:t>靶角（与参考轴有关）</w:t>
                  </w:r>
                </w:p>
              </w:tc>
              <w:tc>
                <w:tcPr>
                  <w:tcW w:type="dxa" w:w="2710"/>
                  <w:gridSpan w:val="2"/>
                  <w:tcBorders>
                    <w:top w:val="none" w:color="000000" w:sz="4"/>
                    <w:left w:val="none" w:color="000000" w:sz="4"/>
                    <w:bottom w:val="single" w:color="000000" w:sz="4"/>
                    <w:right w:val="single" w:color="000000" w:sz="4"/>
                  </w:tcBorders>
                  <w:vAlign w:val="top"/>
                </w:tcPr>
                <w:p>
                  <w:r>
                    <w:rPr>
                      <w:sz w:val="21"/>
                    </w:rPr>
                    <w:t>7°</w:t>
                  </w:r>
                </w:p>
              </w:tc>
            </w:tr>
            <w:tr>
              <w:tc>
                <w:tcPr>
                  <w:tcW w:type="dxa" w:w="2888"/>
                  <w:tcBorders>
                    <w:top w:val="none" w:color="000000" w:sz="4"/>
                    <w:left w:val="single" w:color="000000" w:sz="4"/>
                    <w:bottom w:val="single" w:color="000000" w:sz="4"/>
                    <w:right w:val="single" w:color="000000" w:sz="4"/>
                  </w:tcBorders>
                  <w:vAlign w:val="top"/>
                </w:tcPr>
                <w:p>
                  <w:r>
                    <w:rPr>
                      <w:sz w:val="21"/>
                    </w:rPr>
                    <w:t>焦点</w:t>
                  </w:r>
                </w:p>
              </w:tc>
              <w:tc>
                <w:tcPr>
                  <w:tcW w:type="dxa" w:w="1306"/>
                  <w:tcBorders>
                    <w:top w:val="none" w:color="000000" w:sz="4"/>
                    <w:left w:val="none" w:color="000000" w:sz="4"/>
                    <w:bottom w:val="single" w:color="000000" w:sz="4"/>
                    <w:right w:val="single" w:color="000000" w:sz="4"/>
                  </w:tcBorders>
                  <w:vAlign w:val="top"/>
                </w:tcPr>
                <w:p>
                  <w:r>
                    <w:rPr>
                      <w:sz w:val="21"/>
                    </w:rPr>
                    <w:t>F 1</w:t>
                  </w:r>
                </w:p>
              </w:tc>
              <w:tc>
                <w:tcPr>
                  <w:tcW w:type="dxa" w:w="1404"/>
                  <w:tcBorders>
                    <w:top w:val="single" w:color="000000" w:sz="4"/>
                    <w:left w:val="none" w:color="000000" w:sz="4"/>
                    <w:bottom w:val="single" w:color="000000" w:sz="4"/>
                    <w:right w:val="single" w:color="000000" w:sz="4"/>
                  </w:tcBorders>
                  <w:vAlign w:val="top"/>
                </w:tcPr>
                <w:p>
                  <w:r>
                    <w:rPr>
                      <w:sz w:val="21"/>
                    </w:rPr>
                    <w:t>F 2</w:t>
                  </w:r>
                </w:p>
              </w:tc>
            </w:tr>
            <w:tr>
              <w:tc>
                <w:tcPr>
                  <w:tcW w:type="dxa" w:w="2888"/>
                  <w:tcBorders>
                    <w:top w:val="none" w:color="000000" w:sz="4"/>
                    <w:left w:val="single" w:color="000000" w:sz="4"/>
                    <w:bottom w:val="single" w:color="000000" w:sz="4"/>
                    <w:right w:val="single" w:color="000000" w:sz="4"/>
                  </w:tcBorders>
                  <w:vAlign w:val="top"/>
                </w:tcPr>
                <w:p>
                  <w:r>
                    <w:rPr>
                      <w:sz w:val="21"/>
                    </w:rPr>
                    <w:t>焦点标称值（与参考轴有关）</w:t>
                  </w:r>
                </w:p>
              </w:tc>
              <w:tc>
                <w:tcPr>
                  <w:tcW w:type="dxa" w:w="1306"/>
                  <w:tcBorders>
                    <w:top w:val="none" w:color="000000" w:sz="4"/>
                    <w:left w:val="none" w:color="000000" w:sz="4"/>
                    <w:bottom w:val="single" w:color="000000" w:sz="4"/>
                    <w:right w:val="single" w:color="000000" w:sz="4"/>
                  </w:tcBorders>
                  <w:vAlign w:val="top"/>
                </w:tcPr>
                <w:p>
                  <w:r>
                    <w:rPr>
                      <w:sz w:val="21"/>
                    </w:rPr>
                    <w:t>0.8×0.5</w:t>
                  </w:r>
                </w:p>
              </w:tc>
              <w:tc>
                <w:tcPr>
                  <w:tcW w:type="dxa" w:w="1404"/>
                  <w:tcBorders>
                    <w:top w:val="none" w:color="000000" w:sz="4"/>
                    <w:left w:val="none" w:color="000000" w:sz="4"/>
                    <w:bottom w:val="single" w:color="000000" w:sz="4"/>
                    <w:right w:val="single" w:color="000000" w:sz="4"/>
                  </w:tcBorders>
                  <w:vAlign w:val="top"/>
                </w:tcPr>
                <w:p>
                  <w:r>
                    <w:rPr>
                      <w:sz w:val="21"/>
                    </w:rPr>
                    <w:t>0.8×0.7</w:t>
                  </w:r>
                </w:p>
              </w:tc>
            </w:tr>
            <w:tr>
              <w:tc>
                <w:tcPr>
                  <w:tcW w:type="dxa" w:w="2888"/>
                  <w:tcBorders>
                    <w:top w:val="none" w:color="000000" w:sz="4"/>
                    <w:left w:val="single" w:color="000000" w:sz="4"/>
                    <w:bottom w:val="single" w:color="000000" w:sz="4"/>
                    <w:right w:val="single" w:color="000000" w:sz="4"/>
                  </w:tcBorders>
                  <w:vAlign w:val="top"/>
                </w:tcPr>
                <w:p>
                  <w:r>
                    <w:rPr>
                      <w:sz w:val="21"/>
                    </w:rPr>
                    <w:t>额定</w:t>
                  </w:r>
                  <w:r>
                    <w:rPr>
                      <w:sz w:val="21"/>
                    </w:rPr>
                    <w:t>CT扫描功率指数</w:t>
                  </w:r>
                </w:p>
              </w:tc>
              <w:tc>
                <w:tcPr>
                  <w:tcW w:type="dxa" w:w="1306"/>
                  <w:tcBorders>
                    <w:top w:val="none" w:color="000000" w:sz="4"/>
                    <w:left w:val="none" w:color="000000" w:sz="4"/>
                    <w:bottom w:val="single" w:color="000000" w:sz="4"/>
                    <w:right w:val="single" w:color="000000" w:sz="4"/>
                  </w:tcBorders>
                  <w:vAlign w:val="top"/>
                </w:tcPr>
                <w:p>
                  <w:r>
                    <w:rPr>
                      <w:sz w:val="21"/>
                    </w:rPr>
                    <w:t>26 KW</w:t>
                  </w:r>
                </w:p>
              </w:tc>
              <w:tc>
                <w:tcPr>
                  <w:tcW w:type="dxa" w:w="1404"/>
                  <w:tcBorders>
                    <w:top w:val="none" w:color="000000" w:sz="4"/>
                    <w:left w:val="none" w:color="000000" w:sz="4"/>
                    <w:bottom w:val="single" w:color="000000" w:sz="4"/>
                    <w:right w:val="single" w:color="000000" w:sz="4"/>
                  </w:tcBorders>
                  <w:vAlign w:val="top"/>
                </w:tcPr>
                <w:p>
                  <w:r>
                    <w:rPr>
                      <w:sz w:val="21"/>
                    </w:rPr>
                    <w:t>39 KW</w:t>
                  </w:r>
                </w:p>
              </w:tc>
            </w:tr>
            <w:tr>
              <w:tc>
                <w:tcPr>
                  <w:tcW w:type="dxa" w:w="2888"/>
                  <w:tcBorders>
                    <w:top w:val="none" w:color="000000" w:sz="4"/>
                    <w:left w:val="single" w:color="000000" w:sz="4"/>
                    <w:bottom w:val="single" w:color="000000" w:sz="4"/>
                    <w:right w:val="single" w:color="000000" w:sz="4"/>
                  </w:tcBorders>
                  <w:vAlign w:val="top"/>
                </w:tcPr>
                <w:p>
                  <w:r>
                    <w:rPr>
                      <w:sz w:val="21"/>
                    </w:rPr>
                    <w:t>X射线管组件的固有过滤量</w:t>
                  </w:r>
                </w:p>
              </w:tc>
              <w:tc>
                <w:tcPr>
                  <w:tcW w:type="dxa" w:w="2710"/>
                  <w:gridSpan w:val="2"/>
                  <w:tcBorders>
                    <w:top w:val="none" w:color="000000" w:sz="4"/>
                    <w:left w:val="none" w:color="000000" w:sz="4"/>
                    <w:bottom w:val="single" w:color="000000" w:sz="4"/>
                    <w:right w:val="single" w:color="000000" w:sz="4"/>
                  </w:tcBorders>
                  <w:vAlign w:val="top"/>
                </w:tcPr>
                <w:p>
                  <w:r>
                    <w:rPr>
                      <w:sz w:val="21"/>
                    </w:rPr>
                    <w:t>5.5 毫米铝/140千伏</w:t>
                  </w:r>
                </w:p>
              </w:tc>
            </w:tr>
            <w:tr>
              <w:tc>
                <w:tcPr>
                  <w:tcW w:type="dxa" w:w="2888"/>
                  <w:tcBorders>
                    <w:top w:val="none" w:color="000000" w:sz="4"/>
                    <w:left w:val="single" w:color="000000" w:sz="4"/>
                    <w:bottom w:val="single" w:color="000000" w:sz="4"/>
                    <w:right w:val="single" w:color="000000" w:sz="4"/>
                  </w:tcBorders>
                  <w:vAlign w:val="top"/>
                </w:tcPr>
                <w:p>
                  <w:r>
                    <w:rPr>
                      <w:sz w:val="21"/>
                    </w:rPr>
                    <w:t>辐射泄漏在</w:t>
                  </w:r>
                  <w:r>
                    <w:rPr>
                      <w:sz w:val="21"/>
                    </w:rPr>
                    <w:t>1米距离时为140千伏/ 3.5千瓦</w:t>
                  </w:r>
                </w:p>
              </w:tc>
              <w:tc>
                <w:tcPr>
                  <w:tcW w:type="dxa" w:w="2710"/>
                  <w:gridSpan w:val="2"/>
                  <w:tcBorders>
                    <w:top w:val="none" w:color="000000" w:sz="4"/>
                    <w:left w:val="none" w:color="000000" w:sz="4"/>
                    <w:bottom w:val="single" w:color="000000" w:sz="4"/>
                    <w:right w:val="single" w:color="000000" w:sz="4"/>
                  </w:tcBorders>
                  <w:vAlign w:val="top"/>
                </w:tcPr>
                <w:p>
                  <w:r>
                    <w:rPr>
                      <w:sz w:val="21"/>
                    </w:rPr>
                    <w:t>&lt;0.8 毫戈瑞/小时</w:t>
                  </w:r>
                </w:p>
              </w:tc>
            </w:tr>
            <w:tr>
              <w:tc>
                <w:tcPr>
                  <w:tcW w:type="dxa" w:w="2888"/>
                  <w:tcBorders>
                    <w:top w:val="none" w:color="000000" w:sz="4"/>
                    <w:left w:val="single" w:color="000000" w:sz="4"/>
                    <w:bottom w:val="single" w:color="000000" w:sz="4"/>
                    <w:right w:val="single" w:color="000000" w:sz="4"/>
                  </w:tcBorders>
                  <w:vAlign w:val="top"/>
                </w:tcPr>
                <w:p>
                  <w:r>
                    <w:rPr>
                      <w:sz w:val="21"/>
                    </w:rPr>
                    <w:t>保护等级</w:t>
                  </w:r>
                </w:p>
              </w:tc>
              <w:tc>
                <w:tcPr>
                  <w:tcW w:type="dxa" w:w="2710"/>
                  <w:gridSpan w:val="2"/>
                  <w:tcBorders>
                    <w:top w:val="none" w:color="000000" w:sz="4"/>
                    <w:left w:val="none" w:color="000000" w:sz="4"/>
                    <w:bottom w:val="single" w:color="000000" w:sz="4"/>
                    <w:right w:val="single" w:color="000000" w:sz="4"/>
                  </w:tcBorders>
                  <w:vAlign w:val="top"/>
                </w:tcPr>
                <w:p>
                  <w:r>
                    <w:rPr>
                      <w:sz w:val="21"/>
                    </w:rPr>
                    <w:t>I 类B型</w:t>
                  </w:r>
                </w:p>
              </w:tc>
            </w:tr>
            <w:tr>
              <w:tc>
                <w:tcPr>
                  <w:tcW w:type="dxa" w:w="2888"/>
                  <w:tcBorders>
                    <w:top w:val="none" w:color="000000" w:sz="4"/>
                    <w:left w:val="single" w:color="000000" w:sz="4"/>
                    <w:bottom w:val="single" w:color="000000" w:sz="4"/>
                    <w:right w:val="single" w:color="000000" w:sz="4"/>
                  </w:tcBorders>
                  <w:vAlign w:val="top"/>
                </w:tcPr>
                <w:p>
                  <w:r>
                    <w:rPr>
                      <w:sz w:val="21"/>
                    </w:rPr>
                    <w:t>重量（不包括附件）</w:t>
                  </w:r>
                </w:p>
              </w:tc>
              <w:tc>
                <w:tcPr>
                  <w:tcW w:type="dxa" w:w="2710"/>
                  <w:gridSpan w:val="2"/>
                  <w:tcBorders>
                    <w:top w:val="none" w:color="000000" w:sz="4"/>
                    <w:left w:val="none" w:color="000000" w:sz="4"/>
                    <w:bottom w:val="single" w:color="000000" w:sz="4"/>
                    <w:right w:val="single" w:color="000000" w:sz="4"/>
                  </w:tcBorders>
                  <w:vAlign w:val="top"/>
                </w:tcPr>
                <w:p>
                  <w:r>
                    <w:rPr>
                      <w:sz w:val="21"/>
                    </w:rPr>
                    <w:t>48.2公斤± 0.1 公斤</w:t>
                  </w:r>
                </w:p>
              </w:tc>
            </w:tr>
            <w:tr>
              <w:tc>
                <w:tcPr>
                  <w:tcW w:type="dxa" w:w="2888"/>
                  <w:tcBorders>
                    <w:top w:val="none" w:color="000000" w:sz="4"/>
                    <w:left w:val="single" w:color="000000" w:sz="4"/>
                    <w:bottom w:val="single" w:color="000000" w:sz="4"/>
                    <w:right w:val="single" w:color="000000" w:sz="4"/>
                  </w:tcBorders>
                  <w:vAlign w:val="top"/>
                </w:tcPr>
                <w:p>
                  <w:r>
                    <w:rPr>
                      <w:sz w:val="21"/>
                    </w:rPr>
                    <w:t>高压连接</w:t>
                  </w:r>
                  <w:r>
                    <w:rPr>
                      <w:sz w:val="21"/>
                    </w:rPr>
                    <w:t>+ /-</w:t>
                  </w:r>
                </w:p>
              </w:tc>
              <w:tc>
                <w:tcPr>
                  <w:tcW w:type="dxa" w:w="2710"/>
                  <w:gridSpan w:val="2"/>
                  <w:tcBorders>
                    <w:top w:val="none" w:color="000000" w:sz="4"/>
                    <w:left w:val="none" w:color="000000" w:sz="4"/>
                    <w:bottom w:val="single" w:color="000000" w:sz="4"/>
                    <w:right w:val="single" w:color="000000" w:sz="4"/>
                  </w:tcBorders>
                  <w:vAlign w:val="top"/>
                </w:tcPr>
                <w:p>
                  <w:r>
                    <w:rPr>
                      <w:sz w:val="21"/>
                    </w:rPr>
                    <w:t>三芯电缆连接</w:t>
                  </w:r>
                  <w:r>
                    <w:rPr>
                      <w:sz w:val="21"/>
                    </w:rPr>
                    <w:t>/三芯电缆连接</w:t>
                  </w:r>
                </w:p>
              </w:tc>
            </w:tr>
            <w:tr>
              <w:tc>
                <w:tcPr>
                  <w:tcW w:type="dxa" w:w="2888"/>
                  <w:tcBorders>
                    <w:top w:val="none" w:color="000000" w:sz="4"/>
                    <w:left w:val="single" w:color="000000" w:sz="4"/>
                    <w:bottom w:val="single" w:color="000000" w:sz="4"/>
                    <w:right w:val="single" w:color="000000" w:sz="4"/>
                  </w:tcBorders>
                  <w:vAlign w:val="top"/>
                </w:tcPr>
                <w:p>
                  <w:r>
                    <w:rPr>
                      <w:sz w:val="21"/>
                    </w:rPr>
                    <w:t>旋转阳极发动机</w:t>
                  </w:r>
                </w:p>
              </w:tc>
              <w:tc>
                <w:tcPr>
                  <w:tcW w:type="dxa" w:w="2710"/>
                  <w:gridSpan w:val="2"/>
                  <w:tcBorders>
                    <w:top w:val="none" w:color="000000" w:sz="4"/>
                    <w:left w:val="none" w:color="000000" w:sz="4"/>
                    <w:bottom w:val="single" w:color="000000" w:sz="4"/>
                    <w:right w:val="single" w:color="000000" w:sz="4"/>
                  </w:tcBorders>
                  <w:vAlign w:val="top"/>
                </w:tcPr>
                <w:p>
                  <w:r>
                    <w:rPr>
                      <w:sz w:val="21"/>
                    </w:rPr>
                    <w:t>3相定子，相位电压700 V</w:t>
                  </w:r>
                  <w:r>
                    <w:rPr>
                      <w:sz w:val="21"/>
                      <w:vertAlign w:val="subscript"/>
                    </w:rPr>
                    <w:t>PP</w:t>
                  </w:r>
                  <w:r>
                    <w:rPr>
                      <w:sz w:val="21"/>
                    </w:rPr>
                    <w:t xml:space="preserve"> </w:t>
                  </w:r>
                  <w:r>
                    <w:rPr>
                      <w:sz w:val="21"/>
                    </w:rPr>
                    <w:t>±10%；相位电流≤ 10 A</w:t>
                  </w:r>
                  <w:r>
                    <w:rPr>
                      <w:sz w:val="21"/>
                      <w:vertAlign w:val="subscript"/>
                    </w:rPr>
                    <w:t>eff</w:t>
                  </w:r>
                </w:p>
              </w:tc>
            </w:tr>
            <w:tr>
              <w:tc>
                <w:tcPr>
                  <w:tcW w:type="dxa" w:w="2888"/>
                  <w:tcBorders>
                    <w:top w:val="none" w:color="000000" w:sz="4"/>
                    <w:left w:val="single" w:color="000000" w:sz="4"/>
                    <w:bottom w:val="single" w:color="000000" w:sz="4"/>
                    <w:right w:val="single" w:color="000000" w:sz="4"/>
                  </w:tcBorders>
                  <w:vAlign w:val="top"/>
                </w:tcPr>
                <w:p>
                  <w:r>
                    <w:rPr>
                      <w:sz w:val="21"/>
                    </w:rPr>
                    <w:t>操作过程中所允许的环境温度</w:t>
                  </w:r>
                </w:p>
              </w:tc>
              <w:tc>
                <w:tcPr>
                  <w:tcW w:type="dxa" w:w="2710"/>
                  <w:gridSpan w:val="2"/>
                  <w:tcBorders>
                    <w:top w:val="none" w:color="000000" w:sz="4"/>
                    <w:left w:val="none" w:color="000000" w:sz="4"/>
                    <w:bottom w:val="single" w:color="000000" w:sz="4"/>
                    <w:right w:val="single" w:color="000000" w:sz="4"/>
                  </w:tcBorders>
                  <w:vAlign w:val="top"/>
                </w:tcPr>
                <w:p>
                  <w:r>
                    <w:rPr>
                      <w:sz w:val="21"/>
                    </w:rPr>
                    <w:t>+18℃ ....+40℃</w:t>
                  </w:r>
                </w:p>
              </w:tc>
            </w:tr>
            <w:tr>
              <w:tc>
                <w:tcPr>
                  <w:tcW w:type="dxa" w:w="2888"/>
                  <w:tcBorders>
                    <w:top w:val="none" w:color="000000" w:sz="4"/>
                    <w:left w:val="single" w:color="000000" w:sz="4"/>
                    <w:bottom w:val="single" w:color="000000" w:sz="4"/>
                    <w:right w:val="single" w:color="000000" w:sz="4"/>
                  </w:tcBorders>
                  <w:vAlign w:val="top"/>
                </w:tcPr>
                <w:p>
                  <w:r>
                    <w:rPr>
                      <w:sz w:val="21"/>
                    </w:rPr>
                    <w:t>操作过程中所允许的空气的相对湿度</w:t>
                  </w:r>
                </w:p>
              </w:tc>
              <w:tc>
                <w:tcPr>
                  <w:tcW w:type="dxa" w:w="2710"/>
                  <w:gridSpan w:val="2"/>
                  <w:tcBorders>
                    <w:top w:val="none" w:color="000000" w:sz="4"/>
                    <w:left w:val="none" w:color="000000" w:sz="4"/>
                    <w:bottom w:val="single" w:color="000000" w:sz="4"/>
                    <w:right w:val="single" w:color="000000" w:sz="4"/>
                  </w:tcBorders>
                  <w:vAlign w:val="top"/>
                </w:tcPr>
                <w:p>
                  <w:r>
                    <w:rPr>
                      <w:sz w:val="21"/>
                    </w:rPr>
                    <w:t>20% .... 85%</w:t>
                  </w:r>
                </w:p>
              </w:tc>
            </w:tr>
            <w:tr>
              <w:tc>
                <w:tcPr>
                  <w:tcW w:type="dxa" w:w="2888"/>
                  <w:tcBorders>
                    <w:top w:val="none" w:color="000000" w:sz="4"/>
                    <w:left w:val="single" w:color="000000" w:sz="4"/>
                    <w:bottom w:val="single" w:color="000000" w:sz="4"/>
                    <w:right w:val="single" w:color="000000" w:sz="4"/>
                  </w:tcBorders>
                  <w:vAlign w:val="top"/>
                </w:tcPr>
                <w:p>
                  <w:r>
                    <w:rPr>
                      <w:sz w:val="21"/>
                    </w:rPr>
                    <w:t>操作过程中所允许的大气压</w:t>
                  </w:r>
                </w:p>
              </w:tc>
              <w:tc>
                <w:tcPr>
                  <w:tcW w:type="dxa" w:w="2710"/>
                  <w:gridSpan w:val="2"/>
                  <w:tcBorders>
                    <w:top w:val="none" w:color="000000" w:sz="4"/>
                    <w:left w:val="none" w:color="000000" w:sz="4"/>
                    <w:bottom w:val="single" w:color="000000" w:sz="4"/>
                    <w:right w:val="single" w:color="000000" w:sz="4"/>
                  </w:tcBorders>
                  <w:vAlign w:val="top"/>
                </w:tcPr>
                <w:p>
                  <w:r>
                    <w:rPr>
                      <w:sz w:val="21"/>
                    </w:rPr>
                    <w:t>700 百帕....1060 百帕</w:t>
                  </w:r>
                </w:p>
              </w:tc>
            </w:tr>
            <w:tr>
              <w:tc>
                <w:tcPr>
                  <w:tcW w:type="dxa" w:w="2888"/>
                  <w:tcBorders>
                    <w:top w:val="none" w:color="000000" w:sz="4"/>
                    <w:left w:val="single" w:color="000000" w:sz="4"/>
                    <w:bottom w:val="single" w:color="000000" w:sz="4"/>
                    <w:right w:val="single" w:color="000000" w:sz="4"/>
                  </w:tcBorders>
                  <w:vAlign w:val="top"/>
                </w:tcPr>
                <w:p>
                  <w:r>
                    <w:rPr>
                      <w:sz w:val="21"/>
                    </w:rPr>
                    <w:t>冷却流量</w:t>
                  </w:r>
                </w:p>
              </w:tc>
              <w:tc>
                <w:tcPr>
                  <w:tcW w:type="dxa" w:w="2710"/>
                  <w:gridSpan w:val="2"/>
                  <w:tcBorders>
                    <w:top w:val="none" w:color="000000" w:sz="4"/>
                    <w:left w:val="none" w:color="000000" w:sz="4"/>
                    <w:bottom w:val="single" w:color="000000" w:sz="4"/>
                    <w:right w:val="single" w:color="000000" w:sz="4"/>
                  </w:tcBorders>
                  <w:vAlign w:val="top"/>
                </w:tcPr>
                <w:p>
                  <w:r>
                    <w:rPr>
                      <w:sz w:val="21"/>
                    </w:rPr>
                    <w:t>&gt; 7 升/分钟</w:t>
                  </w:r>
                </w:p>
              </w:tc>
            </w:tr>
            <w:tr>
              <w:tc>
                <w:tcPr>
                  <w:tcW w:type="dxa" w:w="2888"/>
                  <w:tcBorders>
                    <w:top w:val="none" w:color="000000" w:sz="4"/>
                    <w:left w:val="single" w:color="000000" w:sz="4"/>
                    <w:bottom w:val="single" w:color="000000" w:sz="4"/>
                    <w:right w:val="single" w:color="000000" w:sz="4"/>
                  </w:tcBorders>
                  <w:vAlign w:val="top"/>
                </w:tcPr>
                <w:p>
                  <w:r>
                    <w:rPr>
                      <w:sz w:val="21"/>
                    </w:rPr>
                    <w:t>冷却绝缘油的体积（包括冷却系统内）</w:t>
                  </w:r>
                </w:p>
              </w:tc>
              <w:tc>
                <w:tcPr>
                  <w:tcW w:type="dxa" w:w="2710"/>
                  <w:gridSpan w:val="2"/>
                  <w:tcBorders>
                    <w:top w:val="none" w:color="000000" w:sz="4"/>
                    <w:left w:val="none" w:color="000000" w:sz="4"/>
                    <w:bottom w:val="single" w:color="000000" w:sz="4"/>
                    <w:right w:val="single" w:color="000000" w:sz="4"/>
                  </w:tcBorders>
                  <w:vAlign w:val="top"/>
                </w:tcPr>
                <w:p>
                  <w:r>
                    <w:rPr>
                      <w:sz w:val="21"/>
                    </w:rPr>
                    <w:t>约</w:t>
                  </w:r>
                  <w:r>
                    <w:rPr>
                      <w:sz w:val="21"/>
                    </w:rPr>
                    <w:t>12.5 升</w:t>
                  </w:r>
                </w:p>
              </w:tc>
            </w:tr>
          </w:tbl>
          <w:p>
            <w:pPr>
              <w:jc w:val="both"/>
            </w:pPr>
            <w:r>
              <w:rPr>
                <w:sz w:val="21"/>
              </w:rPr>
              <w:t>▲</w:t>
            </w:r>
            <w:r>
              <w:rPr>
                <w:b/>
                <w:sz w:val="21"/>
              </w:rPr>
              <w:t>2.球管配件适用于西门子牌 SOMATOM Perspective 型 C</w:t>
            </w:r>
            <w:r>
              <w:rPr>
                <w:b/>
                <w:sz w:val="21"/>
              </w:rPr>
              <w:t>T</w:t>
            </w:r>
          </w:p>
          <w:p>
            <w:pPr>
              <w:jc w:val="both"/>
            </w:pPr>
          </w:p>
          <w:p>
            <w:pPr>
              <w:jc w:val="both"/>
            </w:pPr>
            <w:r>
              <w:rPr>
                <w:b/>
                <w:sz w:val="24"/>
              </w:rPr>
              <w:t>三、其他要求</w:t>
            </w:r>
          </w:p>
          <w:p>
            <w:pPr>
              <w:ind w:firstLine="420"/>
              <w:jc w:val="both"/>
            </w:pPr>
            <w:r>
              <w:rPr>
                <w:sz w:val="21"/>
              </w:rPr>
              <w:t>（</w:t>
            </w:r>
            <w:r>
              <w:rPr>
                <w:sz w:val="21"/>
              </w:rPr>
              <w:t>1）项目人员：需配备有至少5名全职的、原厂认证合格的</w:t>
            </w:r>
            <w:r>
              <w:rPr>
                <w:sz w:val="21"/>
              </w:rPr>
              <w:t>CT</w:t>
            </w:r>
            <w:r>
              <w:rPr>
                <w:sz w:val="21"/>
              </w:rPr>
              <w:t>工程师，其中一名至少在原厂从事维修服务工作年限</w:t>
            </w:r>
            <w:r>
              <w:rPr>
                <w:sz w:val="21"/>
              </w:rPr>
              <w:t>≥10年。</w:t>
            </w:r>
          </w:p>
          <w:p>
            <w:pPr>
              <w:ind w:firstLine="420"/>
              <w:jc w:val="both"/>
            </w:pPr>
            <w:r>
              <w:rPr>
                <w:sz w:val="21"/>
              </w:rPr>
              <w:t>▲（2）新</w:t>
            </w:r>
            <w:r>
              <w:rPr>
                <w:sz w:val="21"/>
              </w:rPr>
              <w:t>球管必须是原厂未拆封的，更换下来的球管旧件由供应商负责处理。供应商需在标书中提供无走私或非法渠道备件承诺函加盖公章，承担相关法律风险；</w:t>
            </w:r>
          </w:p>
          <w:p>
            <w:pPr>
              <w:ind w:firstLine="420"/>
              <w:jc w:val="both"/>
            </w:pPr>
            <w:r>
              <w:rPr>
                <w:sz w:val="21"/>
              </w:rPr>
              <w:t>▲（</w:t>
            </w:r>
            <w:r>
              <w:rPr>
                <w:sz w:val="21"/>
              </w:rPr>
              <w:t>3</w:t>
            </w:r>
            <w:r>
              <w:rPr>
                <w:sz w:val="21"/>
              </w:rPr>
              <w:t>）</w:t>
            </w:r>
            <w:r>
              <w:rPr>
                <w:sz w:val="21"/>
              </w:rPr>
              <w:t>服务质量：中标人提供的球管遇到第三方单位或药监检测，如为二手球管，医院有权不支付合同款项；如因提供二手球管导致医院停机，则中标人赔偿</w:t>
            </w:r>
            <w:r>
              <w:rPr>
                <w:sz w:val="21"/>
              </w:rPr>
              <w:t>CT每天的经济产出；如因二手球管给医院带来其他经济损失（如上级监管单位处罚等），投标人则需承担相关赔偿及责任。</w:t>
            </w:r>
          </w:p>
          <w:p>
            <w:pPr>
              <w:ind w:firstLine="420"/>
              <w:jc w:val="both"/>
            </w:pPr>
            <w:r>
              <w:rPr>
                <w:sz w:val="21"/>
              </w:rPr>
              <w:t>▲（4）投</w:t>
            </w:r>
            <w:r>
              <w:rPr>
                <w:sz w:val="21"/>
              </w:rPr>
              <w:t>标人为原制造厂商或原厂指定的维修授权，或有技术合作协议的单位，或有设备制造厂商颁发的技术资质证明（投标文件提供相应证明材料）。</w:t>
            </w:r>
          </w:p>
          <w:p>
            <w:pPr>
              <w:ind w:firstLine="420"/>
              <w:jc w:val="both"/>
            </w:pPr>
            <w:r>
              <w:rPr>
                <w:sz w:val="21"/>
              </w:rPr>
              <w:t>（</w:t>
            </w:r>
            <w:r>
              <w:rPr>
                <w:sz w:val="21"/>
              </w:rPr>
              <w:t>5</w:t>
            </w:r>
            <w:r>
              <w:rPr>
                <w:sz w:val="21"/>
              </w:rPr>
              <w:t>）提</w:t>
            </w:r>
            <w:r>
              <w:rPr>
                <w:sz w:val="21"/>
              </w:rPr>
              <w:t>供保税备件库证明文件：工商登记证明或场地租赁证明与备件库图片等。</w:t>
            </w:r>
          </w:p>
          <w:p>
            <w:pPr>
              <w:ind w:firstLine="420"/>
              <w:jc w:val="both"/>
            </w:pPr>
            <w:r>
              <w:rPr>
                <w:sz w:val="21"/>
              </w:rPr>
              <w:t>▲（</w:t>
            </w:r>
            <w:r>
              <w:rPr>
                <w:sz w:val="21"/>
              </w:rPr>
              <w:t>6</w:t>
            </w:r>
            <w:r>
              <w:rPr>
                <w:sz w:val="21"/>
              </w:rPr>
              <w:t>）</w:t>
            </w:r>
            <w:r>
              <w:rPr>
                <w:sz w:val="21"/>
              </w:rPr>
              <w:t>高级诊断：中标人必须在整个合同期内都能合法获得原厂高级故障诊断软件的诊断维修钥匙（</w:t>
            </w:r>
            <w:r>
              <w:rPr>
                <w:sz w:val="21"/>
              </w:rPr>
              <w:t>service key）,并保证不违反国家有关知识产权的法律规定，并做出相应书面承诺。</w:t>
            </w:r>
          </w:p>
          <w:p>
            <w:pPr>
              <w:ind w:firstLine="420"/>
              <w:jc w:val="both"/>
            </w:pPr>
            <w:r>
              <w:rPr>
                <w:sz w:val="21"/>
              </w:rPr>
              <w:t>（</w:t>
            </w:r>
            <w:r>
              <w:rPr>
                <w:sz w:val="21"/>
              </w:rPr>
              <w:t>7</w:t>
            </w:r>
            <w:r>
              <w:rPr>
                <w:sz w:val="21"/>
              </w:rPr>
              <w:t>）</w:t>
            </w:r>
            <w:r>
              <w:rPr>
                <w:sz w:val="21"/>
              </w:rPr>
              <w:t>确</w:t>
            </w:r>
            <w:r>
              <w:rPr>
                <w:sz w:val="21"/>
              </w:rPr>
              <w:t>保全年备件供应服务及物流渠道，提供服务供应商与第三方物流公司的合作协议等证明文件</w:t>
            </w:r>
            <w:r>
              <w:rPr>
                <w:sz w:val="21"/>
              </w:rPr>
              <w:t>或提供书面承诺</w:t>
            </w:r>
            <w:r>
              <w:rPr>
                <w:sz w:val="21"/>
              </w:rPr>
              <w:t>。</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1.采购代理机构：本项目是指广东政通招标有限公司，负责整个采购活动的组织，依法负责编制和发布招标文件，对招标文件拥有最终的解释权，不以任何身份出任评标委员会成员。</w:t>
      </w:r>
    </w:p>
    <w:p>
      <w:pPr>
        <w:ind w:firstLine="480"/>
      </w:pPr>
      <w:r>
        <w:rPr/>
        <w:t>2.采购人：本项目是指</w:t>
      </w:r>
      <w:r>
        <w:rPr/>
        <w:t>东莞市横沥医院</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现场电子开标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1</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r>
              <w:rPr>
                <w:b/>
              </w:rPr>
              <w:t>二、纸质投标文件（代理机构自行选择）：</w:t>
            </w:r>
            <w:r>
              <w:rPr/>
              <w:t>（3）纸质投标文件正本1份，纸质投标文件副本1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r>
              <w:rPr/>
              <w:t>11</w:t>
            </w:r>
          </w:p>
        </w:tc>
        <w:tc>
          <w:tcPr>
            <w:tcW w:type="dxa" w:w="2252"/>
          </w:tcPr>
          <w:p>
            <w:r>
              <w:rPr/>
              <w:t>中标候选供应商推荐家数</w:t>
            </w:r>
          </w:p>
        </w:tc>
        <w:tc>
          <w:tcPr>
            <w:tcW w:type="dxa" w:w="5004"/>
          </w:tcPr>
          <w:p>
            <w:r>
              <w:rPr/>
              <w:t>采购包1：</w:t>
            </w:r>
            <w:r>
              <w:rPr/>
              <w:t>3家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中标服务费根据国家计委[计价格[2002]1980号]文和国家发改委[发改价格[2011]534号]文及相关规定向中标单位收取，按差额定率累进法计算，以中标通知书中确定的中标总金额作为收费的计算依据。</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采购包1：非专门面向中小企业</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广东政通招标有限公司</w:t>
      </w:r>
      <w:r>
        <w:rPr/>
        <w:t>代收。具体操作要求详见</w:t>
      </w:r>
      <w:r>
        <w:rPr/>
        <w:t>广东政通招标有限公司</w:t>
      </w:r>
      <w:r>
        <w:rPr/>
        <w:t>有关指引，递交事宜请自行咨询</w:t>
      </w:r>
      <w:r>
        <w:rPr/>
        <w:t>广东政通招标有限公司</w:t>
      </w:r>
      <w:r>
        <w:rPr/>
        <w:t>；请各投标人在投标文件递交截止时间前按须知前附表规定的金额递交至</w:t>
      </w:r>
      <w:r>
        <w:rPr/>
        <w:t>广东政通招标有限公司</w:t>
      </w:r>
      <w:r>
        <w:rPr/>
        <w:t>，到账情况以开标时</w:t>
      </w:r>
      <w:r>
        <w:rPr/>
        <w:t>广东政通招标有限公司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杨先生</w:t>
      </w:r>
    </w:p>
    <w:p>
      <w:pPr>
        <w:ind w:firstLine="480"/>
      </w:pPr>
      <w:r>
        <w:rPr/>
        <w:t>电话：</w:t>
      </w:r>
      <w:r>
        <w:rPr/>
        <w:t>0769-22881803</w:t>
      </w:r>
    </w:p>
    <w:p>
      <w:pPr>
        <w:ind w:firstLine="480"/>
      </w:pPr>
      <w:r>
        <w:rPr/>
        <w:t>传真：</w:t>
      </w:r>
      <w:r>
        <w:rPr/>
        <w:t>/</w:t>
      </w:r>
    </w:p>
    <w:p>
      <w:pPr>
        <w:ind w:firstLine="480"/>
      </w:pPr>
      <w:r>
        <w:rPr/>
        <w:t>邮箱：</w:t>
      </w:r>
      <w:r>
        <w:rPr/>
        <w:t>471539976@qq.com</w:t>
      </w:r>
    </w:p>
    <w:p>
      <w:pPr>
        <w:ind w:firstLine="480"/>
      </w:pPr>
      <w:r>
        <w:rPr/>
        <w:t>地址：</w:t>
      </w:r>
      <w:r>
        <w:rPr/>
        <w:t>东莞市南城街道鸿福路199号（市民服务中心）411室</w:t>
      </w:r>
    </w:p>
    <w:p>
      <w:pPr>
        <w:ind w:firstLine="480"/>
      </w:pPr>
      <w:r>
        <w:rPr/>
        <w:t>邮编：</w:t>
      </w:r>
      <w:r>
        <w:rPr/>
        <w:t>523000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政府采购监督管理机构名称：东莞市财政局政府采购监管科</w:t>
      </w:r>
    </w:p>
    <w:p>
      <w:r>
        <w:rPr/>
        <w:t>地  址：东莞市南城区鸿福路99号行政办事中心主楼12楼28室</w:t>
      </w:r>
    </w:p>
    <w:p>
      <w:r>
        <w:rPr/>
        <w:t>电  话：0769-22831025、0769-22830161</w:t>
      </w:r>
    </w:p>
    <w:p>
      <w:r>
        <w:rPr/>
        <w:t>邮  编：523000</w:t>
      </w:r>
    </w:p>
    <w:p>
      <w:r>
        <w:rPr/>
        <w:t>传  真：-</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东莞市横沥医院64排CT球管采购项目)：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广东政通招标有限公司</w:t>
      </w:r>
      <w:r>
        <w:rPr/>
        <w:t>统一对外发布。</w:t>
      </w:r>
    </w:p>
    <w:p>
      <w:pPr>
        <w:ind w:firstLine="480"/>
      </w:pPr>
      <w:r>
        <w:rPr/>
        <w:t>（2）对</w:t>
      </w:r>
      <w:r>
        <w:rPr/>
        <w:t>广东政通招标有限公司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采购包1（东莞市横沥医院64排CT球管采购项目）：</w:t>
      </w:r>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货物由小微企业制造</w:t>
            </w:r>
          </w:p>
        </w:tc>
        <w:tc>
          <w:tcPr>
            <w:tcW w:type="dxa" w:w="1246"/>
          </w:tcPr>
          <w:p>
            <w:r>
              <w:rPr/>
              <w:t>10%</w:t>
            </w:r>
          </w:p>
        </w:tc>
        <w:tc>
          <w:tcPr>
            <w:tcW w:type="dxa" w:w="2160"/>
          </w:tcPr>
          <w:p>
            <w:pPr>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581"/>
          </w:tcPr>
          <w:p>
            <w:r>
              <w:rPr/>
              <w:t>2</w:t>
            </w:r>
          </w:p>
        </w:tc>
        <w:tc>
          <w:tcPr>
            <w:tcW w:type="dxa" w:w="2160"/>
          </w:tcPr>
          <w:p>
            <w:pPr>
              <w:jc w:val="left"/>
            </w:pPr>
            <w:r>
              <w:rPr/>
              <w:t>节能、环保产品</w:t>
            </w:r>
          </w:p>
        </w:tc>
        <w:tc>
          <w:tcPr>
            <w:tcW w:type="dxa" w:w="2160"/>
          </w:tcPr>
          <w:p>
            <w:r>
              <w:rPr/>
              <w:t>——</w:t>
            </w:r>
          </w:p>
        </w:tc>
        <w:tc>
          <w:tcPr>
            <w:tcW w:type="dxa" w:w="1246"/>
          </w:tcPr>
          <w:p>
            <w:r>
              <w:rPr/>
              <w:t>3%</w:t>
            </w:r>
          </w:p>
        </w:tc>
        <w:tc>
          <w:tcPr>
            <w:tcW w:type="dxa" w:w="2160"/>
          </w:tcPr>
          <w:p>
            <w:pPr>
              <w:jc w:val="left"/>
            </w:pPr>
            <w:r>
              <w:rPr/>
              <w:t>对获得节能产品认证证书或环境标志产品认证证书的产品给予1%-5%的价格扣除，具体扣除比例根据节能产品或环境标志产品在采购项目中的重要性、所占比重等因素确定。</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采购包1（东莞市横沥医院64排CT球管采购项目）：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投标（响应）文件中提供《资格条件承诺函》。</w:t>
            </w:r>
          </w:p>
        </w:tc>
      </w:tr>
      <w:tr>
        <w:tc>
          <w:tcPr>
            <w:tcW w:type="dxa" w:w="890"/>
          </w:tcPr>
          <w:p>
            <w:r>
              <w:rPr/>
              <w:t>3</w:t>
            </w:r>
          </w:p>
        </w:tc>
        <w:tc>
          <w:tcPr>
            <w:tcW w:type="dxa" w:w="3178"/>
          </w:tcPr>
          <w:p>
            <w:r>
              <w:rPr/>
              <w:t>具有良好的商业信誉和健全的财务会计制度</w:t>
            </w:r>
          </w:p>
        </w:tc>
        <w:tc>
          <w:tcPr>
            <w:tcW w:type="dxa" w:w="4238"/>
          </w:tcPr>
          <w:p>
            <w:r>
              <w:rPr/>
              <w:t>投标（响应）文件中提供《资格条件承诺函》。</w:t>
            </w:r>
          </w:p>
        </w:tc>
      </w:tr>
      <w:tr>
        <w:tc>
          <w:tcPr>
            <w:tcW w:type="dxa" w:w="890"/>
          </w:tcPr>
          <w:p>
            <w:r>
              <w:rPr/>
              <w:t>4</w:t>
            </w:r>
          </w:p>
        </w:tc>
        <w:tc>
          <w:tcPr>
            <w:tcW w:type="dxa" w:w="3178"/>
          </w:tcPr>
          <w:p>
            <w:r>
              <w:rPr/>
              <w:t>履行合同所必需的设备和专业技术能力</w:t>
            </w:r>
          </w:p>
        </w:tc>
        <w:tc>
          <w:tcPr>
            <w:tcW w:type="dxa" w:w="4238"/>
          </w:tcPr>
          <w:p>
            <w:r>
              <w:rPr/>
              <w:t>投标（响应）文件中提供《资格条件承诺函》。</w:t>
            </w:r>
          </w:p>
        </w:tc>
      </w:tr>
      <w:tr>
        <w:tc>
          <w:tcPr>
            <w:tcW w:type="dxa" w:w="890"/>
          </w:tcPr>
          <w:p>
            <w:r>
              <w:rPr/>
              <w:t>5</w:t>
            </w:r>
          </w:p>
        </w:tc>
        <w:tc>
          <w:tcPr>
            <w:tcW w:type="dxa" w:w="3178"/>
          </w:tcPr>
          <w:p>
            <w:r>
              <w:rPr/>
              <w:t>参加采购活动前3年内，在经营活动中没有重大违法记录</w:t>
            </w:r>
          </w:p>
        </w:tc>
        <w:tc>
          <w:tcPr>
            <w:tcW w:type="dxa" w:w="4238"/>
          </w:tcPr>
          <w:p>
            <w:r>
              <w:rPr/>
              <w:t>投标（响应）文件中提供《资格条件承诺函》。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r>
              <w:rPr/>
              <w:t>8</w:t>
            </w:r>
          </w:p>
        </w:tc>
        <w:tc>
          <w:tcPr>
            <w:tcW w:type="dxa" w:w="3178"/>
          </w:tcPr>
          <w:p>
            <w:r>
              <w:rPr/>
              <w:t>特殊要求</w:t>
            </w:r>
          </w:p>
        </w:tc>
        <w:tc>
          <w:tcPr>
            <w:tcW w:type="dxa" w:w="4238"/>
          </w:tcPr>
          <w:p>
            <w:r>
              <w:rPr/>
              <w:t>①投标人为代理商的，从事第三类医疗器械经营的应取得有效期内的《医疗器械经营许可证》或《医疗器械经营企业许可证》；从事第二类医疗器械经营的，需提供（或承诺中标后提供）有效的《第二类医疗器械经营备案凭证》； ②投标人为生产厂商的，从事第二类或第三类医疗器械生产的供应商，应取得药品监督管理部门颁发的在有效期内的《医疗器械生产许可证》或《医疗器械生产企业许可证》；从事第一类医疗器械生产的供应商，需提供（或承诺中标后提供）有效的《第一类医疗器械生产备案凭证》； ③投标货物若属于中国医疗器械注册管理范围内的，则应取得监督管理部门颁发的相应的《中华人民共和国医疗器械注册证》或《医疗器械产品注册登记表》。</w:t>
            </w:r>
          </w:p>
        </w:tc>
      </w:tr>
      <w:tr>
        <w:tc>
          <w:tcPr>
            <w:tcW w:type="dxa" w:w="890"/>
          </w:tcPr>
          <w:p>
            <w:r>
              <w:rPr/>
              <w:t>9</w:t>
            </w:r>
          </w:p>
        </w:tc>
        <w:tc>
          <w:tcPr>
            <w:tcW w:type="dxa" w:w="3178"/>
          </w:tcPr>
          <w:p>
            <w:r>
              <w:rPr/>
              <w:t>落实政府采购政策需满足的资格要求</w:t>
            </w:r>
          </w:p>
        </w:tc>
        <w:tc>
          <w:tcPr>
            <w:tcW w:type="dxa" w:w="4238"/>
          </w:tcPr>
          <w:p>
            <w:r>
              <w:rPr/>
              <w:t>本项目不属于专门面向中小企业采购的项目。</w:t>
            </w:r>
          </w:p>
        </w:tc>
      </w:tr>
    </w:tbl>
    <w:p/>
    <w:p>
      <w:pPr>
        <w:ind w:firstLine="480"/>
      </w:pPr>
      <w:r>
        <w:rPr/>
        <w:t>表二符合性审查表：</w:t>
      </w:r>
    </w:p>
    <w:p>
      <w:pPr>
        <w:ind w:firstLine="480"/>
      </w:pPr>
    </w:p>
    <w:p/>
    <w:p>
      <w:r>
        <w:rPr/>
        <w:t>采购包1（东莞市横沥医院64排CT球管采购项目）：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已按规定格式编制及盖章、签署，投标有效期满足招标文件要求。</w:t>
            </w:r>
          </w:p>
        </w:tc>
      </w:tr>
      <w:tr>
        <w:tc>
          <w:tcPr>
            <w:tcW w:type="dxa" w:w="890"/>
          </w:tcPr>
          <w:p>
            <w:r>
              <w:rPr/>
              <w:t>2</w:t>
            </w:r>
          </w:p>
        </w:tc>
        <w:tc>
          <w:tcPr>
            <w:tcW w:type="dxa" w:w="3178"/>
          </w:tcPr>
          <w:p>
            <w:r>
              <w:rPr/>
              <w:t>法定代表人证明书及授权委托书</w:t>
            </w:r>
          </w:p>
        </w:tc>
        <w:tc>
          <w:tcPr>
            <w:tcW w:type="dxa" w:w="4238"/>
          </w:tcPr>
          <w:p>
            <w:r>
              <w:rPr/>
              <w:t>已经盖章、签署，授权有效期。</w:t>
            </w:r>
          </w:p>
        </w:tc>
      </w:tr>
      <w:tr>
        <w:tc>
          <w:tcPr>
            <w:tcW w:type="dxa" w:w="890"/>
          </w:tcPr>
          <w:p>
            <w:r>
              <w:rPr/>
              <w:t>3</w:t>
            </w:r>
          </w:p>
        </w:tc>
        <w:tc>
          <w:tcPr>
            <w:tcW w:type="dxa" w:w="3178"/>
          </w:tcPr>
          <w:p>
            <w:r>
              <w:rPr/>
              <w:t>投标文件内容、签署、盖章</w:t>
            </w:r>
          </w:p>
        </w:tc>
        <w:tc>
          <w:tcPr>
            <w:tcW w:type="dxa" w:w="4238"/>
          </w:tcPr>
          <w:p>
            <w:r>
              <w:rPr/>
              <w:t>投标文件内容完整，无重大错漏，并已按招标文件要求盖章、签署。</w:t>
            </w:r>
          </w:p>
        </w:tc>
      </w:tr>
      <w:tr>
        <w:tc>
          <w:tcPr>
            <w:tcW w:type="dxa" w:w="890"/>
          </w:tcPr>
          <w:p>
            <w:r>
              <w:rPr/>
              <w:t>4</w:t>
            </w:r>
          </w:p>
        </w:tc>
        <w:tc>
          <w:tcPr>
            <w:tcW w:type="dxa" w:w="3178"/>
          </w:tcPr>
          <w:p>
            <w:r>
              <w:rPr/>
              <w:t>投标报价</w:t>
            </w:r>
          </w:p>
        </w:tc>
        <w:tc>
          <w:tcPr>
            <w:tcW w:type="dxa" w:w="4238"/>
          </w:tcPr>
          <w:p>
            <w:r>
              <w:rPr/>
              <w:t>投标人的投标报价无超出项目预算金额。</w:t>
            </w:r>
          </w:p>
        </w:tc>
      </w:tr>
      <w:tr>
        <w:tc>
          <w:tcPr>
            <w:tcW w:type="dxa" w:w="890"/>
          </w:tcPr>
          <w:p>
            <w:r>
              <w:rPr/>
              <w:t>5</w:t>
            </w:r>
          </w:p>
        </w:tc>
        <w:tc>
          <w:tcPr>
            <w:tcW w:type="dxa" w:w="3178"/>
          </w:tcPr>
          <w:p>
            <w:r>
              <w:rPr/>
              <w:t>商务审查</w:t>
            </w:r>
          </w:p>
        </w:tc>
        <w:tc>
          <w:tcPr>
            <w:tcW w:type="dxa" w:w="4238"/>
          </w:tcPr>
          <w:p>
            <w:r>
              <w:rPr/>
              <w:t>商务条款满足招标文件要求。</w:t>
            </w:r>
          </w:p>
        </w:tc>
      </w:tr>
      <w:tr>
        <w:tc>
          <w:tcPr>
            <w:tcW w:type="dxa" w:w="890"/>
          </w:tcPr>
          <w:p>
            <w:r>
              <w:rPr/>
              <w:t>6</w:t>
            </w:r>
          </w:p>
        </w:tc>
        <w:tc>
          <w:tcPr>
            <w:tcW w:type="dxa" w:w="3178"/>
          </w:tcPr>
          <w:p>
            <w:r>
              <w:rPr/>
              <w:t>技术审查</w:t>
            </w:r>
          </w:p>
        </w:tc>
        <w:tc>
          <w:tcPr>
            <w:tcW w:type="dxa" w:w="4238"/>
          </w:tcPr>
          <w:p>
            <w:r>
              <w:rPr/>
              <w:t>技术条款满足招标文件要求。</w:t>
            </w:r>
          </w:p>
        </w:tc>
      </w:tr>
      <w:tr>
        <w:tc>
          <w:tcPr>
            <w:tcW w:type="dxa" w:w="890"/>
          </w:tcPr>
          <w:p>
            <w:r>
              <w:rPr/>
              <w:t>7</w:t>
            </w:r>
          </w:p>
        </w:tc>
        <w:tc>
          <w:tcPr>
            <w:tcW w:type="dxa" w:w="3178"/>
          </w:tcPr>
          <w:p>
            <w:r>
              <w:rPr/>
              <w:t>附加条件</w:t>
            </w:r>
          </w:p>
        </w:tc>
        <w:tc>
          <w:tcPr>
            <w:tcW w:type="dxa" w:w="4238"/>
          </w:tcPr>
          <w:p>
            <w:r>
              <w:rPr/>
              <w:t>投标文件未含有采购人不能接受的附加条件。</w:t>
            </w:r>
          </w:p>
        </w:tc>
      </w:tr>
      <w:tr>
        <w:tc>
          <w:tcPr>
            <w:tcW w:type="dxa" w:w="890"/>
          </w:tcPr>
          <w:p>
            <w:r>
              <w:rPr/>
              <w:t>8</w:t>
            </w:r>
          </w:p>
        </w:tc>
        <w:tc>
          <w:tcPr>
            <w:tcW w:type="dxa" w:w="3178"/>
          </w:tcPr>
          <w:p>
            <w:r>
              <w:rPr/>
              <w:t>无效情形</w:t>
            </w:r>
          </w:p>
        </w:tc>
        <w:tc>
          <w:tcPr>
            <w:tcW w:type="dxa" w:w="4238"/>
          </w:tcPr>
          <w:p>
            <w:r>
              <w:rPr/>
              <w:t>投标文件中未有法律、法规和招标文件规定的其他无效情形</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采购包1(东莞市横沥医院64排CT球管采购项目):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商务部分20.0分</w:t>
            </w:r>
          </w:p>
          <w:p>
            <w:r>
              <w:rPr/>
              <w:t>技术部分50.0分</w:t>
            </w:r>
          </w:p>
          <w:p>
            <w:r>
              <w:rPr/>
              <w:t>报价得分30.0分</w:t>
            </w:r>
          </w:p>
        </w:tc>
      </w:tr>
      <w:tr>
        <w:tc>
          <w:tcPr>
            <w:tcW w:type="dxa" w:w="922"/>
            <w:gridSpan w:val="2"/>
            <w:vMerge w:val="restart"/>
          </w:tcPr>
          <w:p>
            <w:pPr>
              <w:jc w:val="center"/>
            </w:pPr>
            <w:r>
              <w:rPr/>
              <w:t>技术部分</w:t>
            </w:r>
          </w:p>
        </w:tc>
        <w:tc>
          <w:tcPr>
            <w:tcW w:type="dxa" w:w="2307"/>
          </w:tcPr>
          <w:p>
            <w:pPr>
              <w:jc w:val="left"/>
            </w:pPr>
            <w:r>
              <w:rPr/>
              <w:t>技术响应 (24.0分)</w:t>
            </w:r>
          </w:p>
        </w:tc>
        <w:tc>
          <w:tcPr>
            <w:tcW w:type="dxa" w:w="5076"/>
          </w:tcPr>
          <w:p>
            <w:pPr>
              <w:jc w:val="left"/>
            </w:pPr>
            <w:r>
              <w:rPr/>
              <w:t>所投技术标准条款符合招标文件的规定及要求，满分为24分，每一项带“▲”条款不符合扣4分，扣完为止。 ①对用户需求书带“▲”号的条款，用户需求书要求提供相关证明资料的，则投标文件中须提供对应技术标准的证明资料。 ②对用户需求书带“▲”号的条款，用户需求书未要求提供相关证明资料的，则以投标人按招标文件格式中《技术规格及服务要求响应表》的响应情况为准，未填写或负偏离的均不得分。</w:t>
            </w:r>
          </w:p>
        </w:tc>
      </w:tr>
      <w:tr>
        <w:tc>
          <w:tcPr>
            <w:tcW w:type="dxa" w:w="922"/>
            <w:gridSpan w:val="2"/>
            <w:vMerge/>
          </w:tcPr>
          <w:p/>
        </w:tc>
        <w:tc>
          <w:tcPr>
            <w:tcW w:type="dxa" w:w="2307"/>
          </w:tcPr>
          <w:p>
            <w:pPr>
              <w:jc w:val="left"/>
            </w:pPr>
            <w:r>
              <w:rPr/>
              <w:t>货物配置、选型方案 (6.0分)</w:t>
            </w:r>
            <w:r>
              <w:rPr/>
              <w:t>，（等次分值选择：</w:t>
            </w:r>
            <w:r>
              <w:rPr/>
              <w:t>0.0;</w:t>
            </w:r>
            <w:r>
              <w:rPr/>
              <w:t>1.0;</w:t>
            </w:r>
            <w:r>
              <w:rPr/>
              <w:t>2.0;</w:t>
            </w:r>
            <w:r>
              <w:rPr/>
              <w:t>4.0;</w:t>
            </w:r>
            <w:r>
              <w:rPr/>
              <w:t>6.0;</w:t>
            </w:r>
            <w:r>
              <w:rPr/>
              <w:t>）</w:t>
            </w:r>
          </w:p>
        </w:tc>
        <w:tc>
          <w:tcPr>
            <w:tcW w:type="dxa" w:w="5076"/>
          </w:tcPr>
          <w:p>
            <w:pPr>
              <w:jc w:val="left"/>
            </w:pPr>
            <w:r>
              <w:rPr/>
              <w:t>根据投标人提供的货物配置、选型方案进行综合评价： 1.所投货物配置、选型的合理性高、性能稳定性高、成熟可靠性强的得6分；  2.所投货物配置、选型较合理性、具有一定的稳定性、可靠性的得4分；  3.所投货物配置、选型、性能稳定性、可靠性一般的得2分。 4.所投货物配置、选型、性能稳定性、可靠性差的得1分。 5.未提供方案不得分。</w:t>
            </w:r>
          </w:p>
        </w:tc>
      </w:tr>
      <w:tr>
        <w:tc>
          <w:tcPr>
            <w:tcW w:type="dxa" w:w="922"/>
            <w:gridSpan w:val="2"/>
            <w:vMerge/>
          </w:tcPr>
          <w:p/>
        </w:tc>
        <w:tc>
          <w:tcPr>
            <w:tcW w:type="dxa" w:w="2307"/>
          </w:tcPr>
          <w:p>
            <w:pPr>
              <w:jc w:val="left"/>
            </w:pPr>
            <w:r>
              <w:rPr/>
              <w:t>质量保障措施 (10.0分)</w:t>
            </w:r>
            <w:r>
              <w:rPr/>
              <w:t>，（等次分值选择：</w:t>
            </w:r>
            <w:r>
              <w:rPr/>
              <w:t>0.0;</w:t>
            </w:r>
            <w:r>
              <w:rPr/>
              <w:t>1.0;</w:t>
            </w:r>
            <w:r>
              <w:rPr/>
              <w:t>4.0;</w:t>
            </w:r>
            <w:r>
              <w:rPr/>
              <w:t>7.0;</w:t>
            </w:r>
            <w:r>
              <w:rPr/>
              <w:t>10.0;</w:t>
            </w:r>
            <w:r>
              <w:rPr/>
              <w:t>）</w:t>
            </w:r>
          </w:p>
        </w:tc>
        <w:tc>
          <w:tcPr>
            <w:tcW w:type="dxa" w:w="5076"/>
          </w:tcPr>
          <w:p>
            <w:pPr>
              <w:jc w:val="left"/>
            </w:pPr>
            <w:r>
              <w:rPr/>
              <w:t>根据投标人提供的质量保障措施进行综合评价： 1.质量保障措施具体、全面、完善、可行的得10分；  2.质量保障措施较具体、较全面、较完善、较可行的得7分； 3.质量保障措施不够具体、不够全面、基本完善、基本可行的得4分；  4.质量保障措施单一或可行性低的得1分； 5.未提供质量保障措施不得分。</w:t>
            </w:r>
          </w:p>
        </w:tc>
      </w:tr>
      <w:tr>
        <w:tc>
          <w:tcPr>
            <w:tcW w:type="dxa" w:w="922"/>
            <w:gridSpan w:val="2"/>
            <w:vMerge/>
          </w:tcPr>
          <w:p/>
        </w:tc>
        <w:tc>
          <w:tcPr>
            <w:tcW w:type="dxa" w:w="2307"/>
          </w:tcPr>
          <w:p>
            <w:pPr>
              <w:jc w:val="left"/>
            </w:pPr>
            <w:r>
              <w:rPr/>
              <w:t>安装调试 (10.0分)</w:t>
            </w:r>
            <w:r>
              <w:rPr/>
              <w:t>，（等次分值选择：</w:t>
            </w:r>
            <w:r>
              <w:rPr/>
              <w:t>0.0;</w:t>
            </w:r>
            <w:r>
              <w:rPr/>
              <w:t>1.0;</w:t>
            </w:r>
            <w:r>
              <w:rPr/>
              <w:t>4.0;</w:t>
            </w:r>
            <w:r>
              <w:rPr/>
              <w:t>7.0;</w:t>
            </w:r>
            <w:r>
              <w:rPr/>
              <w:t>10.0;</w:t>
            </w:r>
            <w:r>
              <w:rPr/>
              <w:t>）</w:t>
            </w:r>
          </w:p>
        </w:tc>
        <w:tc>
          <w:tcPr>
            <w:tcW w:type="dxa" w:w="5076"/>
          </w:tcPr>
          <w:p>
            <w:pPr>
              <w:jc w:val="left"/>
            </w:pPr>
            <w:r>
              <w:rPr/>
              <w:t>根据技术方案安装调试及验收方案具体、详细、可行，有利于项目实施等情况综合评价： 1、方案详细、合理，可操作性强，符合本项目需求的得10分；  2、方案基本合理，可操作，基本符合本项目需求的得7分； 3、方案一般，可操作性一般的得4分；  4、方案不全面，可操作性差的得1分； 5.未提供方案不得分。</w:t>
            </w:r>
          </w:p>
        </w:tc>
      </w:tr>
      <w:tr>
        <w:tc>
          <w:tcPr>
            <w:tcW w:type="dxa" w:w="922"/>
            <w:gridSpan w:val="2"/>
            <w:vMerge w:val="restart"/>
          </w:tcPr>
          <w:p>
            <w:pPr>
              <w:jc w:val="center"/>
            </w:pPr>
            <w:r>
              <w:rPr/>
              <w:t>商务部分</w:t>
            </w:r>
          </w:p>
        </w:tc>
        <w:tc>
          <w:tcPr>
            <w:tcW w:type="dxa" w:w="2307"/>
          </w:tcPr>
          <w:p>
            <w:pPr>
              <w:jc w:val="left"/>
            </w:pPr>
            <w:r>
              <w:rPr/>
              <w:t>售后服务 (10.0分)</w:t>
            </w:r>
            <w:r>
              <w:rPr/>
              <w:t>，（等次分值选择：</w:t>
            </w:r>
            <w:r>
              <w:rPr/>
              <w:t>0.0;</w:t>
            </w:r>
            <w:r>
              <w:rPr/>
              <w:t>1.0;</w:t>
            </w:r>
            <w:r>
              <w:rPr/>
              <w:t>4.0;</w:t>
            </w:r>
            <w:r>
              <w:rPr/>
              <w:t>7.0;</w:t>
            </w:r>
            <w:r>
              <w:rPr/>
              <w:t>10.0;</w:t>
            </w:r>
            <w:r>
              <w:rPr/>
              <w:t>）</w:t>
            </w:r>
          </w:p>
        </w:tc>
        <w:tc>
          <w:tcPr>
            <w:tcW w:type="dxa" w:w="5076"/>
          </w:tcPr>
          <w:p>
            <w:pPr>
              <w:jc w:val="left"/>
            </w:pPr>
            <w:r>
              <w:rPr/>
              <w:t>根据各投标人的售后服务及培训计划，包括维修响应时间、服务范围、售后服务人员、应急处理方案等综合评价： 1.方案详细、合理，可操作性强，符合本项目需求的得10分； 2.方案基本合理，可操作，基本符合本项目需求的得7分；  3.方案一般，可操作性一般的得4分；  4.方案不全面，可操作性差的得1分； 5.未提供方案不得分。</w:t>
            </w:r>
          </w:p>
        </w:tc>
      </w:tr>
      <w:tr>
        <w:tc>
          <w:tcPr>
            <w:tcW w:type="dxa" w:w="922"/>
            <w:gridSpan w:val="2"/>
            <w:vMerge/>
          </w:tcPr>
          <w:p/>
        </w:tc>
        <w:tc>
          <w:tcPr>
            <w:tcW w:type="dxa" w:w="2307"/>
          </w:tcPr>
          <w:p>
            <w:pPr>
              <w:jc w:val="left"/>
            </w:pPr>
            <w:r>
              <w:rPr/>
              <w:t>业绩 (10.0分)</w:t>
            </w:r>
          </w:p>
        </w:tc>
        <w:tc>
          <w:tcPr>
            <w:tcW w:type="dxa" w:w="5076"/>
          </w:tcPr>
          <w:p>
            <w:pPr>
              <w:jc w:val="left"/>
            </w:pPr>
            <w:r>
              <w:rPr/>
              <w:t>投标人2022年1月1日至今具有CT球管更换（或CT球管销售/安装）类项目业绩的，每提供一个业绩合同得2.5分，本项最高得10分。  注：提供合同复印件加盖公章，不能提供的不得分。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
      <w:pPr>
        <w:ind w:firstLine="480"/>
        <w:jc w:val="both"/>
      </w:pPr>
    </w:p>
    <w:p>
      <w:pPr>
        <w:jc w:val="both"/>
      </w:pPr>
    </w:p>
    <w:p>
      <w:pPr>
        <w:jc w:val="both"/>
      </w:pPr>
    </w:p>
    <w:p>
      <w:pPr>
        <w:jc w:val="center"/>
      </w:pPr>
      <w:r>
        <w:rPr>
          <w:b/>
          <w:sz w:val="21"/>
        </w:rPr>
        <w:t xml:space="preserve"> </w:t>
      </w:r>
    </w:p>
    <w:p>
      <w:pPr>
        <w:jc w:val="center"/>
      </w:pPr>
      <w:r>
        <w:rPr>
          <w:b/>
          <w:sz w:val="21"/>
        </w:rPr>
        <w:t xml:space="preserve"> </w:t>
      </w:r>
    </w:p>
    <w:p>
      <w:pPr>
        <w:jc w:val="center"/>
      </w:pPr>
      <w:r>
        <w:rPr>
          <w:b/>
          <w:sz w:val="21"/>
        </w:rPr>
        <w:t xml:space="preserve"> </w:t>
      </w:r>
    </w:p>
    <w:p>
      <w:pPr>
        <w:jc w:val="center"/>
      </w:pPr>
      <w:r>
        <w:rPr>
          <w:b/>
          <w:sz w:val="48"/>
        </w:rPr>
        <w:t>广东省政府采购</w:t>
      </w:r>
    </w:p>
    <w:p>
      <w:pPr>
        <w:jc w:val="both"/>
      </w:pPr>
      <w:r>
        <w:rPr>
          <w:b/>
          <w:sz w:val="21"/>
        </w:rPr>
        <w:t xml:space="preserve"> </w:t>
      </w:r>
    </w:p>
    <w:p>
      <w:pPr>
        <w:jc w:val="center"/>
      </w:pPr>
      <w:r>
        <w:rPr>
          <w:b/>
          <w:sz w:val="48"/>
        </w:rPr>
        <w:t>合　同　书</w:t>
      </w:r>
    </w:p>
    <w:p>
      <w:pPr>
        <w:jc w:val="center"/>
      </w:pPr>
    </w:p>
    <w:p>
      <w:pPr>
        <w:jc w:val="center"/>
      </w:pPr>
    </w:p>
    <w:p>
      <w:pPr>
        <w:jc w:val="center"/>
      </w:pPr>
    </w:p>
    <w:p>
      <w:pPr>
        <w:jc w:val="center"/>
      </w:pPr>
    </w:p>
    <w:p>
      <w:pPr>
        <w:jc w:val="center"/>
      </w:pPr>
    </w:p>
    <w:p>
      <w:pPr>
        <w:jc w:val="center"/>
      </w:pPr>
      <w:r>
        <w:rPr>
          <w:sz w:val="21"/>
        </w:rPr>
        <w:t xml:space="preserve"> </w:t>
      </w:r>
    </w:p>
    <w:p>
      <w:pPr>
        <w:jc w:val="center"/>
      </w:pPr>
      <w:r>
        <w:rPr>
          <w:color w:val="222222"/>
          <w:sz w:val="28"/>
        </w:rPr>
        <w:t>采购计划编号：</w:t>
      </w:r>
      <w:r>
        <w:rPr>
          <w:sz w:val="21"/>
        </w:rPr>
        <w:t xml:space="preserve">                          </w:t>
      </w:r>
    </w:p>
    <w:p>
      <w:pPr>
        <w:jc w:val="both"/>
      </w:pPr>
      <w:r>
        <w:rPr>
          <w:sz w:val="21"/>
        </w:rPr>
        <w:t xml:space="preserve"> </w:t>
      </w:r>
    </w:p>
    <w:p>
      <w:pPr>
        <w:jc w:val="center"/>
      </w:pPr>
      <w:r>
        <w:rPr>
          <w:color w:val="222222"/>
          <w:sz w:val="28"/>
        </w:rPr>
        <w:t>项目编号：</w:t>
      </w:r>
      <w:r>
        <w:rPr>
          <w:sz w:val="21"/>
        </w:rPr>
        <w:t xml:space="preserve">                               </w:t>
      </w:r>
    </w:p>
    <w:p>
      <w:pPr>
        <w:jc w:val="both"/>
      </w:pPr>
      <w:r>
        <w:rPr>
          <w:sz w:val="21"/>
        </w:rPr>
        <w:t xml:space="preserve"> </w:t>
      </w:r>
    </w:p>
    <w:p>
      <w:pPr>
        <w:jc w:val="center"/>
      </w:pPr>
      <w:r>
        <w:rPr>
          <w:color w:val="222222"/>
          <w:sz w:val="28"/>
        </w:rPr>
        <w:t>项目名称：</w:t>
      </w:r>
      <w:r>
        <w:rPr>
          <w:sz w:val="21"/>
        </w:rPr>
        <w:t xml:space="preserve">                             </w:t>
      </w:r>
    </w:p>
    <w:p>
      <w:pPr>
        <w:jc w:val="center"/>
      </w:pPr>
    </w:p>
    <w:p>
      <w:pPr>
        <w:jc w:val="center"/>
      </w:pPr>
    </w:p>
    <w:p>
      <w:pPr>
        <w:jc w:val="both"/>
      </w:pPr>
    </w:p>
    <w:p>
      <w:pPr>
        <w:jc w:val="both"/>
      </w:pPr>
    </w:p>
    <w:p>
      <w:pPr>
        <w:jc w:val="both"/>
      </w:pPr>
    </w:p>
    <w:p>
      <w:pPr>
        <w:jc w:val="both"/>
      </w:pPr>
    </w:p>
    <w:p>
      <w:pPr>
        <w:jc w:val="both"/>
      </w:pPr>
    </w:p>
    <w:p>
      <w:pPr>
        <w:jc w:val="center"/>
      </w:pPr>
    </w:p>
    <w:p>
      <w:pPr>
        <w:jc w:val="both"/>
      </w:pPr>
      <w:r>
        <w:rPr>
          <w:sz w:val="21"/>
        </w:rPr>
        <w:t>甲方</w:t>
      </w:r>
      <w:r>
        <w:rPr>
          <w:sz w:val="21"/>
        </w:rPr>
        <w:t>：</w:t>
      </w:r>
      <w:r>
        <w:rPr>
          <w:sz w:val="21"/>
          <w:u w:val="single"/>
        </w:rPr>
        <w:t xml:space="preserve">               </w:t>
      </w:r>
    </w:p>
    <w:p>
      <w:pPr>
        <w:jc w:val="both"/>
      </w:pPr>
      <w:r>
        <w:rPr>
          <w:sz w:val="21"/>
        </w:rPr>
        <w:t>电话</w:t>
      </w:r>
      <w:r>
        <w:rPr>
          <w:sz w:val="21"/>
        </w:rPr>
        <w:t>：</w:t>
      </w:r>
      <w:r>
        <w:rPr>
          <w:sz w:val="21"/>
          <w:u w:val="single"/>
        </w:rPr>
        <w:t xml:space="preserve">               </w:t>
      </w:r>
      <w:r>
        <w:rPr>
          <w:sz w:val="21"/>
        </w:rPr>
        <w:t>传真</w:t>
      </w:r>
      <w:r>
        <w:rPr>
          <w:sz w:val="21"/>
        </w:rPr>
        <w:t>：</w:t>
      </w:r>
      <w:r>
        <w:rPr>
          <w:sz w:val="21"/>
          <w:u w:val="single"/>
        </w:rPr>
        <w:t xml:space="preserve">              </w:t>
      </w:r>
      <w:r>
        <w:rPr>
          <w:sz w:val="21"/>
        </w:rPr>
        <w:t>地址</w:t>
      </w:r>
      <w:r>
        <w:rPr>
          <w:sz w:val="21"/>
        </w:rPr>
        <w:t>：</w:t>
      </w:r>
      <w:r>
        <w:rPr>
          <w:sz w:val="21"/>
          <w:u w:val="single"/>
        </w:rPr>
        <w:t xml:space="preserve">               </w:t>
      </w:r>
    </w:p>
    <w:p>
      <w:pPr>
        <w:jc w:val="both"/>
      </w:pPr>
      <w:r>
        <w:rPr>
          <w:sz w:val="21"/>
        </w:rPr>
        <w:t>乙方</w:t>
      </w:r>
      <w:r>
        <w:rPr>
          <w:sz w:val="21"/>
        </w:rPr>
        <w:t>：</w:t>
      </w:r>
      <w:r>
        <w:rPr>
          <w:sz w:val="21"/>
          <w:u w:val="single"/>
        </w:rPr>
        <w:t xml:space="preserve">               </w:t>
      </w:r>
    </w:p>
    <w:p>
      <w:pPr>
        <w:jc w:val="both"/>
      </w:pPr>
      <w:r>
        <w:rPr>
          <w:sz w:val="21"/>
        </w:rPr>
        <w:t>电话</w:t>
      </w:r>
      <w:r>
        <w:rPr>
          <w:sz w:val="21"/>
        </w:rPr>
        <w:t>：</w:t>
      </w:r>
      <w:r>
        <w:rPr>
          <w:sz w:val="21"/>
          <w:u w:val="single"/>
        </w:rPr>
        <w:t xml:space="preserve">               </w:t>
      </w:r>
      <w:r>
        <w:rPr>
          <w:sz w:val="21"/>
        </w:rPr>
        <w:t>传真</w:t>
      </w:r>
      <w:r>
        <w:rPr>
          <w:sz w:val="21"/>
        </w:rPr>
        <w:t>：</w:t>
      </w:r>
      <w:r>
        <w:rPr>
          <w:sz w:val="21"/>
          <w:u w:val="single"/>
        </w:rPr>
        <w:t xml:space="preserve">               </w:t>
      </w:r>
      <w:r>
        <w:rPr>
          <w:sz w:val="21"/>
        </w:rPr>
        <w:t>地址</w:t>
      </w:r>
      <w:r>
        <w:rPr>
          <w:sz w:val="21"/>
        </w:rPr>
        <w:t>：</w:t>
      </w:r>
      <w:r>
        <w:rPr>
          <w:sz w:val="21"/>
          <w:u w:val="single"/>
        </w:rPr>
        <w:t xml:space="preserve">               </w:t>
      </w:r>
    </w:p>
    <w:p>
      <w:pPr>
        <w:ind w:firstLine="420"/>
        <w:jc w:val="both"/>
      </w:pPr>
      <w:r>
        <w:rPr>
          <w:sz w:val="21"/>
        </w:rPr>
        <w:t>根据</w:t>
      </w:r>
      <w:r>
        <w:rPr>
          <w:sz w:val="21"/>
          <w:u w:val="single"/>
        </w:rPr>
        <w:t xml:space="preserve">             </w:t>
      </w:r>
      <w:r>
        <w:rPr>
          <w:sz w:val="21"/>
          <w:u w:val="single"/>
        </w:rPr>
        <w:t>项目</w:t>
      </w:r>
      <w:r>
        <w:rPr>
          <w:sz w:val="21"/>
        </w:rPr>
        <w:t>的采购结果，按照</w:t>
      </w:r>
      <w:r>
        <w:rPr>
          <w:sz w:val="21"/>
        </w:rPr>
        <w:t>《</w:t>
      </w:r>
      <w:r>
        <w:rPr>
          <w:sz w:val="21"/>
        </w:rPr>
        <w:t>中</w:t>
      </w:r>
      <w:r>
        <w:rPr>
          <w:sz w:val="21"/>
        </w:rPr>
        <w:t>华人民共和国政府采购法》</w:t>
      </w:r>
      <w:r>
        <w:rPr>
          <w:sz w:val="21"/>
        </w:rPr>
        <w:t>、</w:t>
      </w:r>
      <w:r>
        <w:rPr>
          <w:sz w:val="21"/>
        </w:rPr>
        <w:t>《中华人民共和国民法典</w:t>
      </w:r>
      <w:r>
        <w:rPr>
          <w:sz w:val="21"/>
        </w:rPr>
        <w:t>（</w:t>
      </w:r>
      <w:r>
        <w:rPr>
          <w:sz w:val="21"/>
        </w:rPr>
        <w:t>合同编</w:t>
      </w:r>
      <w:r>
        <w:rPr>
          <w:sz w:val="21"/>
        </w:rPr>
        <w:t>）</w:t>
      </w:r>
      <w:r>
        <w:rPr>
          <w:sz w:val="21"/>
        </w:rPr>
        <w:t>》的规定，经双方协商，本着平等互利和诚实信用的原则，一致同意</w:t>
      </w:r>
      <w:r>
        <w:rPr>
          <w:sz w:val="21"/>
        </w:rPr>
        <w:t>签订</w:t>
      </w:r>
      <w:r>
        <w:rPr>
          <w:sz w:val="21"/>
        </w:rPr>
        <w:t>本合</w:t>
      </w:r>
      <w:r>
        <w:rPr>
          <w:sz w:val="21"/>
        </w:rPr>
        <w:t>同</w:t>
      </w:r>
      <w:r>
        <w:rPr>
          <w:sz w:val="21"/>
        </w:rPr>
        <w:t>如下。</w:t>
      </w:r>
    </w:p>
    <w:p>
      <w:pPr>
        <w:jc w:val="both"/>
      </w:pPr>
      <w:r>
        <w:rPr>
          <w:b/>
          <w:sz w:val="21"/>
        </w:rPr>
        <w:t>一</w:t>
      </w:r>
      <w:r>
        <w:rPr>
          <w:b/>
          <w:sz w:val="21"/>
        </w:rPr>
        <w:t>、</w:t>
      </w:r>
      <w:r>
        <w:rPr>
          <w:b/>
          <w:sz w:val="21"/>
        </w:rPr>
        <w:t>货物内容</w:t>
      </w:r>
    </w:p>
    <w:tbl>
      <w:tblPr>
        <w:tblW w:w="0" w:type="auto"/>
        <w:tblBorders>
          <w:top w:val="none" w:color="000000" w:sz="4"/>
          <w:left w:val="none" w:color="000000" w:sz="4"/>
          <w:bottom w:val="none" w:color="000000" w:sz="4"/>
          <w:right w:val="none" w:color="000000" w:sz="4"/>
          <w:insideH w:val="none"/>
          <w:insideV w:val="none"/>
        </w:tblBorders>
      </w:tblPr>
      <w:tblGrid>
        <w:gridCol w:w="838"/>
        <w:gridCol w:w="2883"/>
        <w:gridCol w:w="927"/>
        <w:gridCol w:w="724"/>
        <w:gridCol w:w="851"/>
        <w:gridCol w:w="1092"/>
        <w:gridCol w:w="991"/>
      </w:tblGrid>
      <w:tr>
        <w:tc>
          <w:tcPr>
            <w:tcW w:type="dxa" w:w="838"/>
            <w:tcBorders>
              <w:top w:val="single" w:color="000000" w:sz="4"/>
              <w:left w:val="single" w:color="000000" w:sz="4"/>
              <w:bottom w:val="single" w:color="000000" w:sz="4"/>
              <w:right w:val="single" w:color="000000" w:sz="4"/>
            </w:tcBorders>
            <w:vAlign w:val="top"/>
          </w:tcPr>
          <w:p>
            <w:pPr>
              <w:jc w:val="center"/>
            </w:pPr>
            <w:r>
              <w:rPr>
                <w:sz w:val="21"/>
              </w:rPr>
              <w:t>名称</w:t>
            </w:r>
          </w:p>
        </w:tc>
        <w:tc>
          <w:tcPr>
            <w:tcW w:type="dxa" w:w="2883"/>
            <w:tcBorders>
              <w:top w:val="single" w:color="000000" w:sz="4"/>
              <w:left w:val="single" w:color="000000" w:sz="4"/>
              <w:bottom w:val="single" w:color="000000" w:sz="4"/>
              <w:right w:val="single" w:color="000000" w:sz="4"/>
            </w:tcBorders>
            <w:vAlign w:val="top"/>
          </w:tcPr>
          <w:p>
            <w:pPr>
              <w:jc w:val="center"/>
            </w:pPr>
            <w:r>
              <w:rPr>
                <w:sz w:val="21"/>
              </w:rPr>
              <w:t>品牌、规格、标准</w:t>
            </w:r>
            <w:r>
              <w:rPr>
                <w:sz w:val="21"/>
              </w:rPr>
              <w:t>/主要服务内容</w:t>
            </w:r>
          </w:p>
        </w:tc>
        <w:tc>
          <w:tcPr>
            <w:tcW w:type="dxa" w:w="927"/>
            <w:tcBorders>
              <w:top w:val="single" w:color="000000" w:sz="4"/>
              <w:left w:val="single" w:color="000000" w:sz="4"/>
              <w:bottom w:val="single" w:color="000000" w:sz="4"/>
              <w:right w:val="single" w:color="000000" w:sz="4"/>
            </w:tcBorders>
            <w:vAlign w:val="top"/>
          </w:tcPr>
          <w:p>
            <w:pPr>
              <w:jc w:val="center"/>
            </w:pPr>
            <w:r>
              <w:rPr>
                <w:sz w:val="21"/>
              </w:rPr>
              <w:t>产地</w:t>
            </w:r>
          </w:p>
        </w:tc>
        <w:tc>
          <w:tcPr>
            <w:tcW w:type="dxa" w:w="724"/>
            <w:tcBorders>
              <w:top w:val="single" w:color="000000" w:sz="4"/>
              <w:left w:val="single" w:color="000000" w:sz="4"/>
              <w:bottom w:val="single" w:color="000000" w:sz="4"/>
              <w:right w:val="single" w:color="000000" w:sz="4"/>
            </w:tcBorders>
            <w:vAlign w:val="top"/>
          </w:tcPr>
          <w:p>
            <w:pPr>
              <w:jc w:val="center"/>
            </w:pPr>
            <w:r>
              <w:rPr>
                <w:sz w:val="21"/>
              </w:rPr>
              <w:t>数量</w:t>
            </w:r>
          </w:p>
        </w:tc>
        <w:tc>
          <w:tcPr>
            <w:tcW w:type="dxa" w:w="851"/>
            <w:tcBorders>
              <w:top w:val="single" w:color="000000" w:sz="4"/>
              <w:left w:val="single" w:color="000000" w:sz="4"/>
              <w:bottom w:val="single" w:color="000000" w:sz="4"/>
              <w:right w:val="single" w:color="000000" w:sz="4"/>
            </w:tcBorders>
            <w:vAlign w:val="top"/>
          </w:tcPr>
          <w:p>
            <w:pPr>
              <w:jc w:val="center"/>
            </w:pPr>
            <w:r>
              <w:rPr>
                <w:sz w:val="21"/>
              </w:rPr>
              <w:t>单位</w:t>
            </w:r>
          </w:p>
        </w:tc>
        <w:tc>
          <w:tcPr>
            <w:tcW w:type="dxa" w:w="1092"/>
            <w:tcBorders>
              <w:top w:val="single" w:color="000000" w:sz="4"/>
              <w:left w:val="single" w:color="000000" w:sz="4"/>
              <w:bottom w:val="single" w:color="000000" w:sz="4"/>
              <w:right w:val="single" w:color="000000" w:sz="4"/>
            </w:tcBorders>
            <w:vAlign w:val="top"/>
          </w:tcPr>
          <w:p>
            <w:pPr>
              <w:jc w:val="center"/>
            </w:pPr>
            <w:r>
              <w:rPr>
                <w:sz w:val="21"/>
              </w:rPr>
              <w:t>单价</w:t>
            </w:r>
          </w:p>
          <w:p>
            <w:pPr>
              <w:jc w:val="center"/>
            </w:pPr>
            <w:r>
              <w:rPr>
                <w:sz w:val="21"/>
              </w:rPr>
              <w:t>（元）</w:t>
            </w:r>
          </w:p>
        </w:tc>
        <w:tc>
          <w:tcPr>
            <w:tcW w:type="dxa" w:w="991"/>
            <w:tcBorders>
              <w:top w:val="single" w:color="000000" w:sz="4"/>
              <w:left w:val="single" w:color="000000" w:sz="4"/>
              <w:bottom w:val="single" w:color="000000" w:sz="4"/>
              <w:right w:val="single" w:color="000000" w:sz="4"/>
            </w:tcBorders>
            <w:vAlign w:val="top"/>
          </w:tcPr>
          <w:p>
            <w:pPr>
              <w:jc w:val="center"/>
            </w:pPr>
            <w:r>
              <w:rPr>
                <w:sz w:val="21"/>
              </w:rPr>
              <w:t>金额</w:t>
            </w:r>
          </w:p>
          <w:p>
            <w:pPr>
              <w:jc w:val="center"/>
            </w:pPr>
            <w:r>
              <w:rPr>
                <w:sz w:val="21"/>
              </w:rPr>
              <w:t>（元）</w:t>
            </w:r>
          </w:p>
        </w:tc>
      </w:tr>
      <w:tr>
        <w:tc>
          <w:tcPr>
            <w:tcW w:type="dxa" w:w="838"/>
            <w:tcBorders>
              <w:top w:val="none" w:color="000000" w:sz="4"/>
              <w:left w:val="single" w:color="000000" w:sz="4"/>
              <w:bottom w:val="single" w:color="000000" w:sz="4"/>
              <w:right w:val="single" w:color="000000" w:sz="4"/>
            </w:tcBorders>
            <w:vAlign w:val="top"/>
          </w:tcPr>
          <w:p>
            <w:pPr>
              <w:jc w:val="center"/>
            </w:pPr>
            <w:r>
              <w:rPr>
                <w:sz w:val="21"/>
              </w:rPr>
              <w:t>**</w:t>
            </w:r>
          </w:p>
        </w:tc>
        <w:tc>
          <w:tcPr>
            <w:tcW w:type="dxa" w:w="2883"/>
            <w:tcBorders>
              <w:top w:val="none" w:color="000000" w:sz="4"/>
              <w:left w:val="single" w:color="000000" w:sz="4"/>
              <w:bottom w:val="single" w:color="000000" w:sz="4"/>
              <w:right w:val="single" w:color="000000" w:sz="4"/>
            </w:tcBorders>
            <w:vAlign w:val="top"/>
          </w:tcPr>
          <w:p>
            <w:pPr>
              <w:jc w:val="center"/>
            </w:pPr>
            <w:r>
              <w:rPr>
                <w:sz w:val="21"/>
              </w:rPr>
              <w:t>**</w:t>
            </w:r>
          </w:p>
        </w:tc>
        <w:tc>
          <w:tcPr>
            <w:tcW w:type="dxa" w:w="927"/>
            <w:tcBorders>
              <w:top w:val="none" w:color="000000" w:sz="4"/>
              <w:left w:val="single" w:color="000000" w:sz="4"/>
              <w:bottom w:val="single" w:color="000000" w:sz="4"/>
              <w:right w:val="single" w:color="000000" w:sz="4"/>
            </w:tcBorders>
            <w:vAlign w:val="top"/>
          </w:tcPr>
          <w:p>
            <w:pPr>
              <w:jc w:val="center"/>
            </w:pPr>
            <w:r>
              <w:rPr>
                <w:sz w:val="21"/>
              </w:rPr>
              <w:t>**</w:t>
            </w:r>
          </w:p>
        </w:tc>
        <w:tc>
          <w:tcPr>
            <w:tcW w:type="dxa" w:w="724"/>
            <w:tcBorders>
              <w:top w:val="none" w:color="000000" w:sz="4"/>
              <w:left w:val="single" w:color="000000" w:sz="4"/>
              <w:bottom w:val="single" w:color="000000" w:sz="4"/>
              <w:right w:val="single" w:color="000000" w:sz="4"/>
            </w:tcBorders>
            <w:vAlign w:val="top"/>
          </w:tcPr>
          <w:p>
            <w:pPr>
              <w:jc w:val="center"/>
            </w:pPr>
            <w:r>
              <w:rPr>
                <w:sz w:val="21"/>
              </w:rPr>
              <w:t>**</w:t>
            </w:r>
          </w:p>
        </w:tc>
        <w:tc>
          <w:tcPr>
            <w:tcW w:type="dxa" w:w="851"/>
            <w:tcBorders>
              <w:top w:val="none" w:color="000000" w:sz="4"/>
              <w:left w:val="single" w:color="000000" w:sz="4"/>
              <w:bottom w:val="single" w:color="000000" w:sz="4"/>
              <w:right w:val="single" w:color="000000" w:sz="4"/>
            </w:tcBorders>
            <w:vAlign w:val="top"/>
          </w:tcPr>
          <w:p>
            <w:pPr>
              <w:jc w:val="center"/>
            </w:pPr>
            <w:r>
              <w:rPr>
                <w:sz w:val="21"/>
              </w:rPr>
              <w:t>**</w:t>
            </w:r>
          </w:p>
        </w:tc>
        <w:tc>
          <w:tcPr>
            <w:tcW w:type="dxa" w:w="1092"/>
            <w:tcBorders>
              <w:top w:val="none" w:color="000000" w:sz="4"/>
              <w:left w:val="single" w:color="000000" w:sz="4"/>
              <w:bottom w:val="single" w:color="000000" w:sz="4"/>
              <w:right w:val="single" w:color="000000" w:sz="4"/>
            </w:tcBorders>
            <w:vAlign w:val="top"/>
          </w:tcPr>
          <w:p>
            <w:pPr>
              <w:jc w:val="center"/>
            </w:pPr>
            <w:r>
              <w:rPr>
                <w:sz w:val="21"/>
              </w:rPr>
              <w:t>**</w:t>
            </w:r>
          </w:p>
        </w:tc>
        <w:tc>
          <w:tcPr>
            <w:tcW w:type="dxa" w:w="991"/>
            <w:tcBorders>
              <w:top w:val="none" w:color="000000" w:sz="4"/>
              <w:left w:val="single" w:color="000000" w:sz="4"/>
              <w:bottom w:val="single" w:color="000000" w:sz="4"/>
              <w:right w:val="single" w:color="000000" w:sz="4"/>
            </w:tcBorders>
            <w:vAlign w:val="top"/>
          </w:tcPr>
          <w:p>
            <w:pPr>
              <w:jc w:val="center"/>
            </w:pPr>
            <w:r>
              <w:rPr>
                <w:sz w:val="21"/>
              </w:rPr>
              <w:t>**</w:t>
            </w:r>
          </w:p>
        </w:tc>
      </w:tr>
      <w:tr>
        <w:tc>
          <w:tcPr>
            <w:tcW w:type="dxa" w:w="838"/>
            <w:tcBorders>
              <w:top w:val="none" w:color="000000" w:sz="4"/>
              <w:left w:val="single" w:color="000000" w:sz="4"/>
              <w:bottom w:val="single" w:color="000000" w:sz="4"/>
              <w:right w:val="single" w:color="000000" w:sz="4"/>
            </w:tcBorders>
            <w:vAlign w:val="top"/>
          </w:tcPr>
          <w:p>
            <w:pPr>
              <w:jc w:val="center"/>
            </w:pPr>
          </w:p>
        </w:tc>
        <w:tc>
          <w:tcPr>
            <w:tcW w:type="dxa" w:w="2883"/>
            <w:tcBorders>
              <w:top w:val="none" w:color="000000" w:sz="4"/>
              <w:left w:val="single" w:color="000000" w:sz="4"/>
              <w:bottom w:val="single" w:color="000000" w:sz="4"/>
              <w:right w:val="single" w:color="000000" w:sz="4"/>
            </w:tcBorders>
            <w:vAlign w:val="top"/>
          </w:tcPr>
          <w:p>
            <w:pPr>
              <w:jc w:val="center"/>
            </w:pPr>
          </w:p>
        </w:tc>
        <w:tc>
          <w:tcPr>
            <w:tcW w:type="dxa" w:w="927"/>
            <w:tcBorders>
              <w:top w:val="none" w:color="000000" w:sz="4"/>
              <w:left w:val="single" w:color="000000" w:sz="4"/>
              <w:bottom w:val="single" w:color="000000" w:sz="4"/>
              <w:right w:val="single" w:color="000000" w:sz="4"/>
            </w:tcBorders>
            <w:vAlign w:val="top"/>
          </w:tcPr>
          <w:p>
            <w:pPr>
              <w:jc w:val="center"/>
            </w:pPr>
          </w:p>
        </w:tc>
        <w:tc>
          <w:tcPr>
            <w:tcW w:type="dxa" w:w="724"/>
            <w:tcBorders>
              <w:top w:val="none" w:color="000000" w:sz="4"/>
              <w:left w:val="single" w:color="000000" w:sz="4"/>
              <w:bottom w:val="single" w:color="000000" w:sz="4"/>
              <w:right w:val="single" w:color="000000" w:sz="4"/>
            </w:tcBorders>
            <w:vAlign w:val="top"/>
          </w:tcPr>
          <w:p>
            <w:pPr>
              <w:jc w:val="center"/>
            </w:pPr>
          </w:p>
        </w:tc>
        <w:tc>
          <w:tcPr>
            <w:tcW w:type="dxa" w:w="851"/>
            <w:tcBorders>
              <w:top w:val="none" w:color="000000" w:sz="4"/>
              <w:left w:val="single" w:color="000000" w:sz="4"/>
              <w:bottom w:val="single" w:color="000000" w:sz="4"/>
              <w:right w:val="single" w:color="000000" w:sz="4"/>
            </w:tcBorders>
            <w:vAlign w:val="top"/>
          </w:tcPr>
          <w:p>
            <w:pPr>
              <w:jc w:val="center"/>
            </w:pPr>
          </w:p>
        </w:tc>
        <w:tc>
          <w:tcPr>
            <w:tcW w:type="dxa" w:w="1092"/>
            <w:tcBorders>
              <w:top w:val="none" w:color="000000" w:sz="4"/>
              <w:left w:val="single" w:color="000000" w:sz="4"/>
              <w:bottom w:val="single" w:color="000000" w:sz="4"/>
              <w:right w:val="single" w:color="000000" w:sz="4"/>
            </w:tcBorders>
            <w:vAlign w:val="top"/>
          </w:tcPr>
          <w:p>
            <w:pPr>
              <w:jc w:val="center"/>
            </w:pPr>
          </w:p>
        </w:tc>
        <w:tc>
          <w:tcPr>
            <w:tcW w:type="dxa" w:w="991"/>
            <w:tcBorders>
              <w:top w:val="none" w:color="000000" w:sz="4"/>
              <w:left w:val="single" w:color="000000" w:sz="4"/>
              <w:bottom w:val="single" w:color="000000" w:sz="4"/>
              <w:right w:val="single" w:color="000000" w:sz="4"/>
            </w:tcBorders>
            <w:vAlign w:val="top"/>
          </w:tcPr>
          <w:p>
            <w:pPr>
              <w:jc w:val="center"/>
            </w:pPr>
          </w:p>
        </w:tc>
      </w:tr>
      <w:tr>
        <w:tc>
          <w:tcPr>
            <w:tcW w:type="dxa" w:w="838"/>
            <w:tcBorders>
              <w:top w:val="none" w:color="000000" w:sz="4"/>
              <w:left w:val="single" w:color="000000" w:sz="4"/>
              <w:bottom w:val="single" w:color="000000" w:sz="4"/>
              <w:right w:val="single" w:color="000000" w:sz="4"/>
            </w:tcBorders>
            <w:vAlign w:val="top"/>
          </w:tcPr>
          <w:p>
            <w:pPr>
              <w:jc w:val="center"/>
            </w:pPr>
          </w:p>
        </w:tc>
        <w:tc>
          <w:tcPr>
            <w:tcW w:type="dxa" w:w="2883"/>
            <w:tcBorders>
              <w:top w:val="none" w:color="000000" w:sz="4"/>
              <w:left w:val="single" w:color="000000" w:sz="4"/>
              <w:bottom w:val="single" w:color="000000" w:sz="4"/>
              <w:right w:val="single" w:color="000000" w:sz="4"/>
            </w:tcBorders>
            <w:vAlign w:val="top"/>
          </w:tcPr>
          <w:p>
            <w:pPr>
              <w:jc w:val="center"/>
            </w:pPr>
          </w:p>
        </w:tc>
        <w:tc>
          <w:tcPr>
            <w:tcW w:type="dxa" w:w="927"/>
            <w:tcBorders>
              <w:top w:val="none" w:color="000000" w:sz="4"/>
              <w:left w:val="single" w:color="000000" w:sz="4"/>
              <w:bottom w:val="single" w:color="000000" w:sz="4"/>
              <w:right w:val="single" w:color="000000" w:sz="4"/>
            </w:tcBorders>
            <w:vAlign w:val="top"/>
          </w:tcPr>
          <w:p>
            <w:pPr>
              <w:jc w:val="center"/>
            </w:pPr>
          </w:p>
        </w:tc>
        <w:tc>
          <w:tcPr>
            <w:tcW w:type="dxa" w:w="724"/>
            <w:tcBorders>
              <w:top w:val="none" w:color="000000" w:sz="4"/>
              <w:left w:val="single" w:color="000000" w:sz="4"/>
              <w:bottom w:val="single" w:color="000000" w:sz="4"/>
              <w:right w:val="single" w:color="000000" w:sz="4"/>
            </w:tcBorders>
            <w:vAlign w:val="top"/>
          </w:tcPr>
          <w:p>
            <w:pPr>
              <w:jc w:val="center"/>
            </w:pPr>
          </w:p>
        </w:tc>
        <w:tc>
          <w:tcPr>
            <w:tcW w:type="dxa" w:w="851"/>
            <w:tcBorders>
              <w:top w:val="none" w:color="000000" w:sz="4"/>
              <w:left w:val="single" w:color="000000" w:sz="4"/>
              <w:bottom w:val="single" w:color="000000" w:sz="4"/>
              <w:right w:val="single" w:color="000000" w:sz="4"/>
            </w:tcBorders>
            <w:vAlign w:val="top"/>
          </w:tcPr>
          <w:p>
            <w:pPr>
              <w:jc w:val="center"/>
            </w:pPr>
          </w:p>
        </w:tc>
        <w:tc>
          <w:tcPr>
            <w:tcW w:type="dxa" w:w="1092"/>
            <w:tcBorders>
              <w:top w:val="none" w:color="000000" w:sz="4"/>
              <w:left w:val="single" w:color="000000" w:sz="4"/>
              <w:bottom w:val="single" w:color="000000" w:sz="4"/>
              <w:right w:val="single" w:color="000000" w:sz="4"/>
            </w:tcBorders>
            <w:vAlign w:val="top"/>
          </w:tcPr>
          <w:p>
            <w:pPr>
              <w:jc w:val="center"/>
            </w:pPr>
          </w:p>
        </w:tc>
        <w:tc>
          <w:tcPr>
            <w:tcW w:type="dxa" w:w="991"/>
            <w:tcBorders>
              <w:top w:val="none" w:color="000000" w:sz="4"/>
              <w:left w:val="single" w:color="000000" w:sz="4"/>
              <w:bottom w:val="single" w:color="000000" w:sz="4"/>
              <w:right w:val="single" w:color="000000" w:sz="4"/>
            </w:tcBorders>
            <w:vAlign w:val="top"/>
          </w:tcPr>
          <w:p>
            <w:pPr>
              <w:jc w:val="center"/>
            </w:pPr>
          </w:p>
        </w:tc>
      </w:tr>
      <w:tr>
        <w:tc>
          <w:tcPr>
            <w:tcW w:type="dxa" w:w="838"/>
            <w:tcBorders>
              <w:top w:val="none" w:color="000000" w:sz="4"/>
              <w:left w:val="single" w:color="000000" w:sz="4"/>
              <w:bottom w:val="single" w:color="000000" w:sz="4"/>
              <w:right w:val="single" w:color="000000" w:sz="4"/>
            </w:tcBorders>
            <w:vAlign w:val="top"/>
          </w:tcPr>
          <w:p>
            <w:pPr>
              <w:jc w:val="center"/>
            </w:pPr>
          </w:p>
        </w:tc>
        <w:tc>
          <w:tcPr>
            <w:tcW w:type="dxa" w:w="2883"/>
            <w:tcBorders>
              <w:top w:val="none" w:color="000000" w:sz="4"/>
              <w:left w:val="single" w:color="000000" w:sz="4"/>
              <w:bottom w:val="single" w:color="000000" w:sz="4"/>
              <w:right w:val="single" w:color="000000" w:sz="4"/>
            </w:tcBorders>
            <w:vAlign w:val="top"/>
          </w:tcPr>
          <w:p>
            <w:pPr>
              <w:jc w:val="center"/>
            </w:pPr>
          </w:p>
        </w:tc>
        <w:tc>
          <w:tcPr>
            <w:tcW w:type="dxa" w:w="927"/>
            <w:tcBorders>
              <w:top w:val="none" w:color="000000" w:sz="4"/>
              <w:left w:val="single" w:color="000000" w:sz="4"/>
              <w:bottom w:val="single" w:color="000000" w:sz="4"/>
              <w:right w:val="single" w:color="000000" w:sz="4"/>
            </w:tcBorders>
            <w:vAlign w:val="top"/>
          </w:tcPr>
          <w:p>
            <w:pPr>
              <w:jc w:val="center"/>
            </w:pPr>
          </w:p>
        </w:tc>
        <w:tc>
          <w:tcPr>
            <w:tcW w:type="dxa" w:w="724"/>
            <w:tcBorders>
              <w:top w:val="none" w:color="000000" w:sz="4"/>
              <w:left w:val="single" w:color="000000" w:sz="4"/>
              <w:bottom w:val="single" w:color="000000" w:sz="4"/>
              <w:right w:val="single" w:color="000000" w:sz="4"/>
            </w:tcBorders>
            <w:vAlign w:val="top"/>
          </w:tcPr>
          <w:p>
            <w:pPr>
              <w:jc w:val="center"/>
            </w:pPr>
          </w:p>
        </w:tc>
        <w:tc>
          <w:tcPr>
            <w:tcW w:type="dxa" w:w="851"/>
            <w:tcBorders>
              <w:top w:val="none" w:color="000000" w:sz="4"/>
              <w:left w:val="single" w:color="000000" w:sz="4"/>
              <w:bottom w:val="single" w:color="000000" w:sz="4"/>
              <w:right w:val="single" w:color="000000" w:sz="4"/>
            </w:tcBorders>
            <w:vAlign w:val="top"/>
          </w:tcPr>
          <w:p>
            <w:pPr>
              <w:jc w:val="center"/>
            </w:pPr>
          </w:p>
        </w:tc>
        <w:tc>
          <w:tcPr>
            <w:tcW w:type="dxa" w:w="1092"/>
            <w:tcBorders>
              <w:top w:val="none" w:color="000000" w:sz="4"/>
              <w:left w:val="single" w:color="000000" w:sz="4"/>
              <w:bottom w:val="single" w:color="000000" w:sz="4"/>
              <w:right w:val="single" w:color="000000" w:sz="4"/>
            </w:tcBorders>
            <w:vAlign w:val="top"/>
          </w:tcPr>
          <w:p>
            <w:pPr>
              <w:jc w:val="center"/>
            </w:pPr>
          </w:p>
        </w:tc>
        <w:tc>
          <w:tcPr>
            <w:tcW w:type="dxa" w:w="991"/>
            <w:tcBorders>
              <w:top w:val="none" w:color="000000" w:sz="4"/>
              <w:left w:val="single" w:color="000000" w:sz="4"/>
              <w:bottom w:val="single" w:color="000000" w:sz="4"/>
              <w:right w:val="single" w:color="000000" w:sz="4"/>
            </w:tcBorders>
            <w:vAlign w:val="top"/>
          </w:tcPr>
          <w:p>
            <w:pPr>
              <w:jc w:val="center"/>
            </w:pPr>
          </w:p>
        </w:tc>
      </w:tr>
      <w:tr>
        <w:tc>
          <w:tcPr>
            <w:tcW w:type="dxa" w:w="838"/>
            <w:tcBorders>
              <w:top w:val="none" w:color="000000" w:sz="4"/>
              <w:left w:val="single" w:color="000000" w:sz="4"/>
              <w:bottom w:val="single" w:color="000000" w:sz="4"/>
              <w:right w:val="single" w:color="000000" w:sz="4"/>
            </w:tcBorders>
            <w:vAlign w:val="top"/>
          </w:tcPr>
          <w:p>
            <w:pPr>
              <w:jc w:val="center"/>
            </w:pPr>
          </w:p>
        </w:tc>
        <w:tc>
          <w:tcPr>
            <w:tcW w:type="dxa" w:w="2883"/>
            <w:tcBorders>
              <w:top w:val="none" w:color="000000" w:sz="4"/>
              <w:left w:val="single" w:color="000000" w:sz="4"/>
              <w:bottom w:val="single" w:color="000000" w:sz="4"/>
              <w:right w:val="single" w:color="000000" w:sz="4"/>
            </w:tcBorders>
            <w:vAlign w:val="top"/>
          </w:tcPr>
          <w:p>
            <w:pPr>
              <w:jc w:val="center"/>
            </w:pPr>
          </w:p>
        </w:tc>
        <w:tc>
          <w:tcPr>
            <w:tcW w:type="dxa" w:w="927"/>
            <w:tcBorders>
              <w:top w:val="none" w:color="000000" w:sz="4"/>
              <w:left w:val="single" w:color="000000" w:sz="4"/>
              <w:bottom w:val="single" w:color="000000" w:sz="4"/>
              <w:right w:val="single" w:color="000000" w:sz="4"/>
            </w:tcBorders>
            <w:vAlign w:val="top"/>
          </w:tcPr>
          <w:p>
            <w:pPr>
              <w:jc w:val="center"/>
            </w:pPr>
          </w:p>
        </w:tc>
        <w:tc>
          <w:tcPr>
            <w:tcW w:type="dxa" w:w="724"/>
            <w:tcBorders>
              <w:top w:val="none" w:color="000000" w:sz="4"/>
              <w:left w:val="single" w:color="000000" w:sz="4"/>
              <w:bottom w:val="single" w:color="000000" w:sz="4"/>
              <w:right w:val="single" w:color="000000" w:sz="4"/>
            </w:tcBorders>
            <w:vAlign w:val="top"/>
          </w:tcPr>
          <w:p>
            <w:pPr>
              <w:jc w:val="center"/>
            </w:pPr>
          </w:p>
        </w:tc>
        <w:tc>
          <w:tcPr>
            <w:tcW w:type="dxa" w:w="851"/>
            <w:tcBorders>
              <w:top w:val="none" w:color="000000" w:sz="4"/>
              <w:left w:val="single" w:color="000000" w:sz="4"/>
              <w:bottom w:val="single" w:color="000000" w:sz="4"/>
              <w:right w:val="single" w:color="000000" w:sz="4"/>
            </w:tcBorders>
            <w:vAlign w:val="top"/>
          </w:tcPr>
          <w:p>
            <w:pPr>
              <w:jc w:val="center"/>
            </w:pPr>
          </w:p>
        </w:tc>
        <w:tc>
          <w:tcPr>
            <w:tcW w:type="dxa" w:w="1092"/>
            <w:tcBorders>
              <w:top w:val="none" w:color="000000" w:sz="4"/>
              <w:left w:val="single" w:color="000000" w:sz="4"/>
              <w:bottom w:val="single" w:color="000000" w:sz="4"/>
              <w:right w:val="single" w:color="000000" w:sz="4"/>
            </w:tcBorders>
            <w:vAlign w:val="top"/>
          </w:tcPr>
          <w:p>
            <w:pPr>
              <w:jc w:val="center"/>
            </w:pPr>
          </w:p>
        </w:tc>
        <w:tc>
          <w:tcPr>
            <w:tcW w:type="dxa" w:w="991"/>
            <w:tcBorders>
              <w:top w:val="none" w:color="000000" w:sz="4"/>
              <w:left w:val="single" w:color="000000" w:sz="4"/>
              <w:bottom w:val="single" w:color="000000" w:sz="4"/>
              <w:right w:val="single" w:color="000000" w:sz="4"/>
            </w:tcBorders>
            <w:vAlign w:val="top"/>
          </w:tcPr>
          <w:p>
            <w:pPr>
              <w:jc w:val="center"/>
            </w:pPr>
          </w:p>
        </w:tc>
      </w:tr>
      <w:tr>
        <w:tc>
          <w:tcPr>
            <w:tcW w:type="dxa" w:w="7315"/>
            <w:gridSpan w:val="6"/>
            <w:tcBorders>
              <w:top w:val="none" w:color="000000" w:sz="4"/>
              <w:left w:val="single" w:color="000000" w:sz="4"/>
              <w:bottom w:val="single" w:color="000000" w:sz="4"/>
              <w:right w:val="single" w:color="000000" w:sz="4"/>
            </w:tcBorders>
            <w:vAlign w:val="top"/>
          </w:tcPr>
          <w:p>
            <w:pPr>
              <w:jc w:val="center"/>
            </w:pPr>
            <w:r>
              <w:rPr>
                <w:sz w:val="21"/>
              </w:rPr>
              <w:t>合计：人民币大写：</w:t>
            </w:r>
            <w:r>
              <w:rPr>
                <w:sz w:val="21"/>
              </w:rPr>
              <w:t>**元整</w:t>
            </w:r>
          </w:p>
        </w:tc>
        <w:tc>
          <w:tcPr>
            <w:tcW w:type="dxa" w:w="991"/>
            <w:tcBorders>
              <w:top w:val="none" w:color="000000" w:sz="4"/>
              <w:left w:val="single" w:color="000000" w:sz="4"/>
              <w:bottom w:val="single" w:color="000000" w:sz="4"/>
              <w:right w:val="single" w:color="000000" w:sz="4"/>
            </w:tcBorders>
            <w:vAlign w:val="top"/>
          </w:tcPr>
          <w:p>
            <w:pPr>
              <w:jc w:val="center"/>
            </w:pPr>
            <w:r>
              <w:rPr>
                <w:sz w:val="21"/>
              </w:rPr>
              <w:t>¥：</w:t>
            </w:r>
            <w:r>
              <w:rPr>
                <w:sz w:val="21"/>
              </w:rPr>
              <w:t>**</w:t>
            </w:r>
          </w:p>
        </w:tc>
      </w:tr>
    </w:tbl>
    <w:p>
      <w:pPr>
        <w:jc w:val="both"/>
      </w:pPr>
    </w:p>
    <w:p>
      <w:pPr>
        <w:ind w:firstLine="420"/>
        <w:jc w:val="both"/>
      </w:pPr>
      <w:r>
        <w:rPr>
          <w:sz w:val="21"/>
        </w:rPr>
        <w:t>合同总额包括乙方设计、</w:t>
      </w:r>
      <w:r>
        <w:rPr>
          <w:sz w:val="21"/>
        </w:rPr>
        <w:t>CT球管安装及调试费用</w:t>
      </w:r>
      <w:r>
        <w:rPr>
          <w:sz w:val="21"/>
        </w:rPr>
        <w:t>、</w:t>
      </w:r>
      <w:r>
        <w:rPr>
          <w:sz w:val="21"/>
        </w:rPr>
        <w:t>措施费、</w:t>
      </w:r>
      <w:r>
        <w:rPr>
          <w:sz w:val="21"/>
        </w:rPr>
        <w:t>随机零配件、标配工具、运输保险、调试、培训、质保期服务、</w:t>
      </w:r>
      <w:r>
        <w:rPr>
          <w:sz w:val="21"/>
        </w:rPr>
        <w:t>人工、材料、机械设备使用费、</w:t>
      </w:r>
      <w:r>
        <w:rPr>
          <w:sz w:val="21"/>
        </w:rPr>
        <w:t>各项税费及合同实施过程中不可预见费用等。</w:t>
      </w:r>
    </w:p>
    <w:p>
      <w:pPr>
        <w:ind w:firstLine="420"/>
        <w:jc w:val="both"/>
      </w:pPr>
      <w:r>
        <w:rPr>
          <w:sz w:val="21"/>
        </w:rPr>
        <w:t>注：货物名称内容必须与投标文件中货物名称内容一致。</w:t>
      </w:r>
    </w:p>
    <w:p>
      <w:pPr>
        <w:numPr>
          <w:ilvl w:val="0"/>
          <w:numId w:val="1"/>
        </w:numPr>
        <w:jc w:val="both"/>
      </w:pPr>
      <w:r>
        <w:rPr>
          <w:b/>
          <w:sz w:val="21"/>
        </w:rPr>
        <w:t>合同金额</w:t>
      </w:r>
    </w:p>
    <w:p>
      <w:pPr>
        <w:ind w:firstLine="420"/>
        <w:jc w:val="both"/>
      </w:pPr>
      <w:r>
        <w:rPr>
          <w:sz w:val="21"/>
        </w:rPr>
        <w:t>合同金额为</w:t>
      </w:r>
      <w:r>
        <w:rPr>
          <w:sz w:val="21"/>
        </w:rPr>
        <w:t>(大写)：</w:t>
      </w:r>
      <w:r>
        <w:rPr>
          <w:sz w:val="21"/>
          <w:u w:val="single"/>
        </w:rPr>
        <w:t xml:space="preserve">             </w:t>
      </w:r>
      <w:r>
        <w:rPr>
          <w:sz w:val="21"/>
        </w:rPr>
        <w:t>元</w:t>
      </w:r>
      <w:r>
        <w:rPr>
          <w:sz w:val="21"/>
        </w:rPr>
        <w:t>(￥</w:t>
      </w:r>
      <w:r>
        <w:rPr>
          <w:sz w:val="21"/>
          <w:u w:val="single"/>
        </w:rPr>
        <w:t xml:space="preserve">             </w:t>
      </w:r>
      <w:r>
        <w:rPr>
          <w:sz w:val="21"/>
        </w:rPr>
        <w:t>元）人民币。</w:t>
      </w:r>
    </w:p>
    <w:p>
      <w:pPr>
        <w:jc w:val="both"/>
      </w:pPr>
      <w:r>
        <w:rPr>
          <w:b/>
          <w:sz w:val="21"/>
        </w:rPr>
        <w:t>三、设备要求</w:t>
      </w:r>
    </w:p>
    <w:p>
      <w:pPr>
        <w:ind w:firstLine="420"/>
        <w:jc w:val="both"/>
      </w:pPr>
      <w:r>
        <w:rPr>
          <w:sz w:val="21"/>
        </w:rPr>
        <w:t>货物为原制造商制造的全新产品，整机无污染，无侵权行为、表面无划损、无任何缺陷隐患，在中国境内可依常规安全合法使用。</w:t>
      </w:r>
    </w:p>
    <w:p>
      <w:pPr>
        <w:jc w:val="both"/>
      </w:pPr>
      <w:r>
        <w:rPr>
          <w:b/>
          <w:sz w:val="21"/>
        </w:rPr>
        <w:t>四、交货期、交货方式及交货地点</w:t>
      </w:r>
    </w:p>
    <w:p>
      <w:pPr>
        <w:ind w:firstLine="420"/>
        <w:jc w:val="both"/>
      </w:pPr>
      <w:r>
        <w:rPr>
          <w:sz w:val="21"/>
        </w:rPr>
        <w:t>1.交货期：</w:t>
      </w:r>
    </w:p>
    <w:p>
      <w:pPr>
        <w:ind w:firstLine="420"/>
        <w:jc w:val="both"/>
      </w:pPr>
      <w:r>
        <w:rPr>
          <w:sz w:val="21"/>
        </w:rPr>
        <w:t>2.交货方式：</w:t>
      </w:r>
    </w:p>
    <w:p>
      <w:pPr>
        <w:ind w:firstLine="420"/>
        <w:jc w:val="both"/>
      </w:pPr>
      <w:r>
        <w:rPr>
          <w:sz w:val="21"/>
        </w:rPr>
        <w:t>3.交货地点：</w:t>
      </w:r>
    </w:p>
    <w:p>
      <w:pPr>
        <w:jc w:val="both"/>
      </w:pPr>
      <w:r>
        <w:rPr>
          <w:b/>
          <w:sz w:val="21"/>
        </w:rPr>
        <w:t>五、付款方式</w:t>
      </w:r>
    </w:p>
    <w:p>
      <w:pPr>
        <w:ind w:firstLine="420"/>
        <w:jc w:val="both"/>
      </w:pPr>
      <w:r>
        <w:rPr>
          <w:sz w:val="21"/>
        </w:rPr>
        <w:t>本合同下每笔款项以银行汇款方式支付</w:t>
      </w:r>
    </w:p>
    <w:p>
      <w:pPr>
        <w:ind w:firstLine="420"/>
        <w:jc w:val="both"/>
      </w:pPr>
      <w:r>
        <w:rPr>
          <w:color w:val="000000"/>
          <w:sz w:val="21"/>
        </w:rPr>
        <w:t>1.</w:t>
      </w:r>
      <w:r>
        <w:rPr>
          <w:color w:val="000000"/>
          <w:sz w:val="21"/>
        </w:rPr>
        <w:t>签订合同</w:t>
      </w:r>
      <w:r>
        <w:rPr>
          <w:color w:val="000000"/>
          <w:sz w:val="21"/>
        </w:rPr>
        <w:t>后，甲方支付乙方合同金额的</w:t>
      </w:r>
      <w:r>
        <w:rPr>
          <w:color w:val="000000"/>
          <w:sz w:val="21"/>
        </w:rPr>
        <w:t>20%，乙方须向甲方提供合格正规等额发票及合同。</w:t>
      </w:r>
    </w:p>
    <w:p>
      <w:pPr>
        <w:ind w:firstLine="420"/>
        <w:jc w:val="both"/>
      </w:pPr>
      <w:r>
        <w:rPr>
          <w:color w:val="000000"/>
          <w:sz w:val="21"/>
        </w:rPr>
        <w:t>2.</w:t>
      </w:r>
      <w:r>
        <w:rPr>
          <w:color w:val="000000"/>
          <w:sz w:val="21"/>
        </w:rPr>
        <w:t>全部货物安装验收合格，</w:t>
      </w:r>
      <w:r>
        <w:rPr>
          <w:color w:val="000000"/>
          <w:sz w:val="21"/>
        </w:rPr>
        <w:t>中标人开具合格正规等额发票及验收报告，甲方在</w:t>
      </w:r>
      <w:r>
        <w:rPr>
          <w:color w:val="000000"/>
          <w:sz w:val="21"/>
        </w:rPr>
        <w:t>60天</w:t>
      </w:r>
      <w:r>
        <w:rPr>
          <w:color w:val="000000"/>
          <w:sz w:val="21"/>
        </w:rPr>
        <w:t>内支付</w:t>
      </w:r>
      <w:r>
        <w:rPr>
          <w:color w:val="000000"/>
          <w:sz w:val="21"/>
        </w:rPr>
        <w:t>剩余的</w:t>
      </w:r>
      <w:r>
        <w:rPr>
          <w:color w:val="000000"/>
          <w:sz w:val="21"/>
        </w:rPr>
        <w:t>8</w:t>
      </w:r>
      <w:r>
        <w:rPr>
          <w:color w:val="000000"/>
          <w:sz w:val="21"/>
        </w:rPr>
        <w:t>0%</w:t>
      </w:r>
      <w:r>
        <w:rPr>
          <w:color w:val="000000"/>
          <w:sz w:val="21"/>
        </w:rPr>
        <w:t>。</w:t>
      </w:r>
    </w:p>
    <w:p>
      <w:pPr>
        <w:ind w:firstLine="420"/>
        <w:jc w:val="both"/>
      </w:pPr>
      <w:r>
        <w:rPr>
          <w:color w:val="000000"/>
          <w:sz w:val="21"/>
        </w:rPr>
        <w:t>3.对于满足合同约定支付条件的，甲方应当自收到发票后60天内将资金支付到合同约定的乙方账户，不得以机构变动、人员更替、政策调整等为由延迟付款，不得将采购文件和合同中未规定的义务作为乙方付款的条件。</w:t>
      </w:r>
    </w:p>
    <w:p>
      <w:pPr>
        <w:jc w:val="both"/>
      </w:pPr>
      <w:r>
        <w:rPr>
          <w:b/>
          <w:sz w:val="21"/>
        </w:rPr>
        <w:t>六、质保期及售后服务要求</w:t>
      </w:r>
    </w:p>
    <w:p>
      <w:pPr>
        <w:ind w:firstLine="420"/>
        <w:jc w:val="both"/>
      </w:pPr>
      <w:r>
        <w:rPr>
          <w:sz w:val="21"/>
        </w:rPr>
        <w:t>1.本合同的质量保证期(简称“质保期”)为</w:t>
      </w:r>
      <w:r>
        <w:rPr>
          <w:sz w:val="21"/>
          <w:u w:val="single"/>
        </w:rPr>
        <w:t xml:space="preserve">    </w:t>
      </w:r>
      <w:r>
        <w:rPr>
          <w:sz w:val="21"/>
        </w:rPr>
        <w:t>年，质保期内乙方对所供货物实行包修、包换、包退及合同约定的其它事项，期满后可同时提供终身</w:t>
      </w:r>
      <w:r>
        <w:rPr>
          <w:sz w:val="21"/>
          <w:u w:val="single"/>
        </w:rPr>
        <w:t>（免费</w:t>
      </w:r>
      <w:r>
        <w:rPr>
          <w:sz w:val="21"/>
          <w:u w:val="single"/>
        </w:rPr>
        <w:t>/有偿）</w:t>
      </w:r>
      <w:r>
        <w:rPr>
          <w:sz w:val="21"/>
        </w:rPr>
        <w:t>维修保养服务。</w:t>
      </w:r>
    </w:p>
    <w:p>
      <w:pPr>
        <w:ind w:firstLine="420"/>
        <w:jc w:val="both"/>
      </w:pPr>
      <w:r>
        <w:rPr>
          <w:sz w:val="21"/>
        </w:rPr>
        <w:t>2.质保期内，如设备或零部件因质量原因出现故障而造成短期停用时，则质保期和免费维修期相应顺延。如停用时间累计超过60天则质保期重新计算。</w:t>
      </w:r>
    </w:p>
    <w:p>
      <w:pPr>
        <w:ind w:firstLine="420"/>
        <w:jc w:val="both"/>
      </w:pPr>
      <w:r>
        <w:rPr>
          <w:sz w:val="21"/>
        </w:rPr>
        <w:t>3.对甲方的服务通知，乙方在按报后1小时内响应，4小时内到达现场，48小时内处理完毕。若在48小时内仍未能有效解决，乙方须免费提供同档次的设备予甲方临时使用。</w:t>
      </w:r>
    </w:p>
    <w:p>
      <w:pPr>
        <w:jc w:val="both"/>
      </w:pPr>
      <w:r>
        <w:rPr>
          <w:b/>
          <w:sz w:val="21"/>
        </w:rPr>
        <w:t>七、安装与调试</w:t>
      </w:r>
    </w:p>
    <w:p>
      <w:pPr>
        <w:ind w:firstLine="420"/>
        <w:jc w:val="both"/>
      </w:pPr>
      <w:r>
        <w:rPr>
          <w:sz w:val="21"/>
        </w:rPr>
        <w:t>1.乙方必须依照招标文件的要求和报价文件的承诺，将设备、系统安装并调试至正常运行的最佳状态。</w:t>
      </w:r>
    </w:p>
    <w:p>
      <w:pPr>
        <w:jc w:val="both"/>
      </w:pPr>
      <w:r>
        <w:rPr>
          <w:b/>
          <w:sz w:val="21"/>
        </w:rPr>
        <w:t>八、验收：</w:t>
      </w:r>
    </w:p>
    <w:p>
      <w:pPr>
        <w:ind w:firstLine="420"/>
        <w:jc w:val="both"/>
      </w:pPr>
      <w:r>
        <w:rPr>
          <w:sz w:val="21"/>
        </w:rPr>
        <w:t>1.交付验收标准依次序对照适用标准为：①符合中华人民共和国国家安全质量标准、环保标准或行业标准；②符合招标文件和响应承诺中甲方认可的合理最佳配置、参数及各项要求；③货物来源国官方标准。</w:t>
      </w:r>
    </w:p>
    <w:p>
      <w:pPr>
        <w:ind w:firstLine="420"/>
        <w:jc w:val="both"/>
      </w:pPr>
      <w:r>
        <w:rPr>
          <w:sz w:val="21"/>
        </w:rPr>
        <w:t>2.进口产品必须具备原产地证明和商检局的检验证明及合法进货渠道证明。</w:t>
      </w:r>
    </w:p>
    <w:p>
      <w:pPr>
        <w:ind w:firstLine="420"/>
        <w:jc w:val="both"/>
      </w:pPr>
      <w:r>
        <w:rPr>
          <w:sz w:val="21"/>
        </w:rPr>
        <w:t>3.货物为原厂商未启封全新包装，具出厂合格证、序列号、包装箱号与出厂批号一致，并可追索查阅。所有随设备的附件必须齐全。</w:t>
      </w:r>
    </w:p>
    <w:p>
      <w:pPr>
        <w:ind w:firstLine="420"/>
        <w:jc w:val="both"/>
      </w:pPr>
      <w:r>
        <w:rPr>
          <w:sz w:val="21"/>
        </w:rPr>
        <w:t>4.乙方应将关键主机设备的用户手册、保修手册、有关单证资料及配备件、随机工具等交付给甲方，使用操作及安全须知等重要资料应附有中文说明。</w:t>
      </w:r>
    </w:p>
    <w:p>
      <w:pPr>
        <w:ind w:firstLine="420"/>
        <w:jc w:val="both"/>
      </w:pPr>
      <w:r>
        <w:rPr>
          <w:sz w:val="21"/>
        </w:rPr>
        <w:t>5.甲方组成验收小组按国家有关规定、规范进行验收，必要时邀请相关的专业人员或机构参与验收。因货物质量问题发生争议时，由本地质量技术监督部门鉴定。货物符合质量技术标准的，鉴定费由甲方承</w:t>
      </w:r>
    </w:p>
    <w:p>
      <w:pPr>
        <w:jc w:val="both"/>
      </w:pPr>
      <w:r>
        <w:rPr>
          <w:sz w:val="21"/>
        </w:rPr>
        <w:t>担；否则鉴定费由乙方承担。</w:t>
      </w:r>
    </w:p>
    <w:p>
      <w:pPr>
        <w:jc w:val="both"/>
      </w:pPr>
      <w:r>
        <w:rPr>
          <w:b/>
          <w:sz w:val="21"/>
        </w:rPr>
        <w:t>九、违约责任与赔偿损失</w:t>
      </w:r>
    </w:p>
    <w:p>
      <w:pPr>
        <w:ind w:firstLine="420"/>
        <w:jc w:val="both"/>
      </w:pPr>
      <w:r>
        <w:rPr>
          <w:sz w:val="21"/>
        </w:rPr>
        <w:t>1.乙方</w:t>
      </w:r>
      <w:r>
        <w:rPr>
          <w:sz w:val="21"/>
        </w:rPr>
        <w:t>交付的货物、工程</w:t>
      </w:r>
      <w:r>
        <w:rPr>
          <w:sz w:val="21"/>
        </w:rPr>
        <w:t>/</w:t>
      </w:r>
      <w:r>
        <w:rPr>
          <w:sz w:val="21"/>
        </w:rPr>
        <w:t>提供的服务不符合本合</w:t>
      </w:r>
      <w:r>
        <w:rPr>
          <w:sz w:val="21"/>
        </w:rPr>
        <w:t>同</w:t>
      </w:r>
      <w:r>
        <w:rPr>
          <w:sz w:val="21"/>
        </w:rPr>
        <w:t>规定的，甲方有权拒收，并且乙方须向甲方支付本合</w:t>
      </w:r>
      <w:r>
        <w:rPr>
          <w:sz w:val="21"/>
        </w:rPr>
        <w:t>同</w:t>
      </w:r>
      <w:r>
        <w:rPr>
          <w:sz w:val="21"/>
        </w:rPr>
        <w:t>总价</w:t>
      </w:r>
      <w:r>
        <w:rPr>
          <w:sz w:val="21"/>
        </w:rPr>
        <w:t>5%的</w:t>
      </w:r>
      <w:r>
        <w:rPr>
          <w:sz w:val="21"/>
        </w:rPr>
        <w:t>违约金。</w:t>
      </w:r>
    </w:p>
    <w:p>
      <w:pPr>
        <w:ind w:firstLine="420"/>
        <w:jc w:val="both"/>
      </w:pPr>
      <w:r>
        <w:rPr>
          <w:sz w:val="21"/>
        </w:rPr>
        <w:t>2.乙方未能</w:t>
      </w:r>
      <w:r>
        <w:rPr>
          <w:sz w:val="21"/>
        </w:rPr>
        <w:t>按</w:t>
      </w:r>
      <w:r>
        <w:rPr>
          <w:sz w:val="21"/>
        </w:rPr>
        <w:t>本合同规定的</w:t>
      </w:r>
      <w:r>
        <w:rPr>
          <w:sz w:val="21"/>
        </w:rPr>
        <w:t>交货时间交付货物的</w:t>
      </w:r>
      <w:r>
        <w:rPr>
          <w:sz w:val="21"/>
        </w:rPr>
        <w:t>/</w:t>
      </w:r>
      <w:r>
        <w:rPr>
          <w:sz w:val="21"/>
        </w:rPr>
        <w:t>提供服务，从逾</w:t>
      </w:r>
      <w:r>
        <w:rPr>
          <w:sz w:val="21"/>
        </w:rPr>
        <w:t>期</w:t>
      </w:r>
      <w:r>
        <w:rPr>
          <w:sz w:val="21"/>
        </w:rPr>
        <w:t>之日起每日</w:t>
      </w:r>
      <w:r>
        <w:rPr>
          <w:sz w:val="21"/>
        </w:rPr>
        <w:t>按</w:t>
      </w:r>
      <w:r>
        <w:rPr>
          <w:sz w:val="21"/>
        </w:rPr>
        <w:t>本合</w:t>
      </w:r>
      <w:r>
        <w:rPr>
          <w:sz w:val="21"/>
        </w:rPr>
        <w:t>同</w:t>
      </w:r>
      <w:r>
        <w:rPr>
          <w:sz w:val="21"/>
        </w:rPr>
        <w:t>总价</w:t>
      </w:r>
      <w:r>
        <w:rPr>
          <w:sz w:val="21"/>
        </w:rPr>
        <w:t>3‰</w:t>
      </w:r>
      <w:r>
        <w:rPr>
          <w:sz w:val="21"/>
        </w:rPr>
        <w:t>的数额向甲方支付</w:t>
      </w:r>
      <w:r>
        <w:rPr>
          <w:sz w:val="21"/>
        </w:rPr>
        <w:t>违约金</w:t>
      </w:r>
      <w:r>
        <w:rPr>
          <w:sz w:val="21"/>
        </w:rPr>
        <w:t>；</w:t>
      </w:r>
      <w:r>
        <w:rPr>
          <w:sz w:val="21"/>
        </w:rPr>
        <w:t>逾期半个月以上的，甲方有权</w:t>
      </w:r>
      <w:r>
        <w:rPr>
          <w:sz w:val="21"/>
        </w:rPr>
        <w:t>终止合同</w:t>
      </w:r>
      <w:r>
        <w:rPr>
          <w:sz w:val="21"/>
        </w:rPr>
        <w:t>，由此造成的甲方经济损失由乙方承担。</w:t>
      </w:r>
    </w:p>
    <w:p>
      <w:pPr>
        <w:ind w:firstLine="420"/>
        <w:jc w:val="both"/>
      </w:pPr>
      <w:r>
        <w:rPr>
          <w:sz w:val="21"/>
        </w:rPr>
        <w:t>3.甲方无正</w:t>
      </w:r>
      <w:r>
        <w:rPr>
          <w:sz w:val="21"/>
        </w:rPr>
        <w:t>当</w:t>
      </w:r>
      <w:r>
        <w:rPr>
          <w:sz w:val="21"/>
        </w:rPr>
        <w:t>理由拒收</w:t>
      </w:r>
      <w:r>
        <w:rPr>
          <w:sz w:val="21"/>
        </w:rPr>
        <w:t>货物</w:t>
      </w:r>
      <w:r>
        <w:rPr>
          <w:sz w:val="21"/>
        </w:rPr>
        <w:t>/</w:t>
      </w:r>
      <w:r>
        <w:rPr>
          <w:sz w:val="21"/>
        </w:rPr>
        <w:t>按受服务，到期拒付</w:t>
      </w:r>
      <w:r>
        <w:rPr>
          <w:sz w:val="21"/>
        </w:rPr>
        <w:t>货物</w:t>
      </w:r>
      <w:r>
        <w:rPr>
          <w:sz w:val="21"/>
        </w:rPr>
        <w:t>/</w:t>
      </w:r>
      <w:r>
        <w:rPr>
          <w:sz w:val="21"/>
        </w:rPr>
        <w:t>服务款项的，甲方向乙方偿付本合</w:t>
      </w:r>
      <w:r>
        <w:rPr>
          <w:sz w:val="21"/>
        </w:rPr>
        <w:t>同</w:t>
      </w:r>
      <w:r>
        <w:rPr>
          <w:sz w:val="21"/>
        </w:rPr>
        <w:t>总的</w:t>
      </w:r>
      <w:r>
        <w:rPr>
          <w:sz w:val="21"/>
        </w:rPr>
        <w:t>5%的</w:t>
      </w:r>
      <w:r>
        <w:rPr>
          <w:sz w:val="21"/>
        </w:rPr>
        <w:t>违约金</w:t>
      </w:r>
      <w:r>
        <w:rPr>
          <w:sz w:val="21"/>
        </w:rPr>
        <w:t>。甲方人途期付款，则每日</w:t>
      </w:r>
      <w:r>
        <w:rPr>
          <w:sz w:val="21"/>
        </w:rPr>
        <w:t>按</w:t>
      </w:r>
      <w:r>
        <w:rPr>
          <w:sz w:val="21"/>
        </w:rPr>
        <w:t>本合同总价的</w:t>
      </w:r>
      <w:r>
        <w:rPr>
          <w:sz w:val="21"/>
        </w:rPr>
        <w:t>3</w:t>
      </w:r>
      <w:r>
        <w:rPr>
          <w:sz w:val="21"/>
        </w:rPr>
        <w:t>‰向</w:t>
      </w:r>
      <w:r>
        <w:rPr>
          <w:sz w:val="21"/>
        </w:rPr>
        <w:t>乙方</w:t>
      </w:r>
      <w:r>
        <w:rPr>
          <w:sz w:val="21"/>
        </w:rPr>
        <w:t>偿付违约金</w:t>
      </w:r>
      <w:r>
        <w:rPr>
          <w:sz w:val="21"/>
        </w:rPr>
        <w:t>。</w:t>
      </w:r>
    </w:p>
    <w:p>
      <w:pPr>
        <w:ind w:firstLine="420"/>
        <w:jc w:val="both"/>
      </w:pPr>
      <w:r>
        <w:rPr>
          <w:sz w:val="21"/>
        </w:rPr>
        <w:t>4.对于因甲方原因</w:t>
      </w:r>
      <w:r>
        <w:rPr>
          <w:sz w:val="21"/>
        </w:rPr>
        <w:t>导致</w:t>
      </w:r>
      <w:r>
        <w:rPr>
          <w:sz w:val="21"/>
        </w:rPr>
        <w:t>变更、中止或者</w:t>
      </w:r>
      <w:r>
        <w:rPr>
          <w:sz w:val="21"/>
        </w:rPr>
        <w:t>终止</w:t>
      </w:r>
      <w:r>
        <w:rPr>
          <w:sz w:val="21"/>
        </w:rPr>
        <w:t>政府采购合同的，甲方</w:t>
      </w:r>
      <w:r>
        <w:rPr>
          <w:sz w:val="21"/>
        </w:rPr>
        <w:t>应当依照</w:t>
      </w:r>
      <w:r>
        <w:rPr>
          <w:sz w:val="21"/>
        </w:rPr>
        <w:t>以下合同</w:t>
      </w:r>
      <w:r>
        <w:rPr>
          <w:sz w:val="21"/>
        </w:rPr>
        <w:t>约定</w:t>
      </w:r>
      <w:r>
        <w:rPr>
          <w:sz w:val="21"/>
        </w:rPr>
        <w:t>对供应商受到的损失予以</w:t>
      </w:r>
      <w:r>
        <w:rPr>
          <w:sz w:val="21"/>
        </w:rPr>
        <w:t>赔偿或者</w:t>
      </w:r>
      <w:r>
        <w:rPr>
          <w:sz w:val="21"/>
        </w:rPr>
        <w:t>补偿</w:t>
      </w:r>
      <w:r>
        <w:rPr>
          <w:sz w:val="21"/>
        </w:rPr>
        <w:t>：</w:t>
      </w:r>
    </w:p>
    <w:p>
      <w:pPr>
        <w:jc w:val="both"/>
      </w:pPr>
      <w:r>
        <w:rPr>
          <w:sz w:val="21"/>
          <w:u w:val="single"/>
        </w:rPr>
        <w:t xml:space="preserve">                       </w:t>
      </w:r>
    </w:p>
    <w:p>
      <w:pPr>
        <w:ind w:firstLine="420"/>
        <w:jc w:val="both"/>
      </w:pPr>
      <w:r>
        <w:rPr>
          <w:sz w:val="21"/>
        </w:rPr>
        <w:t>5.</w:t>
      </w:r>
      <w:r>
        <w:rPr>
          <w:sz w:val="21"/>
        </w:rPr>
        <w:t>其它</w:t>
      </w:r>
      <w:r>
        <w:rPr>
          <w:sz w:val="21"/>
        </w:rPr>
        <w:t>违约</w:t>
      </w:r>
      <w:r>
        <w:rPr>
          <w:sz w:val="21"/>
        </w:rPr>
        <w:t>责任按</w:t>
      </w:r>
      <w:r>
        <w:rPr>
          <w:sz w:val="21"/>
        </w:rPr>
        <w:t>《</w:t>
      </w:r>
      <w:r>
        <w:rPr>
          <w:sz w:val="21"/>
        </w:rPr>
        <w:t>中</w:t>
      </w:r>
      <w:r>
        <w:rPr>
          <w:sz w:val="21"/>
        </w:rPr>
        <w:t>华人民共和国民法典</w:t>
      </w:r>
      <w:r>
        <w:rPr>
          <w:sz w:val="21"/>
        </w:rPr>
        <w:t>（</w:t>
      </w:r>
      <w:r>
        <w:rPr>
          <w:sz w:val="21"/>
        </w:rPr>
        <w:t>合同编）</w:t>
      </w:r>
      <w:r>
        <w:rPr>
          <w:sz w:val="21"/>
        </w:rPr>
        <w:t>》处理。</w:t>
      </w:r>
    </w:p>
    <w:p>
      <w:pPr>
        <w:jc w:val="both"/>
      </w:pPr>
      <w:r>
        <w:rPr>
          <w:b/>
          <w:sz w:val="21"/>
        </w:rPr>
        <w:t>十</w:t>
      </w:r>
      <w:r>
        <w:rPr>
          <w:b/>
          <w:sz w:val="21"/>
        </w:rPr>
        <w:t>、</w:t>
      </w:r>
      <w:r>
        <w:rPr>
          <w:b/>
          <w:sz w:val="21"/>
        </w:rPr>
        <w:t>争议的解决</w:t>
      </w:r>
    </w:p>
    <w:p>
      <w:pPr>
        <w:ind w:firstLine="420"/>
        <w:jc w:val="both"/>
      </w:pPr>
      <w:r>
        <w:rPr>
          <w:sz w:val="21"/>
        </w:rPr>
        <w:t>合</w:t>
      </w:r>
      <w:r>
        <w:rPr>
          <w:sz w:val="21"/>
        </w:rPr>
        <w:t>同</w:t>
      </w:r>
      <w:r>
        <w:rPr>
          <w:sz w:val="21"/>
        </w:rPr>
        <w:t>执行过程中发生的任何争议，如双方不能通过友好</w:t>
      </w:r>
      <w:r>
        <w:rPr>
          <w:sz w:val="21"/>
        </w:rPr>
        <w:t>协商</w:t>
      </w:r>
      <w:r>
        <w:rPr>
          <w:sz w:val="21"/>
        </w:rPr>
        <w:t>解决</w:t>
      </w:r>
      <w:r>
        <w:rPr>
          <w:sz w:val="21"/>
        </w:rPr>
        <w:t>，</w:t>
      </w:r>
      <w:r>
        <w:rPr>
          <w:sz w:val="21"/>
        </w:rPr>
        <w:t>双方可向甲方所在地人民法院提起诉讼。受理期间，双方应继续执行合同其余部分。</w:t>
      </w:r>
    </w:p>
    <w:p>
      <w:pPr>
        <w:jc w:val="both"/>
      </w:pPr>
      <w:r>
        <w:rPr>
          <w:b/>
          <w:sz w:val="21"/>
        </w:rPr>
        <w:t>十一、</w:t>
      </w:r>
      <w:r>
        <w:rPr>
          <w:b/>
          <w:sz w:val="21"/>
        </w:rPr>
        <w:t>不可抗力</w:t>
      </w:r>
    </w:p>
    <w:p>
      <w:pPr>
        <w:ind w:firstLine="420"/>
        <w:jc w:val="both"/>
      </w:pPr>
      <w:r>
        <w:rPr>
          <w:sz w:val="21"/>
        </w:rPr>
        <w:t>1.</w:t>
      </w:r>
      <w:r>
        <w:rPr>
          <w:sz w:val="21"/>
        </w:rPr>
        <w:t>任何一方由于不可抗力原因不能履行合</w:t>
      </w:r>
      <w:r>
        <w:rPr>
          <w:sz w:val="21"/>
        </w:rPr>
        <w:t>同</w:t>
      </w:r>
      <w:r>
        <w:rPr>
          <w:sz w:val="21"/>
        </w:rPr>
        <w:t>时，</w:t>
      </w:r>
      <w:r>
        <w:rPr>
          <w:sz w:val="21"/>
        </w:rPr>
        <w:t>应</w:t>
      </w:r>
      <w:r>
        <w:rPr>
          <w:sz w:val="21"/>
        </w:rPr>
        <w:t>在不可抗力事件结束后</w:t>
      </w:r>
      <w:r>
        <w:rPr>
          <w:sz w:val="21"/>
        </w:rPr>
        <w:t>1日内向</w:t>
      </w:r>
      <w:r>
        <w:rPr>
          <w:sz w:val="21"/>
        </w:rPr>
        <w:t>对</w:t>
      </w:r>
      <w:r>
        <w:rPr>
          <w:sz w:val="21"/>
        </w:rPr>
        <w:t>方通报，以</w:t>
      </w:r>
      <w:r>
        <w:rPr>
          <w:sz w:val="21"/>
        </w:rPr>
        <w:t>减</w:t>
      </w:r>
      <w:r>
        <w:rPr>
          <w:sz w:val="21"/>
        </w:rPr>
        <w:t>轻可能给对方造成的损失，在取得有关机构的不可抗</w:t>
      </w:r>
      <w:r>
        <w:rPr>
          <w:sz w:val="21"/>
        </w:rPr>
        <w:t>力</w:t>
      </w:r>
      <w:r>
        <w:rPr>
          <w:sz w:val="21"/>
        </w:rPr>
        <w:t>证明或双方谅解确认后，允许延期履行或修订合</w:t>
      </w:r>
      <w:r>
        <w:rPr>
          <w:sz w:val="21"/>
        </w:rPr>
        <w:t>同</w:t>
      </w:r>
      <w:r>
        <w:rPr>
          <w:sz w:val="21"/>
        </w:rPr>
        <w:t>，并根据情况可</w:t>
      </w:r>
      <w:r>
        <w:rPr>
          <w:sz w:val="21"/>
        </w:rPr>
        <w:t>部分</w:t>
      </w:r>
      <w:r>
        <w:rPr>
          <w:sz w:val="21"/>
        </w:rPr>
        <w:t>或全</w:t>
      </w:r>
      <w:r>
        <w:rPr>
          <w:sz w:val="21"/>
        </w:rPr>
        <w:t>部</w:t>
      </w:r>
      <w:r>
        <w:rPr>
          <w:sz w:val="21"/>
        </w:rPr>
        <w:t>免于承担</w:t>
      </w:r>
      <w:r>
        <w:rPr>
          <w:sz w:val="21"/>
        </w:rPr>
        <w:t>违约</w:t>
      </w:r>
      <w:r>
        <w:rPr>
          <w:sz w:val="21"/>
        </w:rPr>
        <w:t>责任。</w:t>
      </w:r>
    </w:p>
    <w:p>
      <w:pPr>
        <w:jc w:val="both"/>
      </w:pPr>
      <w:r>
        <w:rPr>
          <w:b/>
          <w:sz w:val="21"/>
        </w:rPr>
        <w:t>十二、</w:t>
      </w:r>
      <w:r>
        <w:rPr>
          <w:b/>
          <w:sz w:val="21"/>
        </w:rPr>
        <w:t>税费</w:t>
      </w:r>
    </w:p>
    <w:p>
      <w:pPr>
        <w:ind w:firstLine="420"/>
        <w:jc w:val="both"/>
      </w:pPr>
      <w:r>
        <w:rPr>
          <w:sz w:val="21"/>
        </w:rPr>
        <w:t>在中国境内</w:t>
      </w:r>
      <w:r>
        <w:rPr>
          <w:sz w:val="21"/>
        </w:rPr>
        <w:t>、</w:t>
      </w:r>
      <w:r>
        <w:rPr>
          <w:sz w:val="21"/>
        </w:rPr>
        <w:t>外发生的与本合</w:t>
      </w:r>
      <w:r>
        <w:rPr>
          <w:sz w:val="21"/>
        </w:rPr>
        <w:t>同</w:t>
      </w:r>
      <w:r>
        <w:rPr>
          <w:sz w:val="21"/>
        </w:rPr>
        <w:t>执行有关的一切</w:t>
      </w:r>
      <w:r>
        <w:rPr>
          <w:sz w:val="21"/>
        </w:rPr>
        <w:t>税</w:t>
      </w:r>
      <w:r>
        <w:rPr>
          <w:sz w:val="21"/>
        </w:rPr>
        <w:t>费均由乙方</w:t>
      </w:r>
      <w:r>
        <w:rPr>
          <w:sz w:val="21"/>
        </w:rPr>
        <w:t>负担</w:t>
      </w:r>
      <w:r>
        <w:rPr>
          <w:sz w:val="21"/>
        </w:rPr>
        <w:t>。</w:t>
      </w:r>
    </w:p>
    <w:p>
      <w:pPr>
        <w:jc w:val="both"/>
      </w:pPr>
      <w:r>
        <w:rPr>
          <w:b/>
          <w:sz w:val="21"/>
        </w:rPr>
        <w:t>十</w:t>
      </w:r>
      <w:r>
        <w:rPr>
          <w:b/>
          <w:sz w:val="21"/>
        </w:rPr>
        <w:t>三</w:t>
      </w:r>
      <w:r>
        <w:rPr>
          <w:b/>
          <w:sz w:val="21"/>
        </w:rPr>
        <w:t>、其它</w:t>
      </w:r>
    </w:p>
    <w:p>
      <w:pPr>
        <w:ind w:firstLine="420"/>
        <w:jc w:val="both"/>
      </w:pPr>
      <w:r>
        <w:rPr>
          <w:sz w:val="21"/>
        </w:rPr>
        <w:t>1.本合同所有</w:t>
      </w:r>
      <w:r>
        <w:rPr>
          <w:sz w:val="21"/>
        </w:rPr>
        <w:t>附</w:t>
      </w:r>
      <w:r>
        <w:rPr>
          <w:sz w:val="21"/>
        </w:rPr>
        <w:t>件</w:t>
      </w:r>
      <w:r>
        <w:rPr>
          <w:sz w:val="21"/>
        </w:rPr>
        <w:t>、</w:t>
      </w:r>
      <w:r>
        <w:rPr>
          <w:sz w:val="21"/>
        </w:rPr>
        <w:t>招标文件</w:t>
      </w:r>
      <w:r>
        <w:rPr>
          <w:sz w:val="21"/>
        </w:rPr>
        <w:t>、</w:t>
      </w:r>
      <w:r>
        <w:rPr>
          <w:sz w:val="21"/>
        </w:rPr>
        <w:t>投标文件</w:t>
      </w:r>
      <w:r>
        <w:rPr>
          <w:sz w:val="21"/>
        </w:rPr>
        <w:t>、</w:t>
      </w:r>
      <w:r>
        <w:rPr>
          <w:sz w:val="21"/>
        </w:rPr>
        <w:t>中标通知书均为合</w:t>
      </w:r>
      <w:r>
        <w:rPr>
          <w:sz w:val="21"/>
        </w:rPr>
        <w:t>同</w:t>
      </w:r>
      <w:r>
        <w:rPr>
          <w:sz w:val="21"/>
        </w:rPr>
        <w:t>的有效组成部分，与本合具有同等法律效力。</w:t>
      </w:r>
    </w:p>
    <w:p>
      <w:pPr>
        <w:ind w:firstLine="420"/>
        <w:jc w:val="both"/>
      </w:pPr>
      <w:r>
        <w:rPr>
          <w:sz w:val="21"/>
        </w:rPr>
        <w:t>2.在执行本合同的过程中，所有</w:t>
      </w:r>
      <w:r>
        <w:rPr>
          <w:sz w:val="21"/>
        </w:rPr>
        <w:t>经</w:t>
      </w:r>
      <w:r>
        <w:rPr>
          <w:sz w:val="21"/>
        </w:rPr>
        <w:t>双方签署确认的文件</w:t>
      </w:r>
      <w:r>
        <w:rPr>
          <w:sz w:val="21"/>
        </w:rPr>
        <w:t>（</w:t>
      </w:r>
      <w:r>
        <w:rPr>
          <w:sz w:val="21"/>
        </w:rPr>
        <w:t>包括会议</w:t>
      </w:r>
      <w:r>
        <w:rPr>
          <w:sz w:val="21"/>
        </w:rPr>
        <w:t>纪</w:t>
      </w:r>
      <w:r>
        <w:rPr>
          <w:sz w:val="21"/>
        </w:rPr>
        <w:t>要</w:t>
      </w:r>
      <w:r>
        <w:rPr>
          <w:sz w:val="21"/>
        </w:rPr>
        <w:t>、</w:t>
      </w:r>
      <w:r>
        <w:rPr>
          <w:sz w:val="21"/>
        </w:rPr>
        <w:t>补充协议</w:t>
      </w:r>
      <w:r>
        <w:rPr>
          <w:sz w:val="21"/>
        </w:rPr>
        <w:t>、</w:t>
      </w:r>
      <w:r>
        <w:rPr>
          <w:sz w:val="21"/>
        </w:rPr>
        <w:t>往来信函</w:t>
      </w:r>
      <w:r>
        <w:rPr>
          <w:sz w:val="21"/>
        </w:rPr>
        <w:t>）</w:t>
      </w:r>
      <w:r>
        <w:rPr>
          <w:sz w:val="21"/>
        </w:rPr>
        <w:t>即成为本合同的有效</w:t>
      </w:r>
      <w:r>
        <w:rPr>
          <w:sz w:val="21"/>
        </w:rPr>
        <w:t>组成部分。</w:t>
      </w:r>
    </w:p>
    <w:p>
      <w:pPr>
        <w:ind w:firstLine="420"/>
        <w:jc w:val="both"/>
      </w:pPr>
      <w:r>
        <w:rPr>
          <w:sz w:val="21"/>
        </w:rPr>
        <w:t>3.如一方地址、电话</w:t>
      </w:r>
      <w:r>
        <w:rPr>
          <w:sz w:val="21"/>
        </w:rPr>
        <w:t>、</w:t>
      </w:r>
      <w:r>
        <w:rPr>
          <w:sz w:val="21"/>
        </w:rPr>
        <w:t>传真号码有变更，应在</w:t>
      </w:r>
      <w:r>
        <w:rPr>
          <w:sz w:val="21"/>
        </w:rPr>
        <w:t>变</w:t>
      </w:r>
      <w:r>
        <w:rPr>
          <w:sz w:val="21"/>
        </w:rPr>
        <w:t>更当日内书面通知对方，否则，应承担相应</w:t>
      </w:r>
      <w:r>
        <w:rPr>
          <w:sz w:val="21"/>
        </w:rPr>
        <w:t>责</w:t>
      </w:r>
      <w:r>
        <w:rPr>
          <w:sz w:val="21"/>
        </w:rPr>
        <w:t>任。</w:t>
      </w:r>
    </w:p>
    <w:p>
      <w:pPr>
        <w:ind w:firstLine="420"/>
        <w:jc w:val="both"/>
      </w:pPr>
      <w:r>
        <w:rPr>
          <w:sz w:val="21"/>
        </w:rPr>
        <w:t>4.除甲方事先书面同意外，乙方不得部分成全部转让</w:t>
      </w:r>
      <w:r>
        <w:rPr>
          <w:sz w:val="21"/>
        </w:rPr>
        <w:t>其</w:t>
      </w:r>
      <w:r>
        <w:rPr>
          <w:sz w:val="21"/>
        </w:rPr>
        <w:t>应履行的合</w:t>
      </w:r>
      <w:r>
        <w:rPr>
          <w:sz w:val="21"/>
        </w:rPr>
        <w:t>同项</w:t>
      </w:r>
      <w:r>
        <w:rPr>
          <w:sz w:val="21"/>
        </w:rPr>
        <w:t>下的义务。</w:t>
      </w:r>
    </w:p>
    <w:p>
      <w:pPr>
        <w:jc w:val="both"/>
      </w:pPr>
      <w:r>
        <w:rPr>
          <w:b/>
          <w:sz w:val="21"/>
        </w:rPr>
        <w:t>十四</w:t>
      </w:r>
      <w:r>
        <w:rPr>
          <w:b/>
          <w:sz w:val="21"/>
        </w:rPr>
        <w:t>、合同</w:t>
      </w:r>
      <w:r>
        <w:rPr>
          <w:b/>
          <w:sz w:val="21"/>
        </w:rPr>
        <w:t>生</w:t>
      </w:r>
      <w:r>
        <w:rPr>
          <w:b/>
          <w:sz w:val="21"/>
        </w:rPr>
        <w:t>效</w:t>
      </w:r>
    </w:p>
    <w:p>
      <w:pPr>
        <w:ind w:firstLine="420"/>
        <w:jc w:val="both"/>
      </w:pPr>
      <w:r>
        <w:rPr>
          <w:sz w:val="21"/>
        </w:rPr>
        <w:t>1.本合同在甲乙双方法人代表或其授权代表签字盖章后生效。</w:t>
      </w:r>
    </w:p>
    <w:p>
      <w:pPr>
        <w:ind w:firstLine="420"/>
        <w:jc w:val="both"/>
      </w:pPr>
      <w:r>
        <w:rPr>
          <w:sz w:val="21"/>
        </w:rPr>
        <w:t>2.合同一式</w:t>
      </w:r>
      <w:r>
        <w:rPr>
          <w:sz w:val="21"/>
          <w:u w:val="single"/>
        </w:rPr>
        <w:t>伍</w:t>
      </w:r>
      <w:r>
        <w:rPr>
          <w:sz w:val="21"/>
        </w:rPr>
        <w:t>份</w:t>
      </w:r>
      <w:r>
        <w:rPr>
          <w:sz w:val="21"/>
        </w:rPr>
        <w:t>，甲方执叁份、乙方执壹份、招标代理机构执壹份</w:t>
      </w:r>
      <w:r>
        <w:rPr>
          <w:sz w:val="21"/>
        </w:rPr>
        <w:t>。</w:t>
      </w:r>
    </w:p>
    <w:p>
      <w:pPr>
        <w:jc w:val="both"/>
      </w:pPr>
      <w:r>
        <w:rPr>
          <w:sz w:val="21"/>
        </w:rPr>
        <w:t xml:space="preserve">    </w:t>
      </w:r>
      <w:r>
        <w:rPr>
          <w:sz w:val="21"/>
        </w:rPr>
        <w:t>以下无正文</w:t>
      </w:r>
    </w:p>
    <w:p>
      <w:pPr>
        <w:jc w:val="both"/>
      </w:pPr>
    </w:p>
    <w:p>
      <w:pPr>
        <w:jc w:val="both"/>
      </w:pPr>
      <w:r>
        <w:rPr>
          <w:b/>
          <w:sz w:val="21"/>
        </w:rPr>
        <w:t>甲方</w:t>
      </w:r>
      <w:r>
        <w:rPr>
          <w:b/>
          <w:sz w:val="21"/>
        </w:rPr>
        <w:t>（</w:t>
      </w:r>
      <w:r>
        <w:rPr>
          <w:b/>
          <w:sz w:val="21"/>
        </w:rPr>
        <w:t>盖章</w:t>
      </w:r>
      <w:r>
        <w:rPr>
          <w:b/>
          <w:sz w:val="21"/>
        </w:rPr>
        <w:t>）：</w:t>
      </w:r>
      <w:r>
        <w:rPr>
          <w:b/>
          <w:sz w:val="21"/>
        </w:rPr>
        <w:t xml:space="preserve">                     </w:t>
      </w:r>
      <w:r>
        <w:rPr>
          <w:b/>
          <w:sz w:val="21"/>
        </w:rPr>
        <w:t>乙方</w:t>
      </w:r>
      <w:r>
        <w:rPr>
          <w:b/>
          <w:sz w:val="21"/>
        </w:rPr>
        <w:t>（</w:t>
      </w:r>
      <w:r>
        <w:rPr>
          <w:b/>
          <w:sz w:val="21"/>
        </w:rPr>
        <w:t>盖章</w:t>
      </w:r>
      <w:r>
        <w:rPr>
          <w:b/>
          <w:sz w:val="21"/>
        </w:rPr>
        <w:t>）：</w:t>
      </w:r>
    </w:p>
    <w:p>
      <w:pPr>
        <w:jc w:val="both"/>
      </w:pPr>
      <w:r>
        <w:rPr>
          <w:b/>
          <w:sz w:val="21"/>
        </w:rPr>
        <w:t>代表</w:t>
      </w:r>
      <w:r>
        <w:rPr>
          <w:b/>
          <w:sz w:val="21"/>
        </w:rPr>
        <w:t>：</w:t>
      </w:r>
      <w:r>
        <w:rPr>
          <w:b/>
          <w:sz w:val="21"/>
        </w:rPr>
        <w:t xml:space="preserve">                            </w:t>
      </w:r>
      <w:r>
        <w:rPr>
          <w:b/>
          <w:sz w:val="21"/>
        </w:rPr>
        <w:t>代表</w:t>
      </w:r>
      <w:r>
        <w:rPr>
          <w:b/>
          <w:sz w:val="21"/>
        </w:rPr>
        <w:t>：</w:t>
      </w:r>
      <w:r>
        <w:rPr>
          <w:b/>
          <w:sz w:val="21"/>
        </w:rPr>
        <w:t xml:space="preserve">  </w:t>
      </w:r>
      <w:r>
        <w:rPr>
          <w:sz w:val="21"/>
        </w:rPr>
        <w:t xml:space="preserve">    </w:t>
      </w:r>
    </w:p>
    <w:p>
      <w:pPr>
        <w:jc w:val="both"/>
      </w:pPr>
      <w:r>
        <w:rPr>
          <w:sz w:val="21"/>
        </w:rPr>
        <w:t>签定地点</w:t>
      </w:r>
      <w:r>
        <w:rPr>
          <w:sz w:val="21"/>
        </w:rPr>
        <w:t>：</w:t>
      </w:r>
    </w:p>
    <w:p>
      <w:pPr>
        <w:jc w:val="both"/>
      </w:pPr>
      <w:r>
        <w:rPr>
          <w:sz w:val="21"/>
        </w:rPr>
        <w:t>签定</w:t>
      </w:r>
      <w:r>
        <w:rPr>
          <w:sz w:val="21"/>
        </w:rPr>
        <w:t>日期</w:t>
      </w:r>
      <w:r>
        <w:rPr>
          <w:sz w:val="21"/>
        </w:rPr>
        <w:t>：</w:t>
      </w:r>
      <w:r>
        <w:rPr>
          <w:sz w:val="21"/>
        </w:rPr>
        <w:t xml:space="preserve">    </w:t>
      </w:r>
      <w:r>
        <w:rPr>
          <w:sz w:val="21"/>
        </w:rPr>
        <w:t>年</w:t>
      </w:r>
      <w:r>
        <w:rPr>
          <w:sz w:val="21"/>
        </w:rPr>
        <w:t xml:space="preserve">  </w:t>
      </w:r>
      <w:r>
        <w:rPr>
          <w:sz w:val="21"/>
        </w:rPr>
        <w:t>月</w:t>
      </w:r>
      <w:r>
        <w:rPr>
          <w:sz w:val="21"/>
        </w:rPr>
        <w:t xml:space="preserve">   </w:t>
      </w:r>
      <w:r>
        <w:rPr>
          <w:sz w:val="21"/>
        </w:rPr>
        <w:t>日</w:t>
      </w:r>
      <w:r>
        <w:rPr>
          <w:sz w:val="21"/>
        </w:rPr>
        <w:t xml:space="preserve">        </w:t>
      </w:r>
      <w:r>
        <w:rPr>
          <w:sz w:val="21"/>
        </w:rPr>
        <w:t>签定日期</w:t>
      </w:r>
      <w:r>
        <w:rPr>
          <w:sz w:val="21"/>
        </w:rPr>
        <w:t>：</w:t>
      </w:r>
      <w:r>
        <w:rPr>
          <w:sz w:val="21"/>
        </w:rPr>
        <w:t xml:space="preserve">    </w:t>
      </w:r>
      <w:r>
        <w:rPr>
          <w:sz w:val="21"/>
        </w:rPr>
        <w:t>年</w:t>
      </w:r>
      <w:r>
        <w:rPr>
          <w:sz w:val="21"/>
        </w:rPr>
        <w:t xml:space="preserve">  </w:t>
      </w:r>
      <w:r>
        <w:rPr>
          <w:sz w:val="21"/>
        </w:rPr>
        <w:t>月</w:t>
      </w:r>
      <w:r>
        <w:rPr>
          <w:sz w:val="21"/>
        </w:rPr>
        <w:t xml:space="preserve">   </w:t>
      </w:r>
      <w:r>
        <w:rPr>
          <w:sz w:val="21"/>
        </w:rPr>
        <w:t>日</w:t>
      </w:r>
    </w:p>
    <w:p>
      <w:pPr>
        <w:ind w:firstLine="3570"/>
        <w:jc w:val="both"/>
      </w:pPr>
      <w:r>
        <w:rPr>
          <w:sz w:val="21"/>
        </w:rPr>
        <w:t>开</w:t>
      </w:r>
      <w:r>
        <w:rPr>
          <w:sz w:val="21"/>
        </w:rPr>
        <w:t>户名称</w:t>
      </w:r>
      <w:r>
        <w:rPr>
          <w:sz w:val="21"/>
        </w:rPr>
        <w:t>：</w:t>
      </w:r>
    </w:p>
    <w:p>
      <w:pPr>
        <w:ind w:firstLine="3570"/>
        <w:jc w:val="both"/>
      </w:pPr>
      <w:r>
        <w:rPr>
          <w:sz w:val="21"/>
        </w:rPr>
        <w:t>银行帐号</w:t>
      </w:r>
      <w:r>
        <w:rPr>
          <w:sz w:val="21"/>
        </w:rPr>
        <w:t>：</w:t>
      </w:r>
    </w:p>
    <w:p>
      <w:pPr>
        <w:ind w:firstLine="3570"/>
        <w:jc w:val="both"/>
      </w:pPr>
      <w:r>
        <w:rPr>
          <w:sz w:val="21"/>
        </w:rPr>
        <w:t>开</w:t>
      </w:r>
      <w:r>
        <w:rPr>
          <w:sz w:val="21"/>
        </w:rPr>
        <w:t xml:space="preserve"> </w:t>
      </w:r>
      <w:r>
        <w:rPr>
          <w:sz w:val="21"/>
        </w:rPr>
        <w:t>户</w:t>
      </w:r>
      <w:r>
        <w:rPr>
          <w:sz w:val="21"/>
        </w:rPr>
        <w:t xml:space="preserve"> </w:t>
      </w:r>
      <w:r>
        <w:rPr>
          <w:sz w:val="21"/>
        </w:rPr>
        <w:t>标</w:t>
      </w:r>
      <w:r>
        <w:rPr>
          <w:sz w:val="21"/>
        </w:rPr>
        <w:t>：</w:t>
      </w:r>
    </w:p>
    <w:p>
      <w:pPr>
        <w:jc w:val="both"/>
      </w:pP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441900014-2023-00374</w:t>
      </w:r>
    </w:p>
    <w:p>
      <w:pPr>
        <w:jc w:val="center"/>
      </w:pPr>
      <w:r>
        <w:rPr>
          <w:b/>
          <w:sz w:val="24"/>
        </w:rPr>
        <w:t>采购项目编号：</w:t>
      </w:r>
      <w:r>
        <w:rPr>
          <w:b/>
          <w:sz w:val="24"/>
        </w:rPr>
        <w:t>441900014-2023-00374</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r>
        <w:rPr>
          <w:b/>
          <w:sz w:val="24"/>
        </w:rPr>
        <w:t>投标函</w:t>
      </w:r>
    </w:p>
    <w:p>
      <w:pPr>
        <w:ind w:firstLine="480"/>
      </w:pPr>
      <w:r>
        <w:rPr/>
        <w:t>致：</w:t>
      </w:r>
      <w:r>
        <w:rPr>
          <w:u w:val="single"/>
        </w:rPr>
        <w:t>广东政通招标有限公司</w:t>
      </w:r>
    </w:p>
    <w:p>
      <w:pPr>
        <w:ind w:firstLine="480"/>
      </w:pPr>
      <w:r>
        <w:rPr/>
        <w:t>你方组织的</w:t>
      </w:r>
      <w:r>
        <w:rPr>
          <w:u w:val="single"/>
        </w:rPr>
        <w:t>“</w:t>
      </w:r>
      <w:r>
        <w:rPr>
          <w:u w:val="single"/>
        </w:rPr>
        <w:t>东莞市横沥医院64排CT球管采购项目</w:t>
      </w:r>
      <w:r>
        <w:rPr>
          <w:u w:val="single"/>
        </w:rPr>
        <w:t>”</w:t>
      </w:r>
      <w:r>
        <w:rPr/>
        <w:t>项目的招标[采购项目编号为：</w:t>
      </w:r>
      <w:r>
        <w:rPr>
          <w:u w:val="single"/>
        </w:rPr>
        <w:t>441900014-2023-00374</w:t>
      </w:r>
      <w:r>
        <w:rPr/>
        <w:t>]，我方愿参与投标。</w:t>
      </w:r>
    </w:p>
    <w:p>
      <w:pPr>
        <w:ind w:firstLine="480"/>
      </w:pPr>
      <w:r>
        <w:rPr/>
        <w:t>我方确认收到贵方提供的</w:t>
      </w:r>
      <w:r>
        <w:rPr>
          <w:u w:val="single"/>
        </w:rPr>
        <w:t>“</w:t>
      </w:r>
      <w:r>
        <w:rPr>
          <w:u w:val="single"/>
        </w:rPr>
        <w:t>东莞市横沥医院64排CT球管采购项目</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广东政通招标有限公司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东莞市横沥医院64排CT球管采购项目</w:t>
      </w:r>
      <w:r>
        <w:rPr/>
        <w:t>”项目采购[采购项目编号为</w:t>
      </w:r>
      <w:r>
        <w:rPr/>
        <w:t>441900014-2023-00374</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东莞市横沥医院</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广东政通招标有限公司</w:t>
      </w:r>
    </w:p>
    <w:p>
      <w:pPr>
        <w:ind w:firstLine="480"/>
      </w:pPr>
      <w:r>
        <w:rPr/>
        <w:t>如果我方在贵采购代理机构组织的</w:t>
      </w:r>
      <w:r>
        <w:rPr/>
        <w:t>东莞市横沥医院64排CT球管采购项目</w:t>
      </w:r>
      <w:r>
        <w:rPr/>
        <w:t>招标中获中标（采购项目编号：</w:t>
      </w:r>
      <w:r>
        <w:rPr/>
        <w:t>441900014-2023-00374</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广东政通招标有限公司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广东政通招标有限公司</w:t>
      </w:r>
    </w:p>
    <w:p>
      <w:pPr>
        <w:ind w:firstLine="480"/>
      </w:pPr>
      <w:r>
        <w:rPr/>
        <w:t>我单位已登记并准备参与“</w:t>
      </w:r>
      <w:r>
        <w:rPr/>
        <w:t>东莞市横沥医院64排CT球管采购项目</w:t>
      </w:r>
      <w:r>
        <w:rPr/>
        <w:t>”项目（采购项目编号：</w:t>
      </w:r>
      <w:r>
        <w:rPr/>
        <w:t>441900014-2023-00374</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