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color w:val="auto"/>
          <w:highlight w:val="none"/>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2"/>
        <w:jc w:val="center"/>
        <w:rPr>
          <w:rFonts w:hint="eastAsia" w:ascii="黑体" w:eastAsia="黑体"/>
          <w:color w:val="auto"/>
          <w:szCs w:val="21"/>
          <w:highlight w:val="none"/>
          <w:lang w:eastAsia="zh-CN"/>
        </w:rPr>
      </w:pPr>
    </w:p>
    <w:tbl>
      <w:tblPr>
        <w:tblStyle w:val="23"/>
        <w:tblpPr w:leftFromText="180" w:rightFromText="180" w:vertAnchor="text" w:horzAnchor="page" w:tblpX="1495" w:tblpY="21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GDZT2023123C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东莞市第八高级中学饭堂食材配送项目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东莞市第八高级中学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p>
      <w:pPr>
        <w:jc w:val="both"/>
        <w:rPr>
          <w:rFonts w:ascii="黑体" w:eastAsia="黑体"/>
          <w:color w:val="auto"/>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cs="宋体"/>
          <w:b/>
          <w:bCs w:val="0"/>
          <w:color w:val="auto"/>
          <w:sz w:val="21"/>
          <w:szCs w:val="21"/>
          <w:highlight w:val="none"/>
          <w:u w:val="none"/>
          <w:lang w:val="en-US" w:eastAsia="zh-CN"/>
        </w:rPr>
        <w:t>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42976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东莞市第八高级中学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东莞市第八高级中学饭堂食材配送项目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GDZT2023123C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东莞市第八高级中学饭堂食材配送项目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b/>
                <w:color w:val="auto"/>
                <w:sz w:val="21"/>
                <w:szCs w:val="21"/>
                <w:highlight w:val="none"/>
                <w:u w:val="single"/>
                <w:lang w:eastAsia="zh-CN"/>
              </w:rPr>
              <w:t>东莞市第八高级中学饭堂食材配送项目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无具体预算</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 xml:space="preserve">年 </w:t>
      </w:r>
      <w:r>
        <w:rPr>
          <w:rFonts w:hint="eastAsia" w:ascii="宋体" w:hAnsi="宋体"/>
          <w:color w:val="auto"/>
          <w:sz w:val="21"/>
          <w:szCs w:val="21"/>
          <w:highlight w:val="none"/>
          <w:lang w:val="en-US" w:eastAsia="zh-CN"/>
        </w:rPr>
        <w:t xml:space="preserve">6 </w:t>
      </w:r>
      <w:r>
        <w:rPr>
          <w:rFonts w:hint="eastAsia" w:ascii="宋体" w:hAnsi="宋体" w:eastAsia="宋体"/>
          <w:color w:val="auto"/>
          <w:sz w:val="21"/>
          <w:szCs w:val="21"/>
          <w:highlight w:val="none"/>
        </w:rPr>
        <w:t xml:space="preserve">月 </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 xml:space="preserve"> 日起至</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 xml:space="preserve">年 </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 xml:space="preserve"> 月 </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 xml:space="preserve"> 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 xml:space="preserve">年 </w:t>
      </w:r>
      <w:r>
        <w:rPr>
          <w:rFonts w:hint="eastAsia" w:ascii="宋体" w:hAnsi="宋体"/>
          <w:color w:val="auto"/>
          <w:sz w:val="21"/>
          <w:szCs w:val="21"/>
          <w:highlight w:val="none"/>
          <w:lang w:val="en-US" w:eastAsia="zh-CN"/>
        </w:rPr>
        <w:t xml:space="preserve">6 </w:t>
      </w:r>
      <w:r>
        <w:rPr>
          <w:rFonts w:hint="eastAsia" w:ascii="宋体" w:hAnsi="宋体" w:eastAsia="宋体"/>
          <w:color w:val="auto"/>
          <w:sz w:val="21"/>
          <w:szCs w:val="21"/>
          <w:highlight w:val="none"/>
        </w:rPr>
        <w:t xml:space="preserve">月 </w:t>
      </w:r>
      <w:r>
        <w:rPr>
          <w:rFonts w:hint="eastAsia" w:ascii="宋体" w:hAnsi="宋体"/>
          <w:color w:val="auto"/>
          <w:sz w:val="21"/>
          <w:szCs w:val="21"/>
          <w:highlight w:val="none"/>
          <w:lang w:val="en-US" w:eastAsia="zh-CN"/>
        </w:rPr>
        <w:t>15</w:t>
      </w:r>
      <w:r>
        <w:rPr>
          <w:rFonts w:hint="eastAsia" w:ascii="宋体" w:hAnsi="宋体" w:eastAsia="宋体"/>
          <w:color w:val="auto"/>
          <w:sz w:val="21"/>
          <w:szCs w:val="21"/>
          <w:highlight w:val="none"/>
        </w:rPr>
        <w:t xml:space="preserve"> 日起至</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 xml:space="preserve">年 </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 xml:space="preserve"> 月 </w:t>
      </w:r>
      <w:r>
        <w:rPr>
          <w:rFonts w:hint="eastAsia" w:ascii="宋体" w:hAnsi="宋体"/>
          <w:color w:val="auto"/>
          <w:sz w:val="21"/>
          <w:szCs w:val="21"/>
          <w:highlight w:val="none"/>
          <w:lang w:val="en-US" w:eastAsia="zh-CN"/>
        </w:rPr>
        <w:t>25</w:t>
      </w:r>
      <w:r>
        <w:rPr>
          <w:rFonts w:hint="eastAsia" w:ascii="宋体" w:hAnsi="宋体" w:eastAsia="宋体"/>
          <w:color w:val="auto"/>
          <w:sz w:val="21"/>
          <w:szCs w:val="21"/>
          <w:highlight w:val="none"/>
        </w:rPr>
        <w:t xml:space="preserve"> 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w:t>
      </w:r>
      <w:r>
        <w:rPr>
          <w:rFonts w:hint="eastAsia" w:ascii="宋体" w:hAnsi="宋体"/>
          <w:color w:val="auto"/>
          <w:szCs w:val="21"/>
          <w:highlight w:val="none"/>
        </w:rPr>
        <w:t>政通招标网（http://www.zttendering.com/）</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bookmarkStart w:id="404" w:name="_GoBack"/>
      <w:bookmarkEnd w:id="404"/>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eastAsia="宋体"/>
          <w:bCs/>
          <w:color w:val="auto"/>
          <w:sz w:val="21"/>
          <w:szCs w:val="21"/>
          <w:highlight w:val="none"/>
        </w:rPr>
        <w:t xml:space="preserve"> </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 xml:space="preserve"> 月 </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 xml:space="preserve"> 日上午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eastAsia="宋体"/>
          <w:bCs/>
          <w:color w:val="auto"/>
          <w:sz w:val="21"/>
          <w:szCs w:val="21"/>
          <w:highlight w:val="none"/>
        </w:rPr>
        <w:t xml:space="preserve"> </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 xml:space="preserve"> 月 </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 xml:space="preserve"> 日上午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采购人联系人：黄老师</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东莞市樟木头镇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联系电话：0769-82338266</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w:t>
      </w:r>
      <w:r>
        <w:rPr>
          <w:rFonts w:hint="eastAsia" w:ascii="宋体" w:hAnsi="宋体" w:eastAsia="宋体"/>
          <w:color w:val="auto"/>
          <w:sz w:val="21"/>
          <w:szCs w:val="21"/>
          <w:highlight w:val="none"/>
        </w:rPr>
        <w:t>年</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月</w:t>
      </w:r>
    </w:p>
    <w:p>
      <w:pPr>
        <w:pStyle w:val="4"/>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b/>
                <w:color w:val="auto"/>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color w:val="auto"/>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本项目无需提供投标保证金</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2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（1）本项目固定收取中标服务费金额为人民币叁万元整（¥30,000.00），向中标单位收取。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格分计算方法：满足招标文件要求且投标报价最低的投标报价为评标基准价，其价格分为满分。其他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pStyle w:val="35"/>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投标报价得分=</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rPr>
              <w:t>评标基准价／投标</w:t>
            </w:r>
            <w:r>
              <w:rPr>
                <w:rFonts w:hint="eastAsia" w:ascii="宋体" w:eastAsia="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lang w:val="zh-CN"/>
              </w:rPr>
              <w:t>×价格权重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35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sz w:val="21"/>
                <w:szCs w:val="21"/>
                <w:highlight w:val="none"/>
                <w:lang w:val="en-US" w:eastAsia="zh-CN"/>
              </w:rPr>
            </w:pPr>
            <w:r>
              <w:rPr>
                <w:rFonts w:hint="eastAsia"/>
                <w:color w:val="auto"/>
                <w:sz w:val="21"/>
                <w:szCs w:val="21"/>
                <w:highlight w:val="none"/>
                <w:shd w:val="clear" w:color="auto" w:fill="auto"/>
                <w:lang w:val="en-US"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质量管理体系认证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环境管理体系认证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职业健康管理体系认证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4、</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食品安全管理体系认证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投标人具有危害分析与关键控制点体系</w:t>
            </w:r>
            <w:r>
              <w:rPr>
                <w:rFonts w:hint="eastAsia" w:ascii="宋体" w:hAnsi="宋体" w:eastAsia="宋体" w:cs="宋体"/>
                <w:color w:val="auto"/>
                <w:kern w:val="2"/>
                <w:sz w:val="21"/>
                <w:szCs w:val="21"/>
                <w:highlight w:val="none"/>
              </w:rPr>
              <w:t>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6、投标人具有绿色供应链认证证书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7、投标人具有食品可追溯管理体系认证证书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8、投标人具有服务质量评价认证证书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9、投标人具有履约能力评价服务认证证书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投标人具有投标人具有</w:t>
            </w:r>
            <w:r>
              <w:rPr>
                <w:rFonts w:hint="eastAsia" w:ascii="宋体" w:hAnsi="宋体" w:eastAsia="宋体" w:cs="宋体"/>
                <w:color w:val="auto"/>
                <w:kern w:val="2"/>
                <w:sz w:val="21"/>
                <w:szCs w:val="21"/>
                <w:highlight w:val="none"/>
              </w:rPr>
              <w:t>诚信管理体系</w:t>
            </w:r>
            <w:r>
              <w:rPr>
                <w:rFonts w:hint="eastAsia" w:ascii="宋体" w:hAnsi="宋体" w:cs="宋体"/>
                <w:color w:val="auto"/>
                <w:kern w:val="2"/>
                <w:sz w:val="21"/>
                <w:szCs w:val="21"/>
                <w:highlight w:val="none"/>
                <w:lang w:val="en-US" w:eastAsia="zh-CN"/>
              </w:rPr>
              <w:t>认证证书</w:t>
            </w:r>
            <w:r>
              <w:rPr>
                <w:rFonts w:hint="eastAsia" w:ascii="宋体" w:hAnsi="宋体" w:eastAsia="宋体" w:cs="宋体"/>
                <w:color w:val="auto"/>
                <w:kern w:val="2"/>
                <w:sz w:val="21"/>
                <w:szCs w:val="21"/>
                <w:highlight w:val="none"/>
                <w:lang w:eastAsia="zh-CN"/>
              </w:rPr>
              <w:t>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lang w:val="en-US" w:eastAsia="zh-CN"/>
              </w:rPr>
              <w:t>分</w:t>
            </w:r>
            <w:r>
              <w:rPr>
                <w:rFonts w:hint="eastAsia" w:ascii="宋体" w:hAnsi="宋体" w:cs="宋体"/>
                <w:color w:val="auto"/>
                <w:kern w:val="2"/>
                <w:sz w:val="21"/>
                <w:szCs w:val="21"/>
                <w:highlight w:val="none"/>
                <w:lang w:val="en-US" w:eastAsia="zh-CN"/>
              </w:rPr>
              <w:t>，本项满分2分。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color w:val="auto"/>
                <w:kern w:val="2"/>
                <w:sz w:val="21"/>
                <w:szCs w:val="21"/>
                <w:highlight w:val="none"/>
                <w:lang w:val="en-US" w:eastAsia="zh-CN"/>
              </w:rPr>
              <w:t>注：</w:t>
            </w:r>
            <w:r>
              <w:rPr>
                <w:rFonts w:hint="eastAsia" w:ascii="宋体" w:hAnsi="宋体" w:eastAsia="宋体" w:cs="宋体"/>
                <w:color w:val="auto"/>
                <w:kern w:val="2"/>
                <w:sz w:val="21"/>
                <w:szCs w:val="21"/>
                <w:highlight w:val="none"/>
                <w:lang w:val="en-US" w:eastAsia="zh-CN"/>
              </w:rPr>
              <w:t>须提供有效期内证书复印件加盖</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lang w:val="en-US" w:eastAsia="zh-CN"/>
              </w:rPr>
              <w:t>公章</w:t>
            </w:r>
            <w:r>
              <w:rPr>
                <w:rFonts w:hint="eastAsia" w:ascii="宋体" w:hAnsi="宋体" w:eastAsia="宋体" w:cs="宋体"/>
                <w:bCs/>
                <w:color w:val="auto"/>
                <w:sz w:val="21"/>
                <w:szCs w:val="21"/>
                <w:highlight w:val="none"/>
                <w:lang w:val="pt-BR"/>
              </w:rPr>
              <w:t>，否则不得分</w:t>
            </w:r>
            <w:r>
              <w:rPr>
                <w:rFonts w:hint="eastAsia" w:ascii="宋体" w:hAnsi="宋体" w:eastAsia="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投标人具有食材配送</w:t>
            </w:r>
            <w:r>
              <w:rPr>
                <w:rFonts w:hint="eastAsia" w:ascii="宋体" w:hAnsi="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 每提供一项业绩得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r>
              <w:rPr>
                <w:rFonts w:hint="eastAsia" w:ascii="宋体" w:hAnsi="宋体" w:eastAsia="宋体" w:cs="宋体"/>
                <w:color w:val="auto"/>
                <w:kern w:val="2"/>
                <w:sz w:val="21"/>
                <w:szCs w:val="21"/>
                <w:highlight w:val="none"/>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bidi="ar-SA"/>
              </w:rPr>
            </w:pPr>
            <w:r>
              <w:rPr>
                <w:rFonts w:hint="eastAsia" w:ascii="宋体" w:hAnsi="宋体" w:cs="宋体"/>
                <w:color w:val="auto"/>
                <w:kern w:val="2"/>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eastAsia="宋体" w:cs="宋体"/>
                <w:bCs/>
                <w:color w:val="auto"/>
                <w:sz w:val="21"/>
                <w:szCs w:val="21"/>
                <w:highlight w:val="none"/>
                <w:lang w:val="pt-BR"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（4）投标人未承诺或承诺在接到采购人通知后超过</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不含</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55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配送服务方案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9746"/>
      <w:bookmarkStart w:id="22" w:name="_Toc11105"/>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18488"/>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303084246"/>
      <w:bookmarkStart w:id="31" w:name="_Toc382049092"/>
      <w:bookmarkStart w:id="32" w:name="_Toc1530"/>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9710"/>
      <w:bookmarkStart w:id="36" w:name="_Toc2996"/>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31885"/>
      <w:bookmarkStart w:id="44" w:name="_Toc21930"/>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5"/>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14217"/>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7434"/>
      <w:bookmarkStart w:id="64" w:name="_Toc28092"/>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3084256"/>
      <w:bookmarkStart w:id="66" w:name="_Toc307934854"/>
      <w:bookmarkStart w:id="67" w:name="_Toc18999"/>
      <w:bookmarkStart w:id="68" w:name="_Toc12145"/>
      <w:bookmarkStart w:id="69" w:name="_Toc28866"/>
      <w:bookmarkStart w:id="70" w:name="_Toc7728"/>
      <w:bookmarkStart w:id="71"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3882"/>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18911"/>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22169"/>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hint="default" w:ascii="宋体" w:hAnsi="宋体" w:eastAsia="宋体"/>
          <w:color w:val="auto"/>
          <w:sz w:val="21"/>
          <w:szCs w:val="21"/>
          <w:highlight w:val="none"/>
          <w:lang w:val="en-US" w:eastAsia="zh-CN"/>
        </w:rPr>
      </w:pPr>
      <w:bookmarkStart w:id="87" w:name="_Toc12456"/>
      <w:bookmarkStart w:id="88" w:name="_Toc25817"/>
      <w:bookmarkStart w:id="89" w:name="_Toc3025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val="en-US" w:eastAsia="zh-CN"/>
        </w:rPr>
        <w:t>(本项目无需提供)</w:t>
      </w:r>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1124"/>
      <w:bookmarkStart w:id="93"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29590"/>
      <w:bookmarkStart w:id="96" w:name="_Toc382049111"/>
      <w:bookmarkStart w:id="97" w:name="_Toc303084264"/>
      <w:bookmarkStart w:id="98" w:name="_Toc23678"/>
      <w:bookmarkStart w:id="99" w:name="_Toc473"/>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17417"/>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9649"/>
      <w:bookmarkStart w:id="104" w:name="_Toc8526"/>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23477"/>
      <w:bookmarkStart w:id="108" w:name="_Toc382049112"/>
      <w:bookmarkStart w:id="109" w:name="_Toc7689"/>
      <w:bookmarkStart w:id="110" w:name="_Toc5900"/>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11133"/>
      <w:bookmarkStart w:id="114" w:name="_Toc600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23466"/>
      <w:bookmarkStart w:id="117"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974"/>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9184"/>
      <w:bookmarkStart w:id="132" w:name="_Toc21742"/>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17683"/>
      <w:bookmarkStart w:id="134" w:name="_Toc759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31141"/>
      <w:bookmarkStart w:id="138" w:name="_Toc12115"/>
      <w:bookmarkStart w:id="139" w:name="_Toc382049120"/>
      <w:bookmarkStart w:id="140" w:name="_Toc20328"/>
      <w:bookmarkStart w:id="141" w:name="_Toc2259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12251"/>
      <w:bookmarkStart w:id="144" w:name="_Toc29310"/>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27817"/>
      <w:bookmarkStart w:id="146" w:name="_Toc6696"/>
      <w:bookmarkStart w:id="147" w:name="_Toc17778"/>
      <w:bookmarkStart w:id="148" w:name="_Toc508284011"/>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12440"/>
      <w:bookmarkStart w:id="151" w:name="_Toc23136"/>
      <w:bookmarkStart w:id="152" w:name="_Toc508284013"/>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2451"/>
      <w:bookmarkStart w:id="154" w:name="_Toc22262"/>
      <w:bookmarkStart w:id="155" w:name="_Toc27279"/>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2744"/>
      <w:bookmarkStart w:id="157" w:name="_Toc29009"/>
      <w:bookmarkStart w:id="158" w:name="_Toc303084277"/>
      <w:bookmarkStart w:id="159" w:name="_Toc7405"/>
      <w:bookmarkStart w:id="160" w:name="_Toc25756"/>
      <w:bookmarkStart w:id="161" w:name="_Toc38204912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13694"/>
      <w:bookmarkStart w:id="163" w:name="_Toc7360"/>
      <w:bookmarkStart w:id="164"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17974"/>
      <w:bookmarkStart w:id="166" w:name="_Toc25498"/>
      <w:bookmarkStart w:id="167" w:name="_Toc22900"/>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1126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8919"/>
      <w:bookmarkStart w:id="172" w:name="_Toc5690"/>
      <w:bookmarkStart w:id="173"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10082"/>
      <w:bookmarkStart w:id="175" w:name="_Toc21187"/>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7011"/>
      <w:bookmarkStart w:id="178" w:name="_Toc382"/>
      <w:bookmarkStart w:id="179"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31162"/>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自合同签定之日起三年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按采购人要求按月配送，按实支付，本合同的每笔款项均以银行电汇方式支付，具体付款要求如下：双方采取先送货后结款的方式，从第一次送货之日起，采购人每月向中标人清货款一次。双方应在每月10日前核对上期货款，再由中标人根据双方核对无误确认好的金额开具发票给采购人请款，采购人应在收到中标人发票后的30个工作日内支付上月的货款，采购人以银行转账方式将货款一次性转入中标人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本项目报价采用</w:t>
            </w:r>
            <w:r>
              <w:rPr>
                <w:rFonts w:hint="eastAsia" w:ascii="宋体" w:hAnsi="宋体" w:cs="宋体"/>
                <w:color w:val="auto"/>
                <w:sz w:val="21"/>
                <w:szCs w:val="21"/>
                <w:highlight w:val="none"/>
                <w:lang w:eastAsia="zh-CN"/>
              </w:rPr>
              <w:t>折扣率</w:t>
            </w:r>
            <w:r>
              <w:rPr>
                <w:rFonts w:hint="eastAsia" w:ascii="宋体" w:hAnsi="宋体" w:eastAsia="宋体" w:cs="宋体"/>
                <w:color w:val="auto"/>
                <w:sz w:val="21"/>
                <w:szCs w:val="21"/>
                <w:highlight w:val="none"/>
              </w:rPr>
              <w:t>报价方式</w:t>
            </w:r>
            <w:r>
              <w:rPr>
                <w:rFonts w:hint="eastAsia" w:ascii="宋体" w:hAnsi="宋体" w:eastAsia="宋体" w:cs="宋体"/>
                <w:bCs/>
                <w:color w:val="auto"/>
                <w:sz w:val="21"/>
                <w:szCs w:val="21"/>
                <w:highlight w:val="none"/>
              </w:rPr>
              <w:t>，且所报的</w:t>
            </w:r>
            <w:r>
              <w:rPr>
                <w:rFonts w:hint="eastAsia" w:ascii="宋体" w:hAnsi="宋体" w:cs="宋体"/>
                <w:bCs/>
                <w:color w:val="auto"/>
                <w:sz w:val="21"/>
                <w:szCs w:val="21"/>
                <w:highlight w:val="none"/>
                <w:lang w:eastAsia="zh-CN"/>
              </w:rPr>
              <w:t>折扣率</w:t>
            </w:r>
            <w:r>
              <w:rPr>
                <w:rFonts w:hint="eastAsia" w:ascii="宋体" w:hAnsi="宋体" w:eastAsia="宋体" w:cs="宋体"/>
                <w:bCs/>
                <w:color w:val="auto"/>
                <w:sz w:val="21"/>
                <w:szCs w:val="21"/>
                <w:highlight w:val="none"/>
              </w:rPr>
              <w:t>应当适用于所有产品单品</w:t>
            </w:r>
            <w:r>
              <w:rPr>
                <w:rFonts w:hint="eastAsia" w:ascii="宋体" w:hAnsi="宋体" w:eastAsia="宋体" w:cs="宋体"/>
                <w:color w:val="auto"/>
                <w:sz w:val="21"/>
                <w:szCs w:val="21"/>
                <w:highlight w:val="none"/>
              </w:rPr>
              <w:t>。报价应包含完成本次招标所有服务内容的费用，包括人工费、食材采购费、食材运输费、材料费、设备使用费、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各种税务费、必须的辅助材料费及合同实施过程中不可预见费用等全部费用，采购人不向中标人另行支付任何费用。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2.中标人供货价需按照当前时段东莞市发展和改革局公布同期“广东省菜篮子价格监测表”中最新一期的“东莞市菜篮子价格监测表”的价格为基准价进行</w:t>
            </w:r>
            <w:r>
              <w:rPr>
                <w:rFonts w:hint="eastAsia" w:ascii="宋体" w:hAnsi="宋体" w:cs="宋体"/>
                <w:bCs/>
                <w:color w:val="auto"/>
                <w:sz w:val="21"/>
                <w:szCs w:val="21"/>
                <w:highlight w:val="none"/>
                <w:lang w:eastAsia="zh-CN"/>
              </w:rPr>
              <w:t>折扣</w:t>
            </w:r>
            <w:r>
              <w:rPr>
                <w:rFonts w:hint="eastAsia" w:ascii="宋体" w:hAnsi="宋体" w:eastAsia="宋体" w:cs="宋体"/>
                <w:bCs/>
                <w:color w:val="auto"/>
                <w:sz w:val="21"/>
                <w:szCs w:val="21"/>
                <w:highlight w:val="none"/>
              </w:rPr>
              <w:t>，中标人须于《东莞市发展和改革局》网站最新价格挂出后第二天向采购人提供最新一期的价格表</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当周基准价格一经确定，双方须严格执行，不受市场物价波动影响，不得调价。中标人原则上每隔一周调整一次价格，</w:t>
            </w:r>
            <w:r>
              <w:rPr>
                <w:rFonts w:hint="eastAsia" w:ascii="宋体" w:hAnsi="宋体" w:cs="宋体"/>
                <w:bCs/>
                <w:color w:val="auto"/>
                <w:sz w:val="21"/>
                <w:szCs w:val="21"/>
                <w:highlight w:val="none"/>
                <w:lang w:val="en-US" w:eastAsia="zh-CN"/>
              </w:rPr>
              <w:t>调整的价格不得高于周边三个市场（樟木头中心市场、樟木头天一城、樟木头天河百货）的同类产品价格，</w:t>
            </w:r>
            <w:r>
              <w:rPr>
                <w:rFonts w:hint="eastAsia" w:ascii="宋体" w:hAnsi="宋体" w:eastAsia="宋体" w:cs="宋体"/>
                <w:bCs/>
                <w:color w:val="auto"/>
                <w:sz w:val="21"/>
                <w:szCs w:val="21"/>
                <w:highlight w:val="none"/>
              </w:rPr>
              <w:t>每次调整价格经采购人确认后方可开始执行。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若东莞市发展和改革局网站上无发布的产品（部分特定牌子的产品除外）则由采购人和中标人双方共同在</w:t>
            </w:r>
            <w:r>
              <w:rPr>
                <w:rFonts w:hint="eastAsia" w:ascii="宋体" w:hAnsi="宋体" w:cs="宋体"/>
                <w:bCs/>
                <w:color w:val="auto"/>
                <w:sz w:val="21"/>
                <w:szCs w:val="21"/>
                <w:highlight w:val="none"/>
                <w:lang w:val="en-US" w:eastAsia="zh-CN"/>
              </w:rPr>
              <w:t>周边三个市场（樟木头中心市场、樟木头天一城、樟木头天河百货）</w:t>
            </w:r>
            <w:r>
              <w:rPr>
                <w:rFonts w:hint="eastAsia" w:ascii="宋体" w:hAnsi="宋体" w:eastAsia="宋体" w:cs="宋体"/>
                <w:bCs/>
                <w:color w:val="auto"/>
                <w:sz w:val="21"/>
                <w:szCs w:val="21"/>
                <w:highlight w:val="none"/>
              </w:rPr>
              <w:t>参考同类产品价格的平均价作为基准价进行</w:t>
            </w:r>
            <w:r>
              <w:rPr>
                <w:rFonts w:hint="eastAsia" w:ascii="宋体" w:hAnsi="宋体" w:cs="宋体"/>
                <w:bCs/>
                <w:color w:val="auto"/>
                <w:sz w:val="21"/>
                <w:szCs w:val="21"/>
                <w:highlight w:val="none"/>
                <w:lang w:eastAsia="zh-CN"/>
              </w:rPr>
              <w:t>折扣</w:t>
            </w:r>
            <w:r>
              <w:rPr>
                <w:rFonts w:hint="eastAsia" w:ascii="宋体" w:hAnsi="宋体" w:eastAsia="宋体" w:cs="宋体"/>
                <w:bCs/>
                <w:color w:val="auto"/>
                <w:sz w:val="21"/>
                <w:szCs w:val="21"/>
                <w:highlight w:val="none"/>
              </w:rPr>
              <w:t>（即基准价=市场平均价=N个市场抽样价格之和÷N），供货价即为基准价×</w:t>
            </w:r>
            <w:r>
              <w:rPr>
                <w:rFonts w:hint="eastAsia" w:ascii="宋体" w:hAnsi="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rPr>
              <w:t>。</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所供食材价格包含一切费用，主要包括购货或自产养（种）植成本、包装费、运输费、装卸费、搬运费、储存费、人工费、检验检疫费、质量检测费、</w:t>
            </w:r>
            <w:r>
              <w:rPr>
                <w:rFonts w:hint="eastAsia" w:ascii="宋体" w:hAnsi="宋体" w:cs="宋体"/>
                <w:color w:val="auto"/>
                <w:sz w:val="21"/>
                <w:szCs w:val="21"/>
                <w:highlight w:val="none"/>
                <w:lang w:val="en-US" w:eastAsia="zh-CN"/>
              </w:rPr>
              <w:t>保险费</w:t>
            </w:r>
            <w:r>
              <w:rPr>
                <w:rFonts w:hint="eastAsia" w:ascii="宋体" w:hAnsi="宋体" w:cs="宋体"/>
                <w:color w:val="auto"/>
                <w:sz w:val="21"/>
                <w:szCs w:val="21"/>
                <w:highlight w:val="none"/>
                <w:lang w:eastAsia="zh-CN"/>
              </w:rPr>
              <w:t>、</w:t>
            </w:r>
            <w:r>
              <w:rPr>
                <w:rFonts w:hint="eastAsia" w:ascii="宋体" w:hAnsi="宋体" w:eastAsia="宋体" w:cs="宋体"/>
                <w:bCs/>
                <w:color w:val="auto"/>
                <w:sz w:val="21"/>
                <w:szCs w:val="21"/>
                <w:highlight w:val="none"/>
              </w:rPr>
              <w:t>各种税费及合同实施过程中的应预见和不可预见费用等。在项目的实施过程中，中标人必须充分考虑在本项目实施期间的一切可能产生的风险和相关费用，采购人无需支付合同约定货款之外的任何费用和补偿。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如生产商或批发商统一调整价格或新增食材，中标人须及时书面通知采购人并附相关资料。价格下调时，应给予采购人相同的价格下调幅度；价格上升时，须提供生产商或批发商调价通知书等书面证明材料原件，经采购人审核后执行新的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8.若遇台风、暴雨等意外原因造成的个别品种价格需临时调整，应通知采购人，并征得采购人同意后方可调整，每次送货按通知价格计算。</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9.</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定价周期：每周更新一次，中标人每次至少提前2天提交下次报价清单给采购人审核，双方签字后生效。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食品安全责任保险</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default" w:ascii="宋体" w:hAnsi="宋体" w:eastAsia="宋体" w:cs="宋体"/>
                <w:bCs/>
                <w:color w:val="auto"/>
                <w:sz w:val="21"/>
                <w:szCs w:val="21"/>
                <w:highlight w:val="none"/>
                <w:lang w:val="en-US" w:eastAsia="zh-CN"/>
              </w:rPr>
              <w:t>中标人须为采购人提供一份采购人为受益人、额度为</w:t>
            </w:r>
            <w:r>
              <w:rPr>
                <w:rFonts w:hint="eastAsia" w:ascii="宋体" w:hAnsi="宋体" w:cs="宋体"/>
                <w:bCs/>
                <w:color w:val="auto"/>
                <w:sz w:val="21"/>
                <w:szCs w:val="21"/>
                <w:highlight w:val="none"/>
                <w:lang w:val="en-US" w:eastAsia="zh-CN"/>
              </w:rPr>
              <w:t>200</w:t>
            </w:r>
            <w:r>
              <w:rPr>
                <w:rFonts w:hint="default" w:ascii="宋体" w:hAnsi="宋体" w:eastAsia="宋体" w:cs="宋体"/>
                <w:bCs/>
                <w:color w:val="auto"/>
                <w:sz w:val="21"/>
                <w:szCs w:val="21"/>
                <w:highlight w:val="none"/>
                <w:lang w:val="en-US" w:eastAsia="zh-CN"/>
              </w:rPr>
              <w:t>万元的保险（食品安全责任险），保险承保期限不短于</w:t>
            </w:r>
            <w:r>
              <w:rPr>
                <w:rFonts w:hint="eastAsia" w:ascii="宋体" w:hAnsi="宋体" w:cs="宋体"/>
                <w:bCs/>
                <w:color w:val="auto"/>
                <w:sz w:val="21"/>
                <w:szCs w:val="21"/>
                <w:highlight w:val="none"/>
                <w:lang w:val="en-US" w:eastAsia="zh-CN"/>
              </w:rPr>
              <w:t>三</w:t>
            </w:r>
            <w:r>
              <w:rPr>
                <w:rFonts w:hint="default" w:ascii="宋体" w:hAnsi="宋体" w:eastAsia="宋体" w:cs="宋体"/>
                <w:bCs/>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质量及包装要求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充分理解并认真遵循本招标文件的要求，所提供的货物必须是满足招标文件要求。保证供应的货品均为正规生产的新鲜（冰鲜除外）、检验合格、无毒、无辐射、无侵权货品，符合国家有关卫生、质量、包装和保质标准，有使用有效期的货品，其剩余有效期不得少于标注有效期的50%。</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中标人保证所提供的水产品和蔬菜种类的多样性和季节性，以保证新鲜感。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货物有包装的，货物的包装必须完整清洁（无损、无污、无皱），采购人有权拒收包装不整齐、已拆封的货品。</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货品质量或包装不符合采购人要求的，中标人必须无条件退货或更换。</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中标人提供假冒伪劣、过期、变质货品的，一经发现，除按采购人要求无条件退货或换货外，还将受到如下处罚：</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(1)中标人提供过期、变质货品3次以上或提供假冒伪劣货品的，采购人有权单方终止合同；</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(2)因中标人供应货品质量问题造成食品安全事故的，经有关部门鉴定后，中标人须负担全数的医药费及赔偿费等，采购人将取消该中标人的供货资格，中标人同时承担相应的民事及刑事法律责任。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所供应的货品必须符合国家和东莞市的相关安全质量标准、卫生标准等，同时符合采购人的使用要求，包括但不限于各分包所列的货品质量要求。中标人在接受订单时须确认采购人对货品的使用要求，对于不符合采购人要求的货品，采购人有权拒收或要求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bookmarkStart w:id="181" w:name="_Toc373222968"/>
            <w:bookmarkStart w:id="182" w:name="_Toc258595216"/>
            <w:bookmarkStart w:id="183" w:name="_Toc374515876"/>
            <w:bookmarkStart w:id="184" w:name="_Toc255974608"/>
            <w:bookmarkStart w:id="185" w:name="_Toc258594152"/>
            <w:bookmarkStart w:id="186" w:name="_Toc373223057"/>
            <w:bookmarkStart w:id="187" w:name="_Toc257799731"/>
            <w:r>
              <w:rPr>
                <w:rFonts w:hint="eastAsia" w:ascii="宋体" w:hAnsi="宋体" w:eastAsia="宋体" w:cs="宋体"/>
                <w:color w:val="auto"/>
                <w:sz w:val="21"/>
                <w:szCs w:val="21"/>
                <w:highlight w:val="none"/>
                <w:lang w:val="en-US" w:eastAsia="zh-CN"/>
              </w:rPr>
              <w:t>售后服务</w:t>
            </w:r>
            <w:bookmarkEnd w:id="181"/>
            <w:bookmarkEnd w:id="182"/>
            <w:bookmarkEnd w:id="183"/>
            <w:bookmarkEnd w:id="184"/>
            <w:bookmarkEnd w:id="185"/>
            <w:bookmarkEnd w:id="186"/>
            <w:bookmarkEnd w:id="187"/>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非采购人的人为原因而出现产品质量，由中标人负责包换或包退，并承担因此而产生的一切费用。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rPr>
          <w:rFonts w:hint="eastAsia" w:ascii="宋体" w:hAnsi="宋体"/>
          <w:color w:val="auto"/>
          <w:highlight w:val="none"/>
          <w:lang w:val="en-US" w:eastAsia="zh-CN"/>
        </w:rPr>
      </w:pPr>
      <w:bookmarkStart w:id="188"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r>
        <w:rPr>
          <w:rFonts w:hint="eastAsia" w:ascii="宋体" w:hAnsi="宋体"/>
          <w:color w:val="auto"/>
          <w:highlight w:val="none"/>
          <w:lang w:val="en-US" w:eastAsia="zh-CN"/>
        </w:rPr>
        <w:t>第二章 技术需求书</w:t>
      </w:r>
      <w:bookmarkEnd w:id="188"/>
      <w:bookmarkStart w:id="189" w:name="_Toc258595211"/>
      <w:bookmarkStart w:id="190" w:name="_Toc258594147"/>
      <w:bookmarkStart w:id="191" w:name="_Toc257799726"/>
      <w:bookmarkStart w:id="192" w:name="_Toc373223049"/>
      <w:bookmarkStart w:id="193" w:name="_Toc255974603"/>
      <w:bookmarkStart w:id="194" w:name="_Toc374515868"/>
      <w:bookmarkStart w:id="195" w:name="_Toc373222960"/>
    </w:p>
    <w:bookmarkEnd w:id="189"/>
    <w:bookmarkEnd w:id="190"/>
    <w:bookmarkEnd w:id="191"/>
    <w:bookmarkEnd w:id="192"/>
    <w:bookmarkEnd w:id="193"/>
    <w:bookmarkEnd w:id="194"/>
    <w:bookmarkEnd w:id="195"/>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bookmarkStart w:id="196" w:name="_Toc255974606"/>
      <w:r>
        <w:rPr>
          <w:rFonts w:hint="eastAsia" w:ascii="宋体" w:hAnsi="宋体" w:eastAsia="宋体" w:cs="宋体"/>
          <w:b/>
          <w:bCs/>
          <w:color w:val="auto"/>
          <w:sz w:val="24"/>
          <w:szCs w:val="24"/>
          <w:highlight w:val="none"/>
        </w:rPr>
        <w:t>食材服务需求</w:t>
      </w: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质量要求</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粮油类配送采购要求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（1）供应产品的质量要求： </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中标人所提供产品质量必须要符合行业标准要求，不得有掺假、变质、变味、过期等现象出现，严禁伪劣、假冒、无证不合格物品进入仓库。</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③中标人在供应过程中，如果发生出现质量问题或造成食物中毒,如变质等情况，经查实后确属中标人责任，中标人应承担全部责任，主要包括食物中毒人员医疗费、误工费、事故处理费等，直至追究刑事责任。</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（2）执行标准：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①米类执行标准：GB/T 1354-2018　 标准一等米 不含添加剂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②大米的质量标准：除符合标准一等米外，要求：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碎米总量≤17% （国家标准：≤35%）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小碎米总量≤2%（国家标准：≤2.5%）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不完善粒≤3.5%（国家标准：≤4.0%）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③油类执行标准：SB/T</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10292-1998</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④油类质量要求：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工艺(即用浸出法生产，还是用压榨法生产的)和是否用转基因油料生产，不许以次充好、以假充真。如将毛油当一级或二级油进行销售，将低价位的植物油掺入高价位植物油中进行销售，牟取暴利，一经查处，中标人将承担全部责任。</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副食品供应货品质量要求</w:t>
      </w:r>
    </w:p>
    <w:p>
      <w:pPr>
        <w:widowControl w:val="0"/>
        <w:numPr>
          <w:ilvl w:val="0"/>
          <w:numId w:val="0"/>
        </w:numPr>
        <w:spacing w:after="0"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副食品须选用符合国家食品卫生法规相关标准的商品，选用无毒、无害、无污染、可朔源的食品。掺假、掺杂食品坚决不能使用。副食品表面外观新鲜、完整，无霉变异味，无砂粒杂质，无虫尸鼠粪等不洁卫生问题。奶制品色泽乳白，口味鲜香，包装完整，无破损，符合国家规定的质量卫生标准。</w:t>
      </w:r>
    </w:p>
    <w:p>
      <w:pPr>
        <w:widowControl w:val="0"/>
        <w:numPr>
          <w:ilvl w:val="0"/>
          <w:numId w:val="0"/>
        </w:numPr>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副食品</w:t>
      </w:r>
      <w:r>
        <w:rPr>
          <w:rFonts w:hint="eastAsia" w:ascii="宋体" w:hAnsi="宋体" w:eastAsia="宋体" w:cs="宋体"/>
          <w:color w:val="auto"/>
          <w:sz w:val="21"/>
          <w:szCs w:val="21"/>
          <w:highlight w:val="none"/>
        </w:rPr>
        <w:t>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蔬菜瓜果供应货品质量要求</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提供的蔬菜须确保鲜嫩度，不得有黄叶、斑点、腐烂或有异常味道，利用率不得低于95%，且不含有残留农药或污染物，并出具有效的《农产品检验报告》。卫生质量指标，应符合我国无公害蔬菜上的卫生指标规定。采购人对所配送蔬菜进行二次农残检测，如含量超标采购人有权要求中标人无条件退货或换货，同时做好相关记录。</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(2)中标人需设自检测室或有固定的送检机构，每天所供蔬菜类都要提供农药残留的检测报告，并交采购人存档备查。</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中标人提供的</w:t>
      </w:r>
      <w:r>
        <w:rPr>
          <w:rFonts w:hint="eastAsia" w:ascii="宋体" w:hAnsi="宋体" w:eastAsia="宋体" w:cs="宋体"/>
          <w:color w:val="auto"/>
          <w:sz w:val="21"/>
          <w:szCs w:val="21"/>
          <w:highlight w:val="none"/>
        </w:rPr>
        <w:t>豆制品须确保色泽均匀，呈块状、硬度适中、富有弹性、持水性好、无霉点。有主料应有的香气，无异味，无肉眼可见外来异物。</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验收时未发现问题，而在加工食用前发现部分货品存在质量问题的，采购人立即通知中标人将问题货品进行退换货处理。如中标人所供应货品出现质量问题造成食品安全事故，中标人应承担全部责任和经济损失。</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4.肉类供应货品质量要求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鲜肉类全部来源于正规肉联厂，保证为当日新鲜肉，并提供政府检疫部门出示的检疫合格证明。（鲜肉类利用率不低于98%）</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具有当天卫生监督部门发放的“动物检疫合格证明”，肉体印有检疫章。</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表皮干爽、肌体结实、肉质紧密、肉色淡红新鲜，肥肉洁白而细腻。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外观检测无异味、无寄生虫、无粘液、无渗出液体、指压反弹迅速、具有猪肉自然气味。</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运输设备具备恒温保鲜（5度），存放容器保持清洁卫生，包装合理且材料无污染。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.水产品类供应货品质量要求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必须鲜活。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非冰鲜类必须鲜活，利用率不低于95%；冰鲜类水产品解冻后利用率不低于80%。</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鲜鱼鳞片完整，有光泽无脱落，鳃口紧闭，眼球光亮透明，鱼鳃鲜红，鳍尾完整，确保新鲜。</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身体饱满结实，无腐烂异味，肉质紧密有弹性，无离骨脱刺现象。</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400" w:leftChars="0"/>
        <w:contextualSpacing/>
        <w:textAlignment w:val="auto"/>
        <w:rPr>
          <w:rFonts w:hAnsi="宋体" w:cs="宋体"/>
          <w:color w:val="auto"/>
          <w:sz w:val="21"/>
          <w:szCs w:val="21"/>
          <w:highlight w:val="none"/>
        </w:rPr>
      </w:pP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配送要求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2.容器要求清洁、干燥、牢固、透气，无污染、无异味、无霉变现象。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3.冰鲜类水产品必须用专用冷藏、冷冻载具运输，保证运输过程冷链不中断，到达目的地时外包装箱干爽，无软化现象。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4.蔬菜应小心轻卸，严防机械损伤。</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5.中标人要免费提供运送及卸货服务。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必须按照采购人要求的货品规格、数量、质量配送，如数量不足的，中标人应立即补足；如有10%以下（含10%）货品规格、质量不符合要求的，中标人应对不符合要求的货品进行更换；如有10%以上的货品规格、质量不符合要求的，由采购人选择整批退货或要求中标人按时整批更换。</w:t>
      </w: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中标人需设立自有检测室或有固定的送检机构，每种蔬菜每天都要随货提供农药残留的检测报告，食品检测人员或检测机构资料交采购人存档备查。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1.对食品安全质量问题的处理：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(1)对危及人体健康的食品质量问题（如农药残留超标、腐烂变质等）采取零容忍措施，一经发现，当日所送同批次货品全部退货。</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(2)若验收时未发现问题，而在加工食用前发现部分货品质量有问题，采购人立即通知中标人，将问题货品作退换货处理。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(3)中标人所供应货品出现质量问题造成食品安全事故，经查实后属中标人责任的，中标人应承担全部责任和经济损失。</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w:t>
      </w:r>
      <w:r>
        <w:rPr>
          <w:rFonts w:hint="eastAsia" w:ascii="宋体" w:hAnsi="宋体" w:cs="宋体"/>
          <w:b/>
          <w:bCs/>
          <w:color w:val="auto"/>
          <w:sz w:val="24"/>
          <w:szCs w:val="24"/>
          <w:highlight w:val="none"/>
          <w:lang w:val="en-US" w:eastAsia="zh-CN"/>
        </w:rPr>
        <w:t>内容</w:t>
      </w:r>
      <w:r>
        <w:rPr>
          <w:rFonts w:hint="eastAsia" w:ascii="宋体" w:hAnsi="宋体" w:eastAsia="宋体" w:cs="宋体"/>
          <w:b/>
          <w:bCs/>
          <w:color w:val="auto"/>
          <w:sz w:val="24"/>
          <w:szCs w:val="24"/>
          <w:highlight w:val="none"/>
        </w:rPr>
        <w:t>说明</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当根据采购人实际情况，按照与采购人的约定，在规定的时间内将预定的货物如数送到指定地点。除发生客观不可抗力的情况外，中标人不得推迟送货。如确需延迟送货的，中标人应在得知情况的同时告知采购人并征得采购人同意，由于中标人延迟造成采购人利益受损的，采购人有权要求中标人赔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水产品类一般每天送货1-2次；蔬菜类一般每天送货1次，采购人在前一天确认采购订单；调味品类一般一个星期送货一次，采购人至少提前一天确认采购订单。每次订单不论数量多少，中标人都必须按采购人要求配送。对于临时性采购订单，中标人须积极配合，按照采购人要求按时、按质、按量将货品配送到指定地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配送时间：每天上午</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0前送达采购指定地点。如采购人需要临时增加补货，中标人必须在采购要求的时间内将货物保质保量送到采购人指定地点。具体配送时间以采购人实际要求为准。</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中标人负责货品配送前的仓储，采购人不提供仓库。</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在采购人签收之前，货物的所有权和风险属于中标人，货物发生遗失、损坏由中标人负责。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须严格按照采购人的订单配送货品，不得随意增减数量或改变品种。如因市场流通问题确实需要变更供货内容的，中标人应在得知情况的同时书面告知采购人并征得采购人同意后方可变更，否则，采购人有权拒收，由此产生的一切损失和费用由中标人承担。</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中标人不能按核定的供货价交付的某些货品、不能提供与其承诺相符的服务或中标人存在违反招标文件和合同的行为，并且不予纠正的，将取消其中标资格。此项下违约行为包括但不限于下列各项：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(1)中标人在收到采购人订货要求后，在承诺的供货时间内不能供货的。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(2)中标人未能提供承诺的服务的。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(3)中标人不能在约定时间内提供合法票据进行结算的。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(4)中标人送货专员在采购人单位活动但不遵守采购人单位各项规章制度或做出有损采购人形象和利益的事情的。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(5)中标人泄露采购人的秘密的。如泄密行为造成采购人损失的，中标人将承担由此产生的一切损失和法律责任。</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其他要求</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中标人必须服从采购人的监督、管理，配合采购人到农场基地、食物配送点进行现场考察。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食品供应链要求：所有食品的来源必须清晰可追溯和追责。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中标人需配合采购人要求，落实我市关于采购贫困地区农副产品的相关政策要求，通过贫困地区农副产品网络销售平台或定向扶贫地区采购贫困地区农副产品。</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相关说明</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被取消配送服务资格而造成服务单位数量不能满足正常食堂食材配送工作需求的，采购人有权按顺序递补本次采购排名在</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必须清楚理解：采购人无法预计也无法保证服务单位所能获得的服务项目数量；对此服务单位不得向采购人追讨任何费用。</w:t>
      </w:r>
    </w:p>
    <w:bookmarkEnd w:id="196"/>
    <w:p>
      <w:pPr>
        <w:spacing w:after="0" w:line="360" w:lineRule="auto"/>
        <w:rPr>
          <w:rFonts w:ascii="宋体" w:hAnsi="宋体" w:eastAsia="宋体" w:cs="Times New Roman"/>
          <w:b/>
          <w:bCs/>
          <w:color w:val="auto"/>
          <w:sz w:val="21"/>
          <w:szCs w:val="21"/>
          <w:highlight w:val="none"/>
        </w:rPr>
      </w:pPr>
      <w:bookmarkStart w:id="197" w:name="_Toc13112"/>
      <w:bookmarkStart w:id="198" w:name="_Toc24679"/>
      <w:bookmarkStart w:id="199" w:name="_Toc14462"/>
      <w:bookmarkStart w:id="200" w:name="_Toc31278"/>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97"/>
      <w:bookmarkEnd w:id="198"/>
      <w:bookmarkEnd w:id="199"/>
      <w:bookmarkEnd w:id="200"/>
      <w:bookmarkStart w:id="201" w:name="_Toc21448"/>
      <w:bookmarkStart w:id="202" w:name="_Toc12485"/>
    </w:p>
    <w:p>
      <w:pPr>
        <w:pStyle w:val="2"/>
        <w:rPr>
          <w:rFonts w:hint="eastAsia" w:ascii="宋体" w:hAnsi="宋体" w:eastAsia="宋体" w:cs="Times New Roman"/>
          <w:b/>
          <w:bCs/>
          <w:color w:val="auto"/>
          <w:sz w:val="21"/>
          <w:szCs w:val="21"/>
          <w:highlight w:val="none"/>
        </w:rPr>
      </w:pPr>
    </w:p>
    <w:p>
      <w:pPr>
        <w:rPr>
          <w:rFonts w:hint="eastAsia" w:ascii="宋体" w:hAnsi="宋体" w:eastAsia="宋体" w:cs="Times New Roman"/>
          <w:b/>
          <w:bCs/>
          <w:color w:val="auto"/>
          <w:sz w:val="21"/>
          <w:szCs w:val="21"/>
          <w:highlight w:val="none"/>
        </w:rPr>
      </w:pPr>
    </w:p>
    <w:p>
      <w:pPr>
        <w:pStyle w:val="2"/>
        <w:rPr>
          <w:rFonts w:hint="eastAsia"/>
          <w:color w:val="auto"/>
          <w:highlight w:val="none"/>
        </w:rPr>
      </w:pPr>
    </w:p>
    <w:p>
      <w:pPr>
        <w:pStyle w:val="4"/>
        <w:spacing w:before="0" w:after="0" w:line="240" w:lineRule="auto"/>
        <w:rPr>
          <w:color w:val="auto"/>
          <w:sz w:val="28"/>
          <w:szCs w:val="28"/>
          <w:highlight w:val="none"/>
        </w:rPr>
      </w:pPr>
      <w:bookmarkStart w:id="203"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1"/>
      <w:bookmarkEnd w:id="202"/>
      <w:bookmarkEnd w:id="203"/>
      <w:bookmarkStart w:id="204" w:name="_Toc13430"/>
      <w:bookmarkStart w:id="205" w:name="_Toc1534"/>
      <w:bookmarkStart w:id="206" w:name="_Toc21155"/>
    </w:p>
    <w:p>
      <w:pPr>
        <w:pStyle w:val="5"/>
        <w:spacing w:before="0" w:after="0" w:line="240" w:lineRule="auto"/>
        <w:jc w:val="center"/>
        <w:rPr>
          <w:rFonts w:ascii="宋体" w:hAnsi="宋体" w:eastAsia="宋体" w:cs="宋体"/>
          <w:color w:val="auto"/>
          <w:highlight w:val="none"/>
        </w:rPr>
      </w:pPr>
      <w:bookmarkStart w:id="207" w:name="_Toc16730"/>
      <w:bookmarkStart w:id="208" w:name="_Toc8880"/>
      <w:bookmarkStart w:id="209" w:name="_Toc19575"/>
      <w:r>
        <w:rPr>
          <w:rFonts w:hint="eastAsia" w:ascii="宋体" w:hAnsi="宋体" w:eastAsia="宋体" w:cs="宋体"/>
          <w:color w:val="auto"/>
          <w:highlight w:val="none"/>
        </w:rPr>
        <w:t>合同格式</w:t>
      </w:r>
      <w:bookmarkEnd w:id="204"/>
      <w:bookmarkEnd w:id="205"/>
      <w:bookmarkEnd w:id="206"/>
      <w:bookmarkEnd w:id="207"/>
      <w:bookmarkEnd w:id="208"/>
      <w:bookmarkEnd w:id="209"/>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210"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10"/>
    <w:p>
      <w:pPr>
        <w:spacing w:after="0" w:line="360" w:lineRule="auto"/>
        <w:ind w:firstLine="422" w:firstLineChars="200"/>
        <w:rPr>
          <w:rFonts w:ascii="宋体" w:hAnsi="宋体" w:eastAsia="宋体"/>
          <w:b/>
          <w:color w:val="auto"/>
          <w:sz w:val="21"/>
          <w:szCs w:val="21"/>
          <w:highlight w:val="none"/>
        </w:rPr>
      </w:pPr>
      <w:bookmarkStart w:id="211"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12" w:name="_Toc86481569"/>
      <w:r>
        <w:rPr>
          <w:rFonts w:hint="eastAsia" w:ascii="宋体" w:hAnsi="宋体" w:eastAsia="宋体"/>
          <w:b/>
          <w:color w:val="auto"/>
          <w:sz w:val="21"/>
          <w:szCs w:val="21"/>
          <w:highlight w:val="none"/>
        </w:rPr>
        <w:t>第十二条 合同生效</w:t>
      </w:r>
      <w:bookmarkEnd w:id="212"/>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11"/>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13" w:name="_Toc1478"/>
      <w:bookmarkStart w:id="214" w:name="_Toc23749"/>
      <w:bookmarkStart w:id="215"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13"/>
      <w:bookmarkEnd w:id="214"/>
      <w:bookmarkEnd w:id="215"/>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5794"/>
      <w:bookmarkStart w:id="217" w:name="_Toc6790"/>
      <w:bookmarkStart w:id="218" w:name="_Toc26830"/>
      <w:r>
        <w:rPr>
          <w:rFonts w:hint="eastAsia"/>
          <w:color w:val="auto"/>
          <w:highlight w:val="none"/>
        </w:rPr>
        <w:t>投标文件目录</w:t>
      </w:r>
      <w:bookmarkEnd w:id="216"/>
      <w:bookmarkEnd w:id="217"/>
      <w:bookmarkEnd w:id="218"/>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9" w:name="_Toc25502"/>
      <w:bookmarkStart w:id="220" w:name="_Toc5670"/>
      <w:bookmarkStart w:id="221" w:name="_Toc18893"/>
      <w:bookmarkStart w:id="222" w:name="_Toc22080"/>
      <w:bookmarkStart w:id="223" w:name="_Toc8194"/>
      <w:bookmarkStart w:id="224" w:name="_Toc30640"/>
      <w:r>
        <w:rPr>
          <w:rFonts w:hint="eastAsia"/>
          <w:color w:val="auto"/>
          <w:highlight w:val="none"/>
        </w:rPr>
        <w:t>评分标准索引表</w:t>
      </w:r>
      <w:bookmarkEnd w:id="219"/>
      <w:bookmarkEnd w:id="220"/>
      <w:bookmarkEnd w:id="221"/>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4"/>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r>
        <w:rPr>
          <w:rFonts w:hint="eastAsia"/>
          <w:color w:val="auto"/>
          <w:highlight w:val="none"/>
          <w:lang w:val="en-US" w:eastAsia="zh-CN"/>
        </w:rPr>
        <w:t>第一章价格文件</w:t>
      </w:r>
      <w:bookmarkEnd w:id="222"/>
      <w:bookmarkEnd w:id="22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9750"/>
      <w:bookmarkStart w:id="226" w:name="_Toc4168"/>
      <w:r>
        <w:rPr>
          <w:rFonts w:hint="eastAsia"/>
          <w:color w:val="auto"/>
          <w:highlight w:val="none"/>
          <w:lang w:val="en-US" w:eastAsia="zh-CN"/>
        </w:rPr>
        <w:t>一、唱标一览表</w:t>
      </w:r>
      <w:bookmarkEnd w:id="225"/>
      <w:bookmarkEnd w:id="226"/>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31172"/>
      <w:bookmarkStart w:id="228" w:name="_Toc31062"/>
      <w:r>
        <w:rPr>
          <w:rFonts w:hint="eastAsia"/>
          <w:color w:val="auto"/>
          <w:highlight w:val="none"/>
          <w:lang w:val="en-US" w:eastAsia="zh-CN"/>
        </w:rPr>
        <w:t>二、报价明细表</w:t>
      </w:r>
      <w:bookmarkEnd w:id="227"/>
      <w:bookmarkEnd w:id="228"/>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20974"/>
      <w:bookmarkStart w:id="230" w:name="_Toc23355"/>
      <w:r>
        <w:rPr>
          <w:rFonts w:hint="eastAsia"/>
          <w:color w:val="auto"/>
          <w:highlight w:val="none"/>
          <w:lang w:val="en-US" w:eastAsia="zh-CN"/>
        </w:rPr>
        <w:t>三、小型或微型企业（货物/服务/承担的工程）明细表</w:t>
      </w:r>
      <w:bookmarkEnd w:id="229"/>
      <w:bookmarkEnd w:id="23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13970"/>
      <w:bookmarkStart w:id="232" w:name="_Toc16718"/>
      <w:r>
        <w:rPr>
          <w:rFonts w:hint="eastAsia"/>
          <w:color w:val="auto"/>
          <w:highlight w:val="none"/>
          <w:lang w:val="en-US" w:eastAsia="zh-CN"/>
        </w:rPr>
        <w:t>四、节能产品或环境标志产品明细表</w:t>
      </w:r>
      <w:bookmarkEnd w:id="231"/>
      <w:bookmarkEnd w:id="23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3" w:name="_Toc17482"/>
      <w:bookmarkStart w:id="234" w:name="_Toc10853"/>
      <w:r>
        <w:rPr>
          <w:rFonts w:hint="eastAsia"/>
          <w:color w:val="auto"/>
          <w:highlight w:val="none"/>
          <w:lang w:val="en-US" w:eastAsia="zh-CN"/>
        </w:rPr>
        <w:t>五、中小企业声明函</w:t>
      </w:r>
      <w:bookmarkEnd w:id="233"/>
      <w:bookmarkEnd w:id="234"/>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8560"/>
      <w:bookmarkStart w:id="236" w:name="_Toc7959"/>
      <w:r>
        <w:rPr>
          <w:rFonts w:hint="eastAsia"/>
          <w:color w:val="auto"/>
          <w:highlight w:val="none"/>
          <w:lang w:val="en-US" w:eastAsia="zh-CN"/>
        </w:rPr>
        <w:t>六、残疾人福利性单位声明函</w:t>
      </w:r>
      <w:bookmarkEnd w:id="235"/>
      <w:bookmarkEnd w:id="236"/>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7" w:name="_Toc22970"/>
      <w:bookmarkStart w:id="238" w:name="_Toc30277"/>
      <w:bookmarkStart w:id="239" w:name="_Toc30247"/>
      <w:bookmarkStart w:id="240" w:name="_Toc508898066"/>
      <w:bookmarkStart w:id="241" w:name="_Toc509844825"/>
      <w:bookmarkStart w:id="242" w:name="_Toc20910"/>
      <w:bookmarkStart w:id="243" w:name="_Toc509479530"/>
      <w:bookmarkStart w:id="244" w:name="_Toc510171693"/>
      <w:bookmarkStart w:id="245" w:name="_Toc508960153"/>
      <w:bookmarkStart w:id="246" w:name="_Toc508958703"/>
      <w:bookmarkStart w:id="247" w:name="_Toc509927455"/>
      <w:bookmarkStart w:id="248" w:name="_Toc1776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7"/>
      <w:bookmarkEnd w:id="238"/>
      <w:bookmarkEnd w:id="239"/>
      <w:bookmarkEnd w:id="240"/>
      <w:bookmarkEnd w:id="241"/>
      <w:bookmarkEnd w:id="242"/>
      <w:bookmarkEnd w:id="243"/>
      <w:bookmarkEnd w:id="244"/>
      <w:bookmarkEnd w:id="245"/>
      <w:bookmarkEnd w:id="246"/>
      <w:bookmarkEnd w:id="247"/>
      <w:bookmarkEnd w:id="248"/>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9" w:name="_Toc5447"/>
      <w:bookmarkStart w:id="250" w:name="_Toc28527"/>
      <w:bookmarkStart w:id="251" w:name="_Toc31520"/>
      <w:bookmarkStart w:id="252" w:name="_Toc510171694"/>
      <w:bookmarkStart w:id="253" w:name="_Toc509927456"/>
      <w:bookmarkStart w:id="254" w:name="_Toc508960154"/>
      <w:bookmarkStart w:id="255" w:name="_Toc508898067"/>
      <w:bookmarkStart w:id="256" w:name="_Toc509844826"/>
      <w:bookmarkStart w:id="257" w:name="_Toc21053"/>
      <w:bookmarkStart w:id="258" w:name="_Toc508958704"/>
      <w:bookmarkStart w:id="259" w:name="_Toc509479531"/>
      <w:bookmarkStart w:id="260" w:name="_Toc2621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9"/>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1" w:name="_Toc509844827"/>
      <w:bookmarkStart w:id="262" w:name="_Toc14653"/>
      <w:bookmarkStart w:id="263" w:name="_Toc509479532"/>
      <w:bookmarkStart w:id="264" w:name="_Toc9148"/>
      <w:bookmarkStart w:id="265" w:name="_Toc24848"/>
      <w:bookmarkStart w:id="266" w:name="_Toc510171695"/>
      <w:bookmarkStart w:id="267" w:name="_Toc509927457"/>
      <w:bookmarkStart w:id="268" w:name="_Toc508898068"/>
      <w:bookmarkStart w:id="269" w:name="_Toc28626"/>
      <w:bookmarkStart w:id="270" w:name="_Toc28126"/>
      <w:bookmarkStart w:id="271" w:name="_Toc508958705"/>
      <w:bookmarkStart w:id="272" w:name="_Toc508960155"/>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61"/>
      <w:bookmarkEnd w:id="262"/>
      <w:bookmarkEnd w:id="263"/>
      <w:bookmarkEnd w:id="264"/>
      <w:bookmarkEnd w:id="265"/>
      <w:bookmarkEnd w:id="266"/>
      <w:bookmarkEnd w:id="267"/>
      <w:bookmarkEnd w:id="268"/>
      <w:bookmarkEnd w:id="269"/>
      <w:bookmarkEnd w:id="270"/>
      <w:bookmarkEnd w:id="271"/>
      <w:bookmarkEnd w:id="27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3" w:name="_Toc508898069"/>
      <w:bookmarkStart w:id="274" w:name="_Toc509479533"/>
      <w:bookmarkStart w:id="275" w:name="_Toc510171696"/>
      <w:bookmarkStart w:id="276" w:name="_Toc508960156"/>
      <w:bookmarkStart w:id="277" w:name="_Toc28686"/>
      <w:bookmarkStart w:id="278" w:name="_Toc7858"/>
      <w:bookmarkStart w:id="279" w:name="_Toc22981"/>
      <w:bookmarkStart w:id="280" w:name="_Toc9837"/>
      <w:bookmarkStart w:id="281" w:name="_Toc28044"/>
      <w:bookmarkStart w:id="282" w:name="_Toc509927458"/>
      <w:bookmarkStart w:id="283" w:name="_Toc508958706"/>
      <w:bookmarkStart w:id="284" w:name="_Toc509844828"/>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73"/>
      <w:bookmarkEnd w:id="274"/>
      <w:bookmarkEnd w:id="275"/>
      <w:bookmarkEnd w:id="276"/>
      <w:bookmarkEnd w:id="277"/>
      <w:bookmarkEnd w:id="278"/>
      <w:bookmarkEnd w:id="279"/>
      <w:bookmarkEnd w:id="280"/>
      <w:bookmarkEnd w:id="281"/>
      <w:bookmarkEnd w:id="282"/>
      <w:bookmarkEnd w:id="283"/>
      <w:bookmarkEnd w:id="28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5" w:name="_Toc508960157"/>
      <w:bookmarkStart w:id="286" w:name="_Toc509927459"/>
      <w:bookmarkStart w:id="287" w:name="_Toc18843"/>
      <w:bookmarkStart w:id="288" w:name="_Toc508958707"/>
      <w:bookmarkStart w:id="289" w:name="_Toc5289"/>
      <w:bookmarkStart w:id="290" w:name="_Toc510171697"/>
      <w:bookmarkStart w:id="291" w:name="_Toc509479534"/>
      <w:bookmarkStart w:id="292" w:name="_Toc508898070"/>
      <w:bookmarkStart w:id="293" w:name="_Toc50984482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5"/>
      <w:bookmarkEnd w:id="286"/>
      <w:bookmarkEnd w:id="287"/>
      <w:bookmarkEnd w:id="288"/>
      <w:bookmarkEnd w:id="289"/>
      <w:bookmarkEnd w:id="290"/>
      <w:bookmarkEnd w:id="291"/>
      <w:bookmarkEnd w:id="292"/>
      <w:bookmarkEnd w:id="293"/>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4" w:name="_Toc23948"/>
      <w:bookmarkStart w:id="295" w:name="_Toc6471"/>
      <w:r>
        <w:rPr>
          <w:rFonts w:hint="eastAsia"/>
          <w:color w:val="auto"/>
          <w:highlight w:val="none"/>
          <w:lang w:val="en-US" w:eastAsia="zh-CN"/>
        </w:rPr>
        <w:t>第二章商务文件</w:t>
      </w:r>
      <w:bookmarkEnd w:id="294"/>
      <w:bookmarkEnd w:id="295"/>
    </w:p>
    <w:bookmarkEnd w:id="224"/>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6" w:name="_Toc1952"/>
      <w:bookmarkStart w:id="297" w:name="_Toc23787"/>
      <w:r>
        <w:rPr>
          <w:rFonts w:hint="eastAsia"/>
          <w:color w:val="auto"/>
          <w:highlight w:val="none"/>
          <w:lang w:val="en-US" w:eastAsia="zh-CN"/>
        </w:rPr>
        <w:t>一、投标函</w:t>
      </w:r>
      <w:bookmarkEnd w:id="296"/>
      <w:bookmarkEnd w:id="297"/>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28616"/>
      <w:bookmarkStart w:id="299" w:name="_Toc15719"/>
      <w:r>
        <w:rPr>
          <w:rFonts w:hint="eastAsia"/>
          <w:color w:val="auto"/>
          <w:highlight w:val="none"/>
          <w:lang w:val="en-US" w:eastAsia="zh-CN"/>
        </w:rPr>
        <w:t>二、资格申明函</w:t>
      </w:r>
      <w:bookmarkEnd w:id="298"/>
      <w:bookmarkEnd w:id="29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300"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21273"/>
      <w:bookmarkStart w:id="302" w:name="_Toc32742"/>
      <w:r>
        <w:rPr>
          <w:rFonts w:hint="eastAsia"/>
          <w:color w:val="auto"/>
          <w:highlight w:val="none"/>
          <w:lang w:val="en-US" w:eastAsia="zh-CN"/>
        </w:rPr>
        <w:t>三、在参与政府采购活动前三年未有重大违法记录、没有不良信用记录的声明函</w:t>
      </w:r>
      <w:bookmarkEnd w:id="301"/>
      <w:bookmarkEnd w:id="302"/>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0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3" w:name="_Toc3894"/>
      <w:bookmarkStart w:id="304" w:name="_Toc13243"/>
      <w:r>
        <w:rPr>
          <w:rFonts w:hint="eastAsia"/>
          <w:color w:val="auto"/>
          <w:highlight w:val="none"/>
          <w:lang w:val="en-US" w:eastAsia="zh-CN"/>
        </w:rPr>
        <w:t>四、法定代表人证明书</w:t>
      </w:r>
      <w:bookmarkEnd w:id="303"/>
      <w:bookmarkEnd w:id="304"/>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5" w:name="_Toc5918"/>
      <w:bookmarkStart w:id="306" w:name="_Toc5626"/>
      <w:r>
        <w:rPr>
          <w:rFonts w:hint="eastAsia"/>
          <w:color w:val="auto"/>
          <w:highlight w:val="none"/>
          <w:lang w:val="en-US" w:eastAsia="zh-CN"/>
        </w:rPr>
        <w:t>五、法定代表人授权书</w:t>
      </w:r>
      <w:bookmarkEnd w:id="305"/>
      <w:bookmarkEnd w:id="306"/>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8" w:name="_Toc18562"/>
      <w:bookmarkStart w:id="309" w:name="_Toc24013"/>
      <w:r>
        <w:rPr>
          <w:rFonts w:hint="eastAsia"/>
          <w:color w:val="auto"/>
          <w:highlight w:val="none"/>
          <w:lang w:val="en-US" w:eastAsia="zh-CN"/>
        </w:rPr>
        <w:t>六、投标人基本情况说明</w:t>
      </w:r>
      <w:bookmarkEnd w:id="308"/>
      <w:bookmarkEnd w:id="30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10" w:name="_Toc24210"/>
      <w:bookmarkStart w:id="311" w:name="_Toc5919"/>
      <w:bookmarkStart w:id="312" w:name="_Toc1511"/>
      <w:bookmarkStart w:id="313" w:name="_Toc4926"/>
      <w:bookmarkStart w:id="314" w:name="_Toc17470"/>
      <w:bookmarkStart w:id="315" w:name="_Toc29995"/>
      <w:bookmarkStart w:id="316" w:name="_Toc28067"/>
      <w:r>
        <w:rPr>
          <w:rFonts w:hint="eastAsia"/>
          <w:color w:val="auto"/>
          <w:highlight w:val="none"/>
          <w:lang w:val="en-US" w:eastAsia="zh-CN"/>
        </w:rPr>
        <w:t>七、</w:t>
      </w:r>
      <w:r>
        <w:rPr>
          <w:rFonts w:hint="eastAsia"/>
          <w:color w:val="auto"/>
          <w:highlight w:val="none"/>
        </w:rPr>
        <w:t>营业执照</w:t>
      </w:r>
      <w:bookmarkEnd w:id="310"/>
      <w:bookmarkEnd w:id="311"/>
      <w:bookmarkEnd w:id="312"/>
      <w:bookmarkEnd w:id="313"/>
      <w:bookmarkEnd w:id="314"/>
      <w:bookmarkEnd w:id="315"/>
      <w:bookmarkEnd w:id="31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7"/>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7" w:name="_Toc29439"/>
      <w:bookmarkStart w:id="318" w:name="_Toc21638"/>
      <w:r>
        <w:rPr>
          <w:rFonts w:hint="eastAsia"/>
          <w:color w:val="auto"/>
          <w:highlight w:val="none"/>
          <w:lang w:val="en-US" w:eastAsia="zh-CN"/>
        </w:rPr>
        <w:t>八、</w:t>
      </w:r>
      <w:r>
        <w:rPr>
          <w:rFonts w:hint="eastAsia"/>
          <w:color w:val="auto"/>
          <w:highlight w:val="none"/>
        </w:rPr>
        <w:t>特殊资格要求证明文件</w:t>
      </w:r>
      <w:bookmarkEnd w:id="317"/>
      <w:bookmarkEnd w:id="31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23341"/>
      <w:bookmarkStart w:id="320" w:name="_Toc14263"/>
      <w:r>
        <w:rPr>
          <w:rFonts w:hint="eastAsia"/>
          <w:color w:val="auto"/>
          <w:highlight w:val="none"/>
          <w:lang w:val="en-US" w:eastAsia="zh-CN"/>
        </w:rPr>
        <w:t>九、</w:t>
      </w:r>
      <w:r>
        <w:rPr>
          <w:rFonts w:hint="eastAsia"/>
          <w:color w:val="auto"/>
          <w:highlight w:val="none"/>
        </w:rPr>
        <w:t>承诺书</w:t>
      </w:r>
      <w:bookmarkEnd w:id="319"/>
      <w:bookmarkEnd w:id="320"/>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2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21"/>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2" w:name="_Toc13955"/>
      <w:bookmarkStart w:id="323" w:name="_Toc13653"/>
      <w:r>
        <w:rPr>
          <w:rFonts w:hint="eastAsia"/>
          <w:color w:val="auto"/>
          <w:highlight w:val="none"/>
          <w:lang w:val="en-US" w:eastAsia="zh-CN"/>
        </w:rPr>
        <w:t>十、招标代理服务费承诺书</w:t>
      </w:r>
      <w:bookmarkEnd w:id="322"/>
      <w:bookmarkEnd w:id="323"/>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1975"/>
      <w:bookmarkStart w:id="325" w:name="_Toc12598"/>
      <w:r>
        <w:rPr>
          <w:rFonts w:hint="eastAsia"/>
          <w:color w:val="auto"/>
          <w:highlight w:val="none"/>
          <w:lang w:val="en-US" w:eastAsia="zh-CN"/>
        </w:rPr>
        <w:t>十一、</w:t>
      </w:r>
      <w:r>
        <w:rPr>
          <w:rFonts w:hint="eastAsia"/>
          <w:color w:val="auto"/>
          <w:highlight w:val="none"/>
        </w:rPr>
        <w:t>商务条款偏离表</w:t>
      </w:r>
      <w:bookmarkEnd w:id="324"/>
      <w:bookmarkEnd w:id="32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6"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25391"/>
      <w:bookmarkStart w:id="328" w:name="_Toc19276"/>
      <w:r>
        <w:rPr>
          <w:rFonts w:hint="eastAsia"/>
          <w:color w:val="auto"/>
          <w:highlight w:val="none"/>
          <w:lang w:val="en-US" w:eastAsia="zh-CN"/>
        </w:rPr>
        <w:t>十二、</w:t>
      </w:r>
      <w:r>
        <w:rPr>
          <w:rFonts w:hint="eastAsia"/>
          <w:color w:val="auto"/>
          <w:highlight w:val="none"/>
        </w:rPr>
        <w:t>业绩表</w:t>
      </w:r>
      <w:bookmarkEnd w:id="327"/>
      <w:bookmarkEnd w:id="32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9" w:name="_Toc14688"/>
      <w:bookmarkStart w:id="330" w:name="_Toc20520"/>
      <w:r>
        <w:rPr>
          <w:rFonts w:hint="eastAsia"/>
          <w:color w:val="auto"/>
          <w:highlight w:val="none"/>
          <w:lang w:val="en-US" w:eastAsia="zh-CN"/>
        </w:rPr>
        <w:t>第三章技术文件</w:t>
      </w:r>
      <w:bookmarkEnd w:id="326"/>
      <w:bookmarkEnd w:id="329"/>
      <w:bookmarkEnd w:id="33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1" w:name="_Toc13097"/>
      <w:bookmarkStart w:id="332" w:name="_Toc7092"/>
      <w:r>
        <w:rPr>
          <w:rFonts w:hint="eastAsia"/>
          <w:color w:val="auto"/>
          <w:highlight w:val="none"/>
          <w:lang w:val="en-US" w:eastAsia="zh-CN"/>
        </w:rPr>
        <w:t>一、</w:t>
      </w:r>
      <w:r>
        <w:rPr>
          <w:rFonts w:hint="eastAsia"/>
          <w:color w:val="auto"/>
          <w:highlight w:val="none"/>
        </w:rPr>
        <w:t>技术规格偏离表</w:t>
      </w:r>
      <w:bookmarkEnd w:id="331"/>
      <w:bookmarkEnd w:id="33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3" w:name="_Toc17691"/>
      <w:r>
        <w:rPr>
          <w:rFonts w:hint="eastAsia" w:ascii="宋体" w:hAnsi="宋体" w:eastAsia="宋体"/>
          <w:color w:val="auto"/>
          <w:sz w:val="21"/>
          <w:szCs w:val="21"/>
          <w:highlight w:val="none"/>
        </w:rPr>
        <w:br w:type="page"/>
      </w:r>
      <w:bookmarkEnd w:id="333"/>
      <w:bookmarkStart w:id="334" w:name="_Toc4464"/>
      <w:bookmarkStart w:id="335" w:name="_Toc4827"/>
      <w:bookmarkStart w:id="336" w:name="_Toc1274"/>
      <w:bookmarkStart w:id="337" w:name="_Toc26078"/>
      <w:bookmarkStart w:id="338" w:name="_Toc6080"/>
      <w:bookmarkStart w:id="339" w:name="_Toc1866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0" w:name="_Toc10734"/>
      <w:bookmarkStart w:id="341" w:name="_Toc13461"/>
      <w:r>
        <w:rPr>
          <w:rFonts w:hint="eastAsia"/>
          <w:color w:val="auto"/>
          <w:highlight w:val="none"/>
          <w:lang w:val="en-US" w:eastAsia="zh-CN"/>
        </w:rPr>
        <w:t>二、</w:t>
      </w:r>
      <w:r>
        <w:rPr>
          <w:rFonts w:hint="eastAsia"/>
          <w:color w:val="auto"/>
          <w:highlight w:val="none"/>
        </w:rPr>
        <w:t>重要技术参数（▲）响应表</w:t>
      </w:r>
      <w:bookmarkEnd w:id="334"/>
      <w:bookmarkEnd w:id="335"/>
      <w:bookmarkEnd w:id="336"/>
      <w:bookmarkEnd w:id="337"/>
      <w:bookmarkEnd w:id="338"/>
      <w:bookmarkEnd w:id="339"/>
      <w:bookmarkEnd w:id="340"/>
      <w:bookmarkEnd w:id="34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42" w:name="_Toc29642"/>
            <w:bookmarkStart w:id="343" w:name="_Toc29560"/>
            <w:bookmarkStart w:id="344" w:name="_Toc27079"/>
            <w:r>
              <w:rPr>
                <w:rFonts w:hint="eastAsia" w:ascii="宋体" w:hAnsi="宋体" w:eastAsia="宋体" w:cs="宋体"/>
                <w:b w:val="0"/>
                <w:bCs w:val="0"/>
                <w:color w:val="auto"/>
                <w:sz w:val="21"/>
                <w:szCs w:val="21"/>
                <w:highlight w:val="none"/>
                <w:lang w:val="en-US" w:eastAsia="zh-CN"/>
              </w:rPr>
              <w:t>序号</w:t>
            </w:r>
            <w:bookmarkEnd w:id="342"/>
            <w:bookmarkEnd w:id="343"/>
            <w:bookmarkEnd w:id="344"/>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5" w:name="_Toc22448"/>
            <w:bookmarkStart w:id="346" w:name="_Toc15368"/>
            <w:bookmarkStart w:id="347" w:name="_Toc4304"/>
            <w:bookmarkStart w:id="348" w:name="_Toc21739"/>
            <w:bookmarkStart w:id="349" w:name="_Toc14815"/>
            <w:bookmarkStart w:id="350" w:name="_Toc1016"/>
            <w:bookmarkStart w:id="351" w:name="_Toc27090"/>
            <w:bookmarkStart w:id="352" w:name="_Toc10045"/>
            <w:bookmarkStart w:id="353" w:name="_Toc26124"/>
            <w:bookmarkStart w:id="354" w:name="_Toc2700"/>
            <w:bookmarkStart w:id="355" w:name="_Toc16872"/>
            <w:bookmarkStart w:id="356" w:name="_Toc15903"/>
            <w:bookmarkStart w:id="357" w:name="_Toc12049"/>
            <w:bookmarkStart w:id="358" w:name="_Toc22917"/>
            <w:bookmarkStart w:id="359" w:name="_Toc27442"/>
            <w:bookmarkStart w:id="360" w:name="_Toc24662"/>
            <w:bookmarkStart w:id="361" w:name="_Toc21809"/>
            <w:bookmarkStart w:id="362" w:name="_Toc8490"/>
            <w:bookmarkStart w:id="363" w:name="_Toc8312"/>
            <w:bookmarkStart w:id="364" w:name="_Toc19251"/>
            <w:bookmarkStart w:id="365" w:name="_Toc22879"/>
            <w:bookmarkStart w:id="366" w:name="_Toc32531"/>
            <w:bookmarkStart w:id="367" w:name="_Toc7333"/>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5"/>
            <w:bookmarkEnd w:id="346"/>
            <w:bookmarkEnd w:id="347"/>
            <w:bookmarkEnd w:id="348"/>
            <w:bookmarkEnd w:id="349"/>
            <w:bookmarkEnd w:id="350"/>
            <w:bookmarkEnd w:id="351"/>
            <w:bookmarkEnd w:id="352"/>
            <w:bookmarkEnd w:id="353"/>
            <w:bookmarkEnd w:id="354"/>
            <w:bookmarkEnd w:id="355"/>
            <w:bookmarkEnd w:id="356"/>
            <w:bookmarkEnd w:id="357"/>
          </w:p>
          <w:bookmarkEnd w:id="358"/>
          <w:bookmarkEnd w:id="359"/>
          <w:bookmarkEnd w:id="360"/>
          <w:bookmarkEnd w:id="361"/>
          <w:bookmarkEnd w:id="362"/>
          <w:bookmarkEnd w:id="363"/>
          <w:bookmarkEnd w:id="364"/>
          <w:bookmarkEnd w:id="365"/>
          <w:bookmarkEnd w:id="366"/>
          <w:bookmarkEnd w:id="367"/>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8" w:name="_Toc10122"/>
            <w:bookmarkStart w:id="369" w:name="_Toc22153"/>
            <w:bookmarkStart w:id="370" w:name="_Toc2408"/>
            <w:r>
              <w:rPr>
                <w:rFonts w:hint="eastAsia" w:ascii="宋体" w:hAnsi="宋体" w:eastAsia="宋体" w:cs="宋体"/>
                <w:b w:val="0"/>
                <w:bCs w:val="0"/>
                <w:color w:val="auto"/>
                <w:kern w:val="0"/>
                <w:sz w:val="21"/>
                <w:szCs w:val="21"/>
                <w:highlight w:val="none"/>
              </w:rPr>
              <w:t>投标文件响应内容</w:t>
            </w:r>
            <w:bookmarkEnd w:id="368"/>
            <w:bookmarkEnd w:id="369"/>
            <w:bookmarkEnd w:id="370"/>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27285"/>
            <w:bookmarkStart w:id="372" w:name="_Toc29838"/>
            <w:bookmarkStart w:id="373" w:name="_Toc16003"/>
            <w:bookmarkStart w:id="374" w:name="_Toc20820"/>
            <w:bookmarkStart w:id="375" w:name="_Toc1330"/>
            <w:bookmarkStart w:id="376" w:name="_Toc17296"/>
            <w:bookmarkStart w:id="377" w:name="_Toc5563"/>
            <w:bookmarkStart w:id="378" w:name="_Toc20139"/>
            <w:bookmarkStart w:id="379" w:name="_Toc3701"/>
            <w:bookmarkStart w:id="380" w:name="_Toc17642"/>
            <w:bookmarkStart w:id="381" w:name="_Toc1912"/>
            <w:bookmarkStart w:id="382" w:name="_Toc27185"/>
            <w:bookmarkStart w:id="383" w:name="_Toc5992"/>
            <w:r>
              <w:rPr>
                <w:rFonts w:hint="eastAsia" w:ascii="宋体" w:hAnsi="宋体" w:eastAsia="宋体" w:cs="宋体"/>
                <w:b w:val="0"/>
                <w:bCs w:val="0"/>
                <w:color w:val="auto"/>
                <w:sz w:val="21"/>
                <w:szCs w:val="21"/>
                <w:highlight w:val="none"/>
                <w:lang w:val="en-US" w:eastAsia="zh-CN"/>
              </w:rPr>
              <w:t>说明</w:t>
            </w:r>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520"/>
            <w:bookmarkStart w:id="385" w:name="_Toc19105"/>
            <w:bookmarkStart w:id="386" w:name="_Toc857"/>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6"/>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7" w:name="_Toc27139"/>
      <w:bookmarkStart w:id="388" w:name="_Toc19349"/>
      <w:r>
        <w:rPr>
          <w:rFonts w:hint="eastAsia"/>
          <w:color w:val="auto"/>
          <w:highlight w:val="none"/>
          <w:lang w:val="en-US" w:eastAsia="zh-CN"/>
        </w:rPr>
        <w:t>三、</w:t>
      </w:r>
      <w:r>
        <w:rPr>
          <w:rFonts w:hint="eastAsia"/>
          <w:color w:val="auto"/>
          <w:highlight w:val="none"/>
        </w:rPr>
        <w:t>实质性条款（标记★）投标响应表</w:t>
      </w:r>
      <w:bookmarkEnd w:id="38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9"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8"/>
      <w:bookmarkEnd w:id="389"/>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0" w:name="_Toc26880"/>
      <w:bookmarkStart w:id="391" w:name="_Toc16328"/>
      <w:r>
        <w:rPr>
          <w:rFonts w:hint="eastAsia"/>
          <w:color w:val="auto"/>
          <w:highlight w:val="none"/>
          <w:lang w:val="en-US" w:eastAsia="zh-CN"/>
        </w:rPr>
        <w:t>五、项目负责人及团队成员资料表</w:t>
      </w:r>
      <w:bookmarkEnd w:id="390"/>
      <w:bookmarkEnd w:id="391"/>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2" w:name="_Toc15431"/>
      <w:bookmarkStart w:id="393" w:name="_Toc26980"/>
      <w:r>
        <w:rPr>
          <w:rFonts w:hint="eastAsia"/>
          <w:color w:val="auto"/>
          <w:highlight w:val="none"/>
          <w:lang w:val="en-US" w:eastAsia="zh-CN"/>
        </w:rPr>
        <w:t>六、投标货物明细一览表</w:t>
      </w:r>
      <w:bookmarkEnd w:id="392"/>
      <w:bookmarkEnd w:id="393"/>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4" w:name="_Toc16710"/>
      <w:bookmarkStart w:id="395" w:name="_Toc21541"/>
      <w:r>
        <w:rPr>
          <w:rFonts w:hint="eastAsia"/>
          <w:color w:val="auto"/>
          <w:highlight w:val="none"/>
          <w:lang w:val="en-US" w:eastAsia="zh-CN"/>
        </w:rPr>
        <w:t>七、投标保证金汇入情况说明</w:t>
      </w:r>
      <w:bookmarkEnd w:id="394"/>
      <w:bookmarkEnd w:id="395"/>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4545"/>
      <w:bookmarkStart w:id="397" w:name="_Toc26855"/>
      <w:r>
        <w:rPr>
          <w:rFonts w:hint="eastAsia"/>
          <w:color w:val="auto"/>
          <w:highlight w:val="none"/>
          <w:lang w:val="en-US" w:eastAsia="zh-CN"/>
        </w:rPr>
        <w:t>八、政府采购投标担保函</w:t>
      </w:r>
      <w:bookmarkEnd w:id="396"/>
      <w:bookmarkEnd w:id="39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8" w:name="_Toc6961"/>
      <w:r>
        <w:rPr>
          <w:rFonts w:hint="eastAsia"/>
          <w:color w:val="auto"/>
          <w:highlight w:val="none"/>
          <w:lang w:val="en-US" w:eastAsia="zh-CN"/>
        </w:rPr>
        <w:t>九、政府采购履约担保函</w:t>
      </w:r>
      <w:bookmarkEnd w:id="398"/>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6782"/>
      <w:bookmarkStart w:id="400" w:name="_Toc26772"/>
      <w:r>
        <w:rPr>
          <w:rFonts w:hint="eastAsia"/>
          <w:color w:val="auto"/>
          <w:highlight w:val="none"/>
          <w:lang w:val="en-US" w:eastAsia="zh-CN"/>
        </w:rPr>
        <w:t>第四章唱标信封（单独封装）</w:t>
      </w:r>
      <w:bookmarkEnd w:id="399"/>
      <w:bookmarkEnd w:id="400"/>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01"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2" w:name="_Toc22736"/>
      <w:bookmarkStart w:id="403" w:name="_Toc2710"/>
      <w:r>
        <w:rPr>
          <w:rFonts w:hint="eastAsia"/>
          <w:color w:val="auto"/>
          <w:highlight w:val="none"/>
          <w:lang w:val="en-US" w:eastAsia="zh-CN"/>
        </w:rPr>
        <w:t>第五章联合体共同投标协议书（如有需要）</w:t>
      </w:r>
      <w:bookmarkEnd w:id="402"/>
      <w:bookmarkEnd w:id="40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01"/>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8255</wp:posOffset>
          </wp:positionH>
          <wp:positionV relativeFrom="paragraph">
            <wp:posOffset>127000</wp:posOffset>
          </wp:positionV>
          <wp:extent cx="5264150" cy="444500"/>
          <wp:effectExtent l="0" t="0" r="12700"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D20561C"/>
    <w:multiLevelType w:val="singleLevel"/>
    <w:tmpl w:val="AD20561C"/>
    <w:lvl w:ilvl="0" w:tentative="0">
      <w:start w:val="1"/>
      <w:numFmt w:val="chineseCounting"/>
      <w:lvlText w:val="（%1）"/>
      <w:lvlJc w:val="left"/>
      <w:rPr>
        <w:rFonts w:hint="eastAsia"/>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FF6E5B74"/>
    <w:multiLevelType w:val="singleLevel"/>
    <w:tmpl w:val="FF6E5B74"/>
    <w:lvl w:ilvl="0" w:tentative="0">
      <w:start w:val="1"/>
      <w:numFmt w:val="decimal"/>
      <w:suff w:val="nothing"/>
      <w:lvlText w:val="%1．"/>
      <w:lvlJc w:val="left"/>
      <w:pPr>
        <w:ind w:left="0" w:firstLine="400"/>
      </w:pPr>
      <w:rPr>
        <w:rFonts w:hint="default"/>
      </w:rPr>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22532AD9"/>
    <w:multiLevelType w:val="singleLevel"/>
    <w:tmpl w:val="22532AD9"/>
    <w:lvl w:ilvl="0" w:tentative="0">
      <w:start w:val="1"/>
      <w:numFmt w:val="decimal"/>
      <w:lvlText w:val="%1)"/>
      <w:lvlJc w:val="left"/>
      <w:pPr>
        <w:tabs>
          <w:tab w:val="left" w:pos="312"/>
        </w:tabs>
      </w:pPr>
    </w:lvl>
  </w:abstractNum>
  <w:abstractNum w:abstractNumId="11">
    <w:nsid w:val="25AC778E"/>
    <w:multiLevelType w:val="multilevel"/>
    <w:tmpl w:val="25AC778E"/>
    <w:lvl w:ilvl="0" w:tentative="0">
      <w:start w:val="1"/>
      <w:numFmt w:val="japaneseCounting"/>
      <w:lvlText w:val="%1、"/>
      <w:lvlJc w:val="left"/>
      <w:pPr>
        <w:tabs>
          <w:tab w:val="left" w:pos="420"/>
        </w:tabs>
        <w:ind w:left="420" w:hanging="420"/>
      </w:pPr>
      <w:rPr>
        <w:rFonts w:ascii="宋体" w:hAnsi="宋体" w:eastAsia="宋体" w:cs="Courier New"/>
      </w:rPr>
    </w:lvl>
    <w:lvl w:ilvl="1" w:tentative="0">
      <w:start w:val="1"/>
      <w:numFmt w:val="decimal"/>
      <w:lvlText w:val="%2、"/>
      <w:lvlJc w:val="left"/>
      <w:pPr>
        <w:tabs>
          <w:tab w:val="left" w:pos="780"/>
        </w:tabs>
        <w:ind w:left="780" w:hanging="360"/>
      </w:pPr>
      <w:rPr>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16010E5"/>
    <w:multiLevelType w:val="singleLevel"/>
    <w:tmpl w:val="316010E5"/>
    <w:lvl w:ilvl="0" w:tentative="0">
      <w:start w:val="1"/>
      <w:numFmt w:val="decimal"/>
      <w:suff w:val="nothing"/>
      <w:lvlText w:val="%1．"/>
      <w:lvlJc w:val="left"/>
    </w:lvl>
  </w:abstractNum>
  <w:abstractNum w:abstractNumId="13">
    <w:nsid w:val="3B1B8417"/>
    <w:multiLevelType w:val="singleLevel"/>
    <w:tmpl w:val="3B1B8417"/>
    <w:lvl w:ilvl="0" w:tentative="0">
      <w:start w:val="1"/>
      <w:numFmt w:val="decimal"/>
      <w:suff w:val="nothing"/>
      <w:lvlText w:val="%1、"/>
      <w:lvlJc w:val="left"/>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36C59FA"/>
    <w:multiLevelType w:val="singleLevel"/>
    <w:tmpl w:val="636C59FA"/>
    <w:lvl w:ilvl="0" w:tentative="0">
      <w:start w:val="1"/>
      <w:numFmt w:val="decimal"/>
      <w:lvlText w:val="%1)"/>
      <w:lvlJc w:val="left"/>
      <w:pPr>
        <w:tabs>
          <w:tab w:val="left" w:pos="312"/>
        </w:tabs>
      </w:pPr>
    </w:lvl>
  </w:abstractNum>
  <w:abstractNum w:abstractNumId="16">
    <w:nsid w:val="6E5CE7BD"/>
    <w:multiLevelType w:val="singleLevel"/>
    <w:tmpl w:val="6E5CE7BD"/>
    <w:lvl w:ilvl="0" w:tentative="0">
      <w:start w:val="1"/>
      <w:numFmt w:val="chineseCounting"/>
      <w:suff w:val="nothing"/>
      <w:lvlText w:val="%1、"/>
      <w:lvlJc w:val="left"/>
      <w:rPr>
        <w:rFonts w:hint="eastAsia"/>
      </w:rPr>
    </w:lvl>
  </w:abstractNum>
  <w:num w:numId="1">
    <w:abstractNumId w:val="16"/>
  </w:num>
  <w:num w:numId="2">
    <w:abstractNumId w:val="13"/>
  </w:num>
  <w:num w:numId="3">
    <w:abstractNumId w:val="10"/>
  </w:num>
  <w:num w:numId="4">
    <w:abstractNumId w:val="15"/>
  </w:num>
  <w:num w:numId="5">
    <w:abstractNumId w:val="8"/>
  </w:num>
  <w:num w:numId="6">
    <w:abstractNumId w:val="14"/>
  </w:num>
  <w:num w:numId="7">
    <w:abstractNumId w:val="9"/>
  </w:num>
  <w:num w:numId="8">
    <w:abstractNumId w:val="4"/>
  </w:num>
  <w:num w:numId="9">
    <w:abstractNumId w:val="5"/>
  </w:num>
  <w:num w:numId="10">
    <w:abstractNumId w:val="2"/>
  </w:num>
  <w:num w:numId="11">
    <w:abstractNumId w:val="11"/>
  </w:num>
  <w:num w:numId="12">
    <w:abstractNumId w:val="1"/>
  </w:num>
  <w:num w:numId="13">
    <w:abstractNumId w:val="6"/>
  </w:num>
  <w:num w:numId="14">
    <w:abstractNumId w:val="3"/>
  </w:num>
  <w:num w:numId="15">
    <w:abstractNumId w:val="7"/>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0CAF"/>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44F67"/>
    <w:rsid w:val="00F52A5F"/>
    <w:rsid w:val="00F55954"/>
    <w:rsid w:val="00F61962"/>
    <w:rsid w:val="00F62865"/>
    <w:rsid w:val="00F64022"/>
    <w:rsid w:val="00F64660"/>
    <w:rsid w:val="00F97062"/>
    <w:rsid w:val="00F9745D"/>
    <w:rsid w:val="00FC7B53"/>
    <w:rsid w:val="00FD48CC"/>
    <w:rsid w:val="00FE62D1"/>
    <w:rsid w:val="00FF26BF"/>
    <w:rsid w:val="01064C9A"/>
    <w:rsid w:val="018023CE"/>
    <w:rsid w:val="01881AD6"/>
    <w:rsid w:val="01B40242"/>
    <w:rsid w:val="01B938AA"/>
    <w:rsid w:val="01E74B6E"/>
    <w:rsid w:val="02126CDB"/>
    <w:rsid w:val="021832B7"/>
    <w:rsid w:val="024E2E49"/>
    <w:rsid w:val="02A741FD"/>
    <w:rsid w:val="02C16E5D"/>
    <w:rsid w:val="02D934F3"/>
    <w:rsid w:val="02D964CF"/>
    <w:rsid w:val="0340787C"/>
    <w:rsid w:val="03707410"/>
    <w:rsid w:val="037F03E3"/>
    <w:rsid w:val="03A0770F"/>
    <w:rsid w:val="03A27BF9"/>
    <w:rsid w:val="03A448B8"/>
    <w:rsid w:val="03A4578A"/>
    <w:rsid w:val="03AD071E"/>
    <w:rsid w:val="03D10969"/>
    <w:rsid w:val="04DF1036"/>
    <w:rsid w:val="050F6021"/>
    <w:rsid w:val="05A97DEC"/>
    <w:rsid w:val="05C81981"/>
    <w:rsid w:val="061A28B5"/>
    <w:rsid w:val="06441289"/>
    <w:rsid w:val="065A32ED"/>
    <w:rsid w:val="068B73FF"/>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8674D"/>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D33D99"/>
    <w:rsid w:val="0AF47339"/>
    <w:rsid w:val="0B22594B"/>
    <w:rsid w:val="0B797387"/>
    <w:rsid w:val="0B8B2381"/>
    <w:rsid w:val="0BC044BE"/>
    <w:rsid w:val="0BDF26F7"/>
    <w:rsid w:val="0C1A404B"/>
    <w:rsid w:val="0C264099"/>
    <w:rsid w:val="0C2B4952"/>
    <w:rsid w:val="0C7B2220"/>
    <w:rsid w:val="0CB46003"/>
    <w:rsid w:val="0CDE0221"/>
    <w:rsid w:val="0D890E47"/>
    <w:rsid w:val="0DC64A00"/>
    <w:rsid w:val="0DD3314B"/>
    <w:rsid w:val="0DF02C64"/>
    <w:rsid w:val="0DFC60BA"/>
    <w:rsid w:val="0E4249F1"/>
    <w:rsid w:val="0F6C5A53"/>
    <w:rsid w:val="0F7C5FF6"/>
    <w:rsid w:val="0FC63FBD"/>
    <w:rsid w:val="0FF43D48"/>
    <w:rsid w:val="106C564D"/>
    <w:rsid w:val="107B7B8F"/>
    <w:rsid w:val="107C67CE"/>
    <w:rsid w:val="1080523F"/>
    <w:rsid w:val="108F06C9"/>
    <w:rsid w:val="109D68CB"/>
    <w:rsid w:val="10A949B8"/>
    <w:rsid w:val="10C54639"/>
    <w:rsid w:val="11200D07"/>
    <w:rsid w:val="116B78B4"/>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4FE5F5C"/>
    <w:rsid w:val="157D38E3"/>
    <w:rsid w:val="159E2BB6"/>
    <w:rsid w:val="15D359D7"/>
    <w:rsid w:val="15D81E0F"/>
    <w:rsid w:val="15F804D5"/>
    <w:rsid w:val="161771F3"/>
    <w:rsid w:val="16222D6D"/>
    <w:rsid w:val="163C77BE"/>
    <w:rsid w:val="165B546C"/>
    <w:rsid w:val="16632F86"/>
    <w:rsid w:val="1679588C"/>
    <w:rsid w:val="16994962"/>
    <w:rsid w:val="16A71041"/>
    <w:rsid w:val="16AA24BF"/>
    <w:rsid w:val="16F72341"/>
    <w:rsid w:val="17680CAB"/>
    <w:rsid w:val="1768546B"/>
    <w:rsid w:val="176E4128"/>
    <w:rsid w:val="1783371F"/>
    <w:rsid w:val="17E62B67"/>
    <w:rsid w:val="180C0192"/>
    <w:rsid w:val="180F4499"/>
    <w:rsid w:val="18221ECE"/>
    <w:rsid w:val="18C50D34"/>
    <w:rsid w:val="190B7894"/>
    <w:rsid w:val="19457769"/>
    <w:rsid w:val="19A2789F"/>
    <w:rsid w:val="1A460CF5"/>
    <w:rsid w:val="1A7F297D"/>
    <w:rsid w:val="1AB16AC1"/>
    <w:rsid w:val="1B034A52"/>
    <w:rsid w:val="1B1F34AD"/>
    <w:rsid w:val="1B8D5DC6"/>
    <w:rsid w:val="1BFE1D3B"/>
    <w:rsid w:val="1C2775EC"/>
    <w:rsid w:val="1C750ECE"/>
    <w:rsid w:val="1CA22168"/>
    <w:rsid w:val="1D0836D7"/>
    <w:rsid w:val="1D196139"/>
    <w:rsid w:val="1D5645B5"/>
    <w:rsid w:val="1DB85900"/>
    <w:rsid w:val="1DF051AF"/>
    <w:rsid w:val="1E010AF7"/>
    <w:rsid w:val="1E0178EB"/>
    <w:rsid w:val="1E301173"/>
    <w:rsid w:val="1E38333E"/>
    <w:rsid w:val="1E5C7612"/>
    <w:rsid w:val="1EA40BB4"/>
    <w:rsid w:val="1F193D2E"/>
    <w:rsid w:val="1F43381C"/>
    <w:rsid w:val="1F63115D"/>
    <w:rsid w:val="1FA4148D"/>
    <w:rsid w:val="1FF42436"/>
    <w:rsid w:val="20121621"/>
    <w:rsid w:val="201A421D"/>
    <w:rsid w:val="20341172"/>
    <w:rsid w:val="204E554F"/>
    <w:rsid w:val="20590035"/>
    <w:rsid w:val="20C35213"/>
    <w:rsid w:val="20FC799E"/>
    <w:rsid w:val="21ED35E0"/>
    <w:rsid w:val="22154DDD"/>
    <w:rsid w:val="22213E42"/>
    <w:rsid w:val="22336873"/>
    <w:rsid w:val="23175889"/>
    <w:rsid w:val="236C5F11"/>
    <w:rsid w:val="238C2182"/>
    <w:rsid w:val="239015D1"/>
    <w:rsid w:val="23BB4E7D"/>
    <w:rsid w:val="23C172D6"/>
    <w:rsid w:val="23F04F64"/>
    <w:rsid w:val="23FA1E93"/>
    <w:rsid w:val="247D1603"/>
    <w:rsid w:val="24814CBE"/>
    <w:rsid w:val="24AC168B"/>
    <w:rsid w:val="25077D6D"/>
    <w:rsid w:val="258C3BEC"/>
    <w:rsid w:val="25E576CC"/>
    <w:rsid w:val="260E3862"/>
    <w:rsid w:val="262569FC"/>
    <w:rsid w:val="26344C98"/>
    <w:rsid w:val="26F56CE2"/>
    <w:rsid w:val="27435D49"/>
    <w:rsid w:val="27A34F71"/>
    <w:rsid w:val="27B36A67"/>
    <w:rsid w:val="27EB0D9B"/>
    <w:rsid w:val="286602C8"/>
    <w:rsid w:val="28665C95"/>
    <w:rsid w:val="28A64522"/>
    <w:rsid w:val="28B75145"/>
    <w:rsid w:val="28CC5B40"/>
    <w:rsid w:val="290B3EB9"/>
    <w:rsid w:val="291418C2"/>
    <w:rsid w:val="2950768C"/>
    <w:rsid w:val="29724526"/>
    <w:rsid w:val="29794227"/>
    <w:rsid w:val="297A5FC4"/>
    <w:rsid w:val="29EA025C"/>
    <w:rsid w:val="2A1113BC"/>
    <w:rsid w:val="2A8B6E59"/>
    <w:rsid w:val="2A8D4F8F"/>
    <w:rsid w:val="2A911082"/>
    <w:rsid w:val="2A917B34"/>
    <w:rsid w:val="2AE3766F"/>
    <w:rsid w:val="2B0B76B3"/>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D7142C"/>
    <w:rsid w:val="2FE04319"/>
    <w:rsid w:val="2FF37AB3"/>
    <w:rsid w:val="308C7755"/>
    <w:rsid w:val="30FF27D2"/>
    <w:rsid w:val="31170995"/>
    <w:rsid w:val="31264A30"/>
    <w:rsid w:val="31884E67"/>
    <w:rsid w:val="31A0275E"/>
    <w:rsid w:val="31B7357A"/>
    <w:rsid w:val="31ED6B08"/>
    <w:rsid w:val="31F915C9"/>
    <w:rsid w:val="32610CE6"/>
    <w:rsid w:val="32631A32"/>
    <w:rsid w:val="3276317E"/>
    <w:rsid w:val="328464CE"/>
    <w:rsid w:val="32AB70C5"/>
    <w:rsid w:val="32DC33E0"/>
    <w:rsid w:val="331F77D3"/>
    <w:rsid w:val="335D0AF5"/>
    <w:rsid w:val="3370088C"/>
    <w:rsid w:val="33A3154A"/>
    <w:rsid w:val="33DC2F78"/>
    <w:rsid w:val="340F559E"/>
    <w:rsid w:val="3428227C"/>
    <w:rsid w:val="35260F83"/>
    <w:rsid w:val="35602226"/>
    <w:rsid w:val="356B72E7"/>
    <w:rsid w:val="3572424F"/>
    <w:rsid w:val="35FC3844"/>
    <w:rsid w:val="365042B2"/>
    <w:rsid w:val="366061FD"/>
    <w:rsid w:val="36794DEF"/>
    <w:rsid w:val="36AD519D"/>
    <w:rsid w:val="36B57705"/>
    <w:rsid w:val="370C7D80"/>
    <w:rsid w:val="374F1A0B"/>
    <w:rsid w:val="37A103ED"/>
    <w:rsid w:val="37EA5E6E"/>
    <w:rsid w:val="37FA2391"/>
    <w:rsid w:val="37FF016F"/>
    <w:rsid w:val="38427C0B"/>
    <w:rsid w:val="385D6A5C"/>
    <w:rsid w:val="387C5ABE"/>
    <w:rsid w:val="389B3A1E"/>
    <w:rsid w:val="38EB01D0"/>
    <w:rsid w:val="38EB6119"/>
    <w:rsid w:val="39B7490E"/>
    <w:rsid w:val="39DE33DA"/>
    <w:rsid w:val="39FA5B4A"/>
    <w:rsid w:val="39FE0BE9"/>
    <w:rsid w:val="3A3C1AAF"/>
    <w:rsid w:val="3A424C25"/>
    <w:rsid w:val="3A4B7CC1"/>
    <w:rsid w:val="3A51228C"/>
    <w:rsid w:val="3A552E60"/>
    <w:rsid w:val="3A5D642F"/>
    <w:rsid w:val="3AB210FC"/>
    <w:rsid w:val="3ACE216B"/>
    <w:rsid w:val="3AD649F6"/>
    <w:rsid w:val="3AD95C13"/>
    <w:rsid w:val="3B261E51"/>
    <w:rsid w:val="3B973F88"/>
    <w:rsid w:val="3BCD72F7"/>
    <w:rsid w:val="3C414142"/>
    <w:rsid w:val="3C717C1B"/>
    <w:rsid w:val="3CE114D9"/>
    <w:rsid w:val="3CF737A2"/>
    <w:rsid w:val="3CF7509A"/>
    <w:rsid w:val="3D10295A"/>
    <w:rsid w:val="3D56518F"/>
    <w:rsid w:val="3D892A04"/>
    <w:rsid w:val="3E0572FD"/>
    <w:rsid w:val="3E1A5292"/>
    <w:rsid w:val="3E1E6330"/>
    <w:rsid w:val="3E5A7FE7"/>
    <w:rsid w:val="3EC8179E"/>
    <w:rsid w:val="3EF66B2E"/>
    <w:rsid w:val="3F217914"/>
    <w:rsid w:val="3F7E18C4"/>
    <w:rsid w:val="3F942B76"/>
    <w:rsid w:val="3FD70BB0"/>
    <w:rsid w:val="3FFB55AC"/>
    <w:rsid w:val="401C5F9D"/>
    <w:rsid w:val="401C690C"/>
    <w:rsid w:val="401D7195"/>
    <w:rsid w:val="405F1BE4"/>
    <w:rsid w:val="407669AB"/>
    <w:rsid w:val="40A51286"/>
    <w:rsid w:val="40CE3DC0"/>
    <w:rsid w:val="40D7455A"/>
    <w:rsid w:val="40E743E5"/>
    <w:rsid w:val="4110038E"/>
    <w:rsid w:val="416D4873"/>
    <w:rsid w:val="41734CBA"/>
    <w:rsid w:val="41C01B53"/>
    <w:rsid w:val="41D162A9"/>
    <w:rsid w:val="41DD7057"/>
    <w:rsid w:val="420F7A65"/>
    <w:rsid w:val="4216611A"/>
    <w:rsid w:val="423E300F"/>
    <w:rsid w:val="425656C8"/>
    <w:rsid w:val="4257273C"/>
    <w:rsid w:val="425D7213"/>
    <w:rsid w:val="426411CE"/>
    <w:rsid w:val="42677B61"/>
    <w:rsid w:val="42756DB0"/>
    <w:rsid w:val="42B21AD2"/>
    <w:rsid w:val="42FD694D"/>
    <w:rsid w:val="434A6D8F"/>
    <w:rsid w:val="43FA5777"/>
    <w:rsid w:val="44044D92"/>
    <w:rsid w:val="441C1611"/>
    <w:rsid w:val="443C440B"/>
    <w:rsid w:val="443F7DBF"/>
    <w:rsid w:val="44415754"/>
    <w:rsid w:val="44514F52"/>
    <w:rsid w:val="448965CB"/>
    <w:rsid w:val="44A66F1C"/>
    <w:rsid w:val="44C5497E"/>
    <w:rsid w:val="44FA2D53"/>
    <w:rsid w:val="45414CB2"/>
    <w:rsid w:val="4571374F"/>
    <w:rsid w:val="458B1BB0"/>
    <w:rsid w:val="46107A90"/>
    <w:rsid w:val="4611075B"/>
    <w:rsid w:val="46113D05"/>
    <w:rsid w:val="46132D66"/>
    <w:rsid w:val="46214818"/>
    <w:rsid w:val="467A0297"/>
    <w:rsid w:val="468B7125"/>
    <w:rsid w:val="46C4691F"/>
    <w:rsid w:val="47841568"/>
    <w:rsid w:val="479D1D34"/>
    <w:rsid w:val="47B609C0"/>
    <w:rsid w:val="47CF543E"/>
    <w:rsid w:val="481E6E41"/>
    <w:rsid w:val="482D31EA"/>
    <w:rsid w:val="485970A0"/>
    <w:rsid w:val="48847961"/>
    <w:rsid w:val="48A41906"/>
    <w:rsid w:val="48AD2852"/>
    <w:rsid w:val="48B65C71"/>
    <w:rsid w:val="48DD6BA4"/>
    <w:rsid w:val="48F303D7"/>
    <w:rsid w:val="492837FF"/>
    <w:rsid w:val="492E6A57"/>
    <w:rsid w:val="49B86103"/>
    <w:rsid w:val="4A0030EE"/>
    <w:rsid w:val="4AC36065"/>
    <w:rsid w:val="4B560086"/>
    <w:rsid w:val="4B7501F5"/>
    <w:rsid w:val="4B8C2DEB"/>
    <w:rsid w:val="4BFA3C9F"/>
    <w:rsid w:val="4C022CB5"/>
    <w:rsid w:val="4C0E3379"/>
    <w:rsid w:val="4C107F48"/>
    <w:rsid w:val="4C3277BC"/>
    <w:rsid w:val="4C686851"/>
    <w:rsid w:val="4CB25875"/>
    <w:rsid w:val="4CC353EB"/>
    <w:rsid w:val="4CF36F3C"/>
    <w:rsid w:val="4D056F4D"/>
    <w:rsid w:val="4D4F67BA"/>
    <w:rsid w:val="4D603399"/>
    <w:rsid w:val="4D867EE1"/>
    <w:rsid w:val="4D947472"/>
    <w:rsid w:val="4DBC4C65"/>
    <w:rsid w:val="4DF6568D"/>
    <w:rsid w:val="4E2E1A80"/>
    <w:rsid w:val="4E550010"/>
    <w:rsid w:val="4E5F14CB"/>
    <w:rsid w:val="4F2965A2"/>
    <w:rsid w:val="4F3705F8"/>
    <w:rsid w:val="4F4755A1"/>
    <w:rsid w:val="4F651D09"/>
    <w:rsid w:val="4F9765DE"/>
    <w:rsid w:val="4FAC3540"/>
    <w:rsid w:val="4FBB12F4"/>
    <w:rsid w:val="4FCF1583"/>
    <w:rsid w:val="4FFA7625"/>
    <w:rsid w:val="501168C8"/>
    <w:rsid w:val="501B0BF9"/>
    <w:rsid w:val="507D2599"/>
    <w:rsid w:val="5096229D"/>
    <w:rsid w:val="50B44FCE"/>
    <w:rsid w:val="50DC4184"/>
    <w:rsid w:val="51475B39"/>
    <w:rsid w:val="514C3EA7"/>
    <w:rsid w:val="519849E5"/>
    <w:rsid w:val="51B36892"/>
    <w:rsid w:val="52162570"/>
    <w:rsid w:val="52506DA7"/>
    <w:rsid w:val="533B2B84"/>
    <w:rsid w:val="537A7243"/>
    <w:rsid w:val="539C1B81"/>
    <w:rsid w:val="53AA6184"/>
    <w:rsid w:val="53AE750F"/>
    <w:rsid w:val="53EB0895"/>
    <w:rsid w:val="53F263AD"/>
    <w:rsid w:val="54693932"/>
    <w:rsid w:val="54837309"/>
    <w:rsid w:val="549A6BFA"/>
    <w:rsid w:val="54E72921"/>
    <w:rsid w:val="555C6CAF"/>
    <w:rsid w:val="55806F07"/>
    <w:rsid w:val="55BC18C6"/>
    <w:rsid w:val="55D02809"/>
    <w:rsid w:val="55D76683"/>
    <w:rsid w:val="55FA2961"/>
    <w:rsid w:val="56165A01"/>
    <w:rsid w:val="563E7196"/>
    <w:rsid w:val="565E3E0E"/>
    <w:rsid w:val="565E7F4F"/>
    <w:rsid w:val="56762FF5"/>
    <w:rsid w:val="56775789"/>
    <w:rsid w:val="56857D06"/>
    <w:rsid w:val="56914056"/>
    <w:rsid w:val="569F0E63"/>
    <w:rsid w:val="569F7A7F"/>
    <w:rsid w:val="56DB613D"/>
    <w:rsid w:val="573810DA"/>
    <w:rsid w:val="57FC2169"/>
    <w:rsid w:val="58096275"/>
    <w:rsid w:val="580E4560"/>
    <w:rsid w:val="581C04F1"/>
    <w:rsid w:val="582E6EF7"/>
    <w:rsid w:val="58434392"/>
    <w:rsid w:val="584E30E6"/>
    <w:rsid w:val="59014D02"/>
    <w:rsid w:val="597B384D"/>
    <w:rsid w:val="59996DA8"/>
    <w:rsid w:val="59AC3CE9"/>
    <w:rsid w:val="59BF7CD4"/>
    <w:rsid w:val="59C30F1B"/>
    <w:rsid w:val="5A0D5854"/>
    <w:rsid w:val="5A20156F"/>
    <w:rsid w:val="5A332717"/>
    <w:rsid w:val="5A8E5D27"/>
    <w:rsid w:val="5A9847F3"/>
    <w:rsid w:val="5AC7121C"/>
    <w:rsid w:val="5AD90B8D"/>
    <w:rsid w:val="5AE12927"/>
    <w:rsid w:val="5B2243E9"/>
    <w:rsid w:val="5B40591F"/>
    <w:rsid w:val="5B4E1A44"/>
    <w:rsid w:val="5B666742"/>
    <w:rsid w:val="5B6919B0"/>
    <w:rsid w:val="5B873201"/>
    <w:rsid w:val="5B89551D"/>
    <w:rsid w:val="5B967767"/>
    <w:rsid w:val="5B9E55DE"/>
    <w:rsid w:val="5C1D18D2"/>
    <w:rsid w:val="5C286807"/>
    <w:rsid w:val="5C446BC8"/>
    <w:rsid w:val="5C4C687B"/>
    <w:rsid w:val="5C5C51E9"/>
    <w:rsid w:val="5C7C2768"/>
    <w:rsid w:val="5CA93EF4"/>
    <w:rsid w:val="5CB23AE6"/>
    <w:rsid w:val="5CF55792"/>
    <w:rsid w:val="5CFD533A"/>
    <w:rsid w:val="5D893B14"/>
    <w:rsid w:val="5D9F3D30"/>
    <w:rsid w:val="5E2810D5"/>
    <w:rsid w:val="5E2B7D62"/>
    <w:rsid w:val="5E71411E"/>
    <w:rsid w:val="5EA06921"/>
    <w:rsid w:val="5ED5006A"/>
    <w:rsid w:val="5F576E4B"/>
    <w:rsid w:val="5F5D4EDE"/>
    <w:rsid w:val="5F7A2C30"/>
    <w:rsid w:val="5FBE370A"/>
    <w:rsid w:val="5FF00038"/>
    <w:rsid w:val="60292845"/>
    <w:rsid w:val="61027308"/>
    <w:rsid w:val="612E1A5D"/>
    <w:rsid w:val="617B0100"/>
    <w:rsid w:val="61816046"/>
    <w:rsid w:val="62182687"/>
    <w:rsid w:val="62391564"/>
    <w:rsid w:val="627F7BC0"/>
    <w:rsid w:val="62816669"/>
    <w:rsid w:val="62B57462"/>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9B6FA2"/>
    <w:rsid w:val="65A94E9D"/>
    <w:rsid w:val="65C60A92"/>
    <w:rsid w:val="662203DD"/>
    <w:rsid w:val="666B723B"/>
    <w:rsid w:val="6678045A"/>
    <w:rsid w:val="66DD6702"/>
    <w:rsid w:val="676C3F98"/>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05EEE"/>
    <w:rsid w:val="6A2031B6"/>
    <w:rsid w:val="6A440C53"/>
    <w:rsid w:val="6AC61F6F"/>
    <w:rsid w:val="6ADE74F0"/>
    <w:rsid w:val="6B1002C0"/>
    <w:rsid w:val="6B1F5CFA"/>
    <w:rsid w:val="6B5C61BC"/>
    <w:rsid w:val="6B723594"/>
    <w:rsid w:val="6B805156"/>
    <w:rsid w:val="6BD50977"/>
    <w:rsid w:val="6BEA2A9B"/>
    <w:rsid w:val="6C9C0875"/>
    <w:rsid w:val="6C9D1F03"/>
    <w:rsid w:val="6CAA3931"/>
    <w:rsid w:val="6D3933CA"/>
    <w:rsid w:val="6D7B61EC"/>
    <w:rsid w:val="6DA47DD4"/>
    <w:rsid w:val="6DC3266E"/>
    <w:rsid w:val="6DD049FF"/>
    <w:rsid w:val="6E09491E"/>
    <w:rsid w:val="6E0D3655"/>
    <w:rsid w:val="6E5D7B7F"/>
    <w:rsid w:val="6E5F4465"/>
    <w:rsid w:val="6E8C54DA"/>
    <w:rsid w:val="6EF11E03"/>
    <w:rsid w:val="6F111C62"/>
    <w:rsid w:val="6F2176E5"/>
    <w:rsid w:val="6F3053CA"/>
    <w:rsid w:val="6F592303"/>
    <w:rsid w:val="6F5F5B74"/>
    <w:rsid w:val="6F9B1C65"/>
    <w:rsid w:val="6FD4236A"/>
    <w:rsid w:val="6FD47A25"/>
    <w:rsid w:val="6FF44026"/>
    <w:rsid w:val="6FFB146E"/>
    <w:rsid w:val="701A5C74"/>
    <w:rsid w:val="706516C3"/>
    <w:rsid w:val="70864A71"/>
    <w:rsid w:val="70896E68"/>
    <w:rsid w:val="714556B4"/>
    <w:rsid w:val="71481642"/>
    <w:rsid w:val="715B60E9"/>
    <w:rsid w:val="71E96309"/>
    <w:rsid w:val="71EA1FED"/>
    <w:rsid w:val="72284A0C"/>
    <w:rsid w:val="72C16204"/>
    <w:rsid w:val="730313F6"/>
    <w:rsid w:val="731E1007"/>
    <w:rsid w:val="73370D24"/>
    <w:rsid w:val="7359268C"/>
    <w:rsid w:val="739503EB"/>
    <w:rsid w:val="73A05B28"/>
    <w:rsid w:val="73C07D69"/>
    <w:rsid w:val="744B57CB"/>
    <w:rsid w:val="74625968"/>
    <w:rsid w:val="749C6000"/>
    <w:rsid w:val="749E2255"/>
    <w:rsid w:val="74B42AE4"/>
    <w:rsid w:val="750A429D"/>
    <w:rsid w:val="75167F59"/>
    <w:rsid w:val="754D77D2"/>
    <w:rsid w:val="755D38A7"/>
    <w:rsid w:val="755F0960"/>
    <w:rsid w:val="755F5A0F"/>
    <w:rsid w:val="75614792"/>
    <w:rsid w:val="756E5849"/>
    <w:rsid w:val="75784473"/>
    <w:rsid w:val="757E044C"/>
    <w:rsid w:val="75977BC3"/>
    <w:rsid w:val="75B161B3"/>
    <w:rsid w:val="75E470E3"/>
    <w:rsid w:val="76736B32"/>
    <w:rsid w:val="76E3765E"/>
    <w:rsid w:val="76FC2AFA"/>
    <w:rsid w:val="773F0836"/>
    <w:rsid w:val="77653671"/>
    <w:rsid w:val="778546CC"/>
    <w:rsid w:val="77950F7E"/>
    <w:rsid w:val="77B56730"/>
    <w:rsid w:val="77C04A8B"/>
    <w:rsid w:val="77D85DB3"/>
    <w:rsid w:val="780252A0"/>
    <w:rsid w:val="78027772"/>
    <w:rsid w:val="78A50513"/>
    <w:rsid w:val="793B7339"/>
    <w:rsid w:val="796518DD"/>
    <w:rsid w:val="796E0C55"/>
    <w:rsid w:val="79AA0532"/>
    <w:rsid w:val="79C93A1E"/>
    <w:rsid w:val="79F70999"/>
    <w:rsid w:val="79FE1DDD"/>
    <w:rsid w:val="7A075767"/>
    <w:rsid w:val="7A212062"/>
    <w:rsid w:val="7A282A11"/>
    <w:rsid w:val="7AB90FF6"/>
    <w:rsid w:val="7AC21562"/>
    <w:rsid w:val="7AD474A4"/>
    <w:rsid w:val="7B115232"/>
    <w:rsid w:val="7B416BDC"/>
    <w:rsid w:val="7B5350AD"/>
    <w:rsid w:val="7B591077"/>
    <w:rsid w:val="7B6867EB"/>
    <w:rsid w:val="7B697C89"/>
    <w:rsid w:val="7B8D34C3"/>
    <w:rsid w:val="7B971D84"/>
    <w:rsid w:val="7BEC0EF6"/>
    <w:rsid w:val="7BF32F03"/>
    <w:rsid w:val="7C156EA0"/>
    <w:rsid w:val="7C1724A5"/>
    <w:rsid w:val="7C8E3CCF"/>
    <w:rsid w:val="7CA54112"/>
    <w:rsid w:val="7CE50CE4"/>
    <w:rsid w:val="7D2177E3"/>
    <w:rsid w:val="7D2E5ABF"/>
    <w:rsid w:val="7D2F3C22"/>
    <w:rsid w:val="7D327F84"/>
    <w:rsid w:val="7DB429D4"/>
    <w:rsid w:val="7E2142A2"/>
    <w:rsid w:val="7E4F5384"/>
    <w:rsid w:val="7E5A6DFA"/>
    <w:rsid w:val="7E5F6A2D"/>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88</Pages>
  <Words>37506</Words>
  <Characters>38494</Characters>
  <Lines>264</Lines>
  <Paragraphs>74</Paragraphs>
  <TotalTime>29</TotalTime>
  <ScaleCrop>false</ScaleCrop>
  <LinksUpToDate>false</LinksUpToDate>
  <CharactersWithSpaces>40944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2022-09-09T06:50:00Z</cp:lastPrinted>
  <dcterms:modified xsi:type="dcterms:W3CDTF">2023-06-15T03:32:38Z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AB29C84D55484F919183B4F4C4C9A292_13</vt:lpwstr>
  </property>
</Properties>
</file>