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5"/>
        <w:ind w:firstLine="240"/>
        <w:rPr>
          <w:rFonts w:ascii="黑体" w:eastAsia="黑体"/>
          <w:color w:val="auto"/>
          <w:szCs w:val="21"/>
          <w:highlight w:val="none"/>
        </w:rPr>
      </w:pPr>
    </w:p>
    <w:p>
      <w:pPr>
        <w:pStyle w:val="25"/>
        <w:ind w:left="0" w:firstLine="0" w:firstLineChars="0"/>
        <w:rPr>
          <w:rFonts w:ascii="黑体" w:eastAsia="黑体"/>
          <w:color w:val="auto"/>
          <w:szCs w:val="21"/>
          <w:highlight w:val="none"/>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GDZT2023126A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横沥镇第二幼儿园三防建设设备采购项目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东莞市横沥镇教育管理中心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2"/>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东莞市横沥镇教育管理中心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横沥镇第二幼儿园三防建设设备采购项目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GDZT2023126A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横沥镇第二幼儿园三防建设设备采购项目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6"/>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6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6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2671"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横沥镇第二幼儿园三防建设设备采购项目</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546,022.22</w:t>
            </w:r>
            <w:r>
              <w:rPr>
                <w:rFonts w:hint="eastAsia" w:ascii="宋体" w:hAnsi="宋体"/>
                <w:color w:val="auto"/>
                <w:szCs w:val="21"/>
                <w:highlight w:val="none"/>
              </w:rPr>
              <w:t>元</w:t>
            </w:r>
          </w:p>
        </w:tc>
      </w:tr>
    </w:tbl>
    <w:p>
      <w:pPr>
        <w:pStyle w:val="9"/>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采购人联系人：赖老师</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地址：东莞市横沥镇</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联系电话：0769-83733203</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w:t>
      </w:r>
      <w:bookmarkStart w:id="385" w:name="_GoBack"/>
      <w:bookmarkEnd w:id="385"/>
      <w:r>
        <w:rPr>
          <w:rFonts w:hint="eastAsia" w:ascii="宋体" w:hAnsi="宋体"/>
          <w:color w:val="auto"/>
          <w:szCs w:val="21"/>
          <w:highlight w:val="none"/>
        </w:rPr>
        <w:t>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9"/>
        <w:rPr>
          <w:color w:val="auto"/>
          <w:sz w:val="21"/>
          <w:szCs w:val="21"/>
          <w:highlight w:val="none"/>
        </w:rPr>
      </w:pPr>
    </w:p>
    <w:p>
      <w:pPr>
        <w:pStyle w:val="2"/>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9"/>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2"/>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479"/>
            <w:bookmarkStart w:id="18" w:name="_Toc30638"/>
            <w:bookmarkStart w:id="19" w:name="_Toc29685"/>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rPr>
              <w:t>1</w:t>
            </w:r>
            <w:r>
              <w:rPr>
                <w:rFonts w:hint="eastAsia" w:ascii="宋体" w:hAnsi="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val="en-US" w:eastAsia="zh-CN"/>
              </w:rPr>
              <w:t>数据管理平台（或通道闸系统</w:t>
            </w:r>
            <w:r>
              <w:rPr>
                <w:rFonts w:hint="eastAsia" w:ascii="宋体" w:hAnsi="宋体" w:cs="宋体"/>
                <w:color w:val="auto"/>
                <w:sz w:val="21"/>
                <w:szCs w:val="21"/>
                <w:highlight w:val="none"/>
                <w:lang w:val="en-US" w:eastAsia="zh-CN"/>
              </w:rPr>
              <w:t>或</w:t>
            </w:r>
            <w:r>
              <w:rPr>
                <w:rFonts w:hint="eastAsia" w:ascii="宋体" w:hAnsi="宋体" w:eastAsia="宋体" w:cs="宋体"/>
                <w:color w:val="auto"/>
                <w:sz w:val="21"/>
                <w:szCs w:val="21"/>
                <w:highlight w:val="none"/>
                <w:lang w:val="en-US" w:eastAsia="zh-CN"/>
              </w:rPr>
              <w:t>访客管理系统</w:t>
            </w:r>
            <w:r>
              <w:rPr>
                <w:rFonts w:hint="eastAsia" w:ascii="宋体" w:hAnsi="宋体" w:cs="宋体"/>
                <w:color w:val="auto"/>
                <w:sz w:val="21"/>
                <w:szCs w:val="21"/>
                <w:highlight w:val="none"/>
                <w:lang w:val="en-US" w:eastAsia="zh-CN"/>
              </w:rPr>
              <w:t>或</w:t>
            </w:r>
            <w:r>
              <w:rPr>
                <w:rFonts w:hint="eastAsia" w:ascii="宋体" w:hAnsi="宋体" w:eastAsia="宋体" w:cs="宋体"/>
                <w:color w:val="auto"/>
                <w:sz w:val="21"/>
                <w:szCs w:val="21"/>
                <w:highlight w:val="none"/>
                <w:lang w:val="en-US" w:eastAsia="zh-CN"/>
              </w:rPr>
              <w:t>升降柱系统）</w:t>
            </w:r>
            <w:r>
              <w:rPr>
                <w:rFonts w:hint="eastAsia" w:ascii="宋体" w:hAnsi="宋体" w:eastAsia="宋体" w:cs="宋体"/>
                <w:color w:val="auto"/>
                <w:sz w:val="21"/>
                <w:szCs w:val="21"/>
                <w:highlight w:val="none"/>
              </w:rPr>
              <w:t>类项目业绩的，每提供一个得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分，本项最高得1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根据投标人提供的服务响应时间承诺进行评分。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所投产品技术标准条款符合</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文件的规定及要求，满分为</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分，每一项带“▲”条款不符合扣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分，扣完为止。</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①对用户需求书带“▲”号的条款，用户需求书要求提供相关证明资料的，则投标文件中须提供对应产品技术参数的证明资料。</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②对用户需求书带“▲”号的条款，用户需求书未要求提供相关证明资料的，则以投标人按</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文件格式中《技术规格</w:t>
            </w:r>
            <w:r>
              <w:rPr>
                <w:rFonts w:hint="eastAsia" w:ascii="宋体" w:hAnsi="宋体" w:eastAsia="宋体" w:cs="宋体"/>
                <w:color w:val="auto"/>
                <w:sz w:val="21"/>
                <w:szCs w:val="21"/>
                <w:highlight w:val="none"/>
                <w:lang w:val="en-US" w:eastAsia="zh-CN"/>
              </w:rPr>
              <w:t>偏离表</w:t>
            </w:r>
            <w:r>
              <w:rPr>
                <w:rFonts w:hint="eastAsia" w:ascii="宋体" w:hAnsi="宋体" w:eastAsia="宋体" w:cs="宋体"/>
                <w:color w:val="auto"/>
                <w:sz w:val="21"/>
                <w:szCs w:val="21"/>
                <w:highlight w:val="none"/>
              </w:rPr>
              <w:t>及重要技术参数（▲）响应表》的响应情况为准，未填写或负偏离的</w:t>
            </w:r>
            <w:r>
              <w:rPr>
                <w:rFonts w:hint="eastAsia" w:ascii="宋体" w:hAnsi="宋体" w:eastAsia="宋体" w:cs="宋体"/>
                <w:color w:val="auto"/>
                <w:sz w:val="21"/>
                <w:szCs w:val="21"/>
                <w:highlight w:val="none"/>
                <w:lang w:val="en-US" w:eastAsia="zh-CN"/>
              </w:rPr>
              <w:t>均不得分</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根据投标人对本项目现场的熟悉程度、理解及项目重点和难点的分析，以及项目重点和难点所采取的措施等进行综合评审：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对项目有充分的理解，能够对项目的重点难点提出具有针对性的措施，得</w:t>
            </w:r>
            <w:r>
              <w:rPr>
                <w:rFonts w:hint="eastAsia" w:ascii="宋体" w:hAnsi="宋体" w:eastAsia="宋体" w:cs="宋体"/>
                <w:color w:val="auto"/>
                <w:sz w:val="21"/>
                <w:szCs w:val="21"/>
                <w:highlight w:val="none"/>
              </w:rPr>
              <w:t>8分。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对项目有基本的理解，能够对项目的重点难点提出相应的措施，得4分。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对项目的理解不够深刻，不能对项目的重点难点提出相应的措施，得1分。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无提供对项目的理解，得0分。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根据投标人提供的项目实施方案（包括但不限于空调机组的改造、安装、调试等内容）的完整性、合理性、可行性等情况进行综合评审：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方案完整、合理、可行，得15分。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方案较完整、较合理、较可行，得10分。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方案基本完整、基本合理、基本可行，得5分。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方案简单，可行性差，得1分。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eastAsia="宋体" w:cs="宋体"/>
                <w:color w:val="auto"/>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根据投标人的质量保证承诺及服务方案详细完善程度进行综合评审：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质量保证承诺优于招标文件要求，服务方案详细完整，可行性强，得1</w:t>
            </w:r>
            <w:r>
              <w:rPr>
                <w:rFonts w:hint="eastAsia" w:asci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质量保证承诺满足招标文件要求，服务方案较完整，可行性较强，得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质量保证承诺基本满足招标文件要求，服务方案基本完整，可行性一般，得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质量保证承诺不能满足招标文件要求，服务方案不完整，可行性差，得1分。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规章管理制度</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lang w:eastAsia="zh-CN"/>
              </w:rPr>
            </w:pPr>
            <w:r>
              <w:rPr>
                <w:rFonts w:hint="eastAsia" w:ascii="宋体" w:hAnsi="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根据投标人的规章管理制度进行综合评审：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制度详细完整，可行性强，得</w:t>
            </w:r>
            <w:r>
              <w:rPr>
                <w:rFonts w:hint="eastAsia" w:asci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制度较完整，可行性较强，得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制度基本完整，可行性一般，得3分。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制度不完整，可行性较差，得1分。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snapToGrid w:val="0"/>
                <w:color w:val="auto"/>
                <w:kern w:val="2"/>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根据售后服务方案、售后服务承诺、售后点技术力量等以及对用户单位提出的维护要求响应情况，出现紧急情况时的服务措施等进行综合评审：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售后服务方案科学完整，售后服务承诺优于招标文件要求，可操作性强，得10分。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售后服务方案较完整，售后服务承诺满足招标文件要求，可操作性较强，得6分。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售后服务方案基本完整，售后服务承诺基本满足招标文件要求，可操作性一般，得3分。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售后服务方案不完整，售后服务承诺不满足招标文件要求，可操作性差，得1分。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pStyle w:val="9"/>
        <w:rPr>
          <w:rFonts w:hint="eastAsia"/>
          <w:color w:val="auto"/>
          <w:highlight w:val="none"/>
        </w:rPr>
      </w:pPr>
    </w:p>
    <w:p>
      <w:pPr>
        <w:pStyle w:val="25"/>
        <w:rPr>
          <w:rFonts w:hint="eastAsia"/>
          <w:color w:val="auto"/>
          <w:highlight w:val="none"/>
        </w:rPr>
      </w:pPr>
    </w:p>
    <w:p>
      <w:pPr>
        <w:pStyle w:val="2"/>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3095"/>
      <w:bookmarkStart w:id="22" w:name="_Toc19746"/>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382049092"/>
      <w:bookmarkStart w:id="31" w:name="_Toc1530"/>
      <w:bookmarkStart w:id="32" w:name="_Toc303084246"/>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3909"/>
      <w:bookmarkStart w:id="39" w:name="_Toc15945"/>
      <w:r>
        <w:rPr>
          <w:rFonts w:hint="eastAsia" w:ascii="宋体" w:hAnsi="宋体"/>
          <w:color w:val="auto"/>
          <w:sz w:val="21"/>
          <w:szCs w:val="21"/>
          <w:highlight w:val="none"/>
        </w:rPr>
        <w:t>4.投标费用</w:t>
      </w:r>
      <w:bookmarkEnd w:id="37"/>
      <w:bookmarkEnd w:id="38"/>
      <w:bookmarkEnd w:id="39"/>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4773"/>
      <w:bookmarkStart w:id="60" w:name="_Toc23726"/>
      <w:bookmarkStart w:id="61" w:name="_Toc16712"/>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28866"/>
      <w:bookmarkStart w:id="66" w:name="_Toc12145"/>
      <w:bookmarkStart w:id="67" w:name="_Toc382049103"/>
      <w:bookmarkStart w:id="68" w:name="_Toc303084256"/>
      <w:bookmarkStart w:id="69" w:name="_Toc18999"/>
      <w:bookmarkStart w:id="70" w:name="_Toc307934854"/>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7"/>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7"/>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30815"/>
      <w:bookmarkStart w:id="85" w:name="_Toc19520"/>
      <w:bookmarkStart w:id="86" w:name="_Toc22169"/>
      <w:r>
        <w:rPr>
          <w:rFonts w:hint="eastAsia" w:ascii="宋体" w:hAnsi="宋体"/>
          <w:color w:val="auto"/>
          <w:sz w:val="21"/>
          <w:szCs w:val="21"/>
          <w:highlight w:val="none"/>
        </w:rPr>
        <w:t>15.★投标有效期</w:t>
      </w:r>
      <w:bookmarkEnd w:id="84"/>
      <w:bookmarkEnd w:id="85"/>
      <w:bookmarkEnd w:id="8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7"/>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1124"/>
      <w:bookmarkStart w:id="92" w:name="_Toc3200"/>
      <w:bookmarkStart w:id="93" w:name="_Toc24109"/>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03084264"/>
      <w:bookmarkStart w:id="95" w:name="_Toc23678"/>
      <w:bookmarkStart w:id="96" w:name="_Toc29590"/>
      <w:bookmarkStart w:id="97" w:name="_Toc24997"/>
      <w:bookmarkStart w:id="98" w:name="_Toc382049111"/>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303084265"/>
      <w:bookmarkStart w:id="107" w:name="_Toc5900"/>
      <w:bookmarkStart w:id="108" w:name="_Toc9777"/>
      <w:bookmarkStart w:id="109" w:name="_Toc23477"/>
      <w:bookmarkStart w:id="110" w:name="_Toc7689"/>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6003"/>
      <w:bookmarkStart w:id="113" w:name="_Toc1113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9"/>
        <w:rPr>
          <w:color w:val="auto"/>
          <w:highlight w:val="none"/>
        </w:rPr>
      </w:pPr>
    </w:p>
    <w:p>
      <w:pPr>
        <w:pStyle w:val="4"/>
        <w:spacing w:line="480" w:lineRule="auto"/>
        <w:jc w:val="center"/>
        <w:rPr>
          <w:rFonts w:ascii="宋体" w:hAnsi="宋体"/>
          <w:color w:val="auto"/>
          <w:highlight w:val="none"/>
        </w:rPr>
      </w:pPr>
      <w:bookmarkStart w:id="115" w:name="_Toc29574"/>
      <w:bookmarkStart w:id="116" w:name="_Toc5049"/>
      <w:bookmarkStart w:id="117" w:name="_Toc23466"/>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8436"/>
      <w:bookmarkStart w:id="128" w:name="_Toc16745"/>
      <w:bookmarkStart w:id="129" w:name="_Toc3762"/>
      <w:r>
        <w:rPr>
          <w:rFonts w:hint="eastAsia" w:ascii="宋体" w:hAnsi="宋体"/>
          <w:color w:val="auto"/>
          <w:sz w:val="21"/>
          <w:szCs w:val="21"/>
          <w:highlight w:val="none"/>
        </w:rPr>
        <w:t>25.投标文件的初审</w:t>
      </w:r>
      <w:bookmarkEnd w:id="127"/>
      <w:bookmarkEnd w:id="128"/>
      <w:bookmarkEnd w:id="129"/>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382049120"/>
      <w:bookmarkStart w:id="138" w:name="_Toc31141"/>
      <w:bookmarkStart w:id="139" w:name="_Toc22591"/>
      <w:bookmarkStart w:id="140" w:name="_Toc20328"/>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12251"/>
      <w:bookmarkStart w:id="144" w:name="_Toc29310"/>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27817"/>
      <w:bookmarkStart w:id="146" w:name="_Toc508284011"/>
      <w:bookmarkStart w:id="147" w:name="_Toc17778"/>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12440"/>
      <w:bookmarkStart w:id="150" w:name="_Toc508284013"/>
      <w:bookmarkStart w:id="151" w:name="_Toc2928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262"/>
      <w:bookmarkStart w:id="155" w:name="_Toc22451"/>
      <w:r>
        <w:rPr>
          <w:rFonts w:hint="eastAsia" w:ascii="宋体" w:hAnsi="宋体"/>
          <w:color w:val="auto"/>
          <w:sz w:val="21"/>
          <w:szCs w:val="21"/>
          <w:highlight w:val="none"/>
        </w:rPr>
        <w:t>31.合同的签订与履行</w:t>
      </w:r>
      <w:bookmarkEnd w:id="153"/>
      <w:bookmarkEnd w:id="154"/>
      <w:bookmarkEnd w:id="15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9009"/>
      <w:bookmarkStart w:id="157" w:name="_Toc25756"/>
      <w:bookmarkStart w:id="158" w:name="_Toc7405"/>
      <w:bookmarkStart w:id="159" w:name="_Toc382049124"/>
      <w:bookmarkStart w:id="160" w:name="_Toc2744"/>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20699"/>
      <w:bookmarkStart w:id="163" w:name="_Toc7360"/>
      <w:bookmarkStart w:id="164" w:name="_Toc13694"/>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6"/>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0"/>
        <w:gridCol w:w="1369"/>
        <w:gridCol w:w="6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color w:val="auto"/>
                <w:szCs w:val="21"/>
                <w:highlight w:val="none"/>
                <w:lang w:val="en-US" w:eastAsia="zh-CN"/>
              </w:rPr>
              <w:t>供货</w:t>
            </w:r>
            <w:r>
              <w:rPr>
                <w:rFonts w:hint="eastAsia" w:ascii="宋体" w:hAnsi="宋体" w:eastAsia="宋体"/>
                <w:color w:val="auto"/>
                <w:szCs w:val="21"/>
                <w:highlight w:val="none"/>
              </w:rPr>
              <w:t>期</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合同签订后</w:t>
            </w:r>
            <w:r>
              <w:rPr>
                <w:rFonts w:hint="eastAsia" w:ascii="宋体" w:hAnsi="宋体" w:cs="宋体"/>
                <w:color w:val="auto"/>
                <w:sz w:val="21"/>
                <w:szCs w:val="21"/>
                <w:highlight w:val="none"/>
                <w:lang w:val="en-US" w:eastAsia="zh-CN"/>
              </w:rPr>
              <w:t>30</w:t>
            </w:r>
            <w:r>
              <w:rPr>
                <w:rFonts w:hint="default" w:ascii="宋体" w:hAnsi="宋体" w:eastAsia="宋体" w:cs="宋体"/>
                <w:color w:val="auto"/>
                <w:sz w:val="21"/>
                <w:szCs w:val="21"/>
                <w:highlight w:val="none"/>
                <w:lang w:val="en-US" w:eastAsia="zh-CN"/>
              </w:rPr>
              <w:t>天内完成项目实施及验收合格。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货物安装调试完毕，经采购人组织项目验收，在项目验收合格后</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采购</w:t>
            </w:r>
            <w:r>
              <w:rPr>
                <w:rFonts w:hint="eastAsia" w:ascii="宋体" w:hAnsi="宋体" w:cs="宋体"/>
                <w:color w:val="auto"/>
                <w:sz w:val="21"/>
                <w:szCs w:val="21"/>
                <w:highlight w:val="none"/>
                <w:lang w:val="en-US" w:eastAsia="zh-CN"/>
              </w:rPr>
              <w:t>人在10个工作日内</w:t>
            </w:r>
            <w:r>
              <w:rPr>
                <w:rFonts w:hint="eastAsia" w:ascii="宋体" w:hAnsi="宋体" w:eastAsia="宋体" w:cs="宋体"/>
                <w:color w:val="auto"/>
                <w:sz w:val="21"/>
                <w:szCs w:val="21"/>
                <w:highlight w:val="none"/>
                <w:lang w:val="en-US" w:eastAsia="zh-CN"/>
              </w:rPr>
              <w:t>向中标人支付合同总价的</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lang w:eastAsia="zh-CN"/>
              </w:rPr>
              <w:t>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69"/>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质保期</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项目安装调试完成、验收合格后</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年，中标人负责指导用户使用。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lang w:eastAsia="zh-CN"/>
              </w:rPr>
              <w:t>售后服务</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免费保修期间及期满的售后服务，接到电话后</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小时内到达现场，8小时内不能维修好的，则提供同类产品更换或备用，以保证饭堂正常运作。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ascii="宋体" w:hAnsi="宋体" w:eastAsia="宋体"/>
                <w:color w:val="auto"/>
                <w:szCs w:val="21"/>
                <w:highlight w:val="none"/>
              </w:rPr>
              <w:t>其它要求</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9"/>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13112"/>
      <w:bookmarkStart w:id="183" w:name="_Toc14462"/>
      <w:bookmarkStart w:id="184" w:name="_Toc31278"/>
      <w:bookmarkStart w:id="185" w:name="_Toc24679"/>
      <w:r>
        <w:rPr>
          <w:rFonts w:hint="eastAsia" w:eastAsia="宋体"/>
          <w:color w:val="auto"/>
          <w:highlight w:val="none"/>
          <w:lang w:val="en-US" w:eastAsia="zh-CN"/>
        </w:rPr>
        <w:t>一、项目基本要求</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 xml:space="preserve">、投标须负责投标货物的运输、验收、试运行和售后服务、培训等。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bidi w:val="0"/>
        <w:rPr>
          <w:rFonts w:hint="eastAsia"/>
          <w:color w:val="auto"/>
          <w:highlight w:val="none"/>
          <w:lang w:val="en-US" w:eastAsia="zh-CN"/>
        </w:rPr>
      </w:pPr>
    </w:p>
    <w:p>
      <w:pPr>
        <w:pStyle w:val="5"/>
        <w:bidi w:val="0"/>
        <w:rPr>
          <w:rFonts w:hint="eastAsia"/>
          <w:color w:val="auto"/>
          <w:highlight w:val="none"/>
        </w:rPr>
      </w:pPr>
      <w:r>
        <w:rPr>
          <w:rFonts w:hint="eastAsia"/>
          <w:color w:val="auto"/>
          <w:highlight w:val="none"/>
          <w:lang w:val="en-US" w:eastAsia="zh-CN"/>
        </w:rPr>
        <w:t>二、项目</w:t>
      </w:r>
      <w:r>
        <w:rPr>
          <w:rFonts w:hint="eastAsia"/>
          <w:color w:val="auto"/>
          <w:highlight w:val="none"/>
        </w:rPr>
        <w:t>清单</w:t>
      </w:r>
    </w:p>
    <w:tbl>
      <w:tblPr>
        <w:tblStyle w:val="26"/>
        <w:tblW w:w="869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3"/>
        <w:gridCol w:w="1288"/>
        <w:gridCol w:w="5282"/>
        <w:gridCol w:w="757"/>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一、服务中心管理设备（含云数据管理平台）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工作站兼服务器电脑</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CPU:八核心十六线程 / 内存：32GB / 机械硬盘：2000GB / 固态硬盘：256GB / 无DVD光驱  /  配商用21.5寸液晶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一卡通平台管理软件</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1、停车场管理系统+智能门禁+访客通道系统+电梯门禁系统+考勤系统+消费系统+一卡通+手机APP+线上应用实现跨系统、跨平台融合应用                                                   2、车辆、人员通行数据汇总/进出实时视频/前端设备实时监管/集中授权、分层管理/信息发布/ 海量数据多维度分析；                                          3、平台可对外来访客车辆及人员信息实行全面防控，具备黑名单管理，同时可以公安或交管系统对接，交互车牌号码及人员身份信息，及时追溯，提前预防，加强安全机制</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线上云平台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租</w:t>
            </w:r>
            <w:r>
              <w:rPr>
                <w:rFonts w:hint="eastAsia" w:ascii="宋体" w:hAnsi="宋体" w:cs="宋体"/>
                <w:i w:val="0"/>
                <w:iCs w:val="0"/>
                <w:color w:val="auto"/>
                <w:kern w:val="0"/>
                <w:sz w:val="21"/>
                <w:szCs w:val="21"/>
                <w:highlight w:val="none"/>
                <w:u w:val="none"/>
                <w:lang w:val="en-US" w:eastAsia="zh-CN" w:bidi="ar"/>
              </w:rPr>
              <w:t>赁</w:t>
            </w:r>
            <w:r>
              <w:rPr>
                <w:rFonts w:hint="eastAsia" w:ascii="宋体" w:hAnsi="宋体" w:eastAsia="宋体" w:cs="宋体"/>
                <w:i w:val="0"/>
                <w:iCs w:val="0"/>
                <w:color w:val="auto"/>
                <w:kern w:val="0"/>
                <w:sz w:val="21"/>
                <w:szCs w:val="21"/>
                <w:highlight w:val="none"/>
                <w:u w:val="none"/>
                <w:lang w:val="en-US" w:eastAsia="zh-CN" w:bidi="ar"/>
              </w:rPr>
              <w:t>云空间，搭建线上云平台，用于线上云平台与线下本地服务器交互管理，实现系统线上支付功能，支持微信支付及线上支付、无感支付；同时也实现系统线上访客预约功能；</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软件</w:t>
            </w:r>
            <w:r>
              <w:rPr>
                <w:rFonts w:hint="eastAsia" w:ascii="宋体" w:hAnsi="宋体" w:cs="宋体"/>
                <w:i w:val="0"/>
                <w:iCs w:val="0"/>
                <w:color w:val="auto"/>
                <w:kern w:val="0"/>
                <w:sz w:val="21"/>
                <w:szCs w:val="21"/>
                <w:highlight w:val="none"/>
                <w:u w:val="none"/>
                <w:lang w:val="en-US" w:eastAsia="zh-CN" w:bidi="ar"/>
              </w:rPr>
              <w:t>秘钥</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一卡通管理</w:t>
            </w:r>
            <w:r>
              <w:rPr>
                <w:rFonts w:hint="eastAsia" w:ascii="宋体" w:hAnsi="宋体" w:cs="宋体"/>
                <w:i w:val="0"/>
                <w:iCs w:val="0"/>
                <w:color w:val="auto"/>
                <w:kern w:val="0"/>
                <w:sz w:val="21"/>
                <w:szCs w:val="21"/>
                <w:highlight w:val="none"/>
                <w:u w:val="none"/>
                <w:lang w:val="en-US" w:eastAsia="zh-CN" w:bidi="ar"/>
              </w:rPr>
              <w:t>秘钥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发行器</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用于IC卡发行</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人脸采集仪</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用于人脸采集授权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室内电控箱</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含4个空开、排插</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二、人行通道闸系统（含人脸识别）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智能单机芯摆闸</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1.设计：超薄设计，占地空间小，机箱宽度最窄, 采用304不锈钢和冷轧板喷涂加工成型;</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2.尺寸：1200mm*180mm*980mmmm(长*宽*高);</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3.通道宽度：550mm～1100mm可使用亚克力，间距50mm；</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4.工作电压:C24V,电机功率: 40W;整机功率：≤100W;</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5.通行速度：40~50人/分钟，开关闸速度 0.5S～1.5S可调;</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6.平均无故障次数： 2000万次;</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7.语音播报:语音功能内容丰富，支持中英文语音，支持调节语音音量;</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8.防夹检测:具有红外防夹、电流检测防夹，保障安全;</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9.防尾随:可设置严格的防尾随机制，如尾随报警或尾随关闸;</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10.防反闯:准确判定反向闯入，并有相应的声光提示，确保通行的合法性、有效性;</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11多重防护:机芯三防喷涂及防水防尘罩设计，绝缘防尘、防震防潮、抗腐蚀老化、耐电晕，有效保护内部核心部件;</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 使用环境 室内;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center"/>
              <w:rPr>
                <w:rFonts w:hint="eastAsia" w:ascii="宋体" w:hAnsi="宋体" w:eastAsia="宋体" w:cs="宋体"/>
                <w:i w:val="0"/>
                <w:iCs w:val="0"/>
                <w:color w:val="auto"/>
                <w:sz w:val="21"/>
                <w:szCs w:val="21"/>
                <w:highlight w:val="none"/>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智能双机芯摆闸</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1.设计：超薄设计，占地空间小，机箱宽度最窄, 采用304不锈钢和冷轧板喷涂加工成型;</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2.尺寸：1200mm*180mm*980mmmm(长*宽*高);</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3.通道宽度：550mm～1100mm可使用亚克力，间距50mm；</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4.工作电压:C24V,电机功率: 40W;整机功率：≤100W;</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5.通行速度：40~50人/分钟，开关闸速度 0.5S～1.5S可调;</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6.平均无故障次数： 2000万次;</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7.语音播报:语音功能内容丰富，支持中英文语音，支持调节语音音量;</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8.防夹检测:具有红外防夹、电流检测防夹，保障安全;</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9.防尾随:可设置严格的防尾随机制，如尾随报警或尾随关闸;</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10.防反闯:准确判定反向闯入，并有相应的声光提示，确保通行的合法性、有效性;</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11多重防护:机芯三防喷涂及防水防尘罩设计，绝缘防尘、防震防潮、抗腐蚀老化、耐电晕，有效保护内部核心部件;</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 使用环境 室内;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人脸识别门禁通道闸专用设备（室内、外）</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1.操作系统:Linux,外观颜色:银色;</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2.裸机尺寸:220*110*21（L*W*H）mm;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额定电压 DC 12V/1A;整机功率:6W;</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4.工作环境:室内、室外均适用</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5.外观防护等级:IP65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6.适应光照:0.01～100000 LUX（环境光低于50LUX时，自动开启补光灯）</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7.显示屏7英寸IPS屏（1024*600）,屏幕比例16:9,触摸屏5点电容触摸;</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8.摄像头:彩色镜头200万像素、超宽动态</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9.识别方式：面部识别距离 0.3M～2M；二维码识别距离0.2M～0.4M；IC卡读卡距离 ≤ 2.5CM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10.卡号容量：50000(ID模式)、无限制(IC模式)；人脸库：标准50000 张；</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11.识别准确率：≥99.3%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遥控器</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一套含1个手动按钮和2个遥控按扭</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IC卡（含印刷）</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含印刷，采用原装芯片</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线材</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含电源线、网线、控制线和PCV管材</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人行通道闸设备安装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人工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人脸门禁设备安装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人工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三、访客管理系统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线上预约软件及平台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访客人员可通过访客APP、微信公众号线上登记访客信息（人员信息和车辆信息），被访人员确定后，可获得访客人脸识别和车牌预约识别进出权限，也可通过被访人员邀约方式，由被访人员登记填写访客人员信息，获得访客进出权限；访客系统可同人行通道系统和停车场系统联动，实现访客人员人脸识别进出、车辆车牌识别进出</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人脸识别访客机</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整机尺寸 243*195*362（L*W*H）mm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2、操作系统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3、CPU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4、GPU 四核（主频1.8GHz）</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5、内存 2GB</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6、存储 8GB</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7、通讯方式 TCP/IP：10/100Mbps自适应、WIFI：802.11a/b/g/n</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 主屏：10.1英寸、1280*800 显示分辨率、280cd/m2 亮度、30ms响应速度、全视角IPS、16:10 屏幕比例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9、触摸屏：10.1英寸、手指输入方式、＜10ms响应速度、10点电容触摸</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10、副屏：10.1英寸、1280*800 显示分辨率、280cd/m2 亮度、30ms响应速度、全视角IPS、16:10屏幕比例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11、摄像头组 200W 宽动态（支持逆光环境下人脸识别），CMOS感光元件，最大分辨率1920*1080，速率30fps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补光灯开启或关闭，可手动控制</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12、身份证阅读器 第二代居民身份证阅读器，符合公安部GA450/IGA450标准，符合非接触IC卡IS04443标准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（支持读身份证ID号与IC卡ID号），≤1s读卡时间，0～3cm 最大读卡距离</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 打印机模块： 支持行式热敏打印，纸卷宽度58mm，纸卷直径≤40mm，打印速度90mm/s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14人脸识别距离 0.3～0.7 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最大人脸容量：不限（1:1 模式）；1000（1：N模式）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四、升降柱系统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全自动升降柱 柱体直径219mm/壁厚8mm</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额定电压：AC220V 50Hz</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系统动力功率(w)：350W</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上升时间：4S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下降时间：2.5S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工作温度：-30℃~75℃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 材质：304不锈钢</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 柱体规格：高度600mm，直径219mm，厚度8mm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 箱体尺寸：600mm*500mm*150mm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 柱体防护等级：IP68</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 电控箱使用环境：室内（如需室外使用，需订购防水箱）</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 防腐蚀等级：9级</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12. </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浸水性能：48小时无漏电且能正常升降</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 </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遥控器范围：≥30米（遥控信号接收器在电控箱内会影响遥控距离</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控制箱</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2"/>
                <w:rFonts w:hint="eastAsia" w:ascii="宋体" w:hAnsi="宋体" w:eastAsia="宋体" w:cs="宋体"/>
                <w:color w:val="auto"/>
                <w:sz w:val="21"/>
                <w:szCs w:val="21"/>
                <w:highlight w:val="none"/>
                <w:lang w:val="en-US" w:eastAsia="zh-CN" w:bidi="ar"/>
              </w:rPr>
              <w:t>含1比2遥制器及2套手动按钮</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带浮球的潜水泵</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排水井</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线缆的规格有 3芯2.5平方信号线，4芯1平方线接LED灯，2芯1平方应急线</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混泥土</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含运输费用</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角铁</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含运输、焊接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安装辅材</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挖土机挖坑回填和土方清理</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基础坑尺寸建议：长度：路口实际尺寸；宽度：1000mm；深度：1300mm（包含 200mm 的渗水层）</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升降柱设备安装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人工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五、不锈钢电动伸缩门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电动门门排</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有轨安装，门排1.6米高，铝合金材质，通道宽为3.9米和3.3米，采用柱后安装（电动门伸缩后不占用车道宽度）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门驱动机构（机头）</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3"/>
                <w:rFonts w:hint="eastAsia" w:ascii="宋体" w:hAnsi="宋体" w:eastAsia="宋体" w:cs="宋体"/>
                <w:color w:val="auto"/>
                <w:sz w:val="21"/>
                <w:szCs w:val="21"/>
                <w:highlight w:val="none"/>
                <w:lang w:val="en-US" w:eastAsia="zh-CN" w:bidi="ar"/>
              </w:rPr>
              <w:t>含：红外线防撞装置</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磁敏开关</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三维离合器</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过流保护</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全电路无触点控制系统</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时间保护</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音乐警灯</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数码遥控器</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数码遥控（1:2）</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方钢轨道</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电子显示屏</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尺寸：290X290mm，可滚动显示</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安装辅材</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含电源线、管材、拉爆，水泥回填</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电动门安装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挖坑作水泥安装基础、轨道预埋安装、电动门安装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六、设备运输、调试及售后服务费用（贰年）</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r>
    </w:tbl>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rPr>
          <w:color w:val="auto"/>
          <w:highlight w:val="none"/>
        </w:rPr>
      </w:pPr>
    </w:p>
    <w:p>
      <w:pPr>
        <w:pStyle w:val="2"/>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pPr>
        <w:pStyle w:val="4"/>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4"/>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25"/>
        <w:rPr>
          <w:color w:val="auto"/>
          <w:highlight w:val="none"/>
        </w:rPr>
      </w:pPr>
    </w:p>
    <w:p>
      <w:pPr>
        <w:rPr>
          <w:color w:val="auto"/>
          <w:highlight w:val="none"/>
        </w:rPr>
      </w:pPr>
    </w:p>
    <w:p>
      <w:pPr>
        <w:pStyle w:val="4"/>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4"/>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4"/>
        <w:rPr>
          <w:rFonts w:ascii="黑体" w:eastAsia="黑体"/>
          <w:color w:val="auto"/>
          <w:sz w:val="32"/>
          <w:szCs w:val="32"/>
          <w:highlight w:val="none"/>
        </w:rPr>
      </w:pPr>
    </w:p>
    <w:p>
      <w:pPr>
        <w:pStyle w:val="34"/>
        <w:rPr>
          <w:rFonts w:ascii="黑体" w:eastAsia="黑体"/>
          <w:color w:val="auto"/>
          <w:sz w:val="32"/>
          <w:szCs w:val="32"/>
          <w:highlight w:val="none"/>
        </w:rPr>
      </w:pPr>
    </w:p>
    <w:p>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7"/>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7"/>
        <w:ind w:firstLine="422"/>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4"/>
        <w:rPr>
          <w:color w:val="auto"/>
          <w:highlight w:val="none"/>
        </w:rPr>
      </w:pPr>
    </w:p>
    <w:p>
      <w:pPr>
        <w:tabs>
          <w:tab w:val="left" w:pos="284"/>
        </w:tabs>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tabs>
          <w:tab w:val="left" w:pos="284"/>
        </w:tabs>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30247"/>
      <w:bookmarkStart w:id="223" w:name="_Toc20910"/>
      <w:bookmarkStart w:id="224" w:name="_Toc508898066"/>
      <w:bookmarkStart w:id="225" w:name="_Toc509479530"/>
      <w:bookmarkStart w:id="226" w:name="_Toc510171693"/>
      <w:bookmarkStart w:id="227" w:name="_Toc22970"/>
      <w:bookmarkStart w:id="228" w:name="_Toc508960153"/>
      <w:bookmarkStart w:id="229" w:name="_Toc509844825"/>
      <w:bookmarkStart w:id="230" w:name="_Toc508958703"/>
      <w:bookmarkStart w:id="231" w:name="_Toc509927455"/>
      <w:bookmarkStart w:id="232" w:name="_Toc30277"/>
      <w:bookmarkStart w:id="233" w:name="_Toc17761"/>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9"/>
        <w:rPr>
          <w:color w:val="auto"/>
          <w:highlight w:val="none"/>
        </w:rPr>
      </w:pPr>
    </w:p>
    <w:p>
      <w:pPr>
        <w:ind w:firstLine="420" w:firstLineChars="200"/>
        <w:rPr>
          <w:rFonts w:ascii="宋体" w:hAnsi="宋体"/>
          <w:color w:val="auto"/>
          <w:szCs w:val="21"/>
          <w:highlight w:val="none"/>
        </w:rPr>
      </w:pPr>
      <w:bookmarkStart w:id="234" w:name="_Toc509479531"/>
      <w:bookmarkStart w:id="235" w:name="_Toc21053"/>
      <w:bookmarkStart w:id="236" w:name="_Toc508960154"/>
      <w:bookmarkStart w:id="237" w:name="_Toc31520"/>
      <w:bookmarkStart w:id="238" w:name="_Toc510171694"/>
      <w:bookmarkStart w:id="239" w:name="_Toc5447"/>
      <w:bookmarkStart w:id="240" w:name="_Toc509844826"/>
      <w:bookmarkStart w:id="241" w:name="_Toc509927456"/>
      <w:bookmarkStart w:id="242" w:name="_Toc508898067"/>
      <w:bookmarkStart w:id="243" w:name="_Toc508958704"/>
      <w:bookmarkStart w:id="244" w:name="_Toc26216"/>
      <w:bookmarkStart w:id="245" w:name="_Toc2852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8960155"/>
      <w:bookmarkStart w:id="247" w:name="_Toc510171695"/>
      <w:bookmarkStart w:id="248" w:name="_Toc509927457"/>
      <w:bookmarkStart w:id="249" w:name="_Toc24848"/>
      <w:bookmarkStart w:id="250" w:name="_Toc28126"/>
      <w:bookmarkStart w:id="251" w:name="_Toc508898068"/>
      <w:bookmarkStart w:id="252" w:name="_Toc508958705"/>
      <w:bookmarkStart w:id="253" w:name="_Toc9148"/>
      <w:bookmarkStart w:id="254" w:name="_Toc28626"/>
      <w:bookmarkStart w:id="255" w:name="_Toc14653"/>
      <w:bookmarkStart w:id="256" w:name="_Toc509479532"/>
      <w:bookmarkStart w:id="257" w:name="_Toc50984482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10171696"/>
      <w:bookmarkStart w:id="259" w:name="_Toc508958706"/>
      <w:bookmarkStart w:id="260" w:name="_Toc7858"/>
      <w:bookmarkStart w:id="261" w:name="_Toc508960156"/>
      <w:bookmarkStart w:id="262" w:name="_Toc9837"/>
      <w:bookmarkStart w:id="263" w:name="_Toc28044"/>
      <w:bookmarkStart w:id="264" w:name="_Toc28686"/>
      <w:bookmarkStart w:id="265" w:name="_Toc509844828"/>
      <w:bookmarkStart w:id="266" w:name="_Toc22981"/>
      <w:bookmarkStart w:id="267" w:name="_Toc509927458"/>
      <w:bookmarkStart w:id="268" w:name="_Toc508898069"/>
      <w:bookmarkStart w:id="269"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958707"/>
      <w:bookmarkStart w:id="271" w:name="_Toc509844829"/>
      <w:bookmarkStart w:id="272" w:name="_Toc5289"/>
      <w:bookmarkStart w:id="273" w:name="_Toc509927459"/>
      <w:bookmarkStart w:id="274" w:name="_Toc18843"/>
      <w:bookmarkStart w:id="275" w:name="_Toc508960157"/>
      <w:bookmarkStart w:id="276" w:name="_Toc510171697"/>
      <w:bookmarkStart w:id="277" w:name="_Toc509479534"/>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0"/>
        <w:spacing w:line="500" w:lineRule="atLeast"/>
        <w:ind w:firstLine="3517" w:firstLineChars="1675"/>
        <w:rPr>
          <w:rFonts w:ascii="宋体" w:eastAsia="宋体"/>
          <w:color w:val="auto"/>
          <w:sz w:val="21"/>
          <w:szCs w:val="21"/>
          <w:highlight w:val="none"/>
        </w:rPr>
      </w:pP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pStyle w:val="40"/>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0"/>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0"/>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9"/>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17470"/>
      <w:bookmarkStart w:id="296" w:name="_Toc1511"/>
      <w:bookmarkStart w:id="297" w:name="_Toc24210"/>
      <w:bookmarkStart w:id="298" w:name="_Toc4926"/>
      <w:bookmarkStart w:id="299" w:name="_Toc28067"/>
      <w:bookmarkStart w:id="300" w:name="_Toc29995"/>
      <w:bookmarkStart w:id="301" w:name="_Toc5919"/>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0"/>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0"/>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9"/>
        <w:ind w:left="0"/>
        <w:rPr>
          <w:color w:val="auto"/>
          <w:highlight w:val="none"/>
        </w:rPr>
      </w:pPr>
    </w:p>
    <w:p>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6080"/>
      <w:bookmarkStart w:id="321" w:name="_Toc18668"/>
      <w:bookmarkStart w:id="322" w:name="_Toc4464"/>
      <w:bookmarkStart w:id="323" w:name="_Toc26078"/>
      <w:bookmarkStart w:id="324" w:name="_Toc4827"/>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4304"/>
            <w:bookmarkStart w:id="331" w:name="_Toc15903"/>
            <w:bookmarkStart w:id="332" w:name="_Toc2700"/>
            <w:bookmarkStart w:id="333" w:name="_Toc10045"/>
            <w:bookmarkStart w:id="334" w:name="_Toc12049"/>
            <w:bookmarkStart w:id="335" w:name="_Toc21739"/>
            <w:bookmarkStart w:id="336" w:name="_Toc22448"/>
            <w:bookmarkStart w:id="337" w:name="_Toc1016"/>
            <w:bookmarkStart w:id="338" w:name="_Toc27090"/>
            <w:bookmarkStart w:id="339" w:name="_Toc16872"/>
            <w:bookmarkStart w:id="340" w:name="_Toc26124"/>
            <w:bookmarkStart w:id="341" w:name="_Toc14815"/>
            <w:bookmarkStart w:id="342" w:name="_Toc15368"/>
            <w:bookmarkStart w:id="343" w:name="_Toc22917"/>
            <w:bookmarkStart w:id="344" w:name="_Toc22879"/>
            <w:bookmarkStart w:id="345" w:name="_Toc32531"/>
            <w:bookmarkStart w:id="346" w:name="_Toc19251"/>
            <w:bookmarkStart w:id="347" w:name="_Toc7333"/>
            <w:bookmarkStart w:id="348" w:name="_Toc8490"/>
            <w:bookmarkStart w:id="349" w:name="_Toc8312"/>
            <w:bookmarkStart w:id="350" w:name="_Toc21809"/>
            <w:bookmarkStart w:id="351" w:name="_Toc27442"/>
            <w:bookmarkStart w:id="352" w:name="_Toc2466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9838"/>
            <w:bookmarkStart w:id="358" w:name="_Toc27285"/>
            <w:bookmarkStart w:id="359" w:name="_Toc17296"/>
            <w:bookmarkStart w:id="360" w:name="_Toc27185"/>
            <w:bookmarkStart w:id="361" w:name="_Toc1912"/>
            <w:bookmarkStart w:id="362" w:name="_Toc5992"/>
            <w:bookmarkStart w:id="363" w:name="_Toc20820"/>
            <w:bookmarkStart w:id="364" w:name="_Toc20139"/>
            <w:bookmarkStart w:id="365" w:name="_Toc5563"/>
            <w:bookmarkStart w:id="366" w:name="_Toc1330"/>
            <w:bookmarkStart w:id="367" w:name="_Toc3701"/>
            <w:bookmarkStart w:id="368" w:name="_Toc1764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19105"/>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w:t>
      </w:r>
    </w:p>
    <w:p>
      <w:pPr>
        <w:pStyle w:val="37"/>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7"/>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7"/>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7"/>
        <w:rPr>
          <w:rFonts w:ascii="宋体" w:hAnsi="宋体"/>
          <w:color w:val="auto"/>
          <w:szCs w:val="21"/>
          <w:highlight w:val="none"/>
        </w:rPr>
      </w:pPr>
    </w:p>
    <w:p>
      <w:pPr>
        <w:pStyle w:val="37"/>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9"/>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9"/>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9"/>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rPr>
          <w:color w:val="auto"/>
          <w:highlight w:val="none"/>
        </w:rPr>
      </w:pPr>
    </w:p>
    <w:p>
      <w:pPr>
        <w:pStyle w:val="9"/>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6"/>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5"/>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2"/>
        </w:rPr>
        <w:footnoteRef/>
      </w:r>
      <w:r>
        <w:t xml:space="preserve"> </w:t>
      </w:r>
      <w:r>
        <w:rPr>
          <w:rFonts w:hint="eastAsia"/>
        </w:rPr>
        <w:t>从业人员、营业人员、资产总额填报上一年度数据，无上一年度数据的新成立企业可不填报。</w:t>
      </w:r>
    </w:p>
  </w:footnote>
  <w:footnote w:id="1">
    <w:p>
      <w:pPr>
        <w:pStyle w:val="21"/>
      </w:pPr>
      <w:r>
        <w:rPr>
          <w:rStyle w:val="32"/>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5D410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F04F64"/>
    <w:rsid w:val="24270557"/>
    <w:rsid w:val="24814CBE"/>
    <w:rsid w:val="24AC168B"/>
    <w:rsid w:val="258C3BEC"/>
    <w:rsid w:val="2594045D"/>
    <w:rsid w:val="25E576CC"/>
    <w:rsid w:val="260E3862"/>
    <w:rsid w:val="262569FC"/>
    <w:rsid w:val="26344C98"/>
    <w:rsid w:val="26F56CE2"/>
    <w:rsid w:val="271316D3"/>
    <w:rsid w:val="27435D49"/>
    <w:rsid w:val="279D7544"/>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BA3834"/>
    <w:rsid w:val="2CC7419D"/>
    <w:rsid w:val="2CFF149A"/>
    <w:rsid w:val="2D113745"/>
    <w:rsid w:val="2D201865"/>
    <w:rsid w:val="2D4B5CEA"/>
    <w:rsid w:val="2D652658"/>
    <w:rsid w:val="2DB41456"/>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E2810D5"/>
    <w:rsid w:val="5E2B7D62"/>
    <w:rsid w:val="5E71411E"/>
    <w:rsid w:val="5EA06921"/>
    <w:rsid w:val="5ED5006A"/>
    <w:rsid w:val="5F576E4B"/>
    <w:rsid w:val="5F5D4EDE"/>
    <w:rsid w:val="5F7A2C30"/>
    <w:rsid w:val="5F7E5DBD"/>
    <w:rsid w:val="5FBE370A"/>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2683F"/>
    <w:rsid w:val="778546CC"/>
    <w:rsid w:val="77B01880"/>
    <w:rsid w:val="77B56730"/>
    <w:rsid w:val="77C04A8B"/>
    <w:rsid w:val="77D85DB3"/>
    <w:rsid w:val="780252A0"/>
    <w:rsid w:val="78027772"/>
    <w:rsid w:val="78A50513"/>
    <w:rsid w:val="79082967"/>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outlineLvl w:val="2"/>
    </w:pPr>
    <w:rPr>
      <w:b/>
      <w:bCs/>
      <w:sz w:val="28"/>
      <w:szCs w:val="32"/>
    </w:rPr>
  </w:style>
  <w:style w:type="paragraph" w:styleId="5">
    <w:name w:val="heading 4"/>
    <w:basedOn w:val="1"/>
    <w:next w:val="1"/>
    <w:link w:val="38"/>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semiHidden/>
    <w:unhideWhenUsed/>
    <w:qFormat/>
    <w:uiPriority w:val="99"/>
  </w:style>
  <w:style w:type="paragraph" w:styleId="9">
    <w:name w:val="Body Text"/>
    <w:basedOn w:val="1"/>
    <w:next w:val="10"/>
    <w:qFormat/>
    <w:uiPriority w:val="1"/>
    <w:pPr>
      <w:spacing w:before="161"/>
      <w:ind w:left="120"/>
    </w:pPr>
    <w:rPr>
      <w:rFonts w:ascii="宋体" w:hAnsi="宋体" w:cs="宋体"/>
      <w:sz w:val="24"/>
      <w:lang w:val="zh-CN" w:bidi="zh-CN"/>
    </w:rPr>
  </w:style>
  <w:style w:type="paragraph" w:styleId="1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8"/>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1"/>
    <w:semiHidden/>
    <w:unhideWhenUsed/>
    <w:qFormat/>
    <w:uiPriority w:val="99"/>
    <w:rPr>
      <w:sz w:val="18"/>
      <w:szCs w:val="18"/>
    </w:rPr>
  </w:style>
  <w:style w:type="paragraph" w:styleId="15">
    <w:name w:val="footer"/>
    <w:basedOn w:val="1"/>
    <w:link w:val="50"/>
    <w:unhideWhenUsed/>
    <w:qFormat/>
    <w:uiPriority w:val="99"/>
    <w:pPr>
      <w:tabs>
        <w:tab w:val="center" w:pos="4153"/>
        <w:tab w:val="right" w:pos="8306"/>
      </w:tabs>
    </w:pPr>
    <w:rPr>
      <w:sz w:val="18"/>
      <w:szCs w:val="18"/>
    </w:rPr>
  </w:style>
  <w:style w:type="paragraph" w:styleId="16">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3"/>
    <w:qFormat/>
    <w:uiPriority w:val="0"/>
    <w:pPr>
      <w:widowControl w:val="0"/>
      <w:adjustRightInd/>
      <w:snapToGrid/>
      <w:jc w:val="both"/>
    </w:pPr>
    <w:rPr>
      <w:rFonts w:asciiTheme="minorHAnsi" w:hAnsiTheme="minorHAnsi"/>
      <w:kern w:val="2"/>
      <w:sz w:val="24"/>
      <w:szCs w:val="24"/>
    </w:rPr>
  </w:style>
  <w:style w:type="paragraph" w:styleId="24">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5">
    <w:name w:val="Body Text First Indent"/>
    <w:basedOn w:val="9"/>
    <w:unhideWhenUsed/>
    <w:qFormat/>
    <w:uiPriority w:val="99"/>
    <w:pPr>
      <w:ind w:firstLine="420" w:firstLineChars="100"/>
    </w:pPr>
    <w:rPr>
      <w:rFonts w:ascii="Times New Roman" w:hAnsi="Times New Roman" w:cs="Times New Roma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4">
    <w:name w:val="表格文字"/>
    <w:basedOn w:val="1"/>
    <w:qFormat/>
    <w:uiPriority w:val="0"/>
    <w:pPr>
      <w:adjustRightInd/>
      <w:spacing w:before="25" w:after="25"/>
    </w:pPr>
    <w:rPr>
      <w:rFonts w:ascii="Times New Roman"/>
      <w:bCs/>
      <w:spacing w:val="10"/>
      <w:szCs w:val="20"/>
    </w:rPr>
  </w:style>
  <w:style w:type="character" w:customStyle="1" w:styleId="35">
    <w:name w:val="标题 2 Char"/>
    <w:basedOn w:val="28"/>
    <w:link w:val="2"/>
    <w:qFormat/>
    <w:uiPriority w:val="9"/>
    <w:rPr>
      <w:rFonts w:asciiTheme="majorHAnsi" w:hAnsiTheme="majorHAnsi" w:eastAsiaTheme="majorEastAsia" w:cstheme="majorBidi"/>
      <w:b/>
      <w:bCs/>
      <w:sz w:val="32"/>
      <w:szCs w:val="32"/>
    </w:rPr>
  </w:style>
  <w:style w:type="character" w:customStyle="1" w:styleId="36">
    <w:name w:val="标题 3 Char"/>
    <w:basedOn w:val="28"/>
    <w:link w:val="4"/>
    <w:qFormat/>
    <w:uiPriority w:val="9"/>
    <w:rPr>
      <w:rFonts w:ascii="Tahoma" w:hAnsi="Tahoma" w:eastAsia="宋体"/>
      <w:b/>
      <w:bCs/>
      <w:sz w:val="28"/>
      <w:szCs w:val="32"/>
    </w:rPr>
  </w:style>
  <w:style w:type="paragraph" w:styleId="37">
    <w:name w:val="List Paragraph"/>
    <w:basedOn w:val="1"/>
    <w:qFormat/>
    <w:uiPriority w:val="34"/>
    <w:pPr>
      <w:ind w:firstLine="420" w:firstLineChars="200"/>
    </w:pPr>
  </w:style>
  <w:style w:type="character" w:customStyle="1" w:styleId="38">
    <w:name w:val="标题 4 Char"/>
    <w:basedOn w:val="28"/>
    <w:link w:val="5"/>
    <w:qFormat/>
    <w:uiPriority w:val="9"/>
    <w:rPr>
      <w:rFonts w:eastAsia="宋体" w:asciiTheme="majorHAnsi" w:hAnsiTheme="majorHAnsi" w:cstheme="majorBidi"/>
      <w:b/>
      <w:bCs/>
      <w:sz w:val="24"/>
      <w:szCs w:val="28"/>
    </w:rPr>
  </w:style>
  <w:style w:type="character" w:customStyle="1" w:styleId="39">
    <w:name w:val="正文缩进2格 Char"/>
    <w:link w:val="40"/>
    <w:qFormat/>
    <w:uiPriority w:val="0"/>
    <w:rPr>
      <w:rFonts w:ascii="仿宋_GB2312" w:hAnsi="宋体" w:eastAsia="仿宋_GB2312"/>
      <w:kern w:val="2"/>
      <w:sz w:val="31"/>
    </w:rPr>
  </w:style>
  <w:style w:type="paragraph" w:customStyle="1" w:styleId="40">
    <w:name w:val="正文缩进2格"/>
    <w:basedOn w:val="1"/>
    <w:next w:val="1"/>
    <w:link w:val="39"/>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1">
    <w:name w:val="正文缩进4格"/>
    <w:basedOn w:val="40"/>
    <w:qFormat/>
    <w:uiPriority w:val="0"/>
    <w:pPr>
      <w:ind w:left="2" w:firstLine="538" w:firstLineChars="192"/>
    </w:pPr>
    <w:rPr>
      <w:color w:val="0000FF"/>
      <w:sz w:val="28"/>
    </w:rPr>
  </w:style>
  <w:style w:type="character" w:customStyle="1" w:styleId="42">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4"/>
    <w:link w:val="44"/>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8"/>
    <w:link w:val="12"/>
    <w:semiHidden/>
    <w:qFormat/>
    <w:uiPriority w:val="99"/>
    <w:rPr>
      <w:rFonts w:ascii="宋体" w:hAnsi="Courier New" w:eastAsia="宋体" w:cs="Courier New"/>
      <w:sz w:val="21"/>
      <w:szCs w:val="21"/>
    </w:rPr>
  </w:style>
  <w:style w:type="character" w:customStyle="1" w:styleId="49">
    <w:name w:val="页眉 Char"/>
    <w:basedOn w:val="28"/>
    <w:link w:val="16"/>
    <w:qFormat/>
    <w:uiPriority w:val="99"/>
    <w:rPr>
      <w:rFonts w:ascii="Tahoma" w:hAnsi="Tahoma"/>
      <w:sz w:val="18"/>
      <w:szCs w:val="18"/>
    </w:rPr>
  </w:style>
  <w:style w:type="character" w:customStyle="1" w:styleId="50">
    <w:name w:val="页脚 Char"/>
    <w:basedOn w:val="28"/>
    <w:link w:val="15"/>
    <w:qFormat/>
    <w:uiPriority w:val="99"/>
    <w:rPr>
      <w:rFonts w:ascii="Tahoma" w:hAnsi="Tahoma"/>
      <w:sz w:val="18"/>
      <w:szCs w:val="18"/>
    </w:rPr>
  </w:style>
  <w:style w:type="character" w:customStyle="1" w:styleId="51">
    <w:name w:val="批注框文本 Char"/>
    <w:basedOn w:val="28"/>
    <w:link w:val="14"/>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3">
    <w:name w:val="普通(网站) Char"/>
    <w:link w:val="23"/>
    <w:qFormat/>
    <w:uiPriority w:val="0"/>
    <w:rPr>
      <w:rFonts w:eastAsia="宋体"/>
      <w:kern w:val="2"/>
      <w:sz w:val="24"/>
      <w:szCs w:val="24"/>
    </w:rPr>
  </w:style>
  <w:style w:type="paragraph" w:customStyle="1" w:styleId="5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5">
    <w:name w:val="p141"/>
    <w:qFormat/>
    <w:uiPriority w:val="0"/>
    <w:rPr>
      <w:sz w:val="21"/>
      <w:szCs w:val="21"/>
    </w:rPr>
  </w:style>
  <w:style w:type="paragraph" w:customStyle="1" w:styleId="56">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7">
    <w:name w:val="正文无缩进"/>
    <w:basedOn w:val="40"/>
    <w:qFormat/>
    <w:uiPriority w:val="0"/>
    <w:pPr>
      <w:ind w:firstLine="0" w:firstLineChars="0"/>
    </w:pPr>
  </w:style>
  <w:style w:type="paragraph" w:customStyle="1" w:styleId="58">
    <w:name w:val="一级条标题"/>
    <w:basedOn w:val="59"/>
    <w:next w:val="60"/>
    <w:qFormat/>
    <w:uiPriority w:val="0"/>
    <w:pPr>
      <w:tabs>
        <w:tab w:val="left" w:pos="720"/>
      </w:tabs>
      <w:spacing w:beforeLines="0" w:afterLines="0"/>
      <w:outlineLvl w:val="2"/>
    </w:pPr>
  </w:style>
  <w:style w:type="paragraph" w:customStyle="1" w:styleId="59">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1">
    <w:name w:val="font212"/>
    <w:basedOn w:val="28"/>
    <w:qFormat/>
    <w:uiPriority w:val="0"/>
    <w:rPr>
      <w:rFonts w:ascii="宋体" w:hAnsi="宋体" w:eastAsia="宋体" w:cs="宋体"/>
      <w:color w:val="000000"/>
      <w:sz w:val="22"/>
      <w:szCs w:val="22"/>
      <w:u w:val="none"/>
    </w:rPr>
  </w:style>
  <w:style w:type="character" w:customStyle="1" w:styleId="62">
    <w:name w:val="font41"/>
    <w:basedOn w:val="28"/>
    <w:qFormat/>
    <w:uiPriority w:val="0"/>
    <w:rPr>
      <w:rFonts w:hint="eastAsia" w:ascii="宋体" w:hAnsi="宋体" w:eastAsia="宋体" w:cs="宋体"/>
      <w:color w:val="000000"/>
      <w:sz w:val="22"/>
      <w:szCs w:val="22"/>
      <w:u w:val="none"/>
    </w:rPr>
  </w:style>
  <w:style w:type="character" w:customStyle="1" w:styleId="63">
    <w:name w:val="font181"/>
    <w:basedOn w:val="28"/>
    <w:qFormat/>
    <w:uiPriority w:val="0"/>
    <w:rPr>
      <w:rFonts w:hint="default" w:ascii="Times New Roman" w:hAnsi="Times New Roman" w:cs="Times New Roman"/>
      <w:color w:val="000000"/>
      <w:sz w:val="22"/>
      <w:szCs w:val="22"/>
      <w:u w:val="none"/>
    </w:rPr>
  </w:style>
  <w:style w:type="character" w:customStyle="1" w:styleId="64">
    <w:name w:val="font221"/>
    <w:basedOn w:val="28"/>
    <w:qFormat/>
    <w:uiPriority w:val="0"/>
    <w:rPr>
      <w:rFonts w:hint="eastAsia" w:ascii="宋体" w:hAnsi="宋体" w:eastAsia="宋体" w:cs="宋体"/>
      <w:color w:val="000000"/>
      <w:sz w:val="22"/>
      <w:szCs w:val="22"/>
      <w:u w:val="none"/>
      <w:vertAlign w:val="superscript"/>
    </w:rPr>
  </w:style>
  <w:style w:type="character" w:customStyle="1" w:styleId="65">
    <w:name w:val="font161"/>
    <w:basedOn w:val="28"/>
    <w:qFormat/>
    <w:uiPriority w:val="0"/>
    <w:rPr>
      <w:rFonts w:hint="eastAsia" w:ascii="宋体" w:hAnsi="宋体" w:eastAsia="宋体" w:cs="宋体"/>
      <w:color w:val="000000"/>
      <w:sz w:val="22"/>
      <w:szCs w:val="22"/>
      <w:u w:val="none"/>
    </w:rPr>
  </w:style>
  <w:style w:type="character" w:customStyle="1" w:styleId="66">
    <w:name w:val="font131"/>
    <w:basedOn w:val="28"/>
    <w:qFormat/>
    <w:uiPriority w:val="0"/>
    <w:rPr>
      <w:rFonts w:hint="eastAsia" w:ascii="微软雅黑" w:hAnsi="微软雅黑" w:eastAsia="微软雅黑" w:cs="微软雅黑"/>
      <w:color w:val="000000"/>
      <w:sz w:val="22"/>
      <w:szCs w:val="22"/>
      <w:u w:val="none"/>
    </w:rPr>
  </w:style>
  <w:style w:type="paragraph" w:customStyle="1" w:styleId="67">
    <w:name w:val="*正文"/>
    <w:basedOn w:val="1"/>
    <w:qFormat/>
    <w:uiPriority w:val="0"/>
    <w:pPr>
      <w:spacing w:after="200"/>
      <w:ind w:firstLine="200"/>
    </w:pPr>
    <w:rPr>
      <w:rFonts w:ascii="宋体" w:hAnsi="宋体"/>
      <w:sz w:val="24"/>
      <w:szCs w:val="24"/>
    </w:rPr>
  </w:style>
  <w:style w:type="paragraph" w:customStyle="1" w:styleId="68">
    <w:name w:val="列出段落2"/>
    <w:basedOn w:val="1"/>
    <w:qFormat/>
    <w:uiPriority w:val="0"/>
    <w:pPr>
      <w:ind w:firstLine="420" w:firstLineChars="200"/>
    </w:pPr>
    <w:rPr>
      <w:rFonts w:ascii="Calibri" w:hAnsi="Calibri" w:cs="Times New Roman"/>
    </w:rPr>
  </w:style>
  <w:style w:type="paragraph" w:customStyle="1" w:styleId="69">
    <w:name w:val="Table Paragraph"/>
    <w:basedOn w:val="1"/>
    <w:qFormat/>
    <w:uiPriority w:val="1"/>
  </w:style>
  <w:style w:type="character" w:customStyle="1" w:styleId="70">
    <w:name w:val="font61"/>
    <w:basedOn w:val="28"/>
    <w:qFormat/>
    <w:uiPriority w:val="0"/>
    <w:rPr>
      <w:rFonts w:hint="eastAsia" w:ascii="宋体" w:hAnsi="宋体" w:eastAsia="宋体" w:cs="宋体"/>
      <w:color w:val="000000"/>
      <w:sz w:val="20"/>
      <w:szCs w:val="20"/>
      <w:u w:val="none"/>
    </w:rPr>
  </w:style>
  <w:style w:type="character" w:customStyle="1" w:styleId="71">
    <w:name w:val="font101"/>
    <w:basedOn w:val="28"/>
    <w:qFormat/>
    <w:uiPriority w:val="0"/>
    <w:rPr>
      <w:rFonts w:hint="eastAsia" w:ascii="宋体" w:hAnsi="宋体" w:eastAsia="宋体" w:cs="宋体"/>
      <w:color w:val="70AD47"/>
      <w:sz w:val="20"/>
      <w:szCs w:val="20"/>
      <w:u w:val="none"/>
    </w:rPr>
  </w:style>
  <w:style w:type="character" w:customStyle="1" w:styleId="72">
    <w:name w:val="font31"/>
    <w:basedOn w:val="28"/>
    <w:qFormat/>
    <w:uiPriority w:val="0"/>
    <w:rPr>
      <w:rFonts w:hint="eastAsia" w:ascii="宋体" w:hAnsi="宋体" w:eastAsia="宋体" w:cs="宋体"/>
      <w:color w:val="000000"/>
      <w:sz w:val="20"/>
      <w:szCs w:val="20"/>
      <w:u w:val="none"/>
    </w:rPr>
  </w:style>
  <w:style w:type="character" w:customStyle="1" w:styleId="73">
    <w:name w:val="font91"/>
    <w:basedOn w:val="28"/>
    <w:uiPriority w:val="0"/>
    <w:rPr>
      <w:rFonts w:hint="eastAsia" w:ascii="宋体" w:hAnsi="宋体" w:eastAsia="宋体" w:cs="宋体"/>
      <w:color w:val="000000"/>
      <w:sz w:val="22"/>
      <w:szCs w:val="22"/>
      <w:u w:val="none"/>
    </w:rPr>
  </w:style>
  <w:style w:type="character" w:customStyle="1" w:styleId="74">
    <w:name w:val="font121"/>
    <w:basedOn w:val="2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81</Pages>
  <Words>32737</Words>
  <Characters>34074</Characters>
  <Lines>392</Lines>
  <Paragraphs>110</Paragraphs>
  <TotalTime>1</TotalTime>
  <ScaleCrop>false</ScaleCrop>
  <LinksUpToDate>false</LinksUpToDate>
  <CharactersWithSpaces>36548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2023-06-02T09:43:31Z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E13B87CF87A84DA3A3A677E29AB0D551_13</vt:lpwstr>
  </property>
</Properties>
</file>