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3"/>
        <w:ind w:left="0" w:firstLine="0" w:firstLineChars="0"/>
        <w:rPr>
          <w:rFonts w:ascii="黑体" w:eastAsia="黑体"/>
          <w:color w:val="auto"/>
          <w:szCs w:val="21"/>
          <w:highlight w:val="none"/>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GDZT2023118C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东莞市横沥镇第二幼儿园校园文化建设采购项目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东莞市横沥镇教育管理中心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1"/>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highlight w:val="none"/>
          <w:u w:val="none"/>
        </w:rPr>
      </w:pPr>
      <w:r>
        <w:rPr>
          <w:rFonts w:hint="eastAsia" w:ascii="宋体" w:hAnsi="宋体" w:eastAsia="宋体" w:cs="宋体"/>
          <w:b/>
          <w:bCs w:val="0"/>
          <w:sz w:val="21"/>
          <w:szCs w:val="21"/>
          <w:highlight w:val="none"/>
          <w:u w:val="none"/>
        </w:rPr>
        <w:t>（本提示内容非招标文件的组成部分，仅</w:t>
      </w:r>
      <w:r>
        <w:rPr>
          <w:rFonts w:hint="eastAsia" w:ascii="宋体" w:hAnsi="宋体" w:eastAsia="宋体" w:cs="宋体"/>
          <w:b/>
          <w:bCs w:val="0"/>
          <w:sz w:val="21"/>
          <w:szCs w:val="21"/>
          <w:highlight w:val="none"/>
          <w:u w:val="none"/>
          <w:lang w:val="en-US" w:eastAsia="zh-CN"/>
        </w:rPr>
        <w:t>起</w:t>
      </w:r>
      <w:r>
        <w:rPr>
          <w:rFonts w:hint="eastAsia" w:ascii="宋体" w:hAnsi="宋体" w:eastAsia="宋体" w:cs="宋体"/>
          <w:b/>
          <w:bCs w:val="0"/>
          <w:sz w:val="21"/>
          <w:szCs w:val="21"/>
          <w:highlight w:val="none"/>
          <w:u w:val="none"/>
        </w:rPr>
        <w:t>提醒</w:t>
      </w:r>
      <w:r>
        <w:rPr>
          <w:rFonts w:hint="eastAsia" w:ascii="宋体" w:hAnsi="宋体" w:eastAsia="宋体" w:cs="宋体"/>
          <w:b/>
          <w:bCs w:val="0"/>
          <w:sz w:val="21"/>
          <w:szCs w:val="21"/>
          <w:highlight w:val="none"/>
          <w:u w:val="none"/>
          <w:lang w:val="en-US" w:eastAsia="zh-CN"/>
        </w:rPr>
        <w:t>作用</w:t>
      </w:r>
      <w:r>
        <w:rPr>
          <w:rFonts w:hint="eastAsia" w:ascii="宋体" w:hAnsi="宋体" w:eastAsia="宋体" w:cs="宋体"/>
          <w:b/>
          <w:bCs w:val="0"/>
          <w:sz w:val="21"/>
          <w:szCs w:val="21"/>
          <w:highlight w:val="none"/>
          <w:u w:val="none"/>
        </w:rPr>
        <w:t>；如有不一致，以招标文件为准）</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highlight w:val="none"/>
          <w:u w:val="none"/>
        </w:rPr>
      </w:pPr>
      <w:r>
        <w:rPr>
          <w:rFonts w:hint="eastAsia" w:ascii="宋体" w:hAnsi="宋体" w:eastAsia="宋体" w:cs="宋体"/>
          <w:b/>
          <w:bCs w:val="0"/>
          <w:sz w:val="21"/>
          <w:szCs w:val="21"/>
          <w:highlight w:val="none"/>
          <w:u w:val="none"/>
          <w:lang w:val="en-US" w:eastAsia="zh-CN"/>
        </w:rPr>
        <w:t>1、</w:t>
      </w:r>
      <w:r>
        <w:rPr>
          <w:rFonts w:hint="eastAsia" w:ascii="宋体" w:hAnsi="宋体" w:eastAsia="宋体" w:cs="宋体"/>
          <w:b/>
          <w:bCs w:val="0"/>
          <w:sz w:val="21"/>
          <w:szCs w:val="21"/>
          <w:highlight w:val="none"/>
          <w:u w:val="none"/>
        </w:rPr>
        <w:t>请各投标供应商在制作投标文件时认真阅读本招标文件的内容。</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2</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建议投标供应商将投标文件正本、副本、唱标信封分别密封包装，并按照招标文件“第</w:t>
      </w:r>
      <w:r>
        <w:rPr>
          <w:rFonts w:hint="eastAsia" w:ascii="宋体" w:hAnsi="宋体" w:cs="宋体"/>
          <w:b/>
          <w:bCs w:val="0"/>
          <w:sz w:val="21"/>
          <w:szCs w:val="21"/>
          <w:highlight w:val="none"/>
          <w:u w:val="none"/>
          <w:lang w:val="en-US" w:eastAsia="zh-CN"/>
        </w:rPr>
        <w:t>四</w:t>
      </w:r>
      <w:r>
        <w:rPr>
          <w:rFonts w:hint="eastAsia" w:ascii="宋体" w:hAnsi="宋体" w:eastAsia="宋体" w:cs="宋体"/>
          <w:b/>
          <w:bCs w:val="0"/>
          <w:sz w:val="21"/>
          <w:szCs w:val="21"/>
          <w:highlight w:val="none"/>
          <w:u w:val="none"/>
          <w:lang w:val="en-US" w:eastAsia="zh-CN"/>
        </w:rPr>
        <w:t>部分</w:t>
      </w:r>
      <w:r>
        <w:rPr>
          <w:rFonts w:hint="eastAsia" w:ascii="宋体" w:hAnsi="宋体" w:eastAsia="宋体" w:cs="宋体"/>
          <w:b/>
          <w:bCs w:val="0"/>
          <w:sz w:val="21"/>
          <w:szCs w:val="21"/>
          <w:highlight w:val="none"/>
          <w:u w:val="none"/>
        </w:rPr>
        <w:t xml:space="preserve"> 投标人须知 </w:t>
      </w:r>
      <w:r>
        <w:rPr>
          <w:rFonts w:hint="eastAsia" w:ascii="宋体" w:hAnsi="宋体" w:eastAsia="宋体" w:cs="宋体"/>
          <w:b/>
          <w:bCs w:val="0"/>
          <w:sz w:val="21"/>
          <w:szCs w:val="21"/>
          <w:highlight w:val="none"/>
          <w:u w:val="none"/>
          <w:lang w:val="en-US" w:eastAsia="zh-CN"/>
        </w:rPr>
        <w:t>第四章</w:t>
      </w:r>
      <w:r>
        <w:rPr>
          <w:rFonts w:hint="eastAsia" w:ascii="宋体" w:hAnsi="宋体" w:eastAsia="宋体" w:cs="宋体"/>
          <w:b/>
          <w:bCs w:val="0"/>
          <w:sz w:val="21"/>
          <w:szCs w:val="21"/>
          <w:highlight w:val="none"/>
          <w:u w:val="none"/>
        </w:rPr>
        <w:t>投标文件的递交”中相关要求进行提交，避免因密封包装不符合要求而导致投标文件被退回。</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3</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请正确填写《</w:t>
      </w:r>
      <w:r>
        <w:rPr>
          <w:rFonts w:hint="eastAsia" w:ascii="宋体" w:hAnsi="宋体" w:eastAsia="宋体" w:cs="宋体"/>
          <w:b/>
          <w:bCs w:val="0"/>
          <w:sz w:val="21"/>
          <w:szCs w:val="21"/>
          <w:highlight w:val="none"/>
          <w:u w:val="none"/>
          <w:lang w:val="en-US" w:eastAsia="zh-CN"/>
        </w:rPr>
        <w:t>唱标</w:t>
      </w:r>
      <w:r>
        <w:rPr>
          <w:rFonts w:hint="eastAsia" w:ascii="宋体" w:hAnsi="宋体" w:eastAsia="宋体" w:cs="宋体"/>
          <w:b/>
          <w:bCs w:val="0"/>
          <w:sz w:val="21"/>
          <w:szCs w:val="21"/>
          <w:highlight w:val="none"/>
          <w:u w:val="none"/>
        </w:rPr>
        <w:t>一览表》。多包项目请仔细检查包组号，包组号跟包组名称必须一致。</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4</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投标文件应</w:t>
      </w:r>
      <w:r>
        <w:rPr>
          <w:rFonts w:hint="eastAsia" w:ascii="宋体" w:hAnsi="宋体" w:eastAsia="宋体" w:cs="宋体"/>
          <w:b/>
          <w:bCs w:val="0"/>
          <w:sz w:val="21"/>
          <w:szCs w:val="21"/>
          <w:highlight w:val="none"/>
          <w:u w:val="none"/>
          <w:lang w:val="en-US" w:eastAsia="zh-CN"/>
        </w:rPr>
        <w:t>编制目录及</w:t>
      </w:r>
      <w:r>
        <w:rPr>
          <w:rFonts w:hint="eastAsia" w:ascii="宋体" w:hAnsi="宋体" w:eastAsia="宋体" w:cs="宋体"/>
          <w:b/>
          <w:bCs w:val="0"/>
          <w:sz w:val="21"/>
          <w:szCs w:val="21"/>
          <w:highlight w:val="none"/>
          <w:u w:val="none"/>
        </w:rPr>
        <w:t>按顺序编制页码。</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5</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请仔细检查投标文件是否已按招标文件盖章、签名(或盖私章)、签署日期。</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6</w:t>
      </w:r>
      <w:r>
        <w:rPr>
          <w:rFonts w:hint="eastAsia" w:ascii="宋体" w:hAnsi="宋体" w:eastAsia="宋体" w:cs="宋体"/>
          <w:b/>
          <w:bCs w:val="0"/>
          <w:sz w:val="21"/>
          <w:szCs w:val="21"/>
          <w:highlight w:val="none"/>
          <w:u w:val="none"/>
          <w:lang w:val="en-US" w:eastAsia="zh-CN"/>
        </w:rPr>
        <w:t>、加</w:t>
      </w:r>
      <w:r>
        <w:rPr>
          <w:rFonts w:hint="eastAsia" w:ascii="宋体" w:hAnsi="宋体" w:eastAsia="宋体" w:cs="宋体"/>
          <w:b/>
          <w:bCs w:val="0"/>
          <w:sz w:val="21"/>
          <w:szCs w:val="21"/>
          <w:highlight w:val="none"/>
          <w:u w:val="none"/>
        </w:rPr>
        <w:t>★号</w:t>
      </w:r>
      <w:r>
        <w:rPr>
          <w:rFonts w:hint="eastAsia" w:ascii="宋体" w:hAnsi="宋体" w:eastAsia="宋体" w:cs="宋体"/>
          <w:b/>
          <w:bCs w:val="0"/>
          <w:sz w:val="21"/>
          <w:szCs w:val="21"/>
          <w:highlight w:val="none"/>
          <w:u w:val="none"/>
          <w:lang w:val="en-US" w:eastAsia="zh-CN"/>
        </w:rPr>
        <w:t>条款</w:t>
      </w:r>
      <w:r>
        <w:rPr>
          <w:rFonts w:hint="eastAsia" w:ascii="宋体" w:hAnsi="宋体" w:eastAsia="宋体" w:cs="宋体"/>
          <w:b/>
          <w:bCs w:val="0"/>
          <w:sz w:val="21"/>
          <w:szCs w:val="21"/>
          <w:highlight w:val="none"/>
          <w:u w:val="none"/>
        </w:rPr>
        <w:t>必须完全响应，不响应或负偏离将导致投标无效</w:t>
      </w:r>
      <w:r>
        <w:rPr>
          <w:rFonts w:hint="eastAsia" w:ascii="宋体" w:hAnsi="宋体" w:eastAsia="宋体" w:cs="宋体"/>
          <w:b/>
          <w:bCs w:val="0"/>
          <w:sz w:val="21"/>
          <w:szCs w:val="21"/>
          <w:highlight w:val="none"/>
          <w:u w:val="none"/>
          <w:lang w:eastAsia="zh-CN"/>
        </w:rPr>
        <w:t>。</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lang w:val="en-US" w:eastAsia="zh-CN"/>
        </w:rPr>
      </w:pPr>
      <w:r>
        <w:rPr>
          <w:rFonts w:hint="eastAsia" w:ascii="宋体" w:hAnsi="宋体" w:cs="宋体"/>
          <w:b/>
          <w:bCs w:val="0"/>
          <w:sz w:val="21"/>
          <w:szCs w:val="21"/>
          <w:highlight w:val="none"/>
          <w:u w:val="none"/>
          <w:lang w:val="en-US" w:eastAsia="zh-CN"/>
        </w:rPr>
        <w:t>7</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为避免因迟到而无法按时递交投标文件，投标供应商</w:t>
      </w:r>
      <w:r>
        <w:rPr>
          <w:rFonts w:hint="eastAsia" w:ascii="宋体" w:hAnsi="宋体" w:eastAsia="宋体" w:cs="宋体"/>
          <w:b/>
          <w:bCs w:val="0"/>
          <w:sz w:val="21"/>
          <w:szCs w:val="21"/>
          <w:highlight w:val="none"/>
          <w:u w:val="none"/>
          <w:lang w:val="en-US" w:eastAsia="zh-CN"/>
        </w:rPr>
        <w:t>应自行计算路途可能出现塞车的时间，建议</w:t>
      </w:r>
      <w:r>
        <w:rPr>
          <w:rFonts w:hint="eastAsia" w:ascii="宋体" w:hAnsi="宋体" w:eastAsia="宋体" w:cs="宋体"/>
          <w:b/>
          <w:bCs w:val="0"/>
          <w:sz w:val="21"/>
          <w:szCs w:val="21"/>
          <w:highlight w:val="none"/>
          <w:u w:val="none"/>
        </w:rPr>
        <w:t>在投标文件递交截止时间之前30分钟内到达开标地点</w:t>
      </w:r>
      <w:r>
        <w:rPr>
          <w:rFonts w:hint="eastAsia" w:ascii="宋体" w:hAnsi="宋体" w:eastAsia="宋体" w:cs="宋体"/>
          <w:b/>
          <w:bCs w:val="0"/>
          <w:sz w:val="21"/>
          <w:szCs w:val="21"/>
          <w:highlight w:val="none"/>
          <w:u w:val="none"/>
          <w:lang w:eastAsia="zh-CN"/>
        </w:rPr>
        <w:t>，投标截止时间一到，本公司不接收任何投标文件。</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8</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sz w:val="21"/>
          <w:szCs w:val="21"/>
          <w:highlight w:val="none"/>
          <w:u w:val="none"/>
          <w:lang w:val="en-US" w:eastAsia="zh-CN"/>
        </w:rPr>
        <w:t>2</w:t>
      </w:r>
      <w:r>
        <w:rPr>
          <w:rFonts w:hint="eastAsia" w:ascii="宋体" w:hAnsi="宋体" w:eastAsia="宋体" w:cs="宋体"/>
          <w:b/>
          <w:bCs w:val="0"/>
          <w:sz w:val="21"/>
          <w:szCs w:val="21"/>
          <w:highlight w:val="none"/>
          <w:u w:val="none"/>
        </w:rPr>
        <w:t>日前，按《投标邀请函》中的联系方式，以书面形式告知采购代理机构。对您的支持与配合，谨此致谢。</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sz w:val="21"/>
          <w:szCs w:val="21"/>
          <w:highlight w:val="none"/>
          <w:u w:val="none"/>
          <w:lang w:val="en-US" w:eastAsia="zh-CN"/>
        </w:rPr>
      </w:pPr>
      <w:r>
        <w:rPr>
          <w:rFonts w:hint="eastAsia" w:ascii="宋体" w:hAnsi="宋体" w:eastAsia="宋体" w:cs="宋体"/>
          <w:b/>
          <w:bCs w:val="0"/>
          <w:sz w:val="21"/>
          <w:szCs w:val="21"/>
          <w:highlight w:val="none"/>
          <w:u w:val="none"/>
          <w:lang w:val="en-US" w:eastAsia="zh-CN"/>
        </w:rPr>
        <w:t>9、公司位置：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highlight w:val="none"/>
          <w:lang w:eastAsia="zh-CN"/>
        </w:rPr>
      </w:pPr>
      <w:r>
        <w:rPr>
          <w:rFonts w:hint="eastAsia" w:eastAsia="宋体"/>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1"/>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1"/>
        <w:ind w:left="0" w:leftChars="0"/>
        <w:rPr>
          <w:color w:val="auto"/>
          <w:sz w:val="40"/>
          <w:szCs w:val="40"/>
          <w:highlight w:val="none"/>
        </w:rPr>
      </w:pPr>
      <w:r>
        <w:rPr>
          <w:rFonts w:hint="eastAsia"/>
          <w:color w:val="auto"/>
          <w:sz w:val="40"/>
          <w:szCs w:val="40"/>
          <w:highlight w:val="none"/>
        </w:rPr>
        <w:t>目录</w:t>
      </w:r>
    </w:p>
    <w:p>
      <w:pPr>
        <w:pStyle w:val="21"/>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7123"/>
      <w:bookmarkStart w:id="3" w:name="_Toc1420"/>
      <w:bookmarkStart w:id="4" w:name="_Toc885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东莞市横沥镇教育管理中心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东莞市横沥镇第二幼儿园校园文化建设采购项目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GDZT2023118C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东莞市横沥镇第二幼儿园校园文化建设采购项目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4"/>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483"/>
        <w:gridCol w:w="795"/>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2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3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3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02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东莞市横沥镇第二幼儿园校园文化建设采购项目</w:t>
            </w:r>
          </w:p>
        </w:tc>
        <w:tc>
          <w:tcPr>
            <w:tcW w:w="536"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138"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bCs/>
                <w:color w:val="auto"/>
                <w:szCs w:val="21"/>
                <w:highlight w:val="none"/>
                <w:u w:val="single"/>
                <w:lang w:val="en-US" w:eastAsia="zh-CN"/>
              </w:rPr>
              <w:t>400,000.00元</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411" w:firstLineChars="196"/>
        <w:rPr>
          <w:rFonts w:hint="eastAsia"/>
          <w:color w:val="auto"/>
          <w:highlight w:val="none"/>
          <w:lang w:eastAsia="zh-CN"/>
        </w:rPr>
      </w:pP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27</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27</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w:t>
      </w:r>
      <w:bookmarkStart w:id="389" w:name="_GoBack"/>
      <w:bookmarkEnd w:id="389"/>
      <w:r>
        <w:rPr>
          <w:rFonts w:hint="eastAsia" w:ascii="宋体" w:hAnsi="宋体"/>
          <w:color w:val="auto"/>
          <w:szCs w:val="21"/>
          <w:highlight w:val="none"/>
        </w:rPr>
        <w:t>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5</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5</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spacing w:after="0" w:line="360" w:lineRule="auto"/>
        <w:ind w:firstLine="420" w:firstLineChars="200"/>
        <w:rPr>
          <w:rFonts w:hint="eastAsia" w:ascii="宋体" w:hAnsi="宋体" w:eastAsia="宋体"/>
          <w:bCs/>
          <w:sz w:val="21"/>
          <w:szCs w:val="21"/>
          <w:highlight w:val="none"/>
          <w:lang w:val="en-US" w:eastAsia="zh-CN"/>
        </w:rPr>
      </w:pPr>
      <w:r>
        <w:rPr>
          <w:rFonts w:hint="eastAsia" w:ascii="宋体" w:hAnsi="宋体" w:eastAsia="宋体"/>
          <w:bCs/>
          <w:sz w:val="21"/>
          <w:szCs w:val="21"/>
          <w:highlight w:val="none"/>
        </w:rPr>
        <w:t>采购人联系人：</w:t>
      </w:r>
      <w:r>
        <w:rPr>
          <w:rFonts w:hint="eastAsia" w:ascii="宋体" w:hAnsi="宋体"/>
          <w:bCs/>
          <w:sz w:val="21"/>
          <w:szCs w:val="21"/>
          <w:highlight w:val="none"/>
          <w:lang w:val="en-US" w:eastAsia="zh-CN"/>
        </w:rPr>
        <w:t>赖老师</w:t>
      </w:r>
    </w:p>
    <w:p>
      <w:pPr>
        <w:spacing w:after="0" w:line="360" w:lineRule="auto"/>
        <w:ind w:firstLine="420" w:firstLineChars="200"/>
        <w:rPr>
          <w:rFonts w:ascii="宋体" w:hAnsi="宋体" w:eastAsia="宋体"/>
          <w:bCs/>
          <w:sz w:val="21"/>
          <w:szCs w:val="21"/>
          <w:highlight w:val="none"/>
        </w:rPr>
      </w:pPr>
      <w:r>
        <w:rPr>
          <w:rFonts w:hint="eastAsia" w:ascii="宋体" w:hAnsi="宋体" w:eastAsia="宋体"/>
          <w:bCs/>
          <w:sz w:val="21"/>
          <w:szCs w:val="21"/>
          <w:highlight w:val="none"/>
        </w:rPr>
        <w:t>地址：东莞市横沥镇</w:t>
      </w:r>
    </w:p>
    <w:p>
      <w:pPr>
        <w:spacing w:after="0" w:line="360" w:lineRule="auto"/>
        <w:ind w:firstLine="420" w:firstLineChars="200"/>
        <w:rPr>
          <w:rFonts w:ascii="宋体" w:hAnsi="宋体" w:eastAsia="宋体"/>
          <w:bCs/>
          <w:sz w:val="21"/>
          <w:szCs w:val="21"/>
          <w:highlight w:val="none"/>
        </w:rPr>
      </w:pPr>
      <w:r>
        <w:rPr>
          <w:rFonts w:hint="eastAsia" w:ascii="宋体" w:hAnsi="宋体" w:eastAsia="宋体"/>
          <w:bCs/>
          <w:sz w:val="21"/>
          <w:szCs w:val="21"/>
          <w:highlight w:val="none"/>
        </w:rPr>
        <w:t>联系电话：0769-83733203</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p>
    <w:p>
      <w:pPr>
        <w:pStyle w:val="2"/>
        <w:rPr>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4"/>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eastAsia="宋体"/>
                <w:color w:val="auto"/>
                <w:sz w:val="21"/>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bidi w:val="0"/>
        <w:rPr>
          <w:rFonts w:hint="eastAsia"/>
        </w:rPr>
      </w:pPr>
      <w:bookmarkStart w:id="8" w:name="_Hlk55300595"/>
      <w:bookmarkStart w:id="9" w:name="_Toc5749"/>
      <w:bookmarkStart w:id="10" w:name="_Toc13473"/>
      <w:bookmarkStart w:id="11" w:name="_Toc9572"/>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4"/>
        <w:spacing w:before="0" w:after="0" w:line="360" w:lineRule="auto"/>
        <w:rPr>
          <w:color w:val="auto"/>
          <w:highlight w:val="none"/>
        </w:rPr>
      </w:pPr>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hint="eastAsia"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rPr>
            </w:pPr>
            <w:r>
              <w:rPr>
                <w:rFonts w:hint="eastAsia" w:ascii="宋体" w:hAnsi="宋体" w:eastAsia="宋体" w:cs="宋体"/>
                <w:color w:val="auto"/>
                <w:sz w:val="21"/>
                <w:szCs w:val="21"/>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价格分计算方法：满足招标文件要求且投标价格最低的投标报价为评标基准价，其价格分为满分。其他投标人的价格分统一按照下列公式计算：</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color w:val="auto"/>
                <w:sz w:val="21"/>
                <w:szCs w:val="21"/>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商务评分（</w:t>
            </w:r>
            <w:r>
              <w:rPr>
                <w:rFonts w:hint="eastAsia" w:ascii="宋体" w:eastAsia="宋体" w:cs="宋体"/>
                <w:bCs/>
                <w:color w:val="auto"/>
                <w:sz w:val="21"/>
                <w:szCs w:val="21"/>
                <w:lang w:val="en-US" w:eastAsia="zh-CN"/>
              </w:rPr>
              <w:t>15</w:t>
            </w:r>
            <w:r>
              <w:rPr>
                <w:rFonts w:hint="eastAsia" w:ascii="宋体" w:hAnsi="宋体" w:eastAsia="宋体" w:cs="宋体"/>
                <w:bCs/>
                <w:color w:val="auto"/>
                <w:sz w:val="21"/>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业绩</w:t>
            </w:r>
          </w:p>
        </w:tc>
        <w:tc>
          <w:tcPr>
            <w:tcW w:w="59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投标人具有校园文化建设类业绩的，每</w:t>
            </w:r>
            <w:r>
              <w:rPr>
                <w:rFonts w:hint="eastAsia" w:ascii="宋体" w:hAnsi="宋体" w:cs="宋体"/>
                <w:bCs/>
                <w:color w:val="auto"/>
                <w:sz w:val="21"/>
                <w:szCs w:val="21"/>
                <w:lang w:val="en-US" w:eastAsia="zh-CN"/>
              </w:rPr>
              <w:t>提供</w:t>
            </w:r>
            <w:r>
              <w:rPr>
                <w:rFonts w:hint="eastAsia" w:ascii="宋体" w:hAnsi="宋体" w:eastAsia="宋体" w:cs="宋体"/>
                <w:bCs/>
                <w:color w:val="auto"/>
                <w:sz w:val="21"/>
                <w:szCs w:val="21"/>
                <w:lang w:val="zh-CN"/>
              </w:rPr>
              <w:t>个得1分，</w:t>
            </w:r>
            <w:r>
              <w:rPr>
                <w:rFonts w:hint="eastAsia" w:ascii="宋体" w:hAnsi="宋体" w:cs="宋体"/>
                <w:bCs/>
                <w:color w:val="auto"/>
                <w:sz w:val="21"/>
                <w:szCs w:val="21"/>
                <w:lang w:val="en-US" w:eastAsia="zh-CN"/>
              </w:rPr>
              <w:t>本项</w:t>
            </w:r>
            <w:r>
              <w:rPr>
                <w:rFonts w:hint="eastAsia" w:ascii="宋体" w:hAnsi="宋体" w:eastAsia="宋体" w:cs="宋体"/>
                <w:bCs/>
                <w:color w:val="auto"/>
                <w:sz w:val="21"/>
                <w:szCs w:val="21"/>
                <w:lang w:val="zh-CN"/>
              </w:rPr>
              <w:t>最高得10分</w:t>
            </w:r>
            <w:r>
              <w:rPr>
                <w:rFonts w:hint="eastAsia" w:ascii="宋体" w:hAnsi="宋体" w:cs="宋体"/>
                <w:bCs/>
                <w:color w:val="auto"/>
                <w:sz w:val="21"/>
                <w:szCs w:val="21"/>
                <w:lang w:val="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注：须</w:t>
            </w:r>
            <w:r>
              <w:rPr>
                <w:rFonts w:hint="eastAsia" w:ascii="宋体" w:hAnsi="宋体" w:eastAsia="宋体" w:cs="宋体"/>
                <w:bCs/>
                <w:color w:val="auto"/>
                <w:sz w:val="21"/>
                <w:szCs w:val="21"/>
                <w:lang w:val="zh-CN"/>
              </w:rPr>
              <w:t>提供合同复印件加盖投标人公章</w:t>
            </w:r>
            <w:r>
              <w:rPr>
                <w:rFonts w:hint="eastAsia" w:ascii="宋体" w:hAnsi="宋体" w:cs="宋体"/>
                <w:bCs/>
                <w:color w:val="auto"/>
                <w:sz w:val="21"/>
                <w:szCs w:val="21"/>
                <w:lang w:val="zh-CN"/>
              </w:rPr>
              <w:t>，</w:t>
            </w:r>
            <w:r>
              <w:rPr>
                <w:rFonts w:hint="eastAsia" w:ascii="宋体" w:hAnsi="宋体" w:cs="宋体"/>
                <w:bCs/>
                <w:color w:val="auto"/>
                <w:sz w:val="21"/>
                <w:szCs w:val="21"/>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51"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290"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服务响应时间</w:t>
            </w:r>
          </w:p>
        </w:tc>
        <w:tc>
          <w:tcPr>
            <w:tcW w:w="59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rPr>
            </w:pPr>
            <w:r>
              <w:rPr>
                <w:rFonts w:hint="eastAsia" w:ascii="宋体" w:hAnsi="宋体" w:eastAsia="宋体" w:cs="宋体"/>
                <w:bCs/>
                <w:color w:val="auto"/>
                <w:sz w:val="21"/>
                <w:szCs w:val="21"/>
                <w:lang w:val="pt-BR"/>
              </w:rPr>
              <w:t>根据投标人在接到采购人通知后的服务响应时间承诺进行评审：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rPr>
            </w:pPr>
            <w:r>
              <w:rPr>
                <w:rFonts w:hint="eastAsia" w:ascii="宋体" w:hAnsi="宋体" w:eastAsia="宋体" w:cs="宋体"/>
                <w:bCs/>
                <w:color w:val="auto"/>
                <w:sz w:val="21"/>
                <w:szCs w:val="21"/>
                <w:lang w:val="pt-BR"/>
              </w:rPr>
              <w:t>在接到采购人通知后</w:t>
            </w:r>
            <w:r>
              <w:rPr>
                <w:rFonts w:hint="eastAsia" w:ascii="宋体" w:hAnsi="宋体" w:cs="宋体"/>
                <w:bCs/>
                <w:color w:val="auto"/>
                <w:sz w:val="21"/>
                <w:szCs w:val="21"/>
                <w:lang w:val="en-US" w:eastAsia="zh-CN"/>
              </w:rPr>
              <w:t>1</w:t>
            </w:r>
            <w:r>
              <w:rPr>
                <w:rFonts w:hint="eastAsia" w:ascii="宋体" w:hAnsi="宋体" w:eastAsia="宋体" w:cs="宋体"/>
                <w:bCs/>
                <w:color w:val="auto"/>
                <w:sz w:val="21"/>
                <w:szCs w:val="21"/>
                <w:lang w:val="pt-BR"/>
              </w:rPr>
              <w:t>小时内到达用户现场的</w:t>
            </w:r>
            <w:r>
              <w:rPr>
                <w:rFonts w:hint="eastAsia" w:ascii="宋体" w:hAnsi="宋体" w:cs="宋体"/>
                <w:bCs/>
                <w:color w:val="auto"/>
                <w:sz w:val="21"/>
                <w:szCs w:val="21"/>
                <w:lang w:val="pt-BR" w:eastAsia="zh-CN"/>
              </w:rPr>
              <w:t>，</w:t>
            </w:r>
            <w:r>
              <w:rPr>
                <w:rFonts w:hint="eastAsia" w:ascii="宋体" w:hAnsi="宋体" w:eastAsia="宋体" w:cs="宋体"/>
                <w:bCs/>
                <w:color w:val="auto"/>
                <w:sz w:val="21"/>
                <w:szCs w:val="21"/>
                <w:lang w:val="pt-BR"/>
              </w:rPr>
              <w:t>得5分；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rPr>
            </w:pPr>
            <w:r>
              <w:rPr>
                <w:rFonts w:hint="eastAsia" w:ascii="宋体" w:hAnsi="宋体" w:eastAsia="宋体" w:cs="宋体"/>
                <w:bCs/>
                <w:color w:val="auto"/>
                <w:sz w:val="21"/>
                <w:szCs w:val="21"/>
                <w:lang w:val="pt-BR"/>
              </w:rPr>
              <w:t>在接到采购人通知后</w:t>
            </w:r>
            <w:r>
              <w:rPr>
                <w:rFonts w:hint="eastAsia" w:ascii="宋体" w:hAnsi="宋体" w:cs="宋体"/>
                <w:bCs/>
                <w:color w:val="auto"/>
                <w:sz w:val="21"/>
                <w:szCs w:val="21"/>
                <w:lang w:val="en-US" w:eastAsia="zh-CN"/>
              </w:rPr>
              <w:t>2</w:t>
            </w:r>
            <w:r>
              <w:rPr>
                <w:rFonts w:hint="eastAsia" w:ascii="宋体" w:hAnsi="宋体" w:eastAsia="宋体" w:cs="宋体"/>
                <w:bCs/>
                <w:color w:val="auto"/>
                <w:sz w:val="21"/>
                <w:szCs w:val="21"/>
                <w:lang w:val="pt-BR"/>
              </w:rPr>
              <w:t>小时内到达用户现场的</w:t>
            </w:r>
            <w:r>
              <w:rPr>
                <w:rFonts w:hint="eastAsia" w:ascii="宋体" w:hAnsi="宋体" w:cs="宋体"/>
                <w:bCs/>
                <w:color w:val="auto"/>
                <w:sz w:val="21"/>
                <w:szCs w:val="21"/>
                <w:lang w:val="pt-BR" w:eastAsia="zh-CN"/>
              </w:rPr>
              <w:t>，</w:t>
            </w:r>
            <w:r>
              <w:rPr>
                <w:rFonts w:hint="eastAsia" w:ascii="宋体" w:hAnsi="宋体" w:eastAsia="宋体" w:cs="宋体"/>
                <w:bCs/>
                <w:color w:val="auto"/>
                <w:sz w:val="21"/>
                <w:szCs w:val="21"/>
                <w:lang w:val="pt-BR"/>
              </w:rPr>
              <w:t>得3分；</w:t>
            </w:r>
          </w:p>
          <w:p>
            <w:pPr>
              <w:keepNext w:val="0"/>
              <w:keepLines w:val="0"/>
              <w:pageBreakBefore w:val="0"/>
              <w:kinsoku/>
              <w:wordWrap/>
              <w:overflowPunct/>
              <w:topLinePunct w:val="0"/>
              <w:autoSpaceDE/>
              <w:autoSpaceDN/>
              <w:bidi w:val="0"/>
              <w:spacing w:line="240" w:lineRule="auto"/>
              <w:ind w:left="420" w:leftChars="200" w:firstLine="0" w:firstLineChars="0"/>
              <w:textAlignment w:val="auto"/>
              <w:rPr>
                <w:rFonts w:hint="eastAsia" w:ascii="宋体" w:hAnsi="宋体" w:eastAsia="宋体" w:cs="宋体"/>
                <w:bCs/>
                <w:color w:val="auto"/>
                <w:sz w:val="21"/>
                <w:szCs w:val="21"/>
                <w:lang w:val="pt-BR"/>
              </w:rPr>
            </w:pPr>
            <w:r>
              <w:rPr>
                <w:rFonts w:hint="eastAsia" w:ascii="宋体" w:hAnsi="宋体" w:eastAsia="宋体" w:cs="宋体"/>
                <w:bCs/>
                <w:color w:val="auto"/>
                <w:sz w:val="21"/>
                <w:szCs w:val="21"/>
                <w:lang w:val="pt-BR"/>
              </w:rPr>
              <w:t>在接到采购人通知后</w:t>
            </w:r>
            <w:r>
              <w:rPr>
                <w:rFonts w:hint="eastAsia" w:ascii="宋体" w:hAnsi="宋体" w:cs="宋体"/>
                <w:bCs/>
                <w:color w:val="auto"/>
                <w:sz w:val="21"/>
                <w:szCs w:val="21"/>
                <w:lang w:val="en-US" w:eastAsia="zh-CN"/>
              </w:rPr>
              <w:t>3</w:t>
            </w:r>
            <w:r>
              <w:rPr>
                <w:rFonts w:hint="eastAsia" w:ascii="宋体" w:hAnsi="宋体" w:eastAsia="宋体" w:cs="宋体"/>
                <w:bCs/>
                <w:color w:val="auto"/>
                <w:sz w:val="21"/>
                <w:szCs w:val="21"/>
                <w:lang w:val="pt-BR"/>
              </w:rPr>
              <w:t>小时内到达用户现场的</w:t>
            </w:r>
            <w:r>
              <w:rPr>
                <w:rFonts w:hint="eastAsia" w:ascii="宋体" w:hAnsi="宋体" w:cs="宋体"/>
                <w:bCs/>
                <w:color w:val="auto"/>
                <w:sz w:val="21"/>
                <w:szCs w:val="21"/>
                <w:lang w:val="pt-BR" w:eastAsia="zh-CN"/>
              </w:rPr>
              <w:t>，</w:t>
            </w:r>
            <w:r>
              <w:rPr>
                <w:rFonts w:hint="eastAsia" w:ascii="宋体" w:hAnsi="宋体" w:eastAsia="宋体" w:cs="宋体"/>
                <w:bCs/>
                <w:color w:val="auto"/>
                <w:sz w:val="21"/>
                <w:szCs w:val="21"/>
                <w:lang w:val="pt-BR"/>
              </w:rPr>
              <w:t>得1分； 其它情况不得分。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注：</w:t>
            </w:r>
            <w:r>
              <w:rPr>
                <w:rFonts w:hint="eastAsia" w:ascii="宋体" w:hAnsi="宋体" w:eastAsia="宋体" w:cs="宋体"/>
                <w:bCs/>
                <w:color w:val="auto"/>
                <w:sz w:val="21"/>
                <w:szCs w:val="21"/>
                <w:lang w:val="pt-BR"/>
              </w:rPr>
              <w:t>须提供承诺函并加盖投标人公章</w:t>
            </w:r>
            <w:r>
              <w:rPr>
                <w:rFonts w:hint="eastAsia" w:ascii="宋体" w:hAnsi="宋体" w:cs="宋体"/>
                <w:bCs/>
                <w:color w:val="auto"/>
                <w:sz w:val="21"/>
                <w:szCs w:val="21"/>
                <w:lang w:val="pt-BR" w:eastAsia="zh-CN"/>
              </w:rPr>
              <w:t>，</w:t>
            </w:r>
            <w:r>
              <w:rPr>
                <w:rFonts w:hint="eastAsia" w:ascii="宋体" w:hAnsi="宋体" w:cs="宋体"/>
                <w:bCs/>
                <w:color w:val="auto"/>
                <w:sz w:val="21"/>
                <w:szCs w:val="21"/>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技术评分（</w:t>
            </w:r>
            <w:r>
              <w:rPr>
                <w:rFonts w:hint="eastAsia" w:ascii="宋体" w:hAnsi="宋体" w:cs="宋体"/>
                <w:bCs/>
                <w:color w:val="auto"/>
                <w:sz w:val="21"/>
                <w:szCs w:val="21"/>
                <w:lang w:val="en-US" w:eastAsia="zh-CN"/>
              </w:rPr>
              <w:t>75</w:t>
            </w:r>
            <w:r>
              <w:rPr>
                <w:rFonts w:hint="eastAsia" w:ascii="宋体" w:hAnsi="宋体" w:eastAsia="宋体" w:cs="宋体"/>
                <w:bCs/>
                <w:color w:val="auto"/>
                <w:sz w:val="21"/>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62"/>
              <w:jc w:val="center"/>
              <w:rPr>
                <w:b/>
                <w:sz w:val="22"/>
              </w:rPr>
            </w:pPr>
          </w:p>
          <w:p>
            <w:pPr>
              <w:pStyle w:val="62"/>
              <w:spacing w:before="1"/>
              <w:ind w:left="162" w:leftChars="0" w:right="152" w:rightChars="0"/>
              <w:jc w:val="center"/>
              <w:rPr>
                <w:rFonts w:hint="eastAsia" w:ascii="宋体" w:hAnsi="宋体" w:eastAsia="宋体" w:cs="宋体"/>
                <w:color w:val="auto"/>
                <w:sz w:val="21"/>
                <w:szCs w:val="21"/>
              </w:rPr>
            </w:pPr>
            <w:r>
              <w:rPr>
                <w:sz w:val="22"/>
              </w:rPr>
              <w:t>总体规划设想</w:t>
            </w:r>
          </w:p>
        </w:tc>
        <w:tc>
          <w:tcPr>
            <w:tcW w:w="592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根据投标人提供的设计方案总体规划设想的与</w:t>
            </w:r>
            <w:r>
              <w:rPr>
                <w:rFonts w:hint="eastAsia" w:ascii="宋体" w:eastAsia="宋体" w:cs="宋体"/>
                <w:color w:val="auto"/>
                <w:sz w:val="21"/>
                <w:szCs w:val="21"/>
                <w:lang w:val="en-US" w:eastAsia="zh-CN"/>
              </w:rPr>
              <w:t>用户需求要求</w:t>
            </w:r>
            <w:r>
              <w:rPr>
                <w:rFonts w:hint="eastAsia" w:ascii="宋体" w:hAnsi="宋体" w:eastAsia="宋体" w:cs="宋体"/>
                <w:color w:val="auto"/>
                <w:sz w:val="21"/>
                <w:szCs w:val="21"/>
              </w:rPr>
              <w:t>的贴合性、合理性进行综合评审：</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方案完整合理，可行性强，与</w:t>
            </w:r>
            <w:r>
              <w:rPr>
                <w:rFonts w:hint="eastAsia" w:ascii="宋体" w:eastAsia="宋体" w:cs="宋体"/>
                <w:color w:val="auto"/>
                <w:sz w:val="21"/>
                <w:szCs w:val="21"/>
                <w:lang w:val="en-US" w:eastAsia="zh-CN"/>
              </w:rPr>
              <w:t>用户需求内容</w:t>
            </w:r>
            <w:r>
              <w:rPr>
                <w:rFonts w:hint="eastAsia" w:ascii="宋体" w:hAnsi="宋体" w:eastAsia="宋体" w:cs="宋体"/>
                <w:color w:val="auto"/>
                <w:sz w:val="21"/>
                <w:szCs w:val="21"/>
              </w:rPr>
              <w:t xml:space="preserve">完全吻合，得 </w:t>
            </w:r>
            <w:r>
              <w:rPr>
                <w:rFonts w:hint="eastAsia" w:ascii="宋体" w:eastAsia="宋体" w:cs="宋体"/>
                <w:color w:val="auto"/>
                <w:sz w:val="21"/>
                <w:szCs w:val="21"/>
                <w:lang w:val="en-US" w:eastAsia="zh-CN"/>
              </w:rPr>
              <w:t>15</w:t>
            </w:r>
            <w:r>
              <w:rPr>
                <w:rFonts w:hint="eastAsia" w:ascii="宋体" w:hAnsi="宋体" w:eastAsia="宋体" w:cs="宋体"/>
                <w:color w:val="auto"/>
                <w:sz w:val="21"/>
                <w:szCs w:val="21"/>
              </w:rPr>
              <w:t>分；</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方案完整，可行性较强，与</w:t>
            </w:r>
            <w:r>
              <w:rPr>
                <w:rFonts w:hint="eastAsia" w:ascii="宋体" w:eastAsia="宋体" w:cs="宋体"/>
                <w:color w:val="auto"/>
                <w:sz w:val="21"/>
                <w:szCs w:val="21"/>
                <w:lang w:val="en-US" w:eastAsia="zh-CN"/>
              </w:rPr>
              <w:t>用户需求内容</w:t>
            </w:r>
            <w:r>
              <w:rPr>
                <w:rFonts w:hint="eastAsia" w:ascii="宋体" w:hAnsi="宋体" w:eastAsia="宋体" w:cs="宋体"/>
                <w:color w:val="auto"/>
                <w:sz w:val="21"/>
                <w:szCs w:val="21"/>
              </w:rPr>
              <w:t xml:space="preserve">基本吻合，得 </w:t>
            </w:r>
            <w:r>
              <w:rPr>
                <w:rFonts w:hint="eastAsia" w:ascii="宋体" w:eastAsia="宋体" w:cs="宋体"/>
                <w:color w:val="auto"/>
                <w:sz w:val="21"/>
                <w:szCs w:val="21"/>
                <w:lang w:val="en-US" w:eastAsia="zh-CN"/>
              </w:rPr>
              <w:t>10</w:t>
            </w:r>
            <w:r>
              <w:rPr>
                <w:rFonts w:hint="eastAsia" w:ascii="宋体" w:hAnsi="宋体" w:eastAsia="宋体" w:cs="宋体"/>
                <w:color w:val="auto"/>
                <w:sz w:val="21"/>
                <w:szCs w:val="21"/>
              </w:rPr>
              <w:t xml:space="preserve"> 分；</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方案基本完整，可行性一般，与</w:t>
            </w:r>
            <w:r>
              <w:rPr>
                <w:rFonts w:hint="eastAsia" w:ascii="宋体" w:eastAsia="宋体" w:cs="宋体"/>
                <w:color w:val="auto"/>
                <w:sz w:val="21"/>
                <w:szCs w:val="21"/>
                <w:lang w:val="en-US" w:eastAsia="zh-CN"/>
              </w:rPr>
              <w:t>用户需求内容</w:t>
            </w:r>
            <w:r>
              <w:rPr>
                <w:rFonts w:hint="eastAsia" w:ascii="宋体" w:hAnsi="宋体" w:eastAsia="宋体" w:cs="宋体"/>
                <w:color w:val="auto"/>
                <w:sz w:val="21"/>
                <w:szCs w:val="21"/>
              </w:rPr>
              <w:t>吻合度一般，得</w:t>
            </w:r>
            <w:r>
              <w:rPr>
                <w:rFonts w:hint="eastAsia" w:ascii="宋体" w:eastAsia="宋体" w:cs="宋体"/>
                <w:color w:val="auto"/>
                <w:sz w:val="21"/>
                <w:szCs w:val="21"/>
                <w:lang w:val="en-US" w:eastAsia="zh-CN"/>
              </w:rPr>
              <w:t>5</w:t>
            </w:r>
            <w:r>
              <w:rPr>
                <w:rFonts w:hint="eastAsia" w:ascii="宋体" w:hAnsi="宋体" w:eastAsia="宋体" w:cs="宋体"/>
                <w:color w:val="auto"/>
                <w:sz w:val="21"/>
                <w:szCs w:val="21"/>
              </w:rPr>
              <w:t>分；</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color w:val="auto"/>
                <w:sz w:val="21"/>
                <w:szCs w:val="21"/>
                <w:lang w:eastAsia="zh-CN"/>
              </w:rPr>
            </w:pPr>
            <w:r>
              <w:rPr>
                <w:rFonts w:hint="eastAsia" w:ascii="宋体" w:hAnsi="宋体" w:eastAsia="宋体" w:cs="宋体"/>
                <w:color w:val="auto"/>
                <w:sz w:val="21"/>
                <w:szCs w:val="21"/>
              </w:rPr>
              <w:t>方案存在缺漏，可行性较差，与</w:t>
            </w:r>
            <w:r>
              <w:rPr>
                <w:rFonts w:hint="eastAsia" w:ascii="宋体" w:eastAsia="宋体" w:cs="宋体"/>
                <w:color w:val="auto"/>
                <w:sz w:val="21"/>
                <w:szCs w:val="21"/>
                <w:lang w:val="en-US" w:eastAsia="zh-CN"/>
              </w:rPr>
              <w:t>用户需求内容</w:t>
            </w:r>
            <w:r>
              <w:rPr>
                <w:rFonts w:hint="eastAsia" w:ascii="宋体" w:hAnsi="宋体" w:eastAsia="宋体" w:cs="宋体"/>
                <w:color w:val="auto"/>
                <w:sz w:val="21"/>
                <w:szCs w:val="21"/>
              </w:rPr>
              <w:t>存在一定差距，得</w:t>
            </w:r>
            <w:r>
              <w:rPr>
                <w:rFonts w:hint="eastAsia" w:ascii="宋体" w:eastAsia="宋体" w:cs="宋体"/>
                <w:color w:val="auto"/>
                <w:sz w:val="21"/>
                <w:szCs w:val="21"/>
                <w:lang w:val="en-US" w:eastAsia="zh-CN"/>
              </w:rPr>
              <w:t>1</w:t>
            </w:r>
            <w:r>
              <w:rPr>
                <w:rFonts w:hint="eastAsia" w:ascii="宋体" w:hAnsi="宋体" w:eastAsia="宋体" w:cs="宋体"/>
                <w:color w:val="auto"/>
                <w:sz w:val="21"/>
                <w:szCs w:val="21"/>
              </w:rPr>
              <w:t>分</w:t>
            </w:r>
            <w:r>
              <w:rPr>
                <w:rFonts w:hint="eastAsia" w:ascii="宋体" w:eastAsia="宋体" w:cs="宋体"/>
                <w:color w:val="auto"/>
                <w:sz w:val="21"/>
                <w:szCs w:val="21"/>
                <w:lang w:eastAsia="zh-CN"/>
              </w:rPr>
              <w:t>；</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eastAsia="宋体" w:cs="宋体"/>
                <w:color w:val="auto"/>
                <w:sz w:val="21"/>
                <w:szCs w:val="21"/>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62"/>
              <w:ind w:left="160" w:leftChars="0" w:right="152" w:rightChars="0"/>
              <w:jc w:val="center"/>
              <w:rPr>
                <w:rFonts w:hint="eastAsia" w:ascii="宋体" w:hAnsi="宋体" w:eastAsia="宋体" w:cs="宋体"/>
                <w:color w:val="auto"/>
                <w:sz w:val="21"/>
                <w:szCs w:val="21"/>
              </w:rPr>
            </w:pPr>
            <w:r>
              <w:rPr>
                <w:sz w:val="22"/>
              </w:rPr>
              <w:t>彩色效果图</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w:t>
            </w:r>
            <w:r>
              <w:rPr>
                <w:rFonts w:hint="eastAsia" w:ascii="宋体" w:hAnsi="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彩色效果图（参照项目</w:t>
            </w:r>
            <w:r>
              <w:rPr>
                <w:rFonts w:hint="eastAsia" w:ascii="宋体" w:hAnsi="宋体" w:cs="宋体"/>
                <w:color w:val="auto"/>
                <w:sz w:val="21"/>
                <w:szCs w:val="21"/>
                <w:highlight w:val="none"/>
                <w:lang w:val="en-US" w:eastAsia="zh-CN"/>
              </w:rPr>
              <w:t>服务</w:t>
            </w:r>
            <w:r>
              <w:rPr>
                <w:rFonts w:hint="eastAsia" w:ascii="宋体" w:hAnsi="宋体" w:eastAsia="宋体" w:cs="宋体"/>
                <w:color w:val="auto"/>
                <w:sz w:val="21"/>
                <w:szCs w:val="21"/>
                <w:highlight w:val="none"/>
                <w:lang w:val="zh-CN"/>
              </w:rPr>
              <w:t>清单）表现形式进行综合评审：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彩色效果图完整详细，可行性强，渲染效果精美，符合</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，得</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彩色效果图较为完整详细，可行性较强，渲染效果较精美，基本符合</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，得1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彩色效果图基本完整，可行性一般，渲染效果一般，与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存在一定差距，得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彩色效果图粗略，可行性较差，渲染效果较差，与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存在差距较大，得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62"/>
              <w:spacing w:before="1" w:line="340" w:lineRule="auto"/>
              <w:ind w:left="182" w:leftChars="0" w:right="170" w:right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校园文化分项设计</w:t>
            </w:r>
            <w:r>
              <w:rPr>
                <w:rFonts w:hint="eastAsia" w:cs="宋体"/>
                <w:color w:val="auto"/>
                <w:sz w:val="21"/>
                <w:szCs w:val="21"/>
                <w:lang w:val="en-US" w:eastAsia="zh-CN"/>
              </w:rPr>
              <w:t>方案</w:t>
            </w:r>
          </w:p>
        </w:tc>
        <w:tc>
          <w:tcPr>
            <w:tcW w:w="59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根据投标人校园文化分项设计</w:t>
            </w:r>
            <w:r>
              <w:rPr>
                <w:rFonts w:hint="eastAsia" w:ascii="宋体" w:hAnsi="宋体" w:cs="宋体"/>
                <w:color w:val="auto"/>
                <w:sz w:val="21"/>
                <w:szCs w:val="21"/>
                <w:lang w:val="en-US" w:eastAsia="zh-CN"/>
              </w:rPr>
              <w:t>方案</w:t>
            </w:r>
            <w:r>
              <w:rPr>
                <w:rFonts w:hint="eastAsia" w:ascii="宋体" w:hAnsi="宋体" w:eastAsia="宋体" w:cs="宋体"/>
                <w:color w:val="auto"/>
                <w:sz w:val="21"/>
                <w:szCs w:val="21"/>
                <w:lang w:val="zh-CN"/>
              </w:rPr>
              <w:t>的详细程度及深度进行综合评审：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方案完整合理详细，可行性强，设计深度高，得 15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方案较为完整合理，可行性较强，设计深度较高，得1</w:t>
            </w:r>
            <w:r>
              <w:rPr>
                <w:rFonts w:hint="eastAsia" w:ascii="宋体" w:hAnsi="宋体" w:cs="宋体"/>
                <w:color w:val="auto"/>
                <w:sz w:val="21"/>
                <w:szCs w:val="21"/>
                <w:lang w:val="en-US" w:eastAsia="zh-CN"/>
              </w:rPr>
              <w:t>0</w:t>
            </w:r>
            <w:r>
              <w:rPr>
                <w:rFonts w:hint="eastAsia" w:ascii="宋体" w:hAnsi="宋体" w:eastAsia="宋体" w:cs="宋体"/>
                <w:color w:val="auto"/>
                <w:sz w:val="21"/>
                <w:szCs w:val="21"/>
                <w:lang w:val="zh-CN"/>
              </w:rPr>
              <w:t xml:space="preserve">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 xml:space="preserve">方案基本完整，可行性一般，设计深度一般，得 </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zh-CN"/>
              </w:rPr>
              <w:t xml:space="preserve">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 xml:space="preserve">方案存在缺漏较多，可行性较差，设计深度浅，得 </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eastAsia="宋体" w:cs="宋体"/>
                <w:color w:val="auto"/>
                <w:sz w:val="21"/>
                <w:szCs w:val="21"/>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lang w:val="en-US"/>
              </w:rPr>
            </w:pPr>
            <w:r>
              <w:rPr>
                <w:rFonts w:hint="eastAsia" w:ascii="宋体" w:hAnsi="宋体" w:eastAsia="宋体" w:cs="宋体"/>
                <w:color w:val="auto"/>
                <w:sz w:val="21"/>
                <w:szCs w:val="21"/>
                <w:lang w:val="zh-CN" w:eastAsia="zh-CN" w:bidi="zh-CN"/>
              </w:rPr>
              <w:t>安全保障</w:t>
            </w:r>
            <w:r>
              <w:rPr>
                <w:rFonts w:hint="eastAsia" w:ascii="宋体" w:hAnsi="宋体" w:cs="宋体"/>
                <w:color w:val="auto"/>
                <w:sz w:val="21"/>
                <w:szCs w:val="21"/>
                <w:lang w:val="en-US" w:eastAsia="zh-CN" w:bidi="zh-CN"/>
              </w:rPr>
              <w:t>方案</w:t>
            </w:r>
          </w:p>
        </w:tc>
        <w:tc>
          <w:tcPr>
            <w:tcW w:w="59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rPr>
              <w:t>根据投标人</w:t>
            </w:r>
            <w:r>
              <w:rPr>
                <w:rFonts w:hint="eastAsia" w:ascii="宋体" w:hAnsi="宋体" w:cs="宋体"/>
                <w:color w:val="auto"/>
                <w:sz w:val="21"/>
                <w:szCs w:val="21"/>
                <w:lang w:val="en-US" w:eastAsia="zh-CN"/>
              </w:rPr>
              <w:t>提供的</w:t>
            </w:r>
            <w:r>
              <w:rPr>
                <w:rFonts w:hint="eastAsia" w:ascii="宋体" w:hAnsi="宋体" w:eastAsia="宋体" w:cs="宋体"/>
                <w:color w:val="auto"/>
                <w:sz w:val="21"/>
                <w:szCs w:val="21"/>
                <w:lang w:val="zh-CN"/>
              </w:rPr>
              <w:t>施工安全保障措施</w:t>
            </w:r>
            <w:r>
              <w:rPr>
                <w:rFonts w:hint="eastAsia" w:ascii="宋体" w:hAnsi="宋体" w:cs="宋体"/>
                <w:color w:val="auto"/>
                <w:sz w:val="21"/>
                <w:szCs w:val="21"/>
                <w:lang w:val="en-US" w:eastAsia="zh-CN"/>
              </w:rPr>
              <w:t>方案</w:t>
            </w:r>
            <w:r>
              <w:rPr>
                <w:rFonts w:hint="eastAsia" w:ascii="宋体" w:hAnsi="宋体" w:eastAsia="宋体" w:cs="宋体"/>
                <w:color w:val="auto"/>
                <w:sz w:val="21"/>
                <w:szCs w:val="21"/>
                <w:lang w:val="zh-CN"/>
              </w:rPr>
              <w:t>进行综合</w:t>
            </w:r>
            <w:r>
              <w:rPr>
                <w:rFonts w:hint="eastAsia" w:ascii="宋体" w:hAnsi="宋体" w:cs="宋体"/>
                <w:color w:val="auto"/>
                <w:sz w:val="21"/>
                <w:szCs w:val="21"/>
                <w:lang w:val="en-US" w:eastAsia="zh-CN"/>
              </w:rPr>
              <w:t>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方案完整合理，可行性强，安全保障度高，得 10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方案基本完整，可行性较强，安全保障度较高，得 7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方案基本完整，可行性</w:t>
            </w:r>
            <w:r>
              <w:rPr>
                <w:rFonts w:hint="eastAsia" w:ascii="宋体" w:hAnsi="宋体" w:cs="宋体"/>
                <w:color w:val="auto"/>
                <w:sz w:val="21"/>
                <w:szCs w:val="21"/>
                <w:lang w:val="en-US" w:eastAsia="zh-CN"/>
              </w:rPr>
              <w:t>一般</w:t>
            </w:r>
            <w:r>
              <w:rPr>
                <w:rFonts w:hint="eastAsia" w:ascii="宋体" w:hAnsi="宋体" w:eastAsia="宋体" w:cs="宋体"/>
                <w:color w:val="auto"/>
                <w:sz w:val="21"/>
                <w:szCs w:val="21"/>
                <w:lang w:val="zh-CN"/>
              </w:rPr>
              <w:t>，安全保障度一般，得 4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方案完整性、可行性较差，安全保障度较差，得 1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eastAsia="宋体" w:cs="宋体"/>
                <w:color w:val="auto"/>
                <w:sz w:val="21"/>
                <w:szCs w:val="21"/>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bidi w:val="0"/>
              <w:jc w:val="center"/>
              <w:rPr>
                <w:rFonts w:hint="eastAsia"/>
              </w:rPr>
            </w:pPr>
            <w:r>
              <w:rPr>
                <w:rFonts w:hint="eastAsia"/>
              </w:rPr>
              <w:t>服务质量保障及管理制度</w:t>
            </w:r>
          </w:p>
        </w:tc>
        <w:tc>
          <w:tcPr>
            <w:tcW w:w="59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根据投标人提供的服务质量保障方案及管理制度进行综合评审：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方案完整合理，可行性强，</w:t>
            </w:r>
            <w:r>
              <w:rPr>
                <w:rFonts w:hint="eastAsia" w:ascii="宋体" w:hAnsi="宋体" w:cs="宋体"/>
                <w:color w:val="auto"/>
                <w:sz w:val="21"/>
                <w:szCs w:val="21"/>
                <w:lang w:val="en-US" w:eastAsia="zh-CN"/>
              </w:rPr>
              <w:t>完全</w:t>
            </w:r>
            <w:r>
              <w:rPr>
                <w:rFonts w:hint="eastAsia" w:ascii="宋体" w:hAnsi="宋体" w:eastAsia="宋体" w:cs="宋体"/>
                <w:color w:val="auto"/>
                <w:sz w:val="21"/>
                <w:szCs w:val="21"/>
                <w:lang w:val="zh-CN"/>
              </w:rPr>
              <w:t>符合项目实施要求，得</w:t>
            </w:r>
            <w:r>
              <w:rPr>
                <w:rFonts w:hint="eastAsia" w:ascii="宋体" w:hAnsi="宋体" w:cs="宋体"/>
                <w:color w:val="auto"/>
                <w:sz w:val="21"/>
                <w:szCs w:val="21"/>
                <w:lang w:val="en-US" w:eastAsia="zh-CN"/>
              </w:rPr>
              <w:t>10</w:t>
            </w:r>
            <w:r>
              <w:rPr>
                <w:rFonts w:hint="eastAsia" w:ascii="宋体" w:hAnsi="宋体" w:eastAsia="宋体" w:cs="宋体"/>
                <w:color w:val="auto"/>
                <w:sz w:val="21"/>
                <w:szCs w:val="21"/>
                <w:lang w:val="zh-CN"/>
              </w:rPr>
              <w:t xml:space="preserve">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方案基本完整，可行性较强，基本符合项目实施要求，得</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方案完整性、可行性较差，未能有效促进项目实施的，得 1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eastAsia="宋体" w:cs="宋体"/>
                <w:color w:val="auto"/>
                <w:sz w:val="21"/>
                <w:szCs w:val="21"/>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eastAsia="宋体" w:cs="宋体"/>
                <w:color w:val="auto"/>
                <w:sz w:val="21"/>
                <w:szCs w:val="21"/>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bidi w:val="0"/>
              <w:jc w:val="center"/>
            </w:pPr>
            <w:r>
              <w:rPr>
                <w:rFonts w:hint="eastAsia"/>
                <w:lang w:val="en-US" w:eastAsia="zh-CN"/>
              </w:rPr>
              <w:t>售后方案</w:t>
            </w:r>
          </w:p>
        </w:tc>
        <w:tc>
          <w:tcPr>
            <w:tcW w:w="59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根据投标人提供的售后服务方案进行综合评审：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方案完整合理，可行性强，</w:t>
            </w:r>
            <w:r>
              <w:rPr>
                <w:rFonts w:hint="eastAsia" w:ascii="宋体" w:hAnsi="宋体" w:cs="宋体"/>
                <w:color w:val="auto"/>
                <w:sz w:val="21"/>
                <w:szCs w:val="21"/>
                <w:lang w:val="en-US" w:eastAsia="zh-CN"/>
              </w:rPr>
              <w:t>完全</w:t>
            </w:r>
            <w:r>
              <w:rPr>
                <w:rFonts w:hint="eastAsia" w:ascii="宋体" w:hAnsi="宋体" w:eastAsia="宋体" w:cs="宋体"/>
                <w:color w:val="auto"/>
                <w:sz w:val="21"/>
                <w:szCs w:val="21"/>
                <w:lang w:val="zh-CN"/>
              </w:rPr>
              <w:t>符合项目实施要求，得</w:t>
            </w:r>
            <w:r>
              <w:rPr>
                <w:rFonts w:hint="eastAsia" w:ascii="宋体" w:hAnsi="宋体" w:cs="宋体"/>
                <w:color w:val="auto"/>
                <w:sz w:val="21"/>
                <w:szCs w:val="21"/>
                <w:lang w:val="en-US" w:eastAsia="zh-CN"/>
              </w:rPr>
              <w:t>10</w:t>
            </w:r>
            <w:r>
              <w:rPr>
                <w:rFonts w:hint="eastAsia" w:ascii="宋体" w:hAnsi="宋体" w:eastAsia="宋体" w:cs="宋体"/>
                <w:color w:val="auto"/>
                <w:sz w:val="21"/>
                <w:szCs w:val="21"/>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方案基本完整，可行性较强，基本符合项目实施要求，得</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差：方案完整性、可行性较差，未能有效促进项目实施的，得 1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eastAsia="宋体" w:cs="宋体"/>
                <w:color w:val="auto"/>
                <w:sz w:val="21"/>
                <w:szCs w:val="21"/>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7"/>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hAnsi="宋体" w:eastAsia="宋体" w:cs="宋体"/>
                <w:bCs/>
                <w:color w:val="auto"/>
                <w:sz w:val="21"/>
                <w:szCs w:val="21"/>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rPr>
          <w:highlight w:val="none"/>
        </w:rPr>
      </w:pPr>
    </w:p>
    <w:p>
      <w:pPr>
        <w:pStyle w:val="2"/>
      </w:pPr>
    </w:p>
    <w:p>
      <w:pPr>
        <w:rPr>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30638"/>
      <w:bookmarkStart w:id="18" w:name="_Toc2479"/>
      <w:bookmarkStart w:id="19" w:name="_Toc29685"/>
      <w:bookmarkStart w:id="20" w:name="_Toc14146"/>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3095"/>
      <w:bookmarkStart w:id="22" w:name="_Toc11105"/>
      <w:bookmarkStart w:id="23" w:name="_Toc19746"/>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22803"/>
      <w:bookmarkStart w:id="25" w:name="_Toc22847"/>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21002"/>
      <w:bookmarkStart w:id="28" w:name="_Toc16848"/>
      <w:bookmarkStart w:id="29" w:name="_Toc13400"/>
      <w:r>
        <w:rPr>
          <w:rFonts w:hint="eastAsia" w:ascii="宋体" w:hAnsi="宋体"/>
          <w:color w:val="auto"/>
          <w:sz w:val="21"/>
          <w:szCs w:val="21"/>
          <w:highlight w:val="none"/>
        </w:rPr>
        <w:t>2.</w:t>
      </w:r>
      <w:bookmarkStart w:id="30" w:name="_Toc382049092"/>
      <w:bookmarkStart w:id="31" w:name="_Toc303084246"/>
      <w:bookmarkStart w:id="32" w:name="_Toc298847174"/>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2996"/>
      <w:bookmarkStart w:id="35" w:name="_Toc3780"/>
      <w:bookmarkStart w:id="36" w:name="_Toc9710"/>
      <w:r>
        <w:rPr>
          <w:rFonts w:hint="eastAsia" w:ascii="宋体" w:hAnsi="宋体"/>
          <w:color w:val="auto"/>
          <w:sz w:val="21"/>
          <w:szCs w:val="21"/>
          <w:highlight w:val="none"/>
        </w:rPr>
        <w:t>3.货物和服务</w:t>
      </w:r>
      <w:bookmarkEnd w:id="34"/>
      <w:bookmarkEnd w:id="35"/>
      <w:bookmarkEnd w:id="36"/>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2536"/>
      <w:bookmarkStart w:id="38" w:name="_Toc15945"/>
      <w:bookmarkStart w:id="39" w:name="_Toc13909"/>
      <w:r>
        <w:rPr>
          <w:rFonts w:hint="eastAsia" w:ascii="宋体" w:hAnsi="宋体"/>
          <w:color w:val="auto"/>
          <w:sz w:val="21"/>
          <w:szCs w:val="21"/>
          <w:highlight w:val="none"/>
        </w:rPr>
        <w:t>4.投标费用</w:t>
      </w:r>
      <w:bookmarkEnd w:id="37"/>
      <w:bookmarkEnd w:id="38"/>
      <w:bookmarkEnd w:id="39"/>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19532"/>
      <w:bookmarkStart w:id="41" w:name="_Toc19094"/>
      <w:bookmarkStart w:id="42" w:name="_Toc25040"/>
      <w:r>
        <w:rPr>
          <w:rFonts w:hint="eastAsia" w:ascii="宋体" w:hAnsi="宋体"/>
          <w:color w:val="auto"/>
          <w:sz w:val="21"/>
          <w:szCs w:val="21"/>
          <w:highlight w:val="none"/>
        </w:rPr>
        <w:t>5.知识产权</w:t>
      </w:r>
      <w:bookmarkEnd w:id="40"/>
      <w:bookmarkEnd w:id="41"/>
      <w:bookmarkEnd w:id="42"/>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21930"/>
      <w:bookmarkStart w:id="44" w:name="_Toc8432"/>
      <w:bookmarkStart w:id="45" w:name="_Toc31885"/>
      <w:r>
        <w:rPr>
          <w:rFonts w:hint="eastAsia" w:ascii="宋体" w:hAnsi="宋体"/>
          <w:color w:val="auto"/>
          <w:sz w:val="21"/>
          <w:szCs w:val="21"/>
          <w:highlight w:val="none"/>
        </w:rPr>
        <w:t>6.关于联合体投标</w:t>
      </w:r>
      <w:bookmarkEnd w:id="43"/>
      <w:bookmarkEnd w:id="44"/>
      <w:bookmarkEnd w:id="4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21771"/>
      <w:bookmarkStart w:id="54" w:name="_Toc1423"/>
      <w:bookmarkStart w:id="55" w:name="_Toc13494"/>
      <w:r>
        <w:rPr>
          <w:rFonts w:hint="eastAsia" w:ascii="宋体" w:hAnsi="宋体"/>
          <w:color w:val="auto"/>
          <w:sz w:val="21"/>
          <w:szCs w:val="21"/>
          <w:highlight w:val="none"/>
        </w:rPr>
        <w:t>8.招标文件的组成</w:t>
      </w:r>
      <w:bookmarkEnd w:id="53"/>
      <w:bookmarkEnd w:id="54"/>
      <w:bookmarkEnd w:id="5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16712"/>
      <w:bookmarkStart w:id="60" w:name="_Toc23726"/>
      <w:bookmarkStart w:id="61" w:name="_Toc4773"/>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20623"/>
      <w:bookmarkStart w:id="63" w:name="_Toc7434"/>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18999"/>
      <w:bookmarkStart w:id="66" w:name="_Toc28866"/>
      <w:bookmarkStart w:id="67" w:name="_Toc307934854"/>
      <w:bookmarkStart w:id="68" w:name="_Toc7728"/>
      <w:bookmarkStart w:id="69" w:name="_Toc382049103"/>
      <w:bookmarkStart w:id="70" w:name="_Toc303084256"/>
      <w:bookmarkStart w:id="71" w:name="_Toc12145"/>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34"/>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27724"/>
      <w:bookmarkStart w:id="80" w:name="_Toc1891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30257"/>
      <w:bookmarkStart w:id="88" w:name="_Toc25817"/>
      <w:bookmarkStart w:id="89" w:name="_Toc12456"/>
      <w:r>
        <w:rPr>
          <w:rFonts w:hint="eastAsia" w:ascii="宋体" w:hAnsi="宋体"/>
          <w:color w:val="auto"/>
          <w:sz w:val="21"/>
          <w:szCs w:val="21"/>
          <w:highlight w:val="none"/>
        </w:rPr>
        <w:t>16.★投标保证金</w:t>
      </w:r>
      <w:bookmarkEnd w:id="87"/>
      <w:bookmarkEnd w:id="88"/>
      <w:bookmarkEnd w:id="89"/>
    </w:p>
    <w:p>
      <w:pPr>
        <w:pStyle w:val="34"/>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24109"/>
      <w:bookmarkStart w:id="92" w:name="_Toc31124"/>
      <w:bookmarkStart w:id="93" w:name="_Toc3200"/>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382049111"/>
      <w:bookmarkStart w:id="95" w:name="_Toc473"/>
      <w:bookmarkStart w:id="96" w:name="_Toc29590"/>
      <w:bookmarkStart w:id="97" w:name="_Toc24997"/>
      <w:bookmarkStart w:id="98" w:name="_Toc23678"/>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8526"/>
      <w:bookmarkStart w:id="104" w:name="_Toc13212"/>
      <w:bookmarkStart w:id="105" w:name="_Toc19649"/>
      <w:r>
        <w:rPr>
          <w:rFonts w:hint="eastAsia" w:ascii="宋体" w:hAnsi="宋体"/>
          <w:color w:val="auto"/>
          <w:sz w:val="21"/>
          <w:szCs w:val="21"/>
          <w:highlight w:val="none"/>
        </w:rPr>
        <w:t>19.投标样品（如需提交）</w:t>
      </w:r>
      <w:bookmarkEnd w:id="103"/>
      <w:bookmarkEnd w:id="104"/>
      <w:bookmarkEnd w:id="105"/>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9777"/>
      <w:bookmarkStart w:id="107" w:name="_Toc382049112"/>
      <w:bookmarkStart w:id="108" w:name="_Toc23477"/>
      <w:bookmarkStart w:id="109" w:name="_Toc7689"/>
      <w:bookmarkStart w:id="110" w:name="_Toc5900"/>
      <w:bookmarkStart w:id="111" w:name="_Toc303084265"/>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spacing w:line="480" w:lineRule="auto"/>
        <w:jc w:val="center"/>
        <w:rPr>
          <w:rFonts w:ascii="宋体" w:hAnsi="宋体"/>
          <w:color w:val="auto"/>
          <w:highlight w:val="none"/>
        </w:rPr>
      </w:pPr>
      <w:bookmarkStart w:id="115" w:name="_Toc29574"/>
      <w:bookmarkStart w:id="116" w:name="_Toc23466"/>
      <w:bookmarkStart w:id="117" w:name="_Toc5049"/>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8458"/>
      <w:bookmarkStart w:id="119" w:name="_Toc24251"/>
      <w:bookmarkStart w:id="120" w:name="_Toc27700"/>
      <w:r>
        <w:rPr>
          <w:rFonts w:hint="eastAsia" w:ascii="宋体" w:hAnsi="宋体"/>
          <w:color w:val="auto"/>
          <w:sz w:val="21"/>
          <w:szCs w:val="21"/>
          <w:highlight w:val="none"/>
        </w:rPr>
        <w:t>22.开标</w:t>
      </w:r>
      <w:bookmarkEnd w:id="118"/>
      <w:bookmarkEnd w:id="119"/>
      <w:bookmarkEnd w:id="120"/>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5524"/>
      <w:bookmarkStart w:id="122" w:name="_Toc597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32730"/>
      <w:bookmarkStart w:id="125" w:name="_Toc26402"/>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1742"/>
      <w:bookmarkStart w:id="131" w:name="_Toc27673"/>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7593"/>
      <w:bookmarkStart w:id="134" w:name="_Toc17683"/>
      <w:bookmarkStart w:id="135" w:name="_Toc22192"/>
      <w:r>
        <w:rPr>
          <w:rFonts w:hint="eastAsia" w:ascii="宋体" w:hAnsi="宋体"/>
          <w:color w:val="auto"/>
          <w:sz w:val="21"/>
          <w:szCs w:val="21"/>
          <w:highlight w:val="none"/>
        </w:rPr>
        <w:t>27.优惠政策</w:t>
      </w:r>
      <w:bookmarkEnd w:id="133"/>
      <w:bookmarkEnd w:id="134"/>
      <w:bookmarkEnd w:id="135"/>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12115"/>
      <w:bookmarkStart w:id="138" w:name="_Toc31141"/>
      <w:bookmarkStart w:id="139" w:name="_Toc22591"/>
      <w:bookmarkStart w:id="140" w:name="_Toc382049120"/>
      <w:bookmarkStart w:id="141"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17778"/>
      <w:bookmarkStart w:id="146" w:name="_Toc27817"/>
      <w:bookmarkStart w:id="147" w:name="_Toc6696"/>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12440"/>
      <w:bookmarkStart w:id="150" w:name="_Toc508284013"/>
      <w:bookmarkStart w:id="151" w:name="_Toc29283"/>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262"/>
      <w:bookmarkStart w:id="154" w:name="_Toc22451"/>
      <w:bookmarkStart w:id="155" w:name="_Toc27279"/>
      <w:r>
        <w:rPr>
          <w:rFonts w:hint="eastAsia" w:ascii="宋体" w:hAnsi="宋体"/>
          <w:color w:val="auto"/>
          <w:sz w:val="21"/>
          <w:szCs w:val="21"/>
          <w:highlight w:val="none"/>
        </w:rPr>
        <w:t>31.合同的签订与履行</w:t>
      </w:r>
      <w:bookmarkEnd w:id="153"/>
      <w:bookmarkEnd w:id="154"/>
      <w:bookmarkEnd w:id="155"/>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25756"/>
      <w:bookmarkStart w:id="157" w:name="_Toc303084277"/>
      <w:bookmarkStart w:id="158" w:name="_Toc7405"/>
      <w:bookmarkStart w:id="159" w:name="_Toc382049124"/>
      <w:bookmarkStart w:id="160" w:name="_Toc29009"/>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7360"/>
      <w:bookmarkStart w:id="163" w:name="_Toc20699"/>
      <w:bookmarkStart w:id="164" w:name="_Toc13694"/>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2900"/>
      <w:bookmarkStart w:id="166" w:name="_Toc17974"/>
      <w:bookmarkStart w:id="167" w:name="_Toc25498"/>
      <w:r>
        <w:rPr>
          <w:rFonts w:hint="eastAsia" w:ascii="宋体" w:hAnsi="宋体"/>
          <w:color w:val="auto"/>
          <w:sz w:val="21"/>
          <w:szCs w:val="21"/>
          <w:highlight w:val="none"/>
        </w:rPr>
        <w:t>33.询问</w:t>
      </w:r>
      <w:bookmarkEnd w:id="165"/>
      <w:bookmarkEnd w:id="166"/>
      <w:bookmarkEnd w:id="16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6"/>
        <w:widowControl w:val="0"/>
        <w:overflowPunct w:val="0"/>
        <w:rPr>
          <w:rFonts w:ascii="宋体" w:hAnsi="宋体"/>
          <w:color w:val="auto"/>
          <w:sz w:val="21"/>
          <w:szCs w:val="21"/>
          <w:highlight w:val="none"/>
        </w:rPr>
      </w:pPr>
      <w:bookmarkStart w:id="168" w:name="_Toc11264"/>
      <w:bookmarkStart w:id="169" w:name="_Toc2767"/>
      <w:bookmarkStart w:id="170" w:name="_Toc8234"/>
      <w:r>
        <w:rPr>
          <w:rFonts w:hint="eastAsia" w:ascii="宋体" w:hAnsi="宋体"/>
          <w:color w:val="auto"/>
          <w:sz w:val="21"/>
          <w:szCs w:val="21"/>
          <w:highlight w:val="none"/>
        </w:rPr>
        <w:t>34.质疑</w:t>
      </w:r>
      <w:bookmarkEnd w:id="168"/>
      <w:bookmarkEnd w:id="169"/>
      <w:bookmarkEnd w:id="170"/>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24383"/>
      <w:bookmarkStart w:id="172" w:name="_Toc8919"/>
      <w:bookmarkStart w:id="173" w:name="_Toc5690"/>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21187"/>
      <w:bookmarkStart w:id="175" w:name="_Toc10082"/>
      <w:bookmarkStart w:id="176" w:name="_Toc6548"/>
      <w:r>
        <w:rPr>
          <w:rFonts w:hint="eastAsia" w:ascii="宋体" w:hAnsi="宋体"/>
          <w:color w:val="auto"/>
          <w:sz w:val="21"/>
          <w:szCs w:val="21"/>
          <w:highlight w:val="none"/>
        </w:rPr>
        <w:t>35.招标文件的解释权</w:t>
      </w:r>
      <w:bookmarkEnd w:id="174"/>
      <w:bookmarkEnd w:id="175"/>
      <w:bookmarkEnd w:id="176"/>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7011"/>
      <w:bookmarkStart w:id="178" w:name="_Toc382"/>
      <w:bookmarkStart w:id="179" w:name="_Toc31854"/>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4"/>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bCs/>
                <w:color w:val="auto"/>
                <w:kern w:val="44"/>
                <w:sz w:val="21"/>
                <w:szCs w:val="21"/>
                <w:highlight w:val="none"/>
              </w:rPr>
              <w:t>自合同签订之日起40天内完成。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yellow"/>
                <w:lang w:eastAsia="zh-CN"/>
              </w:rPr>
              <w:t>项目实施完成经采购人验收合格后</w:t>
            </w:r>
            <w:r>
              <w:rPr>
                <w:rFonts w:hint="eastAsia" w:ascii="宋体" w:hAnsi="宋体" w:eastAsia="宋体" w:cs="宋体"/>
                <w:color w:val="auto"/>
                <w:sz w:val="21"/>
                <w:szCs w:val="21"/>
                <w:highlight w:val="yellow"/>
                <w:lang w:val="en-US" w:eastAsia="zh-CN"/>
              </w:rPr>
              <w:t>，采购方在30</w:t>
            </w:r>
            <w:r>
              <w:rPr>
                <w:rFonts w:hint="eastAsia" w:ascii="宋体" w:hAnsi="宋体" w:cs="宋体"/>
                <w:color w:val="auto"/>
                <w:sz w:val="21"/>
                <w:szCs w:val="21"/>
                <w:highlight w:val="yellow"/>
                <w:lang w:val="en-US" w:eastAsia="zh-CN"/>
              </w:rPr>
              <w:t>个工作</w:t>
            </w:r>
            <w:r>
              <w:rPr>
                <w:rFonts w:hint="eastAsia" w:ascii="宋体" w:hAnsi="宋体" w:eastAsia="宋体" w:cs="宋体"/>
                <w:color w:val="auto"/>
                <w:sz w:val="21"/>
                <w:szCs w:val="21"/>
                <w:highlight w:val="yellow"/>
                <w:lang w:val="en-US" w:eastAsia="zh-CN"/>
              </w:rPr>
              <w:t>内支付</w:t>
            </w:r>
            <w:r>
              <w:rPr>
                <w:rFonts w:hint="eastAsia" w:ascii="宋体" w:hAnsi="宋体" w:cs="宋体"/>
                <w:color w:val="auto"/>
                <w:sz w:val="21"/>
                <w:szCs w:val="21"/>
                <w:highlight w:val="yellow"/>
                <w:lang w:val="en-US" w:eastAsia="zh-CN"/>
              </w:rPr>
              <w:t>至</w:t>
            </w:r>
            <w:r>
              <w:rPr>
                <w:rFonts w:hint="eastAsia" w:ascii="宋体" w:hAnsi="宋体" w:eastAsia="宋体" w:cs="宋体"/>
                <w:color w:val="auto"/>
                <w:sz w:val="21"/>
                <w:szCs w:val="21"/>
                <w:highlight w:val="yellow"/>
                <w:lang w:val="en-US" w:eastAsia="zh-CN"/>
              </w:rPr>
              <w:t>合同总额的</w:t>
            </w:r>
            <w:r>
              <w:rPr>
                <w:rFonts w:hint="eastAsia" w:ascii="宋体" w:hAnsi="宋体" w:cs="宋体"/>
                <w:color w:val="auto"/>
                <w:sz w:val="21"/>
                <w:szCs w:val="21"/>
                <w:highlight w:val="yellow"/>
                <w:lang w:val="en-US" w:eastAsia="zh-CN"/>
              </w:rPr>
              <w:t>100%</w:t>
            </w:r>
            <w:r>
              <w:rPr>
                <w:rFonts w:hint="eastAsia" w:ascii="宋体" w:hAnsi="宋体" w:eastAsia="宋体" w:cs="宋体"/>
                <w:color w:val="auto"/>
                <w:sz w:val="21"/>
                <w:szCs w:val="21"/>
                <w:highlight w:val="yellow"/>
                <w:lang w:val="en-US" w:eastAsia="zh-CN"/>
              </w:rPr>
              <w:t>；</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leftChars="0" w:firstLine="420" w:firstLineChars="200"/>
              <w:textAlignment w:val="auto"/>
              <w:rPr>
                <w:rFonts w:ascii="宋体" w:hAnsi="宋体" w:cs="宋体"/>
                <w:color w:val="auto"/>
                <w:szCs w:val="21"/>
                <w:highlight w:val="none"/>
              </w:rPr>
            </w:pPr>
            <w:r>
              <w:rPr>
                <w:rFonts w:hint="eastAsia" w:ascii="宋体" w:hAnsi="宋体" w:cs="宋体"/>
                <w:color w:val="auto"/>
                <w:sz w:val="21"/>
                <w:szCs w:val="21"/>
                <w:highlight w:val="none"/>
                <w:lang w:val="en-US" w:eastAsia="zh-CN"/>
              </w:rPr>
              <w:t>注：</w:t>
            </w:r>
            <w:r>
              <w:rPr>
                <w:rFonts w:hint="eastAsia" w:ascii="宋体" w:hAnsi="宋体" w:eastAsia="宋体" w:cs="宋体"/>
                <w:color w:val="auto"/>
                <w:sz w:val="21"/>
                <w:szCs w:val="21"/>
                <w:highlight w:val="none"/>
                <w:lang w:eastAsia="zh-CN"/>
              </w:rPr>
              <w:t>因采购人使用的是财政资金，采购人在前款规定的付款时间为向政府采购支付部门提出办理财政支付申请手续的时间（不含政府财政支付部门审核的时间），在规定时间内提出支付申请手续后即视为采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cs="宋体"/>
                <w:color w:val="auto"/>
                <w:szCs w:val="21"/>
                <w:highlight w:val="none"/>
              </w:rPr>
            </w:pPr>
            <w:r>
              <w:rPr>
                <w:rFonts w:ascii="宋体" w:hAnsi="宋体" w:eastAsia="宋体"/>
                <w:color w:val="auto"/>
                <w:szCs w:val="21"/>
                <w:highlight w:val="none"/>
              </w:rPr>
              <w:t>其它要求</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2"/>
        <w:rPr>
          <w:color w:val="auto"/>
          <w:highlight w:val="none"/>
          <w:lang w:val="en-US"/>
        </w:rPr>
      </w:pPr>
    </w:p>
    <w:p>
      <w:pPr>
        <w:rPr>
          <w:color w:val="auto"/>
          <w:highlight w:val="none"/>
          <w:lang w:val="en-US"/>
        </w:rPr>
      </w:pPr>
    </w:p>
    <w:p>
      <w:pPr>
        <w:bidi w:val="0"/>
        <w:rPr>
          <w:lang w:val="en-US"/>
        </w:rPr>
      </w:pPr>
    </w:p>
    <w:p>
      <w:pPr>
        <w:bidi w:val="0"/>
        <w:rPr>
          <w:lang w:val="en-US"/>
        </w:rPr>
      </w:pPr>
    </w:p>
    <w:p>
      <w:pPr>
        <w:bidi w:val="0"/>
        <w:rPr>
          <w:lang w:val="en-US"/>
        </w:rPr>
      </w:pPr>
    </w:p>
    <w:p>
      <w:pPr>
        <w:pStyle w:val="2"/>
        <w:rPr>
          <w:lang w:val="en-US"/>
        </w:rPr>
      </w:pPr>
    </w:p>
    <w:p>
      <w:pPr>
        <w:rPr>
          <w:color w:val="auto"/>
          <w:highlight w:val="none"/>
        </w:rPr>
      </w:pPr>
    </w:p>
    <w:p>
      <w:pPr>
        <w:pStyle w:val="5"/>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pStyle w:val="6"/>
        <w:bidi w:val="0"/>
        <w:rPr>
          <w:rFonts w:hint="eastAsia"/>
        </w:rPr>
      </w:pPr>
      <w:bookmarkStart w:id="182" w:name="_Toc13112"/>
      <w:bookmarkStart w:id="183" w:name="_Toc24679"/>
      <w:bookmarkStart w:id="184" w:name="_Toc31278"/>
      <w:bookmarkStart w:id="185" w:name="_Toc14462"/>
      <w:r>
        <w:rPr>
          <w:rFonts w:hint="eastAsia"/>
        </w:rPr>
        <w:t>一、项目背景</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s="宋体"/>
          <w:sz w:val="21"/>
          <w:szCs w:val="21"/>
          <w:highlight w:val="none"/>
          <w:lang w:eastAsia="zh-CN"/>
        </w:rPr>
      </w:pP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、区位:横沥镇第</w:t>
      </w:r>
      <w:r>
        <w:rPr>
          <w:rFonts w:hint="eastAsia" w:ascii="宋体" w:hAnsi="宋体" w:cs="宋体"/>
          <w:sz w:val="21"/>
          <w:szCs w:val="21"/>
          <w:highlight w:val="none"/>
          <w:lang w:val="en-US" w:eastAsia="zh-CN"/>
        </w:rPr>
        <w:t>二</w:t>
      </w:r>
      <w:r>
        <w:rPr>
          <w:rFonts w:hint="eastAsia" w:ascii="宋体" w:hAnsi="宋体" w:eastAsia="宋体" w:cs="宋体"/>
          <w:sz w:val="21"/>
          <w:szCs w:val="21"/>
          <w:highlight w:val="none"/>
        </w:rPr>
        <w:t>幼儿园位于东莞东部产业园片区横沥镇中心</w:t>
      </w:r>
      <w:r>
        <w:rPr>
          <w:rFonts w:hint="eastAsia" w:ascii="宋体" w:hAnsi="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rPr>
        <w:t>、规模:校园占地面积4815平方米，建筑总面积</w:t>
      </w:r>
      <w:r>
        <w:rPr>
          <w:rFonts w:hint="eastAsia" w:ascii="宋体" w:hAnsi="宋体" w:cs="宋体"/>
          <w:sz w:val="21"/>
          <w:szCs w:val="21"/>
          <w:highlight w:val="none"/>
          <w:lang w:val="en-US" w:eastAsia="zh-CN"/>
        </w:rPr>
        <w:t>3304</w:t>
      </w:r>
      <w:r>
        <w:rPr>
          <w:rFonts w:hint="eastAsia" w:ascii="宋体" w:hAnsi="宋体" w:eastAsia="宋体" w:cs="宋体"/>
          <w:sz w:val="21"/>
          <w:szCs w:val="21"/>
          <w:highlight w:val="none"/>
        </w:rPr>
        <w:t>平方米。</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、配套:园所计划装修各种功能场室及完善的教学设施，配备陶艺室、美工室、科学室、音体室、阅读室等</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sz w:val="21"/>
          <w:szCs w:val="21"/>
        </w:rPr>
      </w:pPr>
    </w:p>
    <w:p>
      <w:pPr>
        <w:pStyle w:val="6"/>
        <w:bidi w:val="0"/>
        <w:rPr>
          <w:rFonts w:hint="eastAsia"/>
        </w:rPr>
      </w:pPr>
      <w:r>
        <w:rPr>
          <w:rFonts w:hint="eastAsia"/>
        </w:rPr>
        <w:t>二、指导思想</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学校以“悦健” 为办园理念，从顶层设计到环境文化空间贯穿融入，让儿童在这里健康快乐成长。</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sz w:val="21"/>
          <w:szCs w:val="21"/>
        </w:rPr>
      </w:pPr>
    </w:p>
    <w:p>
      <w:pPr>
        <w:pStyle w:val="6"/>
        <w:bidi w:val="0"/>
        <w:rPr>
          <w:rFonts w:hint="eastAsia"/>
        </w:rPr>
      </w:pPr>
      <w:r>
        <w:rPr>
          <w:rFonts w:hint="eastAsia"/>
        </w:rPr>
        <w:t>三、设计、制作原则</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1、育人性原则：校园文化设计本着从学生的角度出发，体现互动性，可参与性的特点， 把空间设计和学生成长结合起来，让空间服务学生，让空间展示学生的成果，让空间成为学生校园生活的快乐港湾，使学生在参与过程中，学习，正常，进步。</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2、整体性原则：校园文化建设要形成统一的整体、合理布局，要符合党和国家的教育方针，围绕学校教育育人为本，教学做合一，贴近实际、贴近生活、贴近学生，体现时代精神。</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3、特色性原则：在设计中要根据区域主题特点设计，突出区域主题特色，让主题与校园文化融为一体，既有区域特点，又相互辉映。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4、继承与发展原则：校园文化建设要坚持继承与发展的原则，主题鲜明、内容丰富、形式多样、特色明显，做到硬化、净化、美化、文化，各个场所布置个性鲜明，符合特点， 能使用规范字，体现浓厚的学校文化底蕴和办学特色。</w:t>
      </w:r>
    </w:p>
    <w:p>
      <w:pPr>
        <w:bidi w:val="0"/>
        <w:rPr>
          <w:rFonts w:hint="eastAsia"/>
          <w:lang w:eastAsia="zh-CN"/>
        </w:rPr>
      </w:pPr>
    </w:p>
    <w:p>
      <w:pPr>
        <w:pStyle w:val="6"/>
        <w:bidi w:val="0"/>
        <w:rPr>
          <w:rFonts w:hint="eastAsia" w:ascii="宋体" w:hAnsi="宋体" w:eastAsia="宋体" w:cs="宋体"/>
          <w:sz w:val="21"/>
          <w:szCs w:val="21"/>
        </w:rPr>
      </w:pPr>
      <w:r>
        <w:rPr>
          <w:rFonts w:hint="eastAsia"/>
        </w:rPr>
        <w:t>四、项目要求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1、深化设计方案经采购人确认后，方可实施。</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2、提供的制作校园文化产品的材料应为原装的、合格的、全新的材料，其技术性能应能满足国家和行业最新要求。</w:t>
      </w:r>
    </w:p>
    <w:p>
      <w:pPr>
        <w:bidi w:val="0"/>
        <w:rPr>
          <w:rFonts w:hint="eastAsia"/>
        </w:rPr>
      </w:pPr>
    </w:p>
    <w:p>
      <w:pPr>
        <w:pStyle w:val="6"/>
        <w:bidi w:val="0"/>
        <w:rPr>
          <w:rFonts w:hint="eastAsia"/>
        </w:rPr>
      </w:pPr>
      <w:r>
        <w:rPr>
          <w:rFonts w:hint="eastAsia"/>
        </w:rPr>
        <w:t>五、服务清单</w:t>
      </w:r>
    </w:p>
    <w:tbl>
      <w:tblPr>
        <w:tblStyle w:val="24"/>
        <w:tblW w:w="823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
        <w:gridCol w:w="2698"/>
        <w:gridCol w:w="3420"/>
        <w:gridCol w:w="705"/>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名称</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设计及工艺要求</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校园文化整体规划</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策划要求：文化品牌定位；文化核心价值提炼；文化整体规划；文化内容规划；策划合情合理合意。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办园理念策划</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策划要求：办园核心宗旨，园训，三风，办园地域文化，特色文化等基础提炼。</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vi形象设计</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设计要求：园徽标志设计；字体规范；VI基础设计；部分运用设计；与学校理念吻合，体现办园悦健内涵。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校门校名称及logo</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设计要求：彰显学校品牌形象，大气有张力；制作材料要环保耐用安全。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围栏主题文化墙及文化栏（含社会主义核心价值观、交通安全、创文明城市、善行义举、消防安全公示栏等）</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设计要求：根据区域文化定位，设计主题文化装饰，有趣而充满童趣，设计要满足学生活动或作品展示，制作材料要环保耐用安全。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园训主题墙装饰</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设计要求：紧扣主题，简约而不乏有内涵；符合小孩子的审美需求，制作材料要环保耐用安全。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1"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各种类公示牌、提示牌、校园宣传栏（党建文化、师风师德、今日食谱、教师风采栏，收费公示栏、校门口宣传栏、消防宣传栏、各楼层消防疏散图</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设计要求：设计风格要简洁现代，与校园文化整体协调，具有艺术性符合孩子的审美需求，满足学校公开展示、公告通知的使用需求，制作材料要环保耐用安全。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休闲文化小品</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设计要求：以学校办园理念设计简洁现代，具有艺术性符合孩子的审美需求，制作材料要环保耐用安全。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各办公室制度牌、保安室值班制度、家园共育宣传栏、警务公示栏、走廊和楼梯文化墙、食堂管理制度墙及宣传栏餐厅宣传海报、垃圾分类宣传及装饰、垃圾桶分类标签等）</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设计要求：设计风格要简洁现代，与校园文化整体协调，具有艺术性符合孩子的审美需求，满足学校公开展示、公告通知的使用需求，制作材料要环保耐用安全。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班级文化展示牌</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设计要求：合理利用墙面空间设计童趣简洁现代，吻合vi品牌形象，便于师生更换展示使用，制作材料要环保耐用安全。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班级牌、办公牌及功能室牌</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设计要求：合理利用墙面空间设计童趣简洁现代，吻合vi品牌形象，制作材料要环保耐用安全。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党建文化、师风师德文化建设</w:t>
            </w:r>
          </w:p>
        </w:tc>
        <w:tc>
          <w:tcPr>
            <w:tcW w:w="3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设计要求：紧扣主题，符合主题需求，制作材料要环保耐用安全。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bl>
    <w:p>
      <w:pPr>
        <w:pStyle w:val="8"/>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val="0"/>
          <w:bCs/>
          <w:kern w:val="0"/>
          <w:sz w:val="21"/>
          <w:szCs w:val="21"/>
          <w:lang w:val="en-US" w:eastAsia="zh-CN" w:bidi="ar-SA"/>
        </w:rPr>
      </w:pPr>
    </w:p>
    <w:p>
      <w:pPr>
        <w:bidi w:val="0"/>
        <w:rPr>
          <w:rFonts w:hint="eastAsia"/>
        </w:rPr>
      </w:pPr>
    </w:p>
    <w:p>
      <w:pPr>
        <w:ind w:firstLine="422" w:firstLineChars="200"/>
        <w:rPr>
          <w:rFonts w:hint="eastAsia" w:ascii="宋体" w:hAnsi="宋体" w:eastAsia="宋体" w:cs="Times New Roman"/>
          <w:b/>
          <w:bCs/>
          <w:sz w:val="21"/>
          <w:szCs w:val="21"/>
          <w:highlight w:val="none"/>
        </w:rPr>
      </w:pPr>
      <w:r>
        <w:rPr>
          <w:rFonts w:hint="eastAsia" w:ascii="宋体" w:hAnsi="宋体" w:eastAsia="宋体" w:cs="Times New Roman"/>
          <w:b/>
          <w:bCs/>
          <w:sz w:val="21"/>
          <w:szCs w:val="21"/>
          <w:highlight w:val="none"/>
        </w:rPr>
        <w:t>注：不满足招标文件中 “★”条款的投标文件将作无效投标处理。</w:t>
      </w:r>
    </w:p>
    <w:p>
      <w:pPr>
        <w:pStyle w:val="2"/>
        <w:ind w:left="0" w:leftChars="0" w:firstLine="0" w:firstLineChars="0"/>
        <w:rPr>
          <w:highlight w:val="none"/>
        </w:rPr>
        <w:sectPr>
          <w:pgSz w:w="11906" w:h="16838"/>
          <w:pgMar w:top="1440" w:right="1800" w:bottom="1440" w:left="1800" w:header="851" w:footer="992" w:gutter="0"/>
          <w:pgNumType w:fmt="decimal"/>
          <w:cols w:space="720" w:num="1"/>
          <w:docGrid w:type="lines" w:linePitch="312" w:charSpace="0"/>
        </w:sectPr>
      </w:pPr>
    </w:p>
    <w:bookmarkEnd w:id="182"/>
    <w:bookmarkEnd w:id="183"/>
    <w:bookmarkEnd w:id="184"/>
    <w:bookmarkEnd w:id="185"/>
    <w:p>
      <w:pPr>
        <w:pStyle w:val="4"/>
        <w:spacing w:before="0" w:after="0" w:line="240" w:lineRule="auto"/>
        <w:rPr>
          <w:color w:val="auto"/>
          <w:sz w:val="28"/>
          <w:szCs w:val="28"/>
          <w:highlight w:val="none"/>
        </w:rPr>
      </w:pPr>
      <w:bookmarkStart w:id="186" w:name="_Toc12014"/>
      <w:bookmarkStart w:id="187" w:name="_Toc21448"/>
      <w:bookmarkStart w:id="188" w:name="_Toc12485"/>
      <w:r>
        <w:rPr>
          <w:rFonts w:hint="eastAsia"/>
          <w:color w:val="auto"/>
          <w:sz w:val="28"/>
          <w:szCs w:val="28"/>
          <w:highlight w:val="none"/>
        </w:rPr>
        <w:t>第六部分 合同格式（仅供参考）</w:t>
      </w:r>
      <w:bookmarkEnd w:id="186"/>
      <w:bookmarkEnd w:id="187"/>
      <w:bookmarkEnd w:id="188"/>
      <w:bookmarkStart w:id="189" w:name="_Toc13430"/>
      <w:bookmarkStart w:id="190" w:name="_Toc21155"/>
      <w:bookmarkStart w:id="191" w:name="_Toc1534"/>
    </w:p>
    <w:p>
      <w:pPr>
        <w:pStyle w:val="5"/>
        <w:spacing w:line="240" w:lineRule="auto"/>
        <w:jc w:val="center"/>
        <w:rPr>
          <w:rFonts w:ascii="宋体" w:hAnsi="宋体" w:cs="宋体"/>
          <w:color w:val="auto"/>
          <w:highlight w:val="none"/>
        </w:rPr>
      </w:pPr>
      <w:bookmarkStart w:id="192" w:name="_Toc19575"/>
      <w:bookmarkStart w:id="193" w:name="_Toc8880"/>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2"/>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2"/>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8" w:name="_Toc1478"/>
      <w:bookmarkStart w:id="199" w:name="_Toc31587"/>
      <w:bookmarkStart w:id="200" w:name="_Toc23749"/>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5"/>
        <w:rPr>
          <w:color w:val="auto"/>
          <w:highlight w:val="none"/>
        </w:rPr>
      </w:pPr>
      <w:bookmarkStart w:id="201" w:name="_Toc6790"/>
      <w:bookmarkStart w:id="202" w:name="_Toc2683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4" w:name="_Toc25502"/>
      <w:bookmarkStart w:id="205" w:name="_Toc18893"/>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1"/>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5"/>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spacing w:after="0" w:line="360" w:lineRule="auto"/>
        <w:ind w:left="357" w:leftChars="170" w:firstLine="359" w:firstLineChars="171"/>
        <w:rPr>
          <w:rFonts w:ascii="宋体" w:hAnsi="宋体" w:eastAsia="宋体"/>
          <w:color w:val="auto"/>
          <w:sz w:val="21"/>
          <w:szCs w:val="21"/>
          <w:highlight w:val="none"/>
        </w:rPr>
      </w:pPr>
    </w:p>
    <w:p>
      <w:pPr>
        <w:ind w:left="357" w:leftChars="170" w:firstLine="359" w:firstLineChars="171"/>
        <w:rPr>
          <w:rFonts w:ascii="宋体" w:hAnsi="宋体"/>
          <w:color w:val="auto"/>
          <w:szCs w:val="21"/>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5"/>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1"/>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pStyle w:val="5"/>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4"/>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pPr>
        <w:pStyle w:val="34"/>
        <w:ind w:firstLine="422"/>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1"/>
        <w:rPr>
          <w:color w:val="auto"/>
          <w:highlight w:val="none"/>
        </w:rPr>
      </w:pPr>
    </w:p>
    <w:p>
      <w:pPr>
        <w:tabs>
          <w:tab w:val="left" w:pos="284"/>
        </w:tabs>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tabs>
          <w:tab w:val="left" w:pos="284"/>
        </w:tabs>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4"/>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509927455"/>
      <w:bookmarkStart w:id="223" w:name="_Toc17761"/>
      <w:bookmarkStart w:id="224" w:name="_Toc509479530"/>
      <w:bookmarkStart w:id="225" w:name="_Toc509844825"/>
      <w:bookmarkStart w:id="226" w:name="_Toc508898066"/>
      <w:bookmarkStart w:id="227" w:name="_Toc30277"/>
      <w:bookmarkStart w:id="228" w:name="_Toc30247"/>
      <w:bookmarkStart w:id="229" w:name="_Toc22970"/>
      <w:bookmarkStart w:id="230" w:name="_Toc20910"/>
      <w:bookmarkStart w:id="231" w:name="_Toc508960153"/>
      <w:bookmarkStart w:id="232" w:name="_Toc508958703"/>
      <w:bookmarkStart w:id="233" w:name="_Toc510171693"/>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ind w:firstLine="420" w:firstLineChars="200"/>
        <w:rPr>
          <w:rFonts w:ascii="宋体" w:hAnsi="宋体"/>
          <w:color w:val="auto"/>
          <w:szCs w:val="21"/>
          <w:highlight w:val="none"/>
        </w:rPr>
      </w:pPr>
      <w:bookmarkStart w:id="234" w:name="_Toc508960154"/>
      <w:bookmarkStart w:id="235" w:name="_Toc508898067"/>
      <w:bookmarkStart w:id="236" w:name="_Toc31520"/>
      <w:bookmarkStart w:id="237" w:name="_Toc509927456"/>
      <w:bookmarkStart w:id="238" w:name="_Toc21053"/>
      <w:bookmarkStart w:id="239" w:name="_Toc5447"/>
      <w:bookmarkStart w:id="240" w:name="_Toc509844826"/>
      <w:bookmarkStart w:id="241" w:name="_Toc28527"/>
      <w:bookmarkStart w:id="242" w:name="_Toc26216"/>
      <w:bookmarkStart w:id="243" w:name="_Toc508958704"/>
      <w:bookmarkStart w:id="244" w:name="_Toc510171694"/>
      <w:bookmarkStart w:id="245" w:name="_Toc509479531"/>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24848"/>
      <w:bookmarkStart w:id="247" w:name="_Toc510171695"/>
      <w:bookmarkStart w:id="248" w:name="_Toc28126"/>
      <w:bookmarkStart w:id="249" w:name="_Toc508958705"/>
      <w:bookmarkStart w:id="250" w:name="_Toc509844827"/>
      <w:bookmarkStart w:id="251" w:name="_Toc508898068"/>
      <w:bookmarkStart w:id="252" w:name="_Toc508960155"/>
      <w:bookmarkStart w:id="253" w:name="_Toc9148"/>
      <w:bookmarkStart w:id="254" w:name="_Toc509479532"/>
      <w:bookmarkStart w:id="255" w:name="_Toc509927457"/>
      <w:bookmarkStart w:id="256" w:name="_Toc14653"/>
      <w:bookmarkStart w:id="257" w:name="_Toc286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22981"/>
      <w:bookmarkStart w:id="259" w:name="_Toc510171696"/>
      <w:bookmarkStart w:id="260" w:name="_Toc508960156"/>
      <w:bookmarkStart w:id="261" w:name="_Toc508898069"/>
      <w:bookmarkStart w:id="262" w:name="_Toc509844828"/>
      <w:bookmarkStart w:id="263" w:name="_Toc508958706"/>
      <w:bookmarkStart w:id="264" w:name="_Toc28686"/>
      <w:bookmarkStart w:id="265" w:name="_Toc28044"/>
      <w:bookmarkStart w:id="266" w:name="_Toc509479533"/>
      <w:bookmarkStart w:id="267" w:name="_Toc509927458"/>
      <w:bookmarkStart w:id="268" w:name="_Toc9837"/>
      <w:bookmarkStart w:id="269" w:name="_Toc7858"/>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9844829"/>
      <w:bookmarkStart w:id="271" w:name="_Toc509927459"/>
      <w:bookmarkStart w:id="272" w:name="_Toc508958707"/>
      <w:bookmarkStart w:id="273" w:name="_Toc5289"/>
      <w:bookmarkStart w:id="274" w:name="_Toc509479534"/>
      <w:bookmarkStart w:id="275" w:name="_Toc510171697"/>
      <w:bookmarkStart w:id="276" w:name="_Toc18843"/>
      <w:bookmarkStart w:id="277" w:name="_Toc508898070"/>
      <w:bookmarkStart w:id="278" w:name="_Toc50896015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5"/>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85" w:name="_Toc16412"/>
    </w:p>
    <w:p>
      <w:pPr>
        <w:pStyle w:val="5"/>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5"/>
        <w:jc w:val="center"/>
        <w:rPr>
          <w:color w:val="auto"/>
          <w:highlight w:val="none"/>
        </w:rPr>
      </w:pPr>
      <w:bookmarkStart w:id="295" w:name="_Toc28067"/>
      <w:bookmarkStart w:id="296" w:name="_Toc1511"/>
      <w:bookmarkStart w:id="297" w:name="_Toc29995"/>
      <w:bookmarkStart w:id="298" w:name="_Toc4926"/>
      <w:bookmarkStart w:id="299" w:name="_Toc24210"/>
      <w:bookmarkStart w:id="300" w:name="_Toc5919"/>
      <w:bookmarkStart w:id="301" w:name="_Toc17470"/>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5"/>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7"/>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7"/>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5"/>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5"/>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5"/>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464"/>
      <w:bookmarkStart w:id="320" w:name="_Toc4827"/>
      <w:bookmarkStart w:id="321" w:name="_Toc6080"/>
      <w:bookmarkStart w:id="322" w:name="_Toc26078"/>
      <w:bookmarkStart w:id="323" w:name="_Toc18668"/>
      <w:bookmarkStart w:id="324" w:name="_Toc1274"/>
    </w:p>
    <w:p>
      <w:pPr>
        <w:pStyle w:val="5"/>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7" w:name="_Toc27079"/>
            <w:bookmarkStart w:id="328" w:name="_Toc29642"/>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0" w:name="_Toc14815"/>
            <w:bookmarkStart w:id="331" w:name="_Toc22448"/>
            <w:bookmarkStart w:id="332" w:name="_Toc16872"/>
            <w:bookmarkStart w:id="333" w:name="_Toc10045"/>
            <w:bookmarkStart w:id="334" w:name="_Toc15368"/>
            <w:bookmarkStart w:id="335" w:name="_Toc2700"/>
            <w:bookmarkStart w:id="336" w:name="_Toc12049"/>
            <w:bookmarkStart w:id="337" w:name="_Toc1016"/>
            <w:bookmarkStart w:id="338" w:name="_Toc15903"/>
            <w:bookmarkStart w:id="339" w:name="_Toc21739"/>
            <w:bookmarkStart w:id="340" w:name="_Toc27090"/>
            <w:bookmarkStart w:id="341" w:name="_Toc4304"/>
            <w:bookmarkStart w:id="342" w:name="_Toc26124"/>
            <w:bookmarkStart w:id="343" w:name="_Toc32531"/>
            <w:bookmarkStart w:id="344" w:name="_Toc8490"/>
            <w:bookmarkStart w:id="345" w:name="_Toc24662"/>
            <w:bookmarkStart w:id="346" w:name="_Toc22879"/>
            <w:bookmarkStart w:id="347" w:name="_Toc19251"/>
            <w:bookmarkStart w:id="348" w:name="_Toc21809"/>
            <w:bookmarkStart w:id="349" w:name="_Toc22917"/>
            <w:bookmarkStart w:id="350" w:name="_Toc7333"/>
            <w:bookmarkStart w:id="351" w:name="_Toc8312"/>
            <w:bookmarkStart w:id="352" w:name="_Toc2744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3" w:name="_Toc22153"/>
            <w:bookmarkStart w:id="354" w:name="_Toc2408"/>
            <w:bookmarkStart w:id="355" w:name="_Toc10122"/>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16003"/>
            <w:bookmarkStart w:id="358" w:name="_Toc29838"/>
            <w:bookmarkStart w:id="359" w:name="_Toc1330"/>
            <w:bookmarkStart w:id="360" w:name="_Toc3701"/>
            <w:bookmarkStart w:id="361" w:name="_Toc5563"/>
            <w:bookmarkStart w:id="362" w:name="_Toc20139"/>
            <w:bookmarkStart w:id="363" w:name="_Toc27185"/>
            <w:bookmarkStart w:id="364" w:name="_Toc17642"/>
            <w:bookmarkStart w:id="365" w:name="_Toc17296"/>
            <w:bookmarkStart w:id="366" w:name="_Toc5992"/>
            <w:bookmarkStart w:id="367" w:name="_Toc20820"/>
            <w:bookmarkStart w:id="368" w:name="_Toc1912"/>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9" w:name="_Toc857"/>
            <w:bookmarkStart w:id="370" w:name="_Toc3520"/>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w:t>
      </w:r>
    </w:p>
    <w:p>
      <w:pPr>
        <w:pStyle w:val="34"/>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4"/>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4"/>
        <w:rPr>
          <w:rFonts w:ascii="宋体" w:hAnsi="宋体"/>
          <w:color w:val="auto"/>
          <w:szCs w:val="21"/>
          <w:highlight w:val="none"/>
        </w:rPr>
      </w:pPr>
    </w:p>
    <w:p>
      <w:pPr>
        <w:pStyle w:val="34"/>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79" w:name="_Toc21541"/>
      <w:bookmarkStart w:id="380" w:name="_Toc16710"/>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1" w:name="_Toc24545"/>
      <w:bookmarkStart w:id="382" w:name="_Toc2685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5"/>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4" w:name="_Toc26772"/>
      <w:bookmarkStart w:id="385" w:name="_Toc2678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5"/>
        <w:jc w:val="center"/>
        <w:rPr>
          <w:color w:val="auto"/>
          <w:highlight w:val="none"/>
        </w:rPr>
      </w:pPr>
      <w:bookmarkStart w:id="387" w:name="_Toc2710"/>
      <w:bookmarkStart w:id="388" w:name="_Toc22736"/>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4"/>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3"/>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rPr>
          <w:rFonts w:eastAsia="微软雅黑"/>
        </w:rPr>
      </w:pPr>
      <w:r>
        <w:rPr>
          <w:rStyle w:val="30"/>
        </w:rPr>
        <w:footnoteRef/>
      </w:r>
      <w:r>
        <w:rPr>
          <w:rFonts w:hint="eastAsia"/>
        </w:rPr>
        <w:t>从业人员、营业人员、资产总额填报上一年度数据，无上一年度数据的新成立企业可不填报。</w:t>
      </w:r>
    </w:p>
  </w:footnote>
  <w:footnote w:id="1">
    <w:p>
      <w:pPr>
        <w:pStyle w:val="20"/>
      </w:pPr>
      <w:r>
        <w:rPr>
          <w:rStyle w:val="30"/>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08F7"/>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3D89"/>
    <w:rsid w:val="01E74B6E"/>
    <w:rsid w:val="02126CDB"/>
    <w:rsid w:val="021832B7"/>
    <w:rsid w:val="024E2E49"/>
    <w:rsid w:val="02A741FD"/>
    <w:rsid w:val="02C16E5D"/>
    <w:rsid w:val="02D964CF"/>
    <w:rsid w:val="032D0464"/>
    <w:rsid w:val="0340787C"/>
    <w:rsid w:val="03707410"/>
    <w:rsid w:val="037F03E3"/>
    <w:rsid w:val="03A0770F"/>
    <w:rsid w:val="03A27BF9"/>
    <w:rsid w:val="03A448B8"/>
    <w:rsid w:val="03A4578A"/>
    <w:rsid w:val="03AD071E"/>
    <w:rsid w:val="03B67E12"/>
    <w:rsid w:val="03D10969"/>
    <w:rsid w:val="03EC464C"/>
    <w:rsid w:val="04DF1036"/>
    <w:rsid w:val="050F6021"/>
    <w:rsid w:val="055214B8"/>
    <w:rsid w:val="05A97DEC"/>
    <w:rsid w:val="05C81981"/>
    <w:rsid w:val="05C935B6"/>
    <w:rsid w:val="065A32ED"/>
    <w:rsid w:val="06BC41F2"/>
    <w:rsid w:val="06DF3DBD"/>
    <w:rsid w:val="06FA1908"/>
    <w:rsid w:val="07197D08"/>
    <w:rsid w:val="071C2CFD"/>
    <w:rsid w:val="071E5C55"/>
    <w:rsid w:val="0739192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CC538D1"/>
    <w:rsid w:val="0D890E47"/>
    <w:rsid w:val="0DC64A00"/>
    <w:rsid w:val="0DFC60BA"/>
    <w:rsid w:val="0E4249F1"/>
    <w:rsid w:val="0F2955F4"/>
    <w:rsid w:val="0F6C5A53"/>
    <w:rsid w:val="0F7C5FF6"/>
    <w:rsid w:val="0FC63FBD"/>
    <w:rsid w:val="10382D43"/>
    <w:rsid w:val="106C564D"/>
    <w:rsid w:val="107224BA"/>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C240A"/>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4A6EA2"/>
    <w:rsid w:val="18DD0A66"/>
    <w:rsid w:val="190B7894"/>
    <w:rsid w:val="19A2789F"/>
    <w:rsid w:val="19B7100D"/>
    <w:rsid w:val="1A460CF5"/>
    <w:rsid w:val="1A515546"/>
    <w:rsid w:val="1A7F297D"/>
    <w:rsid w:val="1AB16AC1"/>
    <w:rsid w:val="1B034A52"/>
    <w:rsid w:val="1B1F34AD"/>
    <w:rsid w:val="1B5A51FC"/>
    <w:rsid w:val="1B8D5DC6"/>
    <w:rsid w:val="1BFE1D3B"/>
    <w:rsid w:val="1C2775EC"/>
    <w:rsid w:val="1C750ECE"/>
    <w:rsid w:val="1CA22168"/>
    <w:rsid w:val="1D0836D7"/>
    <w:rsid w:val="1D196139"/>
    <w:rsid w:val="1DB85900"/>
    <w:rsid w:val="1DF051AF"/>
    <w:rsid w:val="1E010AF7"/>
    <w:rsid w:val="1E0178EB"/>
    <w:rsid w:val="1E301173"/>
    <w:rsid w:val="1E38333E"/>
    <w:rsid w:val="1E5C7612"/>
    <w:rsid w:val="1E636E30"/>
    <w:rsid w:val="1EA40BB4"/>
    <w:rsid w:val="1F43381C"/>
    <w:rsid w:val="1FA4148D"/>
    <w:rsid w:val="20121621"/>
    <w:rsid w:val="201A421D"/>
    <w:rsid w:val="20341172"/>
    <w:rsid w:val="204E554F"/>
    <w:rsid w:val="20590035"/>
    <w:rsid w:val="20C35213"/>
    <w:rsid w:val="20FC799E"/>
    <w:rsid w:val="21072664"/>
    <w:rsid w:val="21693C0A"/>
    <w:rsid w:val="219604F3"/>
    <w:rsid w:val="22154DDD"/>
    <w:rsid w:val="22213E42"/>
    <w:rsid w:val="22336873"/>
    <w:rsid w:val="225C57F7"/>
    <w:rsid w:val="23175889"/>
    <w:rsid w:val="232C5C75"/>
    <w:rsid w:val="238C2182"/>
    <w:rsid w:val="239015D1"/>
    <w:rsid w:val="23B02530"/>
    <w:rsid w:val="23BB4E7D"/>
    <w:rsid w:val="23C172D6"/>
    <w:rsid w:val="23F04F64"/>
    <w:rsid w:val="24814CBE"/>
    <w:rsid w:val="24AC168B"/>
    <w:rsid w:val="25857F75"/>
    <w:rsid w:val="258C3BEC"/>
    <w:rsid w:val="25E576CC"/>
    <w:rsid w:val="260E3862"/>
    <w:rsid w:val="262569FC"/>
    <w:rsid w:val="26344C98"/>
    <w:rsid w:val="264B6870"/>
    <w:rsid w:val="26F56CE2"/>
    <w:rsid w:val="272D1F94"/>
    <w:rsid w:val="27435D49"/>
    <w:rsid w:val="27A34F71"/>
    <w:rsid w:val="27B36A67"/>
    <w:rsid w:val="27EB0D9B"/>
    <w:rsid w:val="286602C8"/>
    <w:rsid w:val="28665C95"/>
    <w:rsid w:val="28A64522"/>
    <w:rsid w:val="28CC5B40"/>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EB5F6D"/>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914729"/>
    <w:rsid w:val="30FF27D2"/>
    <w:rsid w:val="31170995"/>
    <w:rsid w:val="31264A30"/>
    <w:rsid w:val="31884E67"/>
    <w:rsid w:val="31A0275E"/>
    <w:rsid w:val="31B060CA"/>
    <w:rsid w:val="31B7357A"/>
    <w:rsid w:val="31ED6B08"/>
    <w:rsid w:val="31F915C9"/>
    <w:rsid w:val="32310A09"/>
    <w:rsid w:val="32610CE6"/>
    <w:rsid w:val="32631A32"/>
    <w:rsid w:val="328464CE"/>
    <w:rsid w:val="32AB70C5"/>
    <w:rsid w:val="32DC33E0"/>
    <w:rsid w:val="3309322B"/>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0E42D3"/>
    <w:rsid w:val="3B1E260C"/>
    <w:rsid w:val="3B261E51"/>
    <w:rsid w:val="3B973F88"/>
    <w:rsid w:val="3BCD72F7"/>
    <w:rsid w:val="3C414142"/>
    <w:rsid w:val="3CE114D9"/>
    <w:rsid w:val="3CF737A2"/>
    <w:rsid w:val="3CF7509A"/>
    <w:rsid w:val="3D10295A"/>
    <w:rsid w:val="3D116008"/>
    <w:rsid w:val="3E0572FD"/>
    <w:rsid w:val="3E1A5292"/>
    <w:rsid w:val="3E5A7FE7"/>
    <w:rsid w:val="3EC8179E"/>
    <w:rsid w:val="3EF66B2E"/>
    <w:rsid w:val="3F217914"/>
    <w:rsid w:val="3F942B76"/>
    <w:rsid w:val="3FAB5A5B"/>
    <w:rsid w:val="3FD70BB0"/>
    <w:rsid w:val="3FFB55AC"/>
    <w:rsid w:val="401C5F9D"/>
    <w:rsid w:val="401C690C"/>
    <w:rsid w:val="401D7195"/>
    <w:rsid w:val="405F1BE4"/>
    <w:rsid w:val="40A51286"/>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D208E8"/>
    <w:rsid w:val="42FD694D"/>
    <w:rsid w:val="434A6D8F"/>
    <w:rsid w:val="43FA5777"/>
    <w:rsid w:val="44044D92"/>
    <w:rsid w:val="441C1611"/>
    <w:rsid w:val="443C440B"/>
    <w:rsid w:val="443F7DBF"/>
    <w:rsid w:val="44514F52"/>
    <w:rsid w:val="446B348A"/>
    <w:rsid w:val="448965CB"/>
    <w:rsid w:val="44C5497E"/>
    <w:rsid w:val="44FA2D53"/>
    <w:rsid w:val="4571374F"/>
    <w:rsid w:val="458B1BB0"/>
    <w:rsid w:val="4611075B"/>
    <w:rsid w:val="461A2EB2"/>
    <w:rsid w:val="46214818"/>
    <w:rsid w:val="467A0297"/>
    <w:rsid w:val="468B7125"/>
    <w:rsid w:val="46C4691F"/>
    <w:rsid w:val="47841568"/>
    <w:rsid w:val="479D1D34"/>
    <w:rsid w:val="47B609C0"/>
    <w:rsid w:val="47CF543E"/>
    <w:rsid w:val="482D31EA"/>
    <w:rsid w:val="485970A0"/>
    <w:rsid w:val="48847961"/>
    <w:rsid w:val="48946B91"/>
    <w:rsid w:val="48A41906"/>
    <w:rsid w:val="48B65C71"/>
    <w:rsid w:val="48F303D7"/>
    <w:rsid w:val="492837FF"/>
    <w:rsid w:val="492E6A57"/>
    <w:rsid w:val="49B86103"/>
    <w:rsid w:val="4A0030EE"/>
    <w:rsid w:val="4AC36065"/>
    <w:rsid w:val="4B560086"/>
    <w:rsid w:val="4B7501F5"/>
    <w:rsid w:val="4B8C2DEB"/>
    <w:rsid w:val="4BFA3C9F"/>
    <w:rsid w:val="4BFB5208"/>
    <w:rsid w:val="4C0E3379"/>
    <w:rsid w:val="4C107F48"/>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D81ECB"/>
    <w:rsid w:val="4F3705F8"/>
    <w:rsid w:val="4F651D09"/>
    <w:rsid w:val="4FAC3540"/>
    <w:rsid w:val="4FBB12F4"/>
    <w:rsid w:val="4FCF1583"/>
    <w:rsid w:val="4FFA7625"/>
    <w:rsid w:val="501B0BF9"/>
    <w:rsid w:val="506F29A5"/>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C61423"/>
    <w:rsid w:val="54E72921"/>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47139"/>
    <w:rsid w:val="5D9F3D30"/>
    <w:rsid w:val="5E2810D5"/>
    <w:rsid w:val="5E2B7D62"/>
    <w:rsid w:val="5E2F31A6"/>
    <w:rsid w:val="5E71411E"/>
    <w:rsid w:val="5EA06921"/>
    <w:rsid w:val="5ED5006A"/>
    <w:rsid w:val="5F576E4B"/>
    <w:rsid w:val="5F5D4EDE"/>
    <w:rsid w:val="5F7A2C30"/>
    <w:rsid w:val="5FBE370A"/>
    <w:rsid w:val="60292845"/>
    <w:rsid w:val="61027308"/>
    <w:rsid w:val="612E1A5D"/>
    <w:rsid w:val="61816046"/>
    <w:rsid w:val="61881DE7"/>
    <w:rsid w:val="62182687"/>
    <w:rsid w:val="62391564"/>
    <w:rsid w:val="623E50A4"/>
    <w:rsid w:val="62816669"/>
    <w:rsid w:val="62BA0953"/>
    <w:rsid w:val="62D03A7C"/>
    <w:rsid w:val="62F16BCB"/>
    <w:rsid w:val="62F648FE"/>
    <w:rsid w:val="630A30D8"/>
    <w:rsid w:val="63341DB1"/>
    <w:rsid w:val="63447612"/>
    <w:rsid w:val="63907004"/>
    <w:rsid w:val="63A10995"/>
    <w:rsid w:val="63B7664D"/>
    <w:rsid w:val="63C23EFA"/>
    <w:rsid w:val="63C41644"/>
    <w:rsid w:val="643A070A"/>
    <w:rsid w:val="644C573D"/>
    <w:rsid w:val="647F1ACC"/>
    <w:rsid w:val="648667A7"/>
    <w:rsid w:val="64DB383A"/>
    <w:rsid w:val="65032F85"/>
    <w:rsid w:val="65136B50"/>
    <w:rsid w:val="653B0C50"/>
    <w:rsid w:val="657E2A35"/>
    <w:rsid w:val="65A94E9D"/>
    <w:rsid w:val="65AA5B01"/>
    <w:rsid w:val="65C60A92"/>
    <w:rsid w:val="662203DD"/>
    <w:rsid w:val="66615FB2"/>
    <w:rsid w:val="666B723B"/>
    <w:rsid w:val="6678045A"/>
    <w:rsid w:val="66DD6702"/>
    <w:rsid w:val="66E84F59"/>
    <w:rsid w:val="679406CB"/>
    <w:rsid w:val="67AB52F1"/>
    <w:rsid w:val="67C35C0B"/>
    <w:rsid w:val="681233D2"/>
    <w:rsid w:val="681D5EE5"/>
    <w:rsid w:val="681E3671"/>
    <w:rsid w:val="68652AB3"/>
    <w:rsid w:val="6895578E"/>
    <w:rsid w:val="689F1926"/>
    <w:rsid w:val="68AD17BB"/>
    <w:rsid w:val="68D94D22"/>
    <w:rsid w:val="692B2E4A"/>
    <w:rsid w:val="692E7663"/>
    <w:rsid w:val="694303FB"/>
    <w:rsid w:val="696A0B34"/>
    <w:rsid w:val="698D6A17"/>
    <w:rsid w:val="69A233E7"/>
    <w:rsid w:val="69DA61FF"/>
    <w:rsid w:val="69EE3535"/>
    <w:rsid w:val="69F954C1"/>
    <w:rsid w:val="6A2031B6"/>
    <w:rsid w:val="6A440C53"/>
    <w:rsid w:val="6A507D0C"/>
    <w:rsid w:val="6AC61F6F"/>
    <w:rsid w:val="6ADE74F0"/>
    <w:rsid w:val="6B1002C0"/>
    <w:rsid w:val="6B1F5CFA"/>
    <w:rsid w:val="6B723594"/>
    <w:rsid w:val="6B805156"/>
    <w:rsid w:val="6BD50977"/>
    <w:rsid w:val="6BEA2A9B"/>
    <w:rsid w:val="6BEE7B02"/>
    <w:rsid w:val="6C9C0875"/>
    <w:rsid w:val="6C9D1F03"/>
    <w:rsid w:val="6CAA3931"/>
    <w:rsid w:val="6CF31086"/>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322C59"/>
    <w:rsid w:val="714556B4"/>
    <w:rsid w:val="715B60E9"/>
    <w:rsid w:val="71860FA0"/>
    <w:rsid w:val="71E96309"/>
    <w:rsid w:val="71EA1FED"/>
    <w:rsid w:val="72284A0C"/>
    <w:rsid w:val="728409C4"/>
    <w:rsid w:val="72C16204"/>
    <w:rsid w:val="730313F6"/>
    <w:rsid w:val="731E1007"/>
    <w:rsid w:val="73370D24"/>
    <w:rsid w:val="7359268C"/>
    <w:rsid w:val="739503EB"/>
    <w:rsid w:val="73A05B28"/>
    <w:rsid w:val="73BE7013"/>
    <w:rsid w:val="73C07D69"/>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736B32"/>
    <w:rsid w:val="76E3765E"/>
    <w:rsid w:val="76FC2AFA"/>
    <w:rsid w:val="773F0836"/>
    <w:rsid w:val="77653671"/>
    <w:rsid w:val="778546CC"/>
    <w:rsid w:val="77B56730"/>
    <w:rsid w:val="77B911F9"/>
    <w:rsid w:val="77C04A8B"/>
    <w:rsid w:val="77D85DB3"/>
    <w:rsid w:val="780252A0"/>
    <w:rsid w:val="78027772"/>
    <w:rsid w:val="78671E95"/>
    <w:rsid w:val="78A50513"/>
    <w:rsid w:val="78B92B9D"/>
    <w:rsid w:val="78CC45F8"/>
    <w:rsid w:val="79385FFF"/>
    <w:rsid w:val="793B7339"/>
    <w:rsid w:val="796518DD"/>
    <w:rsid w:val="796E0C55"/>
    <w:rsid w:val="79AA0532"/>
    <w:rsid w:val="79B82D71"/>
    <w:rsid w:val="79F70999"/>
    <w:rsid w:val="79FE1DDD"/>
    <w:rsid w:val="7A075767"/>
    <w:rsid w:val="7A212062"/>
    <w:rsid w:val="7A282A11"/>
    <w:rsid w:val="7A8535A3"/>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E2142A2"/>
    <w:rsid w:val="7E4F5384"/>
    <w:rsid w:val="7E5A6DFA"/>
    <w:rsid w:val="7E730D4D"/>
    <w:rsid w:val="7E7B0BF2"/>
    <w:rsid w:val="7E7C7A78"/>
    <w:rsid w:val="7E8D75B6"/>
    <w:rsid w:val="7EB2417D"/>
    <w:rsid w:val="7EF760EE"/>
    <w:rsid w:val="7F2A21E7"/>
    <w:rsid w:val="7F763FE8"/>
    <w:rsid w:val="7F8048A8"/>
    <w:rsid w:val="7FAE1D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outlineLvl w:val="2"/>
    </w:pPr>
    <w:rPr>
      <w:b/>
      <w:bCs/>
      <w:sz w:val="28"/>
      <w:szCs w:val="32"/>
    </w:rPr>
  </w:style>
  <w:style w:type="paragraph" w:styleId="6">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annotation text"/>
    <w:basedOn w:val="1"/>
    <w:semiHidden/>
    <w:unhideWhenUsed/>
    <w:qFormat/>
    <w:uiPriority w:val="99"/>
  </w:style>
  <w:style w:type="paragraph" w:styleId="8">
    <w:name w:val="Body Text Indent"/>
    <w:basedOn w:val="1"/>
    <w:qFormat/>
    <w:uiPriority w:val="0"/>
    <w:pPr>
      <w:ind w:left="540"/>
    </w:pPr>
    <w:rPr>
      <w:rFonts w:ascii="Times New Roman" w:hAnsi="Times New Roman" w:eastAsia="宋体" w:cs="Times New Roman"/>
      <w:szCs w:val="20"/>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0">
    <w:name w:val="footnote text"/>
    <w:basedOn w:val="1"/>
    <w:semiHidden/>
    <w:unhideWhenUsed/>
    <w:qFormat/>
    <w:uiPriority w:val="99"/>
    <w:rPr>
      <w:sz w:val="18"/>
    </w:rPr>
  </w:style>
  <w:style w:type="paragraph" w:styleId="21">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3">
    <w:name w:val="Body Text First Indent"/>
    <w:basedOn w:val="2"/>
    <w:unhideWhenUsed/>
    <w:qFormat/>
    <w:uiPriority w:val="99"/>
    <w:pPr>
      <w:ind w:firstLine="420" w:firstLineChars="100"/>
    </w:pPr>
    <w:rPr>
      <w:rFonts w:ascii="Times New Roman" w:hAnsi="Times New Roman" w:cs="Times New Roman"/>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Char"/>
    <w:basedOn w:val="26"/>
    <w:link w:val="4"/>
    <w:qFormat/>
    <w:uiPriority w:val="9"/>
    <w:rPr>
      <w:rFonts w:asciiTheme="majorHAnsi" w:hAnsiTheme="majorHAnsi" w:eastAsiaTheme="majorEastAsia" w:cstheme="majorBidi"/>
      <w:b/>
      <w:bCs/>
      <w:sz w:val="32"/>
      <w:szCs w:val="32"/>
    </w:rPr>
  </w:style>
  <w:style w:type="character" w:customStyle="1" w:styleId="33">
    <w:name w:val="标题 3 Char"/>
    <w:basedOn w:val="26"/>
    <w:link w:val="5"/>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6"/>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5"/>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0"/>
    <w:semiHidden/>
    <w:qFormat/>
    <w:uiPriority w:val="99"/>
    <w:rPr>
      <w:rFonts w:ascii="宋体" w:hAnsi="Courier New" w:eastAsia="宋体" w:cs="Courier New"/>
      <w:sz w:val="21"/>
      <w:szCs w:val="21"/>
    </w:rPr>
  </w:style>
  <w:style w:type="character" w:customStyle="1" w:styleId="47">
    <w:name w:val="页眉 Char"/>
    <w:basedOn w:val="26"/>
    <w:link w:val="14"/>
    <w:qFormat/>
    <w:uiPriority w:val="99"/>
    <w:rPr>
      <w:rFonts w:ascii="Tahoma" w:hAnsi="Tahoma"/>
      <w:sz w:val="18"/>
      <w:szCs w:val="18"/>
    </w:rPr>
  </w:style>
  <w:style w:type="character" w:customStyle="1" w:styleId="48">
    <w:name w:val="页脚 Char"/>
    <w:basedOn w:val="26"/>
    <w:link w:val="13"/>
    <w:qFormat/>
    <w:uiPriority w:val="99"/>
    <w:rPr>
      <w:rFonts w:ascii="Tahoma" w:hAnsi="Tahoma"/>
      <w:sz w:val="18"/>
      <w:szCs w:val="18"/>
    </w:rPr>
  </w:style>
  <w:style w:type="character" w:customStyle="1" w:styleId="49">
    <w:name w:val="批注框文本 Char"/>
    <w:basedOn w:val="26"/>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9">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0">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1">
    <w:name w:val="font131"/>
    <w:basedOn w:val="26"/>
    <w:qFormat/>
    <w:uiPriority w:val="0"/>
    <w:rPr>
      <w:rFonts w:hint="eastAsia" w:ascii="宋体" w:hAnsi="宋体" w:eastAsia="宋体" w:cs="宋体"/>
      <w:color w:val="000000"/>
      <w:sz w:val="18"/>
      <w:szCs w:val="18"/>
      <w:u w:val="none"/>
    </w:rPr>
  </w:style>
  <w:style w:type="paragraph" w:customStyle="1" w:styleId="62">
    <w:name w:val="Table Paragraph"/>
    <w:basedOn w:val="1"/>
    <w:qFormat/>
    <w:uiPriority w:val="1"/>
    <w:rPr>
      <w:rFonts w:ascii="宋体" w:hAnsi="宋体" w:eastAsia="宋体" w:cs="宋体"/>
      <w:lang w:val="zh-CN" w:eastAsia="zh-CN" w:bidi="zh-CN"/>
    </w:rPr>
  </w:style>
  <w:style w:type="character" w:customStyle="1" w:styleId="63">
    <w:name w:val="font31"/>
    <w:basedOn w:val="26"/>
    <w:qFormat/>
    <w:uiPriority w:val="0"/>
    <w:rPr>
      <w:rFonts w:hint="eastAsia" w:ascii="宋体" w:hAnsi="宋体" w:eastAsia="宋体" w:cs="宋体"/>
      <w:color w:val="000000"/>
      <w:sz w:val="21"/>
      <w:szCs w:val="21"/>
      <w:u w:val="none"/>
    </w:rPr>
  </w:style>
  <w:style w:type="character" w:customStyle="1" w:styleId="64">
    <w:name w:val="font21"/>
    <w:basedOn w:val="26"/>
    <w:qFormat/>
    <w:uiPriority w:val="0"/>
    <w:rPr>
      <w:rFonts w:hint="default"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80</Pages>
  <Words>32684</Words>
  <Characters>33473</Characters>
  <Lines>349</Lines>
  <Paragraphs>98</Paragraphs>
  <TotalTime>0</TotalTime>
  <ScaleCrop>false</ScaleCrop>
  <LinksUpToDate>false</LinksUpToDate>
  <CharactersWithSpaces>34860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2023-04-27T09:38:09Z</dcterms:modified>
  <dc:subject>公开招标文件版本</dc:subject>
  <dc:title>公开招标文件版本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2EDD6C847F1F471FA21F53767F6E2323_13</vt:lpwstr>
  </property>
</Properties>
</file>