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GDZT2023116C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东莞新锋光伏能源科技有限公司光伏储能新能源工程设计服务资格采购项目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东莞新锋光伏能源科技有限公司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1"/>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7123"/>
      <w:bookmarkStart w:id="3" w:name="_Toc1420"/>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cs="宋体"/>
          <w:b/>
          <w:bCs/>
          <w:color w:val="auto"/>
          <w:sz w:val="21"/>
          <w:szCs w:val="21"/>
          <w:highlight w:val="none"/>
          <w:u w:val="single"/>
          <w:lang w:val="en-US" w:eastAsia="zh-CN"/>
        </w:rPr>
        <w:t>东莞新锋光伏能源科技有限公司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东莞新锋光伏能源科技有限公司光伏储能新能源工程设计服务资格采购项目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GDZT2023116C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东莞新锋光伏能源科技有限公司光伏储能新能源工程设计服务资格采购项目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68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项目采购内容</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入围家数</w:t>
            </w:r>
          </w:p>
        </w:tc>
        <w:tc>
          <w:tcPr>
            <w:tcW w:w="2851"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color w:val="auto"/>
                <w:highlight w:val="none"/>
                <w:lang w:eastAsia="zh-CN"/>
              </w:rPr>
            </w:pPr>
            <w:r>
              <w:rPr>
                <w:rFonts w:hint="eastAsia" w:ascii="宋体" w:hAnsi="宋体"/>
                <w:color w:val="auto"/>
                <w:sz w:val="21"/>
                <w:szCs w:val="21"/>
                <w:highlight w:val="none"/>
                <w:lang w:val="en-US" w:eastAsia="zh-CN"/>
              </w:rPr>
              <w:t>光伏储能新能源工程设计</w:t>
            </w:r>
            <w:r>
              <w:rPr>
                <w:rFonts w:hint="eastAsia"/>
                <w:color w:val="auto"/>
                <w:highlight w:val="none"/>
                <w:lang w:eastAsia="zh-CN"/>
              </w:rPr>
              <w:t>单位协议供应商</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两</w:t>
            </w:r>
            <w:r>
              <w:rPr>
                <w:rFonts w:hint="eastAsia" w:ascii="宋体" w:hAnsi="宋体" w:eastAsia="宋体" w:cs="宋体"/>
                <w:color w:val="auto"/>
                <w:sz w:val="21"/>
                <w:szCs w:val="21"/>
                <w:highlight w:val="none"/>
              </w:rPr>
              <w:t>家</w:t>
            </w:r>
          </w:p>
        </w:tc>
        <w:tc>
          <w:tcPr>
            <w:tcW w:w="2851" w:type="dxa"/>
            <w:noWrap w:val="0"/>
            <w:vAlign w:val="center"/>
          </w:tcPr>
          <w:p>
            <w:pPr>
              <w:pStyle w:val="58"/>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中标公示</w:t>
            </w:r>
            <w:r>
              <w:rPr>
                <w:rFonts w:hint="eastAsia" w:ascii="宋体" w:hAnsi="宋体" w:eastAsia="宋体" w:cs="宋体"/>
                <w:color w:val="auto"/>
                <w:sz w:val="21"/>
                <w:szCs w:val="21"/>
                <w:highlight w:val="none"/>
              </w:rPr>
              <w:t>之日起</w:t>
            </w:r>
          </w:p>
          <w:p>
            <w:pPr>
              <w:pStyle w:val="58"/>
              <w:pageBreakBefore w:val="0"/>
              <w:kinsoku/>
              <w:wordWrap/>
              <w:overflowPunct/>
              <w:topLinePunct w:val="0"/>
              <w:bidi w:val="0"/>
              <w:adjustRightIn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至2024年7月19日</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bidi w:val="0"/>
        <w:rPr>
          <w:rFonts w:hint="eastAsia"/>
          <w:color w:val="auto"/>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w:t>
      </w:r>
      <w:r>
        <w:rPr>
          <w:rFonts w:hint="eastAsia" w:ascii="宋体" w:hAnsi="宋体"/>
          <w:color w:val="auto"/>
          <w:sz w:val="21"/>
          <w:szCs w:val="21"/>
          <w:highlight w:val="none"/>
          <w:lang w:val="en-US" w:eastAsia="zh-CN"/>
        </w:rPr>
        <w:t>特殊</w:t>
      </w:r>
      <w:r>
        <w:rPr>
          <w:rFonts w:hint="eastAsia" w:ascii="宋体" w:hAnsi="宋体" w:eastAsia="宋体"/>
          <w:color w:val="auto"/>
          <w:sz w:val="21"/>
          <w:szCs w:val="21"/>
          <w:highlight w:val="none"/>
        </w:rPr>
        <w:t>要求：</w:t>
      </w:r>
    </w:p>
    <w:p>
      <w:pPr>
        <w:spacing w:after="0" w:line="360" w:lineRule="auto"/>
        <w:ind w:firstLine="411" w:firstLineChars="196"/>
        <w:rPr>
          <w:rFonts w:hint="eastAsia" w:ascii="宋体" w:hAnsi="宋体" w:eastAsia="宋体" w:cs="宋体"/>
          <w:i w:val="0"/>
          <w:caps w:val="0"/>
          <w:color w:val="auto"/>
          <w:spacing w:val="0"/>
          <w:sz w:val="21"/>
          <w:szCs w:val="21"/>
          <w:highlight w:val="none"/>
          <w:lang w:eastAsia="zh-CN"/>
        </w:rPr>
      </w:pPr>
      <w:r>
        <w:rPr>
          <w:rFonts w:hint="eastAsia" w:ascii="宋体" w:hAnsi="宋体" w:eastAsia="宋体" w:cs="宋体"/>
          <w:color w:val="auto"/>
          <w:sz w:val="21"/>
          <w:szCs w:val="21"/>
          <w:highlight w:val="none"/>
          <w:lang w:val="en-US" w:eastAsia="zh-CN"/>
        </w:rPr>
        <w:t>投标人必须具有</w:t>
      </w:r>
      <w:r>
        <w:rPr>
          <w:rFonts w:hint="eastAsia" w:ascii="宋体" w:hAnsi="宋体" w:cs="宋体"/>
          <w:color w:val="auto"/>
          <w:sz w:val="21"/>
          <w:szCs w:val="21"/>
          <w:highlight w:val="none"/>
          <w:lang w:val="en-US" w:eastAsia="zh-CN"/>
        </w:rPr>
        <w:t>有效期内</w:t>
      </w:r>
      <w:r>
        <w:rPr>
          <w:rFonts w:hint="eastAsia" w:ascii="宋体" w:hAnsi="宋体" w:eastAsia="宋体" w:cs="宋体"/>
          <w:i w:val="0"/>
          <w:caps w:val="0"/>
          <w:color w:val="auto"/>
          <w:spacing w:val="0"/>
          <w:sz w:val="21"/>
          <w:szCs w:val="21"/>
          <w:highlight w:val="none"/>
        </w:rPr>
        <w:t>工程设计综合资质</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lang w:val="en-US" w:eastAsia="zh-CN"/>
        </w:rPr>
        <w:t>或</w:t>
      </w:r>
      <w:r>
        <w:rPr>
          <w:rFonts w:hint="eastAsia" w:ascii="宋体" w:hAnsi="宋体" w:eastAsia="宋体" w:cs="宋体"/>
          <w:i w:val="0"/>
          <w:caps w:val="0"/>
          <w:color w:val="auto"/>
          <w:spacing w:val="0"/>
          <w:sz w:val="21"/>
          <w:szCs w:val="21"/>
          <w:highlight w:val="none"/>
        </w:rPr>
        <w:t>电力行</w:t>
      </w:r>
      <w:r>
        <w:rPr>
          <w:rFonts w:hint="eastAsia" w:ascii="宋体" w:hAnsi="宋体" w:eastAsia="宋体" w:cs="宋体"/>
          <w:i w:val="0"/>
          <w:caps w:val="0"/>
          <w:color w:val="auto"/>
          <w:spacing w:val="0"/>
          <w:sz w:val="21"/>
          <w:szCs w:val="21"/>
          <w:highlight w:val="none"/>
          <w:lang w:val="en-US" w:eastAsia="zh-CN"/>
        </w:rPr>
        <w:t>业</w:t>
      </w:r>
      <w:r>
        <w:rPr>
          <w:rFonts w:hint="eastAsia" w:ascii="宋体" w:hAnsi="宋体" w:eastAsia="宋体" w:cs="宋体"/>
          <w:i w:val="0"/>
          <w:caps w:val="0"/>
          <w:color w:val="auto"/>
          <w:spacing w:val="0"/>
          <w:sz w:val="21"/>
          <w:szCs w:val="21"/>
          <w:highlight w:val="none"/>
        </w:rPr>
        <w:t>设计</w:t>
      </w:r>
      <w:r>
        <w:rPr>
          <w:rFonts w:hint="eastAsia" w:ascii="宋体" w:hAnsi="宋体" w:cs="宋体"/>
          <w:i w:val="0"/>
          <w:caps w:val="0"/>
          <w:color w:val="auto"/>
          <w:spacing w:val="0"/>
          <w:sz w:val="21"/>
          <w:szCs w:val="21"/>
          <w:highlight w:val="none"/>
          <w:lang w:val="en-US" w:eastAsia="zh-CN"/>
        </w:rPr>
        <w:t>乙</w:t>
      </w:r>
      <w:r>
        <w:rPr>
          <w:rFonts w:hint="eastAsia" w:ascii="宋体" w:hAnsi="宋体" w:eastAsia="宋体" w:cs="宋体"/>
          <w:i w:val="0"/>
          <w:caps w:val="0"/>
          <w:color w:val="auto"/>
          <w:spacing w:val="0"/>
          <w:sz w:val="21"/>
          <w:szCs w:val="21"/>
          <w:highlight w:val="none"/>
        </w:rPr>
        <w:t>级</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或以上</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资质</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或送变电工程专业设计</w:t>
      </w:r>
      <w:r>
        <w:rPr>
          <w:rFonts w:hint="eastAsia" w:ascii="宋体" w:hAnsi="宋体" w:cs="宋体"/>
          <w:i w:val="0"/>
          <w:caps w:val="0"/>
          <w:color w:val="auto"/>
          <w:spacing w:val="0"/>
          <w:sz w:val="21"/>
          <w:szCs w:val="21"/>
          <w:highlight w:val="none"/>
          <w:lang w:val="en-US" w:eastAsia="zh-CN"/>
        </w:rPr>
        <w:t>乙</w:t>
      </w:r>
      <w:r>
        <w:rPr>
          <w:rFonts w:hint="eastAsia" w:ascii="宋体" w:hAnsi="宋体" w:eastAsia="宋体" w:cs="宋体"/>
          <w:i w:val="0"/>
          <w:caps w:val="0"/>
          <w:color w:val="auto"/>
          <w:spacing w:val="0"/>
          <w:sz w:val="21"/>
          <w:szCs w:val="21"/>
          <w:highlight w:val="none"/>
        </w:rPr>
        <w:t>级</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或以上</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资质</w:t>
      </w:r>
      <w:r>
        <w:rPr>
          <w:rFonts w:hint="eastAsia" w:ascii="宋体" w:hAnsi="宋体" w:cs="宋体"/>
          <w:i w:val="0"/>
          <w:caps w:val="0"/>
          <w:color w:val="auto"/>
          <w:spacing w:val="0"/>
          <w:sz w:val="21"/>
          <w:szCs w:val="21"/>
          <w:highlight w:val="none"/>
          <w:lang w:eastAsia="zh-CN"/>
        </w:rPr>
        <w:t>，</w:t>
      </w:r>
      <w:r>
        <w:rPr>
          <w:rFonts w:hint="eastAsia" w:ascii="宋体" w:hAnsi="宋体" w:cs="宋体"/>
          <w:i w:val="0"/>
          <w:caps w:val="0"/>
          <w:color w:val="auto"/>
          <w:spacing w:val="0"/>
          <w:sz w:val="21"/>
          <w:szCs w:val="21"/>
          <w:highlight w:val="none"/>
          <w:lang w:val="en-US" w:eastAsia="zh-CN"/>
        </w:rPr>
        <w:t>或新能源发电工程专业设计乙</w:t>
      </w:r>
      <w:r>
        <w:rPr>
          <w:rFonts w:hint="eastAsia" w:ascii="宋体" w:hAnsi="宋体" w:eastAsia="宋体" w:cs="宋体"/>
          <w:i w:val="0"/>
          <w:caps w:val="0"/>
          <w:color w:val="auto"/>
          <w:spacing w:val="0"/>
          <w:sz w:val="21"/>
          <w:szCs w:val="21"/>
          <w:highlight w:val="none"/>
        </w:rPr>
        <w:t>级</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或以上</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资质</w:t>
      </w:r>
      <w:r>
        <w:rPr>
          <w:rFonts w:hint="eastAsia" w:ascii="宋体" w:hAnsi="宋体" w:cs="宋体"/>
          <w:color w:val="auto"/>
          <w:kern w:val="28"/>
          <w:sz w:val="21"/>
          <w:szCs w:val="21"/>
          <w:highlight w:val="none"/>
          <w:lang w:eastAsia="zh-CN"/>
        </w:rPr>
        <w:t>【</w:t>
      </w:r>
      <w:r>
        <w:rPr>
          <w:rFonts w:hint="eastAsia" w:ascii="宋体" w:hAnsi="宋体"/>
          <w:color w:val="auto"/>
          <w:szCs w:val="21"/>
          <w:highlight w:val="none"/>
        </w:rPr>
        <w:t>或更换资质证书前</w:t>
      </w:r>
      <w:r>
        <w:rPr>
          <w:rFonts w:hint="eastAsia" w:ascii="宋体" w:hAnsi="宋体"/>
          <w:color w:val="auto"/>
          <w:szCs w:val="21"/>
          <w:highlight w:val="none"/>
          <w:lang w:val="en-US" w:eastAsia="zh-CN"/>
        </w:rPr>
        <w:t>有效期内：</w:t>
      </w:r>
      <w:r>
        <w:rPr>
          <w:rFonts w:hint="eastAsia" w:ascii="宋体" w:hAnsi="宋体" w:eastAsia="宋体" w:cs="宋体"/>
          <w:i w:val="0"/>
          <w:caps w:val="0"/>
          <w:color w:val="auto"/>
          <w:spacing w:val="0"/>
          <w:sz w:val="21"/>
          <w:szCs w:val="21"/>
          <w:highlight w:val="none"/>
        </w:rPr>
        <w:t>电力行</w:t>
      </w:r>
      <w:r>
        <w:rPr>
          <w:rFonts w:hint="eastAsia" w:ascii="宋体" w:hAnsi="宋体" w:eastAsia="宋体" w:cs="宋体"/>
          <w:i w:val="0"/>
          <w:caps w:val="0"/>
          <w:color w:val="auto"/>
          <w:spacing w:val="0"/>
          <w:sz w:val="21"/>
          <w:szCs w:val="21"/>
          <w:highlight w:val="none"/>
          <w:lang w:val="en-US" w:eastAsia="zh-CN"/>
        </w:rPr>
        <w:t>业</w:t>
      </w:r>
      <w:r>
        <w:rPr>
          <w:rFonts w:hint="eastAsia" w:ascii="宋体" w:hAnsi="宋体" w:eastAsia="宋体" w:cs="宋体"/>
          <w:i w:val="0"/>
          <w:caps w:val="0"/>
          <w:color w:val="auto"/>
          <w:spacing w:val="0"/>
          <w:sz w:val="21"/>
          <w:szCs w:val="21"/>
          <w:highlight w:val="none"/>
        </w:rPr>
        <w:t>设计</w:t>
      </w:r>
      <w:r>
        <w:rPr>
          <w:rFonts w:hint="eastAsia" w:ascii="宋体" w:hAnsi="宋体" w:cs="宋体"/>
          <w:i w:val="0"/>
          <w:caps w:val="0"/>
          <w:color w:val="auto"/>
          <w:spacing w:val="0"/>
          <w:sz w:val="21"/>
          <w:szCs w:val="21"/>
          <w:highlight w:val="none"/>
          <w:lang w:val="en-US" w:eastAsia="zh-CN"/>
        </w:rPr>
        <w:t>丙</w:t>
      </w:r>
      <w:r>
        <w:rPr>
          <w:rFonts w:hint="eastAsia" w:ascii="宋体" w:hAnsi="宋体" w:eastAsia="宋体" w:cs="宋体"/>
          <w:i w:val="0"/>
          <w:caps w:val="0"/>
          <w:color w:val="auto"/>
          <w:spacing w:val="0"/>
          <w:sz w:val="21"/>
          <w:szCs w:val="21"/>
          <w:highlight w:val="none"/>
        </w:rPr>
        <w:t>级</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或以上</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资质</w:t>
      </w:r>
      <w:r>
        <w:rPr>
          <w:rFonts w:hint="eastAsia" w:ascii="宋体" w:hAnsi="宋体" w:cs="宋体"/>
          <w:i w:val="0"/>
          <w:caps w:val="0"/>
          <w:color w:val="auto"/>
          <w:spacing w:val="0"/>
          <w:sz w:val="21"/>
          <w:szCs w:val="21"/>
          <w:highlight w:val="none"/>
          <w:lang w:eastAsia="zh-CN"/>
        </w:rPr>
        <w:t>，</w:t>
      </w:r>
      <w:r>
        <w:rPr>
          <w:rFonts w:hint="eastAsia" w:ascii="宋体" w:hAnsi="宋体" w:cs="宋体"/>
          <w:i w:val="0"/>
          <w:caps w:val="0"/>
          <w:color w:val="auto"/>
          <w:spacing w:val="0"/>
          <w:sz w:val="21"/>
          <w:szCs w:val="21"/>
          <w:highlight w:val="none"/>
          <w:lang w:val="en-US" w:eastAsia="zh-CN"/>
        </w:rPr>
        <w:t>或送电（或变电）工程专业</w:t>
      </w:r>
      <w:r>
        <w:rPr>
          <w:rFonts w:hint="eastAsia" w:ascii="宋体" w:hAnsi="宋体" w:eastAsia="宋体" w:cs="宋体"/>
          <w:i w:val="0"/>
          <w:caps w:val="0"/>
          <w:color w:val="auto"/>
          <w:spacing w:val="0"/>
          <w:sz w:val="21"/>
          <w:szCs w:val="21"/>
          <w:highlight w:val="none"/>
        </w:rPr>
        <w:t>设计</w:t>
      </w:r>
      <w:r>
        <w:rPr>
          <w:rFonts w:hint="eastAsia" w:ascii="宋体" w:hAnsi="宋体" w:cs="宋体"/>
          <w:i w:val="0"/>
          <w:caps w:val="0"/>
          <w:color w:val="auto"/>
          <w:spacing w:val="0"/>
          <w:sz w:val="21"/>
          <w:szCs w:val="21"/>
          <w:highlight w:val="none"/>
          <w:lang w:val="en-US" w:eastAsia="zh-CN"/>
        </w:rPr>
        <w:t>丙</w:t>
      </w:r>
      <w:r>
        <w:rPr>
          <w:rFonts w:hint="eastAsia" w:ascii="宋体" w:hAnsi="宋体" w:eastAsia="宋体" w:cs="宋体"/>
          <w:i w:val="0"/>
          <w:caps w:val="0"/>
          <w:color w:val="auto"/>
          <w:spacing w:val="0"/>
          <w:sz w:val="21"/>
          <w:szCs w:val="21"/>
          <w:highlight w:val="none"/>
        </w:rPr>
        <w:t>级</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或以上</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资质</w:t>
      </w:r>
      <w:r>
        <w:rPr>
          <w:rFonts w:hint="eastAsia" w:ascii="宋体" w:hAnsi="宋体" w:cs="宋体"/>
          <w:i w:val="0"/>
          <w:caps w:val="0"/>
          <w:color w:val="auto"/>
          <w:spacing w:val="0"/>
          <w:sz w:val="21"/>
          <w:szCs w:val="21"/>
          <w:highlight w:val="none"/>
          <w:lang w:eastAsia="zh-CN"/>
        </w:rPr>
        <w:t>，</w:t>
      </w:r>
      <w:r>
        <w:rPr>
          <w:rFonts w:hint="eastAsia" w:ascii="宋体" w:hAnsi="宋体" w:cs="宋体"/>
          <w:i w:val="0"/>
          <w:caps w:val="0"/>
          <w:color w:val="auto"/>
          <w:spacing w:val="0"/>
          <w:sz w:val="21"/>
          <w:szCs w:val="21"/>
          <w:highlight w:val="none"/>
          <w:lang w:val="en-US" w:eastAsia="zh-CN"/>
        </w:rPr>
        <w:t>或新能源发电专业</w:t>
      </w:r>
      <w:r>
        <w:rPr>
          <w:rFonts w:hint="eastAsia" w:ascii="宋体" w:hAnsi="宋体" w:eastAsia="宋体" w:cs="宋体"/>
          <w:i w:val="0"/>
          <w:caps w:val="0"/>
          <w:color w:val="auto"/>
          <w:spacing w:val="0"/>
          <w:sz w:val="21"/>
          <w:szCs w:val="21"/>
          <w:highlight w:val="none"/>
        </w:rPr>
        <w:t>设计</w:t>
      </w:r>
      <w:r>
        <w:rPr>
          <w:rFonts w:hint="eastAsia" w:ascii="宋体" w:hAnsi="宋体" w:cs="宋体"/>
          <w:i w:val="0"/>
          <w:caps w:val="0"/>
          <w:color w:val="auto"/>
          <w:spacing w:val="0"/>
          <w:sz w:val="21"/>
          <w:szCs w:val="21"/>
          <w:highlight w:val="none"/>
          <w:lang w:val="en-US" w:eastAsia="zh-CN"/>
        </w:rPr>
        <w:t>丙</w:t>
      </w:r>
      <w:r>
        <w:rPr>
          <w:rFonts w:hint="eastAsia" w:ascii="宋体" w:hAnsi="宋体" w:eastAsia="宋体" w:cs="宋体"/>
          <w:i w:val="0"/>
          <w:caps w:val="0"/>
          <w:color w:val="auto"/>
          <w:spacing w:val="0"/>
          <w:sz w:val="21"/>
          <w:szCs w:val="21"/>
          <w:highlight w:val="none"/>
        </w:rPr>
        <w:t>级</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或以上</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i w:val="0"/>
          <w:caps w:val="0"/>
          <w:color w:val="auto"/>
          <w:spacing w:val="0"/>
          <w:sz w:val="21"/>
          <w:szCs w:val="21"/>
          <w:highlight w:val="none"/>
        </w:rPr>
        <w:t>资质</w:t>
      </w:r>
      <w:r>
        <w:rPr>
          <w:rFonts w:hint="eastAsia" w:ascii="宋体" w:hAnsi="宋体" w:cs="宋体"/>
          <w:color w:val="auto"/>
          <w:kern w:val="28"/>
          <w:sz w:val="21"/>
          <w:szCs w:val="21"/>
          <w:highlight w:val="none"/>
          <w:lang w:eastAsia="zh-CN"/>
        </w:rPr>
        <w:t>】</w:t>
      </w:r>
      <w:r>
        <w:rPr>
          <w:rFonts w:hint="eastAsia" w:ascii="宋体" w:hAnsi="宋体" w:eastAsia="宋体" w:cs="宋体"/>
          <w:i w:val="0"/>
          <w:caps w:val="0"/>
          <w:color w:val="auto"/>
          <w:spacing w:val="0"/>
          <w:sz w:val="21"/>
          <w:szCs w:val="21"/>
          <w:highlight w:val="none"/>
          <w:lang w:eastAsia="zh-CN"/>
        </w:rPr>
        <w:t>。</w:t>
      </w:r>
    </w:p>
    <w:p>
      <w:pPr>
        <w:ind w:firstLine="411" w:firstLineChars="196"/>
        <w:rPr>
          <w:color w:val="auto"/>
          <w:highlight w:val="none"/>
        </w:rPr>
      </w:pPr>
      <w:r>
        <w:rPr>
          <w:rFonts w:hint="eastAsia" w:ascii="宋体" w:hAnsi="宋体"/>
          <w:color w:val="auto"/>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19</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25</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19</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25</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val="en-US"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5</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5</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采购人联系人：方小姐</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地址：东莞市松山湖园区新城路5号道弘·龙怡智谷</w:t>
      </w:r>
      <w:r>
        <w:rPr>
          <w:rFonts w:hint="eastAsia" w:ascii="宋体" w:hAnsi="宋体"/>
          <w:bCs/>
          <w:color w:val="auto"/>
          <w:sz w:val="21"/>
          <w:szCs w:val="21"/>
          <w:highlight w:val="none"/>
          <w:lang w:val="en-US" w:eastAsia="zh-CN"/>
        </w:rPr>
        <w:t>A</w:t>
      </w:r>
      <w:r>
        <w:rPr>
          <w:rFonts w:hint="eastAsia" w:ascii="宋体" w:hAnsi="宋体" w:eastAsia="宋体"/>
          <w:bCs/>
          <w:color w:val="auto"/>
          <w:sz w:val="21"/>
          <w:szCs w:val="21"/>
          <w:highlight w:val="none"/>
        </w:rPr>
        <w:t>栋</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楼</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联系电话：0769-22899838</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default" w:ascii="宋体" w:hAnsi="宋体" w:eastAsia="宋体" w:cs="宋体"/>
          <w:color w:val="auto"/>
          <w:sz w:val="21"/>
          <w:szCs w:val="21"/>
          <w:highlight w:val="none"/>
          <w:lang w:val="en-US" w:eastAsia="zh-CN"/>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19日</w:t>
      </w:r>
    </w:p>
    <w:p>
      <w:pPr>
        <w:bidi w:val="0"/>
        <w:rPr>
          <w:rFonts w:hint="eastAsia"/>
          <w:color w:val="auto"/>
          <w:highlight w:val="none"/>
          <w:lang w:val="en-US" w:eastAsia="zh-CN"/>
        </w:rPr>
      </w:pPr>
      <w:bookmarkStart w:id="5" w:name="_Toc28550"/>
      <w:bookmarkStart w:id="6" w:name="_Toc24505"/>
    </w:p>
    <w:p>
      <w:pPr>
        <w:pStyle w:val="7"/>
        <w:rPr>
          <w:rFonts w:hint="eastAsia"/>
          <w:color w:val="auto"/>
          <w:highlight w:val="none"/>
          <w:lang w:val="en-US" w:eastAsia="zh-CN"/>
        </w:rPr>
      </w:pPr>
    </w:p>
    <w:p>
      <w:pPr>
        <w:pStyle w:val="8"/>
        <w:rPr>
          <w:rFonts w:hint="eastAsia"/>
          <w:color w:val="auto"/>
          <w:highlight w:val="none"/>
          <w:lang w:val="en-US" w:eastAsia="zh-CN"/>
        </w:rPr>
      </w:pPr>
    </w:p>
    <w:p>
      <w:pPr>
        <w:pStyle w:val="9"/>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pStyle w:val="8"/>
        <w:rPr>
          <w:rFonts w:hint="eastAsia"/>
          <w:color w:val="auto"/>
          <w:highlight w:val="none"/>
          <w:lang w:val="en-US" w:eastAsia="zh-CN"/>
        </w:rPr>
      </w:pPr>
    </w:p>
    <w:p>
      <w:pPr>
        <w:pStyle w:val="9"/>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pStyle w:val="8"/>
        <w:rPr>
          <w:rFonts w:hint="eastAsia"/>
          <w:color w:val="auto"/>
          <w:highlight w:val="none"/>
          <w:lang w:val="en-US" w:eastAsia="zh-CN"/>
        </w:rPr>
      </w:pPr>
    </w:p>
    <w:p>
      <w:pPr>
        <w:pStyle w:val="9"/>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pStyle w:val="8"/>
        <w:rPr>
          <w:rFonts w:hint="eastAsia"/>
          <w:color w:val="auto"/>
          <w:highlight w:val="none"/>
          <w:lang w:val="en-US" w:eastAsia="zh-CN"/>
        </w:rPr>
      </w:pPr>
    </w:p>
    <w:p>
      <w:pPr>
        <w:pStyle w:val="9"/>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pStyle w:val="8"/>
        <w:rPr>
          <w:rFonts w:hint="eastAsia"/>
          <w:color w:val="auto"/>
          <w:highlight w:val="none"/>
          <w:lang w:val="en-US" w:eastAsia="zh-CN"/>
        </w:rPr>
      </w:pPr>
    </w:p>
    <w:p>
      <w:pPr>
        <w:pStyle w:val="3"/>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531"/>
        <w:gridCol w:w="77"/>
        <w:gridCol w:w="1158"/>
        <w:gridCol w:w="1455"/>
        <w:gridCol w:w="231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b/>
                <w:color w:val="auto"/>
                <w:sz w:val="21"/>
                <w:szCs w:val="21"/>
                <w:highlight w:val="none"/>
                <w:lang w:val="en-US"/>
              </w:rPr>
            </w:pPr>
            <w:r>
              <w:rPr>
                <w:rFonts w:hint="eastAsia" w:ascii="宋体" w:hAnsi="宋体" w:eastAsia="宋体"/>
                <w:b/>
                <w:color w:val="auto"/>
                <w:sz w:val="21"/>
                <w:szCs w:val="21"/>
                <w:highlight w:val="none"/>
                <w:lang w:val="en-US" w:eastAsia="zh-CN"/>
              </w:rPr>
              <w:t>东莞</w:t>
            </w:r>
            <w:r>
              <w:rPr>
                <w:rFonts w:hint="eastAsia" w:ascii="宋体" w:hAnsi="宋体"/>
                <w:b/>
                <w:color w:val="auto"/>
                <w:sz w:val="21"/>
                <w:szCs w:val="21"/>
                <w:highlight w:val="none"/>
                <w:lang w:val="en-US" w:eastAsia="zh-CN"/>
              </w:rPr>
              <w:t>市能源投资集团</w:t>
            </w:r>
            <w:r>
              <w:rPr>
                <w:rFonts w:hint="eastAsia" w:ascii="宋体" w:hAnsi="宋体" w:eastAsia="宋体"/>
                <w:b/>
                <w:color w:val="auto"/>
                <w:sz w:val="21"/>
                <w:szCs w:val="21"/>
                <w:highlight w:val="none"/>
                <w:lang w:val="en-US" w:eastAsia="zh-CN"/>
              </w:rPr>
              <w:t>有限公司</w:t>
            </w:r>
            <w:r>
              <w:rPr>
                <w:rFonts w:hint="eastAsia" w:ascii="宋体" w:hAnsi="宋体"/>
                <w:b/>
                <w:color w:val="auto"/>
                <w:sz w:val="21"/>
                <w:szCs w:val="21"/>
                <w:highlight w:val="none"/>
                <w:lang w:val="en-US" w:eastAsia="zh-CN"/>
              </w:rPr>
              <w:t>网站</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4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http://www.dg-energy.com/</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投标样品</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如有</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b/>
                <w:color w:val="auto"/>
                <w:sz w:val="21"/>
                <w:szCs w:val="21"/>
                <w:highlight w:val="none"/>
                <w:lang w:eastAsia="zh-CN"/>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highlight w:val="none"/>
              </w:rPr>
            </w:pPr>
            <w:r>
              <w:rPr>
                <w:rFonts w:hint="eastAsia" w:ascii="宋体" w:hAnsi="宋体" w:eastAsia="宋体"/>
                <w:color w:val="auto"/>
                <w:sz w:val="21"/>
                <w:szCs w:val="21"/>
                <w:highlight w:val="none"/>
              </w:rPr>
              <w:t>（1）投标保证金金额：人民币</w:t>
            </w:r>
            <w:r>
              <w:rPr>
                <w:rFonts w:hint="eastAsia" w:ascii="宋体" w:hAnsi="宋体"/>
                <w:b/>
                <w:color w:val="auto"/>
                <w:sz w:val="21"/>
                <w:szCs w:val="21"/>
                <w:highlight w:val="none"/>
                <w:lang w:val="en-US" w:eastAsia="zh-CN"/>
              </w:rPr>
              <w:t>壹万</w:t>
            </w:r>
            <w:r>
              <w:rPr>
                <w:rFonts w:hint="eastAsia" w:ascii="宋体" w:hAnsi="宋体" w:eastAsia="宋体"/>
                <w:color w:val="auto"/>
                <w:sz w:val="21"/>
                <w:szCs w:val="21"/>
                <w:highlight w:val="none"/>
              </w:rPr>
              <w:t>元整（￥</w:t>
            </w:r>
            <w:r>
              <w:rPr>
                <w:rFonts w:hint="eastAsia" w:ascii="宋体" w:hAnsi="宋体"/>
                <w:b/>
                <w:color w:val="auto"/>
                <w:sz w:val="21"/>
                <w:szCs w:val="21"/>
                <w:highlight w:val="none"/>
                <w:lang w:val="en-US" w:eastAsia="zh-CN"/>
              </w:rPr>
              <w:t>10,000.00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投标保证金须严格按“招标文件第</w:t>
            </w:r>
            <w:r>
              <w:rPr>
                <w:rFonts w:hint="eastAsia" w:ascii="宋体" w:hAnsi="宋体" w:eastAsia="宋体"/>
                <w:color w:val="auto"/>
                <w:sz w:val="21"/>
                <w:szCs w:val="21"/>
                <w:highlight w:val="none"/>
              </w:rPr>
              <w:t>四部分</w:t>
            </w:r>
            <w:r>
              <w:rPr>
                <w:rFonts w:hint="eastAsia" w:ascii="宋体" w:hAnsi="宋体" w:eastAsia="宋体"/>
                <w:color w:val="auto"/>
                <w:sz w:val="21"/>
                <w:szCs w:val="21"/>
                <w:highlight w:val="none"/>
                <w:lang w:val="en-US" w:eastAsia="zh-CN"/>
              </w:rPr>
              <w:t>投</w:t>
            </w:r>
            <w:r>
              <w:rPr>
                <w:rFonts w:hint="eastAsia" w:ascii="宋体" w:hAnsi="宋体" w:eastAsia="宋体"/>
                <w:color w:val="auto"/>
                <w:sz w:val="21"/>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（3）保证金递交账户：</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收款人：广东政通招标有限公司</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开户行：广发银行股份有限公司东莞新城支行</w:t>
            </w:r>
          </w:p>
          <w:p>
            <w:pPr>
              <w:spacing w:after="0"/>
              <w:jc w:val="both"/>
              <w:rPr>
                <w:rFonts w:hint="eastAsia" w:ascii="宋体" w:hAnsi="宋体" w:eastAsia="宋体"/>
                <w:color w:val="auto"/>
                <w:sz w:val="21"/>
                <w:szCs w:val="21"/>
                <w:highlight w:val="none"/>
                <w:lang w:val="zh-CN"/>
              </w:rPr>
            </w:pPr>
          </w:p>
          <w:p>
            <w:pPr>
              <w:spacing w:after="0"/>
              <w:jc w:val="both"/>
              <w:rPr>
                <w:rFonts w:hint="eastAsia" w:ascii="宋体" w:hAnsi="宋体" w:eastAsia="宋体"/>
                <w:color w:val="auto"/>
                <w:sz w:val="21"/>
                <w:szCs w:val="21"/>
                <w:highlight w:val="none"/>
                <w:lang w:val="zh-CN" w:eastAsia="zh-CN"/>
              </w:rPr>
            </w:pPr>
            <w:r>
              <w:rPr>
                <w:rFonts w:hint="eastAsia" w:ascii="宋体" w:hAnsi="宋体" w:eastAsia="宋体"/>
                <w:color w:val="auto"/>
                <w:sz w:val="21"/>
                <w:szCs w:val="21"/>
                <w:highlight w:val="none"/>
                <w:lang w:val="zh-CN"/>
              </w:rPr>
              <w:t>帐  号：6232590</w:t>
            </w:r>
            <w:bookmarkStart w:id="321" w:name="_GoBack"/>
            <w:bookmarkEnd w:id="321"/>
            <w:r>
              <w:rPr>
                <w:rFonts w:hint="eastAsia" w:ascii="宋体" w:hAnsi="宋体" w:eastAsia="宋体"/>
                <w:color w:val="auto"/>
                <w:sz w:val="21"/>
                <w:szCs w:val="21"/>
                <w:highlight w:val="none"/>
                <w:lang w:val="zh-CN"/>
              </w:rPr>
              <w:t>699050058393</w:t>
            </w:r>
          </w:p>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532"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shd w:val="clear" w:color="auto" w:fill="auto"/>
            <w:vAlign w:val="center"/>
          </w:tcPr>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履约保证金形式：采用银行转账或者以专业担保机构、金融机构出具的担保函的形式。</w:t>
            </w:r>
          </w:p>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履约保证金金额：人民币</w:t>
            </w:r>
            <w:r>
              <w:rPr>
                <w:rFonts w:hint="eastAsia" w:ascii="宋体" w:hAnsi="宋体"/>
                <w:color w:val="auto"/>
                <w:sz w:val="21"/>
                <w:szCs w:val="21"/>
                <w:highlight w:val="none"/>
                <w:lang w:val="en-US" w:eastAsia="zh-CN"/>
              </w:rPr>
              <w:t>壹万</w:t>
            </w:r>
            <w:r>
              <w:rPr>
                <w:rFonts w:hint="eastAsia" w:ascii="宋体" w:hAnsi="宋体" w:eastAsia="宋体"/>
                <w:color w:val="auto"/>
                <w:sz w:val="21"/>
                <w:szCs w:val="21"/>
                <w:highlight w:val="none"/>
              </w:rPr>
              <w:t>元整（¥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0,000.00元）</w:t>
            </w:r>
          </w:p>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本项目向每家中标单位定额收取中标服务费金额为：人民币叁仟伍佰元整。（¥3,500.00）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6"/>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rPr>
          <w:rFonts w:hint="eastAsia"/>
          <w:color w:val="auto"/>
          <w:sz w:val="28"/>
          <w:szCs w:val="28"/>
          <w:highlight w:val="none"/>
          <w:lang w:val="en-US" w:eastAsia="zh-CN"/>
        </w:rPr>
      </w:pPr>
      <w:bookmarkStart w:id="8" w:name="_Toc13473"/>
      <w:bookmarkStart w:id="9" w:name="_Hlk55300595"/>
      <w:bookmarkStart w:id="10" w:name="_Toc5749"/>
      <w:bookmarkStart w:id="11" w:name="_Toc9572"/>
      <w:r>
        <w:rPr>
          <w:rFonts w:hint="eastAsia"/>
          <w:color w:val="auto"/>
          <w:sz w:val="28"/>
          <w:szCs w:val="28"/>
          <w:highlight w:val="none"/>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cs="宋体"/>
          <w:color w:val="auto"/>
          <w:sz w:val="24"/>
          <w:szCs w:val="24"/>
          <w:highlight w:val="none"/>
          <w:lang w:eastAsia="zh-CN"/>
        </w:rPr>
      </w:pPr>
      <w:bookmarkStart w:id="15" w:name="_Toc18413"/>
      <w:bookmarkStart w:id="16" w:name="_Toc21613"/>
      <w:r>
        <w:rPr>
          <w:rFonts w:hint="eastAsia" w:ascii="宋体" w:hAnsi="宋体" w:eastAsia="宋体" w:cs="宋体"/>
          <w:color w:val="auto"/>
          <w:sz w:val="24"/>
          <w:szCs w:val="24"/>
          <w:highlight w:val="none"/>
        </w:rPr>
        <w:t>评分权重细则表</w:t>
      </w:r>
      <w:bookmarkEnd w:id="11"/>
      <w:bookmarkEnd w:id="15"/>
      <w:bookmarkEnd w:id="16"/>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满分100分</w:t>
      </w:r>
      <w:r>
        <w:rPr>
          <w:rFonts w:hint="eastAsia" w:ascii="宋体" w:hAnsi="宋体" w:cs="宋体"/>
          <w:color w:val="auto"/>
          <w:sz w:val="24"/>
          <w:szCs w:val="24"/>
          <w:highlight w:val="none"/>
          <w:lang w:eastAsia="zh-CN"/>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color w:val="auto"/>
                <w:sz w:val="21"/>
                <w:szCs w:val="21"/>
                <w:highlight w:val="none"/>
                <w:lang w:val="zh-CN"/>
              </w:rPr>
            </w:pPr>
            <w:r>
              <w:rPr>
                <w:rFonts w:hint="eastAsia" w:asci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eastAsia="宋体" w:cs="宋体"/>
                <w:bCs/>
                <w:color w:val="auto"/>
                <w:sz w:val="21"/>
                <w:szCs w:val="21"/>
                <w:highlight w:val="none"/>
                <w:lang w:val="zh-CN" w:eastAsia="zh-CN"/>
              </w:rPr>
              <w:t>供应商</w:t>
            </w:r>
            <w:r>
              <w:rPr>
                <w:rFonts w:hint="eastAsia" w:ascii="宋体" w:eastAsia="宋体" w:cs="宋体"/>
                <w:bCs/>
                <w:color w:val="auto"/>
                <w:sz w:val="21"/>
                <w:szCs w:val="21"/>
                <w:highlight w:val="none"/>
                <w:lang w:val="zh-CN"/>
              </w:rPr>
              <w:t>的价格分统一按照下列公式计算：</w:t>
            </w:r>
            <w:r>
              <w:rPr>
                <w:rFonts w:hint="eastAsia" w:ascii="宋体" w:eastAsia="宋体" w:cs="宋体"/>
                <w:bCs/>
                <w:color w:val="auto"/>
                <w:sz w:val="21"/>
                <w:szCs w:val="21"/>
                <w:highlight w:val="none"/>
                <w:lang w:val="zh-CN" w:eastAsia="zh-CN"/>
              </w:rPr>
              <w:t xml:space="preserve">   </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投标报价得分=[(1-最大下浮率)／(1-投标下浮率)] ×价格权重</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color w:val="auto"/>
                <w:sz w:val="21"/>
                <w:szCs w:val="21"/>
                <w:highlight w:val="none"/>
              </w:rPr>
            </w:pPr>
            <w:r>
              <w:rPr>
                <w:rFonts w:hint="eastAsia" w:ascii="宋体" w:hAnsi="宋体" w:eastAsia="宋体" w:cs="宋体"/>
                <w:color w:val="auto"/>
                <w:sz w:val="21"/>
                <w:szCs w:val="21"/>
                <w:highlight w:val="none"/>
              </w:rPr>
              <w:t>企业资质管理认证</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具有国家认证认可的监督管理部门批准设立的认证机构颁发并在有效期内质量管理体系认证</w:t>
            </w:r>
            <w:r>
              <w:rPr>
                <w:rFonts w:hint="eastAsia" w:ascii="宋体" w:hAnsi="宋体" w:cs="宋体"/>
                <w:color w:val="auto"/>
                <w:szCs w:val="21"/>
                <w:highlight w:val="none"/>
                <w:lang w:eastAsia="zh-CN"/>
              </w:rPr>
              <w:t>、</w:t>
            </w:r>
            <w:r>
              <w:rPr>
                <w:rFonts w:hint="eastAsia" w:ascii="宋体" w:eastAsia="宋体" w:cs="宋体"/>
                <w:bCs/>
                <w:color w:val="auto"/>
                <w:sz w:val="21"/>
                <w:szCs w:val="21"/>
                <w:highlight w:val="none"/>
                <w:lang w:val="zh-CN"/>
              </w:rPr>
              <w:t>环境管理体系认证、职业健康安全管理体系认证</w:t>
            </w:r>
            <w:r>
              <w:rPr>
                <w:rFonts w:hint="eastAsia" w:ascii="宋体" w:hAnsi="宋体" w:cs="宋体"/>
                <w:color w:val="auto"/>
                <w:szCs w:val="21"/>
                <w:highlight w:val="none"/>
              </w:rPr>
              <w:t>证书</w:t>
            </w:r>
            <w:r>
              <w:rPr>
                <w:rFonts w:hint="eastAsia" w:ascii="宋体" w:hAnsi="宋体" w:cs="宋体"/>
                <w:color w:val="auto"/>
                <w:szCs w:val="21"/>
                <w:highlight w:val="none"/>
                <w:lang w:val="en-US" w:eastAsia="zh-CN"/>
              </w:rPr>
              <w:t>的，每具有一个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本项最高得3分。</w:t>
            </w:r>
          </w:p>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asci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注：须提供有效证书复印件并加盖投标人公章，不符合以上要求的不得分。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eastAsia" w:asci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color w:val="auto"/>
                <w:sz w:val="21"/>
                <w:szCs w:val="21"/>
                <w:highlight w:val="none"/>
              </w:rPr>
            </w:pPr>
            <w:r>
              <w:rPr>
                <w:rFonts w:hint="eastAsia" w:hAnsi="宋体" w:cs="宋体"/>
                <w:bCs/>
                <w:color w:val="auto"/>
                <w:sz w:val="21"/>
                <w:szCs w:val="21"/>
                <w:highlight w:val="none"/>
              </w:rPr>
              <w:t>财务状况</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w:t>
            </w:r>
            <w:r>
              <w:rPr>
                <w:rFonts w:hint="eastAsia" w:ascii="宋体" w:hAnsi="宋体" w:eastAsia="宋体" w:cs="宋体"/>
                <w:color w:val="auto"/>
                <w:sz w:val="21"/>
                <w:szCs w:val="21"/>
                <w:highlight w:val="none"/>
                <w:lang w:val="en-US" w:eastAsia="zh-CN"/>
              </w:rPr>
              <w:t>2020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2022</w:t>
            </w:r>
            <w:r>
              <w:rPr>
                <w:rFonts w:hint="eastAsia" w:ascii="宋体" w:hAnsi="宋体" w:eastAsia="宋体" w:cs="宋体"/>
                <w:color w:val="auto"/>
                <w:sz w:val="21"/>
                <w:szCs w:val="21"/>
                <w:highlight w:val="none"/>
              </w:rPr>
              <w:t>年的财务状况进行评审，连续三年盈利的得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分，连续两年盈利的得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分，只有一年盈利的得0.5分，其他不得分。</w:t>
            </w:r>
          </w:p>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ascii="宋体" w:eastAsia="宋体" w:cs="宋体"/>
                <w:bCs/>
                <w:color w:val="auto"/>
                <w:sz w:val="21"/>
                <w:szCs w:val="21"/>
                <w:highlight w:val="none"/>
                <w:lang w:val="pt-BR"/>
              </w:rPr>
            </w:pPr>
            <w:r>
              <w:rPr>
                <w:rFonts w:hint="eastAsia" w:ascii="宋体" w:hAnsi="宋体" w:eastAsia="宋体" w:cs="宋体"/>
                <w:color w:val="auto"/>
                <w:sz w:val="21"/>
                <w:szCs w:val="21"/>
                <w:highlight w:val="none"/>
              </w:rPr>
              <w:t>注：以经会计师事务所审计的财务报告复印件加盖投标人公章为准，因提供的证明材料不清晰等无法反映相关数据的，不得分。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color w:val="auto"/>
                <w:sz w:val="21"/>
                <w:szCs w:val="21"/>
                <w:highlight w:val="none"/>
              </w:rPr>
            </w:pPr>
            <w:r>
              <w:rPr>
                <w:rFonts w:hint="eastAsia" w:ascii="宋体" w:hAnsi="宋体" w:eastAsia="宋体" w:cs="宋体"/>
                <w:color w:val="auto"/>
                <w:sz w:val="21"/>
                <w:szCs w:val="21"/>
                <w:highlight w:val="none"/>
              </w:rPr>
              <w:t>企业信誉</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投标人自</w:t>
            </w:r>
            <w:r>
              <w:rPr>
                <w:rFonts w:hint="eastAsia" w:ascii="宋体" w:hAnsi="宋体" w:eastAsia="宋体" w:cs="宋体"/>
                <w:color w:val="auto"/>
                <w:szCs w:val="21"/>
                <w:highlight w:val="none"/>
                <w:lang w:val="en-US" w:eastAsia="zh-CN"/>
              </w:rPr>
              <w:t>2020</w:t>
            </w:r>
            <w:r>
              <w:rPr>
                <w:rFonts w:hint="eastAsia" w:ascii="宋体" w:hAnsi="宋体" w:eastAsia="宋体" w:cs="宋体"/>
                <w:color w:val="auto"/>
                <w:szCs w:val="21"/>
                <w:highlight w:val="none"/>
              </w:rPr>
              <w:t>年以来连续3年获得工商部门颁发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重合同守信用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 w:val="21"/>
                <w:szCs w:val="21"/>
                <w:highlight w:val="none"/>
              </w:rPr>
              <w:t>“守合同重信用”</w:t>
            </w:r>
            <w:r>
              <w:rPr>
                <w:rFonts w:hint="eastAsia" w:ascii="宋体" w:hAnsi="宋体" w:eastAsia="宋体" w:cs="宋体"/>
                <w:color w:val="auto"/>
                <w:szCs w:val="21"/>
                <w:highlight w:val="none"/>
              </w:rPr>
              <w:t>证书得3分，连续2年得2分，仅1年得1分，没有不得分。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ascii="宋体" w:eastAsia="宋体" w:cs="宋体"/>
                <w:bCs/>
                <w:color w:val="auto"/>
                <w:sz w:val="21"/>
                <w:szCs w:val="21"/>
                <w:highlight w:val="none"/>
                <w:lang w:val="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 w:val="21"/>
                <w:szCs w:val="21"/>
                <w:highlight w:val="none"/>
              </w:rPr>
              <w:t>以工商（市场）监管部门颁发的或由工商（市场）监管部门主管的行业协会颁发的为准，须提供有效的证书复印件加盖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color w:val="auto"/>
                <w:sz w:val="21"/>
                <w:szCs w:val="21"/>
                <w:highlight w:val="none"/>
              </w:rPr>
            </w:pPr>
            <w:r>
              <w:rPr>
                <w:rFonts w:hint="eastAsia" w:ascii="宋体" w:hAnsi="宋体" w:eastAsia="宋体" w:cs="宋体"/>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根据投标人自2019年以来承接过光伏电力工程设计类项目业绩进行评审，每具有一个得2分，业绩中含有“储能新能源工程设计”内容的每个增加1分，本项最高得12分。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asci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注：须提供业绩合同复印件并加盖投标人公章，否则不得分。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技术人员配置</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76"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根据投标人拟投入本项目的</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lang w:val="en-US" w:eastAsia="zh-CN"/>
              </w:rPr>
              <w:t>人员进行评审：</w:t>
            </w:r>
          </w:p>
          <w:p>
            <w:pPr>
              <w:keepLines w:val="0"/>
              <w:pageBreakBefore w:val="0"/>
              <w:widowControl/>
              <w:numPr>
                <w:ilvl w:val="0"/>
                <w:numId w:val="3"/>
              </w:numPr>
              <w:kinsoku/>
              <w:wordWrap/>
              <w:overflowPunct/>
              <w:topLinePunct w:val="0"/>
              <w:autoSpaceDE/>
              <w:autoSpaceDN/>
              <w:bidi w:val="0"/>
              <w:adjustRightInd w:val="0"/>
              <w:snapToGrid w:val="0"/>
              <w:spacing w:line="276"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olor w:val="auto"/>
                <w:szCs w:val="21"/>
                <w:highlight w:val="none"/>
              </w:rPr>
              <w:t>注册技术人员</w:t>
            </w:r>
            <w:r>
              <w:rPr>
                <w:rFonts w:hint="eastAsia" w:ascii="宋体" w:hAnsi="宋体" w:eastAsia="宋体" w:cs="宋体"/>
                <w:color w:val="auto"/>
                <w:sz w:val="21"/>
                <w:szCs w:val="21"/>
                <w:highlight w:val="none"/>
                <w:lang w:val="en-US" w:eastAsia="zh-CN"/>
              </w:rPr>
              <w:t>：具有</w:t>
            </w:r>
            <w:r>
              <w:rPr>
                <w:rFonts w:ascii="宋体" w:hAnsi="宋体"/>
                <w:color w:val="auto"/>
                <w:szCs w:val="21"/>
                <w:highlight w:val="none"/>
              </w:rPr>
              <w:t>注册电气工程师</w:t>
            </w:r>
            <w:r>
              <w:rPr>
                <w:rFonts w:hint="eastAsia" w:ascii="宋体" w:hAnsi="宋体" w:eastAsia="宋体" w:cs="宋体"/>
                <w:color w:val="auto"/>
                <w:sz w:val="21"/>
                <w:szCs w:val="21"/>
                <w:highlight w:val="none"/>
                <w:lang w:val="en-US" w:eastAsia="zh-CN"/>
              </w:rPr>
              <w:t>执业资格的</w:t>
            </w:r>
            <w:r>
              <w:rPr>
                <w:rFonts w:hint="eastAsia" w:ascii="宋体" w:hAnsi="宋体"/>
                <w:color w:val="auto"/>
                <w:szCs w:val="21"/>
                <w:highlight w:val="none"/>
                <w:lang w:val="en-US" w:eastAsia="zh-CN"/>
              </w:rPr>
              <w:t>，每提供一人得5分，</w:t>
            </w:r>
            <w:r>
              <w:rPr>
                <w:rFonts w:hint="eastAsia" w:ascii="宋体" w:hAnsi="宋体" w:eastAsia="宋体" w:cs="宋体"/>
                <w:color w:val="auto"/>
                <w:sz w:val="21"/>
                <w:szCs w:val="21"/>
                <w:highlight w:val="none"/>
                <w:lang w:val="en-US" w:eastAsia="zh-CN"/>
              </w:rPr>
              <w:t>本项最高得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pPr>
              <w:keepLines w:val="0"/>
              <w:pageBreakBefore w:val="0"/>
              <w:widowControl/>
              <w:numPr>
                <w:ilvl w:val="0"/>
                <w:numId w:val="0"/>
              </w:numPr>
              <w:kinsoku/>
              <w:wordWrap/>
              <w:overflowPunct/>
              <w:topLinePunct w:val="0"/>
              <w:autoSpaceDE/>
              <w:autoSpaceDN/>
              <w:bidi w:val="0"/>
              <w:adjustRightInd w:val="0"/>
              <w:snapToGrid w:val="0"/>
              <w:spacing w:line="276"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2、非</w:t>
            </w:r>
            <w:r>
              <w:rPr>
                <w:rFonts w:hint="eastAsia" w:ascii="宋体" w:hAnsi="宋体"/>
                <w:color w:val="auto"/>
                <w:szCs w:val="21"/>
                <w:highlight w:val="none"/>
              </w:rPr>
              <w:t>注册技术人员</w:t>
            </w:r>
            <w:r>
              <w:rPr>
                <w:rFonts w:hint="eastAsia" w:ascii="宋体" w:hAnsi="宋体" w:eastAsia="宋体" w:cs="宋体"/>
                <w:color w:val="auto"/>
                <w:sz w:val="21"/>
                <w:szCs w:val="21"/>
                <w:highlight w:val="none"/>
                <w:lang w:val="en-US" w:eastAsia="zh-CN"/>
              </w:rPr>
              <w:t>：具</w:t>
            </w:r>
            <w:r>
              <w:rPr>
                <w:rFonts w:hint="eastAsia" w:ascii="宋体" w:hAnsi="宋体" w:cs="宋体"/>
                <w:color w:val="auto"/>
                <w:sz w:val="21"/>
                <w:szCs w:val="21"/>
                <w:highlight w:val="none"/>
                <w:lang w:val="en-US" w:eastAsia="zh-CN"/>
              </w:rPr>
              <w:t>有高级</w:t>
            </w:r>
            <w:r>
              <w:rPr>
                <w:rFonts w:hint="eastAsia" w:ascii="宋体" w:hAnsi="宋体" w:eastAsia="宋体" w:cs="宋体"/>
                <w:color w:val="auto"/>
                <w:sz w:val="21"/>
                <w:szCs w:val="21"/>
                <w:highlight w:val="none"/>
                <w:lang w:val="en-US" w:eastAsia="zh-CN"/>
              </w:rPr>
              <w:t>或以上职称的</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每提供一人得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具</w:t>
            </w:r>
            <w:r>
              <w:rPr>
                <w:rFonts w:hint="eastAsia" w:ascii="宋体" w:hAnsi="宋体" w:cs="宋体"/>
                <w:color w:val="auto"/>
                <w:sz w:val="21"/>
                <w:szCs w:val="21"/>
                <w:highlight w:val="none"/>
                <w:lang w:val="en-US" w:eastAsia="zh-CN"/>
              </w:rPr>
              <w:t>有</w:t>
            </w:r>
            <w:r>
              <w:rPr>
                <w:rFonts w:hint="eastAsia" w:ascii="宋体" w:hAnsi="宋体" w:eastAsia="宋体" w:cs="宋体"/>
                <w:color w:val="auto"/>
                <w:sz w:val="21"/>
                <w:szCs w:val="21"/>
                <w:highlight w:val="none"/>
                <w:lang w:val="en-US" w:eastAsia="zh-CN"/>
              </w:rPr>
              <w:t>中级职称的</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每提供一人得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本项最高得10分。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ascii="宋体" w:eastAsia="宋体" w:cs="宋体"/>
                <w:color w:val="auto"/>
                <w:sz w:val="21"/>
                <w:szCs w:val="21"/>
                <w:highlight w:val="none"/>
              </w:rPr>
            </w:pPr>
            <w:r>
              <w:rPr>
                <w:rFonts w:hint="eastAsia" w:ascii="宋体" w:eastAsia="宋体" w:cs="宋体"/>
                <w:bCs/>
                <w:color w:val="auto"/>
                <w:sz w:val="21"/>
                <w:szCs w:val="21"/>
                <w:highlight w:val="none"/>
              </w:rPr>
              <w:t>注：</w:t>
            </w:r>
            <w:r>
              <w:rPr>
                <w:rFonts w:hint="eastAsia" w:ascii="宋体" w:eastAsia="宋体" w:cs="宋体"/>
                <w:bCs/>
                <w:color w:val="auto"/>
                <w:sz w:val="21"/>
                <w:szCs w:val="21"/>
                <w:highlight w:val="none"/>
                <w:lang w:val="zh-CN"/>
              </w:rPr>
              <w:t>（1）以</w:t>
            </w:r>
            <w:r>
              <w:rPr>
                <w:rFonts w:hint="eastAsia" w:ascii="宋体" w:eastAsia="宋体" w:cs="宋体"/>
                <w:bCs/>
                <w:color w:val="auto"/>
                <w:sz w:val="21"/>
                <w:szCs w:val="21"/>
                <w:highlight w:val="none"/>
                <w:lang w:val="en-US" w:eastAsia="zh-CN"/>
              </w:rPr>
              <w:t>上</w:t>
            </w:r>
            <w:r>
              <w:rPr>
                <w:rFonts w:hint="eastAsia" w:ascii="宋体" w:eastAsia="宋体" w:cs="宋体"/>
                <w:bCs/>
                <w:color w:val="auto"/>
                <w:sz w:val="21"/>
                <w:szCs w:val="21"/>
                <w:highlight w:val="none"/>
                <w:lang w:val="zh-CN"/>
              </w:rPr>
              <w:t>技术人员的名单不得重复。（2）须提供以上人员有效证书及</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为其缴纳的距开标时间</w:t>
            </w:r>
            <w:r>
              <w:rPr>
                <w:rFonts w:hint="eastAsia" w:ascii="宋体" w:cs="宋体"/>
                <w:bCs/>
                <w:color w:val="auto"/>
                <w:sz w:val="21"/>
                <w:szCs w:val="21"/>
                <w:highlight w:val="none"/>
                <w:lang w:val="en-US" w:eastAsia="zh-CN"/>
              </w:rPr>
              <w:t>前</w:t>
            </w:r>
            <w:r>
              <w:rPr>
                <w:rFonts w:hint="eastAsia" w:ascii="宋体" w:eastAsia="宋体" w:cs="宋体"/>
                <w:bCs/>
                <w:color w:val="auto"/>
                <w:sz w:val="21"/>
                <w:szCs w:val="21"/>
                <w:highlight w:val="none"/>
                <w:lang w:val="en-US" w:eastAsia="zh-CN"/>
              </w:rPr>
              <w:t>6</w:t>
            </w:r>
            <w:r>
              <w:rPr>
                <w:rFonts w:hint="eastAsia" w:ascii="宋体" w:eastAsia="宋体" w:cs="宋体"/>
                <w:bCs/>
                <w:color w:val="auto"/>
                <w:sz w:val="21"/>
                <w:szCs w:val="21"/>
                <w:highlight w:val="none"/>
                <w:lang w:val="zh-CN"/>
              </w:rPr>
              <w:t>个月（不含</w:t>
            </w:r>
            <w:r>
              <w:rPr>
                <w:rFonts w:hint="eastAsia" w:ascii="宋体" w:eastAsia="宋体" w:cs="宋体"/>
                <w:bCs/>
                <w:color w:val="auto"/>
                <w:sz w:val="21"/>
                <w:szCs w:val="21"/>
                <w:highlight w:val="none"/>
                <w:lang w:val="en-US" w:eastAsia="zh-CN"/>
              </w:rPr>
              <w:t>开标</w:t>
            </w:r>
            <w:r>
              <w:rPr>
                <w:rFonts w:hint="eastAsia" w:ascii="宋体" w:eastAsia="宋体" w:cs="宋体"/>
                <w:bCs/>
                <w:color w:val="auto"/>
                <w:sz w:val="21"/>
                <w:szCs w:val="21"/>
                <w:highlight w:val="none"/>
                <w:lang w:val="zh-CN"/>
              </w:rPr>
              <w:t>当月）</w:t>
            </w:r>
            <w:r>
              <w:rPr>
                <w:rFonts w:hint="eastAsia" w:ascii="宋体" w:cs="宋体"/>
                <w:bCs/>
                <w:color w:val="auto"/>
                <w:sz w:val="21"/>
                <w:szCs w:val="21"/>
                <w:highlight w:val="none"/>
                <w:lang w:val="en-US" w:eastAsia="zh-CN"/>
              </w:rPr>
              <w:t>中任意3个月</w:t>
            </w:r>
            <w:r>
              <w:rPr>
                <w:rFonts w:hint="eastAsia" w:ascii="宋体" w:eastAsia="宋体" w:cs="宋体"/>
                <w:bCs/>
                <w:color w:val="auto"/>
                <w:sz w:val="21"/>
                <w:szCs w:val="21"/>
                <w:highlight w:val="none"/>
                <w:lang w:val="zh-CN"/>
              </w:rPr>
              <w:t>的社保证明复印件加盖</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290"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服务实施方案</w:t>
            </w: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w:t>
            </w:r>
            <w:r>
              <w:rPr>
                <w:rFonts w:hint="eastAsia" w:ascii="宋体" w:hAnsi="宋体" w:eastAsia="宋体" w:cs="宋体"/>
                <w:color w:val="auto"/>
                <w:sz w:val="21"/>
                <w:szCs w:val="21"/>
                <w:highlight w:val="none"/>
              </w:rPr>
              <w:t>协议服务实施方案的组织结构完善程度</w:t>
            </w:r>
            <w:r>
              <w:rPr>
                <w:rFonts w:hint="eastAsia" w:ascii="宋体" w:hAnsi="宋体" w:eastAsia="宋体" w:cs="宋体"/>
                <w:color w:val="auto"/>
                <w:sz w:val="21"/>
                <w:szCs w:val="21"/>
                <w:highlight w:val="none"/>
                <w:lang w:val="en-US" w:eastAsia="zh-CN"/>
              </w:rPr>
              <w:t>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非常完善的，得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完善的，得</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完善性一般的，得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vMerge w:val="continue"/>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lang w:eastAsia="zh-CN"/>
              </w:rPr>
            </w:pPr>
          </w:p>
        </w:tc>
        <w:tc>
          <w:tcPr>
            <w:tcW w:w="1290" w:type="dxa"/>
            <w:vMerge w:val="continue"/>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根据投标人提供协议服务实施方案的资源支持系统完善程度进行综合评审：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协议服务实施方案的资源支持系统非常完善的，得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协议服务实施方案的资源支持系统完善的，得</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协议服务实施方案的资源支持系统完善性一般的，得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lang w:eastAsia="zh-CN"/>
              </w:rPr>
            </w:pPr>
          </w:p>
        </w:tc>
        <w:tc>
          <w:tcPr>
            <w:tcW w:w="1290" w:type="dxa"/>
            <w:vMerge w:val="continue"/>
            <w:tcBorders>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根据投标人提供协议服务实施方案的质量和进度保证措施合理性进行综合评审：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协议服务实施方案的质量和进度保证措施非常合理的，得</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协议服务实施方案的质量和进度保证措施合理的，得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协议服务实施方案的质量和进度保证措施合理性一般的，得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eastAsia="宋体" w:cs="宋体"/>
                <w:bCs/>
                <w:color w:val="auto"/>
                <w:sz w:val="21"/>
                <w:szCs w:val="21"/>
                <w:highlight w:val="none"/>
                <w:lang w:val="en-US" w:eastAsia="zh-CN"/>
              </w:rPr>
            </w:pPr>
            <w:r>
              <w:rPr>
                <w:rFonts w:hint="eastAsia" w:ascii="宋体" w:cs="宋体"/>
                <w:b/>
                <w:color w:val="auto"/>
                <w:sz w:val="21"/>
                <w:szCs w:val="21"/>
                <w:highlight w:val="none"/>
                <w:lang w:val="en-US" w:eastAsia="zh-CN"/>
              </w:rPr>
              <w:t xml:space="preserve">   </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3</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rPr>
          <w:rFonts w:hint="eastAsia"/>
          <w:color w:val="auto"/>
          <w:highlight w:val="none"/>
          <w:lang w:eastAsia="zh-CN"/>
        </w:rPr>
      </w:pPr>
    </w:p>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30638"/>
      <w:bookmarkStart w:id="18" w:name="_Toc29685"/>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9746"/>
      <w:bookmarkStart w:id="23" w:name="_Toc1110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18488"/>
      <w:bookmarkStart w:id="26" w:name="_Toc22803"/>
      <w:r>
        <w:rPr>
          <w:rFonts w:hint="eastAsia" w:ascii="宋体" w:hAnsi="宋体" w:eastAsia="宋体"/>
          <w:color w:val="auto"/>
          <w:sz w:val="21"/>
          <w:szCs w:val="21"/>
          <w:highlight w:val="none"/>
        </w:rPr>
        <w:t>1.适用范围</w:t>
      </w:r>
      <w:bookmarkEnd w:id="24"/>
      <w:bookmarkEnd w:id="25"/>
      <w:bookmarkEnd w:id="26"/>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21002"/>
      <w:bookmarkStart w:id="28" w:name="_Toc13400"/>
      <w:bookmarkStart w:id="29" w:name="_Toc16848"/>
      <w:r>
        <w:rPr>
          <w:rFonts w:hint="eastAsia" w:ascii="宋体" w:hAnsi="宋体" w:eastAsia="宋体"/>
          <w:color w:val="auto"/>
          <w:sz w:val="21"/>
          <w:szCs w:val="21"/>
          <w:highlight w:val="none"/>
        </w:rPr>
        <w:t>2.</w:t>
      </w:r>
      <w:bookmarkStart w:id="30" w:name="_Toc298847174"/>
      <w:bookmarkStart w:id="31" w:name="_Toc1530"/>
      <w:bookmarkStart w:id="32" w:name="_Toc382049092"/>
      <w:bookmarkStart w:id="33" w:name="_Toc303084246"/>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val="en-US" w:eastAsia="zh-CN"/>
        </w:rPr>
        <w:t>东莞新锋光伏能源科技有限公司</w:t>
      </w:r>
      <w:r>
        <w:rPr>
          <w:rFonts w:hint="eastAsia" w:ascii="宋体" w:hAnsi="宋体" w:eastAsia="宋体"/>
          <w:color w:val="auto"/>
          <w:sz w:val="21"/>
          <w:szCs w:val="21"/>
          <w:highlight w:val="none"/>
        </w:rPr>
        <w:t>。</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4"/>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9710"/>
      <w:bookmarkStart w:id="35" w:name="_Toc3780"/>
      <w:bookmarkStart w:id="36" w:name="_Toc2996"/>
      <w:r>
        <w:rPr>
          <w:rFonts w:hint="eastAsia" w:ascii="宋体" w:hAnsi="宋体" w:eastAsia="宋体"/>
          <w:color w:val="auto"/>
          <w:sz w:val="21"/>
          <w:szCs w:val="21"/>
          <w:highlight w:val="none"/>
        </w:rPr>
        <w:t>3.货物和服务</w:t>
      </w:r>
      <w:bookmarkEnd w:id="34"/>
      <w:bookmarkEnd w:id="35"/>
      <w:bookmarkEnd w:id="36"/>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5945"/>
      <w:bookmarkStart w:id="39" w:name="_Toc13909"/>
      <w:r>
        <w:rPr>
          <w:rFonts w:hint="eastAsia" w:ascii="宋体" w:hAnsi="宋体" w:eastAsia="宋体"/>
          <w:color w:val="auto"/>
          <w:sz w:val="21"/>
          <w:szCs w:val="21"/>
          <w:highlight w:val="none"/>
        </w:rPr>
        <w:t>4.投标费用</w:t>
      </w:r>
      <w:bookmarkEnd w:id="37"/>
      <w:bookmarkEnd w:id="38"/>
      <w:bookmarkEnd w:id="39"/>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19532"/>
      <w:bookmarkStart w:id="42" w:name="_Toc25040"/>
      <w:r>
        <w:rPr>
          <w:rFonts w:hint="eastAsia" w:ascii="宋体" w:hAnsi="宋体" w:eastAsia="宋体"/>
          <w:color w:val="auto"/>
          <w:sz w:val="21"/>
          <w:szCs w:val="21"/>
          <w:highlight w:val="none"/>
        </w:rPr>
        <w:t>5.知识产权</w:t>
      </w:r>
      <w:bookmarkEnd w:id="40"/>
      <w:bookmarkEnd w:id="41"/>
      <w:bookmarkEnd w:id="42"/>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31885"/>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16571"/>
      <w:bookmarkStart w:id="47" w:name="_Toc32331"/>
      <w:bookmarkStart w:id="48" w:name="_Toc1381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4"/>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21771"/>
      <w:bookmarkStart w:id="54" w:name="_Toc13494"/>
      <w:bookmarkStart w:id="55" w:name="_Toc1423"/>
      <w:r>
        <w:rPr>
          <w:rFonts w:hint="eastAsia" w:ascii="宋体" w:hAnsi="宋体" w:eastAsia="宋体"/>
          <w:color w:val="auto"/>
          <w:sz w:val="21"/>
          <w:szCs w:val="21"/>
          <w:highlight w:val="none"/>
        </w:rPr>
        <w:t>8.招标文件的组成</w:t>
      </w:r>
      <w:bookmarkEnd w:id="53"/>
      <w:bookmarkEnd w:id="54"/>
      <w:bookmarkEnd w:id="55"/>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7997"/>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23726"/>
      <w:bookmarkStart w:id="60" w:name="_Toc16712"/>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7434"/>
      <w:bookmarkStart w:id="63" w:name="_Toc20623"/>
      <w:bookmarkStart w:id="64" w:name="_Toc28092"/>
      <w:r>
        <w:rPr>
          <w:rFonts w:hint="eastAsia" w:ascii="宋体" w:hAnsi="宋体" w:eastAsia="宋体"/>
          <w:color w:val="auto"/>
          <w:sz w:val="21"/>
          <w:szCs w:val="21"/>
          <w:highlight w:val="none"/>
        </w:rPr>
        <w:t>10.投标文件的语言及度量衡单位</w:t>
      </w:r>
      <w:bookmarkEnd w:id="62"/>
      <w:bookmarkEnd w:id="63"/>
      <w:bookmarkEnd w:id="64"/>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28866"/>
      <w:bookmarkStart w:id="66" w:name="_Toc7728"/>
      <w:bookmarkStart w:id="67" w:name="_Toc382049103"/>
      <w:bookmarkStart w:id="68" w:name="_Toc307934854"/>
      <w:bookmarkStart w:id="69" w:name="_Toc18999"/>
      <w:bookmarkStart w:id="70" w:name="_Toc303084256"/>
      <w:bookmarkStart w:id="71" w:name="_Toc12145"/>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882"/>
      <w:bookmarkStart w:id="73" w:name="_Toc30189"/>
      <w:bookmarkStart w:id="74" w:name="_Toc21747"/>
      <w:r>
        <w:rPr>
          <w:rFonts w:hint="eastAsia" w:ascii="宋体" w:hAnsi="宋体" w:eastAsia="宋体"/>
          <w:color w:val="auto"/>
          <w:sz w:val="21"/>
          <w:szCs w:val="21"/>
          <w:highlight w:val="none"/>
        </w:rPr>
        <w:t>12.投标文件编制</w:t>
      </w:r>
      <w:bookmarkEnd w:id="72"/>
      <w:bookmarkEnd w:id="73"/>
      <w:bookmarkEnd w:id="74"/>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7847"/>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16535"/>
      <w:bookmarkStart w:id="81" w:name="_Toc27724"/>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19520"/>
      <w:bookmarkStart w:id="85" w:name="_Toc22169"/>
      <w:bookmarkStart w:id="86" w:name="_Toc30815"/>
      <w:r>
        <w:rPr>
          <w:rFonts w:hint="eastAsia" w:ascii="宋体" w:hAnsi="宋体" w:eastAsia="宋体"/>
          <w:color w:val="auto"/>
          <w:sz w:val="21"/>
          <w:szCs w:val="21"/>
          <w:highlight w:val="none"/>
        </w:rPr>
        <w:t>15.★投标有效期</w:t>
      </w:r>
      <w:bookmarkEnd w:id="84"/>
      <w:bookmarkEnd w:id="85"/>
      <w:bookmarkEnd w:id="86"/>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12456"/>
      <w:bookmarkStart w:id="88" w:name="_Toc30257"/>
      <w:bookmarkStart w:id="89" w:name="_Toc25817"/>
      <w:r>
        <w:rPr>
          <w:rFonts w:hint="eastAsia" w:ascii="宋体" w:hAnsi="宋体" w:eastAsia="宋体"/>
          <w:color w:val="auto"/>
          <w:sz w:val="21"/>
          <w:szCs w:val="21"/>
          <w:highlight w:val="none"/>
        </w:rPr>
        <w:t>16.★投标保证金</w:t>
      </w:r>
      <w:bookmarkEnd w:id="87"/>
      <w:bookmarkEnd w:id="88"/>
      <w:bookmarkEnd w:id="89"/>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3200"/>
      <w:bookmarkStart w:id="92" w:name="_Toc31124"/>
      <w:bookmarkStart w:id="93" w:name="_Toc24109"/>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3678"/>
      <w:bookmarkStart w:id="95" w:name="_Toc303084264"/>
      <w:bookmarkStart w:id="96" w:name="_Toc382049111"/>
      <w:bookmarkStart w:id="97" w:name="_Toc24997"/>
      <w:bookmarkStart w:id="98" w:name="_Toc473"/>
      <w:bookmarkStart w:id="99" w:name="_Toc29590"/>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7473"/>
      <w:bookmarkStart w:id="102" w:name="_Toc8628"/>
      <w:r>
        <w:rPr>
          <w:rFonts w:hint="eastAsia" w:ascii="宋体" w:hAnsi="宋体" w:eastAsia="宋体"/>
          <w:color w:val="auto"/>
          <w:sz w:val="21"/>
          <w:szCs w:val="21"/>
          <w:highlight w:val="none"/>
        </w:rPr>
        <w:t>18.迟交的投标文件</w:t>
      </w:r>
      <w:bookmarkEnd w:id="100"/>
      <w:bookmarkEnd w:id="101"/>
      <w:bookmarkEnd w:id="102"/>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9649"/>
      <w:bookmarkStart w:id="105" w:name="_Toc13212"/>
      <w:r>
        <w:rPr>
          <w:rFonts w:hint="eastAsia" w:ascii="宋体" w:hAnsi="宋体" w:eastAsia="宋体"/>
          <w:color w:val="auto"/>
          <w:sz w:val="21"/>
          <w:szCs w:val="21"/>
          <w:highlight w:val="none"/>
        </w:rPr>
        <w:t>19.投标样品（如需提交）</w:t>
      </w:r>
      <w:bookmarkEnd w:id="103"/>
      <w:bookmarkEnd w:id="104"/>
      <w:bookmarkEnd w:id="105"/>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9777"/>
      <w:bookmarkStart w:id="107" w:name="_Toc5900"/>
      <w:bookmarkStart w:id="108" w:name="_Toc23477"/>
      <w:bookmarkStart w:id="109" w:name="_Toc303084265"/>
      <w:bookmarkStart w:id="110" w:name="_Toc7689"/>
      <w:bookmarkStart w:id="111" w:name="_Toc382049112"/>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11133"/>
      <w:bookmarkStart w:id="114" w:name="_Toc6003"/>
      <w:r>
        <w:rPr>
          <w:rFonts w:hint="eastAsia" w:ascii="宋体" w:hAnsi="宋体" w:eastAsia="宋体"/>
          <w:color w:val="auto"/>
          <w:sz w:val="21"/>
          <w:szCs w:val="21"/>
          <w:highlight w:val="none"/>
        </w:rPr>
        <w:t>21.投标文件的补充、修改与撤回</w:t>
      </w:r>
      <w:bookmarkEnd w:id="112"/>
      <w:bookmarkEnd w:id="113"/>
      <w:bookmarkEnd w:id="114"/>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29574"/>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4251"/>
      <w:bookmarkStart w:id="119" w:name="_Toc27700"/>
      <w:bookmarkStart w:id="120" w:name="_Toc28458"/>
      <w:r>
        <w:rPr>
          <w:rFonts w:hint="eastAsia" w:ascii="宋体" w:hAnsi="宋体" w:eastAsia="宋体"/>
          <w:color w:val="auto"/>
          <w:sz w:val="21"/>
          <w:szCs w:val="21"/>
          <w:highlight w:val="none"/>
        </w:rPr>
        <w:t>22.开标</w:t>
      </w:r>
      <w:bookmarkEnd w:id="118"/>
      <w:bookmarkEnd w:id="119"/>
      <w:bookmarkEnd w:id="120"/>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4921"/>
      <w:bookmarkStart w:id="122" w:name="_Toc5974"/>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15231"/>
      <w:bookmarkStart w:id="125" w:name="_Toc26402"/>
      <w:bookmarkStart w:id="126" w:name="_Toc32730"/>
      <w:r>
        <w:rPr>
          <w:rFonts w:hint="eastAsia" w:ascii="宋体" w:hAnsi="宋体" w:eastAsia="宋体"/>
          <w:color w:val="auto"/>
          <w:sz w:val="21"/>
          <w:szCs w:val="21"/>
          <w:highlight w:val="none"/>
        </w:rPr>
        <w:t>24.评审原则及评标过程的保密</w:t>
      </w:r>
      <w:bookmarkEnd w:id="124"/>
      <w:bookmarkEnd w:id="125"/>
      <w:bookmarkEnd w:id="126"/>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8436"/>
      <w:bookmarkStart w:id="128" w:name="_Toc16745"/>
      <w:bookmarkStart w:id="129" w:name="_Toc3762"/>
      <w:r>
        <w:rPr>
          <w:rFonts w:hint="eastAsia" w:ascii="宋体" w:hAnsi="宋体" w:eastAsia="宋体"/>
          <w:color w:val="auto"/>
          <w:sz w:val="21"/>
          <w:szCs w:val="21"/>
          <w:highlight w:val="none"/>
        </w:rPr>
        <w:t>25.投标文件的初审</w:t>
      </w:r>
      <w:bookmarkEnd w:id="127"/>
      <w:bookmarkEnd w:id="128"/>
      <w:bookmarkEnd w:id="129"/>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9184"/>
      <w:bookmarkStart w:id="132" w:name="_Toc21742"/>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382049120"/>
      <w:bookmarkStart w:id="135" w:name="_Toc22591"/>
      <w:bookmarkStart w:id="136" w:name="_Toc20328"/>
      <w:bookmarkStart w:id="137" w:name="_Toc12115"/>
      <w:bookmarkStart w:id="138" w:name="_Toc3114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39" w:name="_Toc12251"/>
      <w:bookmarkStart w:id="140" w:name="_Toc5528"/>
      <w:bookmarkStart w:id="141"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508284011"/>
      <w:bookmarkStart w:id="143" w:name="_Toc17778"/>
      <w:bookmarkStart w:id="144" w:name="_Toc27817"/>
      <w:bookmarkStart w:id="145" w:name="_Toc6696"/>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508284013"/>
      <w:bookmarkStart w:id="147" w:name="_Toc23136"/>
      <w:bookmarkStart w:id="148" w:name="_Toc29283"/>
      <w:bookmarkStart w:id="149" w:name="_Toc12440"/>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7279"/>
      <w:bookmarkStart w:id="151" w:name="_Toc22451"/>
      <w:bookmarkStart w:id="152" w:name="_Toc2226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382049124"/>
      <w:bookmarkStart w:id="154" w:name="_Toc29009"/>
      <w:bookmarkStart w:id="155" w:name="_Toc7405"/>
      <w:bookmarkStart w:id="156" w:name="_Toc303084277"/>
      <w:bookmarkStart w:id="157" w:name="_Toc25756"/>
      <w:bookmarkStart w:id="158" w:name="_Toc274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59" w:name="_Toc7360"/>
      <w:bookmarkStart w:id="160" w:name="_Toc13694"/>
      <w:bookmarkStart w:id="161"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17974"/>
      <w:bookmarkStart w:id="163" w:name="_Toc22900"/>
      <w:bookmarkStart w:id="164" w:name="_Toc2549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11264"/>
      <w:bookmarkStart w:id="166" w:name="_Toc2767"/>
      <w:bookmarkStart w:id="167" w:name="_Toc823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8" w:name="_Toc5690"/>
      <w:bookmarkStart w:id="169" w:name="_Toc8919"/>
      <w:bookmarkStart w:id="170" w:name="_Toc24383"/>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6548"/>
      <w:bookmarkStart w:id="172" w:name="_Toc21187"/>
      <w:bookmarkStart w:id="173" w:name="_Toc1008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rFonts w:hint="eastAsia"/>
          <w:color w:val="auto"/>
          <w:sz w:val="28"/>
          <w:szCs w:val="28"/>
          <w:highlight w:val="none"/>
        </w:rPr>
      </w:pPr>
      <w:bookmarkStart w:id="174" w:name="_Toc7011"/>
      <w:bookmarkStart w:id="175" w:name="_Toc31854"/>
      <w:bookmarkStart w:id="176"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9316"/>
      <w:bookmarkStart w:id="178" w:name="_Toc1593"/>
      <w:r>
        <w:rPr>
          <w:rFonts w:hint="eastAsia" w:ascii="宋体" w:hAnsi="宋体"/>
          <w:color w:val="auto"/>
          <w:highlight w:val="none"/>
          <w:lang w:val="en-US" w:eastAsia="zh-CN"/>
        </w:rPr>
        <w:t xml:space="preserve"> </w:t>
      </w:r>
      <w:bookmarkEnd w:id="177"/>
      <w:bookmarkEnd w:id="178"/>
      <w:bookmarkStart w:id="179" w:name="_Toc31278"/>
      <w:bookmarkStart w:id="180" w:name="_Toc24679"/>
      <w:bookmarkStart w:id="181" w:name="_Toc13112"/>
      <w:bookmarkStart w:id="182" w:name="_Toc14462"/>
      <w:r>
        <w:rPr>
          <w:rFonts w:hint="eastAsia" w:ascii="宋体" w:hAnsi="宋体"/>
          <w:color w:val="auto"/>
          <w:highlight w:val="none"/>
          <w:lang w:val="en-US" w:eastAsia="zh-CN"/>
        </w:rPr>
        <w:t>用户需求书</w:t>
      </w: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rPr>
      </w:pPr>
      <w:r>
        <w:rPr>
          <w:rFonts w:hint="eastAsia"/>
          <w:color w:val="auto"/>
          <w:highlight w:val="none"/>
          <w:lang w:val="en-US" w:eastAsia="zh-CN"/>
        </w:rPr>
        <w:t>一、</w:t>
      </w:r>
      <w:r>
        <w:rPr>
          <w:rFonts w:hint="eastAsia"/>
          <w:color w:val="auto"/>
          <w:highlight w:val="none"/>
        </w:rPr>
        <w:t>项目概述</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为使</w:t>
      </w:r>
      <w:r>
        <w:rPr>
          <w:rFonts w:hint="eastAsia" w:ascii="宋体" w:hAnsi="宋体" w:cs="宋体"/>
          <w:color w:val="auto"/>
          <w:sz w:val="21"/>
          <w:szCs w:val="21"/>
          <w:highlight w:val="none"/>
          <w:lang w:eastAsia="zh-CN"/>
        </w:rPr>
        <w:t>东莞新锋光伏能源科技有限公司</w:t>
      </w:r>
      <w:r>
        <w:rPr>
          <w:rFonts w:hint="eastAsia" w:ascii="宋体" w:hAnsi="宋体" w:eastAsia="宋体" w:cs="宋体"/>
          <w:color w:val="auto"/>
          <w:sz w:val="21"/>
          <w:szCs w:val="21"/>
          <w:highlight w:val="none"/>
        </w:rPr>
        <w:t>相关建设项目获得足够的技术服务支持，保障项目的顺利进行，现通过公开招标的采购方式甄选服务单位负责合同期间采购人相关建设项目的</w:t>
      </w:r>
      <w:r>
        <w:rPr>
          <w:rFonts w:hint="eastAsia" w:ascii="宋体" w:hAnsi="宋体"/>
          <w:color w:val="auto"/>
          <w:sz w:val="21"/>
          <w:szCs w:val="21"/>
          <w:highlight w:val="none"/>
          <w:lang w:val="en-US" w:eastAsia="zh-CN"/>
        </w:rPr>
        <w:t>光伏储能新能源工程设计</w:t>
      </w:r>
      <w:r>
        <w:rPr>
          <w:rFonts w:hint="eastAsia" w:ascii="宋体" w:hAnsi="宋体" w:cs="宋体"/>
          <w:color w:val="auto"/>
          <w:kern w:val="28"/>
          <w:sz w:val="21"/>
          <w:szCs w:val="21"/>
          <w:highlight w:val="none"/>
          <w:lang w:eastAsia="zh-CN"/>
        </w:rPr>
        <w:t>服务</w:t>
      </w:r>
      <w:r>
        <w:rPr>
          <w:rFonts w:hint="eastAsia" w:ascii="宋体" w:hAnsi="宋体" w:eastAsia="宋体" w:cs="宋体"/>
          <w:color w:val="auto"/>
          <w:sz w:val="21"/>
          <w:szCs w:val="21"/>
          <w:highlight w:val="none"/>
        </w:rPr>
        <w:t>工作</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为提高公司的工作效率，建立工程建设项目服务单位名录库。</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本项目招标范围如下：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68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项目采购内容</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入围家数</w:t>
            </w:r>
          </w:p>
        </w:tc>
        <w:tc>
          <w:tcPr>
            <w:tcW w:w="2851"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color w:val="auto"/>
                <w:highlight w:val="none"/>
                <w:lang w:eastAsia="zh-CN"/>
              </w:rPr>
            </w:pPr>
            <w:r>
              <w:rPr>
                <w:rFonts w:hint="eastAsia" w:ascii="宋体" w:hAnsi="宋体"/>
                <w:color w:val="auto"/>
                <w:sz w:val="21"/>
                <w:szCs w:val="21"/>
                <w:highlight w:val="none"/>
                <w:lang w:val="en-US" w:eastAsia="zh-CN"/>
              </w:rPr>
              <w:t>光伏储能新能源工程设计</w:t>
            </w:r>
            <w:r>
              <w:rPr>
                <w:rFonts w:hint="eastAsia"/>
                <w:color w:val="auto"/>
                <w:highlight w:val="none"/>
                <w:lang w:eastAsia="zh-CN"/>
              </w:rPr>
              <w:t>单位协议供应商</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两</w:t>
            </w:r>
            <w:r>
              <w:rPr>
                <w:rFonts w:hint="eastAsia" w:ascii="宋体" w:hAnsi="宋体" w:eastAsia="宋体" w:cs="宋体"/>
                <w:color w:val="auto"/>
                <w:sz w:val="21"/>
                <w:szCs w:val="21"/>
                <w:highlight w:val="none"/>
              </w:rPr>
              <w:t>家</w:t>
            </w:r>
          </w:p>
        </w:tc>
        <w:tc>
          <w:tcPr>
            <w:tcW w:w="2851" w:type="dxa"/>
            <w:noWrap w:val="0"/>
            <w:vAlign w:val="center"/>
          </w:tcPr>
          <w:p>
            <w:pPr>
              <w:pStyle w:val="58"/>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中标公示</w:t>
            </w:r>
            <w:r>
              <w:rPr>
                <w:rFonts w:hint="eastAsia" w:ascii="宋体" w:hAnsi="宋体" w:eastAsia="宋体" w:cs="宋体"/>
                <w:color w:val="auto"/>
                <w:sz w:val="21"/>
                <w:szCs w:val="21"/>
                <w:highlight w:val="none"/>
              </w:rPr>
              <w:t>之日起</w:t>
            </w:r>
          </w:p>
          <w:p>
            <w:pPr>
              <w:pStyle w:val="58"/>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至2024年7月19日</w:t>
            </w:r>
          </w:p>
        </w:tc>
      </w:tr>
    </w:tbl>
    <w:p>
      <w:pPr>
        <w:bidi w:val="0"/>
        <w:spacing w:line="360" w:lineRule="auto"/>
        <w:rPr>
          <w:rFonts w:hint="eastAsia"/>
          <w:color w:val="auto"/>
          <w:highlight w:val="none"/>
        </w:rPr>
      </w:pPr>
    </w:p>
    <w:p>
      <w:pPr>
        <w:pStyle w:val="5"/>
        <w:bidi w:val="0"/>
        <w:rPr>
          <w:rFonts w:hint="eastAsia"/>
          <w:color w:val="auto"/>
          <w:highlight w:val="none"/>
        </w:rPr>
      </w:pPr>
      <w:r>
        <w:rPr>
          <w:rFonts w:hint="eastAsia"/>
          <w:color w:val="auto"/>
          <w:highlight w:val="none"/>
        </w:rPr>
        <w:t>二、服务范围</w:t>
      </w:r>
    </w:p>
    <w:p>
      <w:pPr>
        <w:tabs>
          <w:tab w:val="left" w:pos="21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根据建设单位的工程需要，委托服务单位进行</w:t>
      </w:r>
      <w:r>
        <w:rPr>
          <w:rFonts w:hint="eastAsia" w:ascii="宋体" w:hAnsi="宋体"/>
          <w:color w:val="auto"/>
          <w:sz w:val="21"/>
          <w:szCs w:val="21"/>
          <w:highlight w:val="none"/>
          <w:lang w:val="en-US" w:eastAsia="zh-CN"/>
        </w:rPr>
        <w:t>光伏储能新能源工程设计</w:t>
      </w:r>
      <w:r>
        <w:rPr>
          <w:rFonts w:hint="eastAsia" w:ascii="宋体" w:hAnsi="宋体" w:eastAsia="宋体" w:cs="宋体"/>
          <w:color w:val="auto"/>
          <w:sz w:val="21"/>
          <w:szCs w:val="21"/>
          <w:highlight w:val="none"/>
        </w:rPr>
        <w:t>服务项目。</w:t>
      </w:r>
    </w:p>
    <w:p>
      <w:pPr>
        <w:spacing w:line="360" w:lineRule="auto"/>
        <w:rPr>
          <w:rFonts w:hint="eastAsia" w:ascii="宋体" w:hAnsi="宋体" w:eastAsia="宋体" w:cs="宋体"/>
          <w:bCs/>
          <w:color w:val="auto"/>
          <w:sz w:val="21"/>
          <w:szCs w:val="21"/>
          <w:highlight w:val="none"/>
          <w:lang w:val="zh-CN"/>
        </w:rPr>
      </w:pPr>
    </w:p>
    <w:p>
      <w:pPr>
        <w:pStyle w:val="5"/>
        <w:bidi w:val="0"/>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三</w:t>
      </w:r>
      <w:r>
        <w:rPr>
          <w:rFonts w:hint="eastAsia"/>
          <w:color w:val="auto"/>
          <w:highlight w:val="none"/>
        </w:rPr>
        <w:t>、</w:t>
      </w:r>
      <w:r>
        <w:rPr>
          <w:rFonts w:hint="eastAsia"/>
          <w:color w:val="auto"/>
          <w:highlight w:val="none"/>
          <w:lang w:val="en-US" w:eastAsia="zh-CN"/>
        </w:rPr>
        <w:t>报价要求</w:t>
      </w:r>
    </w:p>
    <w:p>
      <w:pPr>
        <w:spacing w:line="360" w:lineRule="auto"/>
        <w:ind w:left="437" w:leftChars="208"/>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1、本项目服务款项的收费标准</w:t>
      </w:r>
      <w:r>
        <w:rPr>
          <w:rFonts w:hint="eastAsia" w:ascii="宋体" w:hAnsi="宋体" w:eastAsia="宋体" w:cs="宋体"/>
          <w:bCs/>
          <w:color w:val="auto"/>
          <w:sz w:val="21"/>
          <w:szCs w:val="21"/>
          <w:highlight w:val="none"/>
        </w:rPr>
        <w:t>参照</w:t>
      </w:r>
      <w:r>
        <w:rPr>
          <w:rFonts w:hint="eastAsia" w:ascii="宋体" w:hAnsi="宋体" w:eastAsia="宋体" w:cs="宋体"/>
          <w:color w:val="auto"/>
          <w:kern w:val="28"/>
          <w:sz w:val="21"/>
          <w:szCs w:val="21"/>
          <w:highlight w:val="none"/>
        </w:rPr>
        <w:t>《工程勘察设计收费标准》（2002年修订本）</w:t>
      </w:r>
      <w:r>
        <w:rPr>
          <w:rFonts w:hint="eastAsia" w:ascii="宋体" w:hAnsi="宋体" w:cs="宋体"/>
          <w:color w:val="auto"/>
          <w:kern w:val="28"/>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投标人根据项目招标内容及要求一次性报出固定下浮率</w:t>
      </w:r>
      <w:r>
        <w:rPr>
          <w:rFonts w:hint="eastAsia" w:ascii="宋体" w:hAnsi="宋体" w:cs="宋体"/>
          <w:color w:val="auto"/>
          <w:sz w:val="21"/>
          <w:szCs w:val="21"/>
          <w:highlight w:val="none"/>
          <w:lang w:val="en-US" w:eastAsia="zh-CN"/>
        </w:rPr>
        <w:t>且下浮率不得低于20%（即下浮率≥20%），投标人不按上述要求报价的，视为无效投标报价。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最终结算时统一采用以下方式计算费用：</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lang w:val="zh-CN"/>
        </w:rPr>
        <w:t>款项</w:t>
      </w:r>
      <w:r>
        <w:rPr>
          <w:rFonts w:hint="eastAsia" w:ascii="宋体" w:hAnsi="宋体" w:eastAsia="宋体" w:cs="宋体"/>
          <w:color w:val="auto"/>
          <w:sz w:val="21"/>
          <w:szCs w:val="21"/>
          <w:highlight w:val="none"/>
          <w:lang w:val="zh-CN"/>
        </w:rPr>
        <w:t>=（1-下浮率）×</w:t>
      </w:r>
      <w:r>
        <w:rPr>
          <w:rFonts w:hint="eastAsia" w:ascii="宋体" w:hAnsi="宋体" w:eastAsia="宋体" w:cs="宋体"/>
          <w:color w:val="auto"/>
          <w:kern w:val="28"/>
          <w:sz w:val="21"/>
          <w:szCs w:val="21"/>
          <w:highlight w:val="none"/>
        </w:rPr>
        <w:t>《工程勘察设计收费标准》（2002年修订本）</w:t>
      </w:r>
      <w:r>
        <w:rPr>
          <w:rFonts w:hint="eastAsia" w:ascii="宋体" w:hAnsi="宋体" w:cs="宋体"/>
          <w:color w:val="auto"/>
          <w:kern w:val="28"/>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下浮率定义：投标人对本项目进行投标时承诺报价下调的比率。</w:t>
      </w:r>
    </w:p>
    <w:p>
      <w:pP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报价应包含完成本次招标所有服务内容的费用，包括搬运费、运输费、人工费、拆除费、工具费、耗材费、各种税费、资料费、保险费、验收费、及合同实施过程中的不可预见费用等全部费用。</w:t>
      </w:r>
    </w:p>
    <w:p>
      <w:pPr>
        <w:bidi w:val="0"/>
        <w:rPr>
          <w:rFonts w:hint="eastAsia"/>
          <w:color w:val="auto"/>
          <w:highlight w:val="none"/>
        </w:rPr>
      </w:pPr>
    </w:p>
    <w:p>
      <w:pPr>
        <w:pStyle w:val="5"/>
        <w:bidi w:val="0"/>
        <w:rPr>
          <w:rFonts w:hint="eastAsia"/>
          <w:color w:val="auto"/>
          <w:highlight w:val="none"/>
        </w:rPr>
      </w:pPr>
      <w:r>
        <w:rPr>
          <w:rFonts w:hint="eastAsia"/>
          <w:color w:val="auto"/>
          <w:highlight w:val="none"/>
          <w:lang w:val="en-US" w:eastAsia="zh-CN"/>
        </w:rPr>
        <w:t>四</w:t>
      </w:r>
      <w:r>
        <w:rPr>
          <w:rFonts w:hint="eastAsia"/>
          <w:color w:val="auto"/>
          <w:highlight w:val="none"/>
        </w:rPr>
        <w:t>、项目委派方式</w:t>
      </w:r>
    </w:p>
    <w:p>
      <w:pPr>
        <w:spacing w:line="360" w:lineRule="auto"/>
        <w:ind w:firstLine="420" w:firstLineChars="200"/>
        <w:rPr>
          <w:rFonts w:hint="eastAsia" w:ascii="宋体" w:hAnsi="宋体" w:eastAsia="宋体" w:cs="宋体"/>
          <w:color w:val="auto"/>
          <w:kern w:val="28"/>
          <w:sz w:val="21"/>
          <w:szCs w:val="21"/>
          <w:highlight w:val="none"/>
        </w:rPr>
      </w:pPr>
      <w:r>
        <w:rPr>
          <w:rFonts w:hint="eastAsia" w:ascii="宋体" w:hAnsi="宋体"/>
          <w:color w:val="auto"/>
          <w:sz w:val="21"/>
          <w:szCs w:val="21"/>
          <w:highlight w:val="none"/>
          <w:lang w:val="en-US" w:eastAsia="zh-CN"/>
        </w:rPr>
        <w:t>1、光伏储能新能源工程设计</w:t>
      </w:r>
      <w:r>
        <w:rPr>
          <w:rFonts w:hint="eastAsia" w:ascii="宋体" w:hAnsi="宋体" w:eastAsia="宋体" w:cs="宋体"/>
          <w:color w:val="auto"/>
          <w:kern w:val="28"/>
          <w:sz w:val="21"/>
          <w:szCs w:val="21"/>
          <w:highlight w:val="none"/>
        </w:rPr>
        <w:t>单位协议供应商库建成后，实行在库单位以抽签轮单轮排的方式承接任务。</w:t>
      </w:r>
    </w:p>
    <w:p>
      <w:pPr>
        <w:numPr>
          <w:ilvl w:val="0"/>
          <w:numId w:val="0"/>
        </w:num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p>
    <w:p>
      <w:pPr>
        <w:spacing w:line="360" w:lineRule="auto"/>
        <w:rPr>
          <w:rFonts w:hint="eastAsia" w:ascii="宋体" w:hAnsi="宋体" w:eastAsia="宋体" w:cs="宋体"/>
          <w:color w:val="auto"/>
          <w:sz w:val="21"/>
          <w:szCs w:val="21"/>
          <w:highlight w:val="none"/>
          <w:lang w:val="zh-CN"/>
        </w:rPr>
      </w:pPr>
    </w:p>
    <w:p>
      <w:pPr>
        <w:pStyle w:val="5"/>
        <w:bidi w:val="0"/>
        <w:rPr>
          <w:rFonts w:hint="eastAsia"/>
          <w:color w:val="auto"/>
          <w:highlight w:val="none"/>
          <w:lang w:val="zh-CN"/>
        </w:rPr>
      </w:pPr>
      <w:r>
        <w:rPr>
          <w:rFonts w:hint="eastAsia"/>
          <w:color w:val="auto"/>
          <w:highlight w:val="none"/>
          <w:lang w:val="en-US" w:eastAsia="zh-CN"/>
        </w:rPr>
        <w:t>五</w:t>
      </w:r>
      <w:r>
        <w:rPr>
          <w:rFonts w:hint="eastAsia"/>
          <w:color w:val="auto"/>
          <w:highlight w:val="none"/>
        </w:rPr>
        <w:t>、设计工作主要范围</w:t>
      </w:r>
    </w:p>
    <w:p>
      <w:pPr>
        <w:pStyle w:val="11"/>
        <w:tabs>
          <w:tab w:val="left" w:pos="540"/>
        </w:tabs>
        <w:adjustRightInd w:val="0"/>
        <w:snapToGrid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以下服务范围划分仅为描述方便，最终的服务具体范围及内容以采购人与中标人签订的《服务采购合同》及采购人下达的任务书为准，不作为采购人必须承诺的内容，中标人不得以金额小等理由拒绝采购人下达的工作任务，否则取消签订合同资格。</w:t>
      </w:r>
    </w:p>
    <w:p>
      <w:pPr>
        <w:tabs>
          <w:tab w:val="left" w:pos="1620"/>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工程设计工作包括的主要范围：</w:t>
      </w:r>
    </w:p>
    <w:p>
      <w:pPr>
        <w:pStyle w:val="59"/>
        <w:numPr>
          <w:ilvl w:val="0"/>
          <w:numId w:val="9"/>
        </w:numPr>
        <w:tabs>
          <w:tab w:val="left" w:pos="420"/>
        </w:tabs>
        <w:snapToGrid w:val="0"/>
        <w:spacing w:line="360" w:lineRule="auto"/>
        <w:ind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概念设计（含投资估算）。</w:t>
      </w:r>
    </w:p>
    <w:p>
      <w:pPr>
        <w:pStyle w:val="59"/>
        <w:numPr>
          <w:ilvl w:val="0"/>
          <w:numId w:val="9"/>
        </w:numPr>
        <w:tabs>
          <w:tab w:val="left" w:pos="420"/>
        </w:tabs>
        <w:snapToGrid w:val="0"/>
        <w:spacing w:line="360" w:lineRule="auto"/>
        <w:ind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初步设计、施工图设计、编制设计概算服务。</w:t>
      </w:r>
    </w:p>
    <w:p>
      <w:pPr>
        <w:bidi w:val="0"/>
        <w:rPr>
          <w:rFonts w:hint="eastAsia"/>
          <w:color w:val="auto"/>
          <w:highlight w:val="none"/>
        </w:rPr>
      </w:pPr>
    </w:p>
    <w:p>
      <w:pPr>
        <w:pStyle w:val="5"/>
        <w:numPr>
          <w:ilvl w:val="0"/>
          <w:numId w:val="10"/>
        </w:numPr>
        <w:bidi w:val="0"/>
        <w:rPr>
          <w:rFonts w:hint="eastAsia"/>
          <w:color w:val="auto"/>
          <w:highlight w:val="none"/>
          <w:lang w:val="en-US" w:eastAsia="zh-CN"/>
        </w:rPr>
      </w:pPr>
      <w:r>
        <w:rPr>
          <w:rFonts w:hint="eastAsia"/>
          <w:color w:val="auto"/>
          <w:highlight w:val="none"/>
          <w:lang w:val="en-US" w:eastAsia="zh-CN"/>
        </w:rPr>
        <w:t>光伏储能新能源工程设计依据</w:t>
      </w:r>
    </w:p>
    <w:p>
      <w:pPr>
        <w:bidi w:val="0"/>
        <w:rPr>
          <w:rFonts w:hint="default"/>
          <w:color w:val="auto"/>
          <w:highlight w:val="none"/>
          <w:lang w:val="en-US" w:eastAsia="zh-CN"/>
        </w:rPr>
      </w:pPr>
      <w:r>
        <w:rPr>
          <w:rFonts w:hint="default"/>
          <w:color w:val="auto"/>
          <w:highlight w:val="none"/>
          <w:lang w:val="en-US" w:eastAsia="zh-CN"/>
        </w:rPr>
        <w:t>（1）《广东电网公司电厂接入系统设计内容深度规定》（2010-01-14 印发）</w:t>
      </w:r>
    </w:p>
    <w:p>
      <w:pPr>
        <w:bidi w:val="0"/>
        <w:rPr>
          <w:rFonts w:hint="default"/>
          <w:color w:val="auto"/>
          <w:highlight w:val="none"/>
          <w:lang w:val="en-US" w:eastAsia="zh-CN"/>
        </w:rPr>
      </w:pPr>
      <w:r>
        <w:rPr>
          <w:rFonts w:hint="default"/>
          <w:color w:val="auto"/>
          <w:highlight w:val="none"/>
          <w:lang w:val="en-US" w:eastAsia="zh-CN"/>
        </w:rPr>
        <w:t>（2）《广东电网公司新建电厂并网管理办法》</w:t>
      </w:r>
    </w:p>
    <w:p>
      <w:pPr>
        <w:bidi w:val="0"/>
        <w:rPr>
          <w:rFonts w:hint="default"/>
          <w:color w:val="auto"/>
          <w:highlight w:val="none"/>
          <w:lang w:val="en-US" w:eastAsia="zh-CN"/>
        </w:rPr>
      </w:pPr>
      <w:r>
        <w:rPr>
          <w:rFonts w:hint="default"/>
          <w:color w:val="auto"/>
          <w:highlight w:val="none"/>
          <w:lang w:val="en-US" w:eastAsia="zh-CN"/>
        </w:rPr>
        <w:t>（3）《分布式光伏发电系统接入电网技术规范》Q/CSG1211001-2014。</w:t>
      </w:r>
    </w:p>
    <w:p>
      <w:pPr>
        <w:bidi w:val="0"/>
        <w:rPr>
          <w:rFonts w:hint="default"/>
          <w:color w:val="auto"/>
          <w:highlight w:val="none"/>
          <w:lang w:val="en-US" w:eastAsia="zh-CN"/>
        </w:rPr>
      </w:pPr>
      <w:r>
        <w:rPr>
          <w:rFonts w:hint="default"/>
          <w:color w:val="auto"/>
          <w:highlight w:val="none"/>
          <w:lang w:val="en-US" w:eastAsia="zh-CN"/>
        </w:rPr>
        <w:t>（4）《光伏发电站接入电力系统技术规定》GB/T19964-2012</w:t>
      </w:r>
    </w:p>
    <w:p>
      <w:pPr>
        <w:bidi w:val="0"/>
        <w:rPr>
          <w:rFonts w:hint="default"/>
          <w:color w:val="auto"/>
          <w:highlight w:val="none"/>
          <w:lang w:val="en-US" w:eastAsia="zh-CN"/>
        </w:rPr>
      </w:pPr>
      <w:r>
        <w:rPr>
          <w:rFonts w:hint="default"/>
          <w:color w:val="auto"/>
          <w:highlight w:val="none"/>
          <w:lang w:val="en-US" w:eastAsia="zh-CN"/>
        </w:rPr>
        <w:t>（5）《光伏发电接入配电网设计规范》GB/T50865-2013</w:t>
      </w:r>
    </w:p>
    <w:p>
      <w:pPr>
        <w:bidi w:val="0"/>
        <w:rPr>
          <w:rFonts w:hint="default"/>
          <w:color w:val="auto"/>
          <w:highlight w:val="none"/>
          <w:lang w:val="en-US" w:eastAsia="zh-CN"/>
        </w:rPr>
      </w:pPr>
      <w:r>
        <w:rPr>
          <w:rFonts w:hint="default"/>
          <w:color w:val="auto"/>
          <w:highlight w:val="none"/>
          <w:lang w:val="en-US" w:eastAsia="zh-CN"/>
        </w:rPr>
        <w:t>（6）《光伏发电站设计规范》GB50797-2012</w:t>
      </w:r>
    </w:p>
    <w:p>
      <w:pPr>
        <w:bidi w:val="0"/>
        <w:rPr>
          <w:rFonts w:hint="default"/>
          <w:color w:val="auto"/>
          <w:highlight w:val="none"/>
          <w:lang w:val="en-US" w:eastAsia="zh-CN"/>
        </w:rPr>
      </w:pPr>
      <w:r>
        <w:rPr>
          <w:rFonts w:hint="default"/>
          <w:color w:val="auto"/>
          <w:highlight w:val="none"/>
          <w:lang w:val="en-US" w:eastAsia="zh-CN"/>
        </w:rPr>
        <w:t>（7）《电能质量供电电压偏差》GB/T12325-2008</w:t>
      </w:r>
    </w:p>
    <w:p>
      <w:pPr>
        <w:bidi w:val="0"/>
        <w:rPr>
          <w:rFonts w:hint="default"/>
          <w:color w:val="auto"/>
          <w:highlight w:val="none"/>
          <w:lang w:val="en-US" w:eastAsia="zh-CN"/>
        </w:rPr>
      </w:pPr>
      <w:r>
        <w:rPr>
          <w:rFonts w:hint="default"/>
          <w:color w:val="auto"/>
          <w:highlight w:val="none"/>
          <w:lang w:val="en-US" w:eastAsia="zh-CN"/>
        </w:rPr>
        <w:t>（8）《电能质量电压波动和闪变》GB/T12326-2008</w:t>
      </w:r>
    </w:p>
    <w:p>
      <w:pPr>
        <w:bidi w:val="0"/>
        <w:rPr>
          <w:rFonts w:hint="default"/>
          <w:color w:val="auto"/>
          <w:highlight w:val="none"/>
          <w:lang w:val="en-US" w:eastAsia="zh-CN"/>
        </w:rPr>
      </w:pPr>
      <w:r>
        <w:rPr>
          <w:rFonts w:hint="default"/>
          <w:color w:val="auto"/>
          <w:highlight w:val="none"/>
          <w:lang w:val="en-US" w:eastAsia="zh-CN"/>
        </w:rPr>
        <w:t>（9）《电能质量公用电网间谐波》GB/T24337-2009</w:t>
      </w:r>
    </w:p>
    <w:p>
      <w:pPr>
        <w:bidi w:val="0"/>
        <w:rPr>
          <w:rFonts w:hint="default"/>
          <w:color w:val="auto"/>
          <w:highlight w:val="none"/>
          <w:lang w:val="en-US" w:eastAsia="zh-CN"/>
        </w:rPr>
      </w:pPr>
      <w:r>
        <w:rPr>
          <w:rFonts w:hint="default"/>
          <w:color w:val="auto"/>
          <w:highlight w:val="none"/>
          <w:lang w:val="en-US" w:eastAsia="zh-CN"/>
        </w:rPr>
        <w:t>（10）《电能质量公用电网谐波》GB/T14549-1993</w:t>
      </w:r>
    </w:p>
    <w:p>
      <w:pPr>
        <w:bidi w:val="0"/>
        <w:rPr>
          <w:rFonts w:hint="default"/>
          <w:color w:val="auto"/>
          <w:highlight w:val="none"/>
          <w:lang w:val="en-US" w:eastAsia="zh-CN"/>
        </w:rPr>
      </w:pPr>
      <w:r>
        <w:rPr>
          <w:rFonts w:hint="default"/>
          <w:color w:val="auto"/>
          <w:highlight w:val="none"/>
          <w:lang w:val="en-US" w:eastAsia="zh-CN"/>
        </w:rPr>
        <w:t>（11）《电能质量三相电压允许不平衡度》GB/T15543-2008</w:t>
      </w:r>
    </w:p>
    <w:p>
      <w:pPr>
        <w:bidi w:val="0"/>
        <w:rPr>
          <w:rFonts w:hint="default"/>
          <w:color w:val="auto"/>
          <w:highlight w:val="none"/>
          <w:lang w:val="en-US" w:eastAsia="zh-CN"/>
        </w:rPr>
      </w:pPr>
      <w:r>
        <w:rPr>
          <w:rFonts w:hint="default"/>
          <w:color w:val="auto"/>
          <w:highlight w:val="none"/>
          <w:lang w:val="en-US" w:eastAsia="zh-CN"/>
        </w:rPr>
        <w:t>（12）《电力系统设计技术规程》DL/T5429-2009；</w:t>
      </w:r>
    </w:p>
    <w:p>
      <w:pPr>
        <w:bidi w:val="0"/>
        <w:rPr>
          <w:rFonts w:hint="default"/>
          <w:color w:val="auto"/>
          <w:highlight w:val="none"/>
          <w:lang w:val="en-US" w:eastAsia="zh-CN"/>
        </w:rPr>
      </w:pPr>
      <w:r>
        <w:rPr>
          <w:rFonts w:hint="default"/>
          <w:color w:val="auto"/>
          <w:highlight w:val="none"/>
          <w:lang w:val="en-US" w:eastAsia="zh-CN"/>
        </w:rPr>
        <w:t>（13）《电力系统电压和无功电力技术导则》DL/T1773-2017；</w:t>
      </w:r>
    </w:p>
    <w:p>
      <w:pPr>
        <w:bidi w:val="0"/>
        <w:rPr>
          <w:rFonts w:hint="default"/>
          <w:color w:val="auto"/>
          <w:highlight w:val="none"/>
          <w:lang w:val="en-US" w:eastAsia="zh-CN"/>
        </w:rPr>
      </w:pPr>
      <w:r>
        <w:rPr>
          <w:rFonts w:hint="default"/>
          <w:color w:val="auto"/>
          <w:highlight w:val="none"/>
          <w:lang w:val="en-US" w:eastAsia="zh-CN"/>
        </w:rPr>
        <w:t>（14）《电力系统安全稳定控制技术导则》GBT26399-2011。</w:t>
      </w:r>
    </w:p>
    <w:p>
      <w:pPr>
        <w:bidi w:val="0"/>
        <w:rPr>
          <w:rFonts w:hint="default"/>
          <w:color w:val="auto"/>
          <w:highlight w:val="none"/>
          <w:lang w:val="en-US" w:eastAsia="zh-CN"/>
        </w:rPr>
      </w:pPr>
      <w:r>
        <w:rPr>
          <w:rFonts w:hint="default"/>
          <w:color w:val="auto"/>
          <w:highlight w:val="none"/>
          <w:lang w:val="en-US" w:eastAsia="zh-CN"/>
        </w:rPr>
        <w:t>（15）《光伏系统并网技术要求》(GB/T19939－2005)；</w:t>
      </w:r>
    </w:p>
    <w:p>
      <w:pPr>
        <w:bidi w:val="0"/>
        <w:rPr>
          <w:rFonts w:hint="default"/>
          <w:color w:val="auto"/>
          <w:highlight w:val="none"/>
          <w:lang w:val="en-US" w:eastAsia="zh-CN"/>
        </w:rPr>
      </w:pPr>
      <w:r>
        <w:rPr>
          <w:rFonts w:hint="default"/>
          <w:color w:val="auto"/>
          <w:highlight w:val="none"/>
          <w:lang w:val="en-US" w:eastAsia="zh-CN"/>
        </w:rPr>
        <w:t>（16）《光伏发电站设计规范》(GB50797－2012)；</w:t>
      </w:r>
    </w:p>
    <w:p>
      <w:pPr>
        <w:bidi w:val="0"/>
        <w:rPr>
          <w:rFonts w:hint="default"/>
          <w:color w:val="auto"/>
          <w:highlight w:val="none"/>
          <w:lang w:val="en-US" w:eastAsia="zh-CN"/>
        </w:rPr>
      </w:pPr>
      <w:r>
        <w:rPr>
          <w:rFonts w:hint="default"/>
          <w:color w:val="auto"/>
          <w:highlight w:val="none"/>
          <w:lang w:val="en-US" w:eastAsia="zh-CN"/>
        </w:rPr>
        <w:t>（17）《分布式并网光伏发电系统设计规范》(FSGF 1－2014)；</w:t>
      </w:r>
    </w:p>
    <w:p>
      <w:pPr>
        <w:bidi w:val="0"/>
        <w:rPr>
          <w:rFonts w:hint="default"/>
          <w:color w:val="auto"/>
          <w:highlight w:val="none"/>
          <w:lang w:val="en-US" w:eastAsia="zh-CN"/>
        </w:rPr>
      </w:pPr>
      <w:r>
        <w:rPr>
          <w:rFonts w:hint="default"/>
          <w:color w:val="auto"/>
          <w:highlight w:val="none"/>
          <w:lang w:val="en-US" w:eastAsia="zh-CN"/>
        </w:rPr>
        <w:t>（18）《分布式并网光伏发电系统施工与验收规范》(FSGF 2－2014)。</w:t>
      </w:r>
    </w:p>
    <w:p>
      <w:pPr>
        <w:bidi w:val="0"/>
        <w:rPr>
          <w:rFonts w:hint="eastAsia"/>
          <w:color w:val="auto"/>
          <w:highlight w:val="none"/>
          <w:lang w:val="en-US" w:eastAsia="zh-CN"/>
        </w:rPr>
      </w:pPr>
      <w:r>
        <w:rPr>
          <w:rFonts w:hint="eastAsia"/>
          <w:color w:val="auto"/>
          <w:highlight w:val="none"/>
          <w:lang w:val="en-US" w:eastAsia="zh-CN"/>
        </w:rPr>
        <w:t>注：如有最新规范，以最新规范为准。</w:t>
      </w:r>
    </w:p>
    <w:p>
      <w:pPr>
        <w:bidi w:val="0"/>
        <w:rPr>
          <w:rFonts w:hint="default"/>
          <w:color w:val="auto"/>
          <w:highlight w:val="none"/>
          <w:lang w:val="en-US" w:eastAsia="zh-CN"/>
        </w:rPr>
      </w:pPr>
    </w:p>
    <w:p>
      <w:pPr>
        <w:pStyle w:val="5"/>
        <w:bidi w:val="0"/>
        <w:rPr>
          <w:rFonts w:hint="eastAsia"/>
          <w:color w:val="auto"/>
          <w:highlight w:val="none"/>
          <w:lang w:val="zh-CN"/>
        </w:rPr>
      </w:pPr>
      <w:r>
        <w:rPr>
          <w:rFonts w:hint="eastAsia"/>
          <w:color w:val="auto"/>
          <w:highlight w:val="none"/>
          <w:lang w:val="en-US" w:eastAsia="zh-CN"/>
        </w:rPr>
        <w:t>七</w:t>
      </w:r>
      <w:r>
        <w:rPr>
          <w:rFonts w:hint="eastAsia"/>
          <w:color w:val="auto"/>
          <w:highlight w:val="none"/>
        </w:rPr>
        <w:t>、服务条款</w:t>
      </w:r>
    </w:p>
    <w:p>
      <w:pPr>
        <w:numPr>
          <w:ilvl w:val="0"/>
          <w:numId w:val="11"/>
        </w:numPr>
        <w:spacing w:line="360" w:lineRule="auto"/>
        <w:ind w:left="420" w:left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服务单位须无条件接受建设单位的工作安排，不得将项目转包和分包。</w:t>
      </w:r>
    </w:p>
    <w:p>
      <w:pPr>
        <w:numPr>
          <w:ilvl w:val="0"/>
          <w:numId w:val="11"/>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须指定项目负责人作为与建设单位的联系人，该联系人必须是服务单位的正式员工；服务单位负责项目工作的负责人与主要专业人员必须专职投入项目，若因特殊原因需更换负责人，需经采购人或建设单位书面同意。</w:t>
      </w:r>
    </w:p>
    <w:p>
      <w:pPr>
        <w:numPr>
          <w:ilvl w:val="0"/>
          <w:numId w:val="11"/>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服务单位需按建设单位具体要求提交所要求数量的项目技术文件。</w:t>
      </w:r>
    </w:p>
    <w:p>
      <w:pPr>
        <w:numPr>
          <w:ilvl w:val="0"/>
          <w:numId w:val="11"/>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服务单位应承担由自身过错导致的任何责任。</w:t>
      </w:r>
    </w:p>
    <w:p>
      <w:pPr>
        <w:numPr>
          <w:ilvl w:val="0"/>
          <w:numId w:val="11"/>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服务单位应对建设单位委托各项目的内容予以严格保密。</w:t>
      </w:r>
    </w:p>
    <w:p>
      <w:pPr>
        <w:numPr>
          <w:ilvl w:val="0"/>
          <w:numId w:val="11"/>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设单位将对服务单位实行动态管理，对服务单位的服务承诺、服务态度等进行定期和不定期的考核，一旦发现服务单位违反招标文件要求及其承诺，将要求其限期整改，整改期间暂停其服务资格，整改完成后达到要求则恢复其资格，否则取消其资格。</w:t>
      </w:r>
    </w:p>
    <w:p>
      <w:pPr>
        <w:numPr>
          <w:ilvl w:val="0"/>
          <w:numId w:val="11"/>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服务单位获得服务资格后，不保证其具体承担的工程设计数量。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服务单位在协议服务资格年限内，履行本招标文件约定的义务过程中出违反国家法律法规、相关主管部门规章制度、擅自提高价格或服务质量低劣造成建设单位损失等情况的，建设单位有权视情节分别给予警告、没收协议采购履约担保或取消协议服务资格等处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因服务单位被取消协议服务资格而造成</w:t>
      </w:r>
      <w:r>
        <w:rPr>
          <w:rFonts w:hint="eastAsia" w:ascii="宋体" w:hAnsi="宋体" w:cs="宋体"/>
          <w:color w:val="auto"/>
          <w:sz w:val="21"/>
          <w:szCs w:val="21"/>
          <w:highlight w:val="none"/>
          <w:lang w:val="en-US" w:eastAsia="zh-CN"/>
        </w:rPr>
        <w:t>光伏储能新能源工程设计</w:t>
      </w:r>
      <w:r>
        <w:rPr>
          <w:rFonts w:hint="eastAsia" w:ascii="宋体" w:hAnsi="宋体" w:eastAsia="宋体" w:cs="宋体"/>
          <w:color w:val="auto"/>
          <w:sz w:val="21"/>
          <w:szCs w:val="21"/>
          <w:highlight w:val="none"/>
        </w:rPr>
        <w:t>服务机构协议单位数量不能满足正常协议服务工作需求的，建设单位有权按顺序递补本次采购综合评分排名在中标单位后的候选单位，以保证造价咨询服务机构协议单位数量的正常需求。</w:t>
      </w:r>
    </w:p>
    <w:p>
      <w:pPr>
        <w:bidi w:val="0"/>
        <w:rPr>
          <w:rFonts w:hint="eastAsia"/>
          <w:color w:val="auto"/>
          <w:highlight w:val="none"/>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default" w:eastAsia="宋体"/>
          <w:color w:val="auto"/>
          <w:highlight w:val="none"/>
          <w:lang w:val="en-US" w:eastAsia="zh-CN"/>
        </w:rPr>
      </w:pPr>
      <w:r>
        <w:rPr>
          <w:rFonts w:hint="eastAsia"/>
          <w:color w:val="auto"/>
          <w:highlight w:val="none"/>
          <w:lang w:val="en-US" w:eastAsia="zh-CN"/>
        </w:rPr>
        <w:t>八、考核办法</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服务期内，</w:t>
      </w:r>
      <w:r>
        <w:rPr>
          <w:rFonts w:hint="eastAsia" w:ascii="宋体" w:hAnsi="宋体"/>
          <w:color w:val="auto"/>
          <w:szCs w:val="21"/>
          <w:highlight w:val="none"/>
        </w:rPr>
        <w:t>由</w:t>
      </w:r>
      <w:r>
        <w:rPr>
          <w:rFonts w:hint="eastAsia" w:ascii="宋体" w:hAnsi="宋体"/>
          <w:color w:val="auto"/>
          <w:szCs w:val="21"/>
          <w:highlight w:val="none"/>
          <w:lang w:val="en-US" w:eastAsia="zh-CN"/>
        </w:rPr>
        <w:t>采购方</w:t>
      </w:r>
      <w:r>
        <w:rPr>
          <w:rFonts w:hint="eastAsia" w:ascii="宋体" w:hAnsi="宋体"/>
          <w:color w:val="auto"/>
          <w:szCs w:val="21"/>
          <w:highlight w:val="none"/>
        </w:rPr>
        <w:t>工程管理部门</w:t>
      </w:r>
      <w:r>
        <w:rPr>
          <w:rFonts w:hint="eastAsia" w:ascii="宋体" w:hAnsi="宋体"/>
          <w:color w:val="auto"/>
          <w:sz w:val="22"/>
          <w:szCs w:val="22"/>
          <w:highlight w:val="none"/>
        </w:rPr>
        <w:t>对完成设计项目的质量、效率、服务等情况进行综合评价。考核分为建设单位设计项目评价及</w:t>
      </w:r>
      <w:r>
        <w:rPr>
          <w:rFonts w:hint="eastAsia" w:ascii="宋体" w:hAnsi="宋体"/>
          <w:color w:val="auto"/>
          <w:sz w:val="22"/>
          <w:szCs w:val="22"/>
          <w:highlight w:val="none"/>
          <w:lang w:eastAsia="zh-CN"/>
        </w:rPr>
        <w:t>光伏储能新能源工程设计</w:t>
      </w:r>
      <w:r>
        <w:rPr>
          <w:rFonts w:hint="eastAsia" w:ascii="宋体" w:hAnsi="宋体"/>
          <w:color w:val="auto"/>
          <w:sz w:val="22"/>
          <w:szCs w:val="22"/>
          <w:highlight w:val="none"/>
        </w:rPr>
        <w:t>机构年度考核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详见附件1、附件2</w:t>
      </w:r>
      <w:r>
        <w:rPr>
          <w:rFonts w:hint="eastAsia" w:ascii="宋体" w:hAnsi="宋体"/>
          <w:color w:val="auto"/>
          <w:szCs w:val="21"/>
          <w:highlight w:val="none"/>
          <w:lang w:eastAsia="zh-CN"/>
        </w:rPr>
        <w:t>）</w:t>
      </w:r>
      <w:r>
        <w:rPr>
          <w:rFonts w:hint="eastAsia" w:ascii="宋体" w:hAnsi="宋体"/>
          <w:color w:val="auto"/>
          <w:sz w:val="22"/>
          <w:szCs w:val="22"/>
          <w:highlight w:val="none"/>
        </w:rPr>
        <w:t>。具体考核的内容有：</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（1）设计服务机构资质条件现状；</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（2）协议期间</w:t>
      </w:r>
      <w:r>
        <w:rPr>
          <w:rFonts w:hint="eastAsia" w:ascii="宋体" w:hAnsi="宋体"/>
          <w:color w:val="auto"/>
          <w:sz w:val="22"/>
          <w:szCs w:val="22"/>
          <w:highlight w:val="none"/>
          <w:lang w:eastAsia="zh-CN"/>
        </w:rPr>
        <w:t>光伏储能新能源工程设计</w:t>
      </w:r>
      <w:r>
        <w:rPr>
          <w:rFonts w:hint="eastAsia" w:ascii="宋体" w:hAnsi="宋体"/>
          <w:color w:val="auto"/>
          <w:sz w:val="22"/>
          <w:szCs w:val="22"/>
          <w:highlight w:val="none"/>
        </w:rPr>
        <w:t>服务机构</w:t>
      </w:r>
      <w:r>
        <w:rPr>
          <w:rFonts w:hint="eastAsia" w:ascii="宋体" w:hAnsi="宋体"/>
          <w:color w:val="auto"/>
          <w:sz w:val="22"/>
          <w:szCs w:val="22"/>
          <w:highlight w:val="none"/>
          <w:lang w:eastAsia="zh-CN"/>
        </w:rPr>
        <w:t>光伏储能新能源工程设计</w:t>
      </w:r>
      <w:r>
        <w:rPr>
          <w:rFonts w:hint="eastAsia" w:ascii="宋体" w:hAnsi="宋体"/>
          <w:color w:val="auto"/>
          <w:sz w:val="22"/>
          <w:szCs w:val="22"/>
          <w:highlight w:val="none"/>
        </w:rPr>
        <w:t>工作业绩和合同执行情况；</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（3）</w:t>
      </w:r>
      <w:r>
        <w:rPr>
          <w:rFonts w:hint="eastAsia" w:ascii="宋体" w:hAnsi="宋体"/>
          <w:color w:val="auto"/>
          <w:sz w:val="22"/>
          <w:szCs w:val="22"/>
          <w:highlight w:val="none"/>
          <w:lang w:eastAsia="zh-CN"/>
        </w:rPr>
        <w:t>光伏储能新能源工程设计</w:t>
      </w:r>
      <w:r>
        <w:rPr>
          <w:rFonts w:hint="eastAsia" w:ascii="宋体" w:hAnsi="宋体"/>
          <w:color w:val="auto"/>
          <w:sz w:val="22"/>
          <w:szCs w:val="22"/>
          <w:highlight w:val="none"/>
        </w:rPr>
        <w:t>服务机构</w:t>
      </w:r>
      <w:r>
        <w:rPr>
          <w:rFonts w:hint="eastAsia" w:ascii="宋体" w:hAnsi="宋体"/>
          <w:color w:val="auto"/>
          <w:sz w:val="22"/>
          <w:szCs w:val="22"/>
          <w:highlight w:val="none"/>
          <w:lang w:eastAsia="zh-CN"/>
        </w:rPr>
        <w:t>光伏储能新能源工程设计</w:t>
      </w:r>
      <w:r>
        <w:rPr>
          <w:rFonts w:hint="eastAsia" w:ascii="宋体" w:hAnsi="宋体"/>
          <w:color w:val="auto"/>
          <w:sz w:val="22"/>
          <w:szCs w:val="22"/>
          <w:highlight w:val="none"/>
        </w:rPr>
        <w:t>的业务水平；</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（4）</w:t>
      </w:r>
      <w:r>
        <w:rPr>
          <w:rFonts w:hint="eastAsia" w:ascii="宋体" w:hAnsi="宋体"/>
          <w:color w:val="auto"/>
          <w:sz w:val="22"/>
          <w:szCs w:val="22"/>
          <w:highlight w:val="none"/>
          <w:lang w:eastAsia="zh-CN"/>
        </w:rPr>
        <w:t>光伏储能新能源工程设计</w:t>
      </w:r>
      <w:r>
        <w:rPr>
          <w:rFonts w:hint="eastAsia" w:ascii="宋体" w:hAnsi="宋体"/>
          <w:color w:val="auto"/>
          <w:sz w:val="22"/>
          <w:szCs w:val="22"/>
          <w:highlight w:val="none"/>
        </w:rPr>
        <w:t>服务机构和从业设计人员遵守职业道德情况；</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（5）执行国家法律、法规和市场管理的有关规定；违反相关法律和损害用户单位利益的情况；</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（6）企业内部制度建设、技术档案管理和质量保证体系执行情况；</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（7）</w:t>
      </w:r>
      <w:r>
        <w:rPr>
          <w:rFonts w:hint="eastAsia" w:ascii="宋体" w:hAnsi="宋体"/>
          <w:color w:val="auto"/>
          <w:sz w:val="22"/>
          <w:szCs w:val="22"/>
          <w:highlight w:val="none"/>
          <w:lang w:eastAsia="zh-CN"/>
        </w:rPr>
        <w:t>光伏储能新能源工程设计</w:t>
      </w:r>
      <w:r>
        <w:rPr>
          <w:rFonts w:hint="eastAsia" w:ascii="宋体" w:hAnsi="宋体"/>
          <w:color w:val="auto"/>
          <w:sz w:val="22"/>
          <w:szCs w:val="22"/>
          <w:highlight w:val="none"/>
        </w:rPr>
        <w:t>服务质量。</w:t>
      </w:r>
    </w:p>
    <w:p>
      <w:pPr>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（8）</w:t>
      </w:r>
      <w:r>
        <w:rPr>
          <w:rFonts w:hint="eastAsia" w:ascii="宋体" w:hAnsi="宋体"/>
          <w:color w:val="auto"/>
          <w:sz w:val="22"/>
          <w:szCs w:val="22"/>
          <w:highlight w:val="none"/>
          <w:lang w:eastAsia="zh-CN"/>
        </w:rPr>
        <w:t>光伏储能新能源工程设计</w:t>
      </w:r>
      <w:r>
        <w:rPr>
          <w:rFonts w:hint="eastAsia" w:ascii="宋体" w:hAnsi="宋体"/>
          <w:color w:val="auto"/>
          <w:sz w:val="22"/>
          <w:szCs w:val="22"/>
          <w:highlight w:val="none"/>
        </w:rPr>
        <w:t>单位社会信誉。</w:t>
      </w:r>
    </w:p>
    <w:p>
      <w:pPr>
        <w:bidi w:val="0"/>
        <w:rPr>
          <w:rFonts w:hint="eastAsia"/>
          <w:color w:val="auto"/>
          <w:highlight w:val="none"/>
        </w:rPr>
      </w:pPr>
    </w:p>
    <w:p>
      <w:pPr>
        <w:pStyle w:val="5"/>
        <w:bidi w:val="0"/>
        <w:rPr>
          <w:rFonts w:hint="eastAsia"/>
          <w:color w:val="auto"/>
          <w:highlight w:val="none"/>
          <w:lang w:val="zh-CN"/>
        </w:rPr>
      </w:pPr>
      <w:r>
        <w:rPr>
          <w:rFonts w:hint="eastAsia"/>
          <w:color w:val="auto"/>
          <w:highlight w:val="none"/>
          <w:lang w:val="en-US" w:eastAsia="zh-CN"/>
        </w:rPr>
        <w:t>九</w:t>
      </w:r>
      <w:r>
        <w:rPr>
          <w:rFonts w:hint="eastAsia"/>
          <w:color w:val="auto"/>
          <w:highlight w:val="none"/>
        </w:rPr>
        <w:t>、其他要求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1、服务单位在</w:t>
      </w:r>
      <w:r>
        <w:rPr>
          <w:rFonts w:hint="eastAsia" w:ascii="宋体" w:hAnsi="宋体" w:eastAsia="宋体" w:cs="宋体"/>
          <w:color w:val="auto"/>
          <w:sz w:val="21"/>
          <w:szCs w:val="21"/>
          <w:highlight w:val="none"/>
          <w:lang w:val="en-US" w:eastAsia="zh-CN"/>
        </w:rPr>
        <w:t>服务范围内</w:t>
      </w:r>
      <w:r>
        <w:rPr>
          <w:rFonts w:hint="eastAsia" w:ascii="宋体" w:hAnsi="宋体" w:eastAsia="宋体" w:cs="宋体"/>
          <w:color w:val="auto"/>
          <w:sz w:val="21"/>
          <w:szCs w:val="21"/>
          <w:highlight w:val="none"/>
        </w:rPr>
        <w:t>有固定的服务场所，且办公环境、硬件设施符合国家相关规定。</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2、有健全的组织机构的内部管理制度，有完善的质量保证体系和技术经济档案管理制度，有良好的服务态度和较好的社会信誉。</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3、服务单位应当配合建设单位，完成其他与委托业务相关的工作。</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4、服务单位必须贯彻“技术先进、安全可靠、适用耐久、经济合理”的设计原则。加强工程方案设计环节，并与建设单位保持密切的沟通，使设计方案符合建设单位的功能使用和运行管理的要求。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5、合理选用技术指标、建筑材料和设备，达到使用寿命，充分发挥工程建设项目经济、社会和环境的综合效益。</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6、服务单位在设计中，不仅要考虑功能要求，同时也要从环境、景观等效果的角度来设计，做到施工方便易行，同时在施工过程中设计单位还须提供必要的设计技术支持服务（含设计变更）。</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7、服务单位应在规定的时间内，按照合同的具体要求提交设计文件，并确保</w:t>
      </w:r>
      <w:r>
        <w:rPr>
          <w:rFonts w:hint="eastAsia" w:ascii="宋体" w:hAnsi="宋体" w:cs="宋体"/>
          <w:color w:val="auto"/>
          <w:sz w:val="21"/>
          <w:szCs w:val="21"/>
          <w:highlight w:val="none"/>
          <w:lang w:eastAsia="zh-CN"/>
        </w:rPr>
        <w:t>光伏储能新能源工程设计</w:t>
      </w:r>
      <w:r>
        <w:rPr>
          <w:rFonts w:hint="eastAsia" w:ascii="宋体" w:hAnsi="宋体" w:eastAsia="宋体" w:cs="宋体"/>
          <w:color w:val="auto"/>
          <w:sz w:val="21"/>
          <w:szCs w:val="21"/>
          <w:highlight w:val="none"/>
        </w:rPr>
        <w:t>质量要求。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服务单位应当坚持公正、科学、诚信的工作原则，遵守职业道德，讲求专业信誉，对社会责任负责，对建设单位负责，不得违反国家法律、法规、政策及有关管理要求。设计质量和服务效率影响工程质量及进度的，承担经济赔偿和相关的法律责任。</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9、服务单位在编制文件过程中应积极主动与建设单位进行沟通。本着诚实信用的原则，高效率的提供本需求规定的各项服务。</w:t>
      </w:r>
    </w:p>
    <w:p>
      <w:pPr>
        <w:spacing w:after="0"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 xml:space="preserve">    10、本项目执行过程中将遵循国家、省、市有关法律、法规、标准、技术规范和规范性文件的最新规定。</w:t>
      </w:r>
    </w:p>
    <w:p>
      <w:pPr>
        <w:spacing w:after="0" w:line="360" w:lineRule="auto"/>
        <w:rPr>
          <w:rFonts w:hint="eastAsia" w:ascii="宋体" w:hAnsi="宋体" w:eastAsia="宋体" w:cs="宋体"/>
          <w:b/>
          <w:bCs/>
          <w:color w:val="auto"/>
          <w:sz w:val="21"/>
          <w:szCs w:val="21"/>
          <w:highlight w:val="none"/>
        </w:rPr>
      </w:pPr>
    </w:p>
    <w:p>
      <w:pPr>
        <w:bidi w:val="0"/>
        <w:rPr>
          <w:rFonts w:hint="default"/>
          <w:color w:val="auto"/>
          <w:highlight w:val="none"/>
          <w:lang w:val="en-US" w:eastAsia="zh-CN"/>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79"/>
      <w:bookmarkEnd w:id="180"/>
      <w:bookmarkEnd w:id="181"/>
      <w:bookmarkEnd w:id="182"/>
      <w:bookmarkStart w:id="183" w:name="_Toc21448"/>
      <w:bookmarkStart w:id="184" w:name="_Toc12485"/>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sectPr>
          <w:footerReference r:id="rId12" w:type="first"/>
          <w:footerReference r:id="rId11" w:type="default"/>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5"/>
        <w:bidi w:val="0"/>
        <w:jc w:val="center"/>
        <w:rPr>
          <w:rFonts w:hint="eastAsia" w:ascii="华康简标题宋" w:hAnsi="ˎ̥" w:eastAsia="华康简标题宋"/>
          <w:b/>
          <w:color w:val="auto"/>
          <w:sz w:val="28"/>
          <w:szCs w:val="28"/>
          <w:highlight w:val="none"/>
        </w:rPr>
      </w:pPr>
      <w:bookmarkStart w:id="185" w:name="_Toc12014"/>
      <w:r>
        <w:rPr>
          <w:rFonts w:hint="eastAsia" w:ascii="宋体" w:hAnsi="宋体" w:eastAsia="宋体" w:cs="宋体"/>
          <w:color w:val="auto"/>
          <w:highlight w:val="none"/>
          <w:lang w:val="en-US" w:eastAsia="zh-CN"/>
        </w:rPr>
        <w:t>附件1：</w:t>
      </w:r>
      <w:r>
        <w:rPr>
          <w:rFonts w:hint="eastAsia" w:ascii="宋体" w:hAnsi="宋体" w:eastAsia="宋体" w:cs="宋体"/>
          <w:color w:val="auto"/>
          <w:highlight w:val="none"/>
        </w:rPr>
        <w:t>建设单位设计项目评价意见表</w:t>
      </w:r>
    </w:p>
    <w:p>
      <w:pPr>
        <w:rPr>
          <w:rFonts w:ascii="宋体" w:hAnsi="宋体"/>
          <w:color w:val="auto"/>
          <w:szCs w:val="21"/>
          <w:highlight w:val="none"/>
        </w:rPr>
      </w:pPr>
      <w:r>
        <w:rPr>
          <w:rFonts w:hint="eastAsia" w:ascii="宋体" w:hAnsi="宋体"/>
          <w:color w:val="auto"/>
          <w:szCs w:val="21"/>
          <w:highlight w:val="none"/>
        </w:rPr>
        <w:t>评价部门（盖章）：                                                      索引号：</w:t>
      </w:r>
    </w:p>
    <w:tbl>
      <w:tblPr>
        <w:tblStyle w:val="23"/>
        <w:tblW w:w="0" w:type="auto"/>
        <w:jc w:val="center"/>
        <w:tblLayout w:type="autofit"/>
        <w:tblCellMar>
          <w:top w:w="0" w:type="dxa"/>
          <w:left w:w="108" w:type="dxa"/>
          <w:bottom w:w="0" w:type="dxa"/>
          <w:right w:w="108" w:type="dxa"/>
        </w:tblCellMar>
      </w:tblPr>
      <w:tblGrid>
        <w:gridCol w:w="839"/>
        <w:gridCol w:w="562"/>
        <w:gridCol w:w="2637"/>
        <w:gridCol w:w="2722"/>
        <w:gridCol w:w="1737"/>
        <w:gridCol w:w="564"/>
      </w:tblGrid>
      <w:tr>
        <w:tblPrEx>
          <w:tblCellMar>
            <w:top w:w="0" w:type="dxa"/>
            <w:left w:w="108" w:type="dxa"/>
            <w:bottom w:w="0" w:type="dxa"/>
            <w:right w:w="108" w:type="dxa"/>
          </w:tblCellMar>
        </w:tblPrEx>
        <w:trPr>
          <w:trHeight w:val="420" w:hRule="atLeast"/>
          <w:jc w:val="center"/>
        </w:trPr>
        <w:tc>
          <w:tcPr>
            <w:tcW w:w="0" w:type="auto"/>
            <w:tcBorders>
              <w:top w:val="single" w:color="auto" w:sz="4" w:space="0"/>
              <w:left w:val="single" w:color="auto" w:sz="4" w:space="0"/>
              <w:bottom w:val="nil"/>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项目名称</w:t>
            </w:r>
          </w:p>
        </w:tc>
        <w:tc>
          <w:tcPr>
            <w:tcW w:w="0" w:type="auto"/>
            <w:gridSpan w:val="2"/>
            <w:tcBorders>
              <w:top w:val="single" w:color="auto" w:sz="4" w:space="0"/>
              <w:left w:val="nil"/>
              <w:bottom w:val="single" w:color="auto" w:sz="4" w:space="0"/>
              <w:right w:val="nil"/>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0" w:type="auto"/>
            <w:tcBorders>
              <w:top w:val="single" w:color="auto" w:sz="4" w:space="0"/>
              <w:left w:val="single" w:color="auto" w:sz="4" w:space="0"/>
              <w:bottom w:val="nil"/>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光伏储能新能源工程设计</w:t>
            </w:r>
            <w:r>
              <w:rPr>
                <w:rFonts w:hint="eastAsia" w:ascii="宋体" w:hAnsi="宋体" w:cs="宋体"/>
                <w:color w:val="auto"/>
                <w:kern w:val="0"/>
                <w:sz w:val="18"/>
                <w:szCs w:val="18"/>
                <w:highlight w:val="none"/>
              </w:rPr>
              <w:t>单位</w:t>
            </w:r>
          </w:p>
        </w:tc>
        <w:tc>
          <w:tcPr>
            <w:tcW w:w="0" w:type="auto"/>
            <w:gridSpan w:val="2"/>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4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项目计划完成时间</w:t>
            </w:r>
          </w:p>
        </w:tc>
        <w:tc>
          <w:tcPr>
            <w:tcW w:w="0" w:type="auto"/>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0" w:type="auto"/>
            <w:tcBorders>
              <w:top w:val="nil"/>
              <w:left w:val="nil"/>
              <w:bottom w:val="single" w:color="auto" w:sz="4" w:space="0"/>
              <w:right w:val="nil"/>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项目实际         完成时间</w:t>
            </w:r>
          </w:p>
        </w:tc>
        <w:tc>
          <w:tcPr>
            <w:tcW w:w="0" w:type="auto"/>
            <w:tcBorders>
              <w:top w:val="single" w:color="auto" w:sz="4" w:space="0"/>
              <w:left w:val="single" w:color="auto" w:sz="4" w:space="0"/>
              <w:bottom w:val="single" w:color="auto" w:sz="4" w:space="0"/>
              <w:right w:val="nil"/>
            </w:tcBorders>
            <w:noWrap w:val="0"/>
            <w:vAlign w:val="center"/>
          </w:tcPr>
          <w:p>
            <w:pPr>
              <w:widowControl/>
              <w:jc w:val="righ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0" w:type="auto"/>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□按时完成     □延期完成</w:t>
            </w:r>
          </w:p>
        </w:tc>
      </w:tr>
      <w:tr>
        <w:tblPrEx>
          <w:tblCellMar>
            <w:top w:w="0" w:type="dxa"/>
            <w:left w:w="108" w:type="dxa"/>
            <w:bottom w:w="0" w:type="dxa"/>
            <w:right w:w="108" w:type="dxa"/>
          </w:tblCellMar>
        </w:tblPrEx>
        <w:trPr>
          <w:trHeight w:val="420" w:hRule="atLeast"/>
          <w:jc w:val="center"/>
        </w:trPr>
        <w:tc>
          <w:tcPr>
            <w:tcW w:w="0" w:type="auto"/>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评价内容</w:t>
            </w:r>
          </w:p>
        </w:tc>
        <w:tc>
          <w:tcPr>
            <w:tcW w:w="0" w:type="auto"/>
            <w:tcBorders>
              <w:top w:val="nil"/>
              <w:left w:val="nil"/>
              <w:bottom w:val="single" w:color="auto" w:sz="4" w:space="0"/>
              <w:right w:val="nil"/>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各项分值</w:t>
            </w:r>
          </w:p>
        </w:tc>
        <w:tc>
          <w:tcPr>
            <w:tcW w:w="0" w:type="auto"/>
            <w:gridSpan w:val="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具</w:t>
            </w:r>
            <w:r>
              <w:rPr>
                <w:color w:val="auto"/>
                <w:kern w:val="0"/>
                <w:sz w:val="18"/>
                <w:szCs w:val="18"/>
                <w:highlight w:val="none"/>
              </w:rPr>
              <w:t xml:space="preserve">  </w:t>
            </w:r>
            <w:r>
              <w:rPr>
                <w:rFonts w:hint="eastAsia" w:ascii="宋体" w:hAnsi="宋体" w:cs="宋体"/>
                <w:color w:val="auto"/>
                <w:kern w:val="0"/>
                <w:sz w:val="18"/>
                <w:szCs w:val="18"/>
                <w:highlight w:val="none"/>
              </w:rPr>
              <w:t>体</w:t>
            </w:r>
            <w:r>
              <w:rPr>
                <w:color w:val="auto"/>
                <w:kern w:val="0"/>
                <w:sz w:val="18"/>
                <w:szCs w:val="18"/>
                <w:highlight w:val="none"/>
              </w:rPr>
              <w:t xml:space="preserve">  </w:t>
            </w:r>
            <w:r>
              <w:rPr>
                <w:rFonts w:hint="eastAsia" w:ascii="宋体" w:hAnsi="宋体" w:cs="宋体"/>
                <w:color w:val="auto"/>
                <w:kern w:val="0"/>
                <w:sz w:val="18"/>
                <w:szCs w:val="18"/>
                <w:highlight w:val="none"/>
              </w:rPr>
              <w:t>内</w:t>
            </w:r>
            <w:r>
              <w:rPr>
                <w:color w:val="auto"/>
                <w:kern w:val="0"/>
                <w:sz w:val="18"/>
                <w:szCs w:val="18"/>
                <w:highlight w:val="none"/>
              </w:rPr>
              <w:t xml:space="preserve">  </w:t>
            </w:r>
            <w:r>
              <w:rPr>
                <w:rFonts w:hint="eastAsia" w:ascii="宋体" w:hAnsi="宋体" w:cs="宋体"/>
                <w:color w:val="auto"/>
                <w:kern w:val="0"/>
                <w:sz w:val="18"/>
                <w:szCs w:val="18"/>
                <w:highlight w:val="none"/>
              </w:rPr>
              <w:t>容</w:t>
            </w:r>
          </w:p>
        </w:tc>
        <w:tc>
          <w:tcPr>
            <w:tcW w:w="0" w:type="auto"/>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评分</w:t>
            </w:r>
          </w:p>
        </w:tc>
      </w:tr>
      <w:tr>
        <w:tblPrEx>
          <w:tblCellMar>
            <w:top w:w="0" w:type="dxa"/>
            <w:left w:w="108" w:type="dxa"/>
            <w:bottom w:w="0" w:type="dxa"/>
            <w:right w:w="108" w:type="dxa"/>
          </w:tblCellMar>
        </w:tblPrEx>
        <w:trPr>
          <w:trHeight w:val="439" w:hRule="atLeast"/>
          <w:jc w:val="center"/>
        </w:trPr>
        <w:tc>
          <w:tcPr>
            <w:tcW w:w="0" w:type="auto"/>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业务水平</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15</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项目配置的相应专业人员在建设局备案，且业务能力较强，熟练掌握行业规范的最高得3分；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光伏储能新能源工程设计</w:t>
            </w:r>
            <w:r>
              <w:rPr>
                <w:rFonts w:hint="eastAsia" w:ascii="宋体" w:hAnsi="宋体" w:cs="宋体"/>
                <w:color w:val="auto"/>
                <w:kern w:val="0"/>
                <w:sz w:val="18"/>
                <w:szCs w:val="18"/>
                <w:highlight w:val="none"/>
              </w:rPr>
              <w:t>文件的编制符合法律、技术标准的强制性规定及合同的要求的最高得3分；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光伏储能新能源工程设计</w:t>
            </w:r>
            <w:r>
              <w:rPr>
                <w:rFonts w:hint="eastAsia" w:ascii="宋体" w:hAnsi="宋体" w:cs="宋体"/>
                <w:color w:val="auto"/>
                <w:kern w:val="0"/>
                <w:sz w:val="18"/>
                <w:szCs w:val="18"/>
                <w:highlight w:val="none"/>
              </w:rPr>
              <w:t>依据完整、准确、可靠，设计方案论证充分，计算成果可靠，并能够实施的最高得4分；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光伏储能新能源工程设计</w:t>
            </w:r>
            <w:r>
              <w:rPr>
                <w:rFonts w:hint="eastAsia" w:ascii="宋体" w:hAnsi="宋体" w:cs="宋体"/>
                <w:color w:val="auto"/>
                <w:kern w:val="0"/>
                <w:sz w:val="18"/>
                <w:szCs w:val="18"/>
                <w:highlight w:val="none"/>
              </w:rPr>
              <w:t>文件能保证工程质量和施工安全等方面的要求的最高得3分；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对项目施工过程出现的一般性的设计变更，能及时作出响应并作设计变更说明的最高得2分。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439" w:hRule="atLeast"/>
          <w:jc w:val="center"/>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完成质量</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项目小组对项目需求有较好的理解，满足招标文件、合同文件的服务响应要求的最高得</w:t>
            </w:r>
            <w:r>
              <w:rPr>
                <w:rFonts w:hint="eastAsia"/>
                <w:color w:val="auto"/>
                <w:kern w:val="0"/>
                <w:sz w:val="18"/>
                <w:szCs w:val="18"/>
                <w:highlight w:val="none"/>
              </w:rPr>
              <w:t>8</w:t>
            </w:r>
            <w:r>
              <w:rPr>
                <w:rFonts w:hint="eastAsia" w:ascii="宋体" w:hAnsi="宋体" w:cs="宋体"/>
                <w:color w:val="auto"/>
                <w:kern w:val="0"/>
                <w:sz w:val="18"/>
                <w:szCs w:val="18"/>
                <w:highlight w:val="none"/>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在设计过程有不清晰的内容，能要求相关人员澄清，不存在主观臆断的最高得</w:t>
            </w:r>
            <w:r>
              <w:rPr>
                <w:rFonts w:hint="eastAsia"/>
                <w:color w:val="auto"/>
                <w:kern w:val="0"/>
                <w:sz w:val="18"/>
                <w:szCs w:val="18"/>
                <w:highlight w:val="none"/>
              </w:rPr>
              <w:t>7</w:t>
            </w:r>
            <w:r>
              <w:rPr>
                <w:rFonts w:hint="eastAsia" w:ascii="宋体" w:hAnsi="宋体" w:cs="宋体"/>
                <w:color w:val="auto"/>
                <w:kern w:val="0"/>
                <w:sz w:val="18"/>
                <w:szCs w:val="18"/>
                <w:highlight w:val="none"/>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表格之间沟稽关系正确，设计成果文件（说明书）真实、完整、准确、有条理的最高得</w:t>
            </w:r>
            <w:r>
              <w:rPr>
                <w:rFonts w:hint="eastAsia"/>
                <w:color w:val="auto"/>
                <w:kern w:val="0"/>
                <w:sz w:val="18"/>
                <w:szCs w:val="18"/>
                <w:highlight w:val="none"/>
              </w:rPr>
              <w:t>8</w:t>
            </w:r>
            <w:r>
              <w:rPr>
                <w:rFonts w:hint="eastAsia" w:ascii="宋体" w:hAnsi="宋体" w:cs="宋体"/>
                <w:color w:val="auto"/>
                <w:kern w:val="0"/>
                <w:sz w:val="18"/>
                <w:szCs w:val="18"/>
                <w:highlight w:val="none"/>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工作质量良好，无重大的主观差错率的最高得</w:t>
            </w:r>
            <w:r>
              <w:rPr>
                <w:rFonts w:hint="eastAsia"/>
                <w:color w:val="auto"/>
                <w:kern w:val="0"/>
                <w:sz w:val="18"/>
                <w:szCs w:val="18"/>
                <w:highlight w:val="none"/>
              </w:rPr>
              <w:t>7</w:t>
            </w:r>
            <w:r>
              <w:rPr>
                <w:rFonts w:hint="eastAsia" w:ascii="宋体" w:hAnsi="宋体" w:cs="宋体"/>
                <w:color w:val="auto"/>
                <w:kern w:val="0"/>
                <w:sz w:val="18"/>
                <w:szCs w:val="18"/>
                <w:highlight w:val="none"/>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工作效率</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25</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及时领取委托人的资料开展设计活动的最高得4分；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按操作规程及时进行对数、现场查勘的最高得</w:t>
            </w:r>
            <w:r>
              <w:rPr>
                <w:color w:val="auto"/>
                <w:kern w:val="0"/>
                <w:sz w:val="18"/>
                <w:szCs w:val="18"/>
                <w:highlight w:val="none"/>
              </w:rPr>
              <w:t>3</w:t>
            </w:r>
            <w:r>
              <w:rPr>
                <w:rFonts w:hint="eastAsia" w:ascii="宋体" w:hAnsi="宋体" w:cs="宋体"/>
                <w:color w:val="auto"/>
                <w:kern w:val="0"/>
                <w:sz w:val="18"/>
                <w:szCs w:val="18"/>
                <w:highlight w:val="none"/>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对数后做到及时修改，对反馈意见及时核实的最高得5分；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及时通知委托人补充相关资料，澄清有关疑问的最高得5分；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能严格按委托人的计划时间完成设计任务的最高得8分。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规范服务</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15</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严格按行业规范、工作规程和设计合同要求开展设计活动的最高得4分；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认真执行对数操作规程、现场查勘操作规程的最高得3分；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439"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按照国家现行技术规范、标准、规程及委托人提出的设计要求，进行工程详测和设计，保证数据的完整性和准确性以及设计的合理性的最高得5分；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能做好</w:t>
            </w:r>
            <w:r>
              <w:rPr>
                <w:rFonts w:hint="eastAsia" w:ascii="宋体" w:hAnsi="宋体" w:cs="宋体"/>
                <w:color w:val="auto"/>
                <w:kern w:val="0"/>
                <w:sz w:val="18"/>
                <w:szCs w:val="18"/>
                <w:highlight w:val="none"/>
                <w:lang w:eastAsia="zh-CN"/>
              </w:rPr>
              <w:t>光伏储能新能源工程设计</w:t>
            </w:r>
            <w:r>
              <w:rPr>
                <w:rFonts w:hint="eastAsia" w:ascii="宋体" w:hAnsi="宋体" w:cs="宋体"/>
                <w:color w:val="auto"/>
                <w:kern w:val="0"/>
                <w:sz w:val="18"/>
                <w:szCs w:val="18"/>
                <w:highlight w:val="none"/>
              </w:rPr>
              <w:t>的质量与技术管理工作，建立健全</w:t>
            </w:r>
            <w:r>
              <w:rPr>
                <w:rFonts w:hint="eastAsia" w:ascii="宋体" w:hAnsi="宋体" w:cs="宋体"/>
                <w:color w:val="auto"/>
                <w:kern w:val="0"/>
                <w:sz w:val="18"/>
                <w:szCs w:val="18"/>
                <w:highlight w:val="none"/>
                <w:lang w:eastAsia="zh-CN"/>
              </w:rPr>
              <w:t>光伏储能新能源工程设计</w:t>
            </w:r>
            <w:r>
              <w:rPr>
                <w:rFonts w:hint="eastAsia" w:ascii="宋体" w:hAnsi="宋体" w:cs="宋体"/>
                <w:color w:val="auto"/>
                <w:kern w:val="0"/>
                <w:sz w:val="18"/>
                <w:szCs w:val="18"/>
                <w:highlight w:val="none"/>
              </w:rPr>
              <w:t>质量保证体系，加强</w:t>
            </w:r>
            <w:r>
              <w:rPr>
                <w:rFonts w:hint="eastAsia" w:ascii="宋体" w:hAnsi="宋体" w:cs="宋体"/>
                <w:color w:val="auto"/>
                <w:kern w:val="0"/>
                <w:sz w:val="18"/>
                <w:szCs w:val="18"/>
                <w:highlight w:val="none"/>
                <w:lang w:eastAsia="zh-CN"/>
              </w:rPr>
              <w:t>光伏储能新能源工程设计</w:t>
            </w:r>
            <w:r>
              <w:rPr>
                <w:rFonts w:hint="eastAsia" w:ascii="宋体" w:hAnsi="宋体" w:cs="宋体"/>
                <w:color w:val="auto"/>
                <w:kern w:val="0"/>
                <w:sz w:val="18"/>
                <w:szCs w:val="18"/>
                <w:highlight w:val="none"/>
              </w:rPr>
              <w:t>全过程的质量控制，建立完整的设计文件的设计、复核、审核、会签和批准制度，明确各阶段的责任人的最高得3分。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439" w:hRule="atLeast"/>
          <w:jc w:val="center"/>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职业道德评价</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15</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严格遵守有关廉政建设规定，与委托人和其利益相对人有利害关系的能主动回避；满足要求得</w:t>
            </w:r>
            <w:r>
              <w:rPr>
                <w:color w:val="auto"/>
                <w:kern w:val="0"/>
                <w:sz w:val="18"/>
                <w:szCs w:val="18"/>
                <w:highlight w:val="none"/>
              </w:rPr>
              <w:t>5</w:t>
            </w:r>
            <w:r>
              <w:rPr>
                <w:rFonts w:hint="eastAsia" w:ascii="宋体" w:hAnsi="宋体" w:cs="宋体"/>
                <w:color w:val="auto"/>
                <w:kern w:val="0"/>
                <w:sz w:val="18"/>
                <w:szCs w:val="18"/>
                <w:highlight w:val="none"/>
              </w:rPr>
              <w:t>分，有不符合规定行为的不得分；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439"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自觉维护国家利益，做到诚信、客观、公平、公正；满足要求得</w:t>
            </w:r>
            <w:r>
              <w:rPr>
                <w:color w:val="auto"/>
                <w:kern w:val="0"/>
                <w:sz w:val="18"/>
                <w:szCs w:val="18"/>
                <w:highlight w:val="none"/>
              </w:rPr>
              <w:t>4</w:t>
            </w:r>
            <w:r>
              <w:rPr>
                <w:rFonts w:hint="eastAsia" w:ascii="宋体" w:hAnsi="宋体" w:cs="宋体"/>
                <w:color w:val="auto"/>
                <w:kern w:val="0"/>
                <w:sz w:val="18"/>
                <w:szCs w:val="18"/>
                <w:highlight w:val="none"/>
              </w:rPr>
              <w:t>分，有不符合规定行为的不得分；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没有未经委托人允许擅自与委托人的利益相对人联系工作事宜的得</w:t>
            </w:r>
            <w:r>
              <w:rPr>
                <w:color w:val="auto"/>
                <w:kern w:val="0"/>
                <w:sz w:val="18"/>
                <w:szCs w:val="18"/>
                <w:highlight w:val="none"/>
              </w:rPr>
              <w:t>3</w:t>
            </w:r>
            <w:r>
              <w:rPr>
                <w:rFonts w:hint="eastAsia" w:ascii="宋体" w:hAnsi="宋体" w:cs="宋体"/>
                <w:color w:val="auto"/>
                <w:kern w:val="0"/>
                <w:sz w:val="18"/>
                <w:szCs w:val="18"/>
                <w:highlight w:val="none"/>
              </w:rPr>
              <w:t>分，有此行为的不得分；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439"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highlight w:val="none"/>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独立完成设计任务，没有未经委托人允许擅自委托第三方从事设计活动的得</w:t>
            </w:r>
            <w:r>
              <w:rPr>
                <w:color w:val="auto"/>
                <w:kern w:val="0"/>
                <w:sz w:val="18"/>
                <w:szCs w:val="18"/>
                <w:highlight w:val="none"/>
              </w:rPr>
              <w:t>3</w:t>
            </w:r>
            <w:r>
              <w:rPr>
                <w:rFonts w:hint="eastAsia" w:ascii="宋体" w:hAnsi="宋体" w:cs="宋体"/>
                <w:color w:val="auto"/>
                <w:kern w:val="0"/>
                <w:sz w:val="18"/>
                <w:szCs w:val="18"/>
                <w:highlight w:val="none"/>
              </w:rPr>
              <w:t>分，有此行为的不得分。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420" w:hRule="atLeast"/>
          <w:jc w:val="center"/>
        </w:trPr>
        <w:tc>
          <w:tcPr>
            <w:tcW w:w="0" w:type="auto"/>
            <w:gridSpan w:val="5"/>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合计</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619" w:hRule="atLeast"/>
          <w:jc w:val="center"/>
        </w:trPr>
        <w:tc>
          <w:tcPr>
            <w:tcW w:w="0" w:type="auto"/>
            <w:tcBorders>
              <w:top w:val="nil"/>
              <w:left w:val="single" w:color="auto" w:sz="4" w:space="0"/>
              <w:bottom w:val="nil"/>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进度与质量处理建议</w:t>
            </w:r>
          </w:p>
        </w:tc>
        <w:tc>
          <w:tcPr>
            <w:tcW w:w="0" w:type="auto"/>
            <w:gridSpan w:val="5"/>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439"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评价人员签名                </w:t>
            </w:r>
          </w:p>
        </w:tc>
        <w:tc>
          <w:tcPr>
            <w:tcW w:w="0" w:type="auto"/>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审批人员</w:t>
            </w:r>
          </w:p>
        </w:tc>
        <w:tc>
          <w:tcPr>
            <w:tcW w:w="0" w:type="auto"/>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评价日期</w:t>
            </w:r>
          </w:p>
        </w:tc>
        <w:tc>
          <w:tcPr>
            <w:tcW w:w="0" w:type="auto"/>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bl>
    <w:p>
      <w:pPr>
        <w:widowControl/>
        <w:jc w:val="left"/>
        <w:rPr>
          <w:rFonts w:hint="eastAsia" w:ascii="仿宋_GB2312" w:hAnsi="ˎ̥" w:eastAsia="仿宋_GB2312"/>
          <w:b/>
          <w:color w:val="auto"/>
          <w:sz w:val="31"/>
          <w:szCs w:val="31"/>
          <w:highlight w:val="none"/>
        </w:rPr>
        <w:sectPr>
          <w:type w:val="continuous"/>
          <w:pgSz w:w="11907" w:h="16840"/>
          <w:pgMar w:top="1869" w:right="1531" w:bottom="1869" w:left="1531" w:header="1701" w:footer="1474" w:gutter="0"/>
          <w:cols w:space="720" w:num="1"/>
        </w:sectPr>
      </w:pPr>
    </w:p>
    <w:p>
      <w:pPr>
        <w:pStyle w:val="5"/>
        <w:bidi w:val="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附件2：</w:t>
      </w:r>
      <w:r>
        <w:rPr>
          <w:rFonts w:hint="eastAsia" w:ascii="宋体" w:hAnsi="宋体" w:cs="宋体"/>
          <w:color w:val="auto"/>
          <w:highlight w:val="none"/>
          <w:lang w:eastAsia="zh-CN"/>
        </w:rPr>
        <w:t>光伏储能新能源工程设计</w:t>
      </w:r>
      <w:r>
        <w:rPr>
          <w:rFonts w:hint="eastAsia" w:ascii="宋体" w:hAnsi="宋体" w:eastAsia="宋体" w:cs="宋体"/>
          <w:color w:val="auto"/>
          <w:highlight w:val="none"/>
        </w:rPr>
        <w:t>机构年度考核表</w:t>
      </w:r>
    </w:p>
    <w:p>
      <w:pPr>
        <w:spacing w:line="360" w:lineRule="auto"/>
        <w:ind w:left="-2" w:leftChars="-1" w:firstLine="27" w:firstLineChars="13"/>
        <w:jc w:val="left"/>
        <w:rPr>
          <w:rFonts w:ascii="宋体" w:hAnsi="宋体"/>
          <w:color w:val="auto"/>
          <w:szCs w:val="21"/>
          <w:highlight w:val="none"/>
        </w:rPr>
      </w:pPr>
      <w:r>
        <w:rPr>
          <w:rFonts w:hint="eastAsia" w:ascii="宋体" w:hAnsi="宋体"/>
          <w:color w:val="auto"/>
          <w:szCs w:val="21"/>
          <w:highlight w:val="none"/>
        </w:rPr>
        <w:t>考核单位（部室）名称：</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524"/>
        <w:gridCol w:w="6824"/>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gridSpan w:val="2"/>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被考核的供应商名称</w:t>
            </w:r>
          </w:p>
        </w:tc>
        <w:tc>
          <w:tcPr>
            <w:tcW w:w="0" w:type="auto"/>
            <w:gridSpan w:val="2"/>
            <w:noWrap w:val="0"/>
            <w:vAlign w:val="center"/>
          </w:tcPr>
          <w:p>
            <w:pPr>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gridSpan w:val="2"/>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考核的期间</w:t>
            </w:r>
          </w:p>
        </w:tc>
        <w:tc>
          <w:tcPr>
            <w:tcW w:w="0" w:type="auto"/>
            <w:gridSpan w:val="2"/>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从     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评价内容</w:t>
            </w:r>
          </w:p>
        </w:tc>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各项分值</w:t>
            </w:r>
          </w:p>
        </w:tc>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具体内容</w:t>
            </w:r>
          </w:p>
        </w:tc>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jc w:val="center"/>
        </w:trPr>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接受任务分配</w:t>
            </w:r>
          </w:p>
        </w:tc>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10</w:t>
            </w:r>
          </w:p>
        </w:tc>
        <w:tc>
          <w:tcPr>
            <w:tcW w:w="0" w:type="auto"/>
            <w:tcBorders>
              <w:top w:val="nil"/>
            </w:tcBorders>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1年内没有拒绝接受任务的，得10分；1年内拒绝接受任务1次的，得5分；1年内拒绝接受任务2次或以上的，得0分。</w:t>
            </w:r>
          </w:p>
        </w:tc>
        <w:tc>
          <w:tcPr>
            <w:tcW w:w="0" w:type="auto"/>
            <w:tcBorders>
              <w:top w:val="nil"/>
            </w:tcBorders>
            <w:noWrap w:val="0"/>
            <w:vAlign w:val="center"/>
          </w:tcPr>
          <w:p>
            <w:pPr>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内部管理</w:t>
            </w:r>
          </w:p>
        </w:tc>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15</w:t>
            </w: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企业规章、内部管理制度健全和完善的，已建立执业质量管理制度、业务档案管理制度、人事管理制度、财务制度的得15分，每缺一项扣减2分。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vMerge w:val="restart"/>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服务情况</w:t>
            </w:r>
          </w:p>
        </w:tc>
        <w:tc>
          <w:tcPr>
            <w:tcW w:w="0" w:type="auto"/>
            <w:vMerge w:val="restart"/>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15</w:t>
            </w: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1）收到通知后及时与采购人签订委托合同的最高得2分；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2）能针对项目的情况与采购人充分沟通的最高得5分；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3）工作质量良好，无重大的主观差错率的，最高得5分；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4）完成成果文件后，能做好跟踪服务的最高得3分。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hint="default" w:ascii="宋体" w:hAnsi="宋体" w:eastAsia="宋体"/>
                <w:color w:val="auto"/>
                <w:sz w:val="18"/>
                <w:szCs w:val="18"/>
                <w:highlight w:val="none"/>
                <w:lang w:val="en-US" w:eastAsia="zh-CN"/>
              </w:rPr>
            </w:pPr>
            <w:r>
              <w:rPr>
                <w:rFonts w:hint="eastAsia" w:ascii="宋体" w:hAnsi="宋体"/>
                <w:color w:val="auto"/>
                <w:sz w:val="18"/>
                <w:szCs w:val="18"/>
                <w:highlight w:val="none"/>
                <w:lang w:val="en-US" w:eastAsia="zh-CN"/>
              </w:rPr>
              <w:t>5）能服从采购人的相关管理规定，配合采购人调研需求不定期提供光伏、储能设计项目业绩清单。如无法配合，则采购人不再向供应商分配任务，采购人可单方面取消入库资格。</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0" w:type="auto"/>
            <w:vMerge w:val="restart"/>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项目质量</w:t>
            </w:r>
          </w:p>
        </w:tc>
        <w:tc>
          <w:tcPr>
            <w:tcW w:w="0" w:type="auto"/>
            <w:vMerge w:val="restart"/>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30</w:t>
            </w: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1）派出的人员对相应法规、政策熟悉和理解程度，最高得5分；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2）抽查设计项目的工作底稿质量，最高得5分；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3）按质按量完成设计工作，</w:t>
            </w:r>
            <w:r>
              <w:rPr>
                <w:rFonts w:hint="eastAsia" w:ascii="宋体" w:hAnsi="宋体" w:cs="宋体"/>
                <w:color w:val="auto"/>
                <w:kern w:val="0"/>
                <w:sz w:val="18"/>
                <w:szCs w:val="18"/>
                <w:highlight w:val="none"/>
              </w:rPr>
              <w:t>圆满完成设计工作目标</w:t>
            </w:r>
            <w:r>
              <w:rPr>
                <w:rFonts w:hint="eastAsia" w:ascii="宋体" w:hAnsi="宋体"/>
                <w:color w:val="auto"/>
                <w:sz w:val="18"/>
                <w:szCs w:val="18"/>
                <w:highlight w:val="none"/>
              </w:rPr>
              <w:t>的，最高得10分；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4）1年内无受到差错处罚的，得10分；受处罚1次的，得5分；受处罚2次或以上不得分。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工作效率</w:t>
            </w:r>
          </w:p>
        </w:tc>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 xml:space="preserve">15 </w:t>
            </w: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1）按合同规定时间完成的，得15分；2）由于客观原因，未能按合同规定时间完成，但经双方协商后仍能按时完成合同的，得12-13分；3）由于供应商主观原因，未能按合同规定时间完成，但经双方协商后仍能按时完成的，得9-10分；4）由于供应商主观原因，未能按合同规定时间完成，经双方协商后仍未能及时完成的，最高得5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restart"/>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职业道德</w:t>
            </w:r>
          </w:p>
        </w:tc>
        <w:tc>
          <w:tcPr>
            <w:tcW w:w="0" w:type="auto"/>
            <w:vMerge w:val="restart"/>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15</w:t>
            </w: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1）派出人员没有接受采购人或其他供应商宴请、旅游、娱乐等行为的得2分，有此行为不得分；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2）派出人员没有要求采购人或其他供应商提供礼品、回扣、有价证卷等行为的得2分，有此行为不得分；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3）派出人员没有在采购人或其他供应商处报销应该由人负担的费用的，得2分，有此行为不得分；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4）派出的人员没有被有关部门进行行政处分的得3分，被行政处分过的不得分；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5）没有其他不廉洁行为的得3分，有此行为不得分。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vMerge w:val="continue"/>
            <w:noWrap w:val="0"/>
            <w:vAlign w:val="center"/>
          </w:tcPr>
          <w:p>
            <w:pPr>
              <w:jc w:val="center"/>
              <w:rPr>
                <w:rFonts w:ascii="宋体" w:hAnsi="宋体"/>
                <w:color w:val="auto"/>
                <w:sz w:val="18"/>
                <w:szCs w:val="18"/>
                <w:highlight w:val="none"/>
              </w:rPr>
            </w:pPr>
          </w:p>
        </w:tc>
        <w:tc>
          <w:tcPr>
            <w:tcW w:w="0" w:type="auto"/>
            <w:vMerge w:val="continue"/>
            <w:noWrap w:val="0"/>
            <w:vAlign w:val="center"/>
          </w:tcPr>
          <w:p>
            <w:pPr>
              <w:jc w:val="center"/>
              <w:rPr>
                <w:rFonts w:ascii="宋体" w:hAnsi="宋体"/>
                <w:color w:val="auto"/>
                <w:sz w:val="18"/>
                <w:szCs w:val="18"/>
                <w:highlight w:val="none"/>
              </w:rPr>
            </w:pPr>
          </w:p>
        </w:tc>
        <w:tc>
          <w:tcPr>
            <w:tcW w:w="0" w:type="auto"/>
            <w:noWrap w:val="0"/>
            <w:vAlign w:val="center"/>
          </w:tcPr>
          <w:p>
            <w:pPr>
              <w:rPr>
                <w:rFonts w:ascii="宋体" w:hAnsi="宋体"/>
                <w:color w:val="auto"/>
                <w:sz w:val="18"/>
                <w:szCs w:val="18"/>
                <w:highlight w:val="none"/>
              </w:rPr>
            </w:pPr>
            <w:r>
              <w:rPr>
                <w:rFonts w:hint="eastAsia" w:ascii="宋体" w:hAnsi="宋体"/>
                <w:color w:val="auto"/>
                <w:sz w:val="18"/>
                <w:szCs w:val="18"/>
                <w:highlight w:val="none"/>
              </w:rPr>
              <w:t>6）考核的期间内，供应商没有违法违规情况的得3分，有此行为，不得分。</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0" w:type="auto"/>
            <w:gridSpan w:val="3"/>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合计</w:t>
            </w:r>
          </w:p>
        </w:tc>
        <w:tc>
          <w:tcPr>
            <w:tcW w:w="0" w:type="auto"/>
            <w:noWrap w:val="0"/>
            <w:vAlign w:val="center"/>
          </w:tcPr>
          <w:p>
            <w:pP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评价人</w:t>
            </w:r>
          </w:p>
        </w:tc>
        <w:tc>
          <w:tcPr>
            <w:tcW w:w="0" w:type="auto"/>
            <w:noWrap w:val="0"/>
            <w:vAlign w:val="center"/>
          </w:tcPr>
          <w:p>
            <w:pPr>
              <w:jc w:val="center"/>
              <w:rPr>
                <w:rFonts w:ascii="宋体" w:hAnsi="宋体"/>
                <w:color w:val="auto"/>
                <w:sz w:val="18"/>
                <w:szCs w:val="18"/>
                <w:highlight w:val="none"/>
              </w:rPr>
            </w:pPr>
          </w:p>
        </w:tc>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评价日期</w:t>
            </w:r>
          </w:p>
        </w:tc>
        <w:tc>
          <w:tcPr>
            <w:tcW w:w="0" w:type="auto"/>
            <w:noWrap w:val="0"/>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年  月  日</w:t>
            </w:r>
          </w:p>
        </w:tc>
      </w:tr>
    </w:tbl>
    <w:p>
      <w:pPr>
        <w:rPr>
          <w:rFonts w:hint="eastAsia"/>
          <w:color w:val="auto"/>
          <w:highlight w:val="none"/>
        </w:rPr>
      </w:pPr>
    </w:p>
    <w:p>
      <w:pPr>
        <w:pStyle w:val="7"/>
        <w:rPr>
          <w:rFonts w:hint="eastAsia"/>
          <w:color w:val="auto"/>
          <w:highlight w:val="none"/>
        </w:rPr>
      </w:pPr>
    </w:p>
    <w:p>
      <w:pPr>
        <w:pStyle w:val="8"/>
        <w:rPr>
          <w:rFonts w:hint="eastAsia"/>
          <w:color w:val="auto"/>
          <w:highlight w:val="none"/>
        </w:rPr>
      </w:pPr>
    </w:p>
    <w:p>
      <w:pPr>
        <w:pStyle w:val="9"/>
        <w:rPr>
          <w:rFonts w:hint="eastAsia"/>
          <w:color w:val="auto"/>
          <w:highlight w:val="none"/>
        </w:rPr>
      </w:pPr>
    </w:p>
    <w:p>
      <w:pPr>
        <w:rPr>
          <w:rFonts w:hint="eastAsia"/>
          <w:color w:val="auto"/>
          <w:highlight w:val="none"/>
        </w:rPr>
      </w:pPr>
    </w:p>
    <w:p>
      <w:pPr>
        <w:pStyle w:val="7"/>
        <w:rPr>
          <w:rFonts w:hint="eastAsia"/>
          <w:color w:val="auto"/>
          <w:highlight w:val="none"/>
        </w:rPr>
      </w:pPr>
    </w:p>
    <w:p>
      <w:pPr>
        <w:pStyle w:val="8"/>
        <w:rPr>
          <w:rFonts w:hint="eastAsia"/>
          <w:color w:val="auto"/>
          <w:highlight w:val="none"/>
        </w:rPr>
      </w:pPr>
    </w:p>
    <w:p>
      <w:pPr>
        <w:pStyle w:val="9"/>
        <w:rPr>
          <w:rFonts w:hint="eastAsia"/>
          <w:color w:val="auto"/>
          <w:highlight w:val="none"/>
        </w:rPr>
      </w:pPr>
    </w:p>
    <w:p>
      <w:pPr>
        <w:rPr>
          <w:rFonts w:hint="eastAsia"/>
          <w:color w:val="auto"/>
          <w:highlight w:val="none"/>
        </w:rPr>
      </w:pPr>
    </w:p>
    <w:p>
      <w:pPr>
        <w:pStyle w:val="7"/>
        <w:rPr>
          <w:rFonts w:hint="eastAsia"/>
          <w:color w:val="auto"/>
          <w:highlight w:val="none"/>
        </w:rPr>
      </w:pPr>
    </w:p>
    <w:p>
      <w:pPr>
        <w:pStyle w:val="8"/>
        <w:rPr>
          <w:rFonts w:hint="eastAsia"/>
          <w:color w:val="auto"/>
          <w:highlight w:val="none"/>
        </w:rPr>
      </w:pPr>
    </w:p>
    <w:p>
      <w:pPr>
        <w:pStyle w:val="9"/>
        <w:rPr>
          <w:rFonts w:hint="eastAsia"/>
          <w:color w:val="auto"/>
          <w:highlight w:val="none"/>
        </w:rPr>
      </w:pPr>
    </w:p>
    <w:p>
      <w:pPr>
        <w:rPr>
          <w:rFonts w:hint="eastAsia"/>
          <w:color w:val="auto"/>
          <w:highlight w:val="none"/>
        </w:rPr>
      </w:pPr>
    </w:p>
    <w:p>
      <w:pPr>
        <w:pStyle w:val="7"/>
        <w:rPr>
          <w:rFonts w:hint="eastAsia"/>
          <w:color w:val="auto"/>
          <w:highlight w:val="none"/>
        </w:rPr>
      </w:pPr>
    </w:p>
    <w:p>
      <w:pPr>
        <w:pStyle w:val="8"/>
        <w:rPr>
          <w:rFonts w:hint="eastAsia"/>
          <w:color w:val="auto"/>
          <w:highlight w:val="none"/>
        </w:rPr>
      </w:pPr>
    </w:p>
    <w:p>
      <w:pPr>
        <w:pStyle w:val="9"/>
        <w:rPr>
          <w:rFonts w:hint="eastAsia"/>
          <w:color w:val="auto"/>
          <w:highlight w:val="none"/>
        </w:rPr>
      </w:pPr>
    </w:p>
    <w:p>
      <w:pPr>
        <w:rPr>
          <w:rFonts w:hint="eastAsia"/>
          <w:color w:val="auto"/>
          <w:highlight w:val="none"/>
        </w:rPr>
      </w:pPr>
    </w:p>
    <w:p>
      <w:pPr>
        <w:pStyle w:val="7"/>
        <w:rPr>
          <w:rFonts w:hint="eastAsia"/>
          <w:color w:val="auto"/>
          <w:highlight w:val="none"/>
        </w:rPr>
      </w:pPr>
    </w:p>
    <w:p>
      <w:pPr>
        <w:pStyle w:val="8"/>
        <w:rPr>
          <w:rFonts w:hint="eastAsia"/>
          <w:color w:val="auto"/>
          <w:highlight w:val="none"/>
        </w:rPr>
      </w:pPr>
    </w:p>
    <w:p>
      <w:pPr>
        <w:pStyle w:val="9"/>
        <w:rPr>
          <w:rFonts w:hint="eastAsia"/>
          <w:color w:val="auto"/>
          <w:highlight w:val="none"/>
        </w:rPr>
      </w:pPr>
    </w:p>
    <w:p>
      <w:pPr>
        <w:rPr>
          <w:rFonts w:hint="eastAsia"/>
          <w:color w:val="auto"/>
          <w:highlight w:val="none"/>
        </w:rPr>
      </w:pPr>
    </w:p>
    <w:p>
      <w:pPr>
        <w:pStyle w:val="7"/>
        <w:rPr>
          <w:rFonts w:hint="eastAsia"/>
          <w:color w:val="auto"/>
          <w:highlight w:val="none"/>
        </w:rPr>
      </w:pPr>
    </w:p>
    <w:p>
      <w:pPr>
        <w:pStyle w:val="3"/>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3"/>
      <w:bookmarkEnd w:id="184"/>
      <w:bookmarkEnd w:id="185"/>
      <w:bookmarkStart w:id="186" w:name="_Toc1534"/>
      <w:bookmarkStart w:id="187" w:name="_Toc21155"/>
      <w:bookmarkStart w:id="188" w:name="_Toc13430"/>
    </w:p>
    <w:p>
      <w:pPr>
        <w:pStyle w:val="4"/>
        <w:spacing w:before="0" w:after="0" w:line="240" w:lineRule="auto"/>
        <w:jc w:val="center"/>
        <w:rPr>
          <w:rFonts w:ascii="宋体" w:hAnsi="宋体" w:eastAsia="宋体" w:cs="宋体"/>
          <w:color w:val="auto"/>
          <w:highlight w:val="none"/>
        </w:rPr>
      </w:pPr>
      <w:bookmarkStart w:id="189" w:name="_Toc16730"/>
      <w:bookmarkStart w:id="190" w:name="_Toc8880"/>
      <w:bookmarkStart w:id="191" w:name="_Toc19575"/>
      <w:r>
        <w:rPr>
          <w:rFonts w:hint="eastAsia" w:ascii="宋体" w:hAnsi="宋体" w:eastAsia="宋体" w:cs="宋体"/>
          <w:color w:val="auto"/>
          <w:highlight w:val="none"/>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2"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highlight w:val="none"/>
        </w:rPr>
      </w:pPr>
      <w:bookmarkStart w:id="193"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4" w:name="_Toc86481569"/>
      <w:r>
        <w:rPr>
          <w:rFonts w:hint="eastAsia" w:ascii="宋体" w:hAnsi="宋体" w:eastAsia="宋体"/>
          <w:b/>
          <w:color w:val="auto"/>
          <w:sz w:val="21"/>
          <w:szCs w:val="21"/>
          <w:highlight w:val="none"/>
        </w:rPr>
        <w:t>第十二条 合同生效</w:t>
      </w:r>
      <w:bookmarkEnd w:id="19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3"/>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195" w:name="_Toc23749"/>
      <w:bookmarkStart w:id="196" w:name="_Toc31587"/>
      <w:bookmarkStart w:id="197" w:name="_Toc147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5"/>
      <w:bookmarkEnd w:id="196"/>
      <w:bookmarkEnd w:id="197"/>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198" w:name="_Toc5794"/>
      <w:bookmarkStart w:id="199" w:name="_Toc6790"/>
      <w:bookmarkStart w:id="200" w:name="_Toc26830"/>
      <w:r>
        <w:rPr>
          <w:rFonts w:hint="eastAsia"/>
          <w:color w:val="auto"/>
          <w:highlight w:val="none"/>
        </w:rPr>
        <w:t>投标文件目录</w:t>
      </w:r>
      <w:bookmarkEnd w:id="198"/>
      <w:bookmarkEnd w:id="199"/>
      <w:bookmarkEnd w:id="20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5670"/>
      <w:bookmarkStart w:id="202" w:name="_Toc18893"/>
      <w:bookmarkStart w:id="203" w:name="_Toc25502"/>
      <w:r>
        <w:rPr>
          <w:rFonts w:hint="eastAsia"/>
          <w:color w:val="auto"/>
          <w:highlight w:val="none"/>
        </w:rPr>
        <w:t>评分标准索引表</w:t>
      </w:r>
      <w:bookmarkEnd w:id="201"/>
      <w:bookmarkEnd w:id="202"/>
      <w:bookmarkEnd w:id="20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2"/>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4" w:name="_Toc8194"/>
      <w:bookmarkStart w:id="205" w:name="_Toc22080"/>
      <w:bookmarkStart w:id="206" w:name="_Toc30640"/>
      <w:r>
        <w:rPr>
          <w:rFonts w:hint="eastAsia"/>
          <w:color w:val="auto"/>
          <w:highlight w:val="none"/>
          <w:lang w:val="en-US" w:eastAsia="zh-CN"/>
        </w:rPr>
        <w:t>第一章价格文件</w:t>
      </w:r>
      <w:bookmarkEnd w:id="204"/>
      <w:bookmarkEnd w:id="20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7" w:name="_Toc4168"/>
      <w:bookmarkStart w:id="208" w:name="_Toc19750"/>
      <w:r>
        <w:rPr>
          <w:rFonts w:hint="eastAsia"/>
          <w:color w:val="auto"/>
          <w:highlight w:val="none"/>
          <w:lang w:val="en-US" w:eastAsia="zh-CN"/>
        </w:rPr>
        <w:t>一、唱标一览表</w:t>
      </w:r>
      <w:bookmarkEnd w:id="207"/>
      <w:bookmarkEnd w:id="208"/>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2" w:hRule="atLeast"/>
          <w:jc w:val="center"/>
        </w:trPr>
        <w:tc>
          <w:tcPr>
            <w:tcW w:w="2714" w:type="dxa"/>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numPr>
                <w:ilvl w:val="0"/>
                <w:numId w:val="0"/>
              </w:numPr>
              <w:spacing w:line="360" w:lineRule="auto"/>
              <w:ind w:firstLine="420" w:firstLineChars="200"/>
              <w:rPr>
                <w:rFonts w:ascii="宋体" w:hAnsi="宋体" w:eastAsia="宋体"/>
                <w:color w:val="auto"/>
                <w:sz w:val="21"/>
                <w:szCs w:val="21"/>
                <w:highlight w:val="none"/>
              </w:rPr>
            </w:pPr>
          </w:p>
        </w:tc>
        <w:tc>
          <w:tcPr>
            <w:tcW w:w="3262" w:type="dxa"/>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8"/>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9" w:name="_Toc31172"/>
      <w:bookmarkStart w:id="210" w:name="_Toc31062"/>
      <w:r>
        <w:rPr>
          <w:rFonts w:hint="eastAsia"/>
          <w:color w:val="auto"/>
          <w:highlight w:val="none"/>
          <w:lang w:val="en-US" w:eastAsia="zh-CN"/>
        </w:rPr>
        <w:t>二、报价明细表</w:t>
      </w:r>
      <w:bookmarkEnd w:id="209"/>
      <w:bookmarkEnd w:id="210"/>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1" w:name="_Toc23948"/>
      <w:bookmarkStart w:id="212" w:name="_Toc6471"/>
      <w:r>
        <w:rPr>
          <w:rFonts w:hint="eastAsia"/>
          <w:color w:val="auto"/>
          <w:highlight w:val="none"/>
          <w:lang w:val="en-US" w:eastAsia="zh-CN"/>
        </w:rPr>
        <w:t>第二章商务文件</w:t>
      </w:r>
      <w:bookmarkEnd w:id="211"/>
      <w:bookmarkEnd w:id="212"/>
    </w:p>
    <w:bookmarkEnd w:id="20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1952"/>
      <w:bookmarkStart w:id="214" w:name="_Toc23787"/>
      <w:r>
        <w:rPr>
          <w:rFonts w:hint="eastAsia"/>
          <w:color w:val="auto"/>
          <w:highlight w:val="none"/>
          <w:lang w:val="en-US" w:eastAsia="zh-CN"/>
        </w:rPr>
        <w:t>一、投标函</w:t>
      </w:r>
      <w:bookmarkEnd w:id="213"/>
      <w:bookmarkEnd w:id="21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15719"/>
      <w:bookmarkStart w:id="216" w:name="_Toc28616"/>
      <w:r>
        <w:rPr>
          <w:rFonts w:hint="eastAsia"/>
          <w:color w:val="auto"/>
          <w:highlight w:val="none"/>
          <w:lang w:val="en-US" w:eastAsia="zh-CN"/>
        </w:rPr>
        <w:t>二、资格申明函</w:t>
      </w:r>
      <w:bookmarkEnd w:id="215"/>
      <w:bookmarkEnd w:id="216"/>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我方依法注册，在法律上、财务上和运作上完全独立于（甲方名称）（甲方）及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pStyle w:val="8"/>
        <w:rPr>
          <w:color w:val="auto"/>
          <w:highlight w:val="none"/>
        </w:rPr>
      </w:pPr>
    </w:p>
    <w:p>
      <w:pPr>
        <w:pStyle w:val="9"/>
        <w:rPr>
          <w:color w:val="auto"/>
          <w:highlight w:val="none"/>
        </w:rPr>
      </w:pPr>
    </w:p>
    <w:p>
      <w:pPr>
        <w:rPr>
          <w:color w:val="auto"/>
          <w:highlight w:val="none"/>
        </w:rPr>
      </w:pPr>
    </w:p>
    <w:p>
      <w:pPr>
        <w:pStyle w:val="7"/>
        <w:rPr>
          <w:color w:val="auto"/>
          <w:highlight w:val="none"/>
        </w:rPr>
      </w:pPr>
    </w:p>
    <w:p>
      <w:pPr>
        <w:rPr>
          <w:color w:val="auto"/>
          <w:highlight w:val="none"/>
        </w:rPr>
      </w:pPr>
      <w:bookmarkStart w:id="217"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21273"/>
      <w:bookmarkStart w:id="219" w:name="_Toc32742"/>
      <w:r>
        <w:rPr>
          <w:rFonts w:hint="eastAsia"/>
          <w:color w:val="auto"/>
          <w:highlight w:val="none"/>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13243"/>
      <w:bookmarkStart w:id="221" w:name="_Toc3894"/>
      <w:r>
        <w:rPr>
          <w:rFonts w:hint="eastAsia"/>
          <w:color w:val="auto"/>
          <w:highlight w:val="none"/>
          <w:lang w:val="en-US" w:eastAsia="zh-CN"/>
        </w:rPr>
        <w:t>四、法定代表人证明书</w:t>
      </w:r>
      <w:bookmarkEnd w:id="220"/>
      <w:bookmarkEnd w:id="221"/>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5918"/>
      <w:bookmarkStart w:id="223" w:name="_Toc5626"/>
      <w:r>
        <w:rPr>
          <w:rFonts w:hint="eastAsia"/>
          <w:color w:val="auto"/>
          <w:highlight w:val="none"/>
          <w:lang w:val="en-US" w:eastAsia="zh-CN"/>
        </w:rPr>
        <w:t>五、法定代表人授权书</w:t>
      </w:r>
      <w:bookmarkEnd w:id="222"/>
      <w:bookmarkEnd w:id="223"/>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5" w:name="_Toc24013"/>
      <w:bookmarkStart w:id="226" w:name="_Toc18562"/>
      <w:r>
        <w:rPr>
          <w:rFonts w:hint="eastAsia"/>
          <w:color w:val="auto"/>
          <w:highlight w:val="none"/>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27" w:name="_Toc1511"/>
      <w:bookmarkStart w:id="228" w:name="_Toc28067"/>
      <w:bookmarkStart w:id="229" w:name="_Toc29995"/>
      <w:bookmarkStart w:id="230" w:name="_Toc5919"/>
      <w:bookmarkStart w:id="231" w:name="_Toc4926"/>
      <w:bookmarkStart w:id="232" w:name="_Toc24210"/>
      <w:bookmarkStart w:id="233" w:name="_Toc17470"/>
      <w:r>
        <w:rPr>
          <w:rFonts w:hint="eastAsia"/>
          <w:color w:val="auto"/>
          <w:highlight w:val="none"/>
          <w:lang w:val="en-US" w:eastAsia="zh-CN"/>
        </w:rPr>
        <w:t>七、</w:t>
      </w:r>
      <w:r>
        <w:rPr>
          <w:rFonts w:hint="eastAsia"/>
          <w:color w:val="auto"/>
          <w:highlight w:val="none"/>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4" w:name="_Toc21638"/>
      <w:bookmarkStart w:id="235" w:name="_Toc29439"/>
      <w:r>
        <w:rPr>
          <w:rFonts w:hint="eastAsia"/>
          <w:color w:val="auto"/>
          <w:highlight w:val="none"/>
          <w:lang w:val="en-US" w:eastAsia="zh-CN"/>
        </w:rPr>
        <w:t>八、</w:t>
      </w:r>
      <w:r>
        <w:rPr>
          <w:rFonts w:hint="eastAsia"/>
          <w:color w:val="auto"/>
          <w:highlight w:val="none"/>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6" w:name="_Toc14263"/>
      <w:bookmarkStart w:id="237" w:name="_Toc23341"/>
      <w:r>
        <w:rPr>
          <w:rFonts w:hint="eastAsia"/>
          <w:color w:val="auto"/>
          <w:highlight w:val="none"/>
          <w:lang w:val="en-US" w:eastAsia="zh-CN"/>
        </w:rPr>
        <w:t>九、</w:t>
      </w:r>
      <w:r>
        <w:rPr>
          <w:rFonts w:hint="eastAsia"/>
          <w:color w:val="auto"/>
          <w:highlight w:val="none"/>
        </w:rPr>
        <w:t>承诺书</w:t>
      </w:r>
      <w:bookmarkEnd w:id="236"/>
      <w:bookmarkEnd w:id="237"/>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9" w:name="_Toc13955"/>
      <w:bookmarkStart w:id="240" w:name="_Toc13653"/>
      <w:r>
        <w:rPr>
          <w:rFonts w:hint="eastAsia"/>
          <w:color w:val="auto"/>
          <w:highlight w:val="none"/>
          <w:lang w:val="en-US" w:eastAsia="zh-CN"/>
        </w:rPr>
        <w:t>十、招标代理服务费承诺书</w:t>
      </w:r>
      <w:bookmarkEnd w:id="239"/>
      <w:bookmarkEnd w:id="240"/>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1" w:name="_Toc12598"/>
      <w:bookmarkStart w:id="242" w:name="_Toc1975"/>
      <w:r>
        <w:rPr>
          <w:rFonts w:hint="eastAsia"/>
          <w:color w:val="auto"/>
          <w:highlight w:val="none"/>
          <w:lang w:val="en-US" w:eastAsia="zh-CN"/>
        </w:rPr>
        <w:t>十一、</w:t>
      </w:r>
      <w:r>
        <w:rPr>
          <w:rFonts w:hint="eastAsia"/>
          <w:color w:val="auto"/>
          <w:highlight w:val="none"/>
        </w:rPr>
        <w:t>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3"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4" w:name="_Toc19276"/>
      <w:bookmarkStart w:id="245" w:name="_Toc25391"/>
      <w:r>
        <w:rPr>
          <w:rFonts w:hint="eastAsia"/>
          <w:color w:val="auto"/>
          <w:highlight w:val="none"/>
          <w:lang w:val="en-US" w:eastAsia="zh-CN"/>
        </w:rPr>
        <w:t>十二、</w:t>
      </w:r>
      <w:r>
        <w:rPr>
          <w:rFonts w:hint="eastAsia"/>
          <w:color w:val="auto"/>
          <w:highlight w:val="none"/>
        </w:rPr>
        <w:t>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46" w:name="_Toc20520"/>
      <w:bookmarkStart w:id="247" w:name="_Toc14688"/>
      <w:r>
        <w:rPr>
          <w:rFonts w:hint="eastAsia"/>
          <w:color w:val="auto"/>
          <w:highlight w:val="none"/>
          <w:lang w:val="en-US" w:eastAsia="zh-CN"/>
        </w:rPr>
        <w:t>第三章技术文件</w:t>
      </w:r>
      <w:bookmarkEnd w:id="243"/>
      <w:bookmarkEnd w:id="246"/>
      <w:bookmarkEnd w:id="24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7092"/>
      <w:bookmarkStart w:id="249" w:name="_Toc13097"/>
      <w:r>
        <w:rPr>
          <w:rFonts w:hint="eastAsia"/>
          <w:color w:val="auto"/>
          <w:highlight w:val="none"/>
          <w:lang w:val="en-US" w:eastAsia="zh-CN"/>
        </w:rPr>
        <w:t>一、</w:t>
      </w:r>
      <w:r>
        <w:rPr>
          <w:rFonts w:hint="eastAsia"/>
          <w:color w:val="auto"/>
          <w:highlight w:val="none"/>
        </w:rPr>
        <w:t>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0" w:name="_Toc17691"/>
      <w:r>
        <w:rPr>
          <w:rFonts w:hint="eastAsia" w:ascii="宋体" w:hAnsi="宋体" w:eastAsia="宋体"/>
          <w:color w:val="auto"/>
          <w:sz w:val="21"/>
          <w:szCs w:val="21"/>
          <w:highlight w:val="none"/>
        </w:rPr>
        <w:br w:type="page"/>
      </w:r>
      <w:bookmarkEnd w:id="250"/>
      <w:bookmarkStart w:id="251" w:name="_Toc6080"/>
      <w:bookmarkStart w:id="252" w:name="_Toc4464"/>
      <w:bookmarkStart w:id="253" w:name="_Toc1274"/>
      <w:bookmarkStart w:id="254" w:name="_Toc18668"/>
      <w:bookmarkStart w:id="255" w:name="_Toc26078"/>
      <w:bookmarkStart w:id="256"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7" w:name="_Toc10734"/>
      <w:bookmarkStart w:id="258" w:name="_Toc13461"/>
      <w:r>
        <w:rPr>
          <w:rFonts w:hint="eastAsia"/>
          <w:color w:val="auto"/>
          <w:highlight w:val="none"/>
          <w:lang w:val="en-US" w:eastAsia="zh-CN"/>
        </w:rPr>
        <w:t>二、</w:t>
      </w:r>
      <w:r>
        <w:rPr>
          <w:rFonts w:hint="eastAsia"/>
          <w:color w:val="auto"/>
          <w:highlight w:val="none"/>
        </w:rPr>
        <w:t>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59" w:name="_Toc29560"/>
            <w:bookmarkStart w:id="260" w:name="_Toc29642"/>
            <w:bookmarkStart w:id="261" w:name="_Toc27079"/>
            <w:r>
              <w:rPr>
                <w:rFonts w:hint="eastAsia" w:ascii="宋体" w:hAnsi="宋体" w:eastAsia="宋体" w:cs="宋体"/>
                <w:b w:val="0"/>
                <w:bCs w:val="0"/>
                <w:color w:val="auto"/>
                <w:sz w:val="21"/>
                <w:szCs w:val="21"/>
                <w:highlight w:val="none"/>
                <w:lang w:val="en-US" w:eastAsia="zh-CN"/>
              </w:rPr>
              <w:t>序号</w:t>
            </w:r>
            <w:bookmarkEnd w:id="259"/>
            <w:bookmarkEnd w:id="260"/>
            <w:bookmarkEnd w:id="26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2" w:name="_Toc10045"/>
            <w:bookmarkStart w:id="263" w:name="_Toc12049"/>
            <w:bookmarkStart w:id="264" w:name="_Toc14815"/>
            <w:bookmarkStart w:id="265" w:name="_Toc26124"/>
            <w:bookmarkStart w:id="266" w:name="_Toc22448"/>
            <w:bookmarkStart w:id="267" w:name="_Toc27090"/>
            <w:bookmarkStart w:id="268" w:name="_Toc4304"/>
            <w:bookmarkStart w:id="269" w:name="_Toc15903"/>
            <w:bookmarkStart w:id="270" w:name="_Toc21739"/>
            <w:bookmarkStart w:id="271" w:name="_Toc15368"/>
            <w:bookmarkStart w:id="272" w:name="_Toc1016"/>
            <w:bookmarkStart w:id="273" w:name="_Toc16872"/>
            <w:bookmarkStart w:id="274" w:name="_Toc2700"/>
            <w:bookmarkStart w:id="275" w:name="_Toc24662"/>
            <w:bookmarkStart w:id="276" w:name="_Toc8312"/>
            <w:bookmarkStart w:id="277" w:name="_Toc8490"/>
            <w:bookmarkStart w:id="278" w:name="_Toc27442"/>
            <w:bookmarkStart w:id="279" w:name="_Toc19251"/>
            <w:bookmarkStart w:id="280" w:name="_Toc21809"/>
            <w:bookmarkStart w:id="281" w:name="_Toc22879"/>
            <w:bookmarkStart w:id="282" w:name="_Toc22917"/>
            <w:bookmarkStart w:id="283" w:name="_Toc32531"/>
            <w:bookmarkStart w:id="284" w:name="_Toc7333"/>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85" w:name="_Toc2408"/>
            <w:bookmarkStart w:id="286" w:name="_Toc10122"/>
            <w:bookmarkStart w:id="287" w:name="_Toc22153"/>
            <w:r>
              <w:rPr>
                <w:rFonts w:hint="eastAsia" w:ascii="宋体" w:hAnsi="宋体" w:eastAsia="宋体" w:cs="宋体"/>
                <w:b w:val="0"/>
                <w:bCs w:val="0"/>
                <w:color w:val="auto"/>
                <w:kern w:val="0"/>
                <w:sz w:val="21"/>
                <w:szCs w:val="21"/>
                <w:highlight w:val="none"/>
              </w:rPr>
              <w:t>投标文件响应内容</w:t>
            </w:r>
            <w:bookmarkEnd w:id="285"/>
            <w:bookmarkEnd w:id="286"/>
            <w:bookmarkEnd w:id="287"/>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88" w:name="_Toc29838"/>
            <w:bookmarkStart w:id="289" w:name="_Toc27285"/>
            <w:bookmarkStart w:id="290" w:name="_Toc16003"/>
            <w:bookmarkStart w:id="291" w:name="_Toc20820"/>
            <w:bookmarkStart w:id="292" w:name="_Toc1912"/>
            <w:bookmarkStart w:id="293" w:name="_Toc5992"/>
            <w:bookmarkStart w:id="294" w:name="_Toc20139"/>
            <w:bookmarkStart w:id="295" w:name="_Toc17642"/>
            <w:bookmarkStart w:id="296" w:name="_Toc27185"/>
            <w:bookmarkStart w:id="297" w:name="_Toc1330"/>
            <w:bookmarkStart w:id="298" w:name="_Toc5563"/>
            <w:bookmarkStart w:id="299" w:name="_Toc3701"/>
            <w:bookmarkStart w:id="300" w:name="_Toc17296"/>
            <w:r>
              <w:rPr>
                <w:rFonts w:hint="eastAsia" w:ascii="宋体" w:hAnsi="宋体" w:eastAsia="宋体" w:cs="宋体"/>
                <w:b w:val="0"/>
                <w:bCs w:val="0"/>
                <w:color w:val="auto"/>
                <w:sz w:val="21"/>
                <w:szCs w:val="21"/>
                <w:highlight w:val="none"/>
                <w:lang w:val="en-US" w:eastAsia="zh-CN"/>
              </w:rPr>
              <w:t>说明</w:t>
            </w:r>
            <w:bookmarkEnd w:id="288"/>
            <w:bookmarkEnd w:id="289"/>
            <w:bookmarkEnd w:id="290"/>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1" w:name="_Toc3520"/>
            <w:bookmarkStart w:id="302" w:name="_Toc19105"/>
            <w:bookmarkStart w:id="303" w:name="_Toc857"/>
            <w:r>
              <w:rPr>
                <w:rFonts w:hint="eastAsia" w:ascii="宋体" w:hAnsi="宋体" w:eastAsia="宋体" w:cs="宋体"/>
                <w:b w:val="0"/>
                <w:bCs w:val="0"/>
                <w:color w:val="auto"/>
                <w:sz w:val="21"/>
                <w:szCs w:val="21"/>
                <w:highlight w:val="none"/>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14"/>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7139"/>
      <w:bookmarkStart w:id="305" w:name="_Toc19349"/>
      <w:r>
        <w:rPr>
          <w:rFonts w:hint="eastAsia"/>
          <w:color w:val="auto"/>
          <w:highlight w:val="none"/>
          <w:lang w:val="en-US" w:eastAsia="zh-CN"/>
        </w:rPr>
        <w:t>三、</w:t>
      </w:r>
      <w:r>
        <w:rPr>
          <w:rFonts w:hint="eastAsia"/>
          <w:color w:val="auto"/>
          <w:highlight w:val="none"/>
        </w:rPr>
        <w:t>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16328"/>
      <w:bookmarkStart w:id="308" w:name="_Toc26880"/>
      <w:r>
        <w:rPr>
          <w:rFonts w:hint="eastAsia"/>
          <w:color w:val="auto"/>
          <w:highlight w:val="none"/>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09" w:name="_Toc15431"/>
      <w:bookmarkStart w:id="310" w:name="_Toc26980"/>
      <w:r>
        <w:rPr>
          <w:rFonts w:hint="eastAsia"/>
          <w:color w:val="auto"/>
          <w:highlight w:val="none"/>
          <w:lang w:val="en-US" w:eastAsia="zh-CN"/>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16710"/>
      <w:bookmarkStart w:id="312" w:name="_Toc21541"/>
      <w:r>
        <w:rPr>
          <w:rFonts w:hint="eastAsia"/>
          <w:color w:val="auto"/>
          <w:highlight w:val="none"/>
          <w:lang w:val="en-US" w:eastAsia="zh-CN"/>
        </w:rPr>
        <w:t>七、投标保证金汇入情况说明</w:t>
      </w:r>
      <w:bookmarkEnd w:id="311"/>
      <w:bookmarkEnd w:id="312"/>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3" w:name="_Toc26855"/>
      <w:bookmarkStart w:id="314" w:name="_Toc24545"/>
      <w:r>
        <w:rPr>
          <w:rFonts w:hint="eastAsia"/>
          <w:color w:val="auto"/>
          <w:highlight w:val="none"/>
          <w:lang w:val="en-US" w:eastAsia="zh-CN"/>
        </w:rPr>
        <w:t>八、采购投标担保函</w:t>
      </w:r>
      <w:bookmarkEnd w:id="313"/>
      <w:bookmarkEnd w:id="31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5" w:name="_Toc6961"/>
      <w:r>
        <w:rPr>
          <w:rFonts w:hint="eastAsia"/>
          <w:color w:val="auto"/>
          <w:highlight w:val="none"/>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6782"/>
      <w:bookmarkStart w:id="317" w:name="_Toc26772"/>
      <w:r>
        <w:rPr>
          <w:rFonts w:hint="eastAsia"/>
          <w:color w:val="auto"/>
          <w:highlight w:val="none"/>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1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2736"/>
      <w:bookmarkStart w:id="320" w:name="_Toc2710"/>
      <w:r>
        <w:rPr>
          <w:rFonts w:hint="eastAsia"/>
          <w:color w:val="auto"/>
          <w:highlight w:val="none"/>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18"/>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8"/>
        <w:ind w:left="0" w:leftChars="0" w:firstLine="0" w:firstLineChars="0"/>
        <w:rPr>
          <w:color w:val="auto"/>
          <w:highlight w:val="none"/>
        </w:rPr>
      </w:pPr>
    </w:p>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康简标题宋">
    <w:altName w:val="黑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28BD6AB"/>
    <w:multiLevelType w:val="singleLevel"/>
    <w:tmpl w:val="A28BD6AB"/>
    <w:lvl w:ilvl="0" w:tentative="0">
      <w:start w:val="1"/>
      <w:numFmt w:val="decimal"/>
      <w:suff w:val="nothing"/>
      <w:lvlText w:val="%1、"/>
      <w:lvlJc w:val="left"/>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24C1285F"/>
    <w:multiLevelType w:val="multilevel"/>
    <w:tmpl w:val="24C1285F"/>
    <w:lvl w:ilvl="0" w:tentative="0">
      <w:start w:val="1"/>
      <w:numFmt w:val="decimal"/>
      <w:lvlText w:val="%1."/>
      <w:lvlJc w:val="left"/>
      <w:pPr>
        <w:ind w:left="420" w:hanging="420"/>
      </w:pPr>
      <w:rPr>
        <w:rFonts w:ascii="宋体" w:hAnsi="宋体" w:eastAsia="宋体"/>
        <w:b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57A83E91"/>
    <w:multiLevelType w:val="singleLevel"/>
    <w:tmpl w:val="57A83E91"/>
    <w:lvl w:ilvl="0" w:tentative="0">
      <w:start w:val="1"/>
      <w:numFmt w:val="decimal"/>
      <w:suff w:val="nothing"/>
      <w:lvlText w:val="%1、"/>
      <w:lvlJc w:val="left"/>
      <w:rPr>
        <w:rFonts w:cs="Times New Roman"/>
      </w:rPr>
    </w:lvl>
  </w:abstractNum>
  <w:abstractNum w:abstractNumId="13">
    <w:nsid w:val="6E5CE7BD"/>
    <w:multiLevelType w:val="singleLevel"/>
    <w:tmpl w:val="6E5CE7BD"/>
    <w:lvl w:ilvl="0" w:tentative="0">
      <w:start w:val="1"/>
      <w:numFmt w:val="chineseCounting"/>
      <w:suff w:val="nothing"/>
      <w:lvlText w:val="%1、"/>
      <w:lvlJc w:val="left"/>
      <w:rPr>
        <w:rFonts w:hint="eastAsia"/>
      </w:rPr>
    </w:lvl>
  </w:abstractNum>
  <w:abstractNum w:abstractNumId="14">
    <w:nsid w:val="72CAEED9"/>
    <w:multiLevelType w:val="singleLevel"/>
    <w:tmpl w:val="72CAEED9"/>
    <w:lvl w:ilvl="0" w:tentative="0">
      <w:start w:val="6"/>
      <w:numFmt w:val="chineseCounting"/>
      <w:suff w:val="nothing"/>
      <w:lvlText w:val="%1、"/>
      <w:lvlJc w:val="left"/>
      <w:rPr>
        <w:rFonts w:hint="eastAsia"/>
      </w:rPr>
    </w:lvl>
  </w:abstractNum>
  <w:num w:numId="1">
    <w:abstractNumId w:val="13"/>
  </w:num>
  <w:num w:numId="2">
    <w:abstractNumId w:val="10"/>
  </w:num>
  <w:num w:numId="3">
    <w:abstractNumId w:val="1"/>
  </w:num>
  <w:num w:numId="4">
    <w:abstractNumId w:val="6"/>
  </w:num>
  <w:num w:numId="5">
    <w:abstractNumId w:val="11"/>
  </w:num>
  <w:num w:numId="6">
    <w:abstractNumId w:val="7"/>
  </w:num>
  <w:num w:numId="7">
    <w:abstractNumId w:val="4"/>
  </w:num>
  <w:num w:numId="8">
    <w:abstractNumId w:val="2"/>
  </w:num>
  <w:num w:numId="9">
    <w:abstractNumId w:val="8"/>
  </w:num>
  <w:num w:numId="10">
    <w:abstractNumId w:val="14"/>
  </w:num>
  <w:num w:numId="11">
    <w:abstractNumId w:val="12"/>
  </w:num>
  <w:num w:numId="12">
    <w:abstractNumId w:val="3"/>
  </w:num>
  <w:num w:numId="13">
    <w:abstractNumId w:val="5"/>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641F53"/>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753F85"/>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AE3FAC"/>
    <w:rsid w:val="09D658E4"/>
    <w:rsid w:val="09F1637C"/>
    <w:rsid w:val="0A25628F"/>
    <w:rsid w:val="0A4B6015"/>
    <w:rsid w:val="0AA534D5"/>
    <w:rsid w:val="0AA650EB"/>
    <w:rsid w:val="0AB8066A"/>
    <w:rsid w:val="0AF47339"/>
    <w:rsid w:val="0AF9484C"/>
    <w:rsid w:val="0B22594B"/>
    <w:rsid w:val="0B797387"/>
    <w:rsid w:val="0B8B2381"/>
    <w:rsid w:val="0BC044BE"/>
    <w:rsid w:val="0BDF26F7"/>
    <w:rsid w:val="0C264099"/>
    <w:rsid w:val="0C2B4952"/>
    <w:rsid w:val="0C7B2220"/>
    <w:rsid w:val="0D834EE1"/>
    <w:rsid w:val="0D890E47"/>
    <w:rsid w:val="0DC64A00"/>
    <w:rsid w:val="0DFC60BA"/>
    <w:rsid w:val="0E4249F1"/>
    <w:rsid w:val="0E7B4FF1"/>
    <w:rsid w:val="0F6C5A53"/>
    <w:rsid w:val="0F7C5FF6"/>
    <w:rsid w:val="0FA171C4"/>
    <w:rsid w:val="0FC63FBD"/>
    <w:rsid w:val="100A0F53"/>
    <w:rsid w:val="106C564D"/>
    <w:rsid w:val="107B7B8F"/>
    <w:rsid w:val="107C67CE"/>
    <w:rsid w:val="1080523F"/>
    <w:rsid w:val="108F06C9"/>
    <w:rsid w:val="109D68CB"/>
    <w:rsid w:val="10A949B8"/>
    <w:rsid w:val="10C54639"/>
    <w:rsid w:val="10C7229A"/>
    <w:rsid w:val="11200D07"/>
    <w:rsid w:val="11BE646A"/>
    <w:rsid w:val="11DA73AF"/>
    <w:rsid w:val="11F62F4A"/>
    <w:rsid w:val="123346DD"/>
    <w:rsid w:val="1285542E"/>
    <w:rsid w:val="12C60D80"/>
    <w:rsid w:val="131867D4"/>
    <w:rsid w:val="131F7A3A"/>
    <w:rsid w:val="132645D0"/>
    <w:rsid w:val="13455ABC"/>
    <w:rsid w:val="1370322B"/>
    <w:rsid w:val="1373671E"/>
    <w:rsid w:val="13B27845"/>
    <w:rsid w:val="13BE469F"/>
    <w:rsid w:val="13F87121"/>
    <w:rsid w:val="141A03E1"/>
    <w:rsid w:val="143B2E0B"/>
    <w:rsid w:val="14672B11"/>
    <w:rsid w:val="14892735"/>
    <w:rsid w:val="14CC769D"/>
    <w:rsid w:val="157D38E3"/>
    <w:rsid w:val="15A96A60"/>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6A6D44"/>
    <w:rsid w:val="190B7894"/>
    <w:rsid w:val="19966DA6"/>
    <w:rsid w:val="19A2789F"/>
    <w:rsid w:val="1A2D3793"/>
    <w:rsid w:val="1A460CF5"/>
    <w:rsid w:val="1A7F297D"/>
    <w:rsid w:val="1AB16AC1"/>
    <w:rsid w:val="1B034A52"/>
    <w:rsid w:val="1B1F34AD"/>
    <w:rsid w:val="1B8D5DC6"/>
    <w:rsid w:val="1BA50D67"/>
    <w:rsid w:val="1BFE1D3B"/>
    <w:rsid w:val="1C2775EC"/>
    <w:rsid w:val="1C750ECE"/>
    <w:rsid w:val="1CA22168"/>
    <w:rsid w:val="1D0836D7"/>
    <w:rsid w:val="1D196139"/>
    <w:rsid w:val="1D6E4A9C"/>
    <w:rsid w:val="1DB85900"/>
    <w:rsid w:val="1DF051AF"/>
    <w:rsid w:val="1E010AF7"/>
    <w:rsid w:val="1E0178EB"/>
    <w:rsid w:val="1E301173"/>
    <w:rsid w:val="1E38333E"/>
    <w:rsid w:val="1E5C7612"/>
    <w:rsid w:val="1EA40BB4"/>
    <w:rsid w:val="1EEC42E9"/>
    <w:rsid w:val="1F43381C"/>
    <w:rsid w:val="1F4F1A21"/>
    <w:rsid w:val="1F691E82"/>
    <w:rsid w:val="1FA4148D"/>
    <w:rsid w:val="20121621"/>
    <w:rsid w:val="201A421D"/>
    <w:rsid w:val="20341172"/>
    <w:rsid w:val="204E554F"/>
    <w:rsid w:val="20590035"/>
    <w:rsid w:val="20C35213"/>
    <w:rsid w:val="20FC799E"/>
    <w:rsid w:val="216A3292"/>
    <w:rsid w:val="21895953"/>
    <w:rsid w:val="22154DDD"/>
    <w:rsid w:val="22213E42"/>
    <w:rsid w:val="22336873"/>
    <w:rsid w:val="23175889"/>
    <w:rsid w:val="233F7DD0"/>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A34F71"/>
    <w:rsid w:val="27B36A67"/>
    <w:rsid w:val="27EB0D9B"/>
    <w:rsid w:val="27F17FF4"/>
    <w:rsid w:val="286602C8"/>
    <w:rsid w:val="28665C95"/>
    <w:rsid w:val="28A64522"/>
    <w:rsid w:val="28CC5B40"/>
    <w:rsid w:val="290B3EB9"/>
    <w:rsid w:val="291418C2"/>
    <w:rsid w:val="2950768C"/>
    <w:rsid w:val="29794227"/>
    <w:rsid w:val="297A5FC4"/>
    <w:rsid w:val="2A1113BC"/>
    <w:rsid w:val="2A8D4F8F"/>
    <w:rsid w:val="2A911082"/>
    <w:rsid w:val="2A917B34"/>
    <w:rsid w:val="2AAC5143"/>
    <w:rsid w:val="2AE3766F"/>
    <w:rsid w:val="2B4E32C6"/>
    <w:rsid w:val="2B7E4054"/>
    <w:rsid w:val="2BF22742"/>
    <w:rsid w:val="2C987C56"/>
    <w:rsid w:val="2CFF149A"/>
    <w:rsid w:val="2D1413BC"/>
    <w:rsid w:val="2D201865"/>
    <w:rsid w:val="2D4B5CEA"/>
    <w:rsid w:val="2D652658"/>
    <w:rsid w:val="2D891449"/>
    <w:rsid w:val="2DC80C49"/>
    <w:rsid w:val="2DCA6355"/>
    <w:rsid w:val="2DF0699F"/>
    <w:rsid w:val="2E166748"/>
    <w:rsid w:val="2E556F01"/>
    <w:rsid w:val="2E7114AA"/>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547305"/>
    <w:rsid w:val="31884E67"/>
    <w:rsid w:val="31A0275E"/>
    <w:rsid w:val="31B7357A"/>
    <w:rsid w:val="31ED6B08"/>
    <w:rsid w:val="31F915C9"/>
    <w:rsid w:val="321449A9"/>
    <w:rsid w:val="325756CC"/>
    <w:rsid w:val="32610CE6"/>
    <w:rsid w:val="32631A32"/>
    <w:rsid w:val="328464CE"/>
    <w:rsid w:val="32AB70C5"/>
    <w:rsid w:val="32C83D5A"/>
    <w:rsid w:val="32DC33E0"/>
    <w:rsid w:val="335D0AF5"/>
    <w:rsid w:val="3370088C"/>
    <w:rsid w:val="33A3154A"/>
    <w:rsid w:val="33DC2F78"/>
    <w:rsid w:val="3428227C"/>
    <w:rsid w:val="34C629BA"/>
    <w:rsid w:val="35260F83"/>
    <w:rsid w:val="35602226"/>
    <w:rsid w:val="356B72E7"/>
    <w:rsid w:val="3572424F"/>
    <w:rsid w:val="35FC3844"/>
    <w:rsid w:val="361818EB"/>
    <w:rsid w:val="366061FD"/>
    <w:rsid w:val="36723877"/>
    <w:rsid w:val="36794DEF"/>
    <w:rsid w:val="36AD519D"/>
    <w:rsid w:val="36B57705"/>
    <w:rsid w:val="36C31310"/>
    <w:rsid w:val="374009F9"/>
    <w:rsid w:val="374F1A0B"/>
    <w:rsid w:val="37A103ED"/>
    <w:rsid w:val="37EA5E6E"/>
    <w:rsid w:val="37F77C8B"/>
    <w:rsid w:val="37FF016F"/>
    <w:rsid w:val="38427C0B"/>
    <w:rsid w:val="387C5ABE"/>
    <w:rsid w:val="389B3A1E"/>
    <w:rsid w:val="389E0191"/>
    <w:rsid w:val="38EB6119"/>
    <w:rsid w:val="394C3792"/>
    <w:rsid w:val="39DE33DA"/>
    <w:rsid w:val="39FA5B4A"/>
    <w:rsid w:val="39FE0BE9"/>
    <w:rsid w:val="3A3446CE"/>
    <w:rsid w:val="3A3C1AAF"/>
    <w:rsid w:val="3A424C25"/>
    <w:rsid w:val="3A4B7CC1"/>
    <w:rsid w:val="3A51228C"/>
    <w:rsid w:val="3A552E60"/>
    <w:rsid w:val="3A58524E"/>
    <w:rsid w:val="3A5D642F"/>
    <w:rsid w:val="3AB210FC"/>
    <w:rsid w:val="3ACE216B"/>
    <w:rsid w:val="3AD95C13"/>
    <w:rsid w:val="3B261E51"/>
    <w:rsid w:val="3B973F88"/>
    <w:rsid w:val="3BCD72F7"/>
    <w:rsid w:val="3BD40725"/>
    <w:rsid w:val="3BF267D2"/>
    <w:rsid w:val="3C414142"/>
    <w:rsid w:val="3C6C2B88"/>
    <w:rsid w:val="3CC34D7A"/>
    <w:rsid w:val="3CE114D9"/>
    <w:rsid w:val="3CF737A2"/>
    <w:rsid w:val="3CF7509A"/>
    <w:rsid w:val="3D10295A"/>
    <w:rsid w:val="3DEB2B5C"/>
    <w:rsid w:val="3E0572FD"/>
    <w:rsid w:val="3E1A5292"/>
    <w:rsid w:val="3E5A7FE7"/>
    <w:rsid w:val="3E8F41EA"/>
    <w:rsid w:val="3EC8179E"/>
    <w:rsid w:val="3EF66B2E"/>
    <w:rsid w:val="3F217914"/>
    <w:rsid w:val="3F942B76"/>
    <w:rsid w:val="3FC9176D"/>
    <w:rsid w:val="3FD70BB0"/>
    <w:rsid w:val="3FFB55AC"/>
    <w:rsid w:val="401C5F9D"/>
    <w:rsid w:val="401C690C"/>
    <w:rsid w:val="401D7195"/>
    <w:rsid w:val="405F1BE4"/>
    <w:rsid w:val="40A51286"/>
    <w:rsid w:val="40CE3DC0"/>
    <w:rsid w:val="40D7455A"/>
    <w:rsid w:val="40E302F1"/>
    <w:rsid w:val="40E743E5"/>
    <w:rsid w:val="40ED3F02"/>
    <w:rsid w:val="4110038E"/>
    <w:rsid w:val="41240F94"/>
    <w:rsid w:val="41734CBA"/>
    <w:rsid w:val="41836C0B"/>
    <w:rsid w:val="41B51F6B"/>
    <w:rsid w:val="41C01B53"/>
    <w:rsid w:val="41DD7057"/>
    <w:rsid w:val="420F7A65"/>
    <w:rsid w:val="4216611A"/>
    <w:rsid w:val="423E300F"/>
    <w:rsid w:val="425656C8"/>
    <w:rsid w:val="4257273C"/>
    <w:rsid w:val="425D7213"/>
    <w:rsid w:val="42677B61"/>
    <w:rsid w:val="42756DB0"/>
    <w:rsid w:val="42B21AD2"/>
    <w:rsid w:val="42EC3DA5"/>
    <w:rsid w:val="42FC51DB"/>
    <w:rsid w:val="42FD694D"/>
    <w:rsid w:val="434A6D8F"/>
    <w:rsid w:val="43A638A5"/>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9CD5977"/>
    <w:rsid w:val="49E5412E"/>
    <w:rsid w:val="4A0030EE"/>
    <w:rsid w:val="4A98167C"/>
    <w:rsid w:val="4A9E2E1A"/>
    <w:rsid w:val="4AC36065"/>
    <w:rsid w:val="4B1926BD"/>
    <w:rsid w:val="4B560086"/>
    <w:rsid w:val="4B7501F5"/>
    <w:rsid w:val="4B8C2DEB"/>
    <w:rsid w:val="4BFA3C9F"/>
    <w:rsid w:val="4BFA5F71"/>
    <w:rsid w:val="4C0E3379"/>
    <w:rsid w:val="4C107F48"/>
    <w:rsid w:val="4C3277BC"/>
    <w:rsid w:val="4C686851"/>
    <w:rsid w:val="4CB25875"/>
    <w:rsid w:val="4CC353EB"/>
    <w:rsid w:val="4CEA1FD2"/>
    <w:rsid w:val="4CF36F3C"/>
    <w:rsid w:val="4CF428DD"/>
    <w:rsid w:val="4D4C32C5"/>
    <w:rsid w:val="4D4F67BA"/>
    <w:rsid w:val="4D603399"/>
    <w:rsid w:val="4D867EE1"/>
    <w:rsid w:val="4DBC4C65"/>
    <w:rsid w:val="4DF6568D"/>
    <w:rsid w:val="4E2E1A80"/>
    <w:rsid w:val="4E550010"/>
    <w:rsid w:val="4E5F14CB"/>
    <w:rsid w:val="4EBA5055"/>
    <w:rsid w:val="4F3705F8"/>
    <w:rsid w:val="4F651D09"/>
    <w:rsid w:val="4F951F9C"/>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CA212D"/>
    <w:rsid w:val="53EB0895"/>
    <w:rsid w:val="53F263AD"/>
    <w:rsid w:val="54371482"/>
    <w:rsid w:val="54693932"/>
    <w:rsid w:val="54813471"/>
    <w:rsid w:val="549A6BFA"/>
    <w:rsid w:val="54DA0AFD"/>
    <w:rsid w:val="54E72921"/>
    <w:rsid w:val="551C69EE"/>
    <w:rsid w:val="55806F07"/>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516498"/>
    <w:rsid w:val="5A643F87"/>
    <w:rsid w:val="5A8E5D27"/>
    <w:rsid w:val="5A9847F3"/>
    <w:rsid w:val="5AC7121C"/>
    <w:rsid w:val="5AD90B8D"/>
    <w:rsid w:val="5AE12927"/>
    <w:rsid w:val="5B2243E9"/>
    <w:rsid w:val="5B4E1A44"/>
    <w:rsid w:val="5B666742"/>
    <w:rsid w:val="5B6919B0"/>
    <w:rsid w:val="5B873201"/>
    <w:rsid w:val="5B89551D"/>
    <w:rsid w:val="5B967767"/>
    <w:rsid w:val="5B9E55D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71411E"/>
    <w:rsid w:val="5EA06921"/>
    <w:rsid w:val="5ED5006A"/>
    <w:rsid w:val="5F576E4B"/>
    <w:rsid w:val="5F5D4EDE"/>
    <w:rsid w:val="5F67086A"/>
    <w:rsid w:val="5F7A2C30"/>
    <w:rsid w:val="5FBE370A"/>
    <w:rsid w:val="60046D56"/>
    <w:rsid w:val="60292845"/>
    <w:rsid w:val="60482CBF"/>
    <w:rsid w:val="60B16EF7"/>
    <w:rsid w:val="61027308"/>
    <w:rsid w:val="612E1A5D"/>
    <w:rsid w:val="61816046"/>
    <w:rsid w:val="62182687"/>
    <w:rsid w:val="623627B6"/>
    <w:rsid w:val="62391564"/>
    <w:rsid w:val="62816669"/>
    <w:rsid w:val="62BA0953"/>
    <w:rsid w:val="62D03A7C"/>
    <w:rsid w:val="62F16BCB"/>
    <w:rsid w:val="62F648FE"/>
    <w:rsid w:val="63341DB1"/>
    <w:rsid w:val="63447612"/>
    <w:rsid w:val="63907004"/>
    <w:rsid w:val="63A10995"/>
    <w:rsid w:val="63C23EFA"/>
    <w:rsid w:val="64280803"/>
    <w:rsid w:val="643A070A"/>
    <w:rsid w:val="644C573D"/>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7A54D8"/>
    <w:rsid w:val="698D6A17"/>
    <w:rsid w:val="69A233E7"/>
    <w:rsid w:val="69BF453B"/>
    <w:rsid w:val="69EE3535"/>
    <w:rsid w:val="69F954C1"/>
    <w:rsid w:val="6A1A20CB"/>
    <w:rsid w:val="6A2031B6"/>
    <w:rsid w:val="6A440C53"/>
    <w:rsid w:val="6AC61F6F"/>
    <w:rsid w:val="6ADE74F0"/>
    <w:rsid w:val="6B1002C0"/>
    <w:rsid w:val="6B1F5CFA"/>
    <w:rsid w:val="6B723594"/>
    <w:rsid w:val="6B805156"/>
    <w:rsid w:val="6BD50977"/>
    <w:rsid w:val="6BEA2A9B"/>
    <w:rsid w:val="6C9C0875"/>
    <w:rsid w:val="6C9D1F03"/>
    <w:rsid w:val="6C9F66A7"/>
    <w:rsid w:val="6CAA3931"/>
    <w:rsid w:val="6D3933CA"/>
    <w:rsid w:val="6D7B61EC"/>
    <w:rsid w:val="6DC3266E"/>
    <w:rsid w:val="6DD049FF"/>
    <w:rsid w:val="6E09491E"/>
    <w:rsid w:val="6E0D3655"/>
    <w:rsid w:val="6E5D7B7F"/>
    <w:rsid w:val="6E5F4465"/>
    <w:rsid w:val="6E8C54DA"/>
    <w:rsid w:val="6E9C28B4"/>
    <w:rsid w:val="6EF10568"/>
    <w:rsid w:val="6EF11E03"/>
    <w:rsid w:val="6F111C62"/>
    <w:rsid w:val="6F2176E5"/>
    <w:rsid w:val="6F3053CA"/>
    <w:rsid w:val="6F592303"/>
    <w:rsid w:val="6F5F5B74"/>
    <w:rsid w:val="6F9B1C65"/>
    <w:rsid w:val="6FA41D2C"/>
    <w:rsid w:val="6FD07E30"/>
    <w:rsid w:val="6FD47A25"/>
    <w:rsid w:val="6FF44026"/>
    <w:rsid w:val="6FFB146E"/>
    <w:rsid w:val="701A5C74"/>
    <w:rsid w:val="706516C3"/>
    <w:rsid w:val="70864A71"/>
    <w:rsid w:val="70896E68"/>
    <w:rsid w:val="711C1E83"/>
    <w:rsid w:val="71434811"/>
    <w:rsid w:val="714556B4"/>
    <w:rsid w:val="715B60E9"/>
    <w:rsid w:val="71BD259C"/>
    <w:rsid w:val="71E96309"/>
    <w:rsid w:val="71EA1FED"/>
    <w:rsid w:val="72284A0C"/>
    <w:rsid w:val="72C16204"/>
    <w:rsid w:val="730313F6"/>
    <w:rsid w:val="731E1007"/>
    <w:rsid w:val="73370D24"/>
    <w:rsid w:val="7359268C"/>
    <w:rsid w:val="739503EB"/>
    <w:rsid w:val="73A05B28"/>
    <w:rsid w:val="73C07D69"/>
    <w:rsid w:val="74353B6B"/>
    <w:rsid w:val="7479076D"/>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653671"/>
    <w:rsid w:val="777D65C8"/>
    <w:rsid w:val="778546CC"/>
    <w:rsid w:val="77B56730"/>
    <w:rsid w:val="77C04A8B"/>
    <w:rsid w:val="77D85DB3"/>
    <w:rsid w:val="780252A0"/>
    <w:rsid w:val="78027772"/>
    <w:rsid w:val="78A50513"/>
    <w:rsid w:val="793B7339"/>
    <w:rsid w:val="794115D0"/>
    <w:rsid w:val="796518DD"/>
    <w:rsid w:val="796E0C55"/>
    <w:rsid w:val="79AA0532"/>
    <w:rsid w:val="79C17E21"/>
    <w:rsid w:val="79F70999"/>
    <w:rsid w:val="79FE1DDD"/>
    <w:rsid w:val="7A075767"/>
    <w:rsid w:val="7A212062"/>
    <w:rsid w:val="7A280608"/>
    <w:rsid w:val="7A282A11"/>
    <w:rsid w:val="7AB90FF6"/>
    <w:rsid w:val="7ABB7B1D"/>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3C1036"/>
    <w:rsid w:val="7D9E3C29"/>
    <w:rsid w:val="7DAA526C"/>
    <w:rsid w:val="7E2142A2"/>
    <w:rsid w:val="7E4F5384"/>
    <w:rsid w:val="7E5A6DFA"/>
    <w:rsid w:val="7E7B0BF2"/>
    <w:rsid w:val="7E7C7A78"/>
    <w:rsid w:val="7E8D75B6"/>
    <w:rsid w:val="7EB2417D"/>
    <w:rsid w:val="7EB67B60"/>
    <w:rsid w:val="7EE67601"/>
    <w:rsid w:val="7EF760EE"/>
    <w:rsid w:val="7F2A21E7"/>
    <w:rsid w:val="7F763FE8"/>
    <w:rsid w:val="7FBD2F2E"/>
    <w:rsid w:val="7FD34A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next w:val="9"/>
    <w:unhideWhenUsed/>
    <w:qFormat/>
    <w:uiPriority w:val="99"/>
    <w:pPr>
      <w:ind w:firstLine="420" w:firstLineChars="100"/>
    </w:pPr>
    <w:rPr>
      <w:rFonts w:ascii="Times New Roman" w:hAnsi="Times New Roman" w:cs="Times New Roman"/>
    </w:rPr>
  </w:style>
  <w:style w:type="paragraph" w:styleId="9">
    <w:name w:val="toc 6"/>
    <w:basedOn w:val="1"/>
    <w:next w:val="1"/>
    <w:qFormat/>
    <w:uiPriority w:val="0"/>
    <w:pPr>
      <w:ind w:left="1200"/>
    </w:pPr>
    <w:rPr>
      <w:rFonts w:ascii="Calibri" w:cs="Calibri"/>
      <w:sz w:val="18"/>
      <w:szCs w:val="18"/>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8"/>
    <w:semiHidden/>
    <w:unhideWhenUsed/>
    <w:qFormat/>
    <w:uiPriority w:val="99"/>
    <w:pPr>
      <w:spacing w:after="0"/>
    </w:pPr>
    <w:rPr>
      <w:sz w:val="18"/>
      <w:szCs w:val="18"/>
    </w:rPr>
  </w:style>
  <w:style w:type="paragraph" w:styleId="14">
    <w:name w:val="footer"/>
    <w:basedOn w:val="1"/>
    <w:link w:val="47"/>
    <w:unhideWhenUsed/>
    <w:qFormat/>
    <w:uiPriority w:val="99"/>
    <w:pPr>
      <w:tabs>
        <w:tab w:val="center" w:pos="4153"/>
        <w:tab w:val="right" w:pos="8306"/>
      </w:tabs>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1"/>
    <w:semiHidden/>
    <w:qFormat/>
    <w:uiPriority w:val="99"/>
    <w:rPr>
      <w:rFonts w:ascii="宋体" w:hAnsi="Courier New" w:eastAsia="宋体" w:cs="Courier New"/>
      <w:sz w:val="21"/>
      <w:szCs w:val="21"/>
    </w:rPr>
  </w:style>
  <w:style w:type="character" w:customStyle="1" w:styleId="46">
    <w:name w:val="页眉 Char"/>
    <w:basedOn w:val="25"/>
    <w:link w:val="15"/>
    <w:qFormat/>
    <w:uiPriority w:val="99"/>
    <w:rPr>
      <w:rFonts w:ascii="Tahoma" w:hAnsi="Tahoma"/>
      <w:sz w:val="18"/>
      <w:szCs w:val="18"/>
    </w:rPr>
  </w:style>
  <w:style w:type="character" w:customStyle="1" w:styleId="47">
    <w:name w:val="页脚 Char"/>
    <w:basedOn w:val="25"/>
    <w:link w:val="14"/>
    <w:qFormat/>
    <w:uiPriority w:val="99"/>
    <w:rPr>
      <w:rFonts w:ascii="Tahoma" w:hAnsi="Tahoma"/>
      <w:sz w:val="18"/>
      <w:szCs w:val="18"/>
    </w:rPr>
  </w:style>
  <w:style w:type="character" w:customStyle="1" w:styleId="48">
    <w:name w:val="批注框文本 Char"/>
    <w:basedOn w:val="25"/>
    <w:link w:val="13"/>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_Style 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79</Pages>
  <Words>31858</Words>
  <Characters>32774</Characters>
  <Lines>264</Lines>
  <Paragraphs>74</Paragraphs>
  <TotalTime>11</TotalTime>
  <ScaleCrop>false</ScaleCrop>
  <LinksUpToDate>false</LinksUpToDate>
  <CharactersWithSpaces>35172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2023-04-19T03:40:06Z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B1FFFF807D844108AA47F6E7B77FD598_13</vt:lpwstr>
  </property>
  <property fmtid="{D5CDD505-2E9C-101B-9397-08002B2CF9AE}" pid="4" name="commondata">
    <vt:lpwstr>eyJoZGlkIjoiNTIxNzUwYWQwNDRjMThmYzVmNmE3Mzg5MzZiY2U0YmIifQ==</vt:lpwstr>
  </property>
</Properties>
</file>