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9"/>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10"/>
        <w:ind w:firstLine="240"/>
        <w:rPr>
          <w:rFonts w:ascii="黑体" w:eastAsia="黑体"/>
          <w:color w:val="auto"/>
          <w:szCs w:val="21"/>
          <w:highlight w:val="none"/>
        </w:rPr>
      </w:pPr>
    </w:p>
    <w:p>
      <w:pPr>
        <w:pStyle w:val="10"/>
        <w:ind w:left="0" w:firstLine="0" w:firstLineChars="0"/>
        <w:rPr>
          <w:rFonts w:ascii="黑体" w:eastAsia="黑体"/>
          <w:color w:val="auto"/>
          <w:szCs w:val="21"/>
          <w:highlight w:val="none"/>
        </w:rPr>
      </w:pPr>
    </w:p>
    <w:tbl>
      <w:tblPr>
        <w:tblStyle w:val="26"/>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GDZT2023107A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东莞市横沥中学2023年扩容提质项目—电脑室项目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东莞市横沥中学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2"/>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2"/>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2"/>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2"/>
        <w:ind w:left="0" w:leftChars="0"/>
        <w:rPr>
          <w:color w:val="auto"/>
          <w:sz w:val="40"/>
          <w:szCs w:val="40"/>
          <w:highlight w:val="none"/>
        </w:rPr>
      </w:pPr>
      <w:r>
        <w:rPr>
          <w:rFonts w:hint="eastAsia"/>
          <w:color w:val="auto"/>
          <w:sz w:val="40"/>
          <w:szCs w:val="40"/>
          <w:highlight w:val="none"/>
        </w:rPr>
        <w:t>目录</w:t>
      </w:r>
    </w:p>
    <w:p>
      <w:pPr>
        <w:pStyle w:val="22"/>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60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63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78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79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80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81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82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83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84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85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85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86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87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88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89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90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91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93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94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4"/>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5"/>
        <w:jc w:val="center"/>
        <w:rPr>
          <w:rFonts w:ascii="宋体" w:hAnsi="宋体" w:cs="宋体"/>
          <w:color w:val="auto"/>
          <w:highlight w:val="none"/>
        </w:rPr>
      </w:pPr>
      <w:bookmarkStart w:id="2" w:name="_Toc1420"/>
      <w:bookmarkStart w:id="3" w:name="_Toc7123"/>
      <w:bookmarkStart w:id="4" w:name="_Toc885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w:t>
      </w:r>
      <w:bookmarkStart w:id="393" w:name="_GoBack"/>
      <w:bookmarkEnd w:id="393"/>
      <w:r>
        <w:rPr>
          <w:rFonts w:hint="eastAsia" w:ascii="宋体" w:hAnsi="宋体"/>
          <w:color w:val="auto"/>
          <w:szCs w:val="21"/>
          <w:highlight w:val="none"/>
        </w:rPr>
        <w:t>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rPr>
        <w:t>东莞市横沥中学</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东莞市横沥中学2023年扩容提质项目—电脑室项目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项目编号：GDZT2023107A；</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东莞市横沥中学2023年扩容提质项目—电脑室项目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5"/>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0"/>
        <w:gridCol w:w="4755"/>
        <w:gridCol w:w="451"/>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2671"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05"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36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1</w:t>
            </w:r>
          </w:p>
        </w:tc>
        <w:tc>
          <w:tcPr>
            <w:tcW w:w="2671" w:type="pct"/>
            <w:noWrap/>
            <w:tcMar>
              <w:top w:w="15" w:type="dxa"/>
              <w:left w:w="15" w:type="dxa"/>
              <w:right w:w="15" w:type="dxa"/>
            </w:tcMar>
            <w:vAlign w:val="center"/>
          </w:tcPr>
          <w:p>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东莞市横沥中学2023年扩容提质项目—电脑室项目</w:t>
            </w:r>
          </w:p>
        </w:tc>
        <w:tc>
          <w:tcPr>
            <w:tcW w:w="505"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1项</w:t>
            </w:r>
          </w:p>
        </w:tc>
        <w:tc>
          <w:tcPr>
            <w:tcW w:w="1363"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color w:val="auto"/>
                <w:szCs w:val="21"/>
                <w:highlight w:val="none"/>
              </w:rPr>
              <w:t>512</w:t>
            </w:r>
            <w:r>
              <w:rPr>
                <w:rFonts w:hint="eastAsia" w:ascii="宋体" w:hAnsi="宋体"/>
                <w:color w:val="auto"/>
                <w:szCs w:val="21"/>
                <w:highlight w:val="none"/>
                <w:lang w:val="en-US" w:eastAsia="zh-CN"/>
              </w:rPr>
              <w:t>,</w:t>
            </w:r>
            <w:r>
              <w:rPr>
                <w:rFonts w:hint="eastAsia" w:ascii="宋体" w:hAnsi="宋体"/>
                <w:color w:val="auto"/>
                <w:szCs w:val="21"/>
                <w:highlight w:val="none"/>
              </w:rPr>
              <w:t>482.00元</w:t>
            </w:r>
          </w:p>
        </w:tc>
      </w:tr>
    </w:tbl>
    <w:p>
      <w:pPr>
        <w:pStyle w:val="9"/>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14</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21</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14</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21</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（2）现场支持现金支付、微信支付、支付宝支付等支付方式，请将相应表格交予我司简小姐。</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联系人：简海欣</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四、其他事项</w:t>
      </w:r>
    </w:p>
    <w:p>
      <w:pPr>
        <w:ind w:firstLine="420" w:firstLineChars="200"/>
        <w:rPr>
          <w:rFonts w:ascii="宋体" w:hAnsi="宋体"/>
          <w:color w:val="auto"/>
          <w:szCs w:val="21"/>
          <w:highlight w:val="none"/>
        </w:rPr>
      </w:pPr>
      <w:r>
        <w:rPr>
          <w:rFonts w:hint="eastAsia" w:ascii="宋体" w:hAnsi="宋体"/>
          <w:color w:val="auto"/>
          <w:szCs w:val="21"/>
          <w:highlight w:val="none"/>
        </w:rPr>
        <w:t>1、需要落实的政府采购政策：《政府采购促进中小企业发展管理办法》（财库〔2020〕46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五、投标截止时间、开标时间及地点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4</w:t>
      </w:r>
      <w:r>
        <w:rPr>
          <w:rFonts w:hint="eastAsia" w:ascii="宋体" w:hAnsi="宋体"/>
          <w:bCs/>
          <w:color w:val="auto"/>
          <w:szCs w:val="21"/>
          <w:highlight w:val="none"/>
        </w:rPr>
        <w:t>月</w:t>
      </w:r>
      <w:r>
        <w:rPr>
          <w:rFonts w:hint="eastAsia" w:ascii="宋体" w:hAnsi="宋体"/>
          <w:bCs/>
          <w:color w:val="auto"/>
          <w:szCs w:val="21"/>
          <w:highlight w:val="none"/>
          <w:lang w:val="en-US" w:eastAsia="zh-CN"/>
        </w:rPr>
        <w:t>4</w:t>
      </w:r>
      <w:r>
        <w:rPr>
          <w:rFonts w:hint="eastAsia" w:ascii="宋体" w:hAnsi="宋体"/>
          <w:bCs/>
          <w:color w:val="auto"/>
          <w:szCs w:val="21"/>
          <w:highlight w:val="none"/>
        </w:rPr>
        <w:t>日下午14：00～14：30。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4</w:t>
      </w:r>
      <w:r>
        <w:rPr>
          <w:rFonts w:hint="eastAsia" w:ascii="宋体" w:hAnsi="宋体"/>
          <w:bCs/>
          <w:color w:val="auto"/>
          <w:szCs w:val="21"/>
          <w:highlight w:val="none"/>
        </w:rPr>
        <w:t>月</w:t>
      </w:r>
      <w:r>
        <w:rPr>
          <w:rFonts w:hint="eastAsia" w:ascii="宋体" w:hAnsi="宋体"/>
          <w:bCs/>
          <w:color w:val="auto"/>
          <w:szCs w:val="21"/>
          <w:highlight w:val="none"/>
          <w:lang w:val="en-US" w:eastAsia="zh-CN"/>
        </w:rPr>
        <w:t>4</w:t>
      </w:r>
      <w:r>
        <w:rPr>
          <w:rFonts w:hint="eastAsia" w:ascii="宋体" w:hAnsi="宋体"/>
          <w:bCs/>
          <w:color w:val="auto"/>
          <w:szCs w:val="21"/>
          <w:highlight w:val="none"/>
        </w:rPr>
        <w:t>日下午14时30分。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rPr>
        <w:t>六、采购人及采购代理机构的名称、地址和联系方法：</w:t>
      </w:r>
    </w:p>
    <w:p>
      <w:pPr>
        <w:ind w:firstLine="420" w:firstLineChars="200"/>
        <w:rPr>
          <w:rFonts w:ascii="宋体" w:hAnsi="宋体"/>
          <w:bCs/>
          <w:color w:val="auto"/>
          <w:szCs w:val="21"/>
          <w:highlight w:val="none"/>
        </w:rPr>
      </w:pPr>
      <w:r>
        <w:rPr>
          <w:rFonts w:hint="eastAsia" w:ascii="宋体" w:hAnsi="宋体"/>
          <w:bCs/>
          <w:color w:val="auto"/>
          <w:szCs w:val="21"/>
          <w:highlight w:val="none"/>
        </w:rPr>
        <w:t>采购人联系人：张工</w:t>
      </w:r>
    </w:p>
    <w:p>
      <w:pPr>
        <w:ind w:firstLine="420" w:firstLineChars="200"/>
        <w:rPr>
          <w:rFonts w:ascii="宋体" w:hAnsi="宋体"/>
          <w:bCs/>
          <w:color w:val="auto"/>
          <w:szCs w:val="21"/>
          <w:highlight w:val="none"/>
        </w:rPr>
      </w:pPr>
      <w:r>
        <w:rPr>
          <w:rFonts w:hint="eastAsia" w:ascii="宋体" w:hAnsi="宋体"/>
          <w:bCs/>
          <w:color w:val="auto"/>
          <w:szCs w:val="21"/>
          <w:highlight w:val="none"/>
        </w:rPr>
        <w:t>地址：东莞市横沥镇</w:t>
      </w:r>
    </w:p>
    <w:p>
      <w:pPr>
        <w:ind w:firstLine="420" w:firstLineChars="200"/>
        <w:rPr>
          <w:rFonts w:ascii="宋体" w:hAnsi="宋体"/>
          <w:bCs/>
          <w:color w:val="auto"/>
          <w:szCs w:val="21"/>
          <w:highlight w:val="none"/>
        </w:rPr>
      </w:pPr>
      <w:r>
        <w:rPr>
          <w:rFonts w:hint="eastAsia" w:ascii="宋体" w:hAnsi="宋体"/>
          <w:bCs/>
          <w:color w:val="auto"/>
          <w:szCs w:val="21"/>
          <w:highlight w:val="none"/>
        </w:rPr>
        <w:t>联系电话：0769-83797261</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2023年</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月</w:t>
      </w:r>
    </w:p>
    <w:p>
      <w:pPr>
        <w:pStyle w:val="9"/>
        <w:rPr>
          <w:color w:val="auto"/>
          <w:sz w:val="21"/>
          <w:szCs w:val="21"/>
          <w:highlight w:val="none"/>
        </w:rPr>
      </w:pPr>
    </w:p>
    <w:p>
      <w:pPr>
        <w:pStyle w:val="10"/>
        <w:ind w:firstLine="210"/>
        <w:rPr>
          <w:rFonts w:ascii="宋体" w:hAnsi="宋体" w:cs="宋体"/>
          <w:color w:val="auto"/>
          <w:sz w:val="21"/>
          <w:szCs w:val="21"/>
          <w:highlight w:val="none"/>
        </w:rPr>
      </w:pPr>
    </w:p>
    <w:p>
      <w:pPr>
        <w:pStyle w:val="10"/>
        <w:ind w:firstLine="210"/>
        <w:rPr>
          <w:rFonts w:ascii="宋体" w:hAnsi="宋体" w:cs="宋体"/>
          <w:color w:val="auto"/>
          <w:sz w:val="21"/>
          <w:szCs w:val="21"/>
          <w:highlight w:val="none"/>
        </w:rPr>
      </w:pPr>
    </w:p>
    <w:p>
      <w:pPr>
        <w:pStyle w:val="10"/>
        <w:ind w:firstLine="210"/>
        <w:rPr>
          <w:rFonts w:ascii="宋体" w:hAnsi="宋体" w:cs="宋体"/>
          <w:color w:val="auto"/>
          <w:sz w:val="21"/>
          <w:szCs w:val="21"/>
          <w:highlight w:val="none"/>
        </w:rPr>
      </w:pPr>
    </w:p>
    <w:p>
      <w:pPr>
        <w:pStyle w:val="10"/>
        <w:ind w:firstLine="210"/>
        <w:rPr>
          <w:rFonts w:ascii="宋体" w:hAnsi="宋体" w:cs="宋体"/>
          <w:color w:val="auto"/>
          <w:sz w:val="21"/>
          <w:szCs w:val="21"/>
          <w:highlight w:val="none"/>
        </w:rPr>
      </w:pPr>
    </w:p>
    <w:p>
      <w:pPr>
        <w:pStyle w:val="10"/>
        <w:ind w:firstLine="210"/>
        <w:rPr>
          <w:rFonts w:ascii="宋体" w:hAnsi="宋体" w:cs="宋体"/>
          <w:color w:val="auto"/>
          <w:sz w:val="21"/>
          <w:szCs w:val="21"/>
          <w:highlight w:val="none"/>
        </w:rPr>
      </w:pPr>
    </w:p>
    <w:p>
      <w:pPr>
        <w:pStyle w:val="10"/>
        <w:ind w:firstLine="210"/>
        <w:rPr>
          <w:rFonts w:ascii="宋体" w:hAnsi="宋体" w:cs="宋体"/>
          <w:color w:val="auto"/>
          <w:sz w:val="21"/>
          <w:szCs w:val="21"/>
          <w:highlight w:val="none"/>
        </w:rPr>
      </w:pPr>
    </w:p>
    <w:p>
      <w:pPr>
        <w:pStyle w:val="10"/>
        <w:ind w:firstLine="210"/>
        <w:rPr>
          <w:rFonts w:ascii="宋体" w:hAnsi="宋体" w:cs="宋体"/>
          <w:color w:val="auto"/>
          <w:sz w:val="21"/>
          <w:szCs w:val="21"/>
          <w:highlight w:val="none"/>
        </w:rPr>
      </w:pPr>
    </w:p>
    <w:p>
      <w:pPr>
        <w:pStyle w:val="10"/>
        <w:ind w:firstLine="210"/>
        <w:rPr>
          <w:rFonts w:ascii="宋体" w:hAnsi="宋体" w:cs="宋体"/>
          <w:color w:val="auto"/>
          <w:sz w:val="21"/>
          <w:szCs w:val="21"/>
          <w:highlight w:val="none"/>
        </w:rPr>
      </w:pPr>
    </w:p>
    <w:p>
      <w:pPr>
        <w:pStyle w:val="10"/>
        <w:ind w:firstLine="210"/>
        <w:rPr>
          <w:rFonts w:ascii="宋体" w:hAnsi="宋体" w:cs="宋体"/>
          <w:color w:val="auto"/>
          <w:sz w:val="21"/>
          <w:szCs w:val="21"/>
          <w:highlight w:val="none"/>
        </w:rPr>
      </w:pPr>
    </w:p>
    <w:p>
      <w:pPr>
        <w:pStyle w:val="10"/>
        <w:ind w:left="0" w:firstLine="0" w:firstLineChars="0"/>
        <w:rPr>
          <w:rFonts w:ascii="宋体" w:hAnsi="宋体" w:cs="宋体"/>
          <w:color w:val="auto"/>
          <w:sz w:val="21"/>
          <w:szCs w:val="21"/>
          <w:highlight w:val="none"/>
        </w:rPr>
      </w:pPr>
    </w:p>
    <w:p>
      <w:pPr>
        <w:pStyle w:val="10"/>
        <w:ind w:left="0" w:firstLine="0" w:firstLineChars="0"/>
        <w:rPr>
          <w:rFonts w:ascii="宋体" w:hAnsi="宋体" w:cs="宋体"/>
          <w:color w:val="auto"/>
          <w:sz w:val="21"/>
          <w:szCs w:val="21"/>
          <w:highlight w:val="none"/>
        </w:rPr>
      </w:pPr>
    </w:p>
    <w:p>
      <w:pPr>
        <w:pStyle w:val="10"/>
        <w:ind w:left="0" w:firstLine="0" w:firstLineChars="0"/>
        <w:rPr>
          <w:rFonts w:ascii="宋体" w:hAnsi="宋体" w:cs="宋体"/>
          <w:color w:val="auto"/>
          <w:sz w:val="21"/>
          <w:szCs w:val="21"/>
          <w:highlight w:val="none"/>
        </w:rPr>
      </w:pPr>
    </w:p>
    <w:p>
      <w:pPr>
        <w:pStyle w:val="10"/>
        <w:ind w:left="0" w:firstLine="0" w:firstLineChars="0"/>
        <w:rPr>
          <w:rFonts w:ascii="宋体" w:hAnsi="宋体" w:cs="宋体"/>
          <w:color w:val="auto"/>
          <w:sz w:val="21"/>
          <w:szCs w:val="21"/>
          <w:highlight w:val="none"/>
        </w:rPr>
      </w:pPr>
    </w:p>
    <w:p>
      <w:pPr>
        <w:pStyle w:val="10"/>
        <w:ind w:left="0" w:firstLine="0" w:firstLineChars="0"/>
        <w:rPr>
          <w:rFonts w:ascii="宋体" w:hAnsi="宋体" w:cs="宋体"/>
          <w:color w:val="auto"/>
          <w:sz w:val="21"/>
          <w:szCs w:val="21"/>
          <w:highlight w:val="none"/>
        </w:rPr>
      </w:pPr>
    </w:p>
    <w:p>
      <w:pPr>
        <w:pStyle w:val="10"/>
        <w:ind w:left="0" w:firstLine="0" w:firstLineChars="0"/>
        <w:rPr>
          <w:rFonts w:ascii="宋体" w:hAnsi="宋体" w:cs="宋体"/>
          <w:color w:val="auto"/>
          <w:sz w:val="21"/>
          <w:szCs w:val="21"/>
          <w:highlight w:val="none"/>
        </w:rPr>
      </w:pPr>
    </w:p>
    <w:p>
      <w:pPr>
        <w:pStyle w:val="10"/>
        <w:ind w:left="0" w:firstLine="0" w:firstLineChars="0"/>
        <w:rPr>
          <w:rFonts w:ascii="宋体" w:hAnsi="宋体" w:cs="宋体"/>
          <w:color w:val="auto"/>
          <w:sz w:val="21"/>
          <w:szCs w:val="21"/>
          <w:highlight w:val="none"/>
        </w:rPr>
      </w:pPr>
    </w:p>
    <w:p>
      <w:pPr>
        <w:pStyle w:val="4"/>
        <w:spacing w:before="0" w:after="0" w:line="240" w:lineRule="auto"/>
        <w:rPr>
          <w:color w:val="auto"/>
          <w:sz w:val="28"/>
          <w:szCs w:val="28"/>
          <w:highlight w:val="none"/>
        </w:rPr>
      </w:pPr>
      <w:bookmarkStart w:id="5" w:name="_Toc245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5"/>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Cs/>
                <w:color w:val="auto"/>
                <w:szCs w:val="21"/>
                <w:highlight w:val="none"/>
              </w:rPr>
            </w:pPr>
            <w:r>
              <w:rPr>
                <w:rFonts w:hint="eastAsia" w:ascii="宋体" w:hAnsi="宋体"/>
                <w:bCs/>
                <w:color w:val="auto"/>
                <w:szCs w:val="21"/>
                <w:highlight w:val="none"/>
              </w:rPr>
              <w:t>所属行业：工业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pStyle w:val="10"/>
        <w:ind w:firstLine="210"/>
        <w:rPr>
          <w:rFonts w:ascii="宋体" w:hAnsi="宋体" w:cs="宋体"/>
          <w:color w:val="auto"/>
          <w:sz w:val="21"/>
          <w:szCs w:val="21"/>
          <w:highlight w:val="none"/>
        </w:rPr>
      </w:pPr>
    </w:p>
    <w:p>
      <w:pPr>
        <w:pStyle w:val="10"/>
        <w:ind w:firstLine="210"/>
        <w:rPr>
          <w:rFonts w:ascii="宋体" w:hAnsi="宋体" w:cs="宋体"/>
          <w:color w:val="auto"/>
          <w:sz w:val="21"/>
          <w:szCs w:val="21"/>
          <w:highlight w:val="none"/>
        </w:rPr>
      </w:pPr>
    </w:p>
    <w:p>
      <w:pPr>
        <w:pStyle w:val="10"/>
        <w:ind w:firstLine="210"/>
        <w:rPr>
          <w:rFonts w:ascii="宋体" w:hAnsi="宋体" w:cs="宋体"/>
          <w:color w:val="auto"/>
          <w:sz w:val="21"/>
          <w:szCs w:val="21"/>
          <w:highlight w:val="none"/>
        </w:rPr>
      </w:pPr>
    </w:p>
    <w:p>
      <w:pPr>
        <w:pStyle w:val="10"/>
        <w:ind w:firstLine="210"/>
        <w:rPr>
          <w:rFonts w:ascii="宋体" w:hAnsi="宋体" w:cs="宋体"/>
          <w:color w:val="auto"/>
          <w:sz w:val="21"/>
          <w:szCs w:val="21"/>
          <w:highlight w:val="none"/>
        </w:rPr>
      </w:pPr>
    </w:p>
    <w:p>
      <w:pPr>
        <w:pStyle w:val="10"/>
        <w:ind w:firstLine="210"/>
        <w:rPr>
          <w:rFonts w:ascii="宋体" w:hAnsi="宋体" w:cs="宋体"/>
          <w:color w:val="auto"/>
          <w:sz w:val="21"/>
          <w:szCs w:val="21"/>
          <w:highlight w:val="none"/>
        </w:rPr>
      </w:pPr>
    </w:p>
    <w:p>
      <w:pPr>
        <w:pStyle w:val="10"/>
        <w:ind w:firstLine="210"/>
        <w:rPr>
          <w:rFonts w:ascii="宋体" w:hAnsi="宋体" w:cs="宋体"/>
          <w:color w:val="auto"/>
          <w:sz w:val="21"/>
          <w:szCs w:val="21"/>
          <w:highlight w:val="none"/>
        </w:rPr>
      </w:pPr>
    </w:p>
    <w:p>
      <w:pPr>
        <w:pStyle w:val="10"/>
        <w:ind w:firstLine="210"/>
        <w:rPr>
          <w:rFonts w:ascii="宋体" w:hAnsi="宋体" w:cs="宋体"/>
          <w:color w:val="auto"/>
          <w:sz w:val="21"/>
          <w:szCs w:val="21"/>
          <w:highlight w:val="none"/>
        </w:rPr>
      </w:pPr>
    </w:p>
    <w:p>
      <w:pPr>
        <w:pStyle w:val="10"/>
        <w:ind w:firstLine="210"/>
        <w:rPr>
          <w:rFonts w:ascii="宋体" w:hAnsi="宋体" w:cs="宋体"/>
          <w:color w:val="auto"/>
          <w:sz w:val="21"/>
          <w:szCs w:val="21"/>
          <w:highlight w:val="none"/>
        </w:rPr>
      </w:pPr>
    </w:p>
    <w:p>
      <w:pPr>
        <w:pStyle w:val="10"/>
        <w:ind w:firstLine="210"/>
        <w:rPr>
          <w:rFonts w:ascii="宋体" w:hAnsi="宋体" w:cs="宋体"/>
          <w:color w:val="auto"/>
          <w:sz w:val="21"/>
          <w:szCs w:val="21"/>
          <w:highlight w:val="none"/>
        </w:rPr>
      </w:pPr>
    </w:p>
    <w:p>
      <w:pPr>
        <w:pStyle w:val="10"/>
        <w:ind w:firstLine="210"/>
        <w:rPr>
          <w:rFonts w:ascii="宋体" w:hAnsi="宋体" w:cs="宋体"/>
          <w:color w:val="auto"/>
          <w:sz w:val="21"/>
          <w:szCs w:val="21"/>
          <w:highlight w:val="none"/>
        </w:rPr>
      </w:pPr>
    </w:p>
    <w:p>
      <w:pPr>
        <w:pStyle w:val="10"/>
        <w:ind w:firstLine="210"/>
        <w:rPr>
          <w:rFonts w:ascii="宋体" w:hAnsi="宋体" w:cs="宋体"/>
          <w:color w:val="auto"/>
          <w:sz w:val="21"/>
          <w:szCs w:val="21"/>
          <w:highlight w:val="none"/>
        </w:rPr>
      </w:pPr>
    </w:p>
    <w:p>
      <w:pPr>
        <w:pStyle w:val="10"/>
        <w:ind w:firstLine="210"/>
        <w:rPr>
          <w:rFonts w:ascii="宋体" w:hAnsi="宋体" w:cs="宋体"/>
          <w:color w:val="auto"/>
          <w:sz w:val="21"/>
          <w:szCs w:val="21"/>
          <w:highlight w:val="none"/>
        </w:rPr>
      </w:pPr>
    </w:p>
    <w:p>
      <w:pPr>
        <w:pStyle w:val="10"/>
        <w:ind w:firstLine="210"/>
        <w:rPr>
          <w:rFonts w:ascii="宋体" w:hAnsi="宋体" w:cs="宋体"/>
          <w:color w:val="auto"/>
          <w:sz w:val="21"/>
          <w:szCs w:val="21"/>
          <w:highlight w:val="none"/>
        </w:rPr>
      </w:pPr>
    </w:p>
    <w:p>
      <w:pPr>
        <w:pStyle w:val="10"/>
        <w:ind w:firstLine="210"/>
        <w:rPr>
          <w:rFonts w:ascii="宋体" w:hAnsi="宋体" w:cs="宋体"/>
          <w:color w:val="auto"/>
          <w:sz w:val="21"/>
          <w:szCs w:val="21"/>
          <w:highlight w:val="none"/>
        </w:rPr>
      </w:pPr>
    </w:p>
    <w:p>
      <w:pPr>
        <w:pStyle w:val="10"/>
        <w:ind w:firstLine="210"/>
        <w:rPr>
          <w:rFonts w:ascii="宋体" w:hAnsi="宋体" w:cs="宋体"/>
          <w:color w:val="auto"/>
          <w:sz w:val="21"/>
          <w:szCs w:val="21"/>
          <w:highlight w:val="none"/>
        </w:rPr>
      </w:pPr>
    </w:p>
    <w:p>
      <w:pPr>
        <w:pStyle w:val="10"/>
        <w:ind w:left="0" w:firstLine="0" w:firstLineChars="0"/>
        <w:rPr>
          <w:rFonts w:ascii="宋体" w:hAnsi="宋体" w:cs="宋体"/>
          <w:color w:val="auto"/>
          <w:sz w:val="21"/>
          <w:szCs w:val="21"/>
          <w:highlight w:val="none"/>
        </w:rPr>
      </w:pPr>
    </w:p>
    <w:p>
      <w:pPr>
        <w:pStyle w:val="4"/>
        <w:spacing w:before="0" w:after="0" w:line="360" w:lineRule="auto"/>
        <w:rPr>
          <w:color w:val="auto"/>
          <w:highlight w:val="none"/>
        </w:rPr>
      </w:pPr>
      <w:bookmarkStart w:id="8" w:name="_Toc13473"/>
      <w:bookmarkStart w:id="9" w:name="_Toc5749"/>
      <w:bookmarkStart w:id="10" w:name="_Hlk55300595"/>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5"/>
        <w:spacing w:line="240" w:lineRule="auto"/>
        <w:jc w:val="center"/>
        <w:rPr>
          <w:rFonts w:ascii="宋体" w:hAnsi="宋体" w:cs="宋体"/>
          <w:color w:val="auto"/>
          <w:sz w:val="24"/>
          <w:szCs w:val="24"/>
          <w:highlight w:val="none"/>
        </w:rPr>
      </w:pPr>
      <w:bookmarkStart w:id="15" w:name="_Toc18413"/>
      <w:bookmarkStart w:id="16" w:name="_Toc21613"/>
      <w:r>
        <w:rPr>
          <w:rFonts w:hint="eastAsia" w:ascii="宋体" w:hAnsi="宋体" w:cs="宋体"/>
          <w:color w:val="auto"/>
          <w:sz w:val="24"/>
          <w:szCs w:val="24"/>
          <w:highlight w:val="none"/>
        </w:rPr>
        <w:t>价格及商务技术评分权重细则表</w:t>
      </w:r>
      <w:bookmarkEnd w:id="11"/>
      <w:bookmarkEnd w:id="15"/>
      <w:bookmarkEnd w:id="16"/>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bookmarkStart w:id="17" w:name="_Toc2479"/>
            <w:bookmarkStart w:id="18" w:name="_Toc29685"/>
            <w:bookmarkStart w:id="19" w:name="_Toc30638"/>
            <w:bookmarkStart w:id="20" w:name="_Toc14146"/>
            <w:r>
              <w:rPr>
                <w:rFonts w:hint="eastAsia" w:ascii="宋体" w:hAns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商务评审（15分）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知识产权</w:t>
            </w:r>
          </w:p>
        </w:tc>
        <w:tc>
          <w:tcPr>
            <w:tcW w:w="762"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5463"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投标人获得的教学资源管理系统类、教学行为监测分析类、互动教学系统系统类的软件著作权证书，每提供一类得1分，</w:t>
            </w:r>
            <w:r>
              <w:rPr>
                <w:rFonts w:hint="eastAsia" w:ascii="宋体" w:hAnsi="宋体" w:eastAsia="宋体" w:cs="宋体"/>
                <w:color w:val="auto"/>
                <w:sz w:val="21"/>
                <w:szCs w:val="21"/>
                <w:highlight w:val="none"/>
                <w:lang w:val="zh-CN"/>
              </w:rPr>
              <w:t>本项最高得</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zh-CN"/>
              </w:rPr>
              <w:t>分。</w:t>
            </w:r>
          </w:p>
          <w:p>
            <w:pPr>
              <w:pStyle w:val="38"/>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注：</w:t>
            </w:r>
            <w:r>
              <w:rPr>
                <w:rFonts w:hint="eastAsia" w:ascii="宋体" w:hAnsi="宋体" w:eastAsia="宋体" w:cs="宋体"/>
                <w:bCs/>
                <w:color w:val="auto"/>
                <w:sz w:val="21"/>
                <w:szCs w:val="21"/>
                <w:highlight w:val="none"/>
                <w:lang w:val="en-US" w:eastAsia="zh-CN"/>
              </w:rPr>
              <w:t>须</w:t>
            </w:r>
            <w:r>
              <w:rPr>
                <w:rFonts w:hint="eastAsia" w:ascii="宋体" w:hAnsi="宋体" w:eastAsia="宋体" w:cs="宋体"/>
                <w:bCs/>
                <w:color w:val="auto"/>
                <w:sz w:val="21"/>
                <w:szCs w:val="21"/>
                <w:highlight w:val="none"/>
              </w:rPr>
              <w:t>提供有效证书复印件（或官方网站截图）并加盖投标人公章，否则不得分。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07" w:type="dxa"/>
            <w:tcBorders>
              <w:top w:val="single" w:color="auto" w:sz="4" w:space="0"/>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项目人员</w:t>
            </w:r>
          </w:p>
        </w:tc>
        <w:tc>
          <w:tcPr>
            <w:tcW w:w="762"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5463"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根据投标人拟投入本项的</w:t>
            </w:r>
            <w:r>
              <w:rPr>
                <w:rFonts w:hint="eastAsia" w:ascii="宋体" w:hAnsi="宋体" w:eastAsia="宋体" w:cs="宋体"/>
                <w:bCs/>
                <w:color w:val="auto"/>
                <w:sz w:val="21"/>
                <w:szCs w:val="21"/>
                <w:highlight w:val="none"/>
              </w:rPr>
              <w:t>项目经理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仅一人</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进行评审</w:t>
            </w:r>
            <w:r>
              <w:rPr>
                <w:rFonts w:hint="eastAsia" w:ascii="宋体" w:hAnsi="宋体" w:eastAsia="宋体" w:cs="宋体"/>
                <w:bCs/>
                <w:color w:val="auto"/>
                <w:sz w:val="21"/>
                <w:szCs w:val="21"/>
                <w:highlight w:val="none"/>
              </w:rPr>
              <w:t>：</w:t>
            </w:r>
          </w:p>
          <w:p>
            <w:pPr>
              <w:pStyle w:val="38"/>
              <w:keepNext w:val="0"/>
              <w:keepLines w:val="0"/>
              <w:pageBreakBefore w:val="0"/>
              <w:kinsoku/>
              <w:wordWrap/>
              <w:overflowPunct/>
              <w:topLinePunct w:val="0"/>
              <w:autoSpaceDE/>
              <w:autoSpaceDN/>
              <w:bidi w:val="0"/>
              <w:spacing w:line="240" w:lineRule="auto"/>
              <w:ind w:left="0"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具有</w:t>
            </w:r>
            <w:r>
              <w:rPr>
                <w:rFonts w:hint="eastAsia" w:ascii="宋体" w:hAnsi="宋体" w:eastAsia="宋体" w:cs="宋体"/>
                <w:bCs/>
                <w:color w:val="auto"/>
                <w:sz w:val="21"/>
                <w:szCs w:val="21"/>
                <w:highlight w:val="none"/>
              </w:rPr>
              <w:t>PMP项目经理证书</w:t>
            </w:r>
            <w:r>
              <w:rPr>
                <w:rFonts w:hint="eastAsia" w:ascii="宋体" w:eastAsia="宋体" w:cs="宋体"/>
                <w:bCs/>
                <w:color w:val="auto"/>
                <w:sz w:val="21"/>
                <w:szCs w:val="21"/>
                <w:highlight w:val="none"/>
                <w:lang w:eastAsia="zh-CN"/>
              </w:rPr>
              <w:t>，</w:t>
            </w:r>
            <w:r>
              <w:rPr>
                <w:rFonts w:hint="eastAsia" w:ascii="宋体" w:eastAsia="宋体" w:cs="宋体"/>
                <w:bCs/>
                <w:color w:val="auto"/>
                <w:sz w:val="21"/>
                <w:szCs w:val="21"/>
                <w:highlight w:val="none"/>
                <w:lang w:val="en-US" w:eastAsia="zh-CN"/>
              </w:rPr>
              <w:t>得1.5分，本项最高得1.5分；</w:t>
            </w:r>
          </w:p>
          <w:p>
            <w:pPr>
              <w:pStyle w:val="38"/>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eastAsia="宋体" w:cs="宋体"/>
                <w:bCs/>
                <w:color w:val="auto"/>
                <w:sz w:val="21"/>
                <w:szCs w:val="21"/>
                <w:highlight w:val="none"/>
                <w:lang w:val="en-US" w:eastAsia="zh-CN"/>
              </w:rPr>
              <w:t>具有</w:t>
            </w:r>
            <w:r>
              <w:rPr>
                <w:rFonts w:hint="eastAsia" w:ascii="宋体" w:hAnsi="宋体" w:eastAsia="宋体" w:cs="宋体"/>
                <w:bCs/>
                <w:color w:val="auto"/>
                <w:sz w:val="21"/>
                <w:szCs w:val="21"/>
                <w:highlight w:val="none"/>
              </w:rPr>
              <w:t>IT服务项目经理</w:t>
            </w:r>
            <w:r>
              <w:rPr>
                <w:rFonts w:hint="eastAsia" w:ascii="宋体" w:eastAsia="宋体" w:cs="宋体"/>
                <w:bCs/>
                <w:color w:val="auto"/>
                <w:sz w:val="21"/>
                <w:szCs w:val="21"/>
                <w:highlight w:val="none"/>
                <w:lang w:eastAsia="zh-CN"/>
              </w:rPr>
              <w:t>，</w:t>
            </w:r>
            <w:r>
              <w:rPr>
                <w:rFonts w:hint="eastAsia" w:ascii="宋体" w:eastAsia="宋体" w:cs="宋体"/>
                <w:bCs/>
                <w:color w:val="auto"/>
                <w:sz w:val="21"/>
                <w:szCs w:val="21"/>
                <w:highlight w:val="none"/>
                <w:lang w:val="en-US" w:eastAsia="zh-CN"/>
              </w:rPr>
              <w:t>得1.5分，本项最高得1.5分；</w:t>
            </w:r>
          </w:p>
          <w:p>
            <w:pPr>
              <w:pStyle w:val="38"/>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eastAsia="宋体" w:cs="宋体"/>
                <w:bCs/>
                <w:color w:val="auto"/>
                <w:sz w:val="21"/>
                <w:szCs w:val="21"/>
                <w:highlight w:val="none"/>
                <w:lang w:val="en-US" w:eastAsia="zh-CN"/>
              </w:rPr>
              <w:t>具有</w:t>
            </w:r>
            <w:r>
              <w:rPr>
                <w:rFonts w:hint="eastAsia" w:ascii="宋体" w:hAnsi="宋体" w:eastAsia="宋体" w:cs="宋体"/>
                <w:bCs/>
                <w:color w:val="auto"/>
                <w:sz w:val="21"/>
                <w:szCs w:val="21"/>
                <w:highlight w:val="none"/>
              </w:rPr>
              <w:t>计算机信息高新技术局域网网络管理员证书</w:t>
            </w:r>
            <w:r>
              <w:rPr>
                <w:rFonts w:hint="eastAsia" w:ascii="宋体" w:eastAsia="宋体" w:cs="宋体"/>
                <w:bCs/>
                <w:color w:val="auto"/>
                <w:sz w:val="21"/>
                <w:szCs w:val="21"/>
                <w:highlight w:val="none"/>
                <w:lang w:eastAsia="zh-CN"/>
              </w:rPr>
              <w:t>，</w:t>
            </w:r>
            <w:r>
              <w:rPr>
                <w:rFonts w:hint="eastAsia" w:ascii="宋体" w:eastAsia="宋体" w:cs="宋体"/>
                <w:bCs/>
                <w:color w:val="auto"/>
                <w:sz w:val="21"/>
                <w:szCs w:val="21"/>
                <w:highlight w:val="none"/>
                <w:lang w:val="en-US" w:eastAsia="zh-CN"/>
              </w:rPr>
              <w:t>得1.5分，本项最高得1.5分；</w:t>
            </w:r>
          </w:p>
          <w:p>
            <w:pPr>
              <w:pStyle w:val="38"/>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eastAsia="宋体" w:cs="宋体"/>
                <w:bCs/>
                <w:color w:val="auto"/>
                <w:sz w:val="21"/>
                <w:szCs w:val="21"/>
                <w:highlight w:val="none"/>
                <w:lang w:val="en-US" w:eastAsia="zh-CN"/>
              </w:rPr>
              <w:t>具有</w:t>
            </w:r>
            <w:r>
              <w:rPr>
                <w:rFonts w:hint="eastAsia" w:ascii="宋体" w:hAnsi="宋体" w:eastAsia="宋体" w:cs="宋体"/>
                <w:bCs/>
                <w:color w:val="auto"/>
                <w:sz w:val="21"/>
                <w:szCs w:val="21"/>
                <w:highlight w:val="none"/>
              </w:rPr>
              <w:t>中级或以上电工证书</w:t>
            </w:r>
            <w:r>
              <w:rPr>
                <w:rFonts w:hint="eastAsia" w:ascii="宋体" w:eastAsia="宋体" w:cs="宋体"/>
                <w:bCs/>
                <w:color w:val="auto"/>
                <w:sz w:val="21"/>
                <w:szCs w:val="21"/>
                <w:highlight w:val="none"/>
                <w:lang w:eastAsia="zh-CN"/>
              </w:rPr>
              <w:t>，</w:t>
            </w:r>
            <w:r>
              <w:rPr>
                <w:rFonts w:hint="eastAsia" w:ascii="宋体" w:eastAsia="宋体" w:cs="宋体"/>
                <w:bCs/>
                <w:color w:val="auto"/>
                <w:sz w:val="21"/>
                <w:szCs w:val="21"/>
                <w:highlight w:val="none"/>
                <w:lang w:val="en-US" w:eastAsia="zh-CN"/>
              </w:rPr>
              <w:t>得1.5分，本项最高得1.5分；</w:t>
            </w:r>
          </w:p>
          <w:p>
            <w:pPr>
              <w:pStyle w:val="38"/>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Cs w:val="21"/>
                <w:highlight w:val="none"/>
                <w:lang w:eastAsia="zh-CN"/>
              </w:rPr>
            </w:pPr>
            <w:r>
              <w:rPr>
                <w:rFonts w:hint="eastAsia" w:ascii="宋体" w:hAnsi="宋体" w:eastAsia="宋体" w:cs="宋体"/>
                <w:bCs/>
                <w:color w:val="auto"/>
                <w:sz w:val="21"/>
                <w:szCs w:val="21"/>
                <w:highlight w:val="none"/>
              </w:rPr>
              <w:t>注：</w:t>
            </w:r>
            <w:r>
              <w:rPr>
                <w:rFonts w:hint="eastAsia" w:ascii="宋体" w:eastAsia="宋体" w:cs="宋体"/>
                <w:bCs/>
                <w:color w:val="auto"/>
                <w:sz w:val="21"/>
                <w:szCs w:val="21"/>
                <w:highlight w:val="none"/>
                <w:lang w:val="en-US" w:eastAsia="zh-CN"/>
              </w:rPr>
              <w:t>须</w:t>
            </w:r>
            <w:r>
              <w:rPr>
                <w:rFonts w:hint="eastAsia" w:ascii="宋体" w:hAnsi="宋体" w:eastAsia="宋体" w:cs="宋体"/>
                <w:bCs/>
                <w:color w:val="auto"/>
                <w:sz w:val="21"/>
                <w:szCs w:val="21"/>
                <w:highlight w:val="none"/>
              </w:rPr>
              <w:t>提供项目经理有效证书复印件（或官方网站截图）</w:t>
            </w:r>
            <w:r>
              <w:rPr>
                <w:rFonts w:hint="eastAsia" w:ascii="宋体" w:eastAsia="宋体" w:cs="宋体"/>
                <w:bCs/>
                <w:color w:val="auto"/>
                <w:sz w:val="21"/>
                <w:szCs w:val="21"/>
                <w:highlight w:val="none"/>
                <w:lang w:val="en-US" w:eastAsia="zh-CN"/>
              </w:rPr>
              <w:t>及投标人为其购买的距开标</w:t>
            </w:r>
            <w:r>
              <w:rPr>
                <w:rFonts w:hint="eastAsia" w:ascii="宋体" w:hAnsi="宋体" w:eastAsia="宋体" w:cs="宋体"/>
                <w:bCs/>
                <w:color w:val="auto"/>
                <w:sz w:val="21"/>
                <w:szCs w:val="21"/>
                <w:highlight w:val="none"/>
              </w:rPr>
              <w:t>前三个月内</w:t>
            </w:r>
            <w:r>
              <w:rPr>
                <w:rFonts w:hint="eastAsia" w:ascii="宋体" w:eastAsia="宋体" w:cs="宋体"/>
                <w:bCs/>
                <w:color w:val="auto"/>
                <w:sz w:val="21"/>
                <w:szCs w:val="21"/>
                <w:highlight w:val="none"/>
                <w:lang w:eastAsia="zh-CN"/>
              </w:rPr>
              <w:t>（</w:t>
            </w:r>
            <w:r>
              <w:rPr>
                <w:rFonts w:hint="eastAsia" w:ascii="宋体" w:eastAsia="宋体" w:cs="宋体"/>
                <w:bCs/>
                <w:color w:val="auto"/>
                <w:sz w:val="21"/>
                <w:szCs w:val="21"/>
                <w:highlight w:val="none"/>
                <w:lang w:val="en-US" w:eastAsia="zh-CN"/>
              </w:rPr>
              <w:t>不含开标档案</w:t>
            </w:r>
            <w:r>
              <w:rPr>
                <w:rFonts w:hint="eastAsia" w:asci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任一个月的社保证明材料</w:t>
            </w:r>
            <w:r>
              <w:rPr>
                <w:rFonts w:hint="eastAsia" w:ascii="宋体" w:eastAsia="宋体" w:cs="宋体"/>
                <w:bCs/>
                <w:color w:val="auto"/>
                <w:sz w:val="21"/>
                <w:szCs w:val="21"/>
                <w:highlight w:val="none"/>
                <w:lang w:val="en-US" w:eastAsia="zh-CN"/>
              </w:rPr>
              <w:t>复印件</w:t>
            </w:r>
            <w:r>
              <w:rPr>
                <w:rFonts w:hint="eastAsia" w:ascii="宋体" w:hAnsi="宋体" w:eastAsia="宋体" w:cs="宋体"/>
                <w:bCs/>
                <w:color w:val="auto"/>
                <w:sz w:val="21"/>
                <w:szCs w:val="21"/>
                <w:highlight w:val="none"/>
              </w:rPr>
              <w:t>，并加盖投标人公章，否则不得分</w:t>
            </w:r>
            <w:r>
              <w:rPr>
                <w:rFonts w:hint="eastAsia" w:ascii="宋体" w:eastAsia="宋体" w:cs="宋体"/>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607" w:type="dxa"/>
            <w:tcBorders>
              <w:top w:val="single" w:color="auto" w:sz="4" w:space="0"/>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项目经验</w:t>
            </w:r>
          </w:p>
        </w:tc>
        <w:tc>
          <w:tcPr>
            <w:tcW w:w="762"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5463"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投标人具有计算机类</w:t>
            </w:r>
            <w:r>
              <w:rPr>
                <w:rFonts w:hint="eastAsia" w:ascii="宋体" w:hAnsi="宋体" w:eastAsia="宋体" w:cs="宋体"/>
                <w:bCs/>
                <w:color w:val="auto"/>
                <w:sz w:val="21"/>
                <w:szCs w:val="21"/>
                <w:highlight w:val="none"/>
                <w:lang w:val="en-US" w:eastAsia="zh-CN"/>
              </w:rPr>
              <w:t>项目业绩的</w:t>
            </w:r>
            <w:r>
              <w:rPr>
                <w:rFonts w:hint="eastAsia" w:ascii="宋体" w:hAnsi="宋体" w:eastAsia="宋体" w:cs="宋体"/>
                <w:bCs/>
                <w:color w:val="auto"/>
                <w:sz w:val="21"/>
                <w:szCs w:val="21"/>
                <w:highlight w:val="none"/>
                <w:lang w:val="zh-CN"/>
              </w:rPr>
              <w:t>，每提供一个合同业绩得</w:t>
            </w: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zh-CN"/>
              </w:rPr>
              <w:t>分，本项最高得</w:t>
            </w:r>
            <w:r>
              <w:rPr>
                <w:rFonts w:hint="eastAsia" w:ascii="宋体" w:hAnsi="宋体" w:eastAsia="宋体" w:cs="宋体"/>
                <w:bCs/>
                <w:color w:val="auto"/>
                <w:sz w:val="21"/>
                <w:szCs w:val="21"/>
                <w:highlight w:val="none"/>
              </w:rPr>
              <w:t>6</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注：须提供合同关键页（关键页包括合同名称、合同时间、签字盖章页）复印件加盖投标人公章，</w:t>
            </w:r>
            <w:r>
              <w:rPr>
                <w:rFonts w:hint="eastAsia" w:ascii="宋体" w:hAnsi="宋体" w:eastAsia="宋体" w:cs="宋体"/>
                <w:bCs/>
                <w:color w:val="auto"/>
                <w:sz w:val="21"/>
                <w:szCs w:val="21"/>
                <w:highlight w:val="none"/>
              </w:rPr>
              <w:t>否则不得分</w:t>
            </w:r>
            <w:r>
              <w:rPr>
                <w:rFonts w:hint="eastAsia" w:ascii="宋体" w:hAnsi="宋体" w:eastAsia="宋体" w:cs="宋体"/>
                <w:bCs/>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技术评审（55分）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7"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技术响应情况</w:t>
            </w:r>
          </w:p>
        </w:tc>
        <w:tc>
          <w:tcPr>
            <w:tcW w:w="762"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6</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对用户需求书中带“▲”技术要求条款的技术指标进行响应，若全部响应为满足或优于的得</w:t>
            </w: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分，不满足或者不响应的每一个扣</w:t>
            </w: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val="zh-CN"/>
              </w:rPr>
              <w:t>分，扣完为止，本项最低得0分。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①对用户需求中的带“▲”技术指标条款，用户需求书要求提供证明资料的，则投标文件中须提供对应产品参数的证明资料并加盖投标人公章；</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②对用户需求书中带“▲”技术指标条款，用户需求书未要求提供证明资料的，则投标文件中须提供所投产品彩页原件或原厂商的官方技术白皮书或原厂商所作的技术参数说明等详细技术资料并加盖投标人公章。</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（投标人必须按所投产品实际参数进行响应，否则视为提供虚假材料谋取中标资格。）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07"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项目的理解</w:t>
            </w:r>
          </w:p>
        </w:tc>
        <w:tc>
          <w:tcPr>
            <w:tcW w:w="762"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投标人对本项目的熟悉程度、理解及项目重点和难点的分析，以及根据项目重点和难点所采取的措施等进行综合评审：</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对本项目的熟悉程度深入，重点和难点分析清晰具体且对应措施完善详细具体、有针对性、操作性强，得5分；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对本项目的熟悉程度一般，重点和难点分析完整、对应措施可行性较高，得3分；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对本项目的熟悉程度肤浅，重点和难点分析基本合理、对应措施可行性不高，得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607"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项目供货方案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6</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根据项目方案进行综合评分，包括但不限于供货方案、技术工艺、质量标准、进度安排等情况</w:t>
            </w:r>
            <w:r>
              <w:rPr>
                <w:rFonts w:hint="eastAsia" w:ascii="宋体" w:hAnsi="宋体" w:eastAsia="宋体" w:cs="宋体"/>
                <w:color w:val="auto"/>
                <w:sz w:val="21"/>
                <w:szCs w:val="21"/>
                <w:highlight w:val="none"/>
              </w:rPr>
              <w:t>进行综合评审：</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供货方案科学完整，有合理的进度安排，可行性强，得</w:t>
            </w:r>
            <w:r>
              <w:rPr>
                <w:rFonts w:hint="eastAsia" w:ascii="宋体" w:hAnsi="宋体" w:eastAsia="宋体" w:cs="宋体"/>
                <w:bCs/>
                <w:color w:val="auto"/>
                <w:sz w:val="21"/>
                <w:szCs w:val="21"/>
                <w:highlight w:val="none"/>
              </w:rPr>
              <w:t>6</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供货方案完整，有基本的进度安排，可行性较好，得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供货方案基本完整，进度安排不太合理，可行性一般，得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607"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设备配置情况</w:t>
            </w:r>
          </w:p>
        </w:tc>
        <w:tc>
          <w:tcPr>
            <w:tcW w:w="762"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6</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val="zh-CN"/>
              </w:rPr>
              <w:t>投标人拟投</w:t>
            </w:r>
            <w:r>
              <w:rPr>
                <w:rFonts w:hint="eastAsia" w:ascii="宋体" w:hAnsi="宋体" w:eastAsia="宋体" w:cs="宋体"/>
                <w:bCs/>
                <w:color w:val="auto"/>
                <w:sz w:val="21"/>
                <w:szCs w:val="21"/>
                <w:highlight w:val="none"/>
              </w:rPr>
              <w:t>入</w:t>
            </w:r>
            <w:r>
              <w:rPr>
                <w:rFonts w:hint="eastAsia" w:ascii="宋体" w:hAnsi="宋体" w:eastAsia="宋体" w:cs="宋体"/>
                <w:bCs/>
                <w:color w:val="auto"/>
                <w:sz w:val="21"/>
                <w:szCs w:val="21"/>
                <w:highlight w:val="none"/>
                <w:lang w:val="zh-CN"/>
              </w:rPr>
              <w:t>设备</w:t>
            </w:r>
            <w:r>
              <w:rPr>
                <w:rFonts w:hint="eastAsia" w:ascii="宋体" w:hAnsi="宋体" w:eastAsia="宋体" w:cs="宋体"/>
                <w:bCs/>
                <w:color w:val="auto"/>
                <w:sz w:val="21"/>
                <w:szCs w:val="21"/>
                <w:highlight w:val="none"/>
              </w:rPr>
              <w:t>配置的</w:t>
            </w:r>
            <w:r>
              <w:rPr>
                <w:rFonts w:hint="eastAsia" w:ascii="宋体" w:hAnsi="宋体" w:eastAsia="宋体" w:cs="宋体"/>
                <w:bCs/>
                <w:color w:val="auto"/>
                <w:sz w:val="21"/>
                <w:szCs w:val="21"/>
                <w:highlight w:val="none"/>
                <w:lang w:val="zh-CN"/>
              </w:rPr>
              <w:t>先进性、安全性、稳定性</w:t>
            </w:r>
            <w:r>
              <w:rPr>
                <w:rFonts w:hint="eastAsia" w:ascii="宋体" w:hAnsi="宋体" w:eastAsia="宋体" w:cs="宋体"/>
                <w:bCs/>
                <w:color w:val="auto"/>
                <w:sz w:val="21"/>
                <w:szCs w:val="21"/>
                <w:highlight w:val="none"/>
              </w:rPr>
              <w:t>进行综合评审：</w:t>
            </w:r>
            <w:r>
              <w:rPr>
                <w:rFonts w:hint="eastAsia" w:ascii="宋体" w:hAnsi="宋体" w:eastAsia="宋体" w:cs="宋体"/>
                <w:bCs/>
                <w:color w:val="auto"/>
                <w:sz w:val="21"/>
                <w:szCs w:val="21"/>
                <w:highlight w:val="none"/>
                <w:lang w:val="zh-CN"/>
              </w:rPr>
              <w:br w:type="textWrapping"/>
            </w:r>
            <w:r>
              <w:rPr>
                <w:rFonts w:hint="eastAsia" w:ascii="宋体" w:hAnsi="宋体" w:eastAsia="宋体" w:cs="宋体"/>
                <w:bCs/>
                <w:color w:val="auto"/>
                <w:sz w:val="21"/>
                <w:szCs w:val="21"/>
                <w:highlight w:val="none"/>
              </w:rPr>
              <w:t xml:space="preserve">    </w:t>
            </w:r>
            <w:r>
              <w:rPr>
                <w:rFonts w:hint="eastAsia" w:ascii="宋体" w:hAnsi="宋体" w:eastAsia="宋体" w:cs="宋体"/>
                <w:bCs/>
                <w:color w:val="auto"/>
                <w:sz w:val="21"/>
                <w:szCs w:val="21"/>
                <w:highlight w:val="none"/>
                <w:lang w:val="zh-CN"/>
              </w:rPr>
              <w:t>拟投</w:t>
            </w:r>
            <w:r>
              <w:rPr>
                <w:rFonts w:hint="eastAsia" w:ascii="宋体" w:hAnsi="宋体" w:eastAsia="宋体" w:cs="宋体"/>
                <w:bCs/>
                <w:color w:val="auto"/>
                <w:sz w:val="21"/>
                <w:szCs w:val="21"/>
                <w:highlight w:val="none"/>
              </w:rPr>
              <w:t>入</w:t>
            </w:r>
            <w:r>
              <w:rPr>
                <w:rFonts w:hint="eastAsia" w:ascii="宋体" w:hAnsi="宋体" w:eastAsia="宋体" w:cs="宋体"/>
                <w:bCs/>
                <w:color w:val="auto"/>
                <w:sz w:val="21"/>
                <w:szCs w:val="21"/>
                <w:highlight w:val="none"/>
                <w:lang w:val="zh-CN"/>
              </w:rPr>
              <w:t>设备</w:t>
            </w:r>
            <w:r>
              <w:rPr>
                <w:rFonts w:hint="eastAsia" w:ascii="宋体" w:hAnsi="宋体" w:eastAsia="宋体" w:cs="宋体"/>
                <w:bCs/>
                <w:color w:val="auto"/>
                <w:sz w:val="21"/>
                <w:szCs w:val="21"/>
                <w:highlight w:val="none"/>
              </w:rPr>
              <w:t>配置非常</w:t>
            </w:r>
            <w:r>
              <w:rPr>
                <w:rFonts w:hint="eastAsia" w:ascii="宋体" w:hAnsi="宋体" w:eastAsia="宋体" w:cs="宋体"/>
                <w:bCs/>
                <w:color w:val="auto"/>
                <w:sz w:val="21"/>
                <w:szCs w:val="21"/>
                <w:highlight w:val="none"/>
                <w:lang w:val="zh-CN"/>
              </w:rPr>
              <w:t>先进、</w:t>
            </w:r>
            <w:r>
              <w:rPr>
                <w:rFonts w:hint="eastAsia" w:ascii="宋体" w:hAnsi="宋体" w:eastAsia="宋体" w:cs="宋体"/>
                <w:bCs/>
                <w:color w:val="auto"/>
                <w:sz w:val="21"/>
                <w:szCs w:val="21"/>
                <w:highlight w:val="none"/>
              </w:rPr>
              <w:t>非常</w:t>
            </w:r>
            <w:r>
              <w:rPr>
                <w:rFonts w:hint="eastAsia" w:ascii="宋体" w:hAnsi="宋体" w:eastAsia="宋体" w:cs="宋体"/>
                <w:bCs/>
                <w:color w:val="auto"/>
                <w:sz w:val="21"/>
                <w:szCs w:val="21"/>
                <w:highlight w:val="none"/>
                <w:lang w:val="zh-CN"/>
              </w:rPr>
              <w:t>安全</w:t>
            </w:r>
            <w:r>
              <w:rPr>
                <w:rFonts w:hint="eastAsia" w:ascii="宋体" w:hAnsi="宋体" w:eastAsia="宋体" w:cs="宋体"/>
                <w:bCs/>
                <w:color w:val="auto"/>
                <w:sz w:val="21"/>
                <w:szCs w:val="21"/>
                <w:highlight w:val="none"/>
              </w:rPr>
              <w:t>、非常</w:t>
            </w:r>
            <w:r>
              <w:rPr>
                <w:rFonts w:hint="eastAsia" w:ascii="宋体" w:hAnsi="宋体" w:eastAsia="宋体" w:cs="宋体"/>
                <w:bCs/>
                <w:color w:val="auto"/>
                <w:sz w:val="21"/>
                <w:szCs w:val="21"/>
                <w:highlight w:val="none"/>
                <w:lang w:val="zh-CN"/>
              </w:rPr>
              <w:t>稳定</w:t>
            </w:r>
            <w:r>
              <w:rPr>
                <w:rFonts w:hint="eastAsia" w:ascii="宋体" w:hAnsi="宋体" w:eastAsia="宋体" w:cs="宋体"/>
                <w:bCs/>
                <w:color w:val="auto"/>
                <w:sz w:val="21"/>
                <w:szCs w:val="21"/>
                <w:highlight w:val="none"/>
              </w:rPr>
              <w:t>的，得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zh-CN"/>
              </w:rPr>
              <w:t>拟投</w:t>
            </w:r>
            <w:r>
              <w:rPr>
                <w:rFonts w:hint="eastAsia" w:ascii="宋体" w:hAnsi="宋体" w:eastAsia="宋体" w:cs="宋体"/>
                <w:bCs/>
                <w:color w:val="auto"/>
                <w:sz w:val="21"/>
                <w:szCs w:val="21"/>
                <w:highlight w:val="none"/>
              </w:rPr>
              <w:t>入</w:t>
            </w:r>
            <w:r>
              <w:rPr>
                <w:rFonts w:hint="eastAsia" w:ascii="宋体" w:hAnsi="宋体" w:eastAsia="宋体" w:cs="宋体"/>
                <w:bCs/>
                <w:color w:val="auto"/>
                <w:sz w:val="21"/>
                <w:szCs w:val="21"/>
                <w:highlight w:val="none"/>
                <w:lang w:val="zh-CN"/>
              </w:rPr>
              <w:t>设备</w:t>
            </w:r>
            <w:r>
              <w:rPr>
                <w:rFonts w:hint="eastAsia" w:ascii="宋体" w:hAnsi="宋体" w:eastAsia="宋体" w:cs="宋体"/>
                <w:bCs/>
                <w:color w:val="auto"/>
                <w:sz w:val="21"/>
                <w:szCs w:val="21"/>
                <w:highlight w:val="none"/>
              </w:rPr>
              <w:t>配置较</w:t>
            </w:r>
            <w:r>
              <w:rPr>
                <w:rFonts w:hint="eastAsia" w:ascii="宋体" w:hAnsi="宋体" w:eastAsia="宋体" w:cs="宋体"/>
                <w:bCs/>
                <w:color w:val="auto"/>
                <w:sz w:val="21"/>
                <w:szCs w:val="21"/>
                <w:highlight w:val="none"/>
                <w:lang w:val="zh-CN"/>
              </w:rPr>
              <w:t>先进、</w:t>
            </w:r>
            <w:r>
              <w:rPr>
                <w:rFonts w:hint="eastAsia" w:ascii="宋体" w:hAnsi="宋体" w:eastAsia="宋体" w:cs="宋体"/>
                <w:bCs/>
                <w:color w:val="auto"/>
                <w:sz w:val="21"/>
                <w:szCs w:val="21"/>
                <w:highlight w:val="none"/>
              </w:rPr>
              <w:t>较</w:t>
            </w:r>
            <w:r>
              <w:rPr>
                <w:rFonts w:hint="eastAsia" w:ascii="宋体" w:hAnsi="宋体" w:eastAsia="宋体" w:cs="宋体"/>
                <w:bCs/>
                <w:color w:val="auto"/>
                <w:sz w:val="21"/>
                <w:szCs w:val="21"/>
                <w:highlight w:val="none"/>
                <w:lang w:val="zh-CN"/>
              </w:rPr>
              <w:t>安全、</w:t>
            </w:r>
            <w:r>
              <w:rPr>
                <w:rFonts w:hint="eastAsia" w:ascii="宋体" w:hAnsi="宋体" w:eastAsia="宋体" w:cs="宋体"/>
                <w:bCs/>
                <w:color w:val="auto"/>
                <w:sz w:val="21"/>
                <w:szCs w:val="21"/>
                <w:highlight w:val="none"/>
              </w:rPr>
              <w:t>较</w:t>
            </w:r>
            <w:r>
              <w:rPr>
                <w:rFonts w:hint="eastAsia" w:ascii="宋体" w:hAnsi="宋体" w:eastAsia="宋体" w:cs="宋体"/>
                <w:bCs/>
                <w:color w:val="auto"/>
                <w:sz w:val="21"/>
                <w:szCs w:val="21"/>
                <w:highlight w:val="none"/>
                <w:lang w:val="zh-CN"/>
              </w:rPr>
              <w:t>稳定</w:t>
            </w:r>
            <w:r>
              <w:rPr>
                <w:rFonts w:hint="eastAsia" w:ascii="宋体" w:hAnsi="宋体" w:eastAsia="宋体" w:cs="宋体"/>
                <w:bCs/>
                <w:color w:val="auto"/>
                <w:sz w:val="21"/>
                <w:szCs w:val="21"/>
                <w:highlight w:val="none"/>
              </w:rPr>
              <w:t>的，得3分；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zh-CN"/>
              </w:rPr>
              <w:t>拟投</w:t>
            </w:r>
            <w:r>
              <w:rPr>
                <w:rFonts w:hint="eastAsia" w:ascii="宋体" w:hAnsi="宋体" w:eastAsia="宋体" w:cs="宋体"/>
                <w:bCs/>
                <w:color w:val="auto"/>
                <w:sz w:val="21"/>
                <w:szCs w:val="21"/>
                <w:highlight w:val="none"/>
              </w:rPr>
              <w:t>入</w:t>
            </w:r>
            <w:r>
              <w:rPr>
                <w:rFonts w:hint="eastAsia" w:ascii="宋体" w:hAnsi="宋体" w:eastAsia="宋体" w:cs="宋体"/>
                <w:bCs/>
                <w:color w:val="auto"/>
                <w:sz w:val="21"/>
                <w:szCs w:val="21"/>
                <w:highlight w:val="none"/>
                <w:lang w:val="zh-CN"/>
              </w:rPr>
              <w:t>设备</w:t>
            </w:r>
            <w:r>
              <w:rPr>
                <w:rFonts w:hint="eastAsia" w:ascii="宋体" w:hAnsi="宋体" w:eastAsia="宋体" w:cs="宋体"/>
                <w:bCs/>
                <w:color w:val="auto"/>
                <w:sz w:val="21"/>
                <w:szCs w:val="21"/>
                <w:highlight w:val="none"/>
              </w:rPr>
              <w:t>配置</w:t>
            </w:r>
            <w:r>
              <w:rPr>
                <w:rFonts w:hint="eastAsia" w:ascii="宋体" w:hAnsi="宋体" w:eastAsia="宋体" w:cs="宋体"/>
                <w:bCs/>
                <w:color w:val="auto"/>
                <w:sz w:val="21"/>
                <w:szCs w:val="21"/>
                <w:highlight w:val="none"/>
                <w:lang w:val="zh-CN"/>
              </w:rPr>
              <w:t>先进</w:t>
            </w:r>
            <w:r>
              <w:rPr>
                <w:rFonts w:hint="eastAsia" w:ascii="宋体" w:hAnsi="宋体" w:eastAsia="宋体" w:cs="宋体"/>
                <w:bCs/>
                <w:color w:val="auto"/>
                <w:sz w:val="21"/>
                <w:szCs w:val="21"/>
                <w:highlight w:val="none"/>
              </w:rPr>
              <w:t>性一般</w:t>
            </w:r>
            <w:r>
              <w:rPr>
                <w:rFonts w:hint="eastAsia" w:ascii="宋体" w:hAnsi="宋体" w:eastAsia="宋体" w:cs="宋体"/>
                <w:bCs/>
                <w:color w:val="auto"/>
                <w:sz w:val="21"/>
                <w:szCs w:val="21"/>
                <w:highlight w:val="none"/>
                <w:lang w:val="zh-CN"/>
              </w:rPr>
              <w:t>、安全</w:t>
            </w:r>
            <w:r>
              <w:rPr>
                <w:rFonts w:hint="eastAsia" w:ascii="宋体" w:hAnsi="宋体" w:eastAsia="宋体" w:cs="宋体"/>
                <w:bCs/>
                <w:color w:val="auto"/>
                <w:sz w:val="21"/>
                <w:szCs w:val="21"/>
                <w:highlight w:val="none"/>
              </w:rPr>
              <w:t>性一般</w:t>
            </w:r>
            <w:r>
              <w:rPr>
                <w:rFonts w:hint="eastAsia" w:ascii="宋体" w:hAnsi="宋体" w:eastAsia="宋体" w:cs="宋体"/>
                <w:bCs/>
                <w:color w:val="auto"/>
                <w:sz w:val="21"/>
                <w:szCs w:val="21"/>
                <w:highlight w:val="none"/>
                <w:lang w:val="zh-CN"/>
              </w:rPr>
              <w:t>、稳定</w:t>
            </w:r>
            <w:r>
              <w:rPr>
                <w:rFonts w:hint="eastAsia" w:ascii="宋体" w:hAnsi="宋体" w:eastAsia="宋体" w:cs="宋体"/>
                <w:bCs/>
                <w:color w:val="auto"/>
                <w:sz w:val="21"/>
                <w:szCs w:val="21"/>
                <w:highlight w:val="none"/>
              </w:rPr>
              <w:t>性一般的，得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未提供</w:t>
            </w:r>
            <w:r>
              <w:rPr>
                <w:rFonts w:hint="eastAsia" w:ascii="宋体" w:hAnsi="宋体" w:eastAsia="宋体" w:cs="宋体"/>
                <w:color w:val="auto"/>
                <w:sz w:val="21"/>
                <w:szCs w:val="21"/>
                <w:highlight w:val="none"/>
              </w:rPr>
              <w:t>设备配置情况</w:t>
            </w:r>
            <w:r>
              <w:rPr>
                <w:rFonts w:hint="eastAsia" w:ascii="宋体" w:hAnsi="宋体" w:eastAsia="宋体" w:cs="宋体"/>
                <w:bCs/>
                <w:color w:val="auto"/>
                <w:sz w:val="21"/>
                <w:szCs w:val="21"/>
                <w:highlight w: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607"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6</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rPr>
              <w:t>投标人</w:t>
            </w:r>
            <w:r>
              <w:rPr>
                <w:rFonts w:hint="eastAsia" w:ascii="宋体" w:hAnsi="宋体" w:eastAsia="宋体" w:cs="宋体"/>
                <w:bCs/>
                <w:color w:val="auto"/>
                <w:sz w:val="21"/>
                <w:szCs w:val="21"/>
                <w:highlight w:val="none"/>
                <w:lang w:val="zh-CN"/>
              </w:rPr>
              <w:t>响应项目安排的售后服务响应、应急服务响应、故障响应、质量保证体系及措施、服务承诺等进行</w:t>
            </w:r>
            <w:r>
              <w:rPr>
                <w:rFonts w:hint="eastAsia" w:ascii="宋体" w:hAnsi="宋体" w:eastAsia="宋体" w:cs="宋体"/>
                <w:color w:val="auto"/>
                <w:sz w:val="21"/>
                <w:szCs w:val="21"/>
                <w:highlight w:val="none"/>
              </w:rPr>
              <w:t>综合评审：</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售后服务方案完整科学、可行性非常强，优于或完全满足项目用户需求的，得</w:t>
            </w:r>
            <w:r>
              <w:rPr>
                <w:rFonts w:hint="eastAsia" w:ascii="宋体" w:hAnsi="宋体" w:eastAsia="宋体" w:cs="宋体"/>
                <w:bCs/>
                <w:color w:val="auto"/>
                <w:sz w:val="21"/>
                <w:szCs w:val="21"/>
                <w:highlight w:val="none"/>
              </w:rPr>
              <w:t>6</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售后服务方案完整、可行性较强，满足项目用户需求的，得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售后服务方案基本完整、具有一定可行性，基本符合项目用户需求的，得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607"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质量保障措施及应急方案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根据投标人提供质量保障措施方案及应急方案（包括但不限于质量目标、项目质量的控制和应急方案措施）</w:t>
            </w:r>
            <w:r>
              <w:rPr>
                <w:rFonts w:hint="eastAsia" w:ascii="宋体" w:hAnsi="宋体" w:eastAsia="宋体" w:cs="宋体"/>
                <w:color w:val="auto"/>
                <w:sz w:val="21"/>
                <w:szCs w:val="21"/>
                <w:highlight w:val="none"/>
              </w:rPr>
              <w:t>进行综合评审：</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质量目标非常明确、项目质量的控制非常详细、检验手段非常科学，应急方案非常具体可行，得6分；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质量目标比较明确、项目质量的控制较为详细、检验手段比较科学，应急方案比较具体可行，得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质量目标基本明确、项目质量的控制一般、检验手段一般，安全、应急方案一般，得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（1）无特殊说明外，以上评审项，同一证明文件不重复计分。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（2）投标人根据以上评分要求提供的投标材料因模糊不清导致评标委员会无法清晰辨认进行评审的，视为无效材料。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价格评审（30分）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投标报价得分=(评标基准价／投标报价)×价格权值</w:t>
            </w:r>
          </w:p>
        </w:tc>
      </w:tr>
    </w:tbl>
    <w:p>
      <w:pPr>
        <w:bidi w:val="0"/>
        <w:rPr>
          <w:rFonts w:hint="eastAsia"/>
          <w:color w:val="auto"/>
          <w:highlight w:val="none"/>
        </w:rPr>
      </w:pPr>
    </w:p>
    <w:p>
      <w:pPr>
        <w:pStyle w:val="9"/>
        <w:rPr>
          <w:rFonts w:hint="eastAsia"/>
          <w:color w:val="auto"/>
          <w:highlight w:val="none"/>
        </w:rPr>
      </w:pPr>
    </w:p>
    <w:p>
      <w:pPr>
        <w:pStyle w:val="10"/>
        <w:rPr>
          <w:rFonts w:hint="eastAsia"/>
          <w:color w:val="auto"/>
          <w:highlight w:val="none"/>
        </w:rPr>
      </w:pPr>
    </w:p>
    <w:p>
      <w:pPr>
        <w:pStyle w:val="10"/>
        <w:rPr>
          <w:rFonts w:hint="eastAsia"/>
          <w:color w:val="auto"/>
          <w:highlight w:val="none"/>
        </w:rPr>
      </w:pPr>
    </w:p>
    <w:p>
      <w:pPr>
        <w:pStyle w:val="10"/>
        <w:rPr>
          <w:rFonts w:hint="eastAsia"/>
          <w:color w:val="auto"/>
          <w:highlight w:val="none"/>
        </w:rPr>
      </w:pPr>
    </w:p>
    <w:p>
      <w:pPr>
        <w:pStyle w:val="10"/>
        <w:rPr>
          <w:rFonts w:hint="eastAsia"/>
          <w:color w:val="auto"/>
          <w:highlight w:val="none"/>
        </w:rPr>
      </w:pPr>
    </w:p>
    <w:p>
      <w:pPr>
        <w:pStyle w:val="10"/>
        <w:rPr>
          <w:rFonts w:hint="eastAsia"/>
          <w:color w:val="auto"/>
          <w:highlight w:val="none"/>
        </w:rPr>
      </w:pPr>
    </w:p>
    <w:p>
      <w:pPr>
        <w:pStyle w:val="10"/>
        <w:rPr>
          <w:rFonts w:hint="eastAsia"/>
          <w:color w:val="auto"/>
          <w:highlight w:val="none"/>
        </w:rPr>
      </w:pPr>
    </w:p>
    <w:p>
      <w:pPr>
        <w:pStyle w:val="10"/>
        <w:rPr>
          <w:rFonts w:hint="eastAsia"/>
          <w:color w:val="auto"/>
          <w:highlight w:val="none"/>
        </w:rPr>
      </w:pPr>
    </w:p>
    <w:p>
      <w:pPr>
        <w:pStyle w:val="10"/>
        <w:rPr>
          <w:rFonts w:hint="eastAsia"/>
          <w:color w:val="auto"/>
          <w:highlight w:val="none"/>
        </w:rPr>
      </w:pPr>
    </w:p>
    <w:p>
      <w:pPr>
        <w:pStyle w:val="10"/>
        <w:rPr>
          <w:rFonts w:hint="eastAsia"/>
          <w:color w:val="auto"/>
          <w:highlight w:val="none"/>
        </w:rPr>
      </w:pPr>
    </w:p>
    <w:p>
      <w:pPr>
        <w:pStyle w:val="10"/>
        <w:rPr>
          <w:rFonts w:hint="eastAsia"/>
          <w:color w:val="auto"/>
          <w:highlight w:val="none"/>
        </w:rPr>
      </w:pPr>
    </w:p>
    <w:p>
      <w:pPr>
        <w:pStyle w:val="10"/>
        <w:rPr>
          <w:rFonts w:hint="eastAsia"/>
          <w:color w:val="auto"/>
          <w:highlight w:val="none"/>
        </w:rPr>
      </w:pPr>
    </w:p>
    <w:p>
      <w:pPr>
        <w:pStyle w:val="10"/>
        <w:rPr>
          <w:rFonts w:hint="eastAsia"/>
          <w:color w:val="auto"/>
          <w:highlight w:val="none"/>
        </w:rPr>
      </w:pPr>
    </w:p>
    <w:p>
      <w:pPr>
        <w:pStyle w:val="10"/>
        <w:rPr>
          <w:rFonts w:hint="eastAsia"/>
          <w:color w:val="auto"/>
          <w:highlight w:val="none"/>
        </w:rPr>
      </w:pPr>
    </w:p>
    <w:p>
      <w:pPr>
        <w:pStyle w:val="10"/>
        <w:rPr>
          <w:rFonts w:hint="eastAsia"/>
          <w:color w:val="auto"/>
          <w:highlight w:val="none"/>
        </w:rPr>
      </w:pPr>
    </w:p>
    <w:p>
      <w:pPr>
        <w:pStyle w:val="10"/>
        <w:rPr>
          <w:rFonts w:hint="eastAsia"/>
          <w:color w:val="auto"/>
          <w:highlight w:val="none"/>
        </w:rPr>
      </w:pPr>
    </w:p>
    <w:p>
      <w:pPr>
        <w:pStyle w:val="10"/>
        <w:rPr>
          <w:rFonts w:hint="eastAsia"/>
          <w:color w:val="auto"/>
          <w:highlight w:val="none"/>
        </w:rPr>
      </w:pPr>
    </w:p>
    <w:p>
      <w:pPr>
        <w:pStyle w:val="10"/>
        <w:rPr>
          <w:rFonts w:hint="eastAsia"/>
          <w:color w:val="auto"/>
          <w:highlight w:val="none"/>
        </w:rPr>
      </w:pPr>
    </w:p>
    <w:p>
      <w:pPr>
        <w:pStyle w:val="10"/>
        <w:rPr>
          <w:rFonts w:hint="eastAsia"/>
          <w:color w:val="auto"/>
          <w:highlight w:val="none"/>
        </w:rPr>
      </w:pPr>
    </w:p>
    <w:p>
      <w:pPr>
        <w:pStyle w:val="4"/>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pPr>
        <w:pStyle w:val="5"/>
        <w:spacing w:line="480" w:lineRule="auto"/>
        <w:jc w:val="center"/>
        <w:rPr>
          <w:rFonts w:ascii="宋体" w:hAnsi="宋体"/>
          <w:color w:val="auto"/>
          <w:highlight w:val="none"/>
        </w:rPr>
      </w:pPr>
      <w:bookmarkStart w:id="21" w:name="_Toc11105"/>
      <w:bookmarkStart w:id="22" w:name="_Toc3095"/>
      <w:bookmarkStart w:id="23" w:name="_Toc19746"/>
      <w:r>
        <w:rPr>
          <w:rFonts w:hint="eastAsia" w:ascii="宋体" w:hAnsi="宋体"/>
          <w:color w:val="auto"/>
          <w:highlight w:val="none"/>
        </w:rPr>
        <w:t>第一章说明</w:t>
      </w:r>
      <w:bookmarkEnd w:id="21"/>
      <w:bookmarkEnd w:id="22"/>
      <w:bookmarkEnd w:id="23"/>
    </w:p>
    <w:p>
      <w:pPr>
        <w:pStyle w:val="6"/>
        <w:widowControl w:val="0"/>
        <w:overflowPunct w:val="0"/>
        <w:spacing w:line="240" w:lineRule="auto"/>
        <w:rPr>
          <w:rFonts w:ascii="宋体" w:hAnsi="宋体"/>
          <w:color w:val="auto"/>
          <w:sz w:val="21"/>
          <w:szCs w:val="21"/>
          <w:highlight w:val="none"/>
        </w:rPr>
      </w:pPr>
      <w:bookmarkStart w:id="24" w:name="_Toc22803"/>
      <w:bookmarkStart w:id="25" w:name="_Toc22847"/>
      <w:bookmarkStart w:id="26" w:name="_Toc18488"/>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27" w:name="_Toc16848"/>
      <w:bookmarkStart w:id="28" w:name="_Toc21002"/>
      <w:bookmarkStart w:id="29" w:name="_Toc13400"/>
      <w:r>
        <w:rPr>
          <w:rFonts w:hint="eastAsia" w:ascii="宋体" w:hAnsi="宋体"/>
          <w:color w:val="auto"/>
          <w:sz w:val="21"/>
          <w:szCs w:val="21"/>
          <w:highlight w:val="none"/>
        </w:rPr>
        <w:t>2.</w:t>
      </w:r>
      <w:bookmarkStart w:id="30" w:name="_Toc1530"/>
      <w:bookmarkStart w:id="31" w:name="_Toc382049092"/>
      <w:bookmarkStart w:id="32" w:name="_Toc298847174"/>
      <w:bookmarkStart w:id="33" w:name="_Toc303084246"/>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5"/>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4" w:name="_Toc9710"/>
      <w:bookmarkStart w:id="35" w:name="_Toc3780"/>
      <w:bookmarkStart w:id="36" w:name="_Toc2996"/>
      <w:r>
        <w:rPr>
          <w:rFonts w:hint="eastAsia" w:ascii="宋体" w:hAnsi="宋体"/>
          <w:color w:val="auto"/>
          <w:sz w:val="21"/>
          <w:szCs w:val="21"/>
          <w:highlight w:val="none"/>
        </w:rPr>
        <w:t>3.货物和服务</w:t>
      </w:r>
      <w:bookmarkEnd w:id="34"/>
      <w:bookmarkEnd w:id="35"/>
      <w:bookmarkEnd w:id="36"/>
    </w:p>
    <w:p>
      <w:pPr>
        <w:pStyle w:val="35"/>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7" w:name="_Toc15945"/>
      <w:bookmarkStart w:id="38" w:name="_Toc13909"/>
      <w:bookmarkStart w:id="39" w:name="_Toc12536"/>
      <w:r>
        <w:rPr>
          <w:rFonts w:hint="eastAsia" w:ascii="宋体" w:hAnsi="宋体"/>
          <w:color w:val="auto"/>
          <w:sz w:val="21"/>
          <w:szCs w:val="21"/>
          <w:highlight w:val="none"/>
        </w:rPr>
        <w:t>4.投标费用</w:t>
      </w:r>
      <w:bookmarkEnd w:id="37"/>
      <w:bookmarkEnd w:id="38"/>
      <w:bookmarkEnd w:id="39"/>
    </w:p>
    <w:p>
      <w:pPr>
        <w:pStyle w:val="35"/>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0" w:name="_Toc25040"/>
      <w:bookmarkStart w:id="41" w:name="_Toc19094"/>
      <w:bookmarkStart w:id="42" w:name="_Toc19532"/>
      <w:r>
        <w:rPr>
          <w:rFonts w:hint="eastAsia" w:ascii="宋体" w:hAnsi="宋体"/>
          <w:color w:val="auto"/>
          <w:sz w:val="21"/>
          <w:szCs w:val="21"/>
          <w:highlight w:val="none"/>
        </w:rPr>
        <w:t>5.知识产权</w:t>
      </w:r>
      <w:bookmarkEnd w:id="40"/>
      <w:bookmarkEnd w:id="41"/>
      <w:bookmarkEnd w:id="42"/>
    </w:p>
    <w:p>
      <w:pPr>
        <w:pStyle w:val="35"/>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3" w:name="_Toc31885"/>
      <w:bookmarkStart w:id="44" w:name="_Toc21930"/>
      <w:bookmarkStart w:id="45" w:name="_Toc8432"/>
      <w:r>
        <w:rPr>
          <w:rFonts w:hint="eastAsia" w:ascii="宋体" w:hAnsi="宋体"/>
          <w:color w:val="auto"/>
          <w:sz w:val="21"/>
          <w:szCs w:val="21"/>
          <w:highlight w:val="none"/>
        </w:rPr>
        <w:t>6.关于联合体投标</w:t>
      </w:r>
      <w:bookmarkEnd w:id="43"/>
      <w:bookmarkEnd w:id="44"/>
      <w:bookmarkEnd w:id="45"/>
    </w:p>
    <w:p>
      <w:pPr>
        <w:pStyle w:val="35"/>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6" w:name="_Toc32331"/>
      <w:bookmarkStart w:id="47" w:name="_Toc13811"/>
      <w:bookmarkStart w:id="48" w:name="_Toc16571"/>
      <w:bookmarkStart w:id="49" w:name="_Toc17879"/>
      <w:r>
        <w:rPr>
          <w:rFonts w:hint="eastAsia" w:ascii="宋体" w:hAnsi="宋体"/>
          <w:color w:val="auto"/>
          <w:sz w:val="21"/>
          <w:szCs w:val="21"/>
          <w:highlight w:val="none"/>
        </w:rPr>
        <w:t>7.关于分支机构投标</w:t>
      </w:r>
      <w:bookmarkEnd w:id="46"/>
      <w:bookmarkEnd w:id="47"/>
      <w:bookmarkEnd w:id="48"/>
    </w:p>
    <w:p>
      <w:pPr>
        <w:pStyle w:val="35"/>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pPr>
        <w:pStyle w:val="6"/>
        <w:widowControl w:val="0"/>
        <w:overflowPunct w:val="0"/>
        <w:spacing w:line="240" w:lineRule="auto"/>
        <w:rPr>
          <w:rFonts w:ascii="宋体" w:hAnsi="宋体"/>
          <w:color w:val="auto"/>
          <w:sz w:val="21"/>
          <w:szCs w:val="21"/>
          <w:highlight w:val="none"/>
        </w:rPr>
      </w:pPr>
      <w:bookmarkStart w:id="53" w:name="_Toc1423"/>
      <w:bookmarkStart w:id="54" w:name="_Toc21771"/>
      <w:bookmarkStart w:id="55" w:name="_Toc13494"/>
      <w:r>
        <w:rPr>
          <w:rFonts w:hint="eastAsia" w:ascii="宋体" w:hAnsi="宋体"/>
          <w:color w:val="auto"/>
          <w:sz w:val="21"/>
          <w:szCs w:val="21"/>
          <w:highlight w:val="none"/>
        </w:rPr>
        <w:t>8.招标文件的组成</w:t>
      </w:r>
      <w:bookmarkEnd w:id="53"/>
      <w:bookmarkEnd w:id="54"/>
      <w:bookmarkEnd w:id="55"/>
    </w:p>
    <w:p>
      <w:pPr>
        <w:pStyle w:val="35"/>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6"/>
        <w:widowControl w:val="0"/>
        <w:overflowPunct w:val="0"/>
        <w:rPr>
          <w:rFonts w:ascii="宋体" w:hAnsi="宋体"/>
          <w:color w:val="auto"/>
          <w:sz w:val="21"/>
          <w:szCs w:val="21"/>
          <w:highlight w:val="none"/>
        </w:rPr>
      </w:pPr>
      <w:bookmarkStart w:id="56" w:name="_Toc14217"/>
      <w:bookmarkStart w:id="57" w:name="_Toc7997"/>
      <w:bookmarkStart w:id="58" w:name="_Toc17274"/>
      <w:r>
        <w:rPr>
          <w:rFonts w:hint="eastAsia" w:ascii="宋体" w:hAnsi="宋体"/>
          <w:color w:val="auto"/>
          <w:sz w:val="21"/>
          <w:szCs w:val="21"/>
          <w:highlight w:val="none"/>
        </w:rPr>
        <w:t>9.招标文件的澄清或修改</w:t>
      </w:r>
      <w:bookmarkEnd w:id="56"/>
      <w:bookmarkEnd w:id="57"/>
      <w:bookmarkEnd w:id="58"/>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5"/>
        <w:spacing w:line="480" w:lineRule="auto"/>
        <w:jc w:val="center"/>
        <w:rPr>
          <w:rFonts w:ascii="宋体" w:hAnsi="宋体"/>
          <w:color w:val="auto"/>
          <w:highlight w:val="none"/>
        </w:rPr>
      </w:pPr>
      <w:bookmarkStart w:id="59" w:name="_Toc16712"/>
      <w:bookmarkStart w:id="60" w:name="_Toc4773"/>
      <w:bookmarkStart w:id="61" w:name="_Toc23726"/>
      <w:r>
        <w:rPr>
          <w:rFonts w:hint="eastAsia" w:ascii="宋体" w:hAnsi="宋体"/>
          <w:color w:val="auto"/>
          <w:highlight w:val="none"/>
        </w:rPr>
        <w:t>第三章投标文件的编制</w:t>
      </w:r>
      <w:bookmarkEnd w:id="59"/>
      <w:bookmarkEnd w:id="60"/>
      <w:bookmarkEnd w:id="61"/>
    </w:p>
    <w:p>
      <w:pPr>
        <w:pStyle w:val="6"/>
        <w:widowControl w:val="0"/>
        <w:overflowPunct w:val="0"/>
        <w:rPr>
          <w:rFonts w:ascii="宋体" w:hAnsi="宋体"/>
          <w:color w:val="auto"/>
          <w:sz w:val="21"/>
          <w:szCs w:val="21"/>
          <w:highlight w:val="none"/>
        </w:rPr>
      </w:pPr>
      <w:bookmarkStart w:id="62" w:name="_Toc20623"/>
      <w:bookmarkStart w:id="63" w:name="_Toc7434"/>
      <w:bookmarkStart w:id="64" w:name="_Toc28092"/>
      <w:r>
        <w:rPr>
          <w:rFonts w:hint="eastAsia" w:ascii="宋体" w:hAnsi="宋体"/>
          <w:color w:val="auto"/>
          <w:sz w:val="21"/>
          <w:szCs w:val="21"/>
          <w:highlight w:val="none"/>
        </w:rPr>
        <w:t>10.投标文件的语言及度量衡单位</w:t>
      </w:r>
      <w:bookmarkEnd w:id="62"/>
      <w:bookmarkEnd w:id="63"/>
      <w:bookmarkEnd w:id="64"/>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65" w:name="_Toc12145"/>
      <w:bookmarkStart w:id="66" w:name="_Toc18999"/>
      <w:bookmarkStart w:id="67" w:name="_Toc7728"/>
      <w:bookmarkStart w:id="68" w:name="_Toc307934854"/>
      <w:bookmarkStart w:id="69" w:name="_Toc303084256"/>
      <w:bookmarkStart w:id="70" w:name="_Toc382049103"/>
      <w:bookmarkStart w:id="71" w:name="_Toc28866"/>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6"/>
        <w:widowControl w:val="0"/>
        <w:overflowPunct w:val="0"/>
        <w:rPr>
          <w:rFonts w:ascii="宋体" w:hAnsi="宋体"/>
          <w:color w:val="auto"/>
          <w:sz w:val="21"/>
          <w:szCs w:val="21"/>
          <w:highlight w:val="none"/>
        </w:rPr>
      </w:pPr>
      <w:bookmarkStart w:id="72" w:name="_Toc30189"/>
      <w:bookmarkStart w:id="73" w:name="_Toc21747"/>
      <w:bookmarkStart w:id="74" w:name="_Toc3882"/>
      <w:r>
        <w:rPr>
          <w:rFonts w:hint="eastAsia" w:ascii="宋体" w:hAnsi="宋体"/>
          <w:color w:val="auto"/>
          <w:sz w:val="21"/>
          <w:szCs w:val="21"/>
          <w:highlight w:val="none"/>
        </w:rPr>
        <w:t>12.投标文件编制</w:t>
      </w:r>
      <w:bookmarkEnd w:id="72"/>
      <w:bookmarkEnd w:id="73"/>
      <w:bookmarkEnd w:id="74"/>
    </w:p>
    <w:p>
      <w:pPr>
        <w:pStyle w:val="35"/>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5"/>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5"/>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6"/>
        <w:widowControl w:val="0"/>
        <w:overflowPunct w:val="0"/>
        <w:rPr>
          <w:rFonts w:ascii="宋体" w:hAnsi="宋体"/>
          <w:color w:val="auto"/>
          <w:sz w:val="21"/>
          <w:szCs w:val="21"/>
          <w:highlight w:val="none"/>
        </w:rPr>
      </w:pPr>
      <w:bookmarkStart w:id="76" w:name="_Toc7847"/>
      <w:bookmarkStart w:id="77" w:name="_Toc259"/>
      <w:bookmarkStart w:id="78" w:name="_Toc17188"/>
      <w:r>
        <w:rPr>
          <w:rFonts w:hint="eastAsia" w:ascii="宋体" w:hAnsi="宋体"/>
          <w:color w:val="auto"/>
          <w:sz w:val="21"/>
          <w:szCs w:val="21"/>
          <w:highlight w:val="none"/>
        </w:rPr>
        <w:t>13.投标报价说明</w:t>
      </w:r>
      <w:bookmarkEnd w:id="76"/>
      <w:bookmarkEnd w:id="77"/>
      <w:bookmarkEnd w:id="78"/>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6"/>
        <w:widowControl w:val="0"/>
        <w:overflowPunct w:val="0"/>
        <w:rPr>
          <w:rFonts w:ascii="宋体" w:hAnsi="宋体"/>
          <w:color w:val="auto"/>
          <w:sz w:val="21"/>
          <w:szCs w:val="21"/>
          <w:highlight w:val="none"/>
        </w:rPr>
      </w:pPr>
      <w:bookmarkStart w:id="79" w:name="_Toc18911"/>
      <w:bookmarkStart w:id="80" w:name="_Toc16535"/>
      <w:bookmarkStart w:id="81" w:name="_Toc27724"/>
      <w:r>
        <w:rPr>
          <w:rFonts w:hint="eastAsia" w:ascii="宋体" w:hAnsi="宋体"/>
          <w:color w:val="auto"/>
          <w:sz w:val="21"/>
          <w:szCs w:val="21"/>
          <w:highlight w:val="none"/>
        </w:rPr>
        <w:t>14.投标人所提供的服务或货物的证明文件</w:t>
      </w:r>
      <w:bookmarkEnd w:id="79"/>
      <w:bookmarkEnd w:id="80"/>
      <w:bookmarkEnd w:id="81"/>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5"/>
        <w:widowControl w:val="0"/>
        <w:adjustRightInd/>
        <w:snapToGrid/>
        <w:ind w:left="425" w:firstLine="0" w:firstLineChars="0"/>
        <w:jc w:val="both"/>
        <w:rPr>
          <w:color w:val="auto"/>
          <w:highlight w:val="none"/>
        </w:rPr>
      </w:pPr>
    </w:p>
    <w:p>
      <w:pPr>
        <w:pStyle w:val="6"/>
        <w:widowControl w:val="0"/>
        <w:overflowPunct w:val="0"/>
        <w:rPr>
          <w:rFonts w:ascii="宋体" w:hAnsi="宋体"/>
          <w:color w:val="auto"/>
          <w:sz w:val="21"/>
          <w:szCs w:val="21"/>
          <w:highlight w:val="none"/>
        </w:rPr>
      </w:pPr>
      <w:bookmarkStart w:id="84" w:name="_Toc19520"/>
      <w:bookmarkStart w:id="85" w:name="_Toc22169"/>
      <w:bookmarkStart w:id="86" w:name="_Toc30815"/>
      <w:r>
        <w:rPr>
          <w:rFonts w:hint="eastAsia" w:ascii="宋体" w:hAnsi="宋体"/>
          <w:color w:val="auto"/>
          <w:sz w:val="21"/>
          <w:szCs w:val="21"/>
          <w:highlight w:val="none"/>
        </w:rPr>
        <w:t>15.★投标有效期</w:t>
      </w:r>
      <w:bookmarkEnd w:id="84"/>
      <w:bookmarkEnd w:id="85"/>
      <w:bookmarkEnd w:id="86"/>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87" w:name="_Toc30257"/>
      <w:bookmarkStart w:id="88" w:name="_Toc12456"/>
      <w:bookmarkStart w:id="89" w:name="_Toc25817"/>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pPr>
        <w:pStyle w:val="35"/>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5"/>
        <w:spacing w:line="480" w:lineRule="auto"/>
        <w:jc w:val="center"/>
        <w:rPr>
          <w:rFonts w:ascii="宋体" w:hAnsi="宋体"/>
          <w:color w:val="auto"/>
          <w:highlight w:val="none"/>
        </w:rPr>
      </w:pPr>
      <w:bookmarkStart w:id="91" w:name="_Toc24109"/>
      <w:bookmarkStart w:id="92" w:name="_Toc3200"/>
      <w:bookmarkStart w:id="93" w:name="_Toc31124"/>
      <w:r>
        <w:rPr>
          <w:rFonts w:hint="eastAsia" w:ascii="宋体" w:hAnsi="宋体"/>
          <w:color w:val="auto"/>
          <w:highlight w:val="none"/>
        </w:rPr>
        <w:t>第四章投标文件的递交</w:t>
      </w:r>
      <w:bookmarkEnd w:id="91"/>
      <w:bookmarkEnd w:id="92"/>
      <w:bookmarkEnd w:id="93"/>
    </w:p>
    <w:p>
      <w:pPr>
        <w:pStyle w:val="6"/>
        <w:widowControl w:val="0"/>
        <w:overflowPunct w:val="0"/>
        <w:rPr>
          <w:rFonts w:ascii="宋体" w:hAnsi="宋体"/>
          <w:color w:val="auto"/>
          <w:sz w:val="21"/>
          <w:szCs w:val="21"/>
          <w:highlight w:val="none"/>
        </w:rPr>
      </w:pPr>
      <w:bookmarkStart w:id="94" w:name="_Toc473"/>
      <w:bookmarkStart w:id="95" w:name="_Toc303084264"/>
      <w:bookmarkStart w:id="96" w:name="_Toc24997"/>
      <w:bookmarkStart w:id="97" w:name="_Toc382049111"/>
      <w:bookmarkStart w:id="98" w:name="_Toc29590"/>
      <w:bookmarkStart w:id="99" w:name="_Toc23678"/>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00" w:name="_Toc17417"/>
      <w:bookmarkStart w:id="101" w:name="_Toc7473"/>
      <w:bookmarkStart w:id="102" w:name="_Toc8628"/>
      <w:r>
        <w:rPr>
          <w:rFonts w:hint="eastAsia" w:ascii="宋体" w:hAnsi="宋体"/>
          <w:color w:val="auto"/>
          <w:sz w:val="21"/>
          <w:szCs w:val="21"/>
          <w:highlight w:val="none"/>
        </w:rPr>
        <w:t>18.迟交的投标文件</w:t>
      </w:r>
      <w:bookmarkEnd w:id="100"/>
      <w:bookmarkEnd w:id="101"/>
      <w:bookmarkEnd w:id="102"/>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6"/>
        <w:widowControl w:val="0"/>
        <w:overflowPunct w:val="0"/>
        <w:rPr>
          <w:rFonts w:ascii="宋体" w:hAnsi="宋体"/>
          <w:color w:val="auto"/>
          <w:sz w:val="21"/>
          <w:szCs w:val="21"/>
          <w:highlight w:val="none"/>
        </w:rPr>
      </w:pPr>
      <w:bookmarkStart w:id="103" w:name="_Toc13212"/>
      <w:bookmarkStart w:id="104" w:name="_Toc8526"/>
      <w:bookmarkStart w:id="105" w:name="_Toc19649"/>
      <w:r>
        <w:rPr>
          <w:rFonts w:hint="eastAsia" w:ascii="宋体" w:hAnsi="宋体"/>
          <w:color w:val="auto"/>
          <w:sz w:val="21"/>
          <w:szCs w:val="21"/>
          <w:highlight w:val="none"/>
        </w:rPr>
        <w:t>19.投标样品（如需提交）</w:t>
      </w:r>
      <w:bookmarkEnd w:id="103"/>
      <w:bookmarkEnd w:id="104"/>
      <w:bookmarkEnd w:id="105"/>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6"/>
        <w:widowControl w:val="0"/>
        <w:overflowPunct w:val="0"/>
        <w:rPr>
          <w:rFonts w:ascii="宋体" w:hAnsi="宋体"/>
          <w:color w:val="auto"/>
          <w:sz w:val="21"/>
          <w:szCs w:val="21"/>
          <w:highlight w:val="none"/>
        </w:rPr>
      </w:pPr>
      <w:bookmarkStart w:id="106" w:name="_Toc7689"/>
      <w:bookmarkStart w:id="107" w:name="_Toc9777"/>
      <w:bookmarkStart w:id="108" w:name="_Toc303084265"/>
      <w:bookmarkStart w:id="109" w:name="_Toc382049112"/>
      <w:bookmarkStart w:id="110" w:name="_Toc5900"/>
      <w:bookmarkStart w:id="111" w:name="_Toc23477"/>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6"/>
        <w:widowControl w:val="0"/>
        <w:overflowPunct w:val="0"/>
        <w:rPr>
          <w:rFonts w:ascii="宋体" w:hAnsi="宋体"/>
          <w:color w:val="auto"/>
          <w:sz w:val="21"/>
          <w:szCs w:val="21"/>
          <w:highlight w:val="none"/>
        </w:rPr>
      </w:pPr>
      <w:bookmarkStart w:id="112" w:name="_Toc15569"/>
      <w:bookmarkStart w:id="113" w:name="_Toc6003"/>
      <w:bookmarkStart w:id="114" w:name="_Toc11133"/>
      <w:r>
        <w:rPr>
          <w:rFonts w:hint="eastAsia" w:ascii="宋体" w:hAnsi="宋体"/>
          <w:color w:val="auto"/>
          <w:sz w:val="21"/>
          <w:szCs w:val="21"/>
          <w:highlight w:val="none"/>
        </w:rPr>
        <w:t>21.投标文件的补充、修改与撤回</w:t>
      </w:r>
      <w:bookmarkEnd w:id="112"/>
      <w:bookmarkEnd w:id="113"/>
      <w:bookmarkEnd w:id="114"/>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9"/>
        <w:rPr>
          <w:color w:val="auto"/>
          <w:highlight w:val="none"/>
        </w:rPr>
      </w:pPr>
    </w:p>
    <w:p>
      <w:pPr>
        <w:pStyle w:val="5"/>
        <w:spacing w:line="480" w:lineRule="auto"/>
        <w:jc w:val="center"/>
        <w:rPr>
          <w:rFonts w:ascii="宋体" w:hAnsi="宋体"/>
          <w:color w:val="auto"/>
          <w:highlight w:val="none"/>
        </w:rPr>
      </w:pPr>
      <w:bookmarkStart w:id="115" w:name="_Toc23466"/>
      <w:bookmarkStart w:id="116" w:name="_Toc5049"/>
      <w:bookmarkStart w:id="117" w:name="_Toc29574"/>
      <w:r>
        <w:rPr>
          <w:rFonts w:hint="eastAsia" w:ascii="宋体" w:hAnsi="宋体"/>
          <w:color w:val="auto"/>
          <w:highlight w:val="none"/>
        </w:rPr>
        <w:t>第五章开标与评标</w:t>
      </w:r>
      <w:bookmarkEnd w:id="115"/>
      <w:bookmarkEnd w:id="116"/>
      <w:bookmarkEnd w:id="117"/>
    </w:p>
    <w:p>
      <w:pPr>
        <w:pStyle w:val="6"/>
        <w:widowControl w:val="0"/>
        <w:overflowPunct w:val="0"/>
        <w:rPr>
          <w:rFonts w:ascii="宋体" w:hAnsi="宋体"/>
          <w:color w:val="auto"/>
          <w:sz w:val="21"/>
          <w:szCs w:val="21"/>
          <w:highlight w:val="none"/>
        </w:rPr>
      </w:pPr>
      <w:bookmarkStart w:id="118" w:name="_Toc24251"/>
      <w:bookmarkStart w:id="119" w:name="_Toc28458"/>
      <w:bookmarkStart w:id="120" w:name="_Toc27700"/>
      <w:r>
        <w:rPr>
          <w:rFonts w:hint="eastAsia" w:ascii="宋体" w:hAnsi="宋体"/>
          <w:color w:val="auto"/>
          <w:sz w:val="21"/>
          <w:szCs w:val="21"/>
          <w:highlight w:val="none"/>
        </w:rPr>
        <w:t>22.开标</w:t>
      </w:r>
      <w:bookmarkEnd w:id="118"/>
      <w:bookmarkEnd w:id="119"/>
      <w:bookmarkEnd w:id="120"/>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121" w:name="_Toc5524"/>
      <w:bookmarkStart w:id="122" w:name="_Toc4921"/>
      <w:bookmarkStart w:id="123" w:name="_Toc5974"/>
      <w:r>
        <w:rPr>
          <w:rFonts w:hint="eastAsia" w:ascii="宋体" w:hAnsi="宋体"/>
          <w:color w:val="auto"/>
          <w:sz w:val="21"/>
          <w:szCs w:val="21"/>
          <w:highlight w:val="none"/>
        </w:rPr>
        <w:t>23.评标委员会及评标方法</w:t>
      </w:r>
      <w:bookmarkEnd w:id="121"/>
      <w:bookmarkEnd w:id="122"/>
      <w:bookmarkEnd w:id="123"/>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24" w:name="_Toc15231"/>
      <w:bookmarkStart w:id="125" w:name="_Toc26402"/>
      <w:bookmarkStart w:id="126" w:name="_Toc32730"/>
      <w:r>
        <w:rPr>
          <w:rFonts w:hint="eastAsia" w:ascii="宋体" w:hAnsi="宋体"/>
          <w:color w:val="auto"/>
          <w:sz w:val="21"/>
          <w:szCs w:val="21"/>
          <w:highlight w:val="none"/>
        </w:rPr>
        <w:t>24.评审原则及评标过程的保密</w:t>
      </w:r>
      <w:bookmarkEnd w:id="124"/>
      <w:bookmarkEnd w:id="125"/>
      <w:bookmarkEnd w:id="126"/>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6"/>
        <w:widowControl w:val="0"/>
        <w:overflowPunct w:val="0"/>
        <w:rPr>
          <w:rFonts w:ascii="宋体" w:hAnsi="宋体"/>
          <w:color w:val="auto"/>
          <w:sz w:val="21"/>
          <w:szCs w:val="21"/>
          <w:highlight w:val="none"/>
        </w:rPr>
      </w:pPr>
      <w:bookmarkStart w:id="127" w:name="_Toc18436"/>
      <w:bookmarkStart w:id="128" w:name="_Toc16745"/>
      <w:bookmarkStart w:id="129" w:name="_Toc3762"/>
      <w:r>
        <w:rPr>
          <w:rFonts w:hint="eastAsia" w:ascii="宋体" w:hAnsi="宋体"/>
          <w:color w:val="auto"/>
          <w:sz w:val="21"/>
          <w:szCs w:val="21"/>
          <w:highlight w:val="none"/>
        </w:rPr>
        <w:t>25.投标文件的初审</w:t>
      </w:r>
      <w:bookmarkEnd w:id="127"/>
      <w:bookmarkEnd w:id="128"/>
      <w:bookmarkEnd w:id="129"/>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6"/>
        <w:widowControl w:val="0"/>
        <w:overflowPunct w:val="0"/>
        <w:rPr>
          <w:rFonts w:ascii="宋体" w:hAnsi="宋体"/>
          <w:color w:val="auto"/>
          <w:sz w:val="21"/>
          <w:szCs w:val="21"/>
          <w:highlight w:val="none"/>
        </w:rPr>
      </w:pPr>
      <w:bookmarkStart w:id="130" w:name="_Toc29184"/>
      <w:bookmarkStart w:id="131" w:name="_Toc27673"/>
      <w:bookmarkStart w:id="132" w:name="_Toc21742"/>
      <w:r>
        <w:rPr>
          <w:rFonts w:hint="eastAsia" w:ascii="宋体" w:hAnsi="宋体"/>
          <w:color w:val="auto"/>
          <w:sz w:val="21"/>
          <w:szCs w:val="21"/>
          <w:highlight w:val="none"/>
        </w:rPr>
        <w:t>26.商务、技术、价格评审（具体评审项目详见投标资料表）</w:t>
      </w:r>
      <w:bookmarkEnd w:id="130"/>
      <w:bookmarkEnd w:id="131"/>
      <w:bookmarkEnd w:id="132"/>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3" w:name="_Toc22192"/>
      <w:bookmarkStart w:id="134" w:name="_Toc7593"/>
      <w:bookmarkStart w:id="135" w:name="_Toc17683"/>
      <w:r>
        <w:rPr>
          <w:rFonts w:hint="eastAsia" w:ascii="宋体" w:hAnsi="宋体"/>
          <w:color w:val="auto"/>
          <w:sz w:val="21"/>
          <w:szCs w:val="21"/>
          <w:highlight w:val="none"/>
        </w:rPr>
        <w:t>27.优惠政策</w:t>
      </w:r>
      <w:bookmarkEnd w:id="133"/>
      <w:bookmarkEnd w:id="134"/>
      <w:bookmarkEnd w:id="135"/>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6" w:name="_Toc316375620"/>
      <w:bookmarkStart w:id="137" w:name="_Toc22591"/>
      <w:bookmarkStart w:id="138" w:name="_Toc382049120"/>
      <w:bookmarkStart w:id="139" w:name="_Toc20328"/>
      <w:bookmarkStart w:id="140" w:name="_Toc12115"/>
      <w:bookmarkStart w:id="141" w:name="_Toc31141"/>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spacing w:line="480" w:lineRule="auto"/>
        <w:jc w:val="center"/>
        <w:rPr>
          <w:rFonts w:ascii="宋体" w:hAnsi="宋体"/>
          <w:color w:val="auto"/>
          <w:highlight w:val="none"/>
        </w:rPr>
      </w:pPr>
      <w:bookmarkStart w:id="142" w:name="_Toc29310"/>
      <w:bookmarkStart w:id="143" w:name="_Toc12251"/>
      <w:bookmarkStart w:id="144" w:name="_Toc5528"/>
      <w:r>
        <w:rPr>
          <w:rFonts w:hint="eastAsia" w:ascii="宋体" w:hAnsi="宋体"/>
          <w:color w:val="auto"/>
          <w:highlight w:val="none"/>
        </w:rPr>
        <w:t>第六章授予合同</w:t>
      </w:r>
      <w:bookmarkEnd w:id="142"/>
      <w:bookmarkEnd w:id="143"/>
      <w:bookmarkEnd w:id="144"/>
    </w:p>
    <w:p>
      <w:pPr>
        <w:pStyle w:val="6"/>
        <w:widowControl w:val="0"/>
        <w:overflowPunct w:val="0"/>
        <w:rPr>
          <w:rFonts w:ascii="宋体" w:hAnsi="宋体"/>
          <w:color w:val="auto"/>
          <w:sz w:val="21"/>
          <w:szCs w:val="21"/>
          <w:highlight w:val="none"/>
        </w:rPr>
      </w:pPr>
      <w:bookmarkStart w:id="145" w:name="_Toc508284011"/>
      <w:bookmarkStart w:id="146" w:name="_Toc6696"/>
      <w:bookmarkStart w:id="147" w:name="_Toc27817"/>
      <w:bookmarkStart w:id="148" w:name="_Toc17778"/>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6"/>
        <w:widowControl w:val="0"/>
        <w:overflowPunct w:val="0"/>
        <w:rPr>
          <w:rFonts w:ascii="宋体" w:hAnsi="宋体"/>
          <w:color w:val="auto"/>
          <w:sz w:val="21"/>
          <w:szCs w:val="21"/>
          <w:highlight w:val="none"/>
        </w:rPr>
      </w:pPr>
      <w:bookmarkStart w:id="149" w:name="_Toc29283"/>
      <w:bookmarkStart w:id="150" w:name="_Toc508284013"/>
      <w:bookmarkStart w:id="151" w:name="_Toc23136"/>
      <w:bookmarkStart w:id="152" w:name="_Toc12440"/>
      <w:r>
        <w:rPr>
          <w:rFonts w:hint="eastAsia" w:ascii="宋体" w:hAnsi="宋体"/>
          <w:color w:val="auto"/>
          <w:sz w:val="21"/>
          <w:szCs w:val="21"/>
          <w:highlight w:val="none"/>
        </w:rPr>
        <w:t>30.发布采购结果</w:t>
      </w:r>
      <w:bookmarkEnd w:id="149"/>
      <w:bookmarkEnd w:id="150"/>
      <w:bookmarkEnd w:id="151"/>
      <w:bookmarkEnd w:id="152"/>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6"/>
        <w:widowControl w:val="0"/>
        <w:overflowPunct w:val="0"/>
        <w:rPr>
          <w:rFonts w:ascii="宋体" w:hAnsi="宋体"/>
          <w:color w:val="auto"/>
          <w:sz w:val="21"/>
          <w:szCs w:val="21"/>
          <w:highlight w:val="none"/>
        </w:rPr>
      </w:pPr>
      <w:bookmarkStart w:id="153" w:name="_Toc22262"/>
      <w:bookmarkStart w:id="154" w:name="_Toc27279"/>
      <w:bookmarkStart w:id="155" w:name="_Toc22451"/>
      <w:r>
        <w:rPr>
          <w:rFonts w:hint="eastAsia" w:ascii="宋体" w:hAnsi="宋体"/>
          <w:color w:val="auto"/>
          <w:sz w:val="21"/>
          <w:szCs w:val="21"/>
          <w:highlight w:val="none"/>
        </w:rPr>
        <w:t>31.合同的签订与履行</w:t>
      </w:r>
      <w:bookmarkEnd w:id="153"/>
      <w:bookmarkEnd w:id="154"/>
      <w:bookmarkEnd w:id="155"/>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6"/>
        <w:widowControl w:val="0"/>
        <w:overflowPunct w:val="0"/>
        <w:rPr>
          <w:rFonts w:ascii="宋体" w:hAnsi="宋体"/>
          <w:color w:val="auto"/>
          <w:sz w:val="21"/>
          <w:szCs w:val="21"/>
          <w:highlight w:val="none"/>
        </w:rPr>
      </w:pPr>
      <w:bookmarkStart w:id="156" w:name="_Toc25756"/>
      <w:bookmarkStart w:id="157" w:name="_Toc382049124"/>
      <w:bookmarkStart w:id="158" w:name="_Toc7405"/>
      <w:bookmarkStart w:id="159" w:name="_Toc2744"/>
      <w:bookmarkStart w:id="160" w:name="_Toc29009"/>
      <w:bookmarkStart w:id="161" w:name="_Toc303084277"/>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spacing w:line="480" w:lineRule="auto"/>
        <w:jc w:val="center"/>
        <w:rPr>
          <w:rFonts w:ascii="宋体" w:hAnsi="宋体"/>
          <w:color w:val="auto"/>
          <w:highlight w:val="none"/>
        </w:rPr>
      </w:pPr>
      <w:bookmarkStart w:id="162" w:name="_Toc7360"/>
      <w:bookmarkStart w:id="163" w:name="_Toc13694"/>
      <w:bookmarkStart w:id="164" w:name="_Toc20699"/>
      <w:r>
        <w:rPr>
          <w:rFonts w:hint="eastAsia" w:ascii="宋体" w:hAnsi="宋体"/>
          <w:color w:val="auto"/>
          <w:highlight w:val="none"/>
        </w:rPr>
        <w:t>第七章询问或质疑</w:t>
      </w:r>
      <w:bookmarkEnd w:id="162"/>
      <w:bookmarkEnd w:id="163"/>
      <w:bookmarkEnd w:id="164"/>
    </w:p>
    <w:p>
      <w:pPr>
        <w:pStyle w:val="6"/>
        <w:widowControl w:val="0"/>
        <w:overflowPunct w:val="0"/>
        <w:rPr>
          <w:rFonts w:ascii="宋体" w:hAnsi="宋体"/>
          <w:color w:val="auto"/>
          <w:sz w:val="21"/>
          <w:szCs w:val="21"/>
          <w:highlight w:val="none"/>
        </w:rPr>
      </w:pPr>
      <w:bookmarkStart w:id="165" w:name="_Toc22900"/>
      <w:bookmarkStart w:id="166" w:name="_Toc17974"/>
      <w:bookmarkStart w:id="167" w:name="_Toc25498"/>
      <w:r>
        <w:rPr>
          <w:rFonts w:hint="eastAsia" w:ascii="宋体" w:hAnsi="宋体"/>
          <w:color w:val="auto"/>
          <w:sz w:val="21"/>
          <w:szCs w:val="21"/>
          <w:highlight w:val="none"/>
        </w:rPr>
        <w:t>33.询问</w:t>
      </w:r>
      <w:bookmarkEnd w:id="165"/>
      <w:bookmarkEnd w:id="166"/>
      <w:bookmarkEnd w:id="167"/>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68" w:name="_Toc8234"/>
      <w:bookmarkStart w:id="169" w:name="_Toc2767"/>
      <w:bookmarkStart w:id="170" w:name="_Toc11264"/>
      <w:r>
        <w:rPr>
          <w:rFonts w:hint="eastAsia" w:ascii="宋体" w:hAnsi="宋体"/>
          <w:color w:val="auto"/>
          <w:sz w:val="21"/>
          <w:szCs w:val="21"/>
          <w:highlight w:val="none"/>
        </w:rPr>
        <w:t>34.质疑</w:t>
      </w:r>
      <w:bookmarkEnd w:id="168"/>
      <w:bookmarkEnd w:id="169"/>
      <w:bookmarkEnd w:id="170"/>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5"/>
        <w:spacing w:line="480" w:lineRule="auto"/>
        <w:jc w:val="center"/>
        <w:rPr>
          <w:rFonts w:ascii="宋体" w:hAnsi="宋体"/>
          <w:color w:val="auto"/>
          <w:highlight w:val="none"/>
        </w:rPr>
      </w:pPr>
      <w:bookmarkStart w:id="171" w:name="_Toc5690"/>
      <w:bookmarkStart w:id="172" w:name="_Toc8919"/>
      <w:bookmarkStart w:id="173" w:name="_Toc24383"/>
      <w:r>
        <w:rPr>
          <w:rFonts w:hint="eastAsia" w:ascii="宋体" w:hAnsi="宋体"/>
          <w:color w:val="auto"/>
          <w:highlight w:val="none"/>
        </w:rPr>
        <w:t>第八章其他</w:t>
      </w:r>
      <w:bookmarkEnd w:id="171"/>
      <w:bookmarkEnd w:id="172"/>
      <w:bookmarkEnd w:id="173"/>
    </w:p>
    <w:p>
      <w:pPr>
        <w:pStyle w:val="6"/>
        <w:widowControl w:val="0"/>
        <w:overflowPunct w:val="0"/>
        <w:rPr>
          <w:rFonts w:ascii="宋体" w:hAnsi="宋体"/>
          <w:color w:val="auto"/>
          <w:sz w:val="21"/>
          <w:szCs w:val="21"/>
          <w:highlight w:val="none"/>
        </w:rPr>
      </w:pPr>
      <w:bookmarkStart w:id="174" w:name="_Toc21187"/>
      <w:bookmarkStart w:id="175" w:name="_Toc10082"/>
      <w:bookmarkStart w:id="176" w:name="_Toc6548"/>
      <w:r>
        <w:rPr>
          <w:rFonts w:hint="eastAsia" w:ascii="宋体" w:hAnsi="宋体"/>
          <w:color w:val="auto"/>
          <w:sz w:val="21"/>
          <w:szCs w:val="21"/>
          <w:highlight w:val="none"/>
        </w:rPr>
        <w:t>35.招标文件的解释权</w:t>
      </w:r>
      <w:bookmarkEnd w:id="174"/>
      <w:bookmarkEnd w:id="175"/>
      <w:bookmarkEnd w:id="176"/>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4"/>
        <w:spacing w:before="0" w:after="0" w:line="240" w:lineRule="auto"/>
        <w:rPr>
          <w:color w:val="auto"/>
          <w:sz w:val="28"/>
          <w:szCs w:val="28"/>
          <w:highlight w:val="none"/>
        </w:rPr>
      </w:pPr>
      <w:bookmarkStart w:id="177" w:name="_Toc31854"/>
      <w:bookmarkStart w:id="178" w:name="_Toc382"/>
      <w:bookmarkStart w:id="179" w:name="_Toc7011"/>
      <w:r>
        <w:rPr>
          <w:rFonts w:hint="eastAsia"/>
          <w:color w:val="auto"/>
          <w:sz w:val="28"/>
          <w:szCs w:val="28"/>
          <w:highlight w:val="none"/>
        </w:rPr>
        <w:t>第五部分 用户需求书</w:t>
      </w:r>
      <w:bookmarkEnd w:id="177"/>
      <w:bookmarkEnd w:id="178"/>
      <w:bookmarkEnd w:id="179"/>
    </w:p>
    <w:p>
      <w:pPr>
        <w:pStyle w:val="5"/>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5"/>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46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合格投标人</w:t>
            </w:r>
          </w:p>
        </w:tc>
        <w:tc>
          <w:tcPr>
            <w:tcW w:w="6466" w:type="dxa"/>
            <w:vAlign w:val="center"/>
          </w:tcPr>
          <w:p>
            <w:pPr>
              <w:pStyle w:val="35"/>
              <w:keepNext w:val="0"/>
              <w:keepLines w:val="0"/>
              <w:pageBreakBefore w:val="0"/>
              <w:widowControl/>
              <w:kinsoku/>
              <w:wordWrap/>
              <w:overflowPunct/>
              <w:topLinePunct w:val="0"/>
              <w:autoSpaceDE/>
              <w:autoSpaceDN/>
              <w:bidi w:val="0"/>
              <w:adjustRightInd w:val="0"/>
              <w:ind w:left="0" w:firstLine="420" w:firstLineChars="200"/>
              <w:textAlignment w:val="auto"/>
              <w:rPr>
                <w:rFonts w:ascii="宋体" w:hAnsi="宋体" w:cs="宋体"/>
                <w:bCs/>
                <w:color w:val="auto"/>
                <w:kern w:val="44"/>
                <w:szCs w:val="21"/>
                <w:highlight w:val="none"/>
              </w:rPr>
            </w:pPr>
            <w:r>
              <w:rPr>
                <w:rFonts w:hint="eastAsia" w:ascii="宋体" w:hAnsi="宋体" w:cs="宋体"/>
                <w:color w:val="auto"/>
                <w:szCs w:val="21"/>
                <w:highlight w:val="none"/>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供货期</w:t>
            </w:r>
          </w:p>
        </w:tc>
        <w:tc>
          <w:tcPr>
            <w:tcW w:w="6466" w:type="dxa"/>
            <w:vAlign w:val="center"/>
          </w:tcPr>
          <w:p>
            <w:pPr>
              <w:keepNext w:val="0"/>
              <w:keepLines w:val="0"/>
              <w:pageBreakBefore w:val="0"/>
              <w:widowControl/>
              <w:kinsoku/>
              <w:wordWrap/>
              <w:overflowPunct/>
              <w:topLinePunct w:val="0"/>
              <w:autoSpaceDE/>
              <w:autoSpaceDN/>
              <w:bidi w:val="0"/>
              <w:adjustRightInd w:val="0"/>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签订合同后30天内完成项目整体的供货、安装、调试及验收。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7"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pacing w:line="360" w:lineRule="auto"/>
              <w:ind w:lef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所有设备调试完成、项目竣工验收合格并通过验收后，中标方提交请款报告后10个工作日内支付合同总额的100%。</w:t>
            </w:r>
          </w:p>
          <w:p>
            <w:pPr>
              <w:keepNext w:val="0"/>
              <w:keepLines w:val="0"/>
              <w:pageBreakBefore w:val="0"/>
              <w:widowControl/>
              <w:kinsoku/>
              <w:wordWrap/>
              <w:overflowPunct/>
              <w:topLinePunct w:val="0"/>
              <w:autoSpaceDE/>
              <w:autoSpaceDN/>
              <w:bidi w:val="0"/>
              <w:adjustRightInd w:val="0"/>
              <w:snapToGrid/>
              <w:ind w:left="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以上付款方式以签订合同为准。</w:t>
            </w:r>
          </w:p>
          <w:p>
            <w:pPr>
              <w:keepNext w:val="0"/>
              <w:keepLines w:val="0"/>
              <w:pageBreakBefore w:val="0"/>
              <w:widowControl/>
              <w:kinsoku/>
              <w:wordWrap/>
              <w:overflowPunct/>
              <w:topLinePunct w:val="0"/>
              <w:autoSpaceDE/>
              <w:autoSpaceDN/>
              <w:bidi w:val="0"/>
              <w:adjustRightInd w:val="0"/>
              <w:snapToGrid/>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注:因采购人使用的是财政资金,采购人在前款规定的付款时间为向政府</w:t>
            </w:r>
            <w:r>
              <w:rPr>
                <w:rFonts w:hint="eastAsia" w:ascii="宋体" w:hAnsi="宋体" w:cs="宋体"/>
                <w:color w:val="auto"/>
                <w:szCs w:val="21"/>
                <w:highlight w:val="none"/>
                <w:lang w:val="en-US" w:eastAsia="zh-CN"/>
              </w:rPr>
              <w:t>采</w:t>
            </w:r>
            <w:r>
              <w:rPr>
                <w:rFonts w:hint="eastAsia" w:ascii="宋体" w:hAnsi="宋体" w:cs="宋体"/>
                <w:color w:val="auto"/>
                <w:szCs w:val="21"/>
                <w:highlight w:val="none"/>
              </w:rPr>
              <w:t>购支付部门提出协理财政支付申请手续的时间《不含政府财政支付部门审核的时间),在规定时间内提出支付申请手续后视为</w:t>
            </w:r>
            <w:r>
              <w:rPr>
                <w:rFonts w:hint="eastAsia" w:ascii="宋体" w:hAnsi="宋体" w:cs="宋体"/>
                <w:color w:val="auto"/>
                <w:szCs w:val="21"/>
                <w:highlight w:val="none"/>
                <w:lang w:val="en-US" w:eastAsia="zh-CN"/>
              </w:rPr>
              <w:t>采</w:t>
            </w:r>
            <w:r>
              <w:rPr>
                <w:rFonts w:hint="eastAsia" w:ascii="宋体" w:hAnsi="宋体" w:cs="宋体"/>
                <w:color w:val="auto"/>
                <w:szCs w:val="21"/>
                <w:highlight w:val="none"/>
              </w:rPr>
              <w:t>购人已经按期支付。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报价要求</w:t>
            </w:r>
          </w:p>
        </w:tc>
        <w:tc>
          <w:tcPr>
            <w:tcW w:w="6466" w:type="dxa"/>
            <w:vAlign w:val="center"/>
          </w:tcPr>
          <w:p>
            <w:pPr>
              <w:keepNext w:val="0"/>
              <w:keepLines w:val="0"/>
              <w:pageBreakBefore w:val="0"/>
              <w:widowControl/>
              <w:kinsoku/>
              <w:wordWrap/>
              <w:overflowPunct/>
              <w:topLinePunct w:val="0"/>
              <w:autoSpaceDE/>
              <w:autoSpaceDN/>
              <w:bidi w:val="0"/>
              <w:adjustRightInd w:val="0"/>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自开标之日起90天。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投标人实质响应合同各条款。</w:t>
            </w:r>
          </w:p>
        </w:tc>
      </w:tr>
    </w:tbl>
    <w:p>
      <w:pPr>
        <w:rPr>
          <w:color w:val="auto"/>
          <w:highlight w:val="none"/>
        </w:rPr>
      </w:pPr>
    </w:p>
    <w:p>
      <w:pPr>
        <w:pStyle w:val="9"/>
        <w:rPr>
          <w:color w:val="auto"/>
          <w:highlight w:val="none"/>
          <w:lang w:val="en-US"/>
        </w:rPr>
      </w:pPr>
    </w:p>
    <w:p>
      <w:pPr>
        <w:pStyle w:val="10"/>
        <w:ind w:firstLine="240"/>
        <w:rPr>
          <w:color w:val="auto"/>
          <w:highlight w:val="none"/>
          <w:lang w:val="en-US"/>
        </w:rPr>
      </w:pPr>
    </w:p>
    <w:p>
      <w:pPr>
        <w:pStyle w:val="10"/>
        <w:ind w:firstLine="240"/>
        <w:rPr>
          <w:color w:val="auto"/>
          <w:highlight w:val="none"/>
          <w:lang w:val="en-US"/>
        </w:rPr>
      </w:pPr>
    </w:p>
    <w:p>
      <w:pPr>
        <w:pStyle w:val="10"/>
        <w:ind w:firstLine="240"/>
        <w:rPr>
          <w:color w:val="auto"/>
          <w:highlight w:val="none"/>
          <w:lang w:val="en-US"/>
        </w:rPr>
      </w:pPr>
    </w:p>
    <w:p>
      <w:pPr>
        <w:pStyle w:val="10"/>
        <w:ind w:firstLine="240"/>
        <w:rPr>
          <w:color w:val="auto"/>
          <w:highlight w:val="none"/>
          <w:lang w:val="en-US"/>
        </w:rPr>
      </w:pPr>
    </w:p>
    <w:p>
      <w:pPr>
        <w:pStyle w:val="10"/>
        <w:ind w:firstLine="240"/>
        <w:rPr>
          <w:color w:val="auto"/>
          <w:highlight w:val="none"/>
          <w:lang w:val="en-US"/>
        </w:rPr>
      </w:pPr>
    </w:p>
    <w:p>
      <w:pPr>
        <w:pStyle w:val="5"/>
        <w:numPr>
          <w:ilvl w:val="0"/>
          <w:numId w:val="9"/>
        </w:numPr>
        <w:jc w:val="center"/>
        <w:rPr>
          <w:rFonts w:ascii="宋体" w:hAnsi="宋体"/>
          <w:color w:val="auto"/>
          <w:highlight w:val="none"/>
        </w:rPr>
      </w:pPr>
      <w:bookmarkStart w:id="181" w:name="_Toc19316"/>
      <w:r>
        <w:rPr>
          <w:rFonts w:hint="eastAsia" w:ascii="宋体" w:hAnsi="宋体"/>
          <w:color w:val="auto"/>
          <w:highlight w:val="none"/>
        </w:rPr>
        <w:t>技术需求书</w:t>
      </w:r>
      <w:bookmarkEnd w:id="181"/>
    </w:p>
    <w:p>
      <w:pPr>
        <w:pStyle w:val="6"/>
        <w:bidi w:val="0"/>
        <w:rPr>
          <w:color w:val="auto"/>
          <w:highlight w:val="none"/>
        </w:rPr>
      </w:pPr>
      <w:bookmarkStart w:id="182" w:name="_Toc24679"/>
      <w:bookmarkStart w:id="183" w:name="_Toc14462"/>
      <w:bookmarkStart w:id="184" w:name="_Toc13112"/>
      <w:bookmarkStart w:id="185" w:name="_Toc31278"/>
      <w:r>
        <w:rPr>
          <w:rFonts w:hint="eastAsia"/>
          <w:color w:val="auto"/>
          <w:highlight w:val="none"/>
        </w:rPr>
        <w:t>一、项目概况</w:t>
      </w:r>
    </w:p>
    <w:p>
      <w:pPr>
        <w:pStyle w:val="23"/>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东莞市横沥中学创建于1958年，目前已有62年历史。初建于横沥镇旧街，于1960年搬迁至横沥镇麒麟岭（即现在的横沥时代倾城花园），后于2012年搬迁至东莞市横沥镇树人路1号。学校校园占地总面积93329㎡，建筑总面积80361.8㎡，绿化用地面积32687.1㎡。学校共有主体建筑14幢楼，教学楼3幢，图书馆、体育馆、实验楼、综合楼、教工宿舍楼1幢，师生食堂2幢，学生宿舍楼4幢，400M标准跑道运动场1个，篮球场8个，食堂能满足2400人同时就餐，有学生床位2560个。学校现有初中教学班52个，慕课教学班46个，学生2426人，在岗教职工217人，其中，全国“五一劳动”奖章获得者1名，特级教师1名，东莞市名师工作室主持人1名，东莞市学科带头人5名，东莞市教学能手21名，高级教师24名。</w:t>
      </w:r>
    </w:p>
    <w:p>
      <w:pPr>
        <w:pStyle w:val="23"/>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我校以培养具有中华传统美德和国际开放视野的高素质现代公民为办学理念，以高尚、高雅、高贵为育人标准，民主治校，依法治校、制度治校，打造以“文道”为核心的校园文化，走校本特色教育改革道路。</w:t>
      </w:r>
    </w:p>
    <w:p>
      <w:pPr>
        <w:pStyle w:val="23"/>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textAlignment w:val="auto"/>
        <w:rPr>
          <w:color w:val="auto"/>
          <w:sz w:val="21"/>
          <w:szCs w:val="21"/>
          <w:highlight w:val="none"/>
        </w:rPr>
      </w:pPr>
      <w:r>
        <w:rPr>
          <w:rFonts w:hint="eastAsia" w:ascii="宋体" w:hAnsi="宋体" w:eastAsia="宋体" w:cs="宋体"/>
          <w:color w:val="auto"/>
          <w:sz w:val="21"/>
          <w:szCs w:val="21"/>
          <w:highlight w:val="none"/>
        </w:rPr>
        <w:t>文化德育，硕果累累。德育处坚持“德育为首、育人为本、动之以情、晓之以理、导之以行”的德育工作原则，明确了“高尚、高雅、高贵”的育人目标，形成了以“安全教育为前提，以礼文化为核心，以养成教育为主线”的横中德育特色，在校园中形成“兴文达礼、明道立人”的校训，“崇仁守礼、善学慎思”的校风，“身正行范、学教相长”的教风，“容正仪端、知行相成”的学风，营造出文明、温馨、和谐的校园氛围。学校先后被评为东莞市科普特色学校、东莞市无毒学校、东莞市园林式单位、广东省校务公开民主管理工作先进单位、广东省绿色学校、东莞市依法治校示范校、东莞市文明标兵学校、东莞市慕课试点学校、东莞市科普标兵学校、东莞市语言文字规范化模范校、东莞市中小学心理健康教育特色学校、东莞市首批创客学校、2017—2019年东莞市中小学科技教育活动先进学校、广东省健康促进示范学校。</w:t>
      </w:r>
    </w:p>
    <w:p>
      <w:pPr>
        <w:pStyle w:val="6"/>
        <w:bidi w:val="0"/>
        <w:rPr>
          <w:rFonts w:hint="eastAsia" w:eastAsia="宋体"/>
          <w:color w:val="auto"/>
          <w:highlight w:val="none"/>
        </w:rPr>
      </w:pPr>
      <w:r>
        <w:rPr>
          <w:rFonts w:hint="eastAsia" w:eastAsia="宋体"/>
          <w:color w:val="auto"/>
          <w:highlight w:val="none"/>
        </w:rPr>
        <w:t>二、项目背景</w:t>
      </w:r>
    </w:p>
    <w:p>
      <w:pPr>
        <w:pStyle w:val="9"/>
        <w:keepNext w:val="0"/>
        <w:keepLines w:val="0"/>
        <w:pageBreakBefore w:val="0"/>
        <w:widowControl/>
        <w:kinsoku/>
        <w:wordWrap/>
        <w:overflowPunct/>
        <w:topLinePunct w:val="0"/>
        <w:autoSpaceDE/>
        <w:autoSpaceDN/>
        <w:bidi w:val="0"/>
        <w:adjustRightInd w:val="0"/>
        <w:snapToGrid w:val="0"/>
        <w:spacing w:before="0"/>
        <w:ind w:left="0" w:firstLine="420" w:firstLineChars="200"/>
        <w:textAlignment w:val="auto"/>
        <w:rPr>
          <w:rFonts w:hint="eastAsia" w:ascii="宋体" w:hAnsi="宋体" w:eastAsia="宋体" w:cs="宋体"/>
          <w:color w:val="auto"/>
          <w:sz w:val="21"/>
          <w:szCs w:val="24"/>
          <w:highlight w:val="none"/>
          <w:lang w:eastAsia="zh-CN"/>
        </w:rPr>
      </w:pPr>
      <w:r>
        <w:rPr>
          <w:rFonts w:hint="eastAsia" w:ascii="宋体" w:hAnsi="宋体" w:eastAsia="宋体" w:cs="宋体"/>
          <w:color w:val="auto"/>
          <w:sz w:val="21"/>
          <w:szCs w:val="24"/>
          <w:highlight w:val="none"/>
          <w:lang w:eastAsia="zh-CN"/>
        </w:rPr>
        <w:t xml:space="preserve">百年大计，教育为本。《国家中长期教育改革和发展规划纲要（ 2010-2020 年）》特别指出，“把改革创新作为教育发展的强大动力，创新办学体制和教育管理体制，建设中国特色现代学校制度,鼓励地方和学校大胆探索和试验。”  </w:t>
      </w:r>
    </w:p>
    <w:p>
      <w:pPr>
        <w:pStyle w:val="9"/>
        <w:keepNext w:val="0"/>
        <w:keepLines w:val="0"/>
        <w:pageBreakBefore w:val="0"/>
        <w:widowControl/>
        <w:kinsoku/>
        <w:wordWrap/>
        <w:overflowPunct/>
        <w:topLinePunct w:val="0"/>
        <w:autoSpaceDE/>
        <w:autoSpaceDN/>
        <w:bidi w:val="0"/>
        <w:adjustRightInd w:val="0"/>
        <w:snapToGrid w:val="0"/>
        <w:spacing w:before="0"/>
        <w:ind w:left="0" w:firstLine="420" w:firstLineChars="200"/>
        <w:textAlignment w:val="auto"/>
        <w:rPr>
          <w:rFonts w:hint="eastAsia" w:ascii="宋体" w:hAnsi="宋体" w:eastAsia="宋体" w:cs="宋体"/>
          <w:color w:val="auto"/>
          <w:sz w:val="21"/>
          <w:szCs w:val="24"/>
          <w:highlight w:val="none"/>
          <w:lang w:eastAsia="zh-CN"/>
        </w:rPr>
      </w:pPr>
      <w:r>
        <w:rPr>
          <w:rFonts w:hint="eastAsia" w:ascii="宋体" w:hAnsi="宋体" w:eastAsia="宋体" w:cs="宋体"/>
          <w:color w:val="auto"/>
          <w:sz w:val="21"/>
          <w:szCs w:val="24"/>
          <w:highlight w:val="none"/>
          <w:lang w:eastAsia="zh-CN"/>
        </w:rPr>
        <w:t>《教育部关于发布&lt;中小学数字校园建设规范(试行)&gt;》的文件里对智慧校园建设提出了明确的方案。而校园信息化正是信息技术与教育相结合的产物，数字化校园信息平台的建设已成为教育部门和学校推进教育信息化的重要任务。</w:t>
      </w:r>
    </w:p>
    <w:p>
      <w:pPr>
        <w:keepNext w:val="0"/>
        <w:keepLines w:val="0"/>
        <w:pageBreakBefore w:val="0"/>
        <w:widowControl/>
        <w:kinsoku/>
        <w:wordWrap/>
        <w:overflowPunct/>
        <w:topLinePunct w:val="0"/>
        <w:autoSpaceDE/>
        <w:autoSpaceDN/>
        <w:bidi w:val="0"/>
        <w:adjustRightInd w:val="0"/>
        <w:snapToGrid w:val="0"/>
        <w:ind w:left="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2018年4月初，《教育信息化2.0行动计划》发布，着重强调了“三全两高一大”：</w:t>
      </w:r>
    </w:p>
    <w:p>
      <w:pPr>
        <w:keepNext w:val="0"/>
        <w:keepLines w:val="0"/>
        <w:pageBreakBefore w:val="0"/>
        <w:widowControl/>
        <w:numPr>
          <w:ilvl w:val="0"/>
          <w:numId w:val="10"/>
        </w:numPr>
        <w:kinsoku/>
        <w:wordWrap/>
        <w:overflowPunct/>
        <w:topLinePunct w:val="0"/>
        <w:autoSpaceDE/>
        <w:autoSpaceDN/>
        <w:bidi w:val="0"/>
        <w:adjustRightInd w:val="0"/>
        <w:snapToGrid w:val="0"/>
        <w:spacing w:line="360" w:lineRule="auto"/>
        <w:ind w:left="0"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“三全”：1、教学应用覆盖全体教师；2、学习应用覆盖全体适龄学生；3、数字校园建设覆盖全体学校。</w:t>
      </w:r>
    </w:p>
    <w:p>
      <w:pPr>
        <w:keepNext w:val="0"/>
        <w:keepLines w:val="0"/>
        <w:pageBreakBefore w:val="0"/>
        <w:widowControl/>
        <w:numPr>
          <w:ilvl w:val="0"/>
          <w:numId w:val="10"/>
        </w:numPr>
        <w:kinsoku/>
        <w:wordWrap/>
        <w:overflowPunct/>
        <w:topLinePunct w:val="0"/>
        <w:autoSpaceDE/>
        <w:autoSpaceDN/>
        <w:bidi w:val="0"/>
        <w:adjustRightInd w:val="0"/>
        <w:snapToGrid w:val="0"/>
        <w:spacing w:line="360" w:lineRule="auto"/>
        <w:ind w:left="0"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“两高”：信息化应用水平和师生信息素养普遍提高。</w:t>
      </w:r>
    </w:p>
    <w:p>
      <w:pPr>
        <w:keepNext w:val="0"/>
        <w:keepLines w:val="0"/>
        <w:pageBreakBefore w:val="0"/>
        <w:widowControl/>
        <w:numPr>
          <w:ilvl w:val="0"/>
          <w:numId w:val="10"/>
        </w:numPr>
        <w:kinsoku/>
        <w:wordWrap/>
        <w:overflowPunct/>
        <w:topLinePunct w:val="0"/>
        <w:autoSpaceDE/>
        <w:autoSpaceDN/>
        <w:bidi w:val="0"/>
        <w:adjustRightInd w:val="0"/>
        <w:snapToGrid w:val="0"/>
        <w:spacing w:line="360" w:lineRule="auto"/>
        <w:ind w:left="0"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“一大”：指建成“互联网+教育”大平台。</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学校信息化是以校园信息化是为背景而构建的集教学、管理、娱乐为一体的一种新型信息化系统。在信息化时代，发展信息技术已成为国家、社会和经济发展的重大战略目标之一。中共中央在《关于深化教育改革全面推进素质教育的决定》中明确提出，要“大力提高教育技术手段的现代化水平和教育信息化程度，加强经济实用型终端平台系统和校园网或城域网络的建设。</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息化项目是个庞大、系统的建设工程，建成后的信息化系统能使整个校园充分利用信息化手段加强有效管理，提高使用效率和管理水平。本项目以信息化应用的技术手段，进行信息化设计。本次项目包含学校桌面云机房、智慧教室和校园电子班牌系统。</w:t>
      </w:r>
    </w:p>
    <w:p>
      <w:pPr>
        <w:rPr>
          <w:color w:val="auto"/>
          <w:highlight w:val="none"/>
        </w:rPr>
      </w:pPr>
      <w:r>
        <w:rPr>
          <w:rFonts w:hint="eastAsia"/>
          <w:color w:val="auto"/>
          <w:highlight w:val="none"/>
        </w:rPr>
        <w:tab/>
      </w:r>
    </w:p>
    <w:p>
      <w:pPr>
        <w:pStyle w:val="6"/>
        <w:bidi w:val="0"/>
        <w:rPr>
          <w:rFonts w:hint="eastAsia" w:eastAsia="宋体"/>
          <w:color w:val="auto"/>
          <w:highlight w:val="none"/>
        </w:rPr>
      </w:pPr>
      <w:r>
        <w:rPr>
          <w:rFonts w:hint="eastAsia" w:eastAsia="宋体"/>
          <w:color w:val="auto"/>
          <w:highlight w:val="none"/>
        </w:rPr>
        <w:t>三、项目需求</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随着计算机在学校范围内越来越广泛的应用，如何提高学校计算机综合应用管理水平，如何让计算机为使用者提供更多、更贴心的功能，已经越来越被学校的各级管理人员所重视。近年来各种软件、硬件产品层出不穷，但都只能局部解决一些小问题。</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从2005年开始，云计算、云服务、虚拟化的声音渐渐兴起，但由于技术的成熟性、可靠性都没得到长期的验证，因此虚拟化技术没有得到大面积的推广，5年来随着世界几大虚拟化厂家铺天盖地的宣传和推广，虚拟化技术已经步入到成熟期。</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highlight w:val="none"/>
        </w:rPr>
        <w:t>服务器虚拟化、存储虚拟化、桌面虚拟化是虚拟化的几个组成部分，在学校中服务器虚拟化、存储虚拟化已经得到了一定的应用，帮助学校解决了很多问题，但学校动辄上万台PC的管理、应用问题却并没有从中受益，而桌面虚拟化技术的成熟为解决这一难题提供了良好的技术保证，借着高校计算机应用需求、管理需求的不断上升的热潮，桌面虚拟化迎来了发展的契机。</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在桌面虚拟化项目实施后，希望能大大改善目前学校计算机的管理及应用问题，能够达到以下的目标：</w:t>
      </w:r>
    </w:p>
    <w:p>
      <w:pPr>
        <w:pStyle w:val="66"/>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简化计算机实训室的管理，提高系统部署效率，实现操作系统与具体硬件无关性。</w:t>
      </w:r>
    </w:p>
    <w:p>
      <w:pPr>
        <w:pStyle w:val="66"/>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为老师和学生提供个性化操作系统界面，放权让老师和学生管理自己的个性化操作系统，而且个性化操作系统界面与物理计算机无关，而是随使用者的不同而不同。</w:t>
      </w:r>
    </w:p>
    <w:p>
      <w:pPr>
        <w:pStyle w:val="66"/>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对计算机实训室的计算机操作系统统一管理和维护，依托本地计算机资源，为教师和学生提供高性能的个性化桌面服务，既减少管理人员的工作量和管理难度，又能教师和学生安装需要的应用软件提供方便。</w:t>
      </w:r>
    </w:p>
    <w:p>
      <w:pPr>
        <w:pStyle w:val="66"/>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切实利用好计算机本地硬盘，解决目前市面上一些虚拟化产品对网络、后台服务器依赖过高的问题，在特殊情况下，前台计算机可以独立运行。实现向前端PC推送多操作系统的能力。</w:t>
      </w:r>
    </w:p>
    <w:p>
      <w:pPr>
        <w:pStyle w:val="66"/>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实现在不重新批量安装操作系统和应用软件的条件下，批量升级操作系统、应用软件以及新的应用软件的安装。</w:t>
      </w:r>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20" w:firstLineChars="200"/>
        <w:textAlignment w:val="auto"/>
        <w:rPr>
          <w:rFonts w:hint="eastAsia" w:ascii="宋体" w:hAnsi="宋体" w:eastAsia="宋体" w:cs="宋体"/>
          <w:color w:val="auto"/>
          <w:kern w:val="2"/>
          <w:sz w:val="21"/>
          <w:szCs w:val="24"/>
          <w:highlight w:val="none"/>
          <w:lang w:eastAsia="zh-CN"/>
        </w:rPr>
      </w:pPr>
      <w:r>
        <w:rPr>
          <w:rFonts w:hint="eastAsia" w:ascii="宋体" w:hAnsi="宋体" w:eastAsia="宋体" w:cs="宋体"/>
          <w:color w:val="auto"/>
          <w:kern w:val="2"/>
          <w:sz w:val="21"/>
          <w:szCs w:val="24"/>
          <w:highlight w:val="none"/>
          <w:lang w:eastAsia="zh-CN"/>
        </w:rPr>
        <w:t>智慧班牌是智慧平台的数据呈现端，也是智慧平台数据的采集工具之一。智慧班牌一方面呈现了丰富多彩的班级文化，另一方面也成为了学校和班级、教师和学生、家长和学生之间的互动媒介，班牌已成为智慧校园不可或缺的部分。</w:t>
      </w:r>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color w:val="auto"/>
          <w:highlight w:val="none"/>
        </w:rPr>
      </w:pPr>
      <w:r>
        <w:rPr>
          <w:rFonts w:hint="eastAsia" w:ascii="宋体" w:hAnsi="宋体" w:eastAsia="宋体" w:cs="宋体"/>
          <w:color w:val="auto"/>
          <w:spacing w:val="-1"/>
          <w:sz w:val="21"/>
          <w:szCs w:val="24"/>
          <w:highlight w:val="none"/>
          <w:lang w:eastAsia="zh-CN"/>
        </w:rPr>
        <w:t>与此同时，2014年12月16日，教育部发布了《关于普通高中学业水平考试的实施意见》，明确进行新高考改革。新高考带来了高中教学方式的改变。在新的教学模式下，如何让走班的师生能够便捷地进行签到以及便捷地查找相应课表和教室，成了班牌在新时期的职责。在今天，班牌正在向特色化、内涵化方向发展，班牌不再是简单的信息展示,其内容越来越丰富,功能越来越实用。</w:t>
      </w:r>
    </w:p>
    <w:p>
      <w:pPr>
        <w:spacing w:line="360" w:lineRule="auto"/>
        <w:rPr>
          <w:color w:val="auto"/>
          <w:highlight w:val="none"/>
        </w:rPr>
      </w:pPr>
    </w:p>
    <w:p>
      <w:pPr>
        <w:pStyle w:val="6"/>
        <w:bidi w:val="0"/>
        <w:rPr>
          <w:rFonts w:hint="eastAsia" w:eastAsia="宋体"/>
          <w:color w:val="auto"/>
          <w:highlight w:val="none"/>
        </w:rPr>
      </w:pPr>
      <w:bookmarkStart w:id="186" w:name="_Toc530989616"/>
      <w:r>
        <w:rPr>
          <w:rFonts w:hint="eastAsia" w:eastAsia="宋体"/>
          <w:color w:val="auto"/>
          <w:highlight w:val="none"/>
          <w:lang w:val="en-US" w:eastAsia="zh-CN"/>
        </w:rPr>
        <w:t>四</w:t>
      </w:r>
      <w:r>
        <w:rPr>
          <w:rFonts w:hint="eastAsia" w:eastAsia="宋体"/>
          <w:color w:val="auto"/>
          <w:highlight w:val="none"/>
        </w:rPr>
        <w:t>、售后服务</w:t>
      </w:r>
      <w:bookmarkEnd w:id="186"/>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bookmarkStart w:id="187" w:name="_Toc530989617"/>
      <w:r>
        <w:rPr>
          <w:rFonts w:hint="eastAsia" w:ascii="宋体" w:hAnsi="宋体" w:eastAsia="宋体" w:cs="宋体"/>
          <w:color w:val="auto"/>
          <w:spacing w:val="-1"/>
          <w:sz w:val="21"/>
          <w:szCs w:val="24"/>
          <w:highlight w:val="none"/>
          <w:lang w:eastAsia="zh-CN"/>
        </w:rPr>
        <w:t>运维总则</w:t>
      </w:r>
      <w:bookmarkEnd w:id="187"/>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r>
        <w:rPr>
          <w:rFonts w:hint="eastAsia" w:ascii="宋体" w:hAnsi="宋体" w:eastAsia="宋体" w:cs="宋体"/>
          <w:color w:val="auto"/>
          <w:spacing w:val="-1"/>
          <w:sz w:val="21"/>
          <w:szCs w:val="24"/>
          <w:highlight w:val="none"/>
          <w:lang w:eastAsia="zh-CN"/>
        </w:rPr>
        <w:t>为键全运行维护管理机制，保障系统安全稳定运行，确保系统出现故障时24小时内及时修复，并在系统恢复前采取有效的应急防范措施。</w:t>
      </w:r>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bookmarkStart w:id="188" w:name="_Toc526074513"/>
      <w:bookmarkStart w:id="189" w:name="_Toc528569383"/>
      <w:bookmarkStart w:id="190" w:name="_Toc528156271"/>
      <w:bookmarkStart w:id="191" w:name="_Toc526734850"/>
      <w:bookmarkStart w:id="192" w:name="_Toc527220138"/>
      <w:r>
        <w:rPr>
          <w:rFonts w:hint="eastAsia" w:ascii="宋体" w:hAnsi="宋体" w:eastAsia="宋体" w:cs="宋体"/>
          <w:color w:val="auto"/>
          <w:spacing w:val="-1"/>
          <w:sz w:val="21"/>
          <w:szCs w:val="24"/>
          <w:highlight w:val="none"/>
          <w:lang w:eastAsia="zh-CN"/>
        </w:rPr>
        <w:t>项目实施要求</w:t>
      </w:r>
      <w:bookmarkEnd w:id="188"/>
      <w:bookmarkEnd w:id="189"/>
      <w:bookmarkEnd w:id="190"/>
      <w:bookmarkEnd w:id="191"/>
      <w:bookmarkEnd w:id="192"/>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r>
        <w:rPr>
          <w:rFonts w:hint="eastAsia" w:ascii="宋体" w:hAnsi="宋体" w:eastAsia="宋体" w:cs="宋体"/>
          <w:color w:val="auto"/>
          <w:spacing w:val="-1"/>
          <w:sz w:val="21"/>
          <w:szCs w:val="24"/>
          <w:highlight w:val="none"/>
          <w:lang w:eastAsia="zh-CN"/>
        </w:rPr>
        <w:t>1、供应商所投货物必须是原装、全新、未经使用的产品，并且符合国家以及该产品的出厂标准。</w:t>
      </w:r>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r>
        <w:rPr>
          <w:rFonts w:hint="eastAsia" w:ascii="宋体" w:hAnsi="宋体" w:eastAsia="宋体" w:cs="宋体"/>
          <w:color w:val="auto"/>
          <w:spacing w:val="-1"/>
          <w:sz w:val="21"/>
          <w:szCs w:val="24"/>
          <w:highlight w:val="none"/>
          <w:lang w:eastAsia="zh-CN"/>
        </w:rPr>
        <w:t>2、所有货物在开箱检验时必须完好，无破损，配置与装箱单相符。数量、质量及性能不低于本需求书中提出的要求。</w:t>
      </w:r>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r>
        <w:rPr>
          <w:rFonts w:hint="eastAsia" w:ascii="宋体" w:hAnsi="宋体" w:eastAsia="宋体" w:cs="宋体"/>
          <w:color w:val="auto"/>
          <w:spacing w:val="-1"/>
          <w:sz w:val="21"/>
          <w:szCs w:val="24"/>
          <w:highlight w:val="none"/>
          <w:lang w:eastAsia="zh-CN"/>
        </w:rPr>
        <w:t>3、货物外观洁净，标记编号以及盘面显示等字体清晰，明确。</w:t>
      </w:r>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r>
        <w:rPr>
          <w:rFonts w:hint="eastAsia" w:ascii="宋体" w:hAnsi="宋体" w:eastAsia="宋体" w:cs="宋体"/>
          <w:color w:val="auto"/>
          <w:spacing w:val="-1"/>
          <w:sz w:val="21"/>
          <w:szCs w:val="24"/>
          <w:highlight w:val="none"/>
          <w:lang w:eastAsia="zh-CN"/>
        </w:rPr>
        <w:t>4、对于影响货物正常工作的必要组成部分，无论在技术规范中指出与否，供应商都应提供并在投标文件中明确列出。</w:t>
      </w:r>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r>
        <w:rPr>
          <w:rFonts w:hint="eastAsia" w:ascii="宋体" w:hAnsi="宋体" w:eastAsia="宋体" w:cs="宋体"/>
          <w:color w:val="auto"/>
          <w:spacing w:val="-1"/>
          <w:sz w:val="21"/>
          <w:szCs w:val="24"/>
          <w:highlight w:val="none"/>
          <w:lang w:eastAsia="zh-CN"/>
        </w:rPr>
        <w:t>运输与保管</w:t>
      </w:r>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r>
        <w:rPr>
          <w:rFonts w:hint="eastAsia" w:ascii="宋体" w:hAnsi="宋体" w:eastAsia="宋体" w:cs="宋体"/>
          <w:color w:val="auto"/>
          <w:spacing w:val="-1"/>
          <w:sz w:val="21"/>
          <w:szCs w:val="24"/>
          <w:highlight w:val="none"/>
          <w:lang w:eastAsia="zh-CN"/>
        </w:rPr>
        <w:t>1、中标供应商负责将货物运到现场过程中的全部运输费用，包括装卸车、货物现场的搬运。</w:t>
      </w:r>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r>
        <w:rPr>
          <w:rFonts w:hint="eastAsia" w:ascii="宋体" w:hAnsi="宋体" w:eastAsia="宋体" w:cs="宋体"/>
          <w:color w:val="auto"/>
          <w:spacing w:val="-1"/>
          <w:sz w:val="21"/>
          <w:szCs w:val="24"/>
          <w:highlight w:val="none"/>
          <w:lang w:eastAsia="zh-CN"/>
        </w:rPr>
        <w:t>2、必须提供货物的装箱清单，按装箱清单验收货物。</w:t>
      </w:r>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r>
        <w:rPr>
          <w:rFonts w:hint="eastAsia" w:ascii="宋体" w:hAnsi="宋体" w:eastAsia="宋体" w:cs="宋体"/>
          <w:color w:val="auto"/>
          <w:spacing w:val="-1"/>
          <w:sz w:val="21"/>
          <w:szCs w:val="24"/>
          <w:highlight w:val="none"/>
          <w:lang w:eastAsia="zh-CN"/>
        </w:rPr>
        <w:t>3、货物在安装调试验收合格前的保险由中标供应商负责，中标供应商负责其派出的现场服务人员人身意外保险。</w:t>
      </w:r>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r>
        <w:rPr>
          <w:rFonts w:hint="eastAsia" w:ascii="宋体" w:hAnsi="宋体" w:eastAsia="宋体" w:cs="宋体"/>
          <w:color w:val="auto"/>
          <w:spacing w:val="-1"/>
          <w:sz w:val="21"/>
          <w:szCs w:val="24"/>
          <w:highlight w:val="none"/>
          <w:lang w:eastAsia="zh-CN"/>
        </w:rPr>
        <w:t>4、设备在验收合格前的保管由中标供应商负责。</w:t>
      </w:r>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r>
        <w:rPr>
          <w:rFonts w:hint="eastAsia" w:ascii="宋体" w:hAnsi="宋体" w:eastAsia="宋体" w:cs="宋体"/>
          <w:color w:val="auto"/>
          <w:spacing w:val="-1"/>
          <w:sz w:val="21"/>
          <w:szCs w:val="24"/>
          <w:highlight w:val="none"/>
          <w:lang w:eastAsia="zh-CN"/>
        </w:rPr>
        <w:t>安装和调试</w:t>
      </w:r>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r>
        <w:rPr>
          <w:rFonts w:hint="eastAsia" w:ascii="宋体" w:hAnsi="宋体" w:eastAsia="宋体" w:cs="宋体"/>
          <w:color w:val="auto"/>
          <w:spacing w:val="-1"/>
          <w:sz w:val="21"/>
          <w:szCs w:val="24"/>
          <w:highlight w:val="none"/>
          <w:lang w:eastAsia="zh-CN"/>
        </w:rPr>
        <w:t>1、中标供应商负责本项目的建设、安装、调试。</w:t>
      </w:r>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r>
        <w:rPr>
          <w:rFonts w:hint="eastAsia" w:ascii="宋体" w:hAnsi="宋体" w:eastAsia="宋体" w:cs="宋体"/>
          <w:color w:val="auto"/>
          <w:spacing w:val="-1"/>
          <w:sz w:val="21"/>
          <w:szCs w:val="24"/>
          <w:highlight w:val="none"/>
          <w:lang w:eastAsia="zh-CN"/>
        </w:rPr>
        <w:t>2、中标供应商须于合同签订后30天内完成本项目产品的供货、安装、调试并交付使用。</w:t>
      </w:r>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r>
        <w:rPr>
          <w:rFonts w:hint="eastAsia" w:ascii="宋体" w:hAnsi="宋体" w:eastAsia="宋体" w:cs="宋体"/>
          <w:color w:val="auto"/>
          <w:spacing w:val="-1"/>
          <w:sz w:val="21"/>
          <w:szCs w:val="24"/>
          <w:highlight w:val="none"/>
          <w:lang w:eastAsia="zh-CN"/>
        </w:rPr>
        <w:t>3、安装所需工具设施物料由中标供应商自备、自费运到现场，完工后自费搬走，并保证不对建设场地环境造成任何不良影响。安装过程中，需考虑仪器安装的位置。</w:t>
      </w:r>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r>
        <w:rPr>
          <w:rFonts w:hint="eastAsia" w:ascii="宋体" w:hAnsi="宋体" w:eastAsia="宋体" w:cs="宋体"/>
          <w:color w:val="auto"/>
          <w:spacing w:val="-1"/>
          <w:sz w:val="21"/>
          <w:szCs w:val="24"/>
          <w:highlight w:val="none"/>
          <w:lang w:eastAsia="zh-CN"/>
        </w:rPr>
        <w:t>4、设备的装箱、安装、调试等项工作由中标供应商负责，但必须在采购人的指定人员的参与下进行。</w:t>
      </w:r>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bookmarkStart w:id="193" w:name="_Toc530989618"/>
      <w:r>
        <w:rPr>
          <w:rFonts w:hint="eastAsia" w:ascii="宋体" w:hAnsi="宋体" w:eastAsia="宋体" w:cs="宋体"/>
          <w:color w:val="auto"/>
          <w:spacing w:val="-1"/>
          <w:sz w:val="21"/>
          <w:szCs w:val="24"/>
          <w:highlight w:val="none"/>
          <w:lang w:eastAsia="zh-CN"/>
        </w:rPr>
        <w:t>售后服务</w:t>
      </w:r>
      <w:bookmarkEnd w:id="193"/>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r>
        <w:rPr>
          <w:rFonts w:hint="eastAsia" w:ascii="宋体" w:hAnsi="宋体" w:eastAsia="宋体" w:cs="宋体"/>
          <w:color w:val="auto"/>
          <w:spacing w:val="-1"/>
          <w:sz w:val="21"/>
          <w:szCs w:val="24"/>
          <w:highlight w:val="none"/>
          <w:lang w:eastAsia="zh-CN"/>
        </w:rPr>
        <w:t>本项目售后服务期为3年，确保系统稳定性。</w:t>
      </w:r>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r>
        <w:rPr>
          <w:rFonts w:hint="eastAsia" w:ascii="宋体" w:hAnsi="宋体" w:eastAsia="宋体" w:cs="宋体"/>
          <w:color w:val="auto"/>
          <w:spacing w:val="-1"/>
          <w:sz w:val="21"/>
          <w:szCs w:val="24"/>
          <w:highlight w:val="none"/>
          <w:lang w:eastAsia="zh-CN"/>
        </w:rPr>
        <w:t>项目承建单位必须提供7×24小时客户服务热线电话，提供全天候无间断的故障申报受理、硬件维修受理、培训需求受理以及服务政策咨询等服务内容。</w:t>
      </w:r>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r>
        <w:rPr>
          <w:rFonts w:hint="eastAsia" w:ascii="宋体" w:hAnsi="宋体" w:eastAsia="宋体" w:cs="宋体"/>
          <w:color w:val="auto"/>
          <w:spacing w:val="-1"/>
          <w:sz w:val="21"/>
          <w:szCs w:val="24"/>
          <w:highlight w:val="none"/>
          <w:lang w:eastAsia="zh-CN"/>
        </w:rPr>
        <w:t>售后服务期内，维修人员接到通知后2小时内响应，4小时内到场处理，24小时处理完毕。</w:t>
      </w:r>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r>
        <w:rPr>
          <w:rFonts w:hint="eastAsia" w:ascii="宋体" w:hAnsi="宋体" w:eastAsia="宋体" w:cs="宋体"/>
          <w:color w:val="auto"/>
          <w:spacing w:val="-1"/>
          <w:sz w:val="21"/>
          <w:szCs w:val="24"/>
          <w:highlight w:val="none"/>
          <w:lang w:eastAsia="zh-CN"/>
        </w:rPr>
        <w:t>培训措施</w:t>
      </w:r>
    </w:p>
    <w:p>
      <w:pPr>
        <w:pStyle w:val="9"/>
        <w:keepNext w:val="0"/>
        <w:keepLines w:val="0"/>
        <w:pageBreakBefore w:val="0"/>
        <w:widowControl/>
        <w:tabs>
          <w:tab w:val="left" w:pos="2979"/>
          <w:tab w:val="left" w:pos="4139"/>
        </w:tabs>
        <w:kinsoku/>
        <w:wordWrap/>
        <w:overflowPunct/>
        <w:topLinePunct w:val="0"/>
        <w:autoSpaceDE/>
        <w:autoSpaceDN/>
        <w:bidi w:val="0"/>
        <w:adjustRightInd w:val="0"/>
        <w:snapToGrid w:val="0"/>
        <w:spacing w:before="0"/>
        <w:ind w:left="0" w:firstLine="416" w:firstLineChars="200"/>
        <w:textAlignment w:val="auto"/>
        <w:rPr>
          <w:rFonts w:hint="eastAsia" w:ascii="宋体" w:hAnsi="宋体" w:eastAsia="宋体" w:cs="宋体"/>
          <w:color w:val="auto"/>
          <w:spacing w:val="-1"/>
          <w:sz w:val="21"/>
          <w:szCs w:val="24"/>
          <w:highlight w:val="none"/>
          <w:lang w:eastAsia="zh-CN"/>
        </w:rPr>
      </w:pPr>
      <w:r>
        <w:rPr>
          <w:rFonts w:hint="eastAsia" w:ascii="宋体" w:hAnsi="宋体" w:eastAsia="宋体" w:cs="宋体"/>
          <w:color w:val="auto"/>
          <w:spacing w:val="-1"/>
          <w:sz w:val="21"/>
          <w:szCs w:val="24"/>
          <w:highlight w:val="none"/>
          <w:lang w:eastAsia="zh-CN"/>
        </w:rPr>
        <w:t xml:space="preserve">负责制定本项目培训方案，编制相关培训教材，组织培训工作。在项目实施过程中，结合项目实施进度安排，合理地分期、分批对招标人的相关人员进行培训。 </w:t>
      </w:r>
    </w:p>
    <w:p>
      <w:pPr>
        <w:pStyle w:val="65"/>
        <w:adjustRightInd/>
        <w:snapToGrid/>
        <w:spacing w:after="0"/>
        <w:rPr>
          <w:rFonts w:eastAsia="宋体" w:cs="宋体"/>
          <w:color w:val="auto"/>
          <w:sz w:val="21"/>
          <w:szCs w:val="21"/>
          <w:highlight w:val="none"/>
        </w:rPr>
      </w:pPr>
    </w:p>
    <w:p>
      <w:pPr>
        <w:pStyle w:val="6"/>
        <w:bidi w:val="0"/>
        <w:rPr>
          <w:rFonts w:hint="default" w:eastAsia="宋体"/>
          <w:color w:val="auto"/>
          <w:highlight w:val="none"/>
          <w:lang w:val="en-US" w:eastAsia="zh-CN"/>
        </w:rPr>
      </w:pPr>
      <w:r>
        <w:rPr>
          <w:rFonts w:hint="eastAsia" w:eastAsia="宋体"/>
          <w:color w:val="auto"/>
          <w:highlight w:val="none"/>
          <w:lang w:val="en-US" w:eastAsia="zh-CN"/>
        </w:rPr>
        <w:t>五、项目清单</w:t>
      </w:r>
    </w:p>
    <w:tbl>
      <w:tblPr>
        <w:tblStyle w:val="25"/>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691"/>
        <w:gridCol w:w="6430"/>
        <w:gridCol w:w="458"/>
        <w:gridCol w:w="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691"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产品名称</w:t>
            </w:r>
          </w:p>
        </w:tc>
        <w:tc>
          <w:tcPr>
            <w:tcW w:w="6430"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技术参数</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532" w:type="dxa"/>
            <w:gridSpan w:val="5"/>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一、云桌面语音室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95" w:type="dxa"/>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691" w:type="dxa"/>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云平台</w:t>
            </w:r>
          </w:p>
        </w:tc>
        <w:tc>
          <w:tcPr>
            <w:tcW w:w="6430" w:type="dxa"/>
            <w:shd w:val="clear" w:color="auto" w:fill="FFFFFF" w:themeFill="background1"/>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1、安装部署方便，支持预设频道号及一键自动安装，支持Windows 11、10(x86&amp;x64)、Windows7(x86&amp;x64)、Server2008、Server2012、Server2016系统；软件激活需支持「在线激活」及「加密狗激活」两种方式；</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2、▲安卓APP控制:可以在安卓手机或者平板上安装控制程序，用来控制windows系统上的教师端程序；方便教师移动控制学生上课。（提供软件界面截图并加盖投标人公章）</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3、采用高品质语音编码和传输技术，广播教学流畅无延时，支持全屏广播、窗口广播、语音广播、学生转播等，支持DirectDraw、Direct3D、OpenGL、3DMax、AutoCAD、Flash、DVD光驱等内容广播，接收屏幕广播及语音广播的各学生端桌面画面及耳机声音同步。在窗口广播的模式下，学生端可以自主使用快捷键切换接收窗口的属性：全屏显示、窗口显示等；当教师端的桌面与学生端的桌面分辨率不一致时，作为接收端的学生端桌面可以智能滚动接收教师端的桌面。</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4、网络影院支持的视、音频模式需要满足多种主流格式：</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flv、rmvb、mp4、mkv、mov、avi、wmv、asf、rm、3gp、mpg、swf、mpeg；wav、mp3、wma、aac、flac、ape；支持标清、高清、超清视频，可以控制学生机的播放进度，同步学生端的播放窗口位置及大小，学生机可以断网续接。支持摄像头、CD\DVD等外部设备作为视频教学的发射源。</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5、电子白板支持老师可以实时开启与关闭电子画板，提供铅笔、指示棒、文字、直线、圆形、椭圆形、橡皮、矩形、提示框工具；可以随时撤销之前操作；可以打开文档、图片、软件程序界面作为电子画板的底图，或切换纯白、纯黑、当前桌面作为电子白板底图，并且电子白板教学同时自动开启语音教学。</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6、班级管理支持电子点名时显示学生的姓名、班级、学号等信息，强制点名，并可以把点名的情况生成报表；支持大图标、小图标、缩略图、列表、详细信息五种方式切换学生端视图显示方式；支持存储与应用不同的班级模型。</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7、分组管理支持分组管理、分组教学、分组讨论。老师可以将对上课的学生进行分组、添加成员、设置组长，并且给组长设置教学的屏幕广播、语音广播、网络影院、视频直播、远程桌面、远程遥控、文件传输等功能权限；老师可以直接套用分组进行分组教学，老师可轮流监测各组教学情况。</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8、考试支持综合考试、口语考试、随堂测试，以及执行文件传输功能发送文件或文件夹；综合考试支持AB卷，老师不需装软件可以在家编辑试卷，题型包括多选题、填空题、问答题、口试题、图片选择题、连线题主观题、选错题等题型，可以添加文本文件、视音频文件，可以自动或自主配分，支持限定考试时间，考试结束后可以智能分析答卷；</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9、支持word试题导入；考试支持ABCD卷，指定不同学生对不同考试内容进行测试。支持添加音视频，设置播放时间，支持模拟大学英语四六级考试，支持暂挂考试。</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10、支持标准试卷版口语考试方式，老师可以使用口语考试试卷编辑器中的模版编辑普通中\高考听说考试试卷，同时可以编辑座位模型。</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11、提供多种语言学习的方式：语音示范、老师训话、复读联系、存储声音、声音练习、语音比较、角色扮演、同声传译、群组聊天、多路广播、主题讨论；语音清晰、无延时；</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12、远程管理支持远程桌面、远程遥控、远程设置、远程命令、远程开关机、远程注销、远程重启、远程登录windows、远程修改学生端密码、同步用户操作系统时间、远程关闭应用程序、远程上网限制、远程U盘限制、远程光驱限制、远程卸载学生端程序，教师端可以以「全屏/窗口」方式「轮流/顺序」监看学生端的电脑桌面并可以自定义学生端桌面显示的分辨率，教师端可在监看学生端桌面时远程发送「Ctrl+Alt+Del」键、进行文件传输、截屏操作，远程遥控支持剪切板同步以及群组遥控。</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13、学生端需支持修改学生端程序密码、浮动工具条、发送消息、电子举手、文件提交、屏幕录制、卸载。</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▲14、提供软件著作权软件及功能测试报告。</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495" w:type="dxa"/>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691" w:type="dxa"/>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桌面虚拟化软件授权</w:t>
            </w:r>
          </w:p>
        </w:tc>
        <w:tc>
          <w:tcPr>
            <w:tcW w:w="6430" w:type="dxa"/>
            <w:shd w:val="clear" w:color="auto" w:fill="FFFFFF" w:themeFill="background1"/>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▲1、软件交互界面需采用统一的控制台，要求简单易操作，控制台中至少包含计算管理、存储管理、分组管理、用户管理、目录管理五个功能模块；（提供五个功能模块功能截图并盖</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公章，提供第三方机构出具的功能检测报告</w:t>
            </w:r>
            <w:r>
              <w:rPr>
                <w:rFonts w:hint="eastAsia" w:ascii="宋体" w:hAnsi="宋体" w:eastAsia="宋体" w:cs="宋体"/>
                <w:color w:val="auto"/>
                <w:sz w:val="21"/>
                <w:szCs w:val="21"/>
                <w:highlight w:val="none"/>
                <w:lang w:val="en-US" w:eastAsia="zh-CN"/>
              </w:rPr>
              <w:t>复印件并盖投标人公章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2、支持超融合基础架构，实现集群服务器、Hyper-V实时迁移技术和分布式文件系统(DFS)、支持服务器之间自动地进行故障转移(在系统或服务故障或在滚动的补丁/更新过程中)</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3、支持直接存储空间，提供类似于RAID的存储冗余和可恢复性，跨多个驱动器和多台服务器，用于非常快速和高可用性的存储。</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4、客户端支持裸机上开机连网即用：客户端不需要安装任何操作系统和软件，首次开机连网即用，不需要等待操作系统部署完成，连上学校现有服务器就可以启动进入操作系统，服务端推送过来的软件和程序首次开机连上网络就可以投入应用。</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5、支持多操作系统缓存到终端本地硬盘，且终端断网能使用，服务器中的数据和终端本地硬盘数据是同步的。</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6、支持终端本地多系统还原保护：支持以盘符为单位的每次/每日/手动还原等。</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7、性能监控：可实时以图表的形式显示出终端的CPU/内存使用率，数据下载或上传流量。存储的分区以及终端在线机器的监控状况。支持记录桌面或终端的运行情况，可查看每个机器的CPU、内存、C盘容量、上传流量、下载流量的一天平均值。（提供第三方机构出具的功能检测报告</w:t>
            </w:r>
            <w:r>
              <w:rPr>
                <w:rFonts w:hint="eastAsia" w:ascii="宋体" w:hAnsi="宋体" w:eastAsia="宋体" w:cs="宋体"/>
                <w:color w:val="auto"/>
                <w:sz w:val="21"/>
                <w:szCs w:val="21"/>
                <w:highlight w:val="none"/>
                <w:lang w:val="en-US" w:eastAsia="zh-CN"/>
              </w:rPr>
              <w:t>复印件</w:t>
            </w:r>
            <w:r>
              <w:rPr>
                <w:rFonts w:hint="eastAsia" w:ascii="宋体" w:hAnsi="宋体" w:eastAsia="宋体" w:cs="宋体"/>
                <w:color w:val="auto"/>
                <w:sz w:val="21"/>
                <w:szCs w:val="21"/>
                <w:highlight w:val="none"/>
              </w:rPr>
              <w:t>并盖</w:t>
            </w:r>
            <w:r>
              <w:rPr>
                <w:rFonts w:hint="eastAsia" w:ascii="宋体" w:hAnsi="宋体" w:eastAsia="宋体" w:cs="宋体"/>
                <w:color w:val="auto"/>
                <w:sz w:val="21"/>
                <w:szCs w:val="21"/>
                <w:highlight w:val="none"/>
                <w:lang w:val="en-US" w:eastAsia="zh-CN"/>
              </w:rPr>
              <w:t>投标人公</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8、网站访问控制：用户可以灵活定义黑白名单,对被管理计算机的网络访问进行审计和控制；并可以通过设定网页敏感字符的方式，限制用户对非法网站网页的有效网络访问。可以控制是否允许用户的上网具体时间；（提供第三方机构出具的功能检测报告</w:t>
            </w:r>
            <w:r>
              <w:rPr>
                <w:rFonts w:hint="eastAsia" w:ascii="宋体" w:hAnsi="宋体" w:eastAsia="宋体" w:cs="宋体"/>
                <w:color w:val="auto"/>
                <w:sz w:val="21"/>
                <w:szCs w:val="21"/>
                <w:highlight w:val="none"/>
                <w:lang w:eastAsia="zh-CN"/>
              </w:rPr>
              <w:t>并盖投标人公章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 xml:space="preserve">9、可以控制某组或者某个用户如下管理：锁定鼠标键盘、锁定注册表、禁止安装软件、锁定IP修改、锁定任务管理器、禁止设备管理器； </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10、集成系统虚拟、密码保护和常用文件夹排除迁移、注册表排除迁移等功能，防止未授权用户对系统/数据进行篡改；保护原系统稳定性，防止系统文件被删除，病毒感染等破坏性操作，（提供第三方机构出具的功能检测报告</w:t>
            </w:r>
            <w:r>
              <w:rPr>
                <w:rFonts w:hint="eastAsia" w:ascii="宋体" w:hAnsi="宋体" w:eastAsia="宋体" w:cs="宋体"/>
                <w:color w:val="auto"/>
                <w:sz w:val="21"/>
                <w:szCs w:val="21"/>
                <w:highlight w:val="none"/>
                <w:lang w:eastAsia="zh-CN"/>
              </w:rPr>
              <w:t>并盖投标人公章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11、终端镜像管理：支持新建目录，设置目录属性，新建分区镜像，分区镜像属性，支持把终端镜像共享。</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12、新建磁盘管理：支持输入磁盘名称，磁盘大小，磁盘是否显示帮助，是否显示操作系统选单，是否延迟关机，并且可以设置延迟关机等待时间。设置需要验证密码的管理操作：查看系统信息、删除系统索引、还原系统、保存系统、删除系统、卸载、显示隐藏系统（提供第三方机构出具的功能检测报告</w:t>
            </w:r>
            <w:r>
              <w:rPr>
                <w:rFonts w:hint="eastAsia" w:ascii="宋体" w:hAnsi="宋体" w:eastAsia="宋体" w:cs="宋体"/>
                <w:color w:val="auto"/>
                <w:sz w:val="21"/>
                <w:szCs w:val="21"/>
                <w:highlight w:val="none"/>
                <w:lang w:eastAsia="zh-CN"/>
              </w:rPr>
              <w:t>并盖投标人公章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13、组内单个终端个性引用系统镜像技术：一个机房中任意一台终端可单独引用不同的操作系统镜像，进行个性化设置，从而满足个别学生的特殊需求。</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14、支持设置分区属性：每次还原，每天第一次启动还原，每月第一次启动还原，每周第一次启动还原，手动还原。</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 xml:space="preserve">15、支持操作系统快照：针对操作系统，每更新一次就可以建立一个新的快照，支持不少于十个快照，随时可以恢复到设定的快照。支持复制操作系统快照，合并操作系统快照，删除操作系统快照，设置操作系统快照属性。 </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16、支持镜像上传压缩：压缩比率为区间为（1：0.7）与（1：0.5）之间，比如：终端数据为100G,经过压缩上传技术处理后，压缩后的数据 ≦70G上传至服务器上，大大减少了上传镜像的时间及减少服务器空间的存储。</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17、新建分组管理：支持输入分组名称，选择磁盘，起始IP地址，子网掩码，分组网关，首选DNS服务器，备选DNS服务器，机器名前缀，机器名起始标号，是否默认组，开机自动后台自动部署，执行软件预注册。</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▲18、支持根据终端配置和使用情况，灵活部署不同的系统，支持部署显示系统、默认系统、隐藏系统、所有系统等。（提供第三方机构出具的功能检测报告</w:t>
            </w:r>
            <w:r>
              <w:rPr>
                <w:rFonts w:hint="eastAsia" w:ascii="宋体" w:hAnsi="宋体" w:eastAsia="宋体" w:cs="宋体"/>
                <w:color w:val="auto"/>
                <w:sz w:val="21"/>
                <w:szCs w:val="21"/>
                <w:highlight w:val="none"/>
                <w:lang w:eastAsia="zh-CN"/>
              </w:rPr>
              <w:t>并盖投标人公章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19、支持与中控对接管理：实现开系统，关系统，开投影机，关投影机，开、关计算机，开电子锁，幕布升，幕布降。</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20、终端信息：通过控制台可以查看终端主机编号,终端名称，终端IP地址，终端硬件地址，在线状态，终端状态，部署方式，未部署数据，瞬时速度/平静速度（MB/S）,剩余时间，预设命令，子组编号。</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21、支持设置终端属性：显示机器mac地址。设置机器名称，机器IP地址，机器所属组，终端指定系统，引用快照，中控IP。支持强制修改本地网关为组内设置的网关。</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▲22、支持客户端IP占位功能，实现新客户端加入服务端时，不会由于单点的故障，而影响整体的计算机名和IP排序管理。（提供第三方机构出具的功能检测报告</w:t>
            </w:r>
            <w:r>
              <w:rPr>
                <w:rFonts w:hint="eastAsia" w:ascii="宋体" w:hAnsi="宋体" w:eastAsia="宋体" w:cs="宋体"/>
                <w:color w:val="auto"/>
                <w:sz w:val="21"/>
                <w:szCs w:val="21"/>
                <w:highlight w:val="none"/>
                <w:lang w:eastAsia="zh-CN"/>
              </w:rPr>
              <w:t>并盖投标人公章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23、支持自动保留终端当前OS状态：一键保存所有机房终端系统设置或增减内容技术：通过服务器管理平台利用一键保存技术可以对终端当前系统设置或当前增减内容统一保存。</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24、支持客户端计算机名、MAC和IP地址等信息的导入导出；</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25、双重缓存技术： 根据网络环境可以选择广播技术和P2P技术，充分保证用户在不同的网络环境，达到最优的缓存效果。</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26、 支持任意磁盘、镜像、分区之间相互独立：即对模板中的磁盘、镜像、分区的任意删除、增加等均相互不受影响。</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27、支持同种操作系统和软件多个并存在终端硬盘，空间不重复：同一种操作系统和软件，在终端不同的环境中存在，只占用一个大小的硬盘空间。</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28、 支持终端后台缓存：终端连接服务器后，会自动判断服务器中增减软件，且在操作系统后台自动缓存更新，不影响终端的使用，无须专门的系统缓存维护时间，机房无须停课维护。</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29、支持管理员多账号管理：可以根据需要添加多个账号，分配不同的权限，对终端机房实行分级管理。</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 xml:space="preserve">30、支持USB存储设备及光驱的开启/禁用，支持远程开关机，远程监控。 </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31、 硬件差异化技术：同一个系统镜像可以为不同型号不同品牌的IT终端使用，大大减少了维护人员重复安装系统、安装软件的工作量。</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691"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●云终端</w:t>
            </w:r>
          </w:p>
        </w:tc>
        <w:tc>
          <w:tcPr>
            <w:tcW w:w="6430" w:type="dxa"/>
            <w:shd w:val="clear" w:color="auto" w:fill="auto"/>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1、▲采用集成显示器的X86 架构一体机设备（为减少故障节点，不接受终端与显示器分离的设计，显示器≥23.8英寸，支持最大分辨率≥1920*1080），配置四核八线程处理器（处理器主频≥2.6GHz）；内存≥8GB；集成Intel UHD Graphics显卡；本地存储≥256 GB SSD；</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2、配置≥6 个USB 接口（包含2 个USB 3.0 接口），≥1 个千兆网口，≥1 个HDMI 接口，≥1 对音频输入输出接口；配置≥1个内存扩展槽，≥1 个SATA 扩展接口，可扩展1 个2.5 英寸硬盘；可扩展。</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3、标准有线键盘、鼠标一套。</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4、可统计计算机基本信息，包括计算机名称，网络，操信息作系统版本，登录用户，进程信息，网络共享信息，登录时间，开机启动项等信息。</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6、为了保证终端、桌面数据以及系统的安全，可防止未经授权的存储设备接入到终端上。可以通过管理软件配置整个网络内只有经过授权的U盘才可以接入，可以设置注册过的U盘的权限严格的移动存储管理机制，可以设置外设的详细权限(创建、读取、写入、重命名、删除)。</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7、自动扫描并完整记录每台终端硬件资产信息，详尽记录资产变更信息，可自定义资产属性进行辅助信息管理；当硬件资产出现变动的时候可以进行报警处理。可以将资产信息通过excel 表的形式导出。</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8、支持同时对多个终端或者桌面进行监控，可同时对一组计算机进行集中监控，实时查看单个桌面或者终端的的屏幕快照；</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9、▲内置供云终端批量管理软件，支持系统远程管理，远程批量关机重启，功能包括但不限于：自动发现云终端，可批量或单独对云终端设备进行如下操作：关机、重启、升级系统、恢复出厂设置、设置模板、设置时间、设置分辩率、设置系统语言、设置终端管理密码，学生无密码不能修改设置，可对云终端进行远程配置，可批量或单独设置云终端是否使用USB存储的开关、添加云终端证书、添加或删除citrix 证书，提供功能截图。</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91</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691"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云管理主机</w:t>
            </w:r>
          </w:p>
        </w:tc>
        <w:tc>
          <w:tcPr>
            <w:tcW w:w="6430" w:type="dxa"/>
            <w:shd w:val="clear" w:color="auto" w:fill="auto"/>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1、采用集成显示器的X86 架构一体机设备（为减少故障节点，不接受终端与显示器分离的设计，显示器≥23.8英寸，支持最大分辨率≥1920*1080），配置≥四核八线程处理器（处理器主频≥2.6GHz）；内存≥8GB；集成Intel UHD Graphics显卡；本地存储≥512 GB SSD；</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2、配置≥6 个USB 接口（包含2 个USB 3.0 接口），≥1 个千兆网口，≥1 个HDMI 接口，≥1 对音频输入输出接口；配置≥1个内存扩展槽，≥1 个SATA 扩展接口，可扩展1 个2.5 英寸硬盘；可扩展。</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3、云终端要求内置虚拟桌面系统，能够做到免身份验证登录虚拟桌面，避免使用时的麻烦问题；</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4、具备独立的调节显示屏亮度功能键，可实现亮度调节；标配有光驱位，提供 铝合金快拆底座，提供产品外观图片。</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5、标准有线键盘、鼠标一套。</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6、为了保证终端、桌面数据以及系统的安全，可防止未经授权的存储设备接入到终端上。可以通过管理软件配置整个网络内只有经过授权的U盘才可以接入，可以设置注册过的U盘的权限严格的移动存储管理机制，可以设置外设的详细权限(创建、读取、写入、重命名、删除)。</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7、支持同时对多个终端或者桌面进行监控，可同时对一组计算机进行集中监控，实时查看单个桌面或者终端的的屏幕快照。</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8、网站访问控制：用户可以灵活定义黑白名单,对被管理计算机的网络访问进行审计和控制；并可以通过设定网页敏感字符的方式，限制用户对非法网站网页的有效网络访问。可以控制是否允许用户的上网具体时间。</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691"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云服务器</w:t>
            </w:r>
          </w:p>
        </w:tc>
        <w:tc>
          <w:tcPr>
            <w:tcW w:w="6430" w:type="dxa"/>
            <w:shd w:val="clear" w:color="auto" w:fill="auto"/>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1、机架式机型，CPU E2224，内存≥16GB；本地存储≥480GB SSD，1块2T 企业级SATA盘，配置≥1 个内存扩展槽，配置≥1 个硬盘扩展槽；</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2、USB 接口≥3 个（包含≥4 个USB 3.0 接口），≥2个千兆网口，≥1 个VGA 接口，</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3、管理平台采用C/S架构，中文图形化操作界面，同一管理界面中可实现对系统、存储、用户等功能的配置和操作，实现智能部署、断网使用、多重引导、保护还原；</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4、要求采用VOI架构，在同一管理平台内至少包含镜像管理、磁盘管理、用户管理等功能管理模块。所有功能模块需要通过一个厂家的一套软件实现智能部署，不可以使用多套软件或产品叠加实现。</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5、集成系统虚拟、密码保护和常用文件夹排除迁移、注册表排除迁移等功能，防止未授权用户对系统/数据进行篡改；保护原系统稳定性，防止系统文件被删除，病毒感染等破坏性操作，提供功能截图。</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691"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智慧黑板</w:t>
            </w:r>
          </w:p>
        </w:tc>
        <w:tc>
          <w:tcPr>
            <w:tcW w:w="6430" w:type="dxa"/>
            <w:shd w:val="clear" w:color="auto" w:fill="auto"/>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1.智慧黑板采用无推拉式结构，由三块拼接而成的纯平面黑板，支持水性笔、普通粉笔、无尘粉笔等多种书写方式，可实现整块黑板统一书写。</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2.智慧黑板采用包边设计，屏幕表面钢化玻璃卡嵌在铝合金边框内，黑板四角为圆弧型设计，确保教学安全。</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3.产品整体尺寸：长4200mm 、高1300mm 、厚95mm。液晶屏尺寸86英寸，分辨率3840X2160，UHD超高清。灰度分辨等级128灰阶或以上。</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4.支持双系统：Android、Windows双系统，当其中一个系统出现异常时，可切换至第二系统，保证教学不受影响。</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 xml:space="preserve">5.支持实时监看主机温度，便于了解设备的运行状态。 </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6.支持开机画面自定义，方便学校根据需要，设置特定的开机欢迎语。</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7.为便于老师操作，产品前置控制按键，数量7个，分别为开关控制、主菜单控制、信号通道控制、音量加减控制、一键节能控制等。</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8.配备无线智能遥控器，可实现常用控制功能。</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9.为更好的辅助教学，产品具备2路前置USB接口,且前置USB接口全部支持Windows及Android双系统读取。</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10.为便于连接外部设备，产品具备1路前置USB触控输出接口。</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11.为便于连接外部设备，产品具备1路前置3.5 mm音频输出接口、 1路前置HDMI高清输入接口。</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12.为便于产品升级维护，智慧黑板的主板模块、电脑模块均采用开放式拔插结构设计。</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13.接口： 1路3.5 mm耳机输出，1路AV输出和AV输入，1路RS232 IN。</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14.产品内置喇叭，喇叭采用音腔前出设计，确保音质清晰真实。功率2×10W, 立体声、双声道、高保真。</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15.采用液晶显示屏对比度4000:1，亮度450cd/㎡，可视角度178°，响应速度8ms。</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▲16.连续响应速度≤10ms,触摸有效识别≤5毫米。(提供第三方检测机构出具的检验报告复印件证明并加盖投标人公章）</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17.产品采用投射式电容触控技术，手指轻触式多点（10点触控）互动体验。</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18.产品具有五指智能手势识别开关黑板背光功能，操作者可在显示区域任意位置，任意信号下，通过五指按压屏幕实现对屏幕的开关，五指实现黑板背光的关闭与开启，触控功能与传统书写功能瞬间切换。(提供第三方检测机构出具的检验报告复印件证明并加盖投标人公章）</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19.触控功能与传统书写功能瞬间切换，切换响应速度2s。</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20.产品内置中控触摸菜单，中控触摸菜单可以将信号源通道切换、亮度对比度调节、声音图像调节等整合到同一菜单下，无需物理按键，且在任意显示通道下均可在屏幕上调取该触摸菜单，方便快捷。</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 xml:space="preserve">21.支持PC信号源模式下，实现窗口一键下移功能，便于不同身高的人员操作使用。 </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22.支持放大镜功能，便于教师对知识点放大展示，供学生清晰观看学习。</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23.支持锁屏功能，可对显示界面一键锁定，并且支持被授权人员凭密码解锁。</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24.产品内置无线扩音系统，便于老师用话筒无线连接智慧黑板内置的音箱进行扩音。</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25.智慧黑板支持HDMI、VGA、window、Android等多种信号源输入选择。</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▲26.屏幕采用防眩光钢化玻璃，使用1.3Kg钢球，在2m处自由落体撞击整机液晶显示屏幕的钢化玻璃，产品无损坏，功能无异常。(提供第三方检测机构出具的检验报告复印件证明并加盖投标人公章）</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27.为确保耐用性，产品的钢化玻璃具有防划伤设计，钢化玻璃硬度7H，耐磨防划伤，符合正常使用需求。</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28.为保护使用者的视力，产品具有防蓝光设计，光生物安全（防蓝光），无危害，符合肉眼观看。</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29.为确保使用者的安全，黑板具有防爆功能，破碎不能溅出伤人。</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30.产品防尘防水，满足IP43防护等级。</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 为保证产品的耐腐抗老化性能， 智慧黑板的纳米触控模组应采用耐高低温技术处理，能承受低温-20℃～高温60℃的试验. (提供第三方检测机构出具的检验报告复印件证明并加盖投标人公章）</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691"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智慧黑板管理系统</w:t>
            </w:r>
          </w:p>
        </w:tc>
        <w:tc>
          <w:tcPr>
            <w:tcW w:w="6430" w:type="dxa"/>
            <w:shd w:val="clear" w:color="auto" w:fill="auto"/>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主工具条简单实用，只显示老师最常用的画笔、板擦、漫游、撤销、翻页和新建页。支持单窗口下，全屏中英文、数字的混合智能同时识别（拒绝采用分页及切换不同输入法选择方式），默认识别字体为微软雅黑。支持擦除文字，如：中国China总面积约960万平方千米。识别的文字支持修改字体和字号。(提供第三方检测机构出具的检验报告复印件证明并加盖投标人公章）</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2．支持扫描二维码直接下载和分享课件。</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3．支持多人同时书写，互不影响。不论是笔迹、图片、图形都可以实现任意部分的擦除。</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4．支持边写边擦，擦除过程中擦除面积随手的接触面积大小改变而随时改变。</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5．桌面模式下可以使用白板的所有工具，桌面模式下支持工具条最小化成一个按钮。</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6．支持将白板外的任意文件截图发送到白板，并对截图内容进行讲解和批注。</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7．资源访问需支持多种渠道，支持从本地素材库一键拖拽资源到白板中；也可以从我的电脑中添加本地资源到白板中。</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8．支持智能录制微视频和课堂内容，保存到本机上并可一键上传教育云教师空间。</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9．支持一键切换学科模式，对应的背景主题、学科工具、资源素材、自动切换到对应学科。</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10．支持公式和图形的智能识别，公式识别：如ax²+bx+C=0等，图形识别：包括任何规则和不规则图形，如三角形、五角星等。</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11．支持备授课两种模式，备课模式下老师可根据教学需求对页面中任意的对象进行交互动画设置，如渐变、擦除、百叶窗等特效，还能设置动画进入或退出的速度和方式.</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12．书写笔包括硬笔（普通笔）、荧光笔、印章笔、纹理笔、毛笔、钢笔、排刷、激光笔、文本输入等多种笔型，同时印章笔和纹理笔不仅内置部分图案，老师还可以自己添加喜欢的图案；切换笔形后，图标显示为当前笔形及笔的颜色和粗细。(提供第三方检测机构出具的检验报告复印件证明并加盖投标人公章）</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13．板擦包括任意擦除、区域擦除、对象擦除以及全屏擦除。</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14．多点书写：支持10人以上同时书写，并能达到流畅书写。软件支持分学科的模式设定，包含语文、数学、化学、英语、物理和生物等6类学科设定，每个学科的教学工具均归类在独立的学科模式中，适应教学的实际需要。</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15．软件支持分学科的模式设定，包含语文、数学、化学、英语、物理和生物等6类学科设定，每个学科的教学工具均归类在独立的学科模式中，适应教学的实际需要。</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16．图形输入支持多种方式，可以从菜单中快速选择二维和三维图形；可以通过量角器直接画角度、通过圆规画弧度和扇形，通过直尺画直线，并且能标注角度、半径和长度，也可以通过图形智能识别画各种不规则图形。(提供第三方检测机构出具的检验报告复印件证明并加盖投标人公章）</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17．office文档：提供PPT、Word、Excel等文档的嵌入打开，演示、批注，及批注保存功能；在PPT播放模式下，既可以批注，也可以快速上下页切换；可将PPT文件导入到白板软件中，并保持PPT文件中对象的独立性和PPT原有的背景和版式，其中图片、文本、音频、视频、以对象形式导入可进行再次编辑和保存。(提供第三方检测机构出具的检验报告复印件证明并加盖投标人公章）</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18．多页面切换模式：可实现不同页面文档的快速翻页，实现页面预览功能，并且可以快速实现复制页面、删除页面、移动页面位置。</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19．提供相关学科的教学辅助工具，服务方便于教师的课堂教学。如：提供直尺、三角板、圆规、量角器，同时可以在这些几何工具的辅助下画直线、圆、角、弧线、扇形等图形，使用圆规绘制弧线和扇形时可显示绘制角度；学科及教学背景：提供丰富的学科背景和教学背景模板供老师使用，包括田字格、作文纸等。(提供第三方检测机构出具的检验报告复印件证明并加盖投标人公章）</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691"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学堂教育管理系统</w:t>
            </w:r>
          </w:p>
        </w:tc>
        <w:tc>
          <w:tcPr>
            <w:tcW w:w="6430" w:type="dxa"/>
            <w:shd w:val="clear" w:color="auto" w:fill="auto"/>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软件界面：要求软件能够实现资源中心、智慧课堂、互动课堂、录播课程、直播课堂、虚拟课堂、人工智能、大数据中心、设备管理、常用工具、收藏夹、应用市场等功能。(提供第三方检测机构出具的检验报告复印件证明并加盖投标人公章）</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2.资源中心：要求软件能够实现数字教材资源、云端资源，至少覆盖小学、初中、高中阶段各年级的多个学科课程资源。</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3.精准备课系统：</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（1）.要求软件能够实现云技术，备课资源能够云端存储，教师能够在线查看和编辑备课资源，备课不受时间空间限制功能。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要求软件能够实现根据教材章节自动给教师匹配的完整备课包，备课包设计了一堂课程的完整教学活动和教学活动需要的资源素材，备课包内容覆盖了课前、课中、课后全场景教学环节，课前包含学生预习的学案以及自我检测的试题，课中包含了课上要用的课件、微课以及课堂练习，课后包括课后作业，对于课中资料，老师可以一键发布到课程表，上课时老师启动大屏端的白板软件就能自动获得此课中资料，老师可以对备课包进行二次编辑功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要求软件能够实现备课时，老师可以从云端选取备课素材，云端资源包括个人资源，校本资源和公共资源，添加云端资源时按老师当前课程对应的章节和知识点智能推送相应的课件、学案、微课、试题和试卷；同时支持老师上传本地资源。老师在组卷的过程中，不仅支持从题库、错题集中选择试题，而且可以根据老师对试卷的个性化需求，系统自动智能组卷功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（4）.要求软件能够实现历史备课支持按章节、知识和时间三个维度查找，支持查看每一节课的课前、课中、课后资料、试题、试卷功能。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▲（5）.要求软件能够实现集体备课，教师分享备课内容给其他教师，被分享教师有权选择接受或拒绝，接受后可以进行二次编辑功能。(提供第三方检测机构出具的检验报告复印件证明并加盖投标人公章）</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4.教学资源课程包：</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要求软件能够实现提供基于整册书，同步到每课时的参考课程包，每课时的课程包内容涵盖课前预习、课中授课和课后作业，包括不限于参考教案、与教案配套的课前预习任务、课中授课课件、课堂例题和练习题、课后配套作业等，课程包自动匹配到教师备课空间，教师可以直接引用其中任意模块的内容进行教学，支持教师进行二次编辑，教案内容至少包含以下教学环节：教学目标、教学重点、教学难点、教学准备、教学步骤、板书设计和教学反思功能。(提供第三方检测机构出具的检验报告复印件证明并加盖投标人公章）</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（2）.要求软件能够实现课程包中的内容可以发布到老师课程表的某节课或多节课功能。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要求软件能够实现课程包内容支持老师二次编辑，其中可以对课程内容删减或新增，可以通过云端、我上传的、我收藏的和本地资源在课程包中新增课件、教案、微课、试题和试卷等，并且修改后的个性课程包最后会沉淀为优质校本资源功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▲（4）.要求软件能够实现课程包支持老师分享给同年级的其他教师，被分享的教师有权接收或拒绝，接收的教师能进行二次编辑功能。(提供第三方检测机构出具的检验报告复印件证明并加盖投标人公章）</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5.校本资源数字化结构化入库：</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要求软件能够实现支持老师上传和分享自己的资源，包括课件、教案、学案、试卷、素材、视频、微课等。并对资源进行了颗粒化处理,资源按照学段、科目、版本、分册的章节目录以及各学段、科目的知识点目录，进行快速检索，通过最新、最热，各种不同维度快速查找。用户可以对每个资源进行阅读、下载、收藏和点赞功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（2）.要求软件能够实现老师上课的讲解视频能通过大屏一键上传到校本课程库和老师备课中心，支持按章节、知识点和备课的课程系统等维度快速查找功能。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要求软件能够实现导入的练习册自动呈现在老师和学生的个人空间，支持按章节查看对应试题。批量导入练习册中的试题需支持自动结构化入库到校本题库中，支持按章节、知识点、题型、难易度筛选试题，方便预习、课中、课后和考试等场景直接调用使用功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6.常用工具：要求软件能够实现支持添加常用工具，包括office、邮件、PS等第三方系统工具功能。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7.收藏夹：要求软件能够实现支持用户添加收藏夹功能，包含网页链接、快捷方式链接功能。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8.应用市场：要求软件能够实现支持应用市场功能，应用市场中可以添加不同厂家的官方网站功能。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9.大数据中心：</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（1）.要求软件能够实现实时数据状态监测 ，内置全国地图 ，支持以区域真实电子地图形式展示本区域的运行数据。电子地图分多级管理 ，支持逐级点击各省地图板块观看对应数据功能。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（2）.要求软件能够实现支持当用鼠标在数据电子地图点选某区域后即可呈现当前地域的信息数据。至少包含服务学校数、服务班级数、服务老师数、服务学生数等，并可将各个区域数据进行汇总功能。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要求软件能够实现至少包含今日浏览量（PV）、今日访客数量（UV）、历史最高浏览量（HPV）、历史最高访客数（HUV）等数据信息。同时以曲线图直观呈现。也可显示注册用户数量功能。(提供第三方检测机构出具的检验报告复印件证明并加盖投标人公章）</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要求软件能够实现显示老师备课次数、老师授课次数、学生完成作业数、老师讲解错题数、学生纠正错题数、学生巩固练习错题数、学生自主学习次数、考试次数等；并且以柱状图形式呈现学生完成作业数，至少包含课前作业、课后作业、智能个性化作业功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（5）.要求软件能够实现对当前资源类型进行分布统计，并以饼状图进行呈现。资源类型至少包括微课、试题、课件、教案、试卷、视频、素材、学案、白板文件、资源压缩包功能。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（6）.要求软件能够实现对资源使用情况进行分析，以曲线图方式呈现，根据不同日期，从曲线图中可清晰看到浏览次数、分享次数、收藏次数、上传次数、下载次数功能。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（7）.要求软件能够实现显示用户最新动态，以滚动屏方式进行呈现，显示用户名称及其教学行为信息功能。</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691"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OPS电脑</w:t>
            </w:r>
          </w:p>
        </w:tc>
        <w:tc>
          <w:tcPr>
            <w:tcW w:w="6430" w:type="dxa"/>
            <w:shd w:val="clear" w:color="auto" w:fill="auto"/>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1.电脑采用OPS插拔式架构，可维护、插拔式结构设计。</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2.处理器：配置I5八代处理器；内存：8G；硬盘：256G-SSD 固态硬盘。</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3.电脑具有物理还原按键，支持一键还原功能。</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4.具有独立非外扩展接口：HDMI out*1 、Mic in*1、 LINE-out*1个、USB口6个其中USB 3.0*3个，Rj45*1个。</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5.内置有线网卡和无线网卡。无线网卡采用双WiFi天线，确保无线信号的稳定性。</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691"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教师讲桌</w:t>
            </w:r>
          </w:p>
        </w:tc>
        <w:tc>
          <w:tcPr>
            <w:tcW w:w="6430" w:type="dxa"/>
            <w:shd w:val="clear" w:color="auto" w:fill="auto"/>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讲桌采用钢木结合构造，桌体上部分采用圆弧设计。讲台整体设计符合人体力学原理，提供左右木质扶手，供使用者扶用。重点部位须采用一次冲压成型技术；所有钣金部分均采用激光切割加工，所有尖解倒圆角不小于R3，保证使用者和维护者不划伤。</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2、讲桌尺寸：1100*670*950。</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上柜体只需由一把机械锁控制，采用环环相扣设计，显示器盖板、键盘、中控和展示台抽屉逐步打开,台面平整方便操作。翻转式显示器，可任意角度调整，翻转式键盘架，节约空间可放置任意大小中控；。操作更简易，使用更安全。</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4、讲桌桌面采用木质耐划台面，闭合时讲台桌面为完整水平木台面，可作为老师演讲桌使用。右侧抽屉可放置实物展示台，关闭后，所有设备都隐藏在讲台内。</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5、讲桌上下层采用分体式设计，桌面部分和桌体部分自成一体，方便进出设计比较窄的教室门。讲桌内置固定螺丝孔位，安装简单，安全防盗，独立包装，运输轻便。</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6、显示器盖板和键盘盖板均采用翻转式设计。显示器盖板可进行0-120度自由定位调节。键盘下面放置一体中控或者分体中控系统。</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691" w:type="dxa"/>
            <w:shd w:val="clear" w:color="auto" w:fill="auto"/>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教师座椅</w:t>
            </w:r>
          </w:p>
        </w:tc>
        <w:tc>
          <w:tcPr>
            <w:tcW w:w="6430" w:type="dxa"/>
            <w:shd w:val="clear" w:color="auto" w:fill="auto"/>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1、面材采用优质阻燃麻绒面料。</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2、座包、靠背采用高密度泡棉。</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3、ABS工程塑胶五星脚。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4、配置万向轮气动升降。</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691"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48口交换机</w:t>
            </w:r>
          </w:p>
        </w:tc>
        <w:tc>
          <w:tcPr>
            <w:tcW w:w="6430" w:type="dxa"/>
            <w:shd w:val="clear" w:color="auto" w:fill="auto"/>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48个10/100/1000BASE-T以太网端口，4个千兆SFP，交流供电）</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691"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24口交换机</w:t>
            </w:r>
          </w:p>
        </w:tc>
        <w:tc>
          <w:tcPr>
            <w:tcW w:w="6430" w:type="dxa"/>
            <w:shd w:val="clear" w:color="auto" w:fill="auto"/>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24个10/100/1000BASE-T以太网端口，4个千兆SFP，交流供电）</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691"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网络机柜</w:t>
            </w:r>
          </w:p>
        </w:tc>
        <w:tc>
          <w:tcPr>
            <w:tcW w:w="6430" w:type="dxa"/>
            <w:shd w:val="clear" w:color="auto" w:fill="auto"/>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1、尺寸:600mm宽*1000mm高*600mm深,容积24U。</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2、脱脂静电喷涂;外形美观,全框架结构,方便实用 前后门网孔设计。</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3、采用旋转式散热风口，外型更美观，散热更良好。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4、标准配置:高速风扇2个,六位10APDU电源一套.固定层板2个 螺丝1包,脚轮四只,支撑脚四个。</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5、主要材料:SPCC优质冷扎钢板制作；厚度方孔条1.2mm，其它1.0mm ，上下有进线孔打开就可以进出线,。</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691"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3匹天花机空调</w:t>
            </w:r>
          </w:p>
        </w:tc>
        <w:tc>
          <w:tcPr>
            <w:tcW w:w="6430" w:type="dxa"/>
            <w:shd w:val="clear" w:color="auto" w:fill="auto"/>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3匹空调天花机，多联商用中央空调，冷暖类型：冷暖</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691"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教学型智能安全音响系统</w:t>
            </w:r>
          </w:p>
        </w:tc>
        <w:tc>
          <w:tcPr>
            <w:tcW w:w="6430" w:type="dxa"/>
            <w:shd w:val="clear" w:color="auto" w:fill="auto"/>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1.扬声器指向性：360度等声压均匀全指向，保证每个位置音量一样（投标时提供官网截图或彩页资料，截图或资料内容中能体现该参数要求）；</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性能指标：（1）室内声场不均匀度：室内各座位测量点稳态声压级的最大值与最小值差值范围为4dB之内，投标时提供第三方机构测试报告，报告中能体现该参数要求；（2）扩声系统语言传输指数STIPA：调制传递函数MTF测量值为0.6-0.7，投标时提供第三方机构测试报告，报告中能体现该参数要求；（3）相邻教室声波干涉：相邻教室在1m等高线以上的空间，其声压级NR ≤50dB，投标时提供第三方机构测试报告，报告中能体现该参数要求；（4）环境噪声：教室的位置、教学设备、周边教学环境所产生的噪声静态不大于40dB，投标时提供第三方机构测试报告，报告中能体现该参数要求；（5）声压级：在离地面1.2米高度的平均声压级不大于80dB（A）。（提供第三方机构检测报告，报告中能体现该参数要求，加盖投标人公章）</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3.蓝牙功能：支持蓝牙无线接收，方便老师分享移动设备（手机/电脑）上的音频。蓝牙支持密码模式，防止学生连接。支持手机通过蓝牙无线连接音箱，实现控制有源音箱的音量、设置蓝牙密码等功能，方便教师对音箱的管控。</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4.U段无线头戴式麦克风/无线手持麦集音频发射处理器、天线、电池、拾音麦克风于一体，配合一体化有源音箱，无需任何外接辅助设备即可实现本地扩声功能，传送、播放语音信息。麦克风音频采集单元距离讲话人嘴边距离保持在2cm，保证拾音效果。采用轻量化设计，长时间佩戴无疲劳感。</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5. 红外对频方式：开机自动搜索干净信道并自动配对，保证产品不串频、抗干扰性强以及传输的稳定性；可通过红外对频，确保配对设备的唯一性，杜绝串频；</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6. 可通过手机上的微信小程序操控音响各种功能；</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7.可通过音频输入端设备连接多种外部音源。</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8.同一话筒可在任意教室使用。</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9.支持音量调节：可调节麦克风音量的大小，并具有记忆功能；支持一键静音功能。</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10.智能低能耗设计，无信号输入时60分种内自动关机。</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691"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头戴式耳机</w:t>
            </w:r>
          </w:p>
        </w:tc>
        <w:tc>
          <w:tcPr>
            <w:tcW w:w="6430" w:type="dxa"/>
            <w:shd w:val="clear" w:color="auto" w:fill="auto"/>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输出功率：20mw,频率响应：20-20Khz,标称阻抗：32欧</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691"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六类双绞线</w:t>
            </w:r>
          </w:p>
        </w:tc>
        <w:tc>
          <w:tcPr>
            <w:tcW w:w="6430" w:type="dxa"/>
            <w:shd w:val="clear" w:color="auto" w:fill="auto"/>
          </w:tcPr>
          <w:p>
            <w:pPr>
              <w:pStyle w:val="7"/>
              <w:spacing w:before="0"/>
              <w:ind w:left="0"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1、传输性能参数符合并达到ANSI/TIA/EIA-568-C.2 250MHz 。                                                                                       </w:t>
            </w:r>
          </w:p>
          <w:p>
            <w:pPr>
              <w:pStyle w:val="7"/>
              <w:spacing w:before="0"/>
              <w:ind w:left="0"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2、六类非屏蔽线缆需具有中心卍字芯骨架，减少重压和扭绞带来的破坏 。</w:t>
            </w:r>
          </w:p>
          <w:p>
            <w:pPr>
              <w:pStyle w:val="7"/>
              <w:spacing w:before="0"/>
              <w:ind w:left="0"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3、六类非屏蔽线缆采用内齿装护套，增强线对的抗压性与信号传输时的稳定性。</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4、电缆外护套采用PVC，绝缘层采用HDPE，导体采用无氧铜。</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5、无机械或电气损伤的温度范围: 安装时: 0~+50℃；运行时:-20~+60℃，导体直流电阻≤9.5Ω/100m。</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6、直流电阻不平衡≤2.5%，绝缘电阻≥5000MΩ·km，线对对地电容不平衡≤330pF/100m，特性阻抗：100±15Ω。</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7、电缆最大外径≤7.5mm，护套厚度≥0.55mm。</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691"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理线架</w:t>
            </w:r>
          </w:p>
        </w:tc>
        <w:tc>
          <w:tcPr>
            <w:tcW w:w="6430" w:type="dxa"/>
            <w:shd w:val="clear" w:color="auto" w:fill="auto"/>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1、介电强度:在60Hz条件下1000V（有效值）1分钟。</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2、额定电流:最大1.5A ，绝缘电阻:最小200MΩ，接触电阻:每个触点1MΩ。</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3、温度范围:-40℃到+70℃。</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4、传输性能:达到或超过ISO/IEC/ 11801 E级AS/NZS 3080:2003。</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5、E级标准，模块式触点机械特性，RJ45 8针触点:IEC-60603-7标准。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6、耐用性:可插拔750次以上，材料:磷青铜，有50 μm  镀金层和100μm 镀镍层，IDC触点机械特性。</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7、触点:可卡接22-24AWG(0.64mm到0.41mm）线规的导体</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导体绝缘层直径:0.70mm-1.40mm。</w:t>
            </w:r>
          </w:p>
          <w:p>
            <w:pPr>
              <w:spacing w:line="360" w:lineRule="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8、连接头材料:带有镀镍层的磷青铜。</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691"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电源线</w:t>
            </w:r>
          </w:p>
        </w:tc>
        <w:tc>
          <w:tcPr>
            <w:tcW w:w="6430" w:type="dxa"/>
            <w:shd w:val="clear" w:color="auto" w:fill="auto"/>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1、BVR2.5mm2平方多股电源线。</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2、产品特征：绝缘机械性能好，性能优异，颜色鲜明，性能佳，使用更安全。</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3、应用标准：JB/T10261-2001</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4、电缆结构导体：单支或多股绞合无氧铜丝绝缘：特殊混合PVC绝缘。</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5、颜色：红、黄、蓝、绿、黑、白、双等多种颜色。</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6、应用标准：GB/T 5023.5-2008、JB/T 8734-2012。</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691"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电源线</w:t>
            </w:r>
          </w:p>
        </w:tc>
        <w:tc>
          <w:tcPr>
            <w:tcW w:w="6430" w:type="dxa"/>
            <w:shd w:val="clear" w:color="auto" w:fill="auto"/>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1、总电源线BVR6mm2铜芯线。</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2、产品特征：绝缘机械性能好，性能优异，颜色鲜明，性能佳，使用更安全。</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3、应用标准：JB/T10261-2001</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4、电缆结构导体：单支或多股绞合无氧铜丝绝缘：特殊混合PVC绝缘。</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5、颜色：红、黄、蓝、绿、黑、白、双等多种颜色。</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6、应用标准：GB/T 5023.5-2008、JB/T 8734-2012。</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691"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电源插座</w:t>
            </w:r>
          </w:p>
        </w:tc>
        <w:tc>
          <w:tcPr>
            <w:tcW w:w="6430" w:type="dxa"/>
            <w:shd w:val="clear" w:color="auto" w:fill="auto"/>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1、3+3+2多插电源插座。</w:t>
            </w:r>
          </w:p>
          <w:p>
            <w:pPr>
              <w:spacing w:line="360" w:lineRule="auto"/>
              <w:rPr>
                <w:rFonts w:hint="eastAsia" w:ascii="宋体" w:hAnsi="宋体" w:eastAsia="宋体" w:cs="宋体"/>
                <w:bCs/>
                <w:color w:val="auto"/>
                <w:kern w:val="44"/>
                <w:sz w:val="21"/>
                <w:szCs w:val="21"/>
                <w:highlight w:val="none"/>
              </w:rPr>
            </w:pPr>
            <w:r>
              <w:rPr>
                <w:rFonts w:hint="eastAsia" w:ascii="宋体" w:hAnsi="宋体" w:eastAsia="宋体" w:cs="宋体"/>
                <w:color w:val="auto"/>
                <w:sz w:val="21"/>
                <w:szCs w:val="21"/>
                <w:highlight w:val="none"/>
              </w:rPr>
              <w:t>2、具有较好的网络系统链路和信道性能的通过性和连通性。</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w:t>
            </w:r>
          </w:p>
        </w:tc>
        <w:tc>
          <w:tcPr>
            <w:tcW w:w="691"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辅材配件及人工费</w:t>
            </w:r>
          </w:p>
        </w:tc>
        <w:tc>
          <w:tcPr>
            <w:tcW w:w="6430" w:type="dxa"/>
            <w:shd w:val="clear" w:color="auto" w:fill="auto"/>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4/6分线槽、螺丝、胶布等相关小五金及布线安装调试人工费</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495"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691"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竣工后卫生清洁</w:t>
            </w:r>
          </w:p>
        </w:tc>
        <w:tc>
          <w:tcPr>
            <w:tcW w:w="6430" w:type="dxa"/>
            <w:shd w:val="clear" w:color="auto" w:fill="auto"/>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按室内面积计算，由专业清洁公司清洁</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8" w:type="dxa"/>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w:t>
            </w:r>
          </w:p>
        </w:tc>
      </w:tr>
    </w:tbl>
    <w:p>
      <w:pPr>
        <w:rPr>
          <w:color w:val="auto"/>
          <w:highlight w:val="none"/>
        </w:rPr>
      </w:pPr>
    </w:p>
    <w:p>
      <w:pPr>
        <w:pStyle w:val="6"/>
        <w:bidi w:val="0"/>
        <w:rPr>
          <w:rFonts w:hint="eastAsia" w:eastAsia="宋体"/>
          <w:color w:val="auto"/>
          <w:highlight w:val="none"/>
          <w:lang w:val="en-US" w:eastAsia="zh-CN"/>
        </w:rPr>
      </w:pPr>
      <w:r>
        <w:rPr>
          <w:rFonts w:hint="eastAsia" w:eastAsia="宋体"/>
          <w:color w:val="auto"/>
          <w:highlight w:val="none"/>
          <w:lang w:val="en-US" w:eastAsia="zh-CN"/>
        </w:rPr>
        <w:t>六、其他</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1、项目未尽事宜将在采购合同中另行约定，中标单位需无条件同意采购人基于为顺利完成本项目所提出的各项合理要求。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项目清单为本次采购最低要求，各供应商可以自行优化供货计划，为本项目设计最优投标方案，但必须满足项目采购需求。若存在弄虚作假，事后商量的现象，我单位将不予验收及付款，并将中标商列入黑名单并向招投标中心投诉。</w:t>
      </w:r>
    </w:p>
    <w:p>
      <w:pPr>
        <w:bidi w:val="0"/>
        <w:spacing w:line="360" w:lineRule="auto"/>
        <w:ind w:firstLine="420" w:firstLineChars="200"/>
        <w:rPr>
          <w:rFonts w:hint="eastAsia"/>
          <w:color w:val="auto"/>
          <w:sz w:val="21"/>
          <w:szCs w:val="21"/>
          <w:highlight w:val="none"/>
          <w:lang w:val="en-US"/>
        </w:rPr>
      </w:pPr>
      <w:r>
        <w:rPr>
          <w:rFonts w:hint="eastAsia" w:ascii="宋体" w:hAnsi="宋体" w:cs="宋体"/>
          <w:b w:val="0"/>
          <w:bCs w:val="0"/>
          <w:color w:val="auto"/>
          <w:highlight w:val="none"/>
          <w:lang w:val="en-US" w:eastAsia="zh-CN"/>
        </w:rPr>
        <w:t>3、</w:t>
      </w:r>
      <w:r>
        <w:rPr>
          <w:rFonts w:hint="eastAsia"/>
          <w:color w:val="auto"/>
          <w:sz w:val="21"/>
          <w:szCs w:val="21"/>
          <w:highlight w:val="none"/>
          <w:lang w:val="en-US"/>
        </w:rPr>
        <w:t>本项目产品技术参数及功能要求仅供投标人参考，涉及具体品牌、型号、产地的产品，仅作为项目质量水平与配置的参考，在不低于此基准的前提下，投标人可以选用同档次或更优的同类产品替代。</w:t>
      </w:r>
    </w:p>
    <w:p>
      <w:pPr>
        <w:ind w:firstLine="422" w:firstLineChars="200"/>
        <w:rPr>
          <w:rFonts w:hint="eastAsia" w:ascii="宋体" w:hAnsi="宋体" w:cs="Times New Roman"/>
          <w:b/>
          <w:bCs/>
          <w:color w:val="auto"/>
          <w:szCs w:val="21"/>
          <w:highlight w:val="none"/>
        </w:rPr>
      </w:pPr>
    </w:p>
    <w:p>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94" w:name="_Toc12485"/>
      <w:bookmarkStart w:id="195" w:name="_Toc21448"/>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rPr>
          <w:color w:val="auto"/>
          <w:highlight w:val="none"/>
        </w:rPr>
      </w:pPr>
    </w:p>
    <w:p>
      <w:pPr>
        <w:rPr>
          <w:color w:val="auto"/>
          <w:highlight w:val="none"/>
        </w:rPr>
      </w:pPr>
    </w:p>
    <w:p>
      <w:pPr>
        <w:pStyle w:val="4"/>
        <w:spacing w:before="0" w:after="0" w:line="240" w:lineRule="auto"/>
        <w:rPr>
          <w:color w:val="auto"/>
          <w:sz w:val="28"/>
          <w:szCs w:val="28"/>
          <w:highlight w:val="none"/>
        </w:rPr>
      </w:pPr>
      <w:bookmarkStart w:id="196" w:name="_Toc12014"/>
      <w:r>
        <w:rPr>
          <w:rFonts w:hint="eastAsia"/>
          <w:color w:val="auto"/>
          <w:sz w:val="28"/>
          <w:szCs w:val="28"/>
          <w:highlight w:val="none"/>
        </w:rPr>
        <w:t>第六部分 合同格式（仅供参考）</w:t>
      </w:r>
      <w:bookmarkEnd w:id="194"/>
      <w:bookmarkEnd w:id="195"/>
      <w:bookmarkEnd w:id="196"/>
      <w:bookmarkStart w:id="197" w:name="_Toc13430"/>
      <w:bookmarkStart w:id="198" w:name="_Toc1534"/>
      <w:bookmarkStart w:id="199" w:name="_Toc21155"/>
    </w:p>
    <w:p>
      <w:pPr>
        <w:pStyle w:val="5"/>
        <w:spacing w:line="240" w:lineRule="auto"/>
        <w:jc w:val="center"/>
        <w:rPr>
          <w:rFonts w:ascii="宋体" w:hAnsi="宋体" w:cs="宋体"/>
          <w:color w:val="auto"/>
          <w:highlight w:val="none"/>
        </w:rPr>
      </w:pPr>
      <w:bookmarkStart w:id="200" w:name="_Toc8880"/>
      <w:bookmarkStart w:id="201" w:name="_Toc19575"/>
      <w:bookmarkStart w:id="202" w:name="_Toc16730"/>
      <w:r>
        <w:rPr>
          <w:rFonts w:hint="eastAsia" w:ascii="宋体" w:hAnsi="宋体" w:cs="宋体"/>
          <w:color w:val="auto"/>
          <w:highlight w:val="none"/>
        </w:rPr>
        <w:t>合同格式</w:t>
      </w:r>
      <w:bookmarkEnd w:id="197"/>
      <w:bookmarkEnd w:id="198"/>
      <w:bookmarkEnd w:id="199"/>
      <w:bookmarkEnd w:id="200"/>
      <w:bookmarkEnd w:id="201"/>
      <w:bookmarkEnd w:id="202"/>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203"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3"/>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3"/>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3"/>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3"/>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3"/>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3"/>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3"/>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3"/>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203"/>
    <w:p>
      <w:pPr>
        <w:ind w:firstLine="422" w:firstLineChars="200"/>
        <w:rPr>
          <w:rFonts w:ascii="宋体" w:hAnsi="宋体"/>
          <w:b/>
          <w:color w:val="auto"/>
          <w:szCs w:val="21"/>
          <w:highlight w:val="none"/>
        </w:rPr>
      </w:pPr>
      <w:bookmarkStart w:id="204"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205" w:name="_Toc86481569"/>
      <w:r>
        <w:rPr>
          <w:rFonts w:hint="eastAsia" w:ascii="宋体" w:hAnsi="宋体"/>
          <w:b/>
          <w:color w:val="auto"/>
          <w:szCs w:val="21"/>
          <w:highlight w:val="none"/>
        </w:rPr>
        <w:t>第十二条 合同生效</w:t>
      </w:r>
      <w:bookmarkEnd w:id="205"/>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204"/>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4"/>
        <w:spacing w:before="0" w:after="0" w:line="240" w:lineRule="auto"/>
        <w:rPr>
          <w:color w:val="auto"/>
          <w:sz w:val="28"/>
          <w:szCs w:val="28"/>
          <w:highlight w:val="none"/>
        </w:rPr>
      </w:pPr>
      <w:bookmarkStart w:id="206" w:name="_Toc1478"/>
      <w:bookmarkStart w:id="207" w:name="_Toc31587"/>
      <w:bookmarkStart w:id="208" w:name="_Toc23749"/>
      <w:r>
        <w:rPr>
          <w:rFonts w:hint="eastAsia"/>
          <w:color w:val="auto"/>
          <w:sz w:val="28"/>
          <w:szCs w:val="28"/>
          <w:highlight w:val="none"/>
        </w:rPr>
        <w:t>第七部分  投标文件格式</w:t>
      </w:r>
      <w:bookmarkEnd w:id="206"/>
      <w:bookmarkEnd w:id="207"/>
      <w:bookmarkEnd w:id="208"/>
    </w:p>
    <w:p>
      <w:pPr>
        <w:rPr>
          <w:color w:val="auto"/>
          <w:highlight w:val="none"/>
        </w:rPr>
      </w:pPr>
    </w:p>
    <w:p>
      <w:pPr>
        <w:pStyle w:val="5"/>
        <w:rPr>
          <w:color w:val="auto"/>
          <w:highlight w:val="none"/>
        </w:rPr>
      </w:pPr>
      <w:bookmarkStart w:id="209" w:name="_Toc26830"/>
      <w:bookmarkStart w:id="210" w:name="_Toc6790"/>
      <w:bookmarkStart w:id="211" w:name="_Toc5794"/>
      <w:r>
        <w:rPr>
          <w:rFonts w:hint="eastAsia"/>
          <w:color w:val="auto"/>
          <w:highlight w:val="none"/>
        </w:rPr>
        <w:t>投标文件目录</w:t>
      </w:r>
      <w:bookmarkEnd w:id="209"/>
      <w:bookmarkEnd w:id="210"/>
      <w:bookmarkEnd w:id="211"/>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rPr>
          <w:color w:val="auto"/>
          <w:highlight w:val="none"/>
        </w:rPr>
      </w:pPr>
      <w:bookmarkStart w:id="212" w:name="_Toc5670"/>
      <w:bookmarkStart w:id="213" w:name="_Toc25502"/>
      <w:bookmarkStart w:id="214" w:name="_Toc18893"/>
      <w:r>
        <w:rPr>
          <w:rFonts w:hint="eastAsia"/>
          <w:color w:val="auto"/>
          <w:highlight w:val="none"/>
        </w:rPr>
        <w:t>评分标准索引表</w:t>
      </w:r>
      <w:bookmarkEnd w:id="212"/>
      <w:bookmarkEnd w:id="213"/>
      <w:bookmarkEnd w:id="214"/>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5"/>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2"/>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color w:val="auto"/>
                <w:szCs w:val="21"/>
                <w:highlight w:val="none"/>
              </w:rPr>
            </w:pPr>
          </w:p>
        </w:tc>
        <w:tc>
          <w:tcPr>
            <w:tcW w:w="5028" w:type="dxa"/>
            <w:vAlign w:val="center"/>
          </w:tcPr>
          <w:p>
            <w:pPr>
              <w:pStyle w:val="32"/>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color w:val="auto"/>
                <w:szCs w:val="21"/>
                <w:highlight w:val="none"/>
              </w:rPr>
            </w:pPr>
          </w:p>
        </w:tc>
        <w:tc>
          <w:tcPr>
            <w:tcW w:w="5028" w:type="dxa"/>
            <w:vAlign w:val="center"/>
          </w:tcPr>
          <w:p>
            <w:pPr>
              <w:pStyle w:val="32"/>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color w:val="auto"/>
                <w:szCs w:val="21"/>
                <w:highlight w:val="none"/>
              </w:rPr>
            </w:pPr>
          </w:p>
        </w:tc>
        <w:tc>
          <w:tcPr>
            <w:tcW w:w="5028" w:type="dxa"/>
            <w:vAlign w:val="center"/>
          </w:tcPr>
          <w:p>
            <w:pPr>
              <w:pStyle w:val="32"/>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color w:val="auto"/>
                <w:szCs w:val="21"/>
                <w:highlight w:val="none"/>
              </w:rPr>
            </w:pPr>
          </w:p>
        </w:tc>
        <w:tc>
          <w:tcPr>
            <w:tcW w:w="5028" w:type="dxa"/>
            <w:vAlign w:val="center"/>
          </w:tcPr>
          <w:p>
            <w:pPr>
              <w:pStyle w:val="32"/>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color w:val="auto"/>
                <w:szCs w:val="21"/>
                <w:highlight w:val="none"/>
              </w:rPr>
            </w:pPr>
          </w:p>
        </w:tc>
        <w:tc>
          <w:tcPr>
            <w:tcW w:w="5028" w:type="dxa"/>
            <w:vAlign w:val="center"/>
          </w:tcPr>
          <w:p>
            <w:pPr>
              <w:pStyle w:val="32"/>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9"/>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color w:val="auto"/>
                <w:szCs w:val="21"/>
                <w:highlight w:val="none"/>
              </w:rPr>
            </w:pPr>
          </w:p>
        </w:tc>
        <w:tc>
          <w:tcPr>
            <w:tcW w:w="5028" w:type="dxa"/>
            <w:vAlign w:val="center"/>
          </w:tcPr>
          <w:p>
            <w:pPr>
              <w:pStyle w:val="32"/>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color w:val="auto"/>
                <w:szCs w:val="21"/>
                <w:highlight w:val="none"/>
              </w:rPr>
            </w:pPr>
          </w:p>
        </w:tc>
        <w:tc>
          <w:tcPr>
            <w:tcW w:w="5028" w:type="dxa"/>
            <w:vAlign w:val="center"/>
          </w:tcPr>
          <w:p>
            <w:pPr>
              <w:pStyle w:val="32"/>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color w:val="auto"/>
                <w:szCs w:val="21"/>
                <w:highlight w:val="none"/>
              </w:rPr>
            </w:pPr>
          </w:p>
        </w:tc>
        <w:tc>
          <w:tcPr>
            <w:tcW w:w="5028" w:type="dxa"/>
            <w:vAlign w:val="center"/>
          </w:tcPr>
          <w:p>
            <w:pPr>
              <w:pStyle w:val="32"/>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color w:val="auto"/>
                <w:szCs w:val="21"/>
                <w:highlight w:val="none"/>
              </w:rPr>
            </w:pPr>
          </w:p>
        </w:tc>
        <w:tc>
          <w:tcPr>
            <w:tcW w:w="5028" w:type="dxa"/>
            <w:vAlign w:val="center"/>
          </w:tcPr>
          <w:p>
            <w:pPr>
              <w:pStyle w:val="32"/>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color w:val="auto"/>
                <w:szCs w:val="21"/>
                <w:highlight w:val="none"/>
              </w:rPr>
            </w:pPr>
          </w:p>
        </w:tc>
        <w:tc>
          <w:tcPr>
            <w:tcW w:w="5028" w:type="dxa"/>
            <w:vAlign w:val="center"/>
          </w:tcPr>
          <w:p>
            <w:pPr>
              <w:pStyle w:val="32"/>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color w:val="auto"/>
                <w:szCs w:val="21"/>
                <w:highlight w:val="none"/>
              </w:rPr>
            </w:pPr>
          </w:p>
        </w:tc>
        <w:tc>
          <w:tcPr>
            <w:tcW w:w="5028" w:type="dxa"/>
            <w:vAlign w:val="center"/>
          </w:tcPr>
          <w:p>
            <w:pPr>
              <w:pStyle w:val="32"/>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1"/>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9"/>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jc w:val="center"/>
        <w:rPr>
          <w:color w:val="auto"/>
          <w:highlight w:val="none"/>
        </w:rPr>
      </w:pPr>
      <w:bookmarkStart w:id="215" w:name="_Toc8194"/>
      <w:bookmarkStart w:id="216" w:name="_Toc22080"/>
      <w:bookmarkStart w:id="217" w:name="_Toc30640"/>
      <w:r>
        <w:rPr>
          <w:rFonts w:hint="eastAsia"/>
          <w:color w:val="auto"/>
          <w:highlight w:val="none"/>
        </w:rPr>
        <w:t>第一章价格文件</w:t>
      </w:r>
      <w:bookmarkEnd w:id="215"/>
      <w:bookmarkEnd w:id="216"/>
    </w:p>
    <w:p>
      <w:pPr>
        <w:pStyle w:val="5"/>
        <w:jc w:val="center"/>
        <w:rPr>
          <w:color w:val="auto"/>
          <w:highlight w:val="none"/>
        </w:rPr>
      </w:pPr>
      <w:bookmarkStart w:id="218" w:name="_Toc4168"/>
      <w:bookmarkStart w:id="219" w:name="_Toc19750"/>
      <w:r>
        <w:rPr>
          <w:rFonts w:hint="eastAsia"/>
          <w:color w:val="auto"/>
          <w:highlight w:val="none"/>
        </w:rPr>
        <w:t>一、唱标一览表</w:t>
      </w:r>
      <w:bookmarkEnd w:id="218"/>
      <w:bookmarkEnd w:id="219"/>
    </w:p>
    <w:p>
      <w:pPr>
        <w:rPr>
          <w:color w:val="auto"/>
          <w:highlight w:val="none"/>
        </w:rPr>
      </w:pPr>
    </w:p>
    <w:tbl>
      <w:tblPr>
        <w:tblStyle w:val="25"/>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pPr>
        <w:rPr>
          <w:color w:val="auto"/>
          <w:highlight w:val="none"/>
        </w:rPr>
      </w:pPr>
    </w:p>
    <w:p>
      <w:pPr>
        <w:pStyle w:val="9"/>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9"/>
        <w:rPr>
          <w:color w:val="auto"/>
          <w:highlight w:val="none"/>
        </w:rPr>
      </w:pPr>
    </w:p>
    <w:p>
      <w:pPr>
        <w:pStyle w:val="10"/>
        <w:rPr>
          <w:color w:val="auto"/>
          <w:highlight w:val="none"/>
        </w:rPr>
      </w:pPr>
    </w:p>
    <w:p>
      <w:pPr>
        <w:rPr>
          <w:color w:val="auto"/>
          <w:highlight w:val="none"/>
        </w:rPr>
      </w:pPr>
    </w:p>
    <w:p>
      <w:pPr>
        <w:pStyle w:val="5"/>
        <w:jc w:val="center"/>
        <w:rPr>
          <w:color w:val="auto"/>
          <w:highlight w:val="none"/>
        </w:rPr>
      </w:pPr>
      <w:bookmarkStart w:id="220" w:name="_Toc31062"/>
      <w:bookmarkStart w:id="221" w:name="_Toc31172"/>
      <w:r>
        <w:rPr>
          <w:rFonts w:hint="eastAsia"/>
          <w:color w:val="auto"/>
          <w:highlight w:val="none"/>
        </w:rPr>
        <w:t>二、报价明细表</w:t>
      </w:r>
      <w:bookmarkEnd w:id="220"/>
      <w:bookmarkEnd w:id="221"/>
    </w:p>
    <w:p>
      <w:pPr>
        <w:pStyle w:val="32"/>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2"/>
        <w:rPr>
          <w:rFonts w:ascii="黑体" w:eastAsia="黑体"/>
          <w:color w:val="auto"/>
          <w:sz w:val="32"/>
          <w:szCs w:val="32"/>
          <w:highlight w:val="none"/>
        </w:rPr>
      </w:pPr>
    </w:p>
    <w:p>
      <w:pPr>
        <w:pStyle w:val="32"/>
        <w:rPr>
          <w:rFonts w:ascii="黑体" w:eastAsia="黑体"/>
          <w:color w:val="auto"/>
          <w:sz w:val="32"/>
          <w:szCs w:val="32"/>
          <w:highlight w:val="none"/>
        </w:rPr>
      </w:pPr>
    </w:p>
    <w:p>
      <w:pPr>
        <w:pStyle w:val="5"/>
        <w:jc w:val="center"/>
        <w:rPr>
          <w:color w:val="auto"/>
          <w:highlight w:val="none"/>
        </w:rPr>
      </w:pPr>
      <w:bookmarkStart w:id="222" w:name="_Toc23355"/>
      <w:bookmarkStart w:id="223" w:name="_Toc20974"/>
      <w:r>
        <w:rPr>
          <w:rFonts w:hint="eastAsia"/>
          <w:color w:val="auto"/>
          <w:highlight w:val="none"/>
        </w:rPr>
        <w:t>三、小型或微型企业（货物/服务/承担的工程）明细表</w:t>
      </w:r>
      <w:bookmarkEnd w:id="222"/>
      <w:bookmarkEnd w:id="223"/>
    </w:p>
    <w:tbl>
      <w:tblPr>
        <w:tblStyle w:val="25"/>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5"/>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注：</w:t>
      </w:r>
    </w:p>
    <w:p>
      <w:pPr>
        <w:ind w:firstLine="422" w:firstLineChars="200"/>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4"/>
          <w:rFonts w:hint="eastAsia" w:ascii="宋体" w:hAnsi="宋体" w:eastAsia="宋体" w:cs="宋体"/>
          <w:b/>
          <w:color w:val="auto"/>
          <w:sz w:val="21"/>
          <w:szCs w:val="21"/>
          <w:highlight w:val="none"/>
        </w:rPr>
        <w:t>；</w:t>
      </w:r>
    </w:p>
    <w:p>
      <w:pPr>
        <w:pStyle w:val="35"/>
        <w:ind w:firstLine="422"/>
        <w:rPr>
          <w:rFonts w:ascii="黑体" w:eastAsia="黑体"/>
          <w:color w:val="auto"/>
          <w:sz w:val="32"/>
          <w:szCs w:val="32"/>
          <w:highlight w:val="none"/>
        </w:rPr>
      </w:pPr>
      <w:r>
        <w:rPr>
          <w:rStyle w:val="44"/>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5"/>
        <w:jc w:val="center"/>
        <w:rPr>
          <w:color w:val="auto"/>
          <w:highlight w:val="none"/>
        </w:rPr>
      </w:pPr>
      <w:bookmarkStart w:id="224" w:name="_Toc16718"/>
      <w:bookmarkStart w:id="225" w:name="_Toc13970"/>
      <w:r>
        <w:rPr>
          <w:rFonts w:hint="eastAsia"/>
          <w:color w:val="auto"/>
          <w:highlight w:val="none"/>
        </w:rPr>
        <w:t>四、节能产品或环境标志产品明细表</w:t>
      </w:r>
      <w:bookmarkEnd w:id="224"/>
      <w:bookmarkEnd w:id="225"/>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2"/>
        <w:rPr>
          <w:color w:val="auto"/>
          <w:highlight w:val="none"/>
        </w:rPr>
      </w:pPr>
    </w:p>
    <w:p>
      <w:pPr>
        <w:tabs>
          <w:tab w:val="left" w:pos="284"/>
        </w:tabs>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注：</w:t>
      </w:r>
    </w:p>
    <w:p>
      <w:pPr>
        <w:tabs>
          <w:tab w:val="left" w:pos="284"/>
        </w:tabs>
        <w:ind w:firstLine="422" w:firstLineChars="200"/>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4"/>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5"/>
        <w:jc w:val="center"/>
        <w:rPr>
          <w:color w:val="auto"/>
          <w:highlight w:val="none"/>
        </w:rPr>
      </w:pPr>
      <w:bookmarkStart w:id="226" w:name="_Toc10853"/>
      <w:bookmarkStart w:id="227" w:name="_Toc17482"/>
      <w:r>
        <w:rPr>
          <w:rFonts w:hint="eastAsia"/>
          <w:color w:val="auto"/>
          <w:highlight w:val="none"/>
        </w:rPr>
        <w:t>五、中小企业声明函</w:t>
      </w:r>
      <w:bookmarkEnd w:id="226"/>
      <w:bookmarkEnd w:id="227"/>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9"/>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1"/>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9"/>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9"/>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9"/>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9"/>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1"/>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9"/>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9"/>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9"/>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28" w:name="_Toc8560"/>
      <w:bookmarkStart w:id="229" w:name="_Toc7959"/>
      <w:r>
        <w:rPr>
          <w:rFonts w:hint="eastAsia"/>
          <w:color w:val="auto"/>
          <w:highlight w:val="none"/>
        </w:rPr>
        <w:t>六、残疾人福利性单位声明函</w:t>
      </w:r>
      <w:bookmarkEnd w:id="228"/>
      <w:bookmarkEnd w:id="229"/>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30" w:name="_Toc509479530"/>
      <w:bookmarkStart w:id="231" w:name="_Toc508960153"/>
      <w:bookmarkStart w:id="232" w:name="_Toc509844825"/>
      <w:bookmarkStart w:id="233" w:name="_Toc17761"/>
      <w:bookmarkStart w:id="234" w:name="_Toc508898066"/>
      <w:bookmarkStart w:id="235" w:name="_Toc508958703"/>
      <w:bookmarkStart w:id="236" w:name="_Toc30247"/>
      <w:bookmarkStart w:id="237" w:name="_Toc510171693"/>
      <w:bookmarkStart w:id="238" w:name="_Toc509927455"/>
      <w:bookmarkStart w:id="239" w:name="_Toc20910"/>
      <w:bookmarkStart w:id="240" w:name="_Toc30277"/>
      <w:bookmarkStart w:id="241" w:name="_Toc22970"/>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30"/>
      <w:bookmarkEnd w:id="231"/>
      <w:bookmarkEnd w:id="232"/>
      <w:bookmarkEnd w:id="233"/>
      <w:bookmarkEnd w:id="234"/>
      <w:bookmarkEnd w:id="235"/>
      <w:bookmarkEnd w:id="236"/>
      <w:bookmarkEnd w:id="237"/>
      <w:bookmarkEnd w:id="238"/>
      <w:bookmarkEnd w:id="239"/>
      <w:bookmarkEnd w:id="240"/>
      <w:bookmarkEnd w:id="241"/>
    </w:p>
    <w:p>
      <w:pPr>
        <w:pStyle w:val="9"/>
        <w:rPr>
          <w:color w:val="auto"/>
          <w:highlight w:val="none"/>
        </w:rPr>
      </w:pPr>
    </w:p>
    <w:p>
      <w:pPr>
        <w:ind w:firstLine="420" w:firstLineChars="200"/>
        <w:rPr>
          <w:rFonts w:ascii="宋体" w:hAnsi="宋体"/>
          <w:color w:val="auto"/>
          <w:szCs w:val="21"/>
          <w:highlight w:val="none"/>
        </w:rPr>
      </w:pPr>
      <w:bookmarkStart w:id="242" w:name="_Toc5447"/>
      <w:bookmarkStart w:id="243" w:name="_Toc509927456"/>
      <w:bookmarkStart w:id="244" w:name="_Toc508958704"/>
      <w:bookmarkStart w:id="245" w:name="_Toc508898067"/>
      <w:bookmarkStart w:id="246" w:name="_Toc31520"/>
      <w:bookmarkStart w:id="247" w:name="_Toc508960154"/>
      <w:bookmarkStart w:id="248" w:name="_Toc21053"/>
      <w:bookmarkStart w:id="249" w:name="_Toc26216"/>
      <w:bookmarkStart w:id="250" w:name="_Toc509479531"/>
      <w:bookmarkStart w:id="251" w:name="_Toc510171694"/>
      <w:bookmarkStart w:id="252" w:name="_Toc28527"/>
      <w:bookmarkStart w:id="253" w:name="_Toc509844826"/>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42"/>
      <w:bookmarkEnd w:id="243"/>
      <w:bookmarkEnd w:id="244"/>
      <w:bookmarkEnd w:id="245"/>
      <w:bookmarkEnd w:id="246"/>
      <w:bookmarkEnd w:id="247"/>
      <w:bookmarkEnd w:id="248"/>
      <w:bookmarkEnd w:id="249"/>
      <w:bookmarkEnd w:id="250"/>
      <w:bookmarkEnd w:id="251"/>
      <w:bookmarkEnd w:id="252"/>
      <w:bookmarkEnd w:id="253"/>
    </w:p>
    <w:p>
      <w:pPr>
        <w:ind w:firstLine="420" w:firstLineChars="200"/>
        <w:rPr>
          <w:rFonts w:ascii="宋体" w:hAnsi="宋体"/>
          <w:color w:val="auto"/>
          <w:szCs w:val="21"/>
          <w:highlight w:val="none"/>
        </w:rPr>
      </w:pPr>
      <w:bookmarkStart w:id="254" w:name="_Toc510171695"/>
      <w:bookmarkStart w:id="255" w:name="_Toc28126"/>
      <w:bookmarkStart w:id="256" w:name="_Toc509844827"/>
      <w:bookmarkStart w:id="257" w:name="_Toc508898068"/>
      <w:bookmarkStart w:id="258" w:name="_Toc509479532"/>
      <w:bookmarkStart w:id="259" w:name="_Toc508960155"/>
      <w:bookmarkStart w:id="260" w:name="_Toc24848"/>
      <w:bookmarkStart w:id="261" w:name="_Toc9148"/>
      <w:bookmarkStart w:id="262" w:name="_Toc14653"/>
      <w:bookmarkStart w:id="263" w:name="_Toc28626"/>
      <w:bookmarkStart w:id="264" w:name="_Toc509927457"/>
      <w:bookmarkStart w:id="265" w:name="_Toc508958705"/>
      <w:r>
        <w:rPr>
          <w:rFonts w:hint="eastAsia" w:ascii="宋体" w:hAnsi="宋体"/>
          <w:color w:val="auto"/>
          <w:szCs w:val="21"/>
          <w:highlight w:val="none"/>
        </w:rPr>
        <w:t>（2）中标人为残疾人福利性单位的，采购代理机构将随中标结果同时公告其《残疾人福利性单位声明函》，接受社会监督。</w:t>
      </w:r>
      <w:bookmarkEnd w:id="254"/>
      <w:bookmarkEnd w:id="255"/>
      <w:bookmarkEnd w:id="256"/>
      <w:bookmarkEnd w:id="257"/>
      <w:bookmarkEnd w:id="258"/>
      <w:bookmarkEnd w:id="259"/>
      <w:bookmarkEnd w:id="260"/>
      <w:bookmarkEnd w:id="261"/>
      <w:bookmarkEnd w:id="262"/>
      <w:bookmarkEnd w:id="263"/>
      <w:bookmarkEnd w:id="264"/>
      <w:bookmarkEnd w:id="265"/>
    </w:p>
    <w:p>
      <w:pPr>
        <w:ind w:firstLine="420" w:firstLineChars="200"/>
        <w:rPr>
          <w:rFonts w:ascii="宋体" w:hAnsi="宋体"/>
          <w:color w:val="auto"/>
          <w:szCs w:val="21"/>
          <w:highlight w:val="none"/>
        </w:rPr>
      </w:pPr>
      <w:bookmarkStart w:id="266" w:name="_Toc509927458"/>
      <w:bookmarkStart w:id="267" w:name="_Toc510171696"/>
      <w:bookmarkStart w:id="268" w:name="_Toc509844828"/>
      <w:bookmarkStart w:id="269" w:name="_Toc508898069"/>
      <w:bookmarkStart w:id="270" w:name="_Toc28686"/>
      <w:bookmarkStart w:id="271" w:name="_Toc9837"/>
      <w:bookmarkStart w:id="272" w:name="_Toc7858"/>
      <w:bookmarkStart w:id="273" w:name="_Toc509479533"/>
      <w:bookmarkStart w:id="274" w:name="_Toc28044"/>
      <w:bookmarkStart w:id="275" w:name="_Toc508958706"/>
      <w:bookmarkStart w:id="276" w:name="_Toc508960156"/>
      <w:bookmarkStart w:id="277" w:name="_Toc22981"/>
      <w:r>
        <w:rPr>
          <w:rFonts w:hint="eastAsia" w:ascii="宋体" w:hAnsi="宋体"/>
          <w:color w:val="auto"/>
          <w:szCs w:val="21"/>
          <w:highlight w:val="none"/>
        </w:rPr>
        <w:t>（3）投标人提供的《残疾人福利性单位声明函》与事实不符的，依照《政府采购法》第七十七条第一款的规定追究法律责任。</w:t>
      </w:r>
      <w:bookmarkEnd w:id="266"/>
      <w:bookmarkEnd w:id="267"/>
      <w:bookmarkEnd w:id="268"/>
      <w:bookmarkEnd w:id="269"/>
      <w:bookmarkEnd w:id="270"/>
      <w:bookmarkEnd w:id="271"/>
      <w:bookmarkEnd w:id="272"/>
      <w:bookmarkEnd w:id="273"/>
      <w:bookmarkEnd w:id="274"/>
      <w:bookmarkEnd w:id="275"/>
      <w:bookmarkEnd w:id="276"/>
      <w:bookmarkEnd w:id="277"/>
    </w:p>
    <w:p>
      <w:pPr>
        <w:ind w:firstLine="420" w:firstLineChars="200"/>
        <w:rPr>
          <w:rFonts w:ascii="宋体" w:hAnsi="宋体"/>
          <w:color w:val="auto"/>
          <w:szCs w:val="21"/>
          <w:highlight w:val="none"/>
        </w:rPr>
      </w:pPr>
      <w:bookmarkStart w:id="278" w:name="_Toc509479534"/>
      <w:bookmarkStart w:id="279" w:name="_Toc18843"/>
      <w:bookmarkStart w:id="280" w:name="_Toc509844829"/>
      <w:bookmarkStart w:id="281" w:name="_Toc510171697"/>
      <w:bookmarkStart w:id="282" w:name="_Toc508960157"/>
      <w:bookmarkStart w:id="283" w:name="_Toc508898070"/>
      <w:bookmarkStart w:id="284" w:name="_Toc509927459"/>
      <w:bookmarkStart w:id="285" w:name="_Toc5289"/>
      <w:bookmarkStart w:id="286" w:name="_Toc508958707"/>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8"/>
      <w:bookmarkEnd w:id="279"/>
      <w:bookmarkEnd w:id="280"/>
      <w:bookmarkEnd w:id="281"/>
      <w:bookmarkEnd w:id="282"/>
      <w:bookmarkEnd w:id="283"/>
      <w:bookmarkEnd w:id="284"/>
      <w:bookmarkEnd w:id="285"/>
      <w:bookmarkEnd w:id="286"/>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5"/>
        <w:jc w:val="center"/>
        <w:rPr>
          <w:color w:val="auto"/>
          <w:highlight w:val="none"/>
        </w:rPr>
      </w:pPr>
      <w:bookmarkStart w:id="287" w:name="_Toc6471"/>
      <w:bookmarkStart w:id="288" w:name="_Toc23948"/>
      <w:r>
        <w:rPr>
          <w:rFonts w:hint="eastAsia"/>
          <w:color w:val="auto"/>
          <w:highlight w:val="none"/>
        </w:rPr>
        <w:t>第二章商务文件</w:t>
      </w:r>
      <w:bookmarkEnd w:id="287"/>
      <w:bookmarkEnd w:id="288"/>
    </w:p>
    <w:bookmarkEnd w:id="217"/>
    <w:p>
      <w:pPr>
        <w:pStyle w:val="5"/>
        <w:jc w:val="center"/>
        <w:rPr>
          <w:color w:val="auto"/>
          <w:highlight w:val="none"/>
        </w:rPr>
      </w:pPr>
      <w:bookmarkStart w:id="289" w:name="_Toc23787"/>
      <w:bookmarkStart w:id="290" w:name="_Toc1952"/>
      <w:r>
        <w:rPr>
          <w:rFonts w:hint="eastAsia"/>
          <w:color w:val="auto"/>
          <w:highlight w:val="none"/>
        </w:rPr>
        <w:t>一、投标函</w:t>
      </w:r>
      <w:bookmarkEnd w:id="289"/>
      <w:bookmarkEnd w:id="290"/>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2"/>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2"/>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2"/>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2"/>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2"/>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2"/>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5"/>
        <w:jc w:val="center"/>
        <w:rPr>
          <w:color w:val="auto"/>
          <w:highlight w:val="none"/>
        </w:rPr>
      </w:pPr>
      <w:bookmarkStart w:id="291" w:name="_Toc28616"/>
      <w:bookmarkStart w:id="292" w:name="_Toc15719"/>
      <w:r>
        <w:rPr>
          <w:rFonts w:hint="eastAsia"/>
          <w:color w:val="auto"/>
          <w:highlight w:val="none"/>
        </w:rPr>
        <w:t>二、资格申明函</w:t>
      </w:r>
      <w:bookmarkEnd w:id="291"/>
      <w:bookmarkEnd w:id="292"/>
    </w:p>
    <w:p>
      <w:pPr>
        <w:pStyle w:val="3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38"/>
        <w:spacing w:line="500" w:lineRule="atLeast"/>
        <w:ind w:firstLine="3517" w:firstLineChars="1675"/>
        <w:rPr>
          <w:rFonts w:ascii="宋体" w:eastAsia="宋体"/>
          <w:color w:val="auto"/>
          <w:sz w:val="21"/>
          <w:szCs w:val="21"/>
          <w:highlight w:val="none"/>
        </w:rPr>
      </w:pPr>
    </w:p>
    <w:p>
      <w:pPr>
        <w:pStyle w:val="38"/>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9"/>
        <w:rPr>
          <w:color w:val="auto"/>
          <w:sz w:val="21"/>
          <w:szCs w:val="21"/>
          <w:highlight w:val="none"/>
        </w:rPr>
      </w:pPr>
    </w:p>
    <w:p>
      <w:pPr>
        <w:rPr>
          <w:rFonts w:ascii="宋体" w:hAnsi="宋体"/>
          <w:color w:val="auto"/>
          <w:szCs w:val="21"/>
          <w:highlight w:val="none"/>
        </w:rPr>
      </w:pPr>
    </w:p>
    <w:p>
      <w:pPr>
        <w:pStyle w:val="9"/>
        <w:rPr>
          <w:color w:val="auto"/>
          <w:sz w:val="21"/>
          <w:szCs w:val="21"/>
          <w:highlight w:val="none"/>
        </w:rPr>
      </w:pPr>
    </w:p>
    <w:p>
      <w:pPr>
        <w:rPr>
          <w:rFonts w:ascii="宋体" w:hAnsi="宋体"/>
          <w:color w:val="auto"/>
          <w:szCs w:val="21"/>
          <w:highlight w:val="none"/>
        </w:rPr>
      </w:pPr>
    </w:p>
    <w:p>
      <w:pPr>
        <w:pStyle w:val="9"/>
        <w:rPr>
          <w:color w:val="auto"/>
          <w:sz w:val="21"/>
          <w:szCs w:val="21"/>
          <w:highlight w:val="none"/>
        </w:rPr>
      </w:pPr>
    </w:p>
    <w:p>
      <w:pPr>
        <w:rPr>
          <w:rFonts w:ascii="宋体" w:hAnsi="宋体"/>
          <w:color w:val="auto"/>
          <w:szCs w:val="21"/>
          <w:highlight w:val="none"/>
        </w:rPr>
      </w:pPr>
    </w:p>
    <w:p>
      <w:pPr>
        <w:pStyle w:val="9"/>
        <w:rPr>
          <w:color w:val="auto"/>
          <w:highlight w:val="none"/>
        </w:rPr>
      </w:pPr>
    </w:p>
    <w:p>
      <w:pPr>
        <w:rPr>
          <w:color w:val="auto"/>
          <w:highlight w:val="none"/>
        </w:rPr>
      </w:pPr>
      <w:bookmarkStart w:id="293" w:name="_Toc16412"/>
    </w:p>
    <w:p>
      <w:pPr>
        <w:pStyle w:val="5"/>
        <w:jc w:val="center"/>
        <w:rPr>
          <w:color w:val="auto"/>
          <w:highlight w:val="none"/>
        </w:rPr>
      </w:pPr>
      <w:bookmarkStart w:id="294" w:name="_Toc21273"/>
      <w:bookmarkStart w:id="295" w:name="_Toc32742"/>
      <w:r>
        <w:rPr>
          <w:rFonts w:hint="eastAsia"/>
          <w:color w:val="auto"/>
          <w:highlight w:val="none"/>
        </w:rPr>
        <w:t>三、在参与政府采购活动前三年未有重大违法记录、没有不良信用记录的声明函</w:t>
      </w:r>
      <w:bookmarkEnd w:id="294"/>
      <w:bookmarkEnd w:id="295"/>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93"/>
    </w:p>
    <w:p>
      <w:pPr>
        <w:pStyle w:val="5"/>
        <w:jc w:val="center"/>
        <w:rPr>
          <w:color w:val="auto"/>
          <w:highlight w:val="none"/>
        </w:rPr>
      </w:pPr>
      <w:bookmarkStart w:id="296" w:name="_Toc13243"/>
      <w:bookmarkStart w:id="297" w:name="_Toc3894"/>
      <w:r>
        <w:rPr>
          <w:rFonts w:hint="eastAsia"/>
          <w:color w:val="auto"/>
          <w:highlight w:val="none"/>
        </w:rPr>
        <w:t>四、法定代表人证明书</w:t>
      </w:r>
      <w:bookmarkEnd w:id="296"/>
      <w:bookmarkEnd w:id="297"/>
    </w:p>
    <w:p>
      <w:pPr>
        <w:pStyle w:val="3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8"/>
        <w:spacing w:line="420" w:lineRule="atLeast"/>
        <w:ind w:firstLine="433"/>
        <w:rPr>
          <w:rFonts w:ascii="宋体" w:eastAsia="宋体"/>
          <w:color w:val="auto"/>
          <w:sz w:val="21"/>
          <w:szCs w:val="21"/>
          <w:highlight w:val="none"/>
        </w:rPr>
      </w:pPr>
    </w:p>
    <w:p>
      <w:pPr>
        <w:pStyle w:val="38"/>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8"/>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5"/>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8"/>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98" w:name="_Toc5918"/>
      <w:bookmarkStart w:id="299" w:name="_Toc5626"/>
      <w:r>
        <w:rPr>
          <w:rFonts w:hint="eastAsia"/>
          <w:color w:val="auto"/>
          <w:highlight w:val="none"/>
        </w:rPr>
        <w:t>五、法定代表人授权书</w:t>
      </w:r>
      <w:bookmarkEnd w:id="298"/>
      <w:bookmarkEnd w:id="299"/>
    </w:p>
    <w:p>
      <w:pPr>
        <w:pStyle w:val="3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8"/>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8"/>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8"/>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5"/>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300"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5"/>
        <w:jc w:val="center"/>
        <w:rPr>
          <w:color w:val="auto"/>
          <w:highlight w:val="none"/>
        </w:rPr>
      </w:pPr>
      <w:bookmarkStart w:id="301" w:name="_Toc18562"/>
      <w:bookmarkStart w:id="302" w:name="_Toc24013"/>
      <w:r>
        <w:rPr>
          <w:rFonts w:hint="eastAsia"/>
          <w:color w:val="auto"/>
          <w:highlight w:val="none"/>
        </w:rPr>
        <w:t>六、投标人基本情况说明</w:t>
      </w:r>
      <w:bookmarkEnd w:id="301"/>
      <w:bookmarkEnd w:id="302"/>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9"/>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5"/>
        <w:jc w:val="center"/>
        <w:rPr>
          <w:color w:val="auto"/>
          <w:highlight w:val="none"/>
        </w:rPr>
      </w:pPr>
      <w:bookmarkStart w:id="303" w:name="_Toc28067"/>
      <w:bookmarkStart w:id="304" w:name="_Toc4926"/>
      <w:bookmarkStart w:id="305" w:name="_Toc29995"/>
      <w:bookmarkStart w:id="306" w:name="_Toc1511"/>
      <w:bookmarkStart w:id="307" w:name="_Toc24210"/>
      <w:bookmarkStart w:id="308" w:name="_Toc5919"/>
      <w:bookmarkStart w:id="309" w:name="_Toc17470"/>
      <w:r>
        <w:rPr>
          <w:rFonts w:hint="eastAsia"/>
          <w:color w:val="auto"/>
          <w:highlight w:val="none"/>
        </w:rPr>
        <w:t>七、营业执照</w:t>
      </w:r>
      <w:bookmarkEnd w:id="303"/>
      <w:bookmarkEnd w:id="304"/>
      <w:bookmarkEnd w:id="305"/>
      <w:bookmarkEnd w:id="306"/>
      <w:bookmarkEnd w:id="307"/>
      <w:bookmarkEnd w:id="308"/>
      <w:bookmarkEnd w:id="309"/>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300"/>
    <w:p>
      <w:pPr>
        <w:pStyle w:val="5"/>
        <w:jc w:val="center"/>
        <w:rPr>
          <w:color w:val="auto"/>
          <w:highlight w:val="none"/>
        </w:rPr>
      </w:pPr>
      <w:bookmarkStart w:id="310" w:name="_Toc29439"/>
      <w:bookmarkStart w:id="311" w:name="_Toc21638"/>
      <w:r>
        <w:rPr>
          <w:rFonts w:hint="eastAsia"/>
          <w:color w:val="auto"/>
          <w:highlight w:val="none"/>
        </w:rPr>
        <w:t>八、特殊资格要求证明文件</w:t>
      </w:r>
      <w:bookmarkEnd w:id="310"/>
      <w:bookmarkEnd w:id="311"/>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highlight w:val="none"/>
        </w:rPr>
      </w:pPr>
    </w:p>
    <w:p>
      <w:pPr>
        <w:pStyle w:val="5"/>
        <w:jc w:val="center"/>
        <w:rPr>
          <w:color w:val="auto"/>
          <w:highlight w:val="none"/>
        </w:rPr>
      </w:pPr>
      <w:bookmarkStart w:id="312" w:name="_Toc14263"/>
      <w:bookmarkStart w:id="313" w:name="_Toc23341"/>
      <w:r>
        <w:rPr>
          <w:rFonts w:hint="eastAsia"/>
          <w:color w:val="auto"/>
          <w:highlight w:val="none"/>
        </w:rPr>
        <w:t>九、承诺书</w:t>
      </w:r>
      <w:bookmarkEnd w:id="312"/>
      <w:bookmarkEnd w:id="313"/>
    </w:p>
    <w:p>
      <w:pPr>
        <w:pStyle w:val="38"/>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8"/>
        <w:spacing w:line="420" w:lineRule="exact"/>
        <w:ind w:firstLine="433"/>
        <w:rPr>
          <w:rFonts w:ascii="宋体" w:eastAsia="宋体" w:cs="宋体"/>
          <w:color w:val="auto"/>
          <w:sz w:val="21"/>
          <w:szCs w:val="21"/>
          <w:highlight w:val="none"/>
        </w:rPr>
      </w:pPr>
      <w:bookmarkStart w:id="314"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14"/>
      <w:r>
        <w:rPr>
          <w:rFonts w:hint="eastAsia" w:ascii="宋体" w:eastAsia="宋体" w:cs="宋体"/>
          <w:color w:val="auto"/>
          <w:sz w:val="21"/>
          <w:szCs w:val="21"/>
          <w:highlight w:val="none"/>
        </w:rPr>
        <w:cr/>
      </w:r>
    </w:p>
    <w:p>
      <w:pPr>
        <w:pStyle w:val="38"/>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5"/>
        <w:jc w:val="center"/>
        <w:rPr>
          <w:color w:val="auto"/>
          <w:highlight w:val="none"/>
        </w:rPr>
      </w:pPr>
      <w:bookmarkStart w:id="315" w:name="_Toc13653"/>
      <w:bookmarkStart w:id="316" w:name="_Toc13955"/>
      <w:r>
        <w:rPr>
          <w:rFonts w:hint="eastAsia"/>
          <w:color w:val="auto"/>
          <w:highlight w:val="none"/>
        </w:rPr>
        <w:t>十、招标代理服务费承诺书</w:t>
      </w:r>
      <w:bookmarkEnd w:id="315"/>
      <w:bookmarkEnd w:id="316"/>
    </w:p>
    <w:p>
      <w:pPr>
        <w:pStyle w:val="38"/>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2"/>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jc w:val="center"/>
        <w:rPr>
          <w:color w:val="auto"/>
          <w:highlight w:val="none"/>
        </w:rPr>
      </w:pPr>
      <w:bookmarkStart w:id="317" w:name="_Toc1975"/>
      <w:bookmarkStart w:id="318" w:name="_Toc12598"/>
      <w:r>
        <w:rPr>
          <w:rFonts w:hint="eastAsia"/>
          <w:color w:val="auto"/>
          <w:highlight w:val="none"/>
        </w:rPr>
        <w:t>十一、商务条款偏离表</w:t>
      </w:r>
      <w:bookmarkEnd w:id="317"/>
      <w:bookmarkEnd w:id="318"/>
    </w:p>
    <w:tbl>
      <w:tblPr>
        <w:tblStyle w:val="25"/>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9" w:name="_Toc32183"/>
    </w:p>
    <w:p>
      <w:pPr>
        <w:pStyle w:val="5"/>
        <w:jc w:val="center"/>
        <w:rPr>
          <w:color w:val="auto"/>
          <w:highlight w:val="none"/>
        </w:rPr>
      </w:pPr>
      <w:bookmarkStart w:id="320" w:name="_Toc19276"/>
      <w:bookmarkStart w:id="321" w:name="_Toc25391"/>
      <w:r>
        <w:rPr>
          <w:rFonts w:hint="eastAsia"/>
          <w:color w:val="auto"/>
          <w:highlight w:val="none"/>
        </w:rPr>
        <w:t>十二、业绩表</w:t>
      </w:r>
      <w:bookmarkEnd w:id="320"/>
      <w:bookmarkEnd w:id="321"/>
    </w:p>
    <w:tbl>
      <w:tblPr>
        <w:tblStyle w:val="25"/>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35"/>
        <w:rPr>
          <w:rFonts w:ascii="宋体" w:hAnsi="宋体"/>
          <w:color w:val="auto"/>
          <w:szCs w:val="21"/>
          <w:highlight w:val="none"/>
        </w:rPr>
      </w:pPr>
    </w:p>
    <w:p>
      <w:pPr>
        <w:pStyle w:val="35"/>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9"/>
        <w:rPr>
          <w:color w:val="auto"/>
          <w:highlight w:val="none"/>
        </w:rPr>
      </w:pPr>
    </w:p>
    <w:p>
      <w:pPr>
        <w:pStyle w:val="9"/>
        <w:ind w:left="0"/>
        <w:rPr>
          <w:color w:val="auto"/>
          <w:highlight w:val="none"/>
        </w:rPr>
      </w:pPr>
    </w:p>
    <w:p>
      <w:pPr>
        <w:pStyle w:val="5"/>
        <w:jc w:val="center"/>
        <w:rPr>
          <w:rFonts w:ascii="黑体" w:eastAsia="黑体"/>
          <w:color w:val="auto"/>
          <w:szCs w:val="28"/>
          <w:highlight w:val="none"/>
        </w:rPr>
      </w:pPr>
      <w:bookmarkStart w:id="322" w:name="_Toc20520"/>
      <w:bookmarkStart w:id="323" w:name="_Toc14688"/>
      <w:r>
        <w:rPr>
          <w:rFonts w:hint="eastAsia"/>
          <w:color w:val="auto"/>
          <w:highlight w:val="none"/>
        </w:rPr>
        <w:t>第三章技术文件</w:t>
      </w:r>
      <w:bookmarkEnd w:id="319"/>
      <w:bookmarkEnd w:id="322"/>
      <w:bookmarkEnd w:id="323"/>
    </w:p>
    <w:p>
      <w:pPr>
        <w:pStyle w:val="5"/>
        <w:jc w:val="center"/>
        <w:rPr>
          <w:color w:val="auto"/>
          <w:highlight w:val="none"/>
        </w:rPr>
      </w:pPr>
      <w:bookmarkStart w:id="324" w:name="_Toc7092"/>
      <w:bookmarkStart w:id="325" w:name="_Toc13097"/>
      <w:r>
        <w:rPr>
          <w:rFonts w:hint="eastAsia"/>
          <w:color w:val="auto"/>
          <w:highlight w:val="none"/>
        </w:rPr>
        <w:t>一、技术规格偏离表</w:t>
      </w:r>
      <w:bookmarkEnd w:id="324"/>
      <w:bookmarkEnd w:id="325"/>
    </w:p>
    <w:tbl>
      <w:tblPr>
        <w:tblStyle w:val="25"/>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26" w:name="_Toc17691"/>
      <w:r>
        <w:rPr>
          <w:rFonts w:hint="eastAsia" w:ascii="宋体" w:hAnsi="宋体"/>
          <w:color w:val="auto"/>
          <w:szCs w:val="21"/>
          <w:highlight w:val="none"/>
        </w:rPr>
        <w:br w:type="page"/>
      </w:r>
      <w:bookmarkEnd w:id="326"/>
      <w:bookmarkStart w:id="327" w:name="_Toc4464"/>
      <w:bookmarkStart w:id="328" w:name="_Toc6080"/>
      <w:bookmarkStart w:id="329" w:name="_Toc26078"/>
      <w:bookmarkStart w:id="330" w:name="_Toc4827"/>
      <w:bookmarkStart w:id="331" w:name="_Toc1274"/>
      <w:bookmarkStart w:id="332" w:name="_Toc18668"/>
    </w:p>
    <w:p>
      <w:pPr>
        <w:pStyle w:val="5"/>
        <w:jc w:val="center"/>
        <w:rPr>
          <w:color w:val="auto"/>
          <w:highlight w:val="none"/>
        </w:rPr>
      </w:pPr>
      <w:bookmarkStart w:id="333" w:name="_Toc13461"/>
      <w:bookmarkStart w:id="334" w:name="_Toc10734"/>
      <w:r>
        <w:rPr>
          <w:rFonts w:hint="eastAsia"/>
          <w:color w:val="auto"/>
          <w:highlight w:val="none"/>
        </w:rPr>
        <w:t>二、重要技术参数（▲）响应表</w:t>
      </w:r>
      <w:bookmarkEnd w:id="327"/>
      <w:bookmarkEnd w:id="328"/>
      <w:bookmarkEnd w:id="329"/>
      <w:bookmarkEnd w:id="330"/>
      <w:bookmarkEnd w:id="331"/>
      <w:bookmarkEnd w:id="332"/>
      <w:bookmarkEnd w:id="333"/>
      <w:bookmarkEnd w:id="334"/>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35" w:name="_Toc27079"/>
            <w:bookmarkStart w:id="336" w:name="_Toc29642"/>
            <w:bookmarkStart w:id="337" w:name="_Toc29560"/>
            <w:r>
              <w:rPr>
                <w:rFonts w:hint="eastAsia" w:ascii="宋体" w:hAnsi="宋体" w:cs="宋体"/>
                <w:b w:val="0"/>
                <w:bCs w:val="0"/>
                <w:color w:val="auto"/>
                <w:sz w:val="21"/>
                <w:szCs w:val="21"/>
                <w:highlight w:val="none"/>
              </w:rPr>
              <w:t>序号</w:t>
            </w:r>
            <w:bookmarkEnd w:id="335"/>
            <w:bookmarkEnd w:id="336"/>
            <w:bookmarkEnd w:id="337"/>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38" w:name="_Toc1016"/>
            <w:bookmarkStart w:id="339" w:name="_Toc21739"/>
            <w:bookmarkStart w:id="340" w:name="_Toc4304"/>
            <w:bookmarkStart w:id="341" w:name="_Toc27090"/>
            <w:bookmarkStart w:id="342" w:name="_Toc14815"/>
            <w:bookmarkStart w:id="343" w:name="_Toc2700"/>
            <w:bookmarkStart w:id="344" w:name="_Toc10045"/>
            <w:bookmarkStart w:id="345" w:name="_Toc22448"/>
            <w:bookmarkStart w:id="346" w:name="_Toc16872"/>
            <w:bookmarkStart w:id="347" w:name="_Toc15368"/>
            <w:bookmarkStart w:id="348" w:name="_Toc12049"/>
            <w:bookmarkStart w:id="349" w:name="_Toc26124"/>
            <w:bookmarkStart w:id="350" w:name="_Toc15903"/>
            <w:bookmarkStart w:id="351" w:name="_Toc24662"/>
            <w:bookmarkStart w:id="352" w:name="_Toc32531"/>
            <w:bookmarkStart w:id="353" w:name="_Toc27442"/>
            <w:bookmarkStart w:id="354" w:name="_Toc22879"/>
            <w:bookmarkStart w:id="355" w:name="_Toc22917"/>
            <w:bookmarkStart w:id="356" w:name="_Toc21809"/>
            <w:bookmarkStart w:id="357" w:name="_Toc8490"/>
            <w:bookmarkStart w:id="358" w:name="_Toc19251"/>
            <w:bookmarkStart w:id="359" w:name="_Toc8312"/>
            <w:bookmarkStart w:id="360" w:name="_Toc7333"/>
            <w:r>
              <w:rPr>
                <w:rFonts w:hint="eastAsia" w:ascii="宋体" w:hAnsi="宋体" w:cs="宋体"/>
                <w:b w:val="0"/>
                <w:bCs w:val="0"/>
                <w:color w:val="auto"/>
                <w:sz w:val="21"/>
                <w:szCs w:val="21"/>
                <w:highlight w:val="none"/>
              </w:rPr>
              <w:t>重要技术参数评分条款（▲）</w:t>
            </w:r>
            <w:bookmarkEnd w:id="338"/>
            <w:bookmarkEnd w:id="339"/>
            <w:bookmarkEnd w:id="340"/>
            <w:bookmarkEnd w:id="341"/>
            <w:bookmarkEnd w:id="342"/>
            <w:bookmarkEnd w:id="343"/>
            <w:bookmarkEnd w:id="344"/>
            <w:bookmarkEnd w:id="345"/>
            <w:bookmarkEnd w:id="346"/>
            <w:bookmarkEnd w:id="347"/>
            <w:bookmarkEnd w:id="348"/>
            <w:bookmarkEnd w:id="349"/>
            <w:bookmarkEnd w:id="350"/>
          </w:p>
          <w:bookmarkEnd w:id="351"/>
          <w:bookmarkEnd w:id="352"/>
          <w:bookmarkEnd w:id="353"/>
          <w:bookmarkEnd w:id="354"/>
          <w:bookmarkEnd w:id="355"/>
          <w:bookmarkEnd w:id="356"/>
          <w:bookmarkEnd w:id="357"/>
          <w:bookmarkEnd w:id="358"/>
          <w:bookmarkEnd w:id="359"/>
          <w:bookmarkEnd w:id="360"/>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61" w:name="_Toc10122"/>
            <w:bookmarkStart w:id="362" w:name="_Toc22153"/>
            <w:bookmarkStart w:id="363" w:name="_Toc2408"/>
            <w:r>
              <w:rPr>
                <w:rFonts w:hint="eastAsia" w:ascii="宋体" w:hAnsi="宋体" w:cs="宋体"/>
                <w:b w:val="0"/>
                <w:bCs w:val="0"/>
                <w:color w:val="auto"/>
                <w:sz w:val="21"/>
                <w:szCs w:val="21"/>
                <w:highlight w:val="none"/>
              </w:rPr>
              <w:t>投标文件响应内容</w:t>
            </w:r>
            <w:bookmarkEnd w:id="361"/>
            <w:bookmarkEnd w:id="362"/>
            <w:bookmarkEnd w:id="363"/>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64" w:name="_Toc27285"/>
            <w:bookmarkStart w:id="365" w:name="_Toc29838"/>
            <w:bookmarkStart w:id="366" w:name="_Toc16003"/>
            <w:bookmarkStart w:id="367" w:name="_Toc20139"/>
            <w:bookmarkStart w:id="368" w:name="_Toc5992"/>
            <w:bookmarkStart w:id="369" w:name="_Toc17642"/>
            <w:bookmarkStart w:id="370" w:name="_Toc3701"/>
            <w:bookmarkStart w:id="371" w:name="_Toc5563"/>
            <w:bookmarkStart w:id="372" w:name="_Toc1912"/>
            <w:bookmarkStart w:id="373" w:name="_Toc17296"/>
            <w:bookmarkStart w:id="374" w:name="_Toc27185"/>
            <w:bookmarkStart w:id="375" w:name="_Toc1330"/>
            <w:bookmarkStart w:id="376" w:name="_Toc20820"/>
            <w:r>
              <w:rPr>
                <w:rFonts w:hint="eastAsia" w:ascii="宋体" w:hAnsi="宋体" w:cs="宋体"/>
                <w:b w:val="0"/>
                <w:bCs w:val="0"/>
                <w:color w:val="auto"/>
                <w:sz w:val="21"/>
                <w:szCs w:val="21"/>
                <w:highlight w:val="none"/>
              </w:rPr>
              <w:t>说明</w:t>
            </w:r>
            <w:bookmarkEnd w:id="364"/>
            <w:bookmarkEnd w:id="365"/>
            <w:bookmarkEnd w:id="366"/>
          </w:p>
        </w:tc>
        <w:tc>
          <w:tcPr>
            <w:tcW w:w="1591"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77" w:name="_Toc3520"/>
            <w:bookmarkStart w:id="378" w:name="_Toc857"/>
            <w:bookmarkStart w:id="379" w:name="_Toc19105"/>
            <w:r>
              <w:rPr>
                <w:rFonts w:hint="eastAsia" w:ascii="宋体" w:hAnsi="宋体" w:cs="宋体"/>
                <w:b w:val="0"/>
                <w:bCs w:val="0"/>
                <w:color w:val="auto"/>
                <w:sz w:val="21"/>
                <w:szCs w:val="21"/>
                <w:highlight w:val="none"/>
              </w:rPr>
              <w:t>页码范围</w:t>
            </w:r>
            <w:bookmarkEnd w:id="367"/>
            <w:bookmarkEnd w:id="368"/>
            <w:bookmarkEnd w:id="369"/>
            <w:bookmarkEnd w:id="370"/>
            <w:bookmarkEnd w:id="371"/>
            <w:bookmarkEnd w:id="372"/>
            <w:bookmarkEnd w:id="373"/>
            <w:bookmarkEnd w:id="374"/>
            <w:bookmarkEnd w:id="375"/>
            <w:bookmarkEnd w:id="376"/>
            <w:bookmarkEnd w:id="377"/>
            <w:bookmarkEnd w:id="378"/>
            <w:bookmarkEnd w:id="37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5"/>
        <w:rPr>
          <w:rFonts w:ascii="宋体" w:hAnsi="宋体"/>
          <w:color w:val="auto"/>
          <w:szCs w:val="21"/>
          <w:highlight w:val="none"/>
        </w:rPr>
      </w:pPr>
    </w:p>
    <w:p>
      <w:pPr>
        <w:pStyle w:val="35"/>
        <w:rPr>
          <w:rFonts w:ascii="宋体" w:hAnsi="宋体"/>
          <w:color w:val="auto"/>
          <w:szCs w:val="21"/>
          <w:highlight w:val="none"/>
        </w:rPr>
      </w:pPr>
      <w:r>
        <w:rPr>
          <w:rFonts w:hint="eastAsia" w:ascii="宋体" w:hAnsi="宋体"/>
          <w:color w:val="auto"/>
          <w:szCs w:val="21"/>
          <w:highlight w:val="none"/>
        </w:rPr>
        <w:t>注：</w:t>
      </w:r>
    </w:p>
    <w:p>
      <w:pPr>
        <w:pStyle w:val="35"/>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5"/>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5"/>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5"/>
        <w:rPr>
          <w:rFonts w:ascii="宋体" w:hAnsi="宋体"/>
          <w:color w:val="auto"/>
          <w:szCs w:val="21"/>
          <w:highlight w:val="none"/>
        </w:rPr>
      </w:pPr>
    </w:p>
    <w:p>
      <w:pPr>
        <w:pStyle w:val="35"/>
        <w:numPr>
          <w:ilvl w:val="0"/>
          <w:numId w:val="13"/>
        </w:numPr>
        <w:rPr>
          <w:rFonts w:ascii="黑体" w:eastAsia="黑体"/>
          <w:color w:val="auto"/>
          <w:sz w:val="32"/>
          <w:szCs w:val="32"/>
          <w:highlight w:val="none"/>
        </w:rPr>
      </w:pPr>
      <w:r>
        <w:rPr>
          <w:rFonts w:hint="eastAsia" w:ascii="宋体" w:hAnsi="宋体"/>
          <w:color w:val="auto"/>
          <w:szCs w:val="21"/>
          <w:highlight w:val="none"/>
        </w:rPr>
        <w:br w:type="page"/>
      </w:r>
    </w:p>
    <w:p>
      <w:pPr>
        <w:pStyle w:val="5"/>
        <w:jc w:val="center"/>
        <w:rPr>
          <w:color w:val="auto"/>
          <w:highlight w:val="none"/>
        </w:rPr>
      </w:pPr>
      <w:bookmarkStart w:id="380" w:name="_Toc27139"/>
      <w:bookmarkStart w:id="381" w:name="_Toc19349"/>
      <w:r>
        <w:rPr>
          <w:rFonts w:hint="eastAsia"/>
          <w:color w:val="auto"/>
          <w:highlight w:val="none"/>
        </w:rPr>
        <w:t>三、实质性条款（标记★）投标响应表</w:t>
      </w:r>
      <w:bookmarkEnd w:id="380"/>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5"/>
        <w:jc w:val="center"/>
        <w:rPr>
          <w:color w:val="auto"/>
          <w:highlight w:val="none"/>
        </w:rPr>
      </w:pPr>
      <w:bookmarkStart w:id="382" w:name="_Toc21519"/>
      <w:r>
        <w:rPr>
          <w:rFonts w:hint="eastAsia"/>
          <w:color w:val="auto"/>
          <w:highlight w:val="none"/>
        </w:rPr>
        <w:t>四、项目技术方案</w:t>
      </w:r>
      <w:bookmarkEnd w:id="381"/>
      <w:bookmarkEnd w:id="382"/>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5"/>
        <w:jc w:val="center"/>
        <w:rPr>
          <w:color w:val="auto"/>
          <w:highlight w:val="none"/>
        </w:rPr>
      </w:pPr>
      <w:bookmarkStart w:id="383" w:name="_Toc26880"/>
      <w:bookmarkStart w:id="384" w:name="_Toc16328"/>
      <w:r>
        <w:rPr>
          <w:rFonts w:hint="eastAsia"/>
          <w:color w:val="auto"/>
          <w:highlight w:val="none"/>
        </w:rPr>
        <w:t>五、项目负责人及团队成员资料表</w:t>
      </w:r>
      <w:bookmarkEnd w:id="383"/>
      <w:bookmarkEnd w:id="384"/>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9"/>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85" w:name="_Toc15431"/>
      <w:bookmarkStart w:id="386" w:name="_Toc26980"/>
      <w:r>
        <w:rPr>
          <w:rFonts w:hint="eastAsia"/>
          <w:color w:val="auto"/>
          <w:highlight w:val="none"/>
        </w:rPr>
        <w:t>六、投标货物明细一览表</w:t>
      </w:r>
      <w:bookmarkEnd w:id="385"/>
      <w:bookmarkEnd w:id="386"/>
    </w:p>
    <w:tbl>
      <w:tblPr>
        <w:tblStyle w:val="25"/>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5"/>
        <w:jc w:val="center"/>
        <w:rPr>
          <w:color w:val="auto"/>
          <w:highlight w:val="none"/>
        </w:rPr>
      </w:pPr>
      <w:bookmarkStart w:id="387" w:name="_Toc6961"/>
      <w:r>
        <w:rPr>
          <w:rFonts w:hint="eastAsia"/>
          <w:color w:val="auto"/>
          <w:highlight w:val="none"/>
        </w:rPr>
        <w:t>七、政府采购履约担保函</w:t>
      </w:r>
      <w:bookmarkEnd w:id="387"/>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9"/>
        <w:rPr>
          <w:color w:val="auto"/>
          <w:highlight w:val="none"/>
        </w:rPr>
      </w:pPr>
    </w:p>
    <w:p>
      <w:pPr>
        <w:rPr>
          <w:color w:val="auto"/>
          <w:highlight w:val="none"/>
        </w:rPr>
      </w:pPr>
      <w:r>
        <w:rPr>
          <w:color w:val="auto"/>
          <w:highlight w:val="none"/>
        </w:rPr>
        <w:br w:type="page"/>
      </w:r>
    </w:p>
    <w:p>
      <w:pPr>
        <w:pStyle w:val="5"/>
        <w:jc w:val="center"/>
        <w:rPr>
          <w:color w:val="auto"/>
          <w:highlight w:val="none"/>
        </w:rPr>
      </w:pPr>
      <w:bookmarkStart w:id="388" w:name="_Toc26782"/>
      <w:bookmarkStart w:id="389" w:name="_Toc26772"/>
      <w:r>
        <w:rPr>
          <w:rFonts w:hint="eastAsia"/>
          <w:color w:val="auto"/>
          <w:highlight w:val="none"/>
        </w:rPr>
        <w:t>第四章唱标信封（单独封装）</w:t>
      </w:r>
      <w:bookmarkEnd w:id="388"/>
      <w:bookmarkEnd w:id="389"/>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90"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rPr>
          <w:color w:val="auto"/>
          <w:highlight w:val="none"/>
        </w:rPr>
      </w:pPr>
    </w:p>
    <w:p>
      <w:pPr>
        <w:rPr>
          <w:color w:val="auto"/>
          <w:highlight w:val="none"/>
        </w:rPr>
      </w:pPr>
    </w:p>
    <w:p>
      <w:pPr>
        <w:pStyle w:val="5"/>
        <w:jc w:val="center"/>
        <w:rPr>
          <w:color w:val="auto"/>
          <w:highlight w:val="none"/>
        </w:rPr>
      </w:pPr>
      <w:bookmarkStart w:id="391" w:name="_Toc2710"/>
      <w:bookmarkStart w:id="392" w:name="_Toc22736"/>
      <w:r>
        <w:rPr>
          <w:rFonts w:hint="eastAsia"/>
          <w:color w:val="auto"/>
          <w:highlight w:val="none"/>
        </w:rPr>
        <w:t>第五章联合体共同投标协议书（如有需要）</w:t>
      </w:r>
      <w:bookmarkEnd w:id="391"/>
      <w:bookmarkEnd w:id="392"/>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90"/>
    <w:p>
      <w:pPr>
        <w:pStyle w:val="9"/>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9"/>
        <w:rPr>
          <w:color w:val="auto"/>
          <w:sz w:val="21"/>
          <w:szCs w:val="21"/>
          <w:highlight w:val="none"/>
        </w:rPr>
      </w:pPr>
    </w:p>
    <w:p>
      <w:pPr>
        <w:rPr>
          <w:rFonts w:ascii="宋体" w:hAnsi="宋体" w:cs="宋体"/>
          <w:color w:val="auto"/>
          <w:szCs w:val="21"/>
          <w:highlight w:val="none"/>
        </w:rPr>
      </w:pPr>
    </w:p>
    <w:p>
      <w:pPr>
        <w:pStyle w:val="9"/>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9"/>
        <w:rPr>
          <w:color w:val="auto"/>
          <w:highlight w:val="none"/>
        </w:rPr>
      </w:pPr>
    </w:p>
    <w:p>
      <w:pPr>
        <w:rPr>
          <w:color w:val="auto"/>
          <w:highlight w:val="none"/>
        </w:rPr>
      </w:pPr>
    </w:p>
    <w:p>
      <w:pPr>
        <w:pStyle w:val="9"/>
        <w:rPr>
          <w:color w:val="auto"/>
          <w:highlight w:val="none"/>
        </w:rPr>
      </w:pPr>
    </w:p>
    <w:p>
      <w:pPr>
        <w:pStyle w:val="10"/>
        <w:ind w:firstLine="240"/>
        <w:rPr>
          <w:color w:val="auto"/>
          <w:highlight w:val="none"/>
        </w:rPr>
      </w:pPr>
    </w:p>
    <w:p>
      <w:pPr>
        <w:pStyle w:val="10"/>
        <w:ind w:firstLine="240"/>
        <w:rPr>
          <w:color w:val="auto"/>
          <w:highlight w:val="none"/>
        </w:rPr>
      </w:pPr>
    </w:p>
    <w:p>
      <w:pPr>
        <w:pStyle w:val="10"/>
        <w:ind w:firstLine="240"/>
        <w:rPr>
          <w:color w:val="auto"/>
          <w:highlight w:val="none"/>
        </w:rPr>
      </w:pPr>
    </w:p>
    <w:p>
      <w:pPr>
        <w:pStyle w:val="10"/>
        <w:ind w:firstLine="240"/>
        <w:rPr>
          <w:color w:val="auto"/>
          <w:highlight w:val="none"/>
        </w:rPr>
      </w:pPr>
    </w:p>
    <w:p>
      <w:pPr>
        <w:pStyle w:val="10"/>
        <w:ind w:firstLine="240"/>
        <w:rPr>
          <w:color w:val="auto"/>
          <w:highlight w:val="none"/>
        </w:rPr>
      </w:pPr>
    </w:p>
    <w:p>
      <w:pPr>
        <w:pStyle w:val="10"/>
        <w:ind w:firstLine="240"/>
        <w:rPr>
          <w:color w:val="auto"/>
          <w:highlight w:val="none"/>
        </w:rPr>
      </w:pPr>
    </w:p>
    <w:p>
      <w:pPr>
        <w:pStyle w:val="10"/>
        <w:ind w:firstLine="240"/>
        <w:rPr>
          <w:color w:val="auto"/>
          <w:highlight w:val="none"/>
        </w:rPr>
      </w:pPr>
    </w:p>
    <w:p>
      <w:pPr>
        <w:pStyle w:val="10"/>
        <w:ind w:firstLine="240"/>
        <w:rPr>
          <w:color w:val="auto"/>
          <w:highlight w:val="none"/>
        </w:rPr>
      </w:pPr>
    </w:p>
    <w:p>
      <w:pPr>
        <w:pStyle w:val="10"/>
        <w:ind w:firstLine="240"/>
        <w:rPr>
          <w:color w:val="auto"/>
          <w:highlight w:val="none"/>
        </w:rPr>
      </w:pPr>
    </w:p>
    <w:p>
      <w:pPr>
        <w:pStyle w:val="10"/>
        <w:ind w:firstLine="240"/>
        <w:rPr>
          <w:color w:val="auto"/>
          <w:highlight w:val="none"/>
        </w:rPr>
      </w:pPr>
    </w:p>
    <w:p>
      <w:pPr>
        <w:pStyle w:val="10"/>
        <w:ind w:firstLine="240"/>
        <w:rPr>
          <w:color w:val="auto"/>
          <w:highlight w:val="none"/>
        </w:rPr>
      </w:pPr>
    </w:p>
    <w:p>
      <w:pPr>
        <w:pStyle w:val="10"/>
        <w:ind w:firstLine="240"/>
        <w:rPr>
          <w:color w:val="auto"/>
          <w:highlight w:val="none"/>
        </w:rPr>
      </w:pPr>
    </w:p>
    <w:p>
      <w:pPr>
        <w:pStyle w:val="10"/>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5"/>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14"/>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pPr>
              <w:numPr>
                <w:ilvl w:val="0"/>
                <w:numId w:val="14"/>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14"/>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pPr>
        <w:pStyle w:val="10"/>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vertical-align:baseline;margin-bottom:22px;padding:0px;color:#38">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1"/>
        <w:rPr>
          <w:rFonts w:eastAsia="微软雅黑"/>
        </w:rPr>
      </w:pPr>
      <w:r>
        <w:rPr>
          <w:rStyle w:val="31"/>
        </w:rPr>
        <w:footnoteRef/>
      </w:r>
      <w:r>
        <w:t xml:space="preserve"> </w:t>
      </w:r>
      <w:r>
        <w:rPr>
          <w:rFonts w:hint="eastAsia"/>
        </w:rPr>
        <w:t>从业人员、营业人员、资产总额填报上一年度数据，无上一年度数据的新成立企业可不填报。</w:t>
      </w:r>
    </w:p>
  </w:footnote>
  <w:footnote w:id="1">
    <w:p>
      <w:pPr>
        <w:pStyle w:val="21"/>
      </w:pPr>
      <w:r>
        <w:rPr>
          <w:rStyle w:val="31"/>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EFABA730"/>
    <w:multiLevelType w:val="singleLevel"/>
    <w:tmpl w:val="EFABA730"/>
    <w:lvl w:ilvl="0" w:tentative="0">
      <w:start w:val="1"/>
      <w:numFmt w:val="bullet"/>
      <w:lvlText w:val=""/>
      <w:lvlJc w:val="left"/>
      <w:pPr>
        <w:ind w:left="420" w:hanging="420"/>
      </w:pPr>
      <w:rPr>
        <w:rFonts w:hint="default" w:ascii="Wingdings" w:hAnsi="Wingdings"/>
      </w:rPr>
    </w:lvl>
  </w:abstractNum>
  <w:abstractNum w:abstractNumId="5">
    <w:nsid w:val="F73DC5D7"/>
    <w:multiLevelType w:val="singleLevel"/>
    <w:tmpl w:val="F73DC5D7"/>
    <w:lvl w:ilvl="0" w:tentative="0">
      <w:start w:val="1"/>
      <w:numFmt w:val="decimal"/>
      <w:suff w:val="nothing"/>
      <w:lvlText w:val="（%1）"/>
      <w:lvlJc w:val="left"/>
    </w:lvl>
  </w:abstractNum>
  <w:abstractNum w:abstractNumId="6">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206CABF7"/>
    <w:multiLevelType w:val="singleLevel"/>
    <w:tmpl w:val="206CABF7"/>
    <w:lvl w:ilvl="0" w:tentative="0">
      <w:start w:val="1"/>
      <w:numFmt w:val="decimal"/>
      <w:suff w:val="nothing"/>
      <w:lvlText w:val="（%1）"/>
      <w:lvlJc w:val="left"/>
    </w:lvl>
  </w:abstractNum>
  <w:abstractNum w:abstractNumId="9">
    <w:nsid w:val="316010E5"/>
    <w:multiLevelType w:val="singleLevel"/>
    <w:tmpl w:val="316010E5"/>
    <w:lvl w:ilvl="0" w:tentative="0">
      <w:start w:val="1"/>
      <w:numFmt w:val="decimal"/>
      <w:suff w:val="nothing"/>
      <w:lvlText w:val="%1．"/>
      <w:lvlJc w:val="left"/>
    </w:lvl>
  </w:abstractNum>
  <w:abstractNum w:abstractNumId="10">
    <w:nsid w:val="3B1B8417"/>
    <w:multiLevelType w:val="singleLevel"/>
    <w:tmpl w:val="3B1B8417"/>
    <w:lvl w:ilvl="0" w:tentative="0">
      <w:start w:val="1"/>
      <w:numFmt w:val="decimal"/>
      <w:suff w:val="nothing"/>
      <w:lvlText w:val="%1、"/>
      <w:lvlJc w:val="left"/>
    </w:lvl>
  </w:abstractNum>
  <w:abstractNum w:abstractNumId="11">
    <w:nsid w:val="3F88662E"/>
    <w:multiLevelType w:val="singleLevel"/>
    <w:tmpl w:val="3F88662E"/>
    <w:lvl w:ilvl="0" w:tentative="0">
      <w:start w:val="1"/>
      <w:numFmt w:val="decimal"/>
      <w:suff w:val="space"/>
      <w:lvlText w:val="%1)"/>
      <w:lvlJc w:val="left"/>
    </w:lvl>
  </w:abstractNum>
  <w:abstractNum w:abstractNumId="12">
    <w:nsid w:val="6554753B"/>
    <w:multiLevelType w:val="singleLevel"/>
    <w:tmpl w:val="6554753B"/>
    <w:lvl w:ilvl="0" w:tentative="0">
      <w:start w:val="2"/>
      <w:numFmt w:val="chineseCounting"/>
      <w:suff w:val="space"/>
      <w:lvlText w:val="第%1章"/>
      <w:lvlJc w:val="left"/>
      <w:rPr>
        <w:rFonts w:hint="eastAsia"/>
      </w:rPr>
    </w:lvl>
  </w:abstractNum>
  <w:abstractNum w:abstractNumId="13">
    <w:nsid w:val="6E5CE7BD"/>
    <w:multiLevelType w:val="singleLevel"/>
    <w:tmpl w:val="6E5CE7BD"/>
    <w:lvl w:ilvl="0" w:tentative="0">
      <w:start w:val="1"/>
      <w:numFmt w:val="chineseCounting"/>
      <w:suff w:val="nothing"/>
      <w:lvlText w:val="%1、"/>
      <w:lvlJc w:val="left"/>
      <w:rPr>
        <w:rFonts w:hint="eastAsia"/>
      </w:rPr>
    </w:lvl>
  </w:abstractNum>
  <w:num w:numId="1">
    <w:abstractNumId w:val="13"/>
  </w:num>
  <w:num w:numId="2">
    <w:abstractNumId w:val="10"/>
  </w:num>
  <w:num w:numId="3">
    <w:abstractNumId w:val="7"/>
  </w:num>
  <w:num w:numId="4">
    <w:abstractNumId w:val="11"/>
  </w:num>
  <w:num w:numId="5">
    <w:abstractNumId w:val="8"/>
  </w:num>
  <w:num w:numId="6">
    <w:abstractNumId w:val="3"/>
  </w:num>
  <w:num w:numId="7">
    <w:abstractNumId w:val="5"/>
  </w:num>
  <w:num w:numId="8">
    <w:abstractNumId w:val="1"/>
  </w:num>
  <w:num w:numId="9">
    <w:abstractNumId w:val="12"/>
  </w:num>
  <w:num w:numId="10">
    <w:abstractNumId w:val="4"/>
  </w:num>
  <w:num w:numId="11">
    <w:abstractNumId w:val="2"/>
  </w:num>
  <w:num w:numId="12">
    <w:abstractNumId w:val="6"/>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7D2B3E"/>
    <w:rsid w:val="04DF1036"/>
    <w:rsid w:val="050F6021"/>
    <w:rsid w:val="05A97DEC"/>
    <w:rsid w:val="05C81981"/>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9F1700"/>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BE34502"/>
    <w:rsid w:val="0C264099"/>
    <w:rsid w:val="0C2B4952"/>
    <w:rsid w:val="0C7B2220"/>
    <w:rsid w:val="0D890E47"/>
    <w:rsid w:val="0DC64A00"/>
    <w:rsid w:val="0DFC60BA"/>
    <w:rsid w:val="0E4249F1"/>
    <w:rsid w:val="0E7A447D"/>
    <w:rsid w:val="0F0623D7"/>
    <w:rsid w:val="0F6C5A53"/>
    <w:rsid w:val="0F7C5FF6"/>
    <w:rsid w:val="0FC63FBD"/>
    <w:rsid w:val="106C564D"/>
    <w:rsid w:val="107B7B8F"/>
    <w:rsid w:val="107C67CE"/>
    <w:rsid w:val="1080523F"/>
    <w:rsid w:val="108F06C9"/>
    <w:rsid w:val="109D68CB"/>
    <w:rsid w:val="10A949B8"/>
    <w:rsid w:val="10C54639"/>
    <w:rsid w:val="11200D07"/>
    <w:rsid w:val="11DA73AF"/>
    <w:rsid w:val="11DF733C"/>
    <w:rsid w:val="12C60D80"/>
    <w:rsid w:val="131867D4"/>
    <w:rsid w:val="131F7A3A"/>
    <w:rsid w:val="132645D0"/>
    <w:rsid w:val="13455ABC"/>
    <w:rsid w:val="1370322B"/>
    <w:rsid w:val="13B27845"/>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F72341"/>
    <w:rsid w:val="17095F55"/>
    <w:rsid w:val="17407617"/>
    <w:rsid w:val="17680CAB"/>
    <w:rsid w:val="176E4128"/>
    <w:rsid w:val="1783371F"/>
    <w:rsid w:val="17D54E75"/>
    <w:rsid w:val="17E62B67"/>
    <w:rsid w:val="180C0192"/>
    <w:rsid w:val="180F4499"/>
    <w:rsid w:val="18221ECE"/>
    <w:rsid w:val="190B7894"/>
    <w:rsid w:val="19302282"/>
    <w:rsid w:val="19A2789F"/>
    <w:rsid w:val="1A460CF5"/>
    <w:rsid w:val="1A7F297D"/>
    <w:rsid w:val="1AB16AC1"/>
    <w:rsid w:val="1B034A52"/>
    <w:rsid w:val="1B1F34AD"/>
    <w:rsid w:val="1B8D5DC6"/>
    <w:rsid w:val="1BFE1D3B"/>
    <w:rsid w:val="1C153208"/>
    <w:rsid w:val="1C2775EC"/>
    <w:rsid w:val="1C750ECE"/>
    <w:rsid w:val="1CA22168"/>
    <w:rsid w:val="1CD40CA8"/>
    <w:rsid w:val="1CE03EE3"/>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4814CBE"/>
    <w:rsid w:val="24AC168B"/>
    <w:rsid w:val="258C3BEC"/>
    <w:rsid w:val="25E576CC"/>
    <w:rsid w:val="260E3862"/>
    <w:rsid w:val="262569FC"/>
    <w:rsid w:val="26344C98"/>
    <w:rsid w:val="26F56CE2"/>
    <w:rsid w:val="271316D3"/>
    <w:rsid w:val="27435D49"/>
    <w:rsid w:val="27A34F71"/>
    <w:rsid w:val="27B36A67"/>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F22742"/>
    <w:rsid w:val="2C4A4550"/>
    <w:rsid w:val="2C987C56"/>
    <w:rsid w:val="2CC7419D"/>
    <w:rsid w:val="2CFF149A"/>
    <w:rsid w:val="2D201865"/>
    <w:rsid w:val="2D4B5CEA"/>
    <w:rsid w:val="2D652658"/>
    <w:rsid w:val="2DC80C49"/>
    <w:rsid w:val="2DCA6355"/>
    <w:rsid w:val="2DF0699F"/>
    <w:rsid w:val="2E166748"/>
    <w:rsid w:val="2E556F01"/>
    <w:rsid w:val="2E8E20B4"/>
    <w:rsid w:val="2EB9239F"/>
    <w:rsid w:val="2ED06066"/>
    <w:rsid w:val="2ED1223D"/>
    <w:rsid w:val="2EE470F7"/>
    <w:rsid w:val="2EF223E2"/>
    <w:rsid w:val="2F000139"/>
    <w:rsid w:val="2F111253"/>
    <w:rsid w:val="2F561B8A"/>
    <w:rsid w:val="2F9F42DC"/>
    <w:rsid w:val="2FE04319"/>
    <w:rsid w:val="2FF37AB3"/>
    <w:rsid w:val="304A650F"/>
    <w:rsid w:val="308C7755"/>
    <w:rsid w:val="30FF27D2"/>
    <w:rsid w:val="31170995"/>
    <w:rsid w:val="31264A30"/>
    <w:rsid w:val="31884E67"/>
    <w:rsid w:val="31A0275E"/>
    <w:rsid w:val="31B7357A"/>
    <w:rsid w:val="31ED6B08"/>
    <w:rsid w:val="31F915C9"/>
    <w:rsid w:val="320D643F"/>
    <w:rsid w:val="3236546E"/>
    <w:rsid w:val="32610CE6"/>
    <w:rsid w:val="32631A32"/>
    <w:rsid w:val="328464CE"/>
    <w:rsid w:val="32AB70C5"/>
    <w:rsid w:val="32B95807"/>
    <w:rsid w:val="32DC33E0"/>
    <w:rsid w:val="335D0AF5"/>
    <w:rsid w:val="3370088C"/>
    <w:rsid w:val="33A3154A"/>
    <w:rsid w:val="33DC2F78"/>
    <w:rsid w:val="3428227C"/>
    <w:rsid w:val="35260F83"/>
    <w:rsid w:val="35602226"/>
    <w:rsid w:val="356B72E7"/>
    <w:rsid w:val="3572424F"/>
    <w:rsid w:val="35FC3844"/>
    <w:rsid w:val="366061FD"/>
    <w:rsid w:val="36794DEF"/>
    <w:rsid w:val="36AD519D"/>
    <w:rsid w:val="36B57705"/>
    <w:rsid w:val="36E75B41"/>
    <w:rsid w:val="374F1A0B"/>
    <w:rsid w:val="3778009F"/>
    <w:rsid w:val="37A103ED"/>
    <w:rsid w:val="37EA5E6E"/>
    <w:rsid w:val="37FF016F"/>
    <w:rsid w:val="38427C0B"/>
    <w:rsid w:val="387C5ABE"/>
    <w:rsid w:val="38865AC7"/>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DED21B5"/>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EB15FB"/>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F303D7"/>
    <w:rsid w:val="492837FF"/>
    <w:rsid w:val="492E6A57"/>
    <w:rsid w:val="49B86103"/>
    <w:rsid w:val="4A0030EE"/>
    <w:rsid w:val="4AC36065"/>
    <w:rsid w:val="4B1A0A44"/>
    <w:rsid w:val="4B560086"/>
    <w:rsid w:val="4B7501F5"/>
    <w:rsid w:val="4B813110"/>
    <w:rsid w:val="4B8C2DEB"/>
    <w:rsid w:val="4BFA3C9F"/>
    <w:rsid w:val="4C0E3379"/>
    <w:rsid w:val="4C107F48"/>
    <w:rsid w:val="4C3277BC"/>
    <w:rsid w:val="4C686851"/>
    <w:rsid w:val="4CB25875"/>
    <w:rsid w:val="4CC353EB"/>
    <w:rsid w:val="4CEA1028"/>
    <w:rsid w:val="4CF36F3C"/>
    <w:rsid w:val="4D4F67BA"/>
    <w:rsid w:val="4D603399"/>
    <w:rsid w:val="4D867EE1"/>
    <w:rsid w:val="4DBC4C65"/>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141A4D"/>
    <w:rsid w:val="54693932"/>
    <w:rsid w:val="549A6BFA"/>
    <w:rsid w:val="54E72921"/>
    <w:rsid w:val="55806F07"/>
    <w:rsid w:val="55FA2961"/>
    <w:rsid w:val="565E3E0E"/>
    <w:rsid w:val="565E7F4F"/>
    <w:rsid w:val="56775789"/>
    <w:rsid w:val="56857D06"/>
    <w:rsid w:val="56914056"/>
    <w:rsid w:val="569F0E63"/>
    <w:rsid w:val="56DB613D"/>
    <w:rsid w:val="573810DA"/>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D5854"/>
    <w:rsid w:val="5A20156F"/>
    <w:rsid w:val="5A8E5D27"/>
    <w:rsid w:val="5A9847F3"/>
    <w:rsid w:val="5AC7121C"/>
    <w:rsid w:val="5AD90B8D"/>
    <w:rsid w:val="5AE12927"/>
    <w:rsid w:val="5B2243E9"/>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893B14"/>
    <w:rsid w:val="5D9F3D30"/>
    <w:rsid w:val="5E2810D5"/>
    <w:rsid w:val="5E2B7D62"/>
    <w:rsid w:val="5E71411E"/>
    <w:rsid w:val="5EA06921"/>
    <w:rsid w:val="5ED5006A"/>
    <w:rsid w:val="5F576E4B"/>
    <w:rsid w:val="5F5D4EDE"/>
    <w:rsid w:val="5F7A2C30"/>
    <w:rsid w:val="5F7E5DBD"/>
    <w:rsid w:val="5FBE370A"/>
    <w:rsid w:val="60292845"/>
    <w:rsid w:val="60A4258E"/>
    <w:rsid w:val="61014BB6"/>
    <w:rsid w:val="61027308"/>
    <w:rsid w:val="612E1A5D"/>
    <w:rsid w:val="61816046"/>
    <w:rsid w:val="62182687"/>
    <w:rsid w:val="62391564"/>
    <w:rsid w:val="62816669"/>
    <w:rsid w:val="62BA0953"/>
    <w:rsid w:val="62D03A7C"/>
    <w:rsid w:val="62F16BCB"/>
    <w:rsid w:val="62F648FE"/>
    <w:rsid w:val="63341DB1"/>
    <w:rsid w:val="63447612"/>
    <w:rsid w:val="63907004"/>
    <w:rsid w:val="63A10995"/>
    <w:rsid w:val="63C23EFA"/>
    <w:rsid w:val="643A070A"/>
    <w:rsid w:val="644C573D"/>
    <w:rsid w:val="648667A7"/>
    <w:rsid w:val="64D448DB"/>
    <w:rsid w:val="64DB383A"/>
    <w:rsid w:val="65032F85"/>
    <w:rsid w:val="65136B50"/>
    <w:rsid w:val="657E2A35"/>
    <w:rsid w:val="65A94E9D"/>
    <w:rsid w:val="65AF3FB6"/>
    <w:rsid w:val="65C60A92"/>
    <w:rsid w:val="662203DD"/>
    <w:rsid w:val="666B723B"/>
    <w:rsid w:val="6678045A"/>
    <w:rsid w:val="66DD6702"/>
    <w:rsid w:val="674D780C"/>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BF6AA1"/>
    <w:rsid w:val="69EE3535"/>
    <w:rsid w:val="69F954C1"/>
    <w:rsid w:val="6A2031B6"/>
    <w:rsid w:val="6A38592B"/>
    <w:rsid w:val="6A440C53"/>
    <w:rsid w:val="6AC61F6F"/>
    <w:rsid w:val="6ADE74F0"/>
    <w:rsid w:val="6B1002C0"/>
    <w:rsid w:val="6B1F5CFA"/>
    <w:rsid w:val="6B723594"/>
    <w:rsid w:val="6B805156"/>
    <w:rsid w:val="6BD50977"/>
    <w:rsid w:val="6BEA2A9B"/>
    <w:rsid w:val="6BFC3A16"/>
    <w:rsid w:val="6C187AE1"/>
    <w:rsid w:val="6C9C0875"/>
    <w:rsid w:val="6C9D1F03"/>
    <w:rsid w:val="6CAA3931"/>
    <w:rsid w:val="6D3933CA"/>
    <w:rsid w:val="6D7B61EC"/>
    <w:rsid w:val="6DC3266E"/>
    <w:rsid w:val="6DD049FF"/>
    <w:rsid w:val="6DED73B5"/>
    <w:rsid w:val="6E09491E"/>
    <w:rsid w:val="6E0D3655"/>
    <w:rsid w:val="6E5F4465"/>
    <w:rsid w:val="6E8C54DA"/>
    <w:rsid w:val="6EF11E03"/>
    <w:rsid w:val="6F111C62"/>
    <w:rsid w:val="6F2176E5"/>
    <w:rsid w:val="6F3053CA"/>
    <w:rsid w:val="6F592303"/>
    <w:rsid w:val="6F5F5B74"/>
    <w:rsid w:val="6F9B1C65"/>
    <w:rsid w:val="6FD47A25"/>
    <w:rsid w:val="6FF44026"/>
    <w:rsid w:val="6FFB146E"/>
    <w:rsid w:val="701A5C74"/>
    <w:rsid w:val="706516C3"/>
    <w:rsid w:val="70864A71"/>
    <w:rsid w:val="70896E68"/>
    <w:rsid w:val="714556B4"/>
    <w:rsid w:val="715B60E9"/>
    <w:rsid w:val="71E96309"/>
    <w:rsid w:val="71EA1FED"/>
    <w:rsid w:val="72284A0C"/>
    <w:rsid w:val="72C16204"/>
    <w:rsid w:val="730313F6"/>
    <w:rsid w:val="731E1007"/>
    <w:rsid w:val="73370D24"/>
    <w:rsid w:val="7359268C"/>
    <w:rsid w:val="739503EB"/>
    <w:rsid w:val="73A05B28"/>
    <w:rsid w:val="73C07D69"/>
    <w:rsid w:val="749E2255"/>
    <w:rsid w:val="74B42AE4"/>
    <w:rsid w:val="74D430B7"/>
    <w:rsid w:val="750A429D"/>
    <w:rsid w:val="75167F59"/>
    <w:rsid w:val="754D77D2"/>
    <w:rsid w:val="755D38A7"/>
    <w:rsid w:val="755F5A0F"/>
    <w:rsid w:val="75614792"/>
    <w:rsid w:val="75784473"/>
    <w:rsid w:val="757E044C"/>
    <w:rsid w:val="75977BC3"/>
    <w:rsid w:val="75B161B3"/>
    <w:rsid w:val="75E470E3"/>
    <w:rsid w:val="76736B32"/>
    <w:rsid w:val="76E3765E"/>
    <w:rsid w:val="76FC2AFA"/>
    <w:rsid w:val="773F0836"/>
    <w:rsid w:val="77653671"/>
    <w:rsid w:val="778546CC"/>
    <w:rsid w:val="77B56730"/>
    <w:rsid w:val="77C04A8B"/>
    <w:rsid w:val="77D85DB3"/>
    <w:rsid w:val="780252A0"/>
    <w:rsid w:val="7802777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8E3CCF"/>
    <w:rsid w:val="7CA54112"/>
    <w:rsid w:val="7CE50CE4"/>
    <w:rsid w:val="7D2177E3"/>
    <w:rsid w:val="7D2E5ABF"/>
    <w:rsid w:val="7DC82AB7"/>
    <w:rsid w:val="7DF103ED"/>
    <w:rsid w:val="7E2142A2"/>
    <w:rsid w:val="7E4C3614"/>
    <w:rsid w:val="7E4F5384"/>
    <w:rsid w:val="7E5A6DFA"/>
    <w:rsid w:val="7E7B0BF2"/>
    <w:rsid w:val="7E7C7A78"/>
    <w:rsid w:val="7E8D75B6"/>
    <w:rsid w:val="7EB2417D"/>
    <w:rsid w:val="7EF760EE"/>
    <w:rsid w:val="7F2A21E7"/>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4"/>
    <w:unhideWhenUsed/>
    <w:qFormat/>
    <w:uiPriority w:val="9"/>
    <w:pPr>
      <w:keepNext/>
      <w:keepLines/>
      <w:outlineLvl w:val="2"/>
    </w:pPr>
    <w:rPr>
      <w:b/>
      <w:bCs/>
      <w:sz w:val="28"/>
      <w:szCs w:val="32"/>
    </w:rPr>
  </w:style>
  <w:style w:type="paragraph" w:styleId="6">
    <w:name w:val="heading 4"/>
    <w:basedOn w:val="1"/>
    <w:next w:val="1"/>
    <w:link w:val="36"/>
    <w:unhideWhenUsed/>
    <w:qFormat/>
    <w:uiPriority w:val="9"/>
    <w:pPr>
      <w:keepNext/>
      <w:keepLines/>
      <w:outlineLvl w:val="3"/>
    </w:pPr>
    <w:rPr>
      <w:rFonts w:asciiTheme="majorHAnsi" w:hAnsiTheme="majorHAnsi" w:cstheme="majorBidi"/>
      <w:b/>
      <w:bCs/>
      <w:sz w:val="24"/>
      <w:szCs w:val="28"/>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styleId="8">
    <w:name w:val="annotation text"/>
    <w:basedOn w:val="1"/>
    <w:semiHidden/>
    <w:unhideWhenUsed/>
    <w:qFormat/>
    <w:uiPriority w:val="99"/>
  </w:style>
  <w:style w:type="paragraph" w:styleId="9">
    <w:name w:val="Body Text"/>
    <w:basedOn w:val="1"/>
    <w:next w:val="10"/>
    <w:qFormat/>
    <w:uiPriority w:val="1"/>
    <w:pPr>
      <w:spacing w:before="161"/>
      <w:ind w:left="120"/>
    </w:pPr>
    <w:rPr>
      <w:rFonts w:ascii="宋体" w:hAnsi="宋体" w:cs="宋体"/>
      <w:sz w:val="24"/>
      <w:lang w:val="zh-CN" w:bidi="zh-CN"/>
    </w:rPr>
  </w:style>
  <w:style w:type="paragraph" w:styleId="10">
    <w:name w:val="Body Text First Indent"/>
    <w:basedOn w:val="9"/>
    <w:unhideWhenUsed/>
    <w:qFormat/>
    <w:uiPriority w:val="99"/>
    <w:pPr>
      <w:ind w:firstLine="420" w:firstLineChars="100"/>
    </w:pPr>
    <w:rPr>
      <w:rFonts w:ascii="Times New Roman" w:hAnsi="Times New Roman" w:cs="Times New Roman"/>
    </w:rPr>
  </w:style>
  <w:style w:type="paragraph" w:styleId="11">
    <w:name w:val="toc 3"/>
    <w:basedOn w:val="1"/>
    <w:next w:val="1"/>
    <w:unhideWhenUsed/>
    <w:qFormat/>
    <w:uiPriority w:val="39"/>
    <w:pPr>
      <w:tabs>
        <w:tab w:val="right" w:leader="dot" w:pos="8296"/>
      </w:tabs>
      <w:ind w:left="838" w:leftChars="381"/>
    </w:pPr>
    <w:rPr>
      <w:szCs w:val="21"/>
    </w:rPr>
  </w:style>
  <w:style w:type="paragraph" w:styleId="12">
    <w:name w:val="Plain Text"/>
    <w:basedOn w:val="1"/>
    <w:link w:val="46"/>
    <w:qFormat/>
    <w:uiPriority w:val="0"/>
    <w:pPr>
      <w:widowControl w:val="0"/>
      <w:adjustRightInd/>
      <w:snapToGrid/>
      <w:jc w:val="both"/>
    </w:pPr>
    <w:rPr>
      <w:rFonts w:ascii="宋体" w:hAnsi="Courier New" w:cs="Times New Roman"/>
      <w:b/>
      <w:kern w:val="2"/>
      <w:szCs w:val="20"/>
    </w:rPr>
  </w:style>
  <w:style w:type="paragraph" w:styleId="13">
    <w:name w:val="Body Text Indent 2"/>
    <w:basedOn w:val="1"/>
    <w:qFormat/>
    <w:uiPriority w:val="0"/>
    <w:pPr>
      <w:ind w:firstLine="539" w:firstLineChars="174"/>
    </w:pPr>
    <w:rPr>
      <w:rFonts w:ascii="仿宋_GB2312" w:eastAsia="仿宋_GB2312"/>
      <w:sz w:val="31"/>
    </w:rPr>
  </w:style>
  <w:style w:type="paragraph" w:styleId="14">
    <w:name w:val="Balloon Text"/>
    <w:basedOn w:val="1"/>
    <w:link w:val="49"/>
    <w:semiHidden/>
    <w:unhideWhenUsed/>
    <w:qFormat/>
    <w:uiPriority w:val="99"/>
    <w:rPr>
      <w:sz w:val="18"/>
      <w:szCs w:val="18"/>
    </w:rPr>
  </w:style>
  <w:style w:type="paragraph" w:styleId="15">
    <w:name w:val="footer"/>
    <w:basedOn w:val="1"/>
    <w:link w:val="48"/>
    <w:unhideWhenUsed/>
    <w:qFormat/>
    <w:uiPriority w:val="99"/>
    <w:pPr>
      <w:tabs>
        <w:tab w:val="center" w:pos="4153"/>
        <w:tab w:val="right" w:pos="8306"/>
      </w:tabs>
    </w:pPr>
    <w:rPr>
      <w:sz w:val="18"/>
      <w:szCs w:val="18"/>
    </w:rPr>
  </w:style>
  <w:style w:type="paragraph" w:styleId="16">
    <w:name w:val="header"/>
    <w:basedOn w:val="1"/>
    <w:link w:val="47"/>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semiHidden/>
    <w:unhideWhenUsed/>
    <w:qFormat/>
    <w:uiPriority w:val="39"/>
  </w:style>
  <w:style w:type="paragraph" w:styleId="18">
    <w:name w:val="toc 4"/>
    <w:basedOn w:val="1"/>
    <w:next w:val="1"/>
    <w:unhideWhenUsed/>
    <w:qFormat/>
    <w:uiPriority w:val="39"/>
    <w:pPr>
      <w:tabs>
        <w:tab w:val="right" w:leader="dot" w:pos="8296"/>
      </w:tabs>
      <w:spacing w:after="120"/>
      <w:ind w:left="1320" w:leftChars="600"/>
    </w:pPr>
  </w:style>
  <w:style w:type="paragraph" w:styleId="19">
    <w:name w:val="index heading"/>
    <w:basedOn w:val="1"/>
    <w:next w:val="20"/>
    <w:qFormat/>
    <w:uiPriority w:val="0"/>
    <w:rPr>
      <w:rFonts w:ascii="Times New Roman" w:hAnsi="Times New Roman"/>
      <w:szCs w:val="20"/>
    </w:rPr>
  </w:style>
  <w:style w:type="paragraph" w:styleId="20">
    <w:name w:val="index 1"/>
    <w:basedOn w:val="1"/>
    <w:next w:val="1"/>
    <w:unhideWhenUsed/>
    <w:qFormat/>
    <w:uiPriority w:val="99"/>
  </w:style>
  <w:style w:type="paragraph" w:styleId="21">
    <w:name w:val="footnote text"/>
    <w:basedOn w:val="1"/>
    <w:semiHidden/>
    <w:unhideWhenUsed/>
    <w:qFormat/>
    <w:uiPriority w:val="99"/>
    <w:rPr>
      <w:sz w:val="18"/>
    </w:rPr>
  </w:style>
  <w:style w:type="paragraph" w:styleId="22">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3">
    <w:name w:val="Normal (Web)"/>
    <w:basedOn w:val="1"/>
    <w:link w:val="51"/>
    <w:qFormat/>
    <w:uiPriority w:val="0"/>
    <w:pPr>
      <w:widowControl w:val="0"/>
      <w:adjustRightInd/>
      <w:snapToGrid/>
      <w:jc w:val="both"/>
    </w:pPr>
    <w:rPr>
      <w:rFonts w:asciiTheme="minorHAnsi" w:hAnsiTheme="minorHAnsi"/>
      <w:kern w:val="2"/>
      <w:sz w:val="24"/>
      <w:szCs w:val="24"/>
    </w:rPr>
  </w:style>
  <w:style w:type="paragraph" w:styleId="24">
    <w:name w:val="Title"/>
    <w:basedOn w:val="1"/>
    <w:next w:val="1"/>
    <w:qFormat/>
    <w:uiPriority w:val="0"/>
    <w:pPr>
      <w:spacing w:before="240" w:after="60"/>
      <w:jc w:val="center"/>
      <w:outlineLvl w:val="0"/>
    </w:pPr>
    <w:rPr>
      <w:rFonts w:ascii="Calibri Light" w:hAnsi="Calibri Light" w:cs="Times New Roman"/>
      <w:b/>
      <w:bCs/>
      <w:sz w:val="32"/>
      <w:szCs w:val="32"/>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Emphasis"/>
    <w:basedOn w:val="27"/>
    <w:qFormat/>
    <w:uiPriority w:val="20"/>
    <w:rPr>
      <w:i/>
      <w:iCs/>
    </w:rPr>
  </w:style>
  <w:style w:type="character" w:styleId="29">
    <w:name w:val="Hyperlink"/>
    <w:qFormat/>
    <w:uiPriority w:val="99"/>
    <w:rPr>
      <w:rFonts w:hint="eastAsia" w:ascii="宋体" w:hAnsi="宋体" w:eastAsia="宋体" w:cs="宋体"/>
      <w:b/>
      <w:color w:val="0031C1"/>
      <w:kern w:val="0"/>
      <w:sz w:val="18"/>
      <w:szCs w:val="18"/>
      <w:u w:val="none"/>
      <w:lang w:eastAsia="en-US"/>
    </w:rPr>
  </w:style>
  <w:style w:type="character" w:styleId="30">
    <w:name w:val="annotation reference"/>
    <w:basedOn w:val="27"/>
    <w:semiHidden/>
    <w:unhideWhenUsed/>
    <w:qFormat/>
    <w:uiPriority w:val="99"/>
    <w:rPr>
      <w:sz w:val="21"/>
      <w:szCs w:val="21"/>
    </w:rPr>
  </w:style>
  <w:style w:type="character" w:styleId="31">
    <w:name w:val="footnote reference"/>
    <w:basedOn w:val="27"/>
    <w:semiHidden/>
    <w:unhideWhenUsed/>
    <w:qFormat/>
    <w:uiPriority w:val="99"/>
    <w:rPr>
      <w:vertAlign w:val="superscript"/>
    </w:rPr>
  </w:style>
  <w:style w:type="paragraph" w:customStyle="1" w:styleId="32">
    <w:name w:val="表格文字"/>
    <w:basedOn w:val="1"/>
    <w:qFormat/>
    <w:uiPriority w:val="0"/>
    <w:pPr>
      <w:adjustRightInd/>
      <w:spacing w:before="25" w:after="25"/>
    </w:pPr>
    <w:rPr>
      <w:rFonts w:ascii="Times New Roman"/>
      <w:bCs/>
      <w:spacing w:val="10"/>
      <w:szCs w:val="20"/>
    </w:rPr>
  </w:style>
  <w:style w:type="character" w:customStyle="1" w:styleId="33">
    <w:name w:val="标题 2 Char"/>
    <w:basedOn w:val="27"/>
    <w:link w:val="4"/>
    <w:qFormat/>
    <w:uiPriority w:val="9"/>
    <w:rPr>
      <w:rFonts w:asciiTheme="majorHAnsi" w:hAnsiTheme="majorHAnsi" w:eastAsiaTheme="majorEastAsia" w:cstheme="majorBidi"/>
      <w:b/>
      <w:bCs/>
      <w:sz w:val="32"/>
      <w:szCs w:val="32"/>
    </w:rPr>
  </w:style>
  <w:style w:type="character" w:customStyle="1" w:styleId="34">
    <w:name w:val="标题 3 Char"/>
    <w:basedOn w:val="27"/>
    <w:link w:val="5"/>
    <w:qFormat/>
    <w:uiPriority w:val="9"/>
    <w:rPr>
      <w:rFonts w:ascii="Tahoma" w:hAnsi="Tahoma" w:eastAsia="宋体"/>
      <w:b/>
      <w:bCs/>
      <w:sz w:val="28"/>
      <w:szCs w:val="32"/>
    </w:rPr>
  </w:style>
  <w:style w:type="paragraph" w:styleId="35">
    <w:name w:val="List Paragraph"/>
    <w:basedOn w:val="1"/>
    <w:qFormat/>
    <w:uiPriority w:val="34"/>
    <w:pPr>
      <w:ind w:firstLine="420" w:firstLineChars="200"/>
    </w:pPr>
  </w:style>
  <w:style w:type="character" w:customStyle="1" w:styleId="36">
    <w:name w:val="标题 4 Char"/>
    <w:basedOn w:val="27"/>
    <w:link w:val="6"/>
    <w:qFormat/>
    <w:uiPriority w:val="9"/>
    <w:rPr>
      <w:rFonts w:eastAsia="宋体" w:asciiTheme="majorHAnsi" w:hAnsiTheme="majorHAnsi" w:cstheme="majorBidi"/>
      <w:b/>
      <w:bCs/>
      <w:sz w:val="24"/>
      <w:szCs w:val="28"/>
    </w:rPr>
  </w:style>
  <w:style w:type="character" w:customStyle="1" w:styleId="37">
    <w:name w:val="正文缩进2格 Char"/>
    <w:link w:val="38"/>
    <w:qFormat/>
    <w:uiPriority w:val="0"/>
    <w:rPr>
      <w:rFonts w:ascii="仿宋_GB2312" w:hAnsi="宋体" w:eastAsia="仿宋_GB2312"/>
      <w:kern w:val="2"/>
      <w:sz w:val="31"/>
    </w:rPr>
  </w:style>
  <w:style w:type="paragraph" w:customStyle="1" w:styleId="38">
    <w:name w:val="正文缩进2格"/>
    <w:basedOn w:val="1"/>
    <w:next w:val="1"/>
    <w:link w:val="37"/>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9">
    <w:name w:val="正文缩进4格"/>
    <w:basedOn w:val="38"/>
    <w:qFormat/>
    <w:uiPriority w:val="0"/>
    <w:pPr>
      <w:ind w:left="2" w:firstLine="538" w:firstLineChars="192"/>
    </w:pPr>
    <w:rPr>
      <w:color w:val="0000FF"/>
      <w:sz w:val="28"/>
    </w:rPr>
  </w:style>
  <w:style w:type="character" w:customStyle="1" w:styleId="40">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1">
    <w:name w:val="标题1"/>
    <w:qFormat/>
    <w:uiPriority w:val="0"/>
    <w:rPr>
      <w:rFonts w:ascii="Times New Roman" w:hAnsi="Times New Roman" w:eastAsia="宋体" w:cs="Times New Roman"/>
      <w:b/>
      <w:kern w:val="0"/>
      <w:sz w:val="24"/>
      <w:szCs w:val="20"/>
      <w:lang w:eastAsia="en-US"/>
    </w:rPr>
  </w:style>
  <w:style w:type="character" w:customStyle="1" w:styleId="42">
    <w:name w:val="标题 3.1 Char"/>
    <w:link w:val="43"/>
    <w:qFormat/>
    <w:uiPriority w:val="0"/>
    <w:rPr>
      <w:rFonts w:ascii="宋体" w:hAnsi="宋体" w:eastAsia="宋体"/>
      <w:b/>
      <w:color w:val="FF0000"/>
      <w:kern w:val="2"/>
      <w:sz w:val="32"/>
    </w:rPr>
  </w:style>
  <w:style w:type="paragraph" w:customStyle="1" w:styleId="43">
    <w:name w:val="标题 3.1"/>
    <w:basedOn w:val="5"/>
    <w:link w:val="42"/>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4">
    <w:name w:val="样式 楷体_GB2312 小四"/>
    <w:qFormat/>
    <w:uiPriority w:val="0"/>
    <w:rPr>
      <w:rFonts w:ascii="楷体_GB2312" w:hAnsi="楷体_GB2312" w:eastAsia="仿宋_GB2312"/>
      <w:sz w:val="24"/>
    </w:rPr>
  </w:style>
  <w:style w:type="character" w:customStyle="1" w:styleId="45">
    <w:name w:val="纯文本 Char"/>
    <w:qFormat/>
    <w:uiPriority w:val="0"/>
    <w:rPr>
      <w:rFonts w:ascii="宋体" w:hAnsi="Courier New" w:eastAsia="宋体" w:cs="Times New Roman"/>
      <w:b/>
      <w:kern w:val="2"/>
      <w:sz w:val="21"/>
      <w:szCs w:val="20"/>
    </w:rPr>
  </w:style>
  <w:style w:type="character" w:customStyle="1" w:styleId="46">
    <w:name w:val="纯文本 Char1"/>
    <w:basedOn w:val="27"/>
    <w:link w:val="12"/>
    <w:semiHidden/>
    <w:qFormat/>
    <w:uiPriority w:val="99"/>
    <w:rPr>
      <w:rFonts w:ascii="宋体" w:hAnsi="Courier New" w:eastAsia="宋体" w:cs="Courier New"/>
      <w:sz w:val="21"/>
      <w:szCs w:val="21"/>
    </w:rPr>
  </w:style>
  <w:style w:type="character" w:customStyle="1" w:styleId="47">
    <w:name w:val="页眉 Char"/>
    <w:basedOn w:val="27"/>
    <w:link w:val="16"/>
    <w:qFormat/>
    <w:uiPriority w:val="99"/>
    <w:rPr>
      <w:rFonts w:ascii="Tahoma" w:hAnsi="Tahoma"/>
      <w:sz w:val="18"/>
      <w:szCs w:val="18"/>
    </w:rPr>
  </w:style>
  <w:style w:type="character" w:customStyle="1" w:styleId="48">
    <w:name w:val="页脚 Char"/>
    <w:basedOn w:val="27"/>
    <w:link w:val="15"/>
    <w:qFormat/>
    <w:uiPriority w:val="99"/>
    <w:rPr>
      <w:rFonts w:ascii="Tahoma" w:hAnsi="Tahoma"/>
      <w:sz w:val="18"/>
      <w:szCs w:val="18"/>
    </w:rPr>
  </w:style>
  <w:style w:type="character" w:customStyle="1" w:styleId="49">
    <w:name w:val="批注框文本 Char"/>
    <w:basedOn w:val="27"/>
    <w:link w:val="14"/>
    <w:semiHidden/>
    <w:qFormat/>
    <w:uiPriority w:val="99"/>
    <w:rPr>
      <w:rFonts w:ascii="Tahoma" w:hAnsi="Tahoma"/>
      <w:sz w:val="18"/>
      <w:szCs w:val="18"/>
    </w:rPr>
  </w:style>
  <w:style w:type="paragraph" w:customStyle="1" w:styleId="50">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1">
    <w:name w:val="普通(网站) Char"/>
    <w:link w:val="23"/>
    <w:qFormat/>
    <w:uiPriority w:val="0"/>
    <w:rPr>
      <w:rFonts w:eastAsia="宋体"/>
      <w:kern w:val="2"/>
      <w:sz w:val="24"/>
      <w:szCs w:val="24"/>
    </w:rPr>
  </w:style>
  <w:style w:type="paragraph" w:customStyle="1" w:styleId="52">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3">
    <w:name w:val="p141"/>
    <w:qFormat/>
    <w:uiPriority w:val="0"/>
    <w:rPr>
      <w:sz w:val="21"/>
      <w:szCs w:val="21"/>
    </w:rPr>
  </w:style>
  <w:style w:type="paragraph" w:customStyle="1" w:styleId="54">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5">
    <w:name w:val="正文无缩进"/>
    <w:basedOn w:val="38"/>
    <w:qFormat/>
    <w:uiPriority w:val="0"/>
    <w:pPr>
      <w:ind w:firstLine="0" w:firstLineChars="0"/>
    </w:pPr>
  </w:style>
  <w:style w:type="paragraph" w:customStyle="1" w:styleId="56">
    <w:name w:val="一级条标题"/>
    <w:basedOn w:val="57"/>
    <w:next w:val="58"/>
    <w:qFormat/>
    <w:uiPriority w:val="0"/>
    <w:pPr>
      <w:tabs>
        <w:tab w:val="left" w:pos="720"/>
      </w:tabs>
      <w:spacing w:beforeLines="0" w:afterLines="0"/>
      <w:outlineLvl w:val="2"/>
    </w:pPr>
  </w:style>
  <w:style w:type="paragraph" w:customStyle="1" w:styleId="57">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9">
    <w:name w:val="font212"/>
    <w:basedOn w:val="27"/>
    <w:qFormat/>
    <w:uiPriority w:val="0"/>
    <w:rPr>
      <w:rFonts w:ascii="宋体" w:hAnsi="宋体" w:eastAsia="宋体" w:cs="宋体"/>
      <w:color w:val="000000"/>
      <w:sz w:val="22"/>
      <w:szCs w:val="22"/>
      <w:u w:val="none"/>
    </w:rPr>
  </w:style>
  <w:style w:type="character" w:customStyle="1" w:styleId="60">
    <w:name w:val="font41"/>
    <w:basedOn w:val="27"/>
    <w:qFormat/>
    <w:uiPriority w:val="0"/>
    <w:rPr>
      <w:rFonts w:hint="eastAsia" w:ascii="宋体" w:hAnsi="宋体" w:eastAsia="宋体" w:cs="宋体"/>
      <w:color w:val="000000"/>
      <w:sz w:val="22"/>
      <w:szCs w:val="22"/>
      <w:u w:val="none"/>
    </w:rPr>
  </w:style>
  <w:style w:type="character" w:customStyle="1" w:styleId="61">
    <w:name w:val="font181"/>
    <w:basedOn w:val="27"/>
    <w:qFormat/>
    <w:uiPriority w:val="0"/>
    <w:rPr>
      <w:rFonts w:hint="default" w:ascii="Times New Roman" w:hAnsi="Times New Roman" w:cs="Times New Roman"/>
      <w:color w:val="000000"/>
      <w:sz w:val="22"/>
      <w:szCs w:val="22"/>
      <w:u w:val="none"/>
    </w:rPr>
  </w:style>
  <w:style w:type="character" w:customStyle="1" w:styleId="62">
    <w:name w:val="font221"/>
    <w:basedOn w:val="27"/>
    <w:qFormat/>
    <w:uiPriority w:val="0"/>
    <w:rPr>
      <w:rFonts w:hint="eastAsia" w:ascii="宋体" w:hAnsi="宋体" w:eastAsia="宋体" w:cs="宋体"/>
      <w:color w:val="000000"/>
      <w:sz w:val="22"/>
      <w:szCs w:val="22"/>
      <w:u w:val="none"/>
      <w:vertAlign w:val="superscript"/>
    </w:rPr>
  </w:style>
  <w:style w:type="character" w:customStyle="1" w:styleId="63">
    <w:name w:val="font161"/>
    <w:basedOn w:val="27"/>
    <w:qFormat/>
    <w:uiPriority w:val="0"/>
    <w:rPr>
      <w:rFonts w:hint="eastAsia" w:ascii="宋体" w:hAnsi="宋体" w:eastAsia="宋体" w:cs="宋体"/>
      <w:color w:val="000000"/>
      <w:sz w:val="22"/>
      <w:szCs w:val="22"/>
      <w:u w:val="none"/>
    </w:rPr>
  </w:style>
  <w:style w:type="character" w:customStyle="1" w:styleId="64">
    <w:name w:val="font131"/>
    <w:basedOn w:val="27"/>
    <w:qFormat/>
    <w:uiPriority w:val="0"/>
    <w:rPr>
      <w:rFonts w:hint="eastAsia" w:ascii="微软雅黑" w:hAnsi="微软雅黑" w:eastAsia="微软雅黑" w:cs="微软雅黑"/>
      <w:color w:val="000000"/>
      <w:sz w:val="22"/>
      <w:szCs w:val="22"/>
      <w:u w:val="none"/>
    </w:rPr>
  </w:style>
  <w:style w:type="paragraph" w:customStyle="1" w:styleId="65">
    <w:name w:val="*正文"/>
    <w:basedOn w:val="1"/>
    <w:qFormat/>
    <w:uiPriority w:val="0"/>
    <w:pPr>
      <w:spacing w:after="200"/>
      <w:ind w:firstLine="200"/>
    </w:pPr>
    <w:rPr>
      <w:rFonts w:ascii="宋体" w:hAnsi="宋体"/>
      <w:sz w:val="24"/>
      <w:szCs w:val="24"/>
    </w:rPr>
  </w:style>
  <w:style w:type="paragraph" w:customStyle="1" w:styleId="66">
    <w:name w:val="列出段落2"/>
    <w:basedOn w:val="1"/>
    <w:qFormat/>
    <w:uiPriority w:val="0"/>
    <w:pPr>
      <w:ind w:firstLine="420" w:firstLineChars="200"/>
    </w:pPr>
    <w:rPr>
      <w:rFonts w:ascii="Calibri" w:hAnsi="Calibri"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98</Pages>
  <Words>46758</Words>
  <Characters>48798</Characters>
  <Lines>392</Lines>
  <Paragraphs>110</Paragraphs>
  <TotalTime>1</TotalTime>
  <ScaleCrop>false</ScaleCrop>
  <LinksUpToDate>false</LinksUpToDate>
  <CharactersWithSpaces>51202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Admin</dc:creator>
  <cp:keywords>文件格式版本</cp:keywords>
  <cp:lastModifiedBy>七月！</cp:lastModifiedBy>
  <cp:lastPrinted>2021-04-23T09:50:00Z</cp:lastPrinted>
  <dcterms:modified xsi:type="dcterms:W3CDTF">2023-03-14T02:45:52Z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E5362C52FB8747C0B1A23A30DFF4ADE7</vt:lpwstr>
  </property>
</Properties>
</file>