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1"/>
        <w:ind w:firstLine="240"/>
        <w:rPr>
          <w:rFonts w:ascii="黑体" w:eastAsia="黑体"/>
          <w:color w:val="auto"/>
          <w:szCs w:val="21"/>
          <w:highlight w:val="none"/>
        </w:rPr>
      </w:pPr>
    </w:p>
    <w:p>
      <w:pPr>
        <w:pStyle w:val="21"/>
        <w:ind w:left="0" w:firstLine="0" w:firstLineChars="0"/>
        <w:rPr>
          <w:rFonts w:ascii="黑体" w:eastAsia="黑体"/>
          <w:color w:val="auto"/>
          <w:szCs w:val="21"/>
          <w:highlight w:val="none"/>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GDZT2023106C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2023“中国旅游日”东莞文旅主题系列活动项目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东莞市文化广电旅游体育局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19"/>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19"/>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19"/>
        <w:ind w:left="0" w:leftChars="0"/>
        <w:rPr>
          <w:color w:val="auto"/>
          <w:sz w:val="40"/>
          <w:szCs w:val="40"/>
          <w:highlight w:val="none"/>
        </w:rPr>
      </w:pPr>
      <w:r>
        <w:rPr>
          <w:rFonts w:hint="eastAsia"/>
          <w:color w:val="auto"/>
          <w:sz w:val="40"/>
          <w:szCs w:val="40"/>
          <w:highlight w:val="none"/>
        </w:rPr>
        <w:t>目录</w:t>
      </w:r>
    </w:p>
    <w:p>
      <w:pPr>
        <w:pStyle w:val="19"/>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7123"/>
      <w:bookmarkStart w:id="3" w:name="_Toc1420"/>
      <w:bookmarkStart w:id="4" w:name="_Toc885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val="en-US" w:eastAsia="zh-CN"/>
        </w:rPr>
        <w:tab/>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2023“中国旅游日”东莞文旅主题系列活动项目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GDZT2023106C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2023“中国旅游日”东莞文旅主题系列活动项目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4"/>
        <w:gridCol w:w="4568"/>
        <w:gridCol w:w="665"/>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3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12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5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8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31"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125" w:type="pct"/>
            <w:noWrap/>
            <w:tcMar>
              <w:top w:w="15" w:type="dxa"/>
              <w:left w:w="15" w:type="dxa"/>
              <w:right w:w="15" w:type="dxa"/>
            </w:tcMar>
            <w:vAlign w:val="center"/>
          </w:tcPr>
          <w:p>
            <w:pPr>
              <w:spacing w:line="240" w:lineRule="auto"/>
              <w:jc w:val="center"/>
              <w:textAlignment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2023“中国旅游日”东莞文旅主题系列活动项目</w:t>
            </w:r>
          </w:p>
        </w:tc>
        <w:tc>
          <w:tcPr>
            <w:tcW w:w="455" w:type="pct"/>
            <w:noWrap/>
            <w:tcMar>
              <w:top w:w="15" w:type="dxa"/>
              <w:left w:w="15" w:type="dxa"/>
              <w:right w:w="15" w:type="dxa"/>
            </w:tcMar>
            <w:vAlign w:val="center"/>
          </w:tcPr>
          <w:p>
            <w:pPr>
              <w:spacing w:line="240" w:lineRule="auto"/>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1项</w:t>
            </w:r>
          </w:p>
        </w:tc>
        <w:tc>
          <w:tcPr>
            <w:tcW w:w="1087"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400,000.00</w:t>
            </w:r>
            <w:r>
              <w:rPr>
                <w:rFonts w:hint="eastAsia" w:ascii="宋体" w:hAnsi="宋体"/>
                <w:b/>
                <w:bCs/>
                <w:color w:val="auto"/>
                <w:szCs w:val="21"/>
                <w:highlight w:val="none"/>
              </w:rPr>
              <w:t>元</w:t>
            </w:r>
          </w:p>
        </w:tc>
      </w:tr>
    </w:tbl>
    <w:p>
      <w:pPr>
        <w:pStyle w:val="7"/>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租赁和商务服务业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7"/>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3</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采购人联系人：张工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w:t>
      </w:r>
      <w:r>
        <w:rPr>
          <w:rFonts w:hint="eastAsia" w:ascii="宋体" w:hAnsi="宋体" w:eastAsia="宋体"/>
          <w:bCs/>
          <w:color w:val="auto"/>
          <w:sz w:val="21"/>
          <w:szCs w:val="21"/>
          <w:highlight w:val="none"/>
        </w:rPr>
        <w:t>南城区石竹路9号</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228370</w:t>
      </w:r>
      <w:bookmarkStart w:id="389" w:name="_GoBack"/>
      <w:bookmarkEnd w:id="389"/>
      <w:r>
        <w:rPr>
          <w:rFonts w:hint="eastAsia" w:ascii="宋体" w:hAnsi="宋体" w:eastAsia="宋体"/>
          <w:bCs/>
          <w:color w:val="auto"/>
          <w:sz w:val="21"/>
          <w:szCs w:val="21"/>
          <w:highlight w:val="none"/>
        </w:rPr>
        <w:t>58</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7"/>
        <w:rPr>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3"/>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b/>
                <w:color w:val="auto"/>
                <w:szCs w:val="21"/>
                <w:highlight w:val="none"/>
                <w:lang w:val="en-US" w:eastAsia="zh-CN"/>
              </w:rPr>
              <w:t>财政</w:t>
            </w:r>
            <w:r>
              <w:rPr>
                <w:rFonts w:hint="eastAsia" w:ascii="宋体" w:hAnsi="宋体"/>
                <w:b/>
                <w:color w:val="auto"/>
                <w:szCs w:val="21"/>
                <w:highlight w:val="none"/>
              </w:rPr>
              <w:t>资金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3"/>
        <w:spacing w:before="0" w:after="0" w:line="360" w:lineRule="auto"/>
        <w:rPr>
          <w:color w:val="auto"/>
          <w:highlight w:val="none"/>
        </w:rPr>
      </w:pPr>
      <w:bookmarkStart w:id="8" w:name="_Hlk55300595"/>
      <w:bookmarkStart w:id="9" w:name="_Toc5749"/>
      <w:bookmarkStart w:id="10" w:name="_Toc13473"/>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bidi w:val="0"/>
              <w:adjustRightInd/>
              <w:snapToGrid/>
              <w:spacing w:line="240" w:lineRule="auto"/>
              <w:ind w:left="0" w:firstLine="420" w:firstLineChars="200"/>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根据投标人具有旅游行业推介或旅游主题活动类项目业绩进行评审，每提供一个项目</w:t>
            </w:r>
            <w:r>
              <w:rPr>
                <w:rFonts w:hint="eastAsia" w:ascii="宋体" w:hAnsi="宋体" w:eastAsia="宋体" w:cs="宋体"/>
                <w:b w:val="0"/>
                <w:bCs w:val="0"/>
                <w:color w:val="auto"/>
                <w:sz w:val="21"/>
                <w:szCs w:val="21"/>
                <w:highlight w:val="none"/>
                <w:lang w:val="en-US" w:eastAsia="zh-CN"/>
              </w:rPr>
              <w:t>业绩</w:t>
            </w:r>
            <w:r>
              <w:rPr>
                <w:rFonts w:hint="eastAsia" w:ascii="宋体" w:hAnsi="宋体" w:eastAsia="宋体" w:cs="宋体"/>
                <w:b w:val="0"/>
                <w:bCs w:val="0"/>
                <w:color w:val="auto"/>
                <w:sz w:val="21"/>
                <w:szCs w:val="21"/>
                <w:highlight w:val="none"/>
              </w:rPr>
              <w:t>得5分，满分25分。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注：须提供合同复印件加盖投标人公章</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p>
        </w:tc>
        <w:tc>
          <w:tcPr>
            <w:tcW w:w="1290"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396"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6"/>
                <w:sz w:val="21"/>
                <w:szCs w:val="21"/>
                <w:highlight w:val="none"/>
              </w:rPr>
              <w:t>根据投标人针对本项目承诺的服务响应时间进行评审：</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pacing w:val="-6"/>
                <w:sz w:val="21"/>
                <w:szCs w:val="21"/>
                <w:highlight w:val="none"/>
              </w:rPr>
            </w:pPr>
            <w:r>
              <w:rPr>
                <w:rFonts w:hint="eastAsia" w:ascii="宋体" w:hAnsi="宋体" w:eastAsia="宋体" w:cs="宋体"/>
                <w:b w:val="0"/>
                <w:bCs w:val="0"/>
                <w:color w:val="auto"/>
                <w:sz w:val="21"/>
                <w:szCs w:val="21"/>
                <w:highlight w:val="none"/>
              </w:rPr>
              <w:t>①接到通知后1小时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内响应并到达现场的得5分；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②接到通知后2小时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内响应并到达现场的得3分；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③接到通知后3小时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内响应并到达现场的得1分；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④其他不得分。</w:t>
            </w:r>
          </w:p>
          <w:p>
            <w:pPr>
              <w:keepNext w:val="0"/>
              <w:keepLines w:val="0"/>
              <w:pageBreakBefore w:val="0"/>
              <w:widowControl/>
              <w:kinsoku/>
              <w:wordWrap/>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b w:val="0"/>
                <w:bCs w:val="0"/>
                <w:color w:val="auto"/>
                <w:sz w:val="21"/>
                <w:szCs w:val="21"/>
                <w:highlight w:val="none"/>
                <w:lang w:val="pt-BR"/>
              </w:rPr>
            </w:pPr>
            <w:r>
              <w:rPr>
                <w:rFonts w:hint="eastAsia" w:ascii="宋体" w:hAnsi="宋体" w:eastAsia="宋体" w:cs="宋体"/>
                <w:b w:val="0"/>
                <w:bCs w:val="0"/>
                <w:color w:val="auto"/>
                <w:sz w:val="21"/>
                <w:szCs w:val="21"/>
                <w:highlight w:val="none"/>
              </w:rPr>
              <w:t>注：须提供单独承诺函加盖投标人公章</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技术评分（60分）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总体策划方案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根据投标人所拟定的活动策划方案（方案实施细则必须包含用户需求书“活动内容”的全部内容，有相应的设计方案，并能提出合理化意见和建议等）进行评审：</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①服务方案符合项目实际情况，方案活动主题有创意且创新有亮点，整体流程设计科学全面，并能提出科学全面可行的意见和建议的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得20分；</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②服务方案较符合项目实际情况，方案活动主题较有创意且创新，整体流程设计较全面，能提出较科学的意见和建议的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得1</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③服务方案基本符合项目实际情况，整体流程基本全面，能针对项目实际情况提出基本建议的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分；</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④服务方案对于项目实际有所偏离，整体流程和方案主题不够全面，根据活动提出的意见和建议一般的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w:t>
            </w:r>
          </w:p>
          <w:p>
            <w:pPr>
              <w:pStyle w:val="35"/>
              <w:keepNext w:val="0"/>
              <w:keepLines w:val="0"/>
              <w:pageBreakBefore w:val="0"/>
              <w:kinsoku/>
              <w:wordWrap/>
              <w:overflowPunct/>
              <w:topLinePunct w:val="0"/>
              <w:bidi w:val="0"/>
              <w:spacing w:line="240" w:lineRule="auto"/>
              <w:ind w:left="0"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⑤无不得分。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项目执行方案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根据投标人提供的项目执行方案（包括但不限于以下方案：实施计划工作、任务分解、进度安排等）进行评审：</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①执行方案非常明确、详尽、合理、规范，可行性非常强的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得12分；</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②执行方案比较明确、详尽、合理、规范，可行性较强的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分；</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③执行方案基本明确、合理、规范，具有一定可行性的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pStyle w:val="35"/>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④执行方案不太明确、合理、规范，可行性一般的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pStyle w:val="35"/>
              <w:keepNext w:val="0"/>
              <w:keepLines w:val="0"/>
              <w:pageBreakBefore w:val="0"/>
              <w:kinsoku/>
              <w:wordWrap/>
              <w:overflowPunct/>
              <w:topLinePunct w:val="0"/>
              <w:bidi w:val="0"/>
              <w:spacing w:line="240" w:lineRule="auto"/>
              <w:ind w:left="0" w:leftChars="0"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⑤未提供相应方案的不得分。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项目宣传推广方案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40" w:lineRule="auto"/>
              <w:ind w:left="0" w:firstLine="404" w:firstLineChars="200"/>
              <w:jc w:val="left"/>
              <w:textAlignment w:val="auto"/>
              <w:rPr>
                <w:rFonts w:hint="eastAsia" w:ascii="宋体" w:hAnsi="宋体" w:eastAsia="宋体" w:cs="宋体"/>
                <w:b w:val="0"/>
                <w:bCs w:val="0"/>
                <w:color w:val="auto"/>
                <w:spacing w:val="-4"/>
                <w:sz w:val="21"/>
                <w:szCs w:val="21"/>
                <w:highlight w:val="none"/>
              </w:rPr>
            </w:pPr>
            <w:r>
              <w:rPr>
                <w:rFonts w:hint="eastAsia" w:ascii="宋体" w:hAnsi="宋体" w:eastAsia="宋体" w:cs="宋体"/>
                <w:b w:val="0"/>
                <w:bCs w:val="0"/>
                <w:color w:val="auto"/>
                <w:spacing w:val="-4"/>
                <w:sz w:val="21"/>
                <w:szCs w:val="21"/>
                <w:highlight w:val="none"/>
              </w:rPr>
              <w:t>根据</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pacing w:val="-4"/>
                <w:sz w:val="21"/>
                <w:szCs w:val="21"/>
                <w:highlight w:val="none"/>
              </w:rPr>
              <w:t>针对本项目所拟定的项目宣传推广方案进行评审：</w:t>
            </w:r>
          </w:p>
          <w:p>
            <w:pPr>
              <w:keepNext w:val="0"/>
              <w:keepLines w:val="0"/>
              <w:pageBreakBefore w:val="0"/>
              <w:kinsoku/>
              <w:wordWrap/>
              <w:overflowPunct/>
              <w:topLinePunct w:val="0"/>
              <w:autoSpaceDE w:val="0"/>
              <w:autoSpaceDN w:val="0"/>
              <w:bidi w:val="0"/>
              <w:adjustRightInd w:val="0"/>
              <w:spacing w:line="24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①宣传推广的渠道知名度高，宣传形式多样新颖，具有创新性，非常可行，能非常有效的提高项目的关注度及知名度的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得12分；</w:t>
            </w:r>
          </w:p>
          <w:p>
            <w:pPr>
              <w:keepNext w:val="0"/>
              <w:keepLines w:val="0"/>
              <w:pageBreakBefore w:val="0"/>
              <w:kinsoku/>
              <w:wordWrap/>
              <w:overflowPunct/>
              <w:topLinePunct w:val="0"/>
              <w:autoSpaceDE w:val="0"/>
              <w:autoSpaceDN w:val="0"/>
              <w:bidi w:val="0"/>
              <w:adjustRightInd w:val="0"/>
              <w:spacing w:line="24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②宣传推广的渠道知名度较高，有多样新颖的宣传形式，对提高项目关注度及知名度有推动作用的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val="0"/>
              <w:autoSpaceDN w:val="0"/>
              <w:bidi w:val="0"/>
              <w:adjustRightInd w:val="0"/>
              <w:spacing w:line="24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③有基本的宣传推广渠道及宣传形式，基本可以推动项目实施的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val="0"/>
              <w:autoSpaceDN w:val="0"/>
              <w:bidi w:val="0"/>
              <w:adjustRightInd w:val="0"/>
              <w:spacing w:line="240" w:lineRule="auto"/>
              <w:ind w:left="0"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④宣传推广渠道及宣传形式不够完善全面，不能完全满足项目需求的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autoSpaceDE w:val="0"/>
              <w:autoSpaceDN w:val="0"/>
              <w:bidi w:val="0"/>
              <w:adjustRightInd w:val="0"/>
              <w:spacing w:line="240" w:lineRule="auto"/>
              <w:ind w:left="0" w:firstLine="420" w:firstLineChars="200"/>
              <w:jc w:val="left"/>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⑤无不得分。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应急预案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根据投标人对本活动所做的应急预案（包括但不限于针对活动的临时性、突击性、响应迅速，调配合理等作为应急支撑，提供现场安保应急预案等）进行评审：</w:t>
            </w:r>
          </w:p>
          <w:p>
            <w:pPr>
              <w:keepNext w:val="0"/>
              <w:keepLines w:val="0"/>
              <w:pageBreakBefore w:val="0"/>
              <w:kinsoku/>
              <w:wordWrap/>
              <w:overflowPunct/>
              <w:topLinePunct w:val="0"/>
              <w:bidi w:val="0"/>
              <w:spacing w:line="240" w:lineRule="auto"/>
              <w:ind w:left="0" w:firstLine="404" w:firstLineChars="200"/>
              <w:textAlignment w:val="auto"/>
              <w:rPr>
                <w:rFonts w:hint="eastAsia" w:ascii="宋体" w:hAnsi="宋体" w:eastAsia="宋体" w:cs="宋体"/>
                <w:b w:val="0"/>
                <w:bCs w:val="0"/>
                <w:color w:val="auto"/>
                <w:spacing w:val="-4"/>
                <w:sz w:val="21"/>
                <w:szCs w:val="21"/>
                <w:highlight w:val="none"/>
              </w:rPr>
            </w:pPr>
            <w:r>
              <w:rPr>
                <w:rFonts w:hint="eastAsia" w:ascii="宋体" w:hAnsi="宋体" w:eastAsia="宋体" w:cs="宋体"/>
                <w:b w:val="0"/>
                <w:bCs w:val="0"/>
                <w:color w:val="auto"/>
                <w:spacing w:val="-4"/>
                <w:sz w:val="21"/>
                <w:szCs w:val="21"/>
                <w:highlight w:val="none"/>
              </w:rPr>
              <w:t>①应急预案完善科学，有全面的紧急情况分析并有合理可行的应对措施，有利于项目实施的</w:t>
            </w:r>
            <w:r>
              <w:rPr>
                <w:rFonts w:hint="eastAsia" w:ascii="宋体" w:hAnsi="宋体" w:eastAsia="宋体" w:cs="宋体"/>
                <w:b w:val="0"/>
                <w:bCs w:val="0"/>
                <w:color w:val="auto"/>
                <w:spacing w:val="-4"/>
                <w:sz w:val="21"/>
                <w:szCs w:val="21"/>
                <w:highlight w:val="none"/>
                <w:lang w:eastAsia="zh-CN"/>
              </w:rPr>
              <w:t>，</w:t>
            </w:r>
            <w:r>
              <w:rPr>
                <w:rFonts w:hint="eastAsia" w:ascii="宋体" w:hAnsi="宋体" w:eastAsia="宋体" w:cs="宋体"/>
                <w:b w:val="0"/>
                <w:bCs w:val="0"/>
                <w:color w:val="auto"/>
                <w:spacing w:val="-4"/>
                <w:sz w:val="21"/>
                <w:szCs w:val="21"/>
                <w:highlight w:val="none"/>
              </w:rPr>
              <w:t>得10分；</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②应急预案较完善科学，有较全面的紧急情况分析并有合理可行的应对措施，对于项目的实施有推动作用的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得7分；</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③应急预案基本完整，有基本的紧急情况分析并有应对措施，能满足项目基本需求的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得4分；</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④应急预案和项目的实际有所偏离，不能满足项目需求的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得1分；</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⑤无不得分。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bidi w:val="0"/>
              <w:spacing w:line="240" w:lineRule="auto"/>
              <w:ind w:lef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企业管理制度</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根据投标人提供的企业经营管理模式及制度（财务管理制度、人员管理、质量管理、活动现场管理制度等）进行评审：</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①制度详细完整科学，有利于项目实施的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得6分；</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②制度较完整科学，基本有利于项目实施的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③制度不够全面合理完善的得</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keepNext w:val="0"/>
              <w:keepLines w:val="0"/>
              <w:pageBreakBefore w:val="0"/>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rPr>
              <w:t>④无不得分。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40" w:lineRule="auto"/>
              <w:ind w:left="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注：</w:t>
            </w:r>
          </w:p>
          <w:p>
            <w:pPr>
              <w:keepNext w:val="0"/>
              <w:keepLines w:val="0"/>
              <w:pageBreakBefore w:val="0"/>
              <w:tabs>
                <w:tab w:val="left" w:pos="907"/>
              </w:tabs>
              <w:kinsoku/>
              <w:wordWrap/>
              <w:overflowPunct/>
              <w:topLinePunct w:val="0"/>
              <w:bidi w:val="0"/>
              <w:spacing w:line="240" w:lineRule="auto"/>
              <w:ind w:lef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（1）除特殊说明外，以上评审项，同一证明文件不重复计分。</w:t>
            </w:r>
          </w:p>
          <w:p>
            <w:pPr>
              <w:tabs>
                <w:tab w:val="left" w:pos="907"/>
              </w:tabs>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（2）投标人根据以上评分要求提供的投标材料因模糊不清导致评标委员会无法清晰辨认进行评审的，视为无效材料。</w:t>
            </w:r>
          </w:p>
        </w:tc>
      </w:tr>
    </w:tbl>
    <w:p>
      <w:pPr>
        <w:rPr>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30638"/>
      <w:bookmarkStart w:id="18" w:name="_Toc29685"/>
      <w:bookmarkStart w:id="19" w:name="_Toc2479"/>
      <w:bookmarkStart w:id="20" w:name="_Toc14146"/>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3095"/>
      <w:bookmarkStart w:id="22" w:name="_Toc19746"/>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47"/>
      <w:bookmarkStart w:id="25" w:name="_Toc22803"/>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3400"/>
      <w:bookmarkStart w:id="28" w:name="_Toc16848"/>
      <w:bookmarkStart w:id="29" w:name="_Toc21002"/>
      <w:r>
        <w:rPr>
          <w:rFonts w:hint="eastAsia" w:ascii="宋体" w:hAnsi="宋体"/>
          <w:color w:val="auto"/>
          <w:sz w:val="21"/>
          <w:szCs w:val="21"/>
          <w:highlight w:val="none"/>
        </w:rPr>
        <w:t>2.</w:t>
      </w:r>
      <w:bookmarkStart w:id="30" w:name="_Toc382049092"/>
      <w:bookmarkStart w:id="31" w:name="_Toc1530"/>
      <w:bookmarkStart w:id="32" w:name="_Toc298847174"/>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5945"/>
      <w:bookmarkStart w:id="38" w:name="_Toc13909"/>
      <w:bookmarkStart w:id="39" w:name="_Toc12536"/>
      <w:r>
        <w:rPr>
          <w:rFonts w:hint="eastAsia" w:ascii="宋体" w:hAnsi="宋体"/>
          <w:color w:val="auto"/>
          <w:sz w:val="21"/>
          <w:szCs w:val="21"/>
          <w:highlight w:val="none"/>
        </w:rPr>
        <w:t>4.投标费用</w:t>
      </w:r>
      <w:bookmarkEnd w:id="37"/>
      <w:bookmarkEnd w:id="38"/>
      <w:bookmarkEnd w:id="39"/>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21930"/>
      <w:bookmarkStart w:id="44" w:name="_Toc8432"/>
      <w:bookmarkStart w:id="45" w:name="_Toc31885"/>
      <w:r>
        <w:rPr>
          <w:rFonts w:hint="eastAsia" w:ascii="宋体" w:hAnsi="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1423"/>
      <w:r>
        <w:rPr>
          <w:rFonts w:hint="eastAsia" w:ascii="宋体" w:hAnsi="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8092"/>
      <w:bookmarkStart w:id="63" w:name="_Toc20623"/>
      <w:bookmarkStart w:id="64" w:name="_Toc7434"/>
      <w:r>
        <w:rPr>
          <w:rFonts w:hint="eastAsia" w:ascii="宋体" w:hAnsi="宋体"/>
          <w:color w:val="auto"/>
          <w:sz w:val="21"/>
          <w:szCs w:val="21"/>
          <w:highlight w:val="none"/>
        </w:rPr>
        <w:t>10.投标文件的语言及度量衡单位</w:t>
      </w:r>
      <w:bookmarkEnd w:id="62"/>
      <w:bookmarkEnd w:id="63"/>
      <w:bookmarkEnd w:id="64"/>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18999"/>
      <w:bookmarkStart w:id="66" w:name="_Toc28866"/>
      <w:bookmarkStart w:id="67" w:name="_Toc307934854"/>
      <w:bookmarkStart w:id="68" w:name="_Toc12145"/>
      <w:bookmarkStart w:id="69" w:name="_Toc382049103"/>
      <w:bookmarkStart w:id="70" w:name="_Toc303084256"/>
      <w:bookmarkStart w:id="71" w:name="_Toc7728"/>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882"/>
      <w:bookmarkStart w:id="73" w:name="_Toc30189"/>
      <w:bookmarkStart w:id="74" w:name="_Toc21747"/>
      <w:r>
        <w:rPr>
          <w:rFonts w:hint="eastAsia" w:ascii="宋体" w:hAnsi="宋体"/>
          <w:color w:val="auto"/>
          <w:sz w:val="21"/>
          <w:szCs w:val="21"/>
          <w:highlight w:val="none"/>
        </w:rPr>
        <w:t>12.投标文件编制</w:t>
      </w:r>
      <w:bookmarkEnd w:id="72"/>
      <w:bookmarkEnd w:id="73"/>
      <w:bookmarkEnd w:id="74"/>
    </w:p>
    <w:p>
      <w:pPr>
        <w:pStyle w:val="32"/>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27724"/>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30257"/>
      <w:bookmarkStart w:id="88" w:name="_Toc25817"/>
      <w:bookmarkStart w:id="89" w:name="_Toc12456"/>
      <w:r>
        <w:rPr>
          <w:rFonts w:hint="eastAsia" w:ascii="宋体" w:hAnsi="宋体"/>
          <w:color w:val="auto"/>
          <w:sz w:val="21"/>
          <w:szCs w:val="21"/>
          <w:highlight w:val="none"/>
        </w:rPr>
        <w:t>16.★投标保证金</w:t>
      </w:r>
      <w:bookmarkEnd w:id="87"/>
      <w:bookmarkEnd w:id="88"/>
      <w:bookmarkEnd w:id="89"/>
    </w:p>
    <w:p>
      <w:pPr>
        <w:pStyle w:val="32"/>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31124"/>
      <w:bookmarkStart w:id="92" w:name="_Toc24109"/>
      <w:bookmarkStart w:id="93" w:name="_Toc3200"/>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24997"/>
      <w:bookmarkStart w:id="95" w:name="_Toc473"/>
      <w:bookmarkStart w:id="96" w:name="_Toc23678"/>
      <w:bookmarkStart w:id="97" w:name="_Toc382049111"/>
      <w:bookmarkStart w:id="98" w:name="_Toc29590"/>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8526"/>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7689"/>
      <w:bookmarkStart w:id="107" w:name="_Toc303084265"/>
      <w:bookmarkStart w:id="108" w:name="_Toc9777"/>
      <w:bookmarkStart w:id="109" w:name="_Toc5900"/>
      <w:bookmarkStart w:id="110" w:name="_Toc382049112"/>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7"/>
        <w:rPr>
          <w:color w:val="auto"/>
          <w:highlight w:val="none"/>
        </w:rPr>
      </w:pPr>
    </w:p>
    <w:p>
      <w:pPr>
        <w:pStyle w:val="4"/>
        <w:spacing w:line="480" w:lineRule="auto"/>
        <w:jc w:val="center"/>
        <w:rPr>
          <w:rFonts w:ascii="宋体" w:hAnsi="宋体"/>
          <w:color w:val="auto"/>
          <w:highlight w:val="none"/>
        </w:rPr>
      </w:pPr>
      <w:bookmarkStart w:id="115" w:name="_Toc5049"/>
      <w:bookmarkStart w:id="116" w:name="_Toc23466"/>
      <w:bookmarkStart w:id="117" w:name="_Toc29574"/>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7700"/>
      <w:bookmarkStart w:id="120" w:name="_Toc24251"/>
      <w:r>
        <w:rPr>
          <w:rFonts w:hint="eastAsia" w:ascii="宋体" w:hAnsi="宋体"/>
          <w:color w:val="auto"/>
          <w:sz w:val="21"/>
          <w:szCs w:val="21"/>
          <w:highlight w:val="none"/>
        </w:rPr>
        <w:t>22.开标</w:t>
      </w:r>
      <w:bookmarkEnd w:id="118"/>
      <w:bookmarkEnd w:id="119"/>
      <w:bookmarkEnd w:id="120"/>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9184"/>
      <w:bookmarkStart w:id="131" w:name="_Toc21742"/>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22192"/>
      <w:bookmarkStart w:id="134" w:name="_Toc17683"/>
      <w:bookmarkStart w:id="135" w:name="_Toc7593"/>
      <w:r>
        <w:rPr>
          <w:rFonts w:hint="eastAsia" w:ascii="宋体" w:hAnsi="宋体"/>
          <w:color w:val="auto"/>
          <w:sz w:val="21"/>
          <w:szCs w:val="21"/>
          <w:highlight w:val="none"/>
        </w:rPr>
        <w:t>27.优惠政策</w:t>
      </w:r>
      <w:bookmarkEnd w:id="133"/>
      <w:bookmarkEnd w:id="134"/>
      <w:bookmarkEnd w:id="135"/>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12115"/>
      <w:bookmarkStart w:id="138" w:name="_Toc20328"/>
      <w:bookmarkStart w:id="139" w:name="_Toc22591"/>
      <w:bookmarkStart w:id="140" w:name="_Toc31141"/>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27817"/>
      <w:bookmarkStart w:id="146" w:name="_Toc508284011"/>
      <w:bookmarkStart w:id="147" w:name="_Toc6696"/>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9283"/>
      <w:bookmarkStart w:id="150" w:name="_Toc508284013"/>
      <w:bookmarkStart w:id="151" w:name="_Toc12440"/>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262"/>
      <w:bookmarkStart w:id="155" w:name="_Toc22451"/>
      <w:r>
        <w:rPr>
          <w:rFonts w:hint="eastAsia" w:ascii="宋体" w:hAnsi="宋体"/>
          <w:color w:val="auto"/>
          <w:sz w:val="21"/>
          <w:szCs w:val="21"/>
          <w:highlight w:val="none"/>
        </w:rPr>
        <w:t>31.合同的签订与履行</w:t>
      </w:r>
      <w:bookmarkEnd w:id="153"/>
      <w:bookmarkEnd w:id="154"/>
      <w:bookmarkEnd w:id="155"/>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29009"/>
      <w:bookmarkStart w:id="157" w:name="_Toc25756"/>
      <w:bookmarkStart w:id="158" w:name="_Toc382049124"/>
      <w:bookmarkStart w:id="159" w:name="_Toc303084277"/>
      <w:bookmarkStart w:id="160" w:name="_Toc7405"/>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1797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5"/>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w:t>
      </w:r>
      <w:r>
        <w:rPr>
          <w:rFonts w:hint="eastAsia" w:ascii="宋体" w:hAnsi="宋体"/>
          <w:color w:val="auto"/>
          <w:szCs w:val="21"/>
          <w:highlight w:val="none"/>
          <w:lang w:val="en-US" w:eastAsia="zh-CN"/>
        </w:rPr>
        <w:t>3</w:t>
      </w:r>
      <w:r>
        <w:rPr>
          <w:rFonts w:hint="eastAsia" w:ascii="宋体" w:hAnsi="宋体"/>
          <w:color w:val="auto"/>
          <w:szCs w:val="21"/>
          <w:highlight w:val="none"/>
        </w:rPr>
        <w:t>0</w:t>
      </w:r>
      <w:r>
        <w:rPr>
          <w:rFonts w:hint="eastAsia" w:ascii="宋体" w:hAnsi="宋体"/>
          <w:color w:val="auto"/>
          <w:szCs w:val="21"/>
          <w:highlight w:val="none"/>
          <w:lang w:val="en-US" w:eastAsia="zh-CN"/>
        </w:rPr>
        <w:t>306</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82"/>
      <w:bookmarkStart w:id="178" w:name="_Toc7011"/>
      <w:bookmarkStart w:id="179" w:name="_Toc31854"/>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bCs/>
                <w:color w:val="auto"/>
                <w:kern w:val="44"/>
                <w:szCs w:val="21"/>
                <w:highlight w:val="none"/>
              </w:rPr>
              <w:t>合同签订之日起至</w:t>
            </w:r>
            <w:r>
              <w:rPr>
                <w:rFonts w:hint="eastAsia" w:ascii="宋体" w:hAnsi="宋体" w:cs="宋体"/>
                <w:bCs/>
                <w:color w:val="auto"/>
                <w:kern w:val="44"/>
                <w:szCs w:val="21"/>
                <w:highlight w:val="none"/>
                <w:lang w:val="en-US" w:eastAsia="zh-CN"/>
              </w:rPr>
              <w:t>2023年7月31日</w:t>
            </w:r>
            <w:r>
              <w:rPr>
                <w:rFonts w:hint="eastAsia" w:ascii="宋体" w:hAnsi="宋体" w:cs="宋体"/>
                <w:bCs/>
                <w:color w:val="auto"/>
                <w:kern w:val="44"/>
                <w:szCs w:val="21"/>
                <w:highlight w:val="none"/>
              </w:rPr>
              <w:t>。（具体以合同签订时间为准）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合同签署后，中标人向采购人提供付款申请并开具合法发票后，采购人支付中标人合同金额的</w:t>
            </w:r>
            <w:r>
              <w:rPr>
                <w:rFonts w:ascii="宋体" w:hAnsi="宋体" w:cs="宋体"/>
                <w:color w:val="auto"/>
                <w:szCs w:val="21"/>
                <w:highlight w:val="none"/>
              </w:rPr>
              <w:t>70</w:t>
            </w:r>
            <w:r>
              <w:rPr>
                <w:rFonts w:hint="eastAsia" w:ascii="宋体" w:hAnsi="宋体" w:cs="宋体"/>
                <w:color w:val="auto"/>
                <w:szCs w:val="21"/>
                <w:highlight w:val="none"/>
              </w:rPr>
              <w:t>%作为项目启动经费；</w:t>
            </w:r>
          </w:p>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项目全部执行完成后，中标人向采购人提供验收报告、付款申请并开具合法发票后支付剩余款项。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1501" w:type="dxa"/>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其他说明</w:t>
            </w:r>
          </w:p>
          <w:p>
            <w:pPr>
              <w:jc w:val="both"/>
              <w:rPr>
                <w:rFonts w:hint="eastAsia" w:ascii="宋体" w:hAnsi="宋体" w:cs="宋体"/>
                <w:color w:val="auto"/>
                <w:szCs w:val="21"/>
                <w:highlight w:val="none"/>
              </w:rPr>
            </w:pPr>
          </w:p>
        </w:tc>
        <w:tc>
          <w:tcPr>
            <w:tcW w:w="6466" w:type="dxa"/>
            <w:vAlign w:val="center"/>
          </w:tcPr>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服务期间，中标人应自觉遵章守纪，提供热情周到的服务并完成项目的举办。</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本项目以合同总价进行报价，合同总价包括国家规定的所有税费及与项目相关的所有费用合同总价不超过40万元。在采购人同意的前提下，中标人可以通过招商合作的方式寻求赞助，以弥补活动执行和宣传经费的不足。本项目费用以人民币为结算单位。</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color w:val="auto"/>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如遇国家、省、市关于新冠肺炎疫情管控等不可抗力因素，活动取消举行的，中标人必须在扣除已支出的费用后，无条件退还未使用的经费。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pPr>
        <w:rPr>
          <w:color w:val="auto"/>
          <w:highlight w:val="none"/>
        </w:rPr>
      </w:pPr>
    </w:p>
    <w:p>
      <w:pPr>
        <w:pStyle w:val="7"/>
        <w:rPr>
          <w:color w:val="auto"/>
          <w:highlight w:val="none"/>
          <w:lang w:val="en-US"/>
        </w:rPr>
      </w:pPr>
    </w:p>
    <w:p>
      <w:pPr>
        <w:rPr>
          <w:color w:val="auto"/>
          <w:highlight w:val="none"/>
        </w:rPr>
      </w:pPr>
    </w:p>
    <w:p>
      <w:pPr>
        <w:bidi w:val="0"/>
        <w:rPr>
          <w:color w:val="auto"/>
          <w:highlight w:val="none"/>
        </w:rPr>
      </w:pPr>
    </w:p>
    <w:p>
      <w:pPr>
        <w:pStyle w:val="4"/>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5"/>
        <w:numPr>
          <w:ilvl w:val="0"/>
          <w:numId w:val="0"/>
        </w:numPr>
        <w:bidi w:val="0"/>
        <w:rPr>
          <w:color w:val="auto"/>
          <w:highlight w:val="none"/>
        </w:rPr>
      </w:pPr>
      <w:bookmarkStart w:id="182" w:name="_Toc31278"/>
      <w:bookmarkStart w:id="183" w:name="_Toc14462"/>
      <w:bookmarkStart w:id="184" w:name="_Toc24679"/>
      <w:bookmarkStart w:id="185" w:name="_Toc13112"/>
      <w:r>
        <w:rPr>
          <w:rFonts w:hint="eastAsia"/>
          <w:color w:val="auto"/>
          <w:highlight w:val="none"/>
          <w:lang w:val="en-US" w:eastAsia="zh-CN"/>
        </w:rPr>
        <w:t>一、</w:t>
      </w:r>
      <w:r>
        <w:rPr>
          <w:rFonts w:hint="eastAsia"/>
          <w:color w:val="auto"/>
          <w:highlight w:val="none"/>
        </w:rPr>
        <w:t>项目概况</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为深入发掘“中国旅游日”的文化内涵，拟举办“5.19中国旅游日”东莞主题系列活动，通过资源整合，品牌活动引领，有效推动文化和旅游消费，助推文旅产业发展，为</w:t>
      </w:r>
      <w:r>
        <w:rPr>
          <w:rFonts w:hint="eastAsia" w:ascii="宋体" w:hAnsi="宋体" w:eastAsia="宋体" w:cs="宋体"/>
          <w:color w:val="auto"/>
          <w:sz w:val="21"/>
          <w:szCs w:val="21"/>
          <w:highlight w:val="none"/>
          <w:lang w:eastAsia="zh-CN"/>
        </w:rPr>
        <w:t>文化强市</w:t>
      </w:r>
      <w:r>
        <w:rPr>
          <w:rFonts w:hint="eastAsia" w:ascii="宋体" w:hAnsi="宋体" w:eastAsia="宋体" w:cs="宋体"/>
          <w:color w:val="auto"/>
          <w:sz w:val="21"/>
          <w:szCs w:val="21"/>
          <w:highlight w:val="none"/>
        </w:rPr>
        <w:t>助力。现采购人拟通过公开招标的采购方式选取本项目的服务单位。</w:t>
      </w:r>
    </w:p>
    <w:p>
      <w:pPr>
        <w:pStyle w:val="5"/>
        <w:numPr>
          <w:ilvl w:val="0"/>
          <w:numId w:val="0"/>
        </w:numPr>
        <w:bidi w:val="0"/>
        <w:rPr>
          <w:rFonts w:hint="eastAsia" w:eastAsia="宋体"/>
          <w:color w:val="auto"/>
          <w:highlight w:val="none"/>
        </w:rPr>
      </w:pPr>
      <w:r>
        <w:rPr>
          <w:rFonts w:hint="eastAsia" w:eastAsia="宋体"/>
          <w:color w:val="auto"/>
          <w:highlight w:val="none"/>
          <w:lang w:val="en-US" w:eastAsia="zh-CN"/>
        </w:rPr>
        <w:t>二、</w:t>
      </w:r>
      <w:r>
        <w:rPr>
          <w:rFonts w:hint="eastAsia" w:eastAsia="宋体"/>
          <w:color w:val="auto"/>
          <w:highlight w:val="none"/>
        </w:rPr>
        <w:t>主要内容</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活动名称：2023“中国旅游日”东莞文旅主题系列活动</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举办时间：2023年5月，以投标人策划方案为主，可适当延长活动期。</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活动内容：</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1.投标人须以5.19中国旅游日为主题，围绕东莞文化旅游体育资源、潮玩文化、篮球文化等内容，策划一系列主题活动，包括启动仪式及文旅体主题系列活动。 </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启动仪式由投标人策划并执行，方案中需包含但不限于启动仪式策划方案、活动地点推荐、主题文案、流程设计、物料设计、场地氛围布置等。活动要求丰富，创意，新颖，贴合主题；物料设计注重档次感和设计感。</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文旅体主题系列活动由投标方策划并执行，活动策划须贴合“5.19中国旅游日”主题，以市民喜闻乐见、流行的、互动性强的活动形式为落地方向，落地可操作性强。要求策划提供形式多样、丰富多彩的文化旅游体育活动。</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4.服务内容需包含2023“中国旅游日”东莞文旅主题系列活动的宣传推广方案，包括宣传推广方案的策划及实施、媒体宣传规划、目标媒体投放执行等。投标人需提供活动过程中的现场图片共享及视频</w:t>
      </w:r>
      <w:r>
        <w:rPr>
          <w:rFonts w:hint="eastAsia" w:ascii="宋体" w:hAnsi="宋体" w:eastAsia="宋体" w:cs="宋体"/>
          <w:color w:val="auto"/>
          <w:sz w:val="21"/>
          <w:szCs w:val="21"/>
          <w:highlight w:val="none"/>
          <w:lang w:eastAsia="zh-CN"/>
        </w:rPr>
        <w:t>发布</w:t>
      </w:r>
      <w:r>
        <w:rPr>
          <w:rFonts w:hint="eastAsia" w:ascii="宋体" w:hAnsi="宋体" w:eastAsia="宋体" w:cs="宋体"/>
          <w:color w:val="auto"/>
          <w:sz w:val="21"/>
          <w:szCs w:val="21"/>
          <w:highlight w:val="none"/>
        </w:rPr>
        <w:t>等配套服务。</w:t>
      </w:r>
    </w:p>
    <w:p>
      <w:pPr>
        <w:pStyle w:val="5"/>
        <w:numPr>
          <w:ilvl w:val="0"/>
          <w:numId w:val="0"/>
        </w:numPr>
        <w:bidi w:val="0"/>
        <w:rPr>
          <w:rFonts w:hint="eastAsia" w:eastAsia="宋体"/>
          <w:color w:val="auto"/>
          <w:highlight w:val="none"/>
        </w:rPr>
      </w:pPr>
      <w:r>
        <w:rPr>
          <w:rFonts w:hint="eastAsia" w:eastAsia="宋体"/>
          <w:color w:val="auto"/>
          <w:highlight w:val="none"/>
          <w:lang w:val="en-US" w:eastAsia="zh-CN"/>
        </w:rPr>
        <w:t>三、</w:t>
      </w:r>
      <w:r>
        <w:rPr>
          <w:rFonts w:hint="eastAsia" w:eastAsia="宋体"/>
          <w:color w:val="auto"/>
          <w:highlight w:val="none"/>
        </w:rPr>
        <w:t>服务要求</w:t>
      </w:r>
    </w:p>
    <w:p>
      <w:pPr>
        <w:pStyle w:val="32"/>
        <w:tabs>
          <w:tab w:val="left" w:pos="426"/>
          <w:tab w:val="left" w:pos="567"/>
        </w:tabs>
        <w:spacing w:line="360" w:lineRule="auto"/>
        <w:ind w:firstLine="0" w:firstLineChars="0"/>
        <w:rPr>
          <w:rFonts w:ascii="宋体" w:hAnsi="宋体"/>
          <w:color w:val="auto"/>
          <w:sz w:val="22"/>
          <w:szCs w:val="22"/>
          <w:highlight w:val="none"/>
        </w:rPr>
      </w:pPr>
      <w:r>
        <w:rPr>
          <w:rFonts w:hint="eastAsia" w:ascii="宋体" w:hAnsi="宋体"/>
          <w:b/>
          <w:color w:val="auto"/>
          <w:sz w:val="22"/>
          <w:szCs w:val="22"/>
          <w:highlight w:val="none"/>
        </w:rPr>
        <w:t>（一）负责活动的前期筹备工作</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中标人承担活动的整体方案策划、前期筹备、现场执行、媒体宣传、人员组织、邀请嘉宾接待、场地租用、成果整理等全部工作及所有费用。</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按照活动策划方案要求，制定详细的各项活动执行实施方案及工作进度表，严格监督工作进度，并做好风险防范，制定应急预案，做好与有关单位的协调工作事宜。在项目执行过程中负责嘉宾、活动参与者及工作人员的人身安全，确保人员安全。</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制定整体宣传推广方案，提供多角度、高质量的活动通稿。在省市级报纸、电视、网络平台等媒体渠道发布新闻报道资讯等。</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采购人安排的其他工作。</w:t>
      </w:r>
    </w:p>
    <w:p>
      <w:pPr>
        <w:pStyle w:val="32"/>
        <w:tabs>
          <w:tab w:val="left" w:pos="426"/>
          <w:tab w:val="left" w:pos="567"/>
        </w:tabs>
        <w:spacing w:line="360" w:lineRule="auto"/>
        <w:ind w:firstLine="0" w:firstLineChars="0"/>
        <w:rPr>
          <w:rFonts w:ascii="宋体" w:hAnsi="宋体"/>
          <w:b/>
          <w:color w:val="auto"/>
          <w:sz w:val="22"/>
          <w:szCs w:val="22"/>
          <w:highlight w:val="none"/>
        </w:rPr>
      </w:pPr>
      <w:r>
        <w:rPr>
          <w:rFonts w:hint="eastAsia" w:ascii="宋体" w:hAnsi="宋体"/>
          <w:b/>
          <w:color w:val="auto"/>
          <w:sz w:val="22"/>
          <w:szCs w:val="22"/>
          <w:highlight w:val="none"/>
        </w:rPr>
        <w:t>（二）负责活动期间的组织与执行工作</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负责组织好活动期间的各项工作。</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负责活动期间的医疗和安全保障工作。</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ascii="宋体" w:hAnsi="宋体"/>
          <w:color w:val="auto"/>
          <w:sz w:val="22"/>
          <w:szCs w:val="22"/>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做好活动期间媒体宣传和报道工作</w:t>
      </w:r>
      <w:r>
        <w:rPr>
          <w:rFonts w:hint="eastAsia" w:ascii="宋体" w:hAnsi="宋体"/>
          <w:color w:val="auto"/>
          <w:sz w:val="22"/>
          <w:szCs w:val="22"/>
          <w:highlight w:val="none"/>
        </w:rPr>
        <w:t>。</w:t>
      </w:r>
    </w:p>
    <w:p>
      <w:pPr>
        <w:pStyle w:val="32"/>
        <w:tabs>
          <w:tab w:val="left" w:pos="426"/>
          <w:tab w:val="left" w:pos="567"/>
        </w:tabs>
        <w:spacing w:line="360" w:lineRule="auto"/>
        <w:ind w:firstLine="0" w:firstLineChars="0"/>
        <w:rPr>
          <w:rFonts w:ascii="宋体" w:hAnsi="宋体"/>
          <w:b/>
          <w:color w:val="auto"/>
          <w:sz w:val="22"/>
          <w:szCs w:val="22"/>
          <w:highlight w:val="none"/>
        </w:rPr>
      </w:pPr>
      <w:r>
        <w:rPr>
          <w:rFonts w:hint="eastAsia" w:ascii="宋体" w:hAnsi="宋体"/>
          <w:b/>
          <w:color w:val="auto"/>
          <w:sz w:val="22"/>
          <w:szCs w:val="22"/>
          <w:highlight w:val="none"/>
        </w:rPr>
        <w:t>（三）负责活动后的相关工作</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负责活动场地的复原工作。</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负责人员食宿补贴等发放工作。</w:t>
      </w:r>
    </w:p>
    <w:p>
      <w:pPr>
        <w:pStyle w:val="32"/>
        <w:keepNext w:val="0"/>
        <w:keepLines w:val="0"/>
        <w:pageBreakBefore w:val="0"/>
        <w:widowControl/>
        <w:tabs>
          <w:tab w:val="left" w:pos="426"/>
          <w:tab w:val="left" w:pos="5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负责活动期间有关资料的归档，并交付主办方。</w:t>
      </w:r>
    </w:p>
    <w:p>
      <w:pPr>
        <w:ind w:firstLine="422" w:firstLineChars="200"/>
        <w:rPr>
          <w:rFonts w:hint="eastAsia" w:ascii="宋体" w:hAnsi="宋体" w:cs="Times New Roman"/>
          <w:b/>
          <w:bCs/>
          <w:color w:val="auto"/>
          <w:szCs w:val="21"/>
          <w:highlight w:val="none"/>
        </w:rPr>
      </w:pPr>
    </w:p>
    <w:p>
      <w:pPr>
        <w:ind w:firstLine="422" w:firstLineChars="200"/>
        <w:rPr>
          <w:rFonts w:hint="eastAsia" w:ascii="宋体" w:hAnsi="宋体" w:cs="Times New Roman"/>
          <w:b/>
          <w:bCs/>
          <w:color w:val="auto"/>
          <w:szCs w:val="21"/>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pPr>
        <w:pStyle w:val="4"/>
        <w:spacing w:line="240" w:lineRule="auto"/>
        <w:jc w:val="center"/>
        <w:rPr>
          <w:rFonts w:ascii="宋体" w:hAnsi="宋体" w:cs="宋体"/>
          <w:color w:val="auto"/>
          <w:highlight w:val="none"/>
        </w:rPr>
      </w:pPr>
      <w:bookmarkStart w:id="192" w:name="_Toc19575"/>
      <w:bookmarkStart w:id="193" w:name="_Toc8880"/>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0"/>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7"/>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31587"/>
      <w:bookmarkStart w:id="199" w:name="_Toc1478"/>
      <w:bookmarkStart w:id="200" w:name="_Toc23749"/>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29"/>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6"/>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rPr>
              <w:t>投标</w:t>
            </w:r>
            <w:r>
              <w:rPr>
                <w:rFonts w:hint="eastAsia" w:ascii="宋体" w:hAnsi="宋体"/>
                <w:color w:val="auto"/>
                <w:szCs w:val="21"/>
                <w:highlight w:val="none"/>
                <w:lang w:val="en-US" w:eastAsia="zh-CN"/>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rPr>
          <w:color w:val="auto"/>
          <w:highlight w:val="none"/>
        </w:rPr>
      </w:pPr>
    </w:p>
    <w:p>
      <w:pPr>
        <w:pStyle w:val="7"/>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29"/>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2"/>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ind w:firstLine="422"/>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29"/>
        <w:rPr>
          <w:color w:val="auto"/>
          <w:highlight w:val="none"/>
        </w:rPr>
      </w:pPr>
    </w:p>
    <w:p>
      <w:pPr>
        <w:tabs>
          <w:tab w:val="left" w:pos="284"/>
        </w:tabs>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tabs>
          <w:tab w:val="left" w:pos="284"/>
        </w:tabs>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wordWrap w:val="0"/>
        <w:ind w:left="0" w:firstLine="480"/>
        <w:jc w:val="right"/>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7"/>
        <w:ind w:left="0" w:firstLine="480"/>
        <w:rPr>
          <w:rFonts w:asciiTheme="minorEastAsia" w:hAnsiTheme="minorEastAsia" w:eastAsiaTheme="minorEastAsia" w:cstheme="minorEastAsia"/>
          <w:color w:val="auto"/>
          <w:sz w:val="21"/>
          <w:szCs w:val="21"/>
          <w:highlight w:val="none"/>
          <w:lang w:val="en-US"/>
        </w:rPr>
      </w:pPr>
    </w:p>
    <w:p>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8960153"/>
      <w:bookmarkStart w:id="223" w:name="_Toc510171693"/>
      <w:bookmarkStart w:id="224" w:name="_Toc509927455"/>
      <w:bookmarkStart w:id="225" w:name="_Toc17761"/>
      <w:bookmarkStart w:id="226" w:name="_Toc508958703"/>
      <w:bookmarkStart w:id="227" w:name="_Toc30247"/>
      <w:bookmarkStart w:id="228" w:name="_Toc30277"/>
      <w:bookmarkStart w:id="229" w:name="_Toc508898066"/>
      <w:bookmarkStart w:id="230" w:name="_Toc20910"/>
      <w:bookmarkStart w:id="231" w:name="_Toc22970"/>
      <w:bookmarkStart w:id="232" w:name="_Toc509479530"/>
      <w:bookmarkStart w:id="233" w:name="_Toc509844825"/>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7"/>
        <w:rPr>
          <w:color w:val="auto"/>
          <w:highlight w:val="none"/>
        </w:rPr>
      </w:pPr>
    </w:p>
    <w:p>
      <w:pPr>
        <w:ind w:firstLine="420" w:firstLineChars="200"/>
        <w:rPr>
          <w:rFonts w:ascii="宋体" w:hAnsi="宋体"/>
          <w:color w:val="auto"/>
          <w:szCs w:val="21"/>
          <w:highlight w:val="none"/>
        </w:rPr>
      </w:pPr>
      <w:bookmarkStart w:id="234" w:name="_Toc5447"/>
      <w:bookmarkStart w:id="235" w:name="_Toc508958704"/>
      <w:bookmarkStart w:id="236" w:name="_Toc21053"/>
      <w:bookmarkStart w:id="237" w:name="_Toc509927456"/>
      <w:bookmarkStart w:id="238" w:name="_Toc509479531"/>
      <w:bookmarkStart w:id="239" w:name="_Toc28527"/>
      <w:bookmarkStart w:id="240" w:name="_Toc31520"/>
      <w:bookmarkStart w:id="241" w:name="_Toc26216"/>
      <w:bookmarkStart w:id="242" w:name="_Toc508898067"/>
      <w:bookmarkStart w:id="243" w:name="_Toc508960154"/>
      <w:bookmarkStart w:id="244" w:name="_Toc509844826"/>
      <w:bookmarkStart w:id="245" w:name="_Toc510171694"/>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9148"/>
      <w:bookmarkStart w:id="247" w:name="_Toc508898068"/>
      <w:bookmarkStart w:id="248" w:name="_Toc508960155"/>
      <w:bookmarkStart w:id="249" w:name="_Toc509844827"/>
      <w:bookmarkStart w:id="250" w:name="_Toc28626"/>
      <w:bookmarkStart w:id="251" w:name="_Toc509479532"/>
      <w:bookmarkStart w:id="252" w:name="_Toc508958705"/>
      <w:bookmarkStart w:id="253" w:name="_Toc510171695"/>
      <w:bookmarkStart w:id="254" w:name="_Toc24848"/>
      <w:bookmarkStart w:id="255" w:name="_Toc509927457"/>
      <w:bookmarkStart w:id="256" w:name="_Toc28126"/>
      <w:bookmarkStart w:id="257" w:name="_Toc14653"/>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8044"/>
      <w:bookmarkStart w:id="259" w:name="_Toc9837"/>
      <w:bookmarkStart w:id="260" w:name="_Toc510171696"/>
      <w:bookmarkStart w:id="261" w:name="_Toc508960156"/>
      <w:bookmarkStart w:id="262" w:name="_Toc509479533"/>
      <w:bookmarkStart w:id="263" w:name="_Toc7858"/>
      <w:bookmarkStart w:id="264" w:name="_Toc509844828"/>
      <w:bookmarkStart w:id="265" w:name="_Toc22981"/>
      <w:bookmarkStart w:id="266" w:name="_Toc28686"/>
      <w:bookmarkStart w:id="267" w:name="_Toc508898069"/>
      <w:bookmarkStart w:id="268" w:name="_Toc508958706"/>
      <w:bookmarkStart w:id="269" w:name="_Toc5099274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18843"/>
      <w:bookmarkStart w:id="271" w:name="_Toc5289"/>
      <w:bookmarkStart w:id="272" w:name="_Toc508960157"/>
      <w:bookmarkStart w:id="273" w:name="_Toc509927459"/>
      <w:bookmarkStart w:id="274" w:name="_Toc508958707"/>
      <w:bookmarkStart w:id="275" w:name="_Toc509844829"/>
      <w:bookmarkStart w:id="276" w:name="_Toc509479534"/>
      <w:bookmarkStart w:id="277" w:name="_Toc510171697"/>
      <w:bookmarkStart w:id="278"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sz w:val="21"/>
          <w:szCs w:val="21"/>
          <w:highlight w:val="none"/>
        </w:rPr>
      </w:pPr>
    </w:p>
    <w:p>
      <w:pPr>
        <w:rPr>
          <w:rFonts w:ascii="宋体" w:hAnsi="宋体"/>
          <w:color w:val="auto"/>
          <w:szCs w:val="21"/>
          <w:highlight w:val="none"/>
        </w:rPr>
      </w:pPr>
    </w:p>
    <w:p>
      <w:pPr>
        <w:pStyle w:val="7"/>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7"/>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29995"/>
      <w:bookmarkStart w:id="296" w:name="_Toc17470"/>
      <w:bookmarkStart w:id="297" w:name="_Toc24210"/>
      <w:bookmarkStart w:id="298" w:name="_Toc4926"/>
      <w:bookmarkStart w:id="299" w:name="_Toc5919"/>
      <w:bookmarkStart w:id="300" w:name="_Toc1511"/>
      <w:bookmarkStart w:id="301" w:name="_Toc28067"/>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5"/>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5"/>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9"/>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pStyle w:val="7"/>
        <w:ind w:left="0"/>
        <w:rPr>
          <w:color w:val="auto"/>
          <w:highlight w:val="none"/>
        </w:rPr>
      </w:pPr>
    </w:p>
    <w:p>
      <w:pPr>
        <w:pStyle w:val="4"/>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8668"/>
      <w:bookmarkStart w:id="320" w:name="_Toc26078"/>
      <w:bookmarkStart w:id="321" w:name="_Toc4464"/>
      <w:bookmarkStart w:id="322" w:name="_Toc4827"/>
      <w:bookmarkStart w:id="323" w:name="_Toc6080"/>
      <w:bookmarkStart w:id="324" w:name="_Toc1274"/>
    </w:p>
    <w:p>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642"/>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27090"/>
            <w:bookmarkStart w:id="331" w:name="_Toc16872"/>
            <w:bookmarkStart w:id="332" w:name="_Toc22448"/>
            <w:bookmarkStart w:id="333" w:name="_Toc1016"/>
            <w:bookmarkStart w:id="334" w:name="_Toc14815"/>
            <w:bookmarkStart w:id="335" w:name="_Toc10045"/>
            <w:bookmarkStart w:id="336" w:name="_Toc2700"/>
            <w:bookmarkStart w:id="337" w:name="_Toc15903"/>
            <w:bookmarkStart w:id="338" w:name="_Toc26124"/>
            <w:bookmarkStart w:id="339" w:name="_Toc4304"/>
            <w:bookmarkStart w:id="340" w:name="_Toc15368"/>
            <w:bookmarkStart w:id="341" w:name="_Toc12049"/>
            <w:bookmarkStart w:id="342" w:name="_Toc21739"/>
            <w:bookmarkStart w:id="343" w:name="_Toc21809"/>
            <w:bookmarkStart w:id="344" w:name="_Toc8490"/>
            <w:bookmarkStart w:id="345" w:name="_Toc19251"/>
            <w:bookmarkStart w:id="346" w:name="_Toc7333"/>
            <w:bookmarkStart w:id="347" w:name="_Toc22917"/>
            <w:bookmarkStart w:id="348" w:name="_Toc22879"/>
            <w:bookmarkStart w:id="349" w:name="_Toc8312"/>
            <w:bookmarkStart w:id="350" w:name="_Toc24662"/>
            <w:bookmarkStart w:id="351" w:name="_Toc27442"/>
            <w:bookmarkStart w:id="352" w:name="_Toc32531"/>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9838"/>
            <w:bookmarkStart w:id="358" w:name="_Toc27285"/>
            <w:bookmarkStart w:id="359" w:name="_Toc20139"/>
            <w:bookmarkStart w:id="360" w:name="_Toc1330"/>
            <w:bookmarkStart w:id="361" w:name="_Toc27185"/>
            <w:bookmarkStart w:id="362" w:name="_Toc17642"/>
            <w:bookmarkStart w:id="363" w:name="_Toc3701"/>
            <w:bookmarkStart w:id="364" w:name="_Toc5563"/>
            <w:bookmarkStart w:id="365" w:name="_Toc20820"/>
            <w:bookmarkStart w:id="366" w:name="_Toc1912"/>
            <w:bookmarkStart w:id="367" w:name="_Toc17296"/>
            <w:bookmarkStart w:id="368" w:name="_Toc599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w:t>
      </w:r>
    </w:p>
    <w:p>
      <w:pPr>
        <w:pStyle w:val="32"/>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2"/>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2"/>
        <w:rPr>
          <w:rFonts w:ascii="宋体" w:hAnsi="宋体"/>
          <w:color w:val="auto"/>
          <w:szCs w:val="21"/>
          <w:highlight w:val="none"/>
        </w:rPr>
      </w:pPr>
    </w:p>
    <w:p>
      <w:pPr>
        <w:pStyle w:val="32"/>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7"/>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21541"/>
      <w:bookmarkStart w:id="380" w:name="_Toc16710"/>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81" w:name="_Toc24545"/>
      <w:bookmarkStart w:id="382" w:name="_Toc2685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4"/>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7"/>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4" w:name="_Toc26782"/>
      <w:bookmarkStart w:id="385" w:name="_Toc2677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7"/>
        <w:rPr>
          <w:color w:val="auto"/>
          <w:highlight w:val="none"/>
        </w:rPr>
      </w:pPr>
    </w:p>
    <w:p>
      <w:pPr>
        <w:rPr>
          <w:color w:val="auto"/>
          <w:highlight w:val="none"/>
        </w:rPr>
      </w:pPr>
    </w:p>
    <w:p>
      <w:pPr>
        <w:pStyle w:val="4"/>
        <w:jc w:val="center"/>
        <w:rPr>
          <w:color w:val="auto"/>
          <w:highlight w:val="none"/>
        </w:rPr>
      </w:pPr>
      <w:bookmarkStart w:id="387" w:name="_Toc2710"/>
      <w:bookmarkStart w:id="388" w:name="_Toc22736"/>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7"/>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7"/>
        <w:rPr>
          <w:color w:val="auto"/>
          <w:sz w:val="21"/>
          <w:szCs w:val="21"/>
          <w:highlight w:val="none"/>
        </w:rPr>
      </w:pPr>
    </w:p>
    <w:p>
      <w:pPr>
        <w:rPr>
          <w:rFonts w:ascii="宋体" w:hAnsi="宋体" w:cs="宋体"/>
          <w:color w:val="auto"/>
          <w:szCs w:val="21"/>
          <w:highlight w:val="none"/>
        </w:rPr>
      </w:pPr>
    </w:p>
    <w:p>
      <w:pPr>
        <w:pStyle w:val="7"/>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rPr>
          <w:color w:val="auto"/>
          <w:highlight w:val="none"/>
        </w:rPr>
      </w:pPr>
    </w:p>
    <w:p>
      <w:pPr>
        <w:pStyle w:val="7"/>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2"/>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1"/>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rPr>
          <w:rFonts w:eastAsia="微软雅黑"/>
        </w:rPr>
      </w:pPr>
      <w:r>
        <w:rPr>
          <w:rStyle w:val="28"/>
        </w:rPr>
        <w:footnoteRef/>
      </w:r>
      <w:r>
        <w:rPr>
          <w:rFonts w:hint="eastAsia"/>
        </w:rPr>
        <w:t>从业人员、营业人员、资产总额填报上一年度数据，无上一年度数据的新成立企业可不填报。</w:t>
      </w:r>
    </w:p>
  </w:footnote>
  <w:footnote w:id="1">
    <w:p>
      <w:pPr>
        <w:pStyle w:val="18"/>
      </w:pPr>
      <w:r>
        <w:rPr>
          <w:rStyle w:val="28"/>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B327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30C17F5"/>
    <w:rsid w:val="0340787C"/>
    <w:rsid w:val="03707410"/>
    <w:rsid w:val="037F03E3"/>
    <w:rsid w:val="03A0770F"/>
    <w:rsid w:val="03A27BF9"/>
    <w:rsid w:val="03A448B8"/>
    <w:rsid w:val="03A4578A"/>
    <w:rsid w:val="03AD071E"/>
    <w:rsid w:val="03B67E12"/>
    <w:rsid w:val="03D10969"/>
    <w:rsid w:val="04DF1036"/>
    <w:rsid w:val="050F6021"/>
    <w:rsid w:val="055214B8"/>
    <w:rsid w:val="05A97DEC"/>
    <w:rsid w:val="05C81981"/>
    <w:rsid w:val="065A32ED"/>
    <w:rsid w:val="06913258"/>
    <w:rsid w:val="06BC41F2"/>
    <w:rsid w:val="06DF3DBD"/>
    <w:rsid w:val="07197D08"/>
    <w:rsid w:val="071C2CFD"/>
    <w:rsid w:val="071E5C55"/>
    <w:rsid w:val="073A47CB"/>
    <w:rsid w:val="073F7319"/>
    <w:rsid w:val="07536A42"/>
    <w:rsid w:val="07595F41"/>
    <w:rsid w:val="07615EC0"/>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5E5757"/>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4D1DE7"/>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072664"/>
    <w:rsid w:val="2121714F"/>
    <w:rsid w:val="22154DDD"/>
    <w:rsid w:val="22213E42"/>
    <w:rsid w:val="22336873"/>
    <w:rsid w:val="23175889"/>
    <w:rsid w:val="232C5C75"/>
    <w:rsid w:val="238C2182"/>
    <w:rsid w:val="239015D1"/>
    <w:rsid w:val="23BB4E7D"/>
    <w:rsid w:val="23C172D6"/>
    <w:rsid w:val="23F04F64"/>
    <w:rsid w:val="24814CBE"/>
    <w:rsid w:val="24AC168B"/>
    <w:rsid w:val="25857F75"/>
    <w:rsid w:val="258C3BEC"/>
    <w:rsid w:val="25E576CC"/>
    <w:rsid w:val="260E3862"/>
    <w:rsid w:val="262569FC"/>
    <w:rsid w:val="26344C98"/>
    <w:rsid w:val="26F56CE2"/>
    <w:rsid w:val="27435D49"/>
    <w:rsid w:val="27A34F71"/>
    <w:rsid w:val="27B36A67"/>
    <w:rsid w:val="27EB0D9B"/>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8464CE"/>
    <w:rsid w:val="32AB70C5"/>
    <w:rsid w:val="32DC33E0"/>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1D6E2C"/>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6D2026"/>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CF0EED"/>
    <w:rsid w:val="42FD694D"/>
    <w:rsid w:val="434A6D8F"/>
    <w:rsid w:val="43FA5777"/>
    <w:rsid w:val="44044D92"/>
    <w:rsid w:val="441C1611"/>
    <w:rsid w:val="443C440B"/>
    <w:rsid w:val="443F7DBF"/>
    <w:rsid w:val="44514F52"/>
    <w:rsid w:val="448965CB"/>
    <w:rsid w:val="44C5497E"/>
    <w:rsid w:val="44FA2D53"/>
    <w:rsid w:val="45166078"/>
    <w:rsid w:val="4571374F"/>
    <w:rsid w:val="458B1BB0"/>
    <w:rsid w:val="4611075B"/>
    <w:rsid w:val="46214818"/>
    <w:rsid w:val="467A0297"/>
    <w:rsid w:val="468B7125"/>
    <w:rsid w:val="46C4691F"/>
    <w:rsid w:val="46CB1893"/>
    <w:rsid w:val="47841568"/>
    <w:rsid w:val="479D1D34"/>
    <w:rsid w:val="47B609C0"/>
    <w:rsid w:val="47CF543E"/>
    <w:rsid w:val="482D31EA"/>
    <w:rsid w:val="485970A0"/>
    <w:rsid w:val="48847961"/>
    <w:rsid w:val="48A41906"/>
    <w:rsid w:val="48B65C71"/>
    <w:rsid w:val="48F303D7"/>
    <w:rsid w:val="492837FF"/>
    <w:rsid w:val="492E6A57"/>
    <w:rsid w:val="49B86103"/>
    <w:rsid w:val="49F10F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FB6A76"/>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1FA74D0"/>
    <w:rsid w:val="52432C25"/>
    <w:rsid w:val="52506DA7"/>
    <w:rsid w:val="527375BC"/>
    <w:rsid w:val="533B2B84"/>
    <w:rsid w:val="537A7243"/>
    <w:rsid w:val="539C1B81"/>
    <w:rsid w:val="53AA6184"/>
    <w:rsid w:val="53AE750F"/>
    <w:rsid w:val="53EB0895"/>
    <w:rsid w:val="53F263AD"/>
    <w:rsid w:val="54693932"/>
    <w:rsid w:val="549A6BFA"/>
    <w:rsid w:val="54C61423"/>
    <w:rsid w:val="54E72921"/>
    <w:rsid w:val="554A7CE9"/>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5E0345"/>
    <w:rsid w:val="597B384D"/>
    <w:rsid w:val="59903AA4"/>
    <w:rsid w:val="59996DA8"/>
    <w:rsid w:val="59AC3CE9"/>
    <w:rsid w:val="59C30F1B"/>
    <w:rsid w:val="5A0D5854"/>
    <w:rsid w:val="5A20156F"/>
    <w:rsid w:val="5A250E62"/>
    <w:rsid w:val="5A8E5D27"/>
    <w:rsid w:val="5A9847F3"/>
    <w:rsid w:val="5A9F36EE"/>
    <w:rsid w:val="5AC7121C"/>
    <w:rsid w:val="5AD90B8D"/>
    <w:rsid w:val="5AE12927"/>
    <w:rsid w:val="5B2243E9"/>
    <w:rsid w:val="5B4E1A44"/>
    <w:rsid w:val="5B666742"/>
    <w:rsid w:val="5B6919B0"/>
    <w:rsid w:val="5B873201"/>
    <w:rsid w:val="5B89551D"/>
    <w:rsid w:val="5B967767"/>
    <w:rsid w:val="5B9E55DE"/>
    <w:rsid w:val="5BF16935"/>
    <w:rsid w:val="5C1D18D2"/>
    <w:rsid w:val="5C286807"/>
    <w:rsid w:val="5C446BC8"/>
    <w:rsid w:val="5C4C687B"/>
    <w:rsid w:val="5C7C2768"/>
    <w:rsid w:val="5CB23AE6"/>
    <w:rsid w:val="5CB843E0"/>
    <w:rsid w:val="5CF55792"/>
    <w:rsid w:val="5CFD533A"/>
    <w:rsid w:val="5D893B14"/>
    <w:rsid w:val="5D9F3D30"/>
    <w:rsid w:val="5E2810D5"/>
    <w:rsid w:val="5E2B7D62"/>
    <w:rsid w:val="5E2F31A6"/>
    <w:rsid w:val="5E71411E"/>
    <w:rsid w:val="5EA06921"/>
    <w:rsid w:val="5ED5006A"/>
    <w:rsid w:val="5F576E4B"/>
    <w:rsid w:val="5F5D4EDE"/>
    <w:rsid w:val="5F7A2C30"/>
    <w:rsid w:val="5FBE370A"/>
    <w:rsid w:val="60292845"/>
    <w:rsid w:val="61027308"/>
    <w:rsid w:val="611505B8"/>
    <w:rsid w:val="612E1A5D"/>
    <w:rsid w:val="61816046"/>
    <w:rsid w:val="61881DE7"/>
    <w:rsid w:val="62182687"/>
    <w:rsid w:val="62391564"/>
    <w:rsid w:val="62816669"/>
    <w:rsid w:val="62BA0953"/>
    <w:rsid w:val="62D03A7C"/>
    <w:rsid w:val="62F16BCB"/>
    <w:rsid w:val="62F648FE"/>
    <w:rsid w:val="630A30D8"/>
    <w:rsid w:val="63341DB1"/>
    <w:rsid w:val="63447612"/>
    <w:rsid w:val="63907004"/>
    <w:rsid w:val="63A10995"/>
    <w:rsid w:val="63C23EFA"/>
    <w:rsid w:val="643A070A"/>
    <w:rsid w:val="644C573D"/>
    <w:rsid w:val="647F1ACC"/>
    <w:rsid w:val="648667A7"/>
    <w:rsid w:val="64DB383A"/>
    <w:rsid w:val="65032F85"/>
    <w:rsid w:val="65136B50"/>
    <w:rsid w:val="653B0C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9A021A"/>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672DA"/>
    <w:rsid w:val="756E5849"/>
    <w:rsid w:val="757271FA"/>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8B92B9D"/>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outlineLvl w:val="2"/>
    </w:pPr>
    <w:rPr>
      <w:b/>
      <w:bCs/>
      <w:sz w:val="28"/>
      <w:szCs w:val="32"/>
    </w:rPr>
  </w:style>
  <w:style w:type="paragraph" w:styleId="5">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cs="宋体"/>
      <w:sz w:val="24"/>
      <w:lang w:val="zh-CN" w:bidi="zh-CN"/>
    </w:rPr>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0">
    <w:name w:val="Normal (Web)"/>
    <w:basedOn w:val="1"/>
    <w:link w:val="49"/>
    <w:qFormat/>
    <w:uiPriority w:val="0"/>
    <w:pPr>
      <w:widowControl w:val="0"/>
      <w:adjustRightInd/>
      <w:snapToGrid/>
      <w:jc w:val="both"/>
    </w:pPr>
    <w:rPr>
      <w:rFonts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7">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8">
    <w:name w:val="无间隔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81</Pages>
  <Words>32675</Words>
  <Characters>33523</Characters>
  <Lines>349</Lines>
  <Paragraphs>98</Paragraphs>
  <TotalTime>0</TotalTime>
  <ScaleCrop>false</ScaleCrop>
  <LinksUpToDate>false</LinksUpToDate>
  <CharactersWithSpaces>34892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2023-03-13T09:19:18Z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AFA3DB1B3AD44B93A9D67F7F643130C7</vt:lpwstr>
  </property>
</Properties>
</file>