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2"/>
        <w:ind w:firstLine="240"/>
        <w:rPr>
          <w:rFonts w:ascii="黑体" w:eastAsia="黑体"/>
          <w:color w:val="auto"/>
          <w:szCs w:val="21"/>
          <w:highlight w:val="none"/>
        </w:rPr>
      </w:pPr>
    </w:p>
    <w:p>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GDZT2023105C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东莞市横沥镇社区卫生服务中心饭堂承包服务项目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rPr>
        <w:t>东莞市横沥镇社区卫生服务中心饭堂承包服务项目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项目编号：GDZT2023105C；</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rPr>
        <w:t>东莞市横沥镇社区卫生服务中心饭堂承包服务项目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769"/>
        <w:gridCol w:w="650"/>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1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4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21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东莞市横沥镇社区卫生服务中心饭堂承包服务项目</w:t>
            </w:r>
          </w:p>
        </w:tc>
        <w:tc>
          <w:tcPr>
            <w:tcW w:w="438"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4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911,000.00</w:t>
            </w:r>
            <w:r>
              <w:rPr>
                <w:rFonts w:hint="eastAsia" w:ascii="宋体" w:hAnsi="宋体"/>
                <w:color w:val="auto"/>
                <w:szCs w:val="21"/>
                <w:highlight w:val="none"/>
              </w:rPr>
              <w:t>元</w:t>
            </w:r>
          </w:p>
        </w:tc>
      </w:tr>
    </w:tbl>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11" w:firstLineChars="196"/>
        <w:rPr>
          <w:rFonts w:ascii="宋体" w:hAnsi="宋体" w:cs="宋体"/>
          <w:color w:val="auto"/>
          <w:highlight w:val="none"/>
        </w:rPr>
      </w:pPr>
      <w:r>
        <w:rPr>
          <w:rFonts w:hint="eastAsia" w:ascii="宋体" w:hAnsi="宋体" w:cs="宋体"/>
          <w:color w:val="auto"/>
          <w:highlight w:val="none"/>
        </w:rPr>
        <w:t>（1）投标人</w:t>
      </w:r>
      <w:r>
        <w:rPr>
          <w:rFonts w:hint="eastAsia" w:ascii="宋体" w:hAnsi="宋体" w:cs="宋体"/>
          <w:color w:val="auto"/>
          <w:szCs w:val="21"/>
          <w:highlight w:val="none"/>
        </w:rPr>
        <w:t>须具有有效期内的《食品经营许可证》。</w:t>
      </w:r>
    </w:p>
    <w:p>
      <w:pPr>
        <w:ind w:firstLine="411" w:firstLineChars="196"/>
        <w:rPr>
          <w:rFonts w:ascii="宋体" w:hAnsi="宋体" w:cs="宋体"/>
          <w:color w:val="auto"/>
          <w:highlight w:val="none"/>
        </w:rPr>
      </w:pPr>
      <w:r>
        <w:rPr>
          <w:rFonts w:hint="eastAsia" w:ascii="宋体" w:hAnsi="宋体" w:cs="宋体"/>
          <w:color w:val="auto"/>
          <w:highlight w:val="none"/>
        </w:rPr>
        <w:t>（2）本项目整体专门面向中小企业采购。投标人须符合本项目采购标的对应行业（本项目行业为：餐饮业）的政策划分标准。监狱企业、残疾人福利单位视同小型、微型企业。（注：中小企业以供应商填写的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w:t>
      </w:r>
      <w:bookmarkStart w:id="389" w:name="_GoBack"/>
      <w:bookmarkEnd w:id="389"/>
      <w:r>
        <w:rPr>
          <w:rFonts w:hint="eastAsia" w:ascii="宋体" w:hAnsi="宋体"/>
          <w:color w:val="auto"/>
          <w:szCs w:val="21"/>
          <w:highlight w:val="none"/>
        </w:rPr>
        <w:t>：《营业执照》复印件（加盖公章）或《事业单位法人证书》复印件（加盖公章）或其他主体证书复印件（加盖公章），自然人参加投标须提供自然人的身份证明材料。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1、递交投标文件时间：2023年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30</w:t>
      </w:r>
      <w:r>
        <w:rPr>
          <w:rFonts w:hint="eastAsia" w:ascii="宋体" w:hAnsi="宋体"/>
          <w:bCs/>
          <w:color w:val="auto"/>
          <w:szCs w:val="21"/>
          <w:highlight w:val="none"/>
        </w:rPr>
        <w:t>日下午14：00～14：30。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及开标时间：2023年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30</w:t>
      </w:r>
      <w:r>
        <w:rPr>
          <w:rFonts w:hint="eastAsia" w:ascii="宋体" w:hAnsi="宋体"/>
          <w:bCs/>
          <w:color w:val="auto"/>
          <w:szCs w:val="21"/>
          <w:highlight w:val="none"/>
        </w:rPr>
        <w:t>日下午14时30分。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吴工</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w:t>
      </w:r>
      <w:r>
        <w:rPr>
          <w:rFonts w:hint="eastAsia" w:ascii="宋体" w:hAnsi="宋体"/>
          <w:color w:val="auto"/>
          <w:szCs w:val="21"/>
          <w:highlight w:val="none"/>
        </w:rPr>
        <w:t>0769-82208056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2023年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7"/>
        <w:rPr>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70"/>
        <w:gridCol w:w="786"/>
        <w:gridCol w:w="5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序号</w:t>
            </w:r>
          </w:p>
        </w:tc>
        <w:tc>
          <w:tcPr>
            <w:tcW w:w="1270"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评分内容</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分值</w:t>
            </w:r>
          </w:p>
        </w:tc>
        <w:tc>
          <w:tcPr>
            <w:tcW w:w="5702"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36" w:type="dxa"/>
            <w:gridSpan w:val="4"/>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70" w:type="dxa"/>
            <w:tcBorders>
              <w:top w:val="single" w:color="auto" w:sz="4" w:space="0"/>
              <w:left w:val="single" w:color="auto" w:sz="4" w:space="0"/>
              <w:bottom w:val="single" w:color="auto" w:sz="4" w:space="0"/>
              <w:right w:val="single" w:color="auto" w:sz="4" w:space="0"/>
            </w:tcBorders>
            <w:noWrap/>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投标人实力</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9</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投标人具有由国家认证认可监督管理部门批准设立的认证机构颁发并在有效期内的质量管理体系认证、环境管理体系认证、职业健康安全管理体系认证，每提供一个认证证书得3分，满分9分。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注：须提供有效证书复印件加盖投标人公章，否则不得分。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70" w:type="dxa"/>
            <w:tcBorders>
              <w:top w:val="single" w:color="auto" w:sz="4" w:space="0"/>
              <w:left w:val="single" w:color="auto" w:sz="4" w:space="0"/>
              <w:bottom w:val="single" w:color="auto" w:sz="4" w:space="0"/>
              <w:right w:val="single" w:color="auto" w:sz="4" w:space="0"/>
            </w:tcBorders>
            <w:noWrap/>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业绩</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16</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投标人具有食堂承包（或经营或管理）服务类业绩的，每提供一个业绩合同得4分，满分16分。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436" w:type="dxa"/>
            <w:gridSpan w:val="4"/>
            <w:tcBorders>
              <w:top w:val="single" w:color="auto" w:sz="4" w:space="0"/>
              <w:left w:val="single" w:color="auto" w:sz="4" w:space="0"/>
              <w:bottom w:val="single" w:color="auto" w:sz="4" w:space="0"/>
              <w:right w:val="single" w:color="auto" w:sz="4" w:space="0"/>
            </w:tcBorders>
            <w:noWrap/>
            <w:vAlign w:val="center"/>
          </w:tcPr>
          <w:p>
            <w:pPr>
              <w:pStyle w:val="36"/>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技术评分（</w:t>
            </w:r>
            <w:r>
              <w:rPr>
                <w:rFonts w:hint="eastAsia" w:ascii="宋体" w:eastAsia="宋体" w:cs="宋体"/>
                <w:b/>
                <w:color w:val="auto"/>
                <w:sz w:val="21"/>
                <w:szCs w:val="21"/>
                <w:highlight w:val="none"/>
                <w:lang w:val="en-US" w:eastAsia="zh-CN"/>
              </w:rPr>
              <w:t>6</w:t>
            </w:r>
            <w:r>
              <w:rPr>
                <w:rFonts w:hint="eastAsia" w:ascii="宋体" w:eastAsia="宋体" w:cs="宋体"/>
                <w:b/>
                <w:color w:val="auto"/>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78"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270"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总体服务方案</w:t>
            </w:r>
          </w:p>
        </w:tc>
        <w:tc>
          <w:tcPr>
            <w:tcW w:w="786"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5</w:t>
            </w:r>
          </w:p>
        </w:tc>
        <w:tc>
          <w:tcPr>
            <w:tcW w:w="5702" w:type="dxa"/>
            <w:tcBorders>
              <w:top w:val="single" w:color="auto" w:sz="4" w:space="0"/>
              <w:left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根据投标人对本项目的理解、了解程度，项目服务方案，菜品质量及保证措施进行综合评审：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项目理解详细、深刻，服务方案科学、具体，配送步骤清晰、具有很强的可操作性的，得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项目理解较为详细、深刻，服务方案较为科学、具体，配送步骤清晰、具有较强的可操作性的，得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有基本的项目理解，服务方案基本完整，配送步骤基本清晰、具有一定的可操作性，得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项目理解有偏差，服务方案不详细，配送步骤不清晰的，得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未提供总体服务方案不得分。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270"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人员组织架构</w:t>
            </w:r>
          </w:p>
        </w:tc>
        <w:tc>
          <w:tcPr>
            <w:tcW w:w="786"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15</w:t>
            </w:r>
          </w:p>
        </w:tc>
        <w:tc>
          <w:tcPr>
            <w:tcW w:w="5702" w:type="dxa"/>
            <w:tcBorders>
              <w:top w:val="single" w:color="auto" w:sz="4" w:space="0"/>
              <w:left w:val="single" w:color="auto" w:sz="4" w:space="0"/>
              <w:bottom w:val="single" w:color="auto" w:sz="4" w:space="0"/>
              <w:right w:val="single" w:color="auto" w:sz="4" w:space="0"/>
            </w:tcBorders>
            <w:noWrap/>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根据投标人提供的人员管理架构、岗位制度、岗位人员配备等进行综合评审：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人员管理架构、岗位制度、培训及考核方案科学合理、岗位人员配备齐全并优于用户需求的，得15分；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人员管理架构、岗位制度、培训及考核方案较合理、岗位人员配备较齐全的，得10分；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人员管理架构、岗位制度、培训及考核方案基本合理、岗位人员配备基本齐全的，得5分；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人员管理架构、岗位制度、培训及考核方案不合理、岗位人员配备欠妥的，得1分。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未提供人员组织架构不得分。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270"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应急保障措施</w:t>
            </w:r>
          </w:p>
        </w:tc>
        <w:tc>
          <w:tcPr>
            <w:tcW w:w="786"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15</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根据投标人对重大或突发事件应急保障方案措施进行综合评审：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重大或突发事件应急保障方案全面、科学、具体的，得15分；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重大或突发事件应急保障方案较为全面、科学、具体的，得10分；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重大或突发事件应急保障方案基本全面、合理的，得5分；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重大或突发事件应急保障方案不够全面、不太合理的，得1分。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未提供应急保障措施不得分。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678" w:type="dxa"/>
            <w:vMerge w:val="restart"/>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270" w:type="dxa"/>
            <w:vMerge w:val="restart"/>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安全卫生保证及服务承诺</w:t>
            </w:r>
          </w:p>
        </w:tc>
        <w:tc>
          <w:tcPr>
            <w:tcW w:w="786"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10</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配备有专职或兼职安全员，制定培训计划，负责每天检查食堂电、气、消防等设备设施安全管理、售后及应急处置方案【制定有突发事件安全应急预案（如：发生疑似食物中毒事件的处理；食品断餐应急计划）】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人员、安全管理方案合理、售后及应急处置措施可行性强，得10分；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人员、安全管理方案比较完整、售后及应急处置措施可行性较强，得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人员、安全管理方案基本合理、售后及应急处置措施可行性一般，得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人员、安全管理方案基本合理、售后及应急处置措施可行性较差，得1分；</w:t>
            </w:r>
          </w:p>
          <w:p>
            <w:pPr>
              <w:pStyle w:val="36"/>
              <w:widowControl/>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678" w:type="dxa"/>
            <w:vMerge w:val="continue"/>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p>
        </w:tc>
        <w:tc>
          <w:tcPr>
            <w:tcW w:w="1270" w:type="dxa"/>
            <w:vMerge w:val="continue"/>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p>
        </w:tc>
        <w:tc>
          <w:tcPr>
            <w:tcW w:w="786" w:type="dxa"/>
            <w:tcBorders>
              <w:left w:val="single" w:color="auto" w:sz="4" w:space="0"/>
              <w:right w:val="single" w:color="auto" w:sz="4" w:space="0"/>
            </w:tcBorders>
            <w:noWrap/>
            <w:vAlign w:val="center"/>
          </w:tcPr>
          <w:p>
            <w:pPr>
              <w:pStyle w:val="36"/>
              <w:spacing w:line="240" w:lineRule="auto"/>
              <w:ind w:firstLine="210" w:firstLineChars="100"/>
              <w:rPr>
                <w:rFonts w:ascii="宋体" w:eastAsia="宋体" w:cs="宋体"/>
                <w:color w:val="auto"/>
                <w:sz w:val="21"/>
                <w:szCs w:val="21"/>
                <w:highlight w:val="none"/>
              </w:rPr>
            </w:pPr>
            <w:r>
              <w:rPr>
                <w:rFonts w:hint="eastAsia" w:ascii="宋体" w:eastAsia="宋体" w:cs="宋体"/>
                <w:color w:val="auto"/>
                <w:sz w:val="21"/>
                <w:szCs w:val="21"/>
                <w:highlight w:val="none"/>
              </w:rPr>
              <w:t>10</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有完善的安全检测机制和检测设备，检测监控如农药残留等安全问题，根据投标人提供的专业检测仪器设备情况及检测方案进行综合评审：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方案完整合理、可行性强，得10分；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方案完整、可行性一般，得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方案基本完整、可行性较差，得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方案不完整、可行性较差，得1分；</w:t>
            </w:r>
          </w:p>
          <w:p>
            <w:pPr>
              <w:pStyle w:val="36"/>
              <w:widowControl/>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436" w:type="dxa"/>
            <w:gridSpan w:val="4"/>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b/>
                <w:color w:val="auto"/>
                <w:sz w:val="21"/>
                <w:szCs w:val="21"/>
                <w:highlight w:val="none"/>
              </w:rPr>
              <w:t>价格评分（</w:t>
            </w:r>
            <w:r>
              <w:rPr>
                <w:rFonts w:hint="eastAsia" w:ascii="宋体" w:eastAsia="宋体" w:cs="宋体"/>
                <w:b/>
                <w:color w:val="auto"/>
                <w:sz w:val="21"/>
                <w:szCs w:val="21"/>
                <w:highlight w:val="none"/>
                <w:lang w:val="en-US" w:eastAsia="zh-CN"/>
              </w:rPr>
              <w:t>1</w:t>
            </w:r>
            <w:r>
              <w:rPr>
                <w:rFonts w:hint="eastAsia" w:asci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78" w:type="dxa"/>
            <w:tcBorders>
              <w:left w:val="single" w:color="auto" w:sz="4" w:space="0"/>
              <w:right w:val="single" w:color="auto" w:sz="4" w:space="0"/>
            </w:tcBorders>
            <w:noWrap/>
            <w:vAlign w:val="center"/>
          </w:tcPr>
          <w:p>
            <w:pPr>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1270"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价格评分</w:t>
            </w:r>
          </w:p>
        </w:tc>
        <w:tc>
          <w:tcPr>
            <w:tcW w:w="786" w:type="dxa"/>
            <w:tcBorders>
              <w:left w:val="single" w:color="auto" w:sz="4" w:space="0"/>
              <w:right w:val="single" w:color="auto" w:sz="4" w:space="0"/>
            </w:tcBorders>
            <w:noWrap/>
            <w:vAlign w:val="center"/>
          </w:tcPr>
          <w:p>
            <w:pPr>
              <w:pStyle w:val="36"/>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0</w:t>
            </w:r>
          </w:p>
        </w:tc>
        <w:tc>
          <w:tcPr>
            <w:tcW w:w="570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w:t>
            </w:r>
            <w:r>
              <w:rPr>
                <w:rFonts w:hint="eastAsia" w:ascii="宋体" w:hAnsi="宋体" w:eastAsia="宋体" w:cs="宋体"/>
                <w:color w:val="auto"/>
                <w:sz w:val="21"/>
                <w:szCs w:val="21"/>
                <w:highlight w:val="none"/>
                <w:lang w:val="en-US" w:eastAsia="zh-CN"/>
              </w:rPr>
              <w:t>投标食堂经营管理费（含人员工资）</w:t>
            </w:r>
            <w:r>
              <w:rPr>
                <w:rFonts w:hint="eastAsia" w:ascii="宋体" w:hAnsi="宋体" w:eastAsia="宋体" w:cs="宋体"/>
                <w:color w:val="auto"/>
                <w:sz w:val="21"/>
                <w:szCs w:val="21"/>
                <w:highlight w:val="none"/>
              </w:rPr>
              <w:t>最低的投标报价为评标基准价，其价格分为满分。其他投标人的价格分统一按照下列公式计算：</w:t>
            </w:r>
          </w:p>
          <w:p>
            <w:pPr>
              <w:pStyle w:val="36"/>
              <w:spacing w:line="240" w:lineRule="auto"/>
              <w:ind w:firstLine="433"/>
              <w:rPr>
                <w:rFonts w:asci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color w:val="auto"/>
          <w:highlight w:val="none"/>
        </w:rPr>
      </w:pPr>
    </w:p>
    <w:p>
      <w:pPr>
        <w:rPr>
          <w:color w:val="auto"/>
          <w:highlight w:val="none"/>
        </w:rPr>
      </w:pPr>
      <w:r>
        <w:rPr>
          <w:rFonts w:hint="eastAsia"/>
          <w:color w:val="auto"/>
          <w:highlight w:val="none"/>
        </w:rPr>
        <w:br w:type="page"/>
      </w:r>
    </w:p>
    <w:p>
      <w:pPr>
        <w:pStyle w:val="2"/>
        <w:spacing w:before="0" w:after="0" w:line="240" w:lineRule="auto"/>
        <w:rPr>
          <w:color w:val="auto"/>
          <w:highlight w:val="none"/>
        </w:rPr>
      </w:pPr>
      <w:bookmarkStart w:id="17" w:name="_Toc2479"/>
      <w:bookmarkStart w:id="18" w:name="_Toc29685"/>
      <w:bookmarkStart w:id="19" w:name="_Toc30638"/>
      <w:bookmarkStart w:id="20" w:name="_Toc14146"/>
      <w:r>
        <w:rPr>
          <w:rFonts w:hint="eastAsia"/>
          <w:color w:val="auto"/>
          <w:sz w:val="28"/>
          <w:szCs w:val="28"/>
          <w:highlight w:val="none"/>
        </w:rPr>
        <w:t>第四部分 投标人须知</w:t>
      </w:r>
      <w:bookmarkEnd w:id="17"/>
      <w:bookmarkEnd w:id="18"/>
      <w:bookmarkEnd w:id="19"/>
      <w:bookmarkStart w:id="21" w:name="_Toc19746"/>
      <w:bookmarkStart w:id="22" w:name="_Toc11105"/>
      <w:bookmarkStart w:id="23" w:name="_Toc3095"/>
    </w:p>
    <w:p>
      <w:pPr>
        <w:pStyle w:val="4"/>
        <w:spacing w:line="480" w:lineRule="auto"/>
        <w:jc w:val="center"/>
        <w:rPr>
          <w:rFonts w:ascii="宋体" w:hAnsi="宋体"/>
          <w:color w:val="auto"/>
          <w:highlight w:val="none"/>
        </w:rPr>
      </w:pPr>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1530"/>
      <w:bookmarkStart w:id="31" w:name="_Toc298847174"/>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2996"/>
      <w:bookmarkStart w:id="35" w:name="_Toc9710"/>
      <w:bookmarkStart w:id="36" w:name="_Toc3780"/>
      <w:r>
        <w:rPr>
          <w:rFonts w:hint="eastAsia" w:ascii="宋体" w:hAnsi="宋体"/>
          <w:color w:val="auto"/>
          <w:sz w:val="21"/>
          <w:szCs w:val="21"/>
          <w:highlight w:val="none"/>
        </w:rPr>
        <w:t>3.货物和服务</w:t>
      </w:r>
      <w:bookmarkEnd w:id="34"/>
      <w:bookmarkEnd w:id="35"/>
      <w:bookmarkEnd w:id="36"/>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18999"/>
      <w:bookmarkStart w:id="66" w:name="_Toc382049103"/>
      <w:bookmarkStart w:id="67" w:name="_Toc307934854"/>
      <w:bookmarkStart w:id="68" w:name="_Toc12145"/>
      <w:bookmarkStart w:id="69" w:name="_Toc303084256"/>
      <w:bookmarkStart w:id="70" w:name="_Toc28866"/>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3"/>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p>
    <w:p>
      <w:pPr>
        <w:pStyle w:val="33"/>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9590"/>
      <w:bookmarkStart w:id="95" w:name="_Toc303084264"/>
      <w:bookmarkStart w:id="96" w:name="_Toc23678"/>
      <w:bookmarkStart w:id="97" w:name="_Toc382049111"/>
      <w:bookmarkStart w:id="98" w:name="_Toc24997"/>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8526"/>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382049112"/>
      <w:bookmarkStart w:id="107" w:name="_Toc9777"/>
      <w:bookmarkStart w:id="108" w:name="_Toc303084265"/>
      <w:bookmarkStart w:id="109" w:name="_Toc5900"/>
      <w:bookmarkStart w:id="110" w:name="_Toc7689"/>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7"/>
        <w:rPr>
          <w:color w:val="auto"/>
          <w:highlight w:val="none"/>
        </w:rPr>
      </w:pPr>
    </w:p>
    <w:p>
      <w:pPr>
        <w:pStyle w:val="4"/>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1742"/>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2591"/>
      <w:bookmarkStart w:id="138" w:name="_Toc12115"/>
      <w:bookmarkStart w:id="139" w:name="_Toc31141"/>
      <w:bookmarkStart w:id="140" w:name="_Toc20328"/>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27817"/>
      <w:bookmarkStart w:id="146" w:name="_Toc6696"/>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12440"/>
      <w:bookmarkStart w:id="150" w:name="_Toc23136"/>
      <w:bookmarkStart w:id="151" w:name="_Toc508284013"/>
      <w:bookmarkStart w:id="152" w:name="_Toc29283"/>
      <w:r>
        <w:rPr>
          <w:rFonts w:hint="eastAsia" w:ascii="宋体" w:hAnsi="宋体"/>
          <w:color w:val="auto"/>
          <w:sz w:val="21"/>
          <w:szCs w:val="21"/>
          <w:highlight w:val="none"/>
        </w:rPr>
        <w:t>30.发布采购结果</w:t>
      </w:r>
      <w:bookmarkEnd w:id="149"/>
      <w:bookmarkEnd w:id="150"/>
      <w:bookmarkEnd w:id="151"/>
      <w:bookmarkEnd w:id="15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7405"/>
      <w:bookmarkStart w:id="157" w:name="_Toc29009"/>
      <w:bookmarkStart w:id="158" w:name="_Toc382049124"/>
      <w:bookmarkStart w:id="159" w:name="_Toc25756"/>
      <w:bookmarkStart w:id="160" w:name="_Toc274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5"/>
        <w:widowControl w:val="0"/>
        <w:overflowPunct w:val="0"/>
        <w:rPr>
          <w:rFonts w:ascii="宋体" w:hAnsi="宋体"/>
          <w:color w:val="auto"/>
          <w:sz w:val="21"/>
          <w:szCs w:val="21"/>
          <w:highlight w:val="none"/>
        </w:rPr>
      </w:pPr>
      <w:bookmarkStart w:id="168" w:name="_Toc8234"/>
      <w:bookmarkStart w:id="169" w:name="_Toc2767"/>
      <w:bookmarkStart w:id="170" w:name="_Toc11264"/>
      <w:r>
        <w:rPr>
          <w:rFonts w:hint="eastAsia" w:ascii="宋体" w:hAnsi="宋体"/>
          <w:color w:val="auto"/>
          <w:sz w:val="21"/>
          <w:szCs w:val="21"/>
          <w:highlight w:val="none"/>
        </w:rPr>
        <w:t>34.质疑</w:t>
      </w:r>
      <w:bookmarkEnd w:id="168"/>
      <w:bookmarkEnd w:id="169"/>
      <w:bookmarkEnd w:id="170"/>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6548"/>
      <w:bookmarkStart w:id="175" w:name="_Toc10082"/>
      <w:bookmarkStart w:id="176" w:name="_Toc21187"/>
      <w:r>
        <w:rPr>
          <w:rFonts w:hint="eastAsia" w:ascii="宋体" w:hAnsi="宋体"/>
          <w:color w:val="auto"/>
          <w:sz w:val="21"/>
          <w:szCs w:val="21"/>
          <w:highlight w:val="none"/>
        </w:rPr>
        <w:t>35.招标文件的解释权</w:t>
      </w:r>
      <w:bookmarkEnd w:id="174"/>
      <w:bookmarkEnd w:id="175"/>
      <w:bookmarkEnd w:id="176"/>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3"/>
        <w:tblW w:w="839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71"/>
        <w:gridCol w:w="67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1" w:type="dxa"/>
            <w:vAlign w:val="center"/>
          </w:tcPr>
          <w:p>
            <w:pPr>
              <w:jc w:val="center"/>
              <w:rPr>
                <w:rFonts w:ascii="宋体" w:hAnsi="宋体" w:cs="宋体"/>
                <w:b/>
                <w:bCs/>
                <w:color w:val="auto"/>
                <w:szCs w:val="21"/>
                <w:highlight w:val="none"/>
                <w:lang w:bidi="zh-CN"/>
              </w:rPr>
            </w:pPr>
            <w:r>
              <w:rPr>
                <w:rFonts w:hint="eastAsia" w:ascii="宋体" w:hAnsi="宋体" w:cs="宋体"/>
                <w:b/>
                <w:bCs/>
                <w:color w:val="auto"/>
                <w:szCs w:val="21"/>
                <w:highlight w:val="none"/>
              </w:rPr>
              <w:t>条款名称</w:t>
            </w:r>
          </w:p>
        </w:tc>
        <w:tc>
          <w:tcPr>
            <w:tcW w:w="6724" w:type="dxa"/>
            <w:vAlign w:val="center"/>
          </w:tcPr>
          <w:p>
            <w:pPr>
              <w:jc w:val="center"/>
              <w:rPr>
                <w:rFonts w:ascii="宋体" w:hAnsi="宋体" w:cs="宋体"/>
                <w:b/>
                <w:bCs/>
                <w:color w:val="auto"/>
                <w:szCs w:val="21"/>
                <w:highlight w:val="none"/>
                <w:lang w:bidi="zh-CN"/>
              </w:rPr>
            </w:pPr>
            <w:r>
              <w:rPr>
                <w:rFonts w:hint="eastAsia" w:ascii="宋体" w:hAnsi="宋体" w:cs="宋体"/>
                <w:b/>
                <w:bCs/>
                <w:color w:val="auto"/>
                <w:szCs w:val="21"/>
                <w:highlight w:val="none"/>
              </w:rPr>
              <w:t>说  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671" w:type="dxa"/>
            <w:vAlign w:val="center"/>
          </w:tcPr>
          <w:p>
            <w:pPr>
              <w:jc w:val="center"/>
              <w:rPr>
                <w:rFonts w:ascii="宋体" w:hAnsi="宋体" w:cs="宋体"/>
                <w:color w:val="auto"/>
                <w:szCs w:val="21"/>
                <w:highlight w:val="none"/>
                <w:lang w:bidi="zh-CN"/>
              </w:rPr>
            </w:pPr>
            <w:r>
              <w:rPr>
                <w:rFonts w:hint="eastAsia" w:ascii="宋体" w:hAnsi="宋体" w:cs="宋体"/>
                <w:color w:val="auto"/>
                <w:szCs w:val="21"/>
                <w:highlight w:val="none"/>
              </w:rPr>
              <w:t>合格投标人</w:t>
            </w:r>
          </w:p>
        </w:tc>
        <w:tc>
          <w:tcPr>
            <w:tcW w:w="6724" w:type="dxa"/>
            <w:vAlign w:val="center"/>
          </w:tcPr>
          <w:p>
            <w:pPr>
              <w:pStyle w:val="33"/>
              <w:ind w:left="210" w:leftChars="100" w:firstLine="210" w:firstLineChars="100"/>
              <w:rPr>
                <w:rFonts w:ascii="宋体" w:hAnsi="宋体" w:cs="宋体"/>
                <w:color w:val="auto"/>
                <w:szCs w:val="21"/>
                <w:highlight w:val="none"/>
                <w:lang w:bidi="zh-CN"/>
              </w:rPr>
            </w:pPr>
            <w:r>
              <w:rPr>
                <w:rFonts w:hint="eastAsia" w:ascii="宋体" w:hAnsi="宋体" w:cs="宋体"/>
                <w:color w:val="auto"/>
                <w:szCs w:val="21"/>
                <w:highlight w:val="none"/>
              </w:rPr>
              <w:t>详见“第一部分 投标邀请”中“二、投标人资格要求”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bidi="zh-CN"/>
              </w:rPr>
            </w:pPr>
            <w:r>
              <w:rPr>
                <w:rFonts w:hint="eastAsia" w:ascii="宋体" w:hAnsi="宋体" w:cs="宋体"/>
                <w:color w:val="auto"/>
                <w:szCs w:val="21"/>
                <w:highlight w:val="none"/>
                <w:lang w:bidi="zh-CN"/>
              </w:rPr>
              <w:t>服务期限</w:t>
            </w:r>
          </w:p>
        </w:tc>
        <w:tc>
          <w:tcPr>
            <w:tcW w:w="6724" w:type="dxa"/>
            <w:vAlign w:val="center"/>
          </w:tcPr>
          <w:p>
            <w:pPr>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bidi="zh-CN"/>
              </w:rPr>
              <w:t>自</w:t>
            </w:r>
            <w:r>
              <w:rPr>
                <w:rFonts w:hint="eastAsia" w:ascii="宋体" w:hAnsi="宋体" w:cs="宋体"/>
                <w:color w:val="auto"/>
                <w:szCs w:val="21"/>
                <w:highlight w:val="none"/>
                <w:lang w:val="zh-CN" w:bidi="zh-CN"/>
              </w:rPr>
              <w:t>合同签订</w:t>
            </w:r>
            <w:r>
              <w:rPr>
                <w:rFonts w:hint="eastAsia" w:ascii="宋体" w:hAnsi="宋体" w:cs="宋体"/>
                <w:color w:val="auto"/>
                <w:szCs w:val="21"/>
                <w:highlight w:val="none"/>
                <w:lang w:bidi="zh-CN"/>
              </w:rPr>
              <w:t>之日起</w:t>
            </w:r>
            <w:r>
              <w:rPr>
                <w:rFonts w:hint="eastAsia" w:ascii="宋体" w:hAnsi="宋体" w:cs="宋体"/>
                <w:color w:val="auto"/>
                <w:szCs w:val="21"/>
                <w:highlight w:val="none"/>
                <w:lang w:val="en-US" w:bidi="zh-CN"/>
              </w:rPr>
              <w:t>一</w:t>
            </w:r>
            <w:r>
              <w:rPr>
                <w:rFonts w:hint="eastAsia" w:ascii="宋体" w:hAnsi="宋体" w:cs="宋体"/>
                <w:color w:val="auto"/>
                <w:szCs w:val="21"/>
                <w:highlight w:val="none"/>
                <w:lang w:val="zh-CN" w:bidi="zh-CN"/>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bidi="zh-CN"/>
              </w:rPr>
              <w:t>服务</w:t>
            </w:r>
            <w:r>
              <w:rPr>
                <w:rFonts w:hint="eastAsia" w:ascii="宋体" w:hAnsi="宋体" w:cs="宋体"/>
                <w:color w:val="auto"/>
                <w:szCs w:val="21"/>
                <w:highlight w:val="none"/>
                <w:lang w:val="zh-CN" w:bidi="zh-CN"/>
              </w:rPr>
              <w:t>地点</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横沥镇社区卫生服务中心食堂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付款方式</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bidi="zh-CN"/>
              </w:rPr>
              <w:t>每月服务费【每月服务费</w:t>
            </w:r>
            <w:r>
              <w:rPr>
                <w:rFonts w:hint="eastAsia" w:ascii="宋体" w:hAnsi="宋体" w:cs="宋体"/>
                <w:color w:val="auto"/>
                <w:szCs w:val="21"/>
                <w:highlight w:val="none"/>
                <w:lang w:val="en-US" w:bidi="zh-CN"/>
              </w:rPr>
              <w:t>=每月用餐费用总和（</w:t>
            </w:r>
            <w:r>
              <w:rPr>
                <w:rFonts w:hint="eastAsia" w:ascii="宋体" w:hAnsi="宋体" w:cs="宋体"/>
                <w:color w:val="auto"/>
                <w:szCs w:val="21"/>
                <w:highlight w:val="none"/>
                <w:lang w:val="zh-CN" w:bidi="zh-CN"/>
              </w:rPr>
              <w:t>以实际就餐人数</w:t>
            </w:r>
            <w:r>
              <w:rPr>
                <w:rFonts w:hint="eastAsia" w:ascii="宋体" w:hAnsi="宋体" w:cs="宋体"/>
                <w:color w:val="auto"/>
                <w:szCs w:val="21"/>
                <w:highlight w:val="none"/>
                <w:lang w:val="en-US" w:bidi="zh-CN"/>
              </w:rPr>
              <w:t>为准）+</w:t>
            </w:r>
            <w:r>
              <w:rPr>
                <w:rFonts w:hint="eastAsia" w:ascii="宋体" w:hAnsi="宋体" w:cs="宋体"/>
                <w:b w:val="0"/>
                <w:bCs w:val="0"/>
                <w:color w:val="auto"/>
                <w:szCs w:val="21"/>
                <w:highlight w:val="none"/>
                <w:lang w:val="en-US" w:eastAsia="zh-CN"/>
              </w:rPr>
              <w:t>食堂经营管理费（含人员工资）】</w:t>
            </w:r>
            <w:r>
              <w:rPr>
                <w:rFonts w:hint="eastAsia" w:ascii="宋体" w:hAnsi="宋体" w:cs="宋体"/>
                <w:color w:val="auto"/>
                <w:szCs w:val="21"/>
                <w:highlight w:val="none"/>
                <w:lang w:val="zh-CN" w:bidi="zh-CN"/>
              </w:rPr>
              <w:t>于次月结算，每月中标人提供上月费用的等额正式发票、就餐人数统计表、管理考核表给采购人，采购人收到相关资料后15个工作日内办理支付手续（所涉及到税费由中标人负责）。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验收要求</w:t>
            </w:r>
          </w:p>
        </w:tc>
        <w:tc>
          <w:tcPr>
            <w:tcW w:w="6724" w:type="dxa"/>
            <w:vAlign w:val="center"/>
          </w:tcPr>
          <w:p>
            <w:pPr>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按国家及相关行业标准进行验收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671" w:type="dxa"/>
            <w:vMerge w:val="restart"/>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其他</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★1、报价要求：</w:t>
            </w:r>
          </w:p>
          <w:p>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（1）由于</w:t>
            </w:r>
            <w:r>
              <w:rPr>
                <w:rFonts w:hint="eastAsia" w:ascii="宋体" w:hAnsi="宋体" w:cs="宋体"/>
                <w:color w:val="auto"/>
                <w:szCs w:val="21"/>
                <w:highlight w:val="none"/>
                <w:lang w:val="en-US" w:eastAsia="zh-CN"/>
              </w:rPr>
              <w:t>用餐</w:t>
            </w:r>
            <w:r>
              <w:rPr>
                <w:rFonts w:hint="eastAsia" w:ascii="宋体" w:hAnsi="宋体" w:cs="宋体"/>
                <w:color w:val="auto"/>
                <w:szCs w:val="21"/>
                <w:highlight w:val="none"/>
              </w:rPr>
              <w:t>人数不确定，</w:t>
            </w:r>
            <w:r>
              <w:rPr>
                <w:rFonts w:hint="eastAsia" w:ascii="宋体" w:hAnsi="宋体" w:cs="宋体"/>
                <w:color w:val="auto"/>
                <w:szCs w:val="21"/>
                <w:highlight w:val="none"/>
                <w:lang w:val="en-US" w:eastAsia="zh-CN"/>
              </w:rPr>
              <w:t>本项目不进行单独餐费报价，</w:t>
            </w:r>
            <w:r>
              <w:rPr>
                <w:rFonts w:hint="eastAsia" w:ascii="宋体" w:hAnsi="宋体" w:cs="宋体"/>
                <w:color w:val="auto"/>
                <w:szCs w:val="21"/>
                <w:highlight w:val="none"/>
              </w:rPr>
              <w:t>统一按</w:t>
            </w:r>
            <w:r>
              <w:rPr>
                <w:rFonts w:hint="eastAsia" w:ascii="宋体" w:hAnsi="宋体" w:cs="宋体"/>
                <w:color w:val="auto"/>
                <w:szCs w:val="21"/>
                <w:highlight w:val="none"/>
                <w:lang w:val="en-US" w:eastAsia="zh-CN"/>
              </w:rPr>
              <w:t>本项目招标文件《餐费标准》进行</w:t>
            </w:r>
            <w:r>
              <w:rPr>
                <w:rFonts w:hint="eastAsia" w:ascii="宋体" w:hAnsi="宋体" w:cs="宋体"/>
                <w:color w:val="auto"/>
                <w:szCs w:val="21"/>
                <w:highlight w:val="none"/>
              </w:rPr>
              <w:t>固定</w:t>
            </w:r>
            <w:r>
              <w:rPr>
                <w:rFonts w:hint="eastAsia" w:ascii="宋体" w:hAnsi="宋体" w:cs="宋体"/>
                <w:color w:val="auto"/>
                <w:szCs w:val="21"/>
                <w:highlight w:val="none"/>
                <w:lang w:val="en-US" w:eastAsia="zh-CN"/>
              </w:rPr>
              <w:t>结算</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即</w:t>
            </w:r>
            <w:r>
              <w:rPr>
                <w:rFonts w:hint="eastAsia" w:ascii="宋体" w:hAnsi="宋体" w:cs="宋体"/>
                <w:color w:val="auto"/>
                <w:szCs w:val="21"/>
                <w:highlight w:val="none"/>
              </w:rPr>
              <w:t>实际支付时按各分项价格据实结算，实际支付费用=早餐餐费（8元/人/餐）×早餐实际用餐人数+午餐餐费（18元/人/餐）×午餐实际用餐人数+晚餐餐费（18元/人/餐）×晚餐实际用餐人数。（以上餐费单价标准可以根据服务期内物价上涨的实际情况与中标人以补充协议的方式进行适当调整。）</w:t>
            </w:r>
          </w:p>
          <w:p>
            <w:pPr>
              <w:widowControl w:val="0"/>
              <w:autoSpaceDE w:val="0"/>
              <w:autoSpaceDN w:val="0"/>
              <w:adjustRightInd/>
              <w:snapToGrid/>
              <w:spacing w:line="288"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本项目须对食堂经营管理费（含人员工资）进行报价，</w:t>
            </w:r>
            <w:r>
              <w:rPr>
                <w:rFonts w:hint="eastAsia" w:ascii="宋体" w:hAnsi="宋体" w:cs="宋体"/>
                <w:b/>
                <w:bCs/>
                <w:color w:val="auto"/>
                <w:szCs w:val="21"/>
                <w:highlight w:val="none"/>
                <w:lang w:val="en-US" w:eastAsia="zh-CN"/>
              </w:rPr>
              <w:t>食堂经营管理费（含人员工资）最高限价为9,000.00元/月。投标报价不得超出食堂经营管理费（含人员工资）最高限价，否则视为无效投标报价。</w:t>
            </w:r>
          </w:p>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本项项目</w:t>
            </w:r>
            <w:r>
              <w:rPr>
                <w:rFonts w:hint="eastAsia" w:ascii="宋体" w:hAnsi="宋体" w:cs="宋体"/>
                <w:color w:val="auto"/>
                <w:szCs w:val="21"/>
                <w:highlight w:val="none"/>
              </w:rPr>
              <w:t>服务人员工资、福利、服装、清洁消毒剂、日常膳食材料费、劳保用品、防护用品、卫生用品及完成该项目所需工具、一切税费及合同实施过程中的不可预见费用等全部费用</w:t>
            </w:r>
            <w:r>
              <w:rPr>
                <w:rFonts w:hint="eastAsia" w:ascii="宋体" w:hAnsi="宋体" w:cs="宋体"/>
                <w:color w:val="auto"/>
                <w:szCs w:val="21"/>
                <w:highlight w:val="none"/>
                <w:lang w:val="en-US" w:eastAsia="zh-CN"/>
              </w:rPr>
              <w:t>均由中标人承担。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671" w:type="dxa"/>
            <w:vMerge w:val="continue"/>
            <w:vAlign w:val="center"/>
          </w:tcPr>
          <w:p>
            <w:pPr>
              <w:widowControl w:val="0"/>
              <w:autoSpaceDE w:val="0"/>
              <w:autoSpaceDN w:val="0"/>
              <w:adjustRightInd/>
              <w:snapToGrid/>
              <w:spacing w:line="288" w:lineRule="auto"/>
              <w:rPr>
                <w:rFonts w:ascii="宋体" w:hAnsi="宋体" w:cs="宋体"/>
                <w:color w:val="auto"/>
                <w:szCs w:val="21"/>
                <w:highlight w:val="none"/>
                <w:lang w:val="zh-CN" w:bidi="zh-CN"/>
              </w:rPr>
            </w:pP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lang w:bidi="zh-CN"/>
              </w:rPr>
              <w:t>2、其他要求：</w:t>
            </w:r>
          </w:p>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pStyle w:val="4"/>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ind w:firstLine="480" w:firstLineChars="200"/>
        <w:rPr>
          <w:color w:val="auto"/>
          <w:sz w:val="24"/>
          <w:highlight w:val="none"/>
        </w:rPr>
      </w:pPr>
      <w:bookmarkStart w:id="182" w:name="_Toc24679"/>
      <w:bookmarkStart w:id="183" w:name="_Toc14462"/>
      <w:bookmarkStart w:id="184" w:name="_Toc31278"/>
      <w:bookmarkStart w:id="185" w:name="_Toc13112"/>
      <w:r>
        <w:rPr>
          <w:rFonts w:hint="eastAsia"/>
          <w:color w:val="auto"/>
          <w:sz w:val="24"/>
          <w:highlight w:val="none"/>
        </w:rPr>
        <w:t xml:space="preserve"> </w:t>
      </w:r>
    </w:p>
    <w:p>
      <w:pPr>
        <w:pStyle w:val="33"/>
        <w:ind w:firstLine="0" w:firstLineChars="0"/>
        <w:outlineLvl w:val="3"/>
        <w:rPr>
          <w:rFonts w:ascii="宋体" w:hAnsi="宋体"/>
          <w:b/>
          <w:color w:val="auto"/>
          <w:sz w:val="24"/>
          <w:highlight w:val="none"/>
        </w:rPr>
      </w:pPr>
      <w:r>
        <w:rPr>
          <w:rFonts w:hint="eastAsia" w:ascii="宋体" w:hAnsi="宋体"/>
          <w:b/>
          <w:color w:val="auto"/>
          <w:sz w:val="24"/>
          <w:highlight w:val="none"/>
        </w:rPr>
        <w:t>一、项目概况</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为了做好食堂规范管理工作，确保食品安全、卫生，拟招标确定一家承包单位承担</w:t>
      </w:r>
      <w:r>
        <w:rPr>
          <w:rFonts w:hint="eastAsia" w:ascii="宋体" w:cs="宋体"/>
          <w:color w:val="auto"/>
          <w:sz w:val="22"/>
          <w:highlight w:val="none"/>
        </w:rPr>
        <w:t>社区卫生服务中心饭堂承包服务的全部服务工作，包括厨师、厨工等配备，相关膳食材料的购买及菜品制作等。</w:t>
      </w:r>
    </w:p>
    <w:p>
      <w:pPr>
        <w:pStyle w:val="33"/>
        <w:ind w:firstLine="0" w:firstLineChars="0"/>
        <w:rPr>
          <w:rFonts w:ascii="宋体" w:hAnsi="宋体"/>
          <w:b/>
          <w:color w:val="auto"/>
          <w:sz w:val="24"/>
          <w:highlight w:val="none"/>
        </w:rPr>
      </w:pPr>
    </w:p>
    <w:p>
      <w:pPr>
        <w:pStyle w:val="33"/>
        <w:ind w:firstLine="0" w:firstLineChars="0"/>
        <w:outlineLvl w:val="3"/>
        <w:rPr>
          <w:rFonts w:ascii="宋体" w:hAnsi="宋体"/>
          <w:b/>
          <w:color w:val="auto"/>
          <w:sz w:val="24"/>
          <w:highlight w:val="none"/>
        </w:rPr>
      </w:pPr>
      <w:r>
        <w:rPr>
          <w:rFonts w:hint="eastAsia" w:ascii="宋体" w:hAnsi="宋体"/>
          <w:b/>
          <w:color w:val="auto"/>
          <w:sz w:val="24"/>
          <w:highlight w:val="none"/>
        </w:rPr>
        <w:t>二、具体承包范围、方式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cs="宋体"/>
          <w:color w:val="auto"/>
          <w:sz w:val="22"/>
          <w:highlight w:val="none"/>
        </w:rPr>
      </w:pPr>
      <w:r>
        <w:rPr>
          <w:rFonts w:hint="eastAsia" w:ascii="宋体" w:hAnsi="宋体" w:cs="宋体"/>
          <w:color w:val="auto"/>
          <w:szCs w:val="21"/>
          <w:highlight w:val="none"/>
        </w:rPr>
        <w:t>1、承包方式：包工包料，中标人负责采购一切食物原料、配料，负责承包食堂内务，按时完成采购人早、中、晚三餐的开膳工作。如需要另行安排接待用餐，每次接待餐费独立结算，不能另外加收服务费。</w:t>
      </w:r>
      <w:r>
        <w:rPr>
          <w:rFonts w:hint="eastAsia" w:ascii="宋体" w:cs="宋体"/>
          <w:color w:val="auto"/>
          <w:sz w:val="22"/>
          <w:highlight w:val="none"/>
        </w:rPr>
        <w:t>社区卫生服务中心应提供饭堂的一切设备，包括厨房设备，厨房厨具，就餐餐具等。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2、中标人须协助采购人办理食堂经营执照。</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中标人必须依法经营，开展经营服务活动应符合《中华人民共和国食品安全法》、《中华人民共和国安全生产法》、国家食品药品监督管理局《餐饮服务食品安全操作规范》等法律、法规以及采购人的相关管理规定和要求。保障采购人就餐人员的合法权益，确保饮食卫生，提供优质的饮食服务。</w:t>
      </w:r>
    </w:p>
    <w:p>
      <w:pPr>
        <w:ind w:firstLine="420" w:firstLineChars="200"/>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bCs/>
          <w:color w:val="auto"/>
          <w:szCs w:val="21"/>
          <w:highlight w:val="none"/>
        </w:rPr>
        <w:t>中标人应配足管理与服务人员。</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、中标人需专人负责食堂的日常工作用餐，提前一周与采购人确认用餐菜品。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、中标人提供一套IC卡收费系统，用作采购人员工在食堂就餐付费及双方统计结账使用。中标人需确保收费系统正常收费运作，出现故障由中标人负责维修。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、中标人不可以把采购人提供的食堂区域对外经营。</w:t>
      </w:r>
    </w:p>
    <w:p>
      <w:pPr>
        <w:rPr>
          <w:color w:val="auto"/>
          <w:highlight w:val="none"/>
        </w:rPr>
      </w:pPr>
    </w:p>
    <w:p>
      <w:pPr>
        <w:pStyle w:val="33"/>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三、饭堂承包服务总体要求</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（一）食材要求</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本采购主要是为</w:t>
      </w:r>
      <w:r>
        <w:rPr>
          <w:rFonts w:hint="eastAsia" w:ascii="宋体" w:hAnsi="宋体" w:cs="宋体"/>
          <w:color w:val="auto"/>
          <w:szCs w:val="21"/>
          <w:highlight w:val="none"/>
        </w:rPr>
        <w:t>东莞市横沥镇社区卫生服务中心饭堂承包服务</w:t>
      </w:r>
      <w:r>
        <w:rPr>
          <w:rFonts w:hint="eastAsia" w:ascii="宋体" w:hAnsi="宋体" w:cs="Times New Roman"/>
          <w:color w:val="auto"/>
          <w:szCs w:val="21"/>
          <w:highlight w:val="none"/>
        </w:rPr>
        <w:t>，食材内容如下：</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A类：粮油干货类──大米、食用油、调味品、干货、杂货、副食品、米粉面粉类等食品材料；</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B类：肉类──新鲜猪肉、牛肉、羊肉、水产品、三鸟、零星冻品副食品类等食品材料；</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C类：蔬果类──蔬菜、菇菌等食品材料。</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（二）就餐人数</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横沥镇社区卫生服务中心食堂工作日用餐人数</w:t>
      </w:r>
      <w:r>
        <w:rPr>
          <w:rFonts w:hint="eastAsia" w:ascii="宋体" w:hAnsi="宋体" w:cs="Times New Roman"/>
          <w:color w:val="auto"/>
          <w:szCs w:val="21"/>
          <w:highlight w:val="none"/>
          <w:lang w:val="en-US" w:eastAsia="zh-CN"/>
        </w:rPr>
        <w:t>预计50</w:t>
      </w:r>
      <w:r>
        <w:rPr>
          <w:rFonts w:hint="eastAsia" w:ascii="宋体" w:hAnsi="宋体" w:cs="Times New Roman"/>
          <w:color w:val="auto"/>
          <w:szCs w:val="21"/>
          <w:highlight w:val="none"/>
        </w:rPr>
        <w:t>人/日。</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（三）供货地点</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横沥镇社区卫生服务中心食堂。</w:t>
      </w:r>
    </w:p>
    <w:p>
      <w:pPr>
        <w:spacing w:line="420" w:lineRule="exact"/>
        <w:ind w:firstLine="442" w:firstLineChars="200"/>
        <w:rPr>
          <w:rFonts w:ascii="宋体" w:hAnsi="宋体" w:cs="宋体"/>
          <w:b/>
          <w:color w:val="auto"/>
          <w:sz w:val="22"/>
          <w:highlight w:val="none"/>
        </w:rPr>
      </w:pPr>
      <w:r>
        <w:rPr>
          <w:rFonts w:hint="eastAsia" w:ascii="宋体" w:hAnsi="宋体" w:cs="宋体"/>
          <w:b/>
          <w:color w:val="auto"/>
          <w:sz w:val="22"/>
          <w:highlight w:val="none"/>
        </w:rPr>
        <w:t>（四）管理服务要求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所有的厨房员工必须持有有效健康证，并将原件交采购人查验后才能上岗，复印件交采购人存档，员工保持良好个人卫生，生产经营食品时，应当将手洗净，穿戴清洁的工作衣、帽及口罩，配餐时戴手套操作：不得留长指甲，佩戴饰物，手部有外伤的人员不得从事食品生产经营活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标人必须严把食品卫生安全关，认真遵守《中华人民共和国食品安全法》的各项要求，实行“规范操作，安全监督”机制。承包期间不得采购过期、腐烂、变质等食材，采购人一旦发现，责令中标人限期整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3、采购人提供食堂场地（含厨房）、部分厨具、水电。</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人工、燃气、食材采购及加工、所有卫生用品及耗材(包括日常膳食配料、消毒剂、垃圾袋、纸巾、牙签、口罩、鞋套、手套以及劳保用品等)、场地清洁、厨房内厨具等设备设施维护等全部运营业务由中标人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、中标人工作人员要遵守采购人规章制度，若有违反则按采购人的有关规定处理。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食堂（含厨房）清洁卫生由中标人负责。中标人要合理使用、妥善保管厨房设备设施，餐具必须彻底清洁消毒。搞好室内外环境清洁和消毒工作，清除卫生死角，保持墙壁、墙裙。天花板、地面整洁，疏通下水道，垃圾桶须加盖并保持桶身的清洁，加强灭蝇、灭蟑螂、灭鼠等措施。饭堂工作人员一律戴工作帽、着工作服、戴卫生口罩，接触食物时必须戴卫生手套。</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、中标人必须按时提供膳食服务。另外中标人必须满足采购人因工作特性所需的应急需要。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、食堂的剩余饭菜、废弃油脂由中标人按照相关规定进行处理，不按规定处理引起的一切责任由中标人负责。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、中标人须做好食堂的消防安全工作，不得出现任何人为的消防安全事故隐患，并定期接受采购人的监督检查。食堂内的消防安全及工具、电源（炉灶、各种炊事设备）操作事故均由中标人承担。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、中标人负责维护好食堂秩序，食堂餐具和用餐台保持清洁。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、中标人对就餐人员要有良好的服务态度。讲究职业道德及各项文明礼仪（包括着装整齐、干净，统一配置工服），并自觉接受就餐人员的监督。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因中标人的管理不善造成的食物中毒或其他食源性疾患事件,由中标人负全部责任。如在承包期内发生食物中毒等重大责任事故，损害就餐人员身体健康，中标人必须承担由此造成的一切责任和经济损失，采购人有权无条件终止合同，保留追诉相关法律责任的权利。</w:t>
      </w:r>
    </w:p>
    <w:p>
      <w:pPr>
        <w:pStyle w:val="7"/>
        <w:rPr>
          <w:color w:val="auto"/>
          <w:highlight w:val="none"/>
        </w:rPr>
      </w:pPr>
    </w:p>
    <w:p>
      <w:pPr>
        <w:pStyle w:val="33"/>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四、膳食加工及服务人员要求</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（一）至少配备以下人员：</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1、厨师1名。</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2、厨工1名，包括清洁、上菜、洗碗等。</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3、上述人员工资收入不得低于国家规定的最低收入，由中标人支付。</w:t>
      </w:r>
    </w:p>
    <w:p>
      <w:pPr>
        <w:pStyle w:val="61"/>
        <w:spacing w:line="360" w:lineRule="auto"/>
        <w:ind w:firstLine="420" w:firstLineChars="200"/>
        <w:rPr>
          <w:rFonts w:ascii="宋体" w:hAnsi="宋体" w:cs="宋体"/>
          <w:color w:val="auto"/>
          <w:highlight w:val="none"/>
        </w:rPr>
      </w:pPr>
      <w:r>
        <w:rPr>
          <w:rFonts w:hint="eastAsia" w:ascii="宋体" w:hAnsi="宋体" w:cs="宋体"/>
          <w:color w:val="auto"/>
          <w:highlight w:val="none"/>
        </w:rPr>
        <w:t>4、所有员工须初中毕业以上文化水平。</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（二）膳食加工及服务人员相关要求：</w:t>
      </w:r>
    </w:p>
    <w:p>
      <w:pPr>
        <w:pStyle w:val="61"/>
        <w:spacing w:line="360" w:lineRule="auto"/>
        <w:ind w:firstLine="420" w:firstLineChars="200"/>
        <w:rPr>
          <w:rFonts w:ascii="宋体" w:cs="Tahoma"/>
          <w:color w:val="auto"/>
          <w:highlight w:val="none"/>
        </w:rPr>
      </w:pPr>
      <w:r>
        <w:rPr>
          <w:rFonts w:ascii="宋体" w:hAnsi="宋体" w:cs="宋体"/>
          <w:color w:val="auto"/>
          <w:highlight w:val="none"/>
        </w:rPr>
        <w:t>1</w:t>
      </w:r>
      <w:r>
        <w:rPr>
          <w:rFonts w:hint="eastAsia" w:ascii="宋体" w:hAnsi="宋体" w:cs="宋体"/>
          <w:color w:val="auto"/>
          <w:highlight w:val="none"/>
        </w:rPr>
        <w:t>、所有外包服务人员必须身体健康（上岗前需提供有效的健康证），每年体检不少于</w:t>
      </w:r>
      <w:r>
        <w:rPr>
          <w:rFonts w:ascii="宋体" w:hAnsi="宋体" w:cs="宋体"/>
          <w:color w:val="auto"/>
          <w:highlight w:val="none"/>
        </w:rPr>
        <w:t>1</w:t>
      </w:r>
      <w:r>
        <w:rPr>
          <w:rFonts w:hint="eastAsia" w:ascii="宋体" w:hAnsi="宋体" w:cs="宋体"/>
          <w:color w:val="auto"/>
          <w:highlight w:val="none"/>
        </w:rPr>
        <w:t>次，体检和办理健康证相关费用由中标人承担。</w:t>
      </w:r>
    </w:p>
    <w:p>
      <w:pPr>
        <w:pStyle w:val="61"/>
        <w:spacing w:line="360" w:lineRule="auto"/>
        <w:ind w:firstLine="420" w:firstLineChars="200"/>
        <w:rPr>
          <w:rFonts w:ascii="宋体" w:cs="Tahoma"/>
          <w:color w:val="auto"/>
          <w:highlight w:val="none"/>
        </w:rPr>
      </w:pPr>
      <w:r>
        <w:rPr>
          <w:rFonts w:ascii="宋体" w:hAnsi="宋体" w:cs="宋体"/>
          <w:color w:val="auto"/>
          <w:highlight w:val="none"/>
        </w:rPr>
        <w:t>2</w:t>
      </w:r>
      <w:r>
        <w:rPr>
          <w:rFonts w:hint="eastAsia" w:ascii="宋体" w:hAnsi="宋体" w:cs="宋体"/>
          <w:color w:val="auto"/>
          <w:highlight w:val="none"/>
        </w:rPr>
        <w:t>、符合国家用工规定（年龄、计划生育情况等）。</w:t>
      </w:r>
    </w:p>
    <w:p>
      <w:pPr>
        <w:pStyle w:val="61"/>
        <w:spacing w:line="360" w:lineRule="auto"/>
        <w:ind w:firstLine="420" w:firstLineChars="200"/>
        <w:rPr>
          <w:rFonts w:ascii="宋体" w:cs="Tahoma"/>
          <w:color w:val="auto"/>
          <w:highlight w:val="none"/>
        </w:rPr>
      </w:pPr>
      <w:r>
        <w:rPr>
          <w:rFonts w:ascii="宋体" w:hAnsi="宋体" w:cs="宋体"/>
          <w:color w:val="auto"/>
          <w:highlight w:val="none"/>
        </w:rPr>
        <w:t>3</w:t>
      </w:r>
      <w:r>
        <w:rPr>
          <w:rFonts w:hint="eastAsia" w:ascii="宋体" w:hAnsi="宋体" w:cs="宋体"/>
          <w:color w:val="auto"/>
          <w:highlight w:val="none"/>
        </w:rPr>
        <w:t>、如因用工引起的劳动纠纷问题由中标人负责解决并承担相关责任。</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（三）各岗位人员具体工作职责：</w:t>
      </w:r>
    </w:p>
    <w:p>
      <w:pPr>
        <w:pStyle w:val="61"/>
        <w:spacing w:line="360" w:lineRule="auto"/>
        <w:ind w:firstLine="422" w:firstLineChars="200"/>
        <w:rPr>
          <w:rFonts w:ascii="宋体" w:cs="Tahoma"/>
          <w:b/>
          <w:bCs/>
          <w:color w:val="auto"/>
          <w:highlight w:val="none"/>
        </w:rPr>
      </w:pPr>
      <w:r>
        <w:rPr>
          <w:rFonts w:hint="eastAsia" w:ascii="宋体" w:hAnsi="宋体" w:cs="宋体"/>
          <w:b/>
          <w:bCs/>
          <w:color w:val="auto"/>
          <w:highlight w:val="none"/>
        </w:rPr>
        <w:t>1、厨师：</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）负责早、中、晚菜点烹制，根据采购人的要求，烹饪不同菜式，兼顾五湖四海各种口味。如遇特殊情况，根据采购人要求烹制宵夜及提供假节日用餐。</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）如遇接待或其它就餐活动时，应具备接待</w:t>
      </w:r>
      <w:r>
        <w:rPr>
          <w:rFonts w:ascii="宋体" w:hAnsi="宋体" w:cs="宋体"/>
          <w:color w:val="auto"/>
          <w:highlight w:val="none"/>
        </w:rPr>
        <w:t>30</w:t>
      </w:r>
      <w:r>
        <w:rPr>
          <w:rFonts w:hint="eastAsia" w:ascii="宋体" w:hAnsi="宋体" w:cs="宋体"/>
          <w:color w:val="auto"/>
          <w:highlight w:val="none"/>
        </w:rPr>
        <w:t>桌标准的服务能力。</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）根据季节行情实际，研究制定每周菜谱，控制成本。严格按照菜式规定，烹制各种菜肴，保证菜谱</w:t>
      </w:r>
      <w:r>
        <w:rPr>
          <w:rFonts w:ascii="宋体" w:hAnsi="宋体" w:cs="宋体"/>
          <w:color w:val="auto"/>
          <w:highlight w:val="none"/>
        </w:rPr>
        <w:t>5</w:t>
      </w:r>
      <w:r>
        <w:rPr>
          <w:rFonts w:hint="eastAsia" w:ascii="宋体" w:hAnsi="宋体" w:cs="宋体"/>
          <w:color w:val="auto"/>
          <w:highlight w:val="none"/>
        </w:rPr>
        <w:t>天内不重样，并提前一周公布菜谱。</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）注意营养合理搭配，根据采购人需求烹制。</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）保持地方菜特色和风味，能满足就餐者多样化的口味需求，提高满意度。</w:t>
      </w:r>
    </w:p>
    <w:p>
      <w:pPr>
        <w:pStyle w:val="61"/>
        <w:spacing w:line="360" w:lineRule="auto"/>
        <w:ind w:firstLine="422" w:firstLineChars="200"/>
        <w:rPr>
          <w:rFonts w:ascii="宋体" w:cs="Tahoma"/>
          <w:b/>
          <w:bCs/>
          <w:color w:val="auto"/>
          <w:highlight w:val="none"/>
        </w:rPr>
      </w:pPr>
      <w:r>
        <w:rPr>
          <w:rFonts w:hint="eastAsia" w:ascii="宋体" w:hAnsi="宋体" w:cs="宋体"/>
          <w:b/>
          <w:bCs/>
          <w:color w:val="auto"/>
          <w:highlight w:val="none"/>
        </w:rPr>
        <w:t>2、厨工：</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）清洗加工食品先检查质量，腐败变质、发霉生虫、掺杂掺假、有毒有害食品禁止加工。</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）蔬菜须清洗干净，洗后无泥沙杂草残留。</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）动物性食品、植物性食品应专池分开清洗，必须时消毒处理。</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）动物性食品、植物性食品，水产品盛器用后冲洗干净分开使用。</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）注意食品安全卫生，清洗过的食品不落地存放，食品仓库或加工区域不得存放私人物品。</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）负责餐具的清洗、消毒工作：职工餐具消毒存放；①按照餐具清洗流程，合理使用洗洁精，减少化学化工类物资残留；②餐具要沥干水分后再放进消毒柜消毒。</w:t>
      </w:r>
    </w:p>
    <w:p>
      <w:pPr>
        <w:pStyle w:val="61"/>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7</w:t>
      </w:r>
      <w:r>
        <w:rPr>
          <w:rFonts w:hint="eastAsia" w:ascii="宋体" w:hAnsi="宋体" w:cs="宋体"/>
          <w:color w:val="auto"/>
          <w:highlight w:val="none"/>
        </w:rPr>
        <w:t>）负责饭堂的卫生工作。</w:t>
      </w:r>
    </w:p>
    <w:p>
      <w:pPr>
        <w:pStyle w:val="61"/>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8</w:t>
      </w:r>
      <w:r>
        <w:rPr>
          <w:rFonts w:hint="eastAsia" w:ascii="宋体" w:hAnsi="宋体" w:cs="宋体"/>
          <w:color w:val="auto"/>
          <w:highlight w:val="none"/>
        </w:rPr>
        <w:t>）完成领导交办的其他任务。</w:t>
      </w:r>
    </w:p>
    <w:p>
      <w:pPr>
        <w:pStyle w:val="61"/>
        <w:spacing w:line="360" w:lineRule="auto"/>
        <w:ind w:firstLine="420" w:firstLineChars="200"/>
        <w:rPr>
          <w:rFonts w:ascii="宋体" w:hAnsi="宋体" w:cs="宋体"/>
          <w:color w:val="auto"/>
          <w:highlight w:val="none"/>
        </w:rPr>
      </w:pPr>
    </w:p>
    <w:p>
      <w:pPr>
        <w:pStyle w:val="33"/>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五、餐费标准</w:t>
      </w:r>
    </w:p>
    <w:tbl>
      <w:tblPr>
        <w:tblStyle w:val="23"/>
        <w:tblW w:w="794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676"/>
        <w:gridCol w:w="2474"/>
        <w:gridCol w:w="37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76"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时间</w:t>
            </w:r>
          </w:p>
        </w:tc>
        <w:tc>
          <w:tcPr>
            <w:tcW w:w="2474"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总费用(元/人/餐)</w:t>
            </w:r>
          </w:p>
        </w:tc>
        <w:tc>
          <w:tcPr>
            <w:tcW w:w="379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菜式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76"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早餐</w:t>
            </w:r>
          </w:p>
        </w:tc>
        <w:tc>
          <w:tcPr>
            <w:tcW w:w="2474"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8</w:t>
            </w:r>
          </w:p>
        </w:tc>
        <w:tc>
          <w:tcPr>
            <w:tcW w:w="379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6个品种可选，包括各式粥、粉、面、馒头、豆浆、青菜等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76"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午餐</w:t>
            </w:r>
          </w:p>
        </w:tc>
        <w:tc>
          <w:tcPr>
            <w:tcW w:w="2474"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18</w:t>
            </w:r>
          </w:p>
        </w:tc>
        <w:tc>
          <w:tcPr>
            <w:tcW w:w="3793" w:type="dxa"/>
            <w:tcBorders>
              <w:bottom w:val="single" w:color="auto" w:sz="4" w:space="0"/>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不少于8个品种可选，含四主荤二副荤二蔬菜汤饭免费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76"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晚餐</w:t>
            </w:r>
          </w:p>
        </w:tc>
        <w:tc>
          <w:tcPr>
            <w:tcW w:w="2474"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18</w:t>
            </w:r>
          </w:p>
        </w:tc>
        <w:tc>
          <w:tcPr>
            <w:tcW w:w="3793" w:type="dxa"/>
            <w:tcBorders>
              <w:top w:val="single" w:color="auto" w:sz="4" w:space="0"/>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不少于5个品种可选，含一主荤二副荤二蔬菜汤饭免费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76" w:type="dxa"/>
            <w:tcBorders>
              <w:tl2br w:val="nil"/>
              <w:tr2bl w:val="nil"/>
            </w:tcBorders>
            <w:vAlign w:val="center"/>
          </w:tcPr>
          <w:p>
            <w:pPr>
              <w:widowControl w:val="0"/>
              <w:adjustRightInd/>
              <w:snapToGrid/>
              <w:jc w:val="center"/>
              <w:rPr>
                <w:rFonts w:ascii="宋体" w:hAnsi="宋体" w:cs="宋体"/>
                <w:b/>
                <w:color w:val="auto"/>
                <w:szCs w:val="21"/>
                <w:highlight w:val="none"/>
              </w:rPr>
            </w:pPr>
            <w:r>
              <w:rPr>
                <w:rFonts w:hint="eastAsia" w:ascii="宋体" w:hAnsi="宋体" w:cs="宋体"/>
                <w:b/>
                <w:color w:val="auto"/>
                <w:szCs w:val="21"/>
                <w:highlight w:val="none"/>
              </w:rPr>
              <w:t>合计</w:t>
            </w:r>
          </w:p>
        </w:tc>
        <w:tc>
          <w:tcPr>
            <w:tcW w:w="2474" w:type="dxa"/>
            <w:tcBorders>
              <w:tl2br w:val="nil"/>
              <w:tr2bl w:val="nil"/>
            </w:tcBorders>
            <w:vAlign w:val="center"/>
          </w:tcPr>
          <w:p>
            <w:pPr>
              <w:widowControl w:val="0"/>
              <w:adjustRightInd/>
              <w:snapToGrid/>
              <w:jc w:val="center"/>
              <w:rPr>
                <w:rFonts w:ascii="宋体" w:hAnsi="宋体" w:cs="宋体"/>
                <w:b/>
                <w:color w:val="auto"/>
                <w:szCs w:val="21"/>
                <w:highlight w:val="none"/>
              </w:rPr>
            </w:pPr>
            <w:r>
              <w:rPr>
                <w:rFonts w:hint="eastAsia" w:ascii="宋体" w:hAnsi="宋体" w:cs="宋体"/>
                <w:b/>
                <w:color w:val="auto"/>
                <w:szCs w:val="21"/>
                <w:highlight w:val="none"/>
              </w:rPr>
              <w:t>44</w:t>
            </w:r>
          </w:p>
        </w:tc>
        <w:tc>
          <w:tcPr>
            <w:tcW w:w="3793" w:type="dxa"/>
            <w:tcBorders>
              <w:tl2br w:val="nil"/>
              <w:tr2bl w:val="nil"/>
            </w:tcBorders>
            <w:vAlign w:val="center"/>
          </w:tcPr>
          <w:p>
            <w:pPr>
              <w:widowControl w:val="0"/>
              <w:adjustRightInd/>
              <w:snapToGrid/>
              <w:rPr>
                <w:rFonts w:ascii="宋体" w:hAnsi="宋体" w:cs="宋体"/>
                <w:color w:val="auto"/>
                <w:szCs w:val="21"/>
                <w:highlight w:val="none"/>
              </w:rPr>
            </w:pPr>
          </w:p>
        </w:tc>
      </w:tr>
    </w:tbl>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以上餐标可以根据服务期内物价上涨的实际情况与中标人以补充协议的方式进行适当调整。</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1、食堂管理服务中标人须按时准备餐品。周一至周日</w:t>
      </w:r>
      <w:r>
        <w:rPr>
          <w:rFonts w:hint="eastAsia" w:ascii="宋体" w:hAnsi="宋体" w:cs="Times New Roman"/>
          <w:color w:val="auto"/>
          <w:szCs w:val="21"/>
          <w:highlight w:val="none"/>
        </w:rPr>
        <w:t>（早餐：7:00-8:00，午餐：11:30-13:00，晚餐：17:30-18:30）</w:t>
      </w:r>
      <w:r>
        <w:rPr>
          <w:rFonts w:hint="eastAsia" w:ascii="宋体" w:hAnsi="宋体" w:cs="宋体"/>
          <w:bCs/>
          <w:color w:val="auto"/>
          <w:szCs w:val="21"/>
          <w:highlight w:val="none"/>
        </w:rPr>
        <w:t>。开餐时间由双方根据实际情况商定，一般情况节假日不提供就餐，特殊情况除外，如有加餐（茶歇、宵夜、临餐等）需求时，中标人应无条件配合。</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2、其他服务项目。除员工餐为固定收费标准外，公务接待餐、特殊节日加餐等服务项目，按照实际消费情况，采取月结方式，按月结清给饭堂中标人。</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（1）特殊节日加餐费用收取方式：五一劳动节、端午节、中秋节、国庆节、冬至节、春节等重要节日采用加餐的方式，中标人根据加餐产生的食材费用据实结算。</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（2）围餐费用收取方式：由采购人制定接待标准，中标人提供对应的菜单给采购人审核，餐费标准包含服务人员以及食材等全部费用。</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3、双方义务。食堂管理服务中标人负责菜品制作及服务管理；采购人提供现有的就餐场所、厨房设施设备。</w:t>
      </w:r>
    </w:p>
    <w:p>
      <w:pPr>
        <w:rPr>
          <w:color w:val="auto"/>
          <w:highlight w:val="none"/>
        </w:rPr>
      </w:pPr>
    </w:p>
    <w:p>
      <w:pPr>
        <w:pStyle w:val="33"/>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六、食堂管理考核</w:t>
      </w:r>
    </w:p>
    <w:p>
      <w:pPr>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1、食堂管理考核表</w:t>
      </w:r>
    </w:p>
    <w:tbl>
      <w:tblPr>
        <w:tblStyle w:val="23"/>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6130"/>
        <w:gridCol w:w="69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40" w:type="dxa"/>
            <w:gridSpan w:val="4"/>
            <w:tcBorders>
              <w:top w:val="single" w:color="auto" w:sz="4" w:space="0"/>
              <w:left w:val="single" w:color="auto" w:sz="4" w:space="0"/>
              <w:bottom w:val="single" w:color="auto" w:sz="4" w:space="0"/>
              <w:right w:val="single" w:color="auto" w:sz="4" w:space="0"/>
            </w:tcBorders>
            <w:noWrap/>
          </w:tcPr>
          <w:p>
            <w:pPr>
              <w:jc w:val="center"/>
              <w:rPr>
                <w:rFonts w:ascii="宋体" w:hAnsi="宋体" w:cs="宋体"/>
                <w:b/>
                <w:bCs/>
                <w:color w:val="auto"/>
                <w:szCs w:val="21"/>
                <w:highlight w:val="none"/>
              </w:rPr>
            </w:pPr>
            <w:r>
              <w:rPr>
                <w:rFonts w:hint="eastAsia" w:ascii="宋体" w:hAnsi="宋体" w:cs="宋体"/>
                <w:b/>
                <w:bCs/>
                <w:color w:val="auto"/>
                <w:szCs w:val="21"/>
                <w:highlight w:val="none"/>
              </w:rPr>
              <w:t>食堂日常监管检查表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检查项目</w:t>
            </w:r>
          </w:p>
        </w:tc>
        <w:tc>
          <w:tcPr>
            <w:tcW w:w="613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内容</w:t>
            </w:r>
          </w:p>
        </w:tc>
        <w:tc>
          <w:tcPr>
            <w:tcW w:w="69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分值</w:t>
            </w:r>
          </w:p>
        </w:tc>
        <w:tc>
          <w:tcPr>
            <w:tcW w:w="6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人员要求（30分）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1、必须持卫生部门颁发的“健康证”上岗。</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2、工作衣帽穿戴整洁，并保持个人卫生（勤洗手、勤剪指甲等）</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3、服从采购人和中标人的双重管理。</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4、工作期间不打闹嬉戏，不大声交谈，不拍照，不玩游戏。</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5、要微笑服务，不得发生争吵、打骂等不文明行为。</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6、能主动征求和听取意见和建议，并且虚心接受。</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食品安全（30分）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7、不购进、不加工腐烂变质、有毒、有害、超过保质期的食物。</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8、分类加工和存放生、熟食品，不得混放。</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9、工作间卫生清洁，地面干净、无积水、无杂物，操作台及灶台卫生整洁。</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10、就餐场所地面及桌椅每日清扫，地面整洁，桌面洁净无污垢、无油腻。</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11、严格按照食品卫生要求操作，洗干净的餐具摆好整齐。</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12、接触熟食时，要用食品夹，而不直接用手。</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饭菜质量（30分）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13、菜谱花色品种多样，正常有变换，浑、素搭配合理。</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14、食品食物中不得出现杂物、不熟等现象。</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15、每天自助餐备菜应充足。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其他要求（10分）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16、电器开关应及时开关。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17、门窗应及时开关。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总分</w:t>
            </w:r>
          </w:p>
        </w:tc>
        <w:tc>
          <w:tcPr>
            <w:tcW w:w="613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100</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bl>
    <w:p>
      <w:pPr>
        <w:numPr>
          <w:ilvl w:val="0"/>
          <w:numId w:val="9"/>
        </w:num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采购人每月根据食堂管理考核表对中标人进行考核打分，在日常工作中，如发现中标人存在以上问题，采购人现场出具扣分说明并由中标人签名确认，以便每月综合打分。</w:t>
      </w:r>
    </w:p>
    <w:p>
      <w:pPr>
        <w:rPr>
          <w:rFonts w:ascii="宋体" w:hAnsi="宋体" w:cs="宋体"/>
          <w:b/>
          <w:color w:val="auto"/>
          <w:sz w:val="22"/>
          <w:highlight w:val="none"/>
        </w:rPr>
      </w:pPr>
    </w:p>
    <w:p>
      <w:pPr>
        <w:rPr>
          <w:color w:val="auto"/>
          <w:highlight w:val="none"/>
        </w:rPr>
      </w:pPr>
    </w:p>
    <w:p>
      <w:pPr>
        <w:pStyle w:val="33"/>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七、考评标准及退出机制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1、考评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经营期间采购人将委托第三方食品抽检单位对食材进行不定期抽检，如中标人质量、卫生未能达到合同或政府相关部门标准采购人提出合理的改进建议，中标人须在当天内改进，15天内达到要求，否则采购人有权随时终止合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（2）采购人定期或不定期对中标人日常的饮食卫生、环境卫生、个人卫生、出品质量、份量、品种、外观、味道、烹饪技术和服务态度进行评估,及时反馈予中标人并提出整改要求。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2、有下列情况之一者，属中标人违约，采购人有权取消其饭堂承包经营权。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（1）经营期间发生经市相关部门鉴定为食物中毒或发生安全生产责任事故的（如发生集体食物中毒、火灾、爆炸等）。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（2）经营期间由市、镇相关部门对本厨房的餐具或食品进行不定期抽检，连续两次抽检不合格的。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（3）因经营管理不善出现生产安全、食品卫生问题被市级以上新闻单位曝光的。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（4）在经营过程中，存在掺杂做假、销售无证食品、不服从采购人日常管理等违规行为，经采购人连续两次书面规劝、限期整改依然无效的。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（5）经营期间未经采购人同意将承包经营权转让给第三方经营的。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（6）在招投标时以弄虚作假等欺骗手段获得准入资格，一经被查出的。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（7）经营期间在一年期限内，有两个月总分80分以下或者有一个月总分60分以下的。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（8）经测评有50%或以上的就餐人员对饭菜质量不满时。</w:t>
      </w:r>
    </w:p>
    <w:p>
      <w:pPr>
        <w:rPr>
          <w:color w:val="auto"/>
          <w:highlight w:val="none"/>
        </w:rPr>
      </w:pPr>
    </w:p>
    <w:p>
      <w:pPr>
        <w:ind w:firstLine="422" w:firstLineChars="200"/>
        <w:rPr>
          <w:rFonts w:ascii="宋体" w:hAnsi="宋体" w:cs="宋体"/>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pPr>
        <w:rPr>
          <w:rFonts w:ascii="宋体" w:hAnsi="宋体" w:cs="宋体"/>
          <w:b/>
          <w:bCs/>
          <w:color w:val="auto"/>
          <w:szCs w:val="21"/>
          <w:highlight w:val="none"/>
        </w:rPr>
      </w:pPr>
      <w:r>
        <w:rPr>
          <w:rFonts w:ascii="宋体" w:hAnsi="宋体" w:cs="宋体"/>
          <w:b/>
          <w:bCs/>
          <w:color w:val="auto"/>
          <w:szCs w:val="21"/>
          <w:highlight w:val="none"/>
        </w:rPr>
        <w:br w:type="page"/>
      </w:r>
    </w:p>
    <w:bookmarkEnd w:id="182"/>
    <w:bookmarkEnd w:id="183"/>
    <w:bookmarkEnd w:id="184"/>
    <w:bookmarkEnd w:id="185"/>
    <w:p>
      <w:pPr>
        <w:pStyle w:val="2"/>
        <w:spacing w:before="0" w:after="0" w:line="240" w:lineRule="auto"/>
        <w:rPr>
          <w:color w:val="auto"/>
          <w:sz w:val="28"/>
          <w:szCs w:val="28"/>
          <w:highlight w:val="none"/>
        </w:rPr>
      </w:pPr>
      <w:bookmarkStart w:id="186" w:name="_Toc12014"/>
      <w:bookmarkStart w:id="187" w:name="_Toc12485"/>
      <w:bookmarkStart w:id="188" w:name="_Toc21448"/>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pPr>
        <w:pStyle w:val="4"/>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7"/>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6790"/>
      <w:bookmarkStart w:id="202" w:name="_Toc5794"/>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25502"/>
      <w:bookmarkStart w:id="205" w:name="_Toc18893"/>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6"/>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604"/>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60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投标食堂经营管理费（含人员工资）</w:t>
            </w:r>
          </w:p>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s="宋体"/>
                <w:color w:val="auto"/>
                <w:szCs w:val="21"/>
                <w:highlight w:val="none"/>
                <w:lang w:val="en-US" w:eastAsia="zh-CN"/>
              </w:rPr>
              <w:t>（元/月）</w:t>
            </w:r>
          </w:p>
        </w:tc>
        <w:tc>
          <w:tcPr>
            <w:tcW w:w="2743"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60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2743"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60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2743"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r>
        <w:rPr>
          <w:rFonts w:hint="eastAsia" w:ascii="宋体" w:hAnsi="宋体" w:eastAsia="宋体"/>
          <w:color w:val="auto"/>
          <w:sz w:val="21"/>
          <w:szCs w:val="21"/>
          <w:highlight w:val="none"/>
        </w:rPr>
        <w:t>1、投标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，报价保留小数点后两位。投标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大小写不一致，以大写为准。投标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ind w:left="357" w:leftChars="170" w:firstLine="359" w:firstLineChars="171"/>
        <w:rPr>
          <w:rFonts w:ascii="宋体" w:hAnsi="宋体"/>
          <w:color w:val="auto"/>
          <w:szCs w:val="21"/>
          <w:highlight w:val="none"/>
        </w:rPr>
      </w:pP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22970"/>
      <w:bookmarkStart w:id="223" w:name="_Toc30277"/>
      <w:bookmarkStart w:id="224" w:name="_Toc508958703"/>
      <w:bookmarkStart w:id="225" w:name="_Toc509479530"/>
      <w:bookmarkStart w:id="226" w:name="_Toc17761"/>
      <w:bookmarkStart w:id="227" w:name="_Toc30247"/>
      <w:bookmarkStart w:id="228" w:name="_Toc509927455"/>
      <w:bookmarkStart w:id="229" w:name="_Toc508960153"/>
      <w:bookmarkStart w:id="230" w:name="_Toc510171693"/>
      <w:bookmarkStart w:id="231" w:name="_Toc508898066"/>
      <w:bookmarkStart w:id="232" w:name="_Toc509844825"/>
      <w:bookmarkStart w:id="233" w:name="_Toc2091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highlight w:val="none"/>
        </w:rPr>
      </w:pPr>
    </w:p>
    <w:p>
      <w:pPr>
        <w:ind w:firstLine="420" w:firstLineChars="200"/>
        <w:rPr>
          <w:rFonts w:ascii="宋体" w:hAnsi="宋体"/>
          <w:color w:val="auto"/>
          <w:szCs w:val="21"/>
          <w:highlight w:val="none"/>
        </w:rPr>
      </w:pPr>
      <w:bookmarkStart w:id="234" w:name="_Toc510171694"/>
      <w:bookmarkStart w:id="235" w:name="_Toc21053"/>
      <w:bookmarkStart w:id="236" w:name="_Toc5447"/>
      <w:bookmarkStart w:id="237" w:name="_Toc31520"/>
      <w:bookmarkStart w:id="238" w:name="_Toc508958704"/>
      <w:bookmarkStart w:id="239" w:name="_Toc508898067"/>
      <w:bookmarkStart w:id="240" w:name="_Toc26216"/>
      <w:bookmarkStart w:id="241" w:name="_Toc509927456"/>
      <w:bookmarkStart w:id="242" w:name="_Toc28527"/>
      <w:bookmarkStart w:id="243" w:name="_Toc509844826"/>
      <w:bookmarkStart w:id="244" w:name="_Toc508960154"/>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8898068"/>
      <w:bookmarkStart w:id="247" w:name="_Toc24848"/>
      <w:bookmarkStart w:id="248" w:name="_Toc9148"/>
      <w:bookmarkStart w:id="249" w:name="_Toc508960155"/>
      <w:bookmarkStart w:id="250" w:name="_Toc510171695"/>
      <w:bookmarkStart w:id="251" w:name="_Toc509844827"/>
      <w:bookmarkStart w:id="252" w:name="_Toc28626"/>
      <w:bookmarkStart w:id="253" w:name="_Toc28126"/>
      <w:bookmarkStart w:id="254" w:name="_Toc509927457"/>
      <w:bookmarkStart w:id="255" w:name="_Toc509479532"/>
      <w:bookmarkStart w:id="256" w:name="_Toc14653"/>
      <w:bookmarkStart w:id="257" w:name="_Toc50895870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7858"/>
      <w:bookmarkStart w:id="259" w:name="_Toc510171696"/>
      <w:bookmarkStart w:id="260" w:name="_Toc9837"/>
      <w:bookmarkStart w:id="261" w:name="_Toc28044"/>
      <w:bookmarkStart w:id="262" w:name="_Toc508958706"/>
      <w:bookmarkStart w:id="263" w:name="_Toc22981"/>
      <w:bookmarkStart w:id="264" w:name="_Toc508898069"/>
      <w:bookmarkStart w:id="265" w:name="_Toc509927458"/>
      <w:bookmarkStart w:id="266" w:name="_Toc508960156"/>
      <w:bookmarkStart w:id="267" w:name="_Toc509844828"/>
      <w:bookmarkStart w:id="268" w:name="_Toc509479533"/>
      <w:bookmarkStart w:id="269" w:name="_Toc2868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898070"/>
      <w:bookmarkStart w:id="271" w:name="_Toc509927459"/>
      <w:bookmarkStart w:id="272" w:name="_Toc508960157"/>
      <w:bookmarkStart w:id="273" w:name="_Toc509844829"/>
      <w:bookmarkStart w:id="274" w:name="_Toc508958707"/>
      <w:bookmarkStart w:id="275" w:name="_Toc18843"/>
      <w:bookmarkStart w:id="276" w:name="_Toc510171697"/>
      <w:bookmarkStart w:id="277" w:name="_Toc5289"/>
      <w:bookmarkStart w:id="278"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7"/>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4926"/>
      <w:bookmarkStart w:id="296" w:name="_Toc28067"/>
      <w:bookmarkStart w:id="297" w:name="_Toc24210"/>
      <w:bookmarkStart w:id="298" w:name="_Toc17470"/>
      <w:bookmarkStart w:id="299" w:name="_Toc5919"/>
      <w:bookmarkStart w:id="300" w:name="_Toc29995"/>
      <w:bookmarkStart w:id="301" w:name="_Toc1511"/>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9"/>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6080"/>
      <w:bookmarkStart w:id="320" w:name="_Toc18668"/>
      <w:bookmarkStart w:id="321" w:name="_Toc26078"/>
      <w:bookmarkStart w:id="322" w:name="_Toc4464"/>
      <w:bookmarkStart w:id="323" w:name="_Toc4827"/>
      <w:bookmarkStart w:id="324" w:name="_Toc1274"/>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15903"/>
            <w:bookmarkStart w:id="331" w:name="_Toc27090"/>
            <w:bookmarkStart w:id="332" w:name="_Toc21739"/>
            <w:bookmarkStart w:id="333" w:name="_Toc10045"/>
            <w:bookmarkStart w:id="334" w:name="_Toc2700"/>
            <w:bookmarkStart w:id="335" w:name="_Toc12049"/>
            <w:bookmarkStart w:id="336" w:name="_Toc15368"/>
            <w:bookmarkStart w:id="337" w:name="_Toc22448"/>
            <w:bookmarkStart w:id="338" w:name="_Toc14815"/>
            <w:bookmarkStart w:id="339" w:name="_Toc16872"/>
            <w:bookmarkStart w:id="340" w:name="_Toc26124"/>
            <w:bookmarkStart w:id="341" w:name="_Toc4304"/>
            <w:bookmarkStart w:id="342" w:name="_Toc1016"/>
            <w:bookmarkStart w:id="343" w:name="_Toc8312"/>
            <w:bookmarkStart w:id="344" w:name="_Toc19251"/>
            <w:bookmarkStart w:id="345" w:name="_Toc8490"/>
            <w:bookmarkStart w:id="346" w:name="_Toc27442"/>
            <w:bookmarkStart w:id="347" w:name="_Toc32531"/>
            <w:bookmarkStart w:id="348" w:name="_Toc22917"/>
            <w:bookmarkStart w:id="349" w:name="_Toc24662"/>
            <w:bookmarkStart w:id="350" w:name="_Toc22879"/>
            <w:bookmarkStart w:id="351" w:name="_Toc7333"/>
            <w:bookmarkStart w:id="352" w:name="_Toc2180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22153"/>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16003"/>
            <w:bookmarkStart w:id="358" w:name="_Toc27285"/>
            <w:bookmarkStart w:id="359" w:name="_Toc5563"/>
            <w:bookmarkStart w:id="360" w:name="_Toc3701"/>
            <w:bookmarkStart w:id="361" w:name="_Toc5992"/>
            <w:bookmarkStart w:id="362" w:name="_Toc1912"/>
            <w:bookmarkStart w:id="363" w:name="_Toc1330"/>
            <w:bookmarkStart w:id="364" w:name="_Toc20139"/>
            <w:bookmarkStart w:id="365" w:name="_Toc20820"/>
            <w:bookmarkStart w:id="366" w:name="_Toc17642"/>
            <w:bookmarkStart w:id="367" w:name="_Toc27185"/>
            <w:bookmarkStart w:id="368" w:name="_Toc17296"/>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857"/>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16710"/>
      <w:bookmarkStart w:id="380" w:name="_Toc21541"/>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81" w:name="_Toc26855"/>
      <w:bookmarkStart w:id="382" w:name="_Toc2454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4"/>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7"/>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7"/>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2"/>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rPr>
          <w:rFonts w:hint="eastAsia"/>
        </w:rPr>
        <w:t>从业人员、营业人员、资产总额填报上一年度数据，无上一年度数据的新成立企业可不填报。</w:t>
      </w:r>
    </w:p>
  </w:footnote>
  <w:footnote w:id="1">
    <w:p>
      <w:pPr>
        <w:pStyle w:val="19"/>
      </w:pPr>
      <w:r>
        <w:rPr>
          <w:rStyle w:val="29"/>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1E4CFF8"/>
    <w:multiLevelType w:val="singleLevel"/>
    <w:tmpl w:val="F1E4CFF8"/>
    <w:lvl w:ilvl="0" w:tentative="0">
      <w:start w:val="2"/>
      <w:numFmt w:val="decimal"/>
      <w:suff w:val="nothing"/>
      <w:lvlText w:val="%1、"/>
      <w:lvlJc w:val="left"/>
      <w:pPr>
        <w:ind w:left="0" w:firstLine="0"/>
      </w:p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3"/>
  </w:num>
  <w:num w:numId="7">
    <w:abstractNumId w:val="5"/>
  </w:num>
  <w:num w:numId="8">
    <w:abstractNumId w:val="1"/>
  </w:num>
  <w:num w:numId="9">
    <w:abstractNumId w:val="4"/>
    <w:lvlOverride w:ilvl="0">
      <w:startOverride w:val="2"/>
    </w:lvlOverride>
  </w:num>
  <w:num w:numId="10">
    <w:abstractNumId w:val="2"/>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0F0F02"/>
    <w:rsid w:val="001049A5"/>
    <w:rsid w:val="00111107"/>
    <w:rsid w:val="001242F3"/>
    <w:rsid w:val="00134CAD"/>
    <w:rsid w:val="0013730B"/>
    <w:rsid w:val="00137853"/>
    <w:rsid w:val="00137E1C"/>
    <w:rsid w:val="00147012"/>
    <w:rsid w:val="00153E0B"/>
    <w:rsid w:val="00173126"/>
    <w:rsid w:val="00173905"/>
    <w:rsid w:val="00173E04"/>
    <w:rsid w:val="0017576C"/>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47F8F"/>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623C6"/>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04B3"/>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A775B"/>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566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2ED3305"/>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7E07D0C"/>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CDF2C62"/>
    <w:rsid w:val="0D890E47"/>
    <w:rsid w:val="0DC64A00"/>
    <w:rsid w:val="0DFC60BA"/>
    <w:rsid w:val="0E4249F1"/>
    <w:rsid w:val="0EB45869"/>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C8157F"/>
    <w:rsid w:val="15D359D7"/>
    <w:rsid w:val="15D81E0F"/>
    <w:rsid w:val="161771F3"/>
    <w:rsid w:val="16222D6D"/>
    <w:rsid w:val="163C77BE"/>
    <w:rsid w:val="16632F86"/>
    <w:rsid w:val="1679588C"/>
    <w:rsid w:val="16994962"/>
    <w:rsid w:val="16A71041"/>
    <w:rsid w:val="16AA24BF"/>
    <w:rsid w:val="16F72341"/>
    <w:rsid w:val="17330C3E"/>
    <w:rsid w:val="173E45CB"/>
    <w:rsid w:val="17680CAB"/>
    <w:rsid w:val="176E4128"/>
    <w:rsid w:val="1783371F"/>
    <w:rsid w:val="17E62B67"/>
    <w:rsid w:val="180C0192"/>
    <w:rsid w:val="180F4499"/>
    <w:rsid w:val="18221ECE"/>
    <w:rsid w:val="184A6EA2"/>
    <w:rsid w:val="18DD0A66"/>
    <w:rsid w:val="190B7894"/>
    <w:rsid w:val="19A2789F"/>
    <w:rsid w:val="19B7100D"/>
    <w:rsid w:val="1A460CF5"/>
    <w:rsid w:val="1A7F297D"/>
    <w:rsid w:val="1A812DB6"/>
    <w:rsid w:val="1AB16AC1"/>
    <w:rsid w:val="1AF776D6"/>
    <w:rsid w:val="1B034A52"/>
    <w:rsid w:val="1B1F34AD"/>
    <w:rsid w:val="1B4C0F06"/>
    <w:rsid w:val="1B5A51FC"/>
    <w:rsid w:val="1B8D5DC6"/>
    <w:rsid w:val="1BFE1D3B"/>
    <w:rsid w:val="1C2775EC"/>
    <w:rsid w:val="1C750ECE"/>
    <w:rsid w:val="1CA22168"/>
    <w:rsid w:val="1D0836D7"/>
    <w:rsid w:val="1D196139"/>
    <w:rsid w:val="1DB85900"/>
    <w:rsid w:val="1DF051AF"/>
    <w:rsid w:val="1E010AF7"/>
    <w:rsid w:val="1E0178EB"/>
    <w:rsid w:val="1E301173"/>
    <w:rsid w:val="1E38333E"/>
    <w:rsid w:val="1E3E55F9"/>
    <w:rsid w:val="1E5C7612"/>
    <w:rsid w:val="1EA40BB4"/>
    <w:rsid w:val="1F3E49F6"/>
    <w:rsid w:val="1F43381C"/>
    <w:rsid w:val="1FA4148D"/>
    <w:rsid w:val="1FF1242D"/>
    <w:rsid w:val="20121621"/>
    <w:rsid w:val="201A421D"/>
    <w:rsid w:val="20341172"/>
    <w:rsid w:val="204E554F"/>
    <w:rsid w:val="20590035"/>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857F75"/>
    <w:rsid w:val="258976B0"/>
    <w:rsid w:val="258C3BEC"/>
    <w:rsid w:val="25E576CC"/>
    <w:rsid w:val="260E3862"/>
    <w:rsid w:val="262569FC"/>
    <w:rsid w:val="26344C98"/>
    <w:rsid w:val="26F56CE2"/>
    <w:rsid w:val="27435D49"/>
    <w:rsid w:val="27A34F71"/>
    <w:rsid w:val="27B36A67"/>
    <w:rsid w:val="27EB0D9B"/>
    <w:rsid w:val="286602C8"/>
    <w:rsid w:val="28665C95"/>
    <w:rsid w:val="289271F8"/>
    <w:rsid w:val="28A64522"/>
    <w:rsid w:val="28CC5B40"/>
    <w:rsid w:val="28F525D1"/>
    <w:rsid w:val="290B3EB9"/>
    <w:rsid w:val="291418C2"/>
    <w:rsid w:val="2950768C"/>
    <w:rsid w:val="29591CD4"/>
    <w:rsid w:val="29794227"/>
    <w:rsid w:val="297A5FC4"/>
    <w:rsid w:val="2A1113BC"/>
    <w:rsid w:val="2A2F4431"/>
    <w:rsid w:val="2A8D4F8F"/>
    <w:rsid w:val="2A911082"/>
    <w:rsid w:val="2A917B34"/>
    <w:rsid w:val="2AA33C87"/>
    <w:rsid w:val="2AE3766F"/>
    <w:rsid w:val="2B4B680F"/>
    <w:rsid w:val="2B7E4054"/>
    <w:rsid w:val="2BC92502"/>
    <w:rsid w:val="2BF22742"/>
    <w:rsid w:val="2C987C56"/>
    <w:rsid w:val="2CBD45CF"/>
    <w:rsid w:val="2CFF149A"/>
    <w:rsid w:val="2D201865"/>
    <w:rsid w:val="2D306A3A"/>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ED7269"/>
    <w:rsid w:val="30FF27D2"/>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0F21B9"/>
    <w:rsid w:val="35260F83"/>
    <w:rsid w:val="35602226"/>
    <w:rsid w:val="356B72E7"/>
    <w:rsid w:val="3572424F"/>
    <w:rsid w:val="35FC3844"/>
    <w:rsid w:val="366061FD"/>
    <w:rsid w:val="36794DEF"/>
    <w:rsid w:val="36AD519D"/>
    <w:rsid w:val="36B57705"/>
    <w:rsid w:val="36C7142F"/>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CF73D1"/>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577835"/>
    <w:rsid w:val="3F942B76"/>
    <w:rsid w:val="3FAB5A5B"/>
    <w:rsid w:val="3FD70BB0"/>
    <w:rsid w:val="3FE2385C"/>
    <w:rsid w:val="3FFB55AC"/>
    <w:rsid w:val="401C5F9D"/>
    <w:rsid w:val="401C690C"/>
    <w:rsid w:val="401D7195"/>
    <w:rsid w:val="40332A00"/>
    <w:rsid w:val="405F1BE4"/>
    <w:rsid w:val="40A51286"/>
    <w:rsid w:val="40AE712A"/>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7841568"/>
    <w:rsid w:val="479D1D34"/>
    <w:rsid w:val="47B609C0"/>
    <w:rsid w:val="47CF543E"/>
    <w:rsid w:val="482D31EA"/>
    <w:rsid w:val="484228F5"/>
    <w:rsid w:val="485970A0"/>
    <w:rsid w:val="48847961"/>
    <w:rsid w:val="48A41906"/>
    <w:rsid w:val="48B65C71"/>
    <w:rsid w:val="48D55603"/>
    <w:rsid w:val="48F303D7"/>
    <w:rsid w:val="492837FF"/>
    <w:rsid w:val="492E6A57"/>
    <w:rsid w:val="49B86103"/>
    <w:rsid w:val="4A0030EE"/>
    <w:rsid w:val="4A00738E"/>
    <w:rsid w:val="4AC36065"/>
    <w:rsid w:val="4B560086"/>
    <w:rsid w:val="4B7501F5"/>
    <w:rsid w:val="4B8C2DEB"/>
    <w:rsid w:val="4BFA3C9F"/>
    <w:rsid w:val="4BFB5208"/>
    <w:rsid w:val="4C0E3379"/>
    <w:rsid w:val="4C107F48"/>
    <w:rsid w:val="4C3277BC"/>
    <w:rsid w:val="4C686851"/>
    <w:rsid w:val="4CB25875"/>
    <w:rsid w:val="4CC353EB"/>
    <w:rsid w:val="4CF36F3C"/>
    <w:rsid w:val="4D124486"/>
    <w:rsid w:val="4D3739CE"/>
    <w:rsid w:val="4D4F67BA"/>
    <w:rsid w:val="4D603399"/>
    <w:rsid w:val="4D867EE1"/>
    <w:rsid w:val="4DBC4C65"/>
    <w:rsid w:val="4DD731F1"/>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0EF6513"/>
    <w:rsid w:val="50F93342"/>
    <w:rsid w:val="51475B39"/>
    <w:rsid w:val="514C3EA7"/>
    <w:rsid w:val="519849E5"/>
    <w:rsid w:val="51B36892"/>
    <w:rsid w:val="51C92E73"/>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ED2E1F"/>
    <w:rsid w:val="5CF55792"/>
    <w:rsid w:val="5CFD533A"/>
    <w:rsid w:val="5D893B14"/>
    <w:rsid w:val="5D9F3D30"/>
    <w:rsid w:val="5DF0751F"/>
    <w:rsid w:val="5E2810D5"/>
    <w:rsid w:val="5E2B7D62"/>
    <w:rsid w:val="5E2F31A6"/>
    <w:rsid w:val="5E71411E"/>
    <w:rsid w:val="5EA06921"/>
    <w:rsid w:val="5ED5006A"/>
    <w:rsid w:val="5F576E4B"/>
    <w:rsid w:val="5F5D4EDE"/>
    <w:rsid w:val="5F7A2C30"/>
    <w:rsid w:val="5FBE370A"/>
    <w:rsid w:val="601200AF"/>
    <w:rsid w:val="60292845"/>
    <w:rsid w:val="60407720"/>
    <w:rsid w:val="61027308"/>
    <w:rsid w:val="61067EF5"/>
    <w:rsid w:val="61212EDF"/>
    <w:rsid w:val="612E1A5D"/>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3A070A"/>
    <w:rsid w:val="644C573D"/>
    <w:rsid w:val="647F1ACC"/>
    <w:rsid w:val="648667A7"/>
    <w:rsid w:val="64DB383A"/>
    <w:rsid w:val="65032F85"/>
    <w:rsid w:val="65136B50"/>
    <w:rsid w:val="653B0C50"/>
    <w:rsid w:val="657632AC"/>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E09491E"/>
    <w:rsid w:val="6E0D3655"/>
    <w:rsid w:val="6E5F4465"/>
    <w:rsid w:val="6E8C54DA"/>
    <w:rsid w:val="6EF11E03"/>
    <w:rsid w:val="6F111C62"/>
    <w:rsid w:val="6F2176E5"/>
    <w:rsid w:val="6F3053CA"/>
    <w:rsid w:val="6F592303"/>
    <w:rsid w:val="6F5F5B74"/>
    <w:rsid w:val="6F9B1C65"/>
    <w:rsid w:val="6FD47A25"/>
    <w:rsid w:val="6FDB1798"/>
    <w:rsid w:val="6FF44026"/>
    <w:rsid w:val="6FFB146E"/>
    <w:rsid w:val="701A5C74"/>
    <w:rsid w:val="706516C3"/>
    <w:rsid w:val="70864A71"/>
    <w:rsid w:val="70896E68"/>
    <w:rsid w:val="71322C59"/>
    <w:rsid w:val="714556B4"/>
    <w:rsid w:val="715B60E9"/>
    <w:rsid w:val="71860FA0"/>
    <w:rsid w:val="71E96309"/>
    <w:rsid w:val="71EA1FED"/>
    <w:rsid w:val="72284A0C"/>
    <w:rsid w:val="72B66E9C"/>
    <w:rsid w:val="72C16204"/>
    <w:rsid w:val="730313F6"/>
    <w:rsid w:val="731E1007"/>
    <w:rsid w:val="73370D24"/>
    <w:rsid w:val="7359268C"/>
    <w:rsid w:val="739503EB"/>
    <w:rsid w:val="73A05B28"/>
    <w:rsid w:val="73C07D69"/>
    <w:rsid w:val="73F9567B"/>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C058E5"/>
    <w:rsid w:val="77D85DB3"/>
    <w:rsid w:val="780252A0"/>
    <w:rsid w:val="78027772"/>
    <w:rsid w:val="78885367"/>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DF10853"/>
    <w:rsid w:val="7E2142A2"/>
    <w:rsid w:val="7E4E0A84"/>
    <w:rsid w:val="7E4F5384"/>
    <w:rsid w:val="7E5A6DFA"/>
    <w:rsid w:val="7E730D4D"/>
    <w:rsid w:val="7E7B0BF2"/>
    <w:rsid w:val="7E7C7A78"/>
    <w:rsid w:val="7E8D75B6"/>
    <w:rsid w:val="7EB2417D"/>
    <w:rsid w:val="7EF760EE"/>
    <w:rsid w:val="7F2A21E7"/>
    <w:rsid w:val="7F6770F7"/>
    <w:rsid w:val="7F763FE8"/>
    <w:rsid w:val="7F8048A8"/>
    <w:rsid w:val="7FB65F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outlineLvl w:val="2"/>
    </w:pPr>
    <w:rPr>
      <w:b/>
      <w:bCs/>
      <w:sz w:val="28"/>
      <w:szCs w:val="32"/>
    </w:rPr>
  </w:style>
  <w:style w:type="paragraph" w:styleId="5">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cs="宋体"/>
      <w:sz w:val="24"/>
      <w:lang w:val="zh-CN" w:bidi="zh-CN"/>
    </w:rPr>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Char"/>
    <w:basedOn w:val="25"/>
    <w:link w:val="2"/>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0">
    <w:name w:val="font41"/>
    <w:basedOn w:val="25"/>
    <w:qFormat/>
    <w:uiPriority w:val="0"/>
    <w:rPr>
      <w:rFonts w:hint="eastAsia" w:ascii="宋体" w:hAnsi="宋体" w:eastAsia="宋体" w:cs="宋体"/>
      <w:color w:val="000000"/>
      <w:sz w:val="18"/>
      <w:szCs w:val="18"/>
      <w:u w:val="none"/>
    </w:rPr>
  </w:style>
  <w:style w:type="paragraph" w:customStyle="1" w:styleId="61">
    <w:name w:val="正文_0"/>
    <w:qFormat/>
    <w:uiPriority w:val="99"/>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35801</Words>
  <Characters>36669</Characters>
  <Lines>320</Lines>
  <Paragraphs>90</Paragraphs>
  <TotalTime>2</TotalTime>
  <ScaleCrop>false</ScaleCrop>
  <LinksUpToDate>false</LinksUpToDate>
  <CharactersWithSpaces>38036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2023-03-09T09:31:22Z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F35C33BB619B4948A26DB1AEF847FAA5</vt:lpwstr>
  </property>
</Properties>
</file>