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441900014-2023-00076</w:t>
      </w:r>
    </w:p>
    <w:p>
      <w:pPr>
        <w:jc w:val="center"/>
      </w:pPr>
      <w:r>
        <w:rPr>
          <w:b/>
          <w:sz w:val="24"/>
        </w:rPr>
        <w:t>采购项目编号：</w:t>
      </w:r>
      <w:r>
        <w:rPr>
          <w:b/>
          <w:sz w:val="24"/>
        </w:rPr>
        <w:t>441900014-2023-00076</w:t>
      </w:r>
    </w:p>
    <w:p>
      <w:pPr>
        <w:jc w:val="center"/>
      </w:pPr>
      <w:r>
        <w:rPr>
          <w:b/>
          <w:sz w:val="24"/>
        </w:rPr>
        <w:t>项目名称：</w:t>
      </w:r>
      <w:r>
        <w:rPr>
          <w:b/>
          <w:sz w:val="24"/>
        </w:rPr>
        <w:t>横沥镇隔坑南片区控制性详细规划编制</w:t>
      </w:r>
    </w:p>
    <w:p>
      <w:pPr>
        <w:jc w:val="center"/>
      </w:pPr>
      <w:r>
        <w:rPr>
          <w:b/>
          <w:sz w:val="24"/>
        </w:rPr>
        <w:t>采购人：</w:t>
      </w:r>
      <w:r>
        <w:rPr>
          <w:b/>
          <w:sz w:val="24"/>
        </w:rPr>
        <w:t>东莞市横沥镇规划管理所</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 磋商邀请</w:t>
      </w:r>
    </w:p>
    <w:p>
      <w:pPr>
        <w:ind w:firstLine="480"/>
      </w:pPr>
      <w:r>
        <w:rPr/>
        <w:t>广东政通招标有限公司</w:t>
      </w:r>
      <w:r>
        <w:rPr/>
        <w:t>受</w:t>
      </w:r>
      <w:r>
        <w:rPr/>
        <w:t>东莞市横沥镇规划管理所</w:t>
      </w:r>
      <w:r>
        <w:rPr/>
        <w:t>的委托，采用</w:t>
      </w:r>
      <w:r>
        <w:rPr/>
        <w:t>竞争性磋商</w:t>
      </w:r>
      <w:r>
        <w:rPr/>
        <w:t>方式组织采购</w:t>
      </w:r>
      <w:r>
        <w:rPr/>
        <w:t>横沥镇隔坑南片区控制性详细规划编制</w:t>
      </w:r>
      <w:r>
        <w:rPr/>
        <w:t>。欢迎符合资格条件的供应商参加。</w:t>
      </w:r>
    </w:p>
    <w:p>
      <w:r>
        <w:rPr>
          <w:b/>
          <w:sz w:val="28"/>
        </w:rPr>
        <w:t>一.项目概述</w:t>
      </w:r>
    </w:p>
    <w:p>
      <w:r>
        <w:rPr>
          <w:b/>
          <w:sz w:val="24"/>
        </w:rPr>
        <w:t>1.名称与编号</w:t>
      </w:r>
    </w:p>
    <w:p>
      <w:pPr>
        <w:ind w:firstLine="480"/>
      </w:pPr>
      <w:r>
        <w:rPr/>
        <w:t>采购项目名称：</w:t>
      </w:r>
      <w:r>
        <w:rPr/>
        <w:t>横沥镇隔坑南片区控制性详细规划编制</w:t>
      </w:r>
    </w:p>
    <w:p>
      <w:pPr>
        <w:ind w:firstLine="480"/>
      </w:pPr>
      <w:r>
        <w:rPr/>
        <w:t>采购计划编号：</w:t>
      </w:r>
      <w:r>
        <w:rPr/>
        <w:t>441900014-2023-00076</w:t>
      </w:r>
    </w:p>
    <w:p>
      <w:pPr>
        <w:ind w:firstLine="480"/>
      </w:pPr>
      <w:r>
        <w:rPr/>
        <w:t>采购项目编号：</w:t>
      </w:r>
      <w:r>
        <w:rPr/>
        <w:t>441900014-2023-00076</w:t>
      </w:r>
    </w:p>
    <w:p>
      <w:pPr>
        <w:ind w:firstLine="480"/>
      </w:pPr>
      <w:r>
        <w:rPr/>
        <w:t>采购方式：</w:t>
      </w:r>
      <w:r>
        <w:rPr/>
        <w:t>竞争性磋商</w:t>
      </w:r>
    </w:p>
    <w:p>
      <w:pPr>
        <w:ind w:firstLine="480"/>
      </w:pPr>
      <w:r>
        <w:rPr/>
        <w:t>预算金额：</w:t>
      </w:r>
      <w:r>
        <w:rPr/>
        <w:t>1,176,000.00</w:t>
      </w:r>
      <w:r>
        <w:rPr/>
        <w:t>元</w:t>
      </w:r>
    </w:p>
    <w:p>
      <w:r>
        <w:rPr>
          <w:b/>
          <w:sz w:val="24"/>
        </w:rPr>
        <w:t>2.项目内容及需求情况（采购项目技术规格、参数及要求）</w:t>
      </w:r>
    </w:p>
    <w:p>
      <w:pPr>
        <w:ind w:firstLine="480"/>
      </w:pPr>
    </w:p>
    <w:p/>
    <w:p>
      <w:r>
        <w:rPr/>
        <w:t>采购包1(横沥镇隔坑南片区控制性详细规划编制):</w:t>
      </w:r>
    </w:p>
    <w:p>
      <w:r>
        <w:rPr/>
        <w:t>采购包预算金额：1,176,000.00元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区域规划和设计服务</w:t>
            </w:r>
          </w:p>
        </w:tc>
        <w:tc>
          <w:tcPr>
            <w:tcW w:type="dxa" w:w="2052"/>
          </w:tcPr>
          <w:p>
            <w:r>
              <w:rPr/>
              <w:t>横沥镇隔坑南片区控制性详细规划编制</w:t>
            </w:r>
          </w:p>
        </w:tc>
        <w:tc>
          <w:tcPr>
            <w:tcW w:type="dxa" w:w="977"/>
          </w:tcPr>
          <w:p>
            <w:r>
              <w:rPr/>
              <w:t>1.0000(项)</w:t>
            </w:r>
          </w:p>
        </w:tc>
        <w:tc>
          <w:tcPr>
            <w:tcW w:type="dxa" w:w="977"/>
          </w:tcPr>
          <w:p>
            <w:r>
              <w:rPr/>
              <w:t>详见第二章</w:t>
            </w:r>
          </w:p>
        </w:tc>
        <w:tc>
          <w:tcPr>
            <w:tcW w:type="dxa" w:w="977"/>
          </w:tcPr>
          <w:p>
            <w:r>
              <w:rPr/>
              <w:t>1,176,000.00</w:t>
            </w:r>
          </w:p>
        </w:tc>
        <w:tc>
          <w:tcPr>
            <w:tcW w:type="dxa" w:w="977"/>
          </w:tcPr>
          <w:p>
            <w:r>
              <w:rPr/>
              <w:t>否</w:t>
            </w:r>
          </w:p>
        </w:tc>
      </w:tr>
    </w:tbl>
    <w:p/>
    <w:p>
      <w:r>
        <w:rPr/>
        <w:t>本采购包不接受联合体响应</w:t>
      </w:r>
    </w:p>
    <w:p/>
    <w:p>
      <w:r>
        <w:rPr/>
        <w:t>合同履行期限：自合同签订之日起6个月。</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或提供相关承诺函）</w:t>
      </w:r>
    </w:p>
    <w:p/>
    <w:p>
      <w:r>
        <w:rPr/>
        <w:t>3）具有良好的商业信誉和健全的财务会计制度：供应商必须具有良好的商业信誉和健全的财务会计制度（提供2021年度财务状况报告或基本开户行出具的资信证明）。(或提供相关承诺函)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采购包1（横沥镇隔坑南片区控制性详细规划编制）：</w:t>
      </w:r>
      <w:r>
        <w:rPr/>
        <w:t>本项目不属于专门面向中小企业的采购项目。</w:t>
      </w:r>
    </w:p>
    <w:p/>
    <w:p>
      <w:r>
        <w:rPr>
          <w:b/>
          <w:sz w:val="24"/>
        </w:rPr>
        <w:t>3.本项目特定的资格要求：</w:t>
      </w:r>
    </w:p>
    <w:p>
      <w:pPr>
        <w:ind w:firstLine="480"/>
      </w:pPr>
    </w:p>
    <w:p/>
    <w:p>
      <w:r>
        <w:rPr/>
        <w:t>采购包1（横沥镇隔坑南片区控制性详细规划编制）：</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3)供应商须具备有效期内的城乡规划编制乙级（含）以上资质证书。 注：须提供证书复印件，加盖供应商公章。</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东莞市横沥镇规划管理所</w:t>
      </w:r>
    </w:p>
    <w:p>
      <w:pPr>
        <w:ind w:firstLine="480"/>
      </w:pPr>
      <w:r>
        <w:rPr/>
        <w:t>地址：</w:t>
      </w:r>
      <w:r>
        <w:rPr/>
        <w:t>东莞市横沥镇沿江路1号发展中心三楼314室</w:t>
      </w:r>
    </w:p>
    <w:p>
      <w:pPr>
        <w:ind w:firstLine="480"/>
      </w:pPr>
      <w:r>
        <w:rPr/>
        <w:t>联系方式：</w:t>
      </w:r>
      <w:r>
        <w:rPr/>
        <w:t>0769-83725828</w:t>
      </w:r>
    </w:p>
    <w:p>
      <w:r>
        <w:rPr>
          <w:b/>
          <w:sz w:val="24"/>
        </w:rPr>
        <w:t>2.采购代理机构信息</w:t>
      </w:r>
    </w:p>
    <w:p>
      <w:pPr>
        <w:ind w:firstLine="480"/>
      </w:pPr>
      <w:r>
        <w:rPr/>
        <w:t>名称：</w:t>
      </w:r>
      <w:r>
        <w:rPr/>
        <w:t>广东政通招标有限公司</w:t>
      </w:r>
    </w:p>
    <w:p>
      <w:pPr>
        <w:ind w:firstLine="480"/>
      </w:pPr>
      <w:r>
        <w:rPr/>
        <w:t>地址：</w:t>
      </w:r>
      <w:r>
        <w:rPr/>
        <w:t>东莞市南城街道鸿福路199号（市民服务中心）411室</w:t>
      </w:r>
    </w:p>
    <w:p>
      <w:pPr>
        <w:ind w:firstLine="480"/>
      </w:pPr>
      <w:r>
        <w:rPr/>
        <w:t>联系方式：</w:t>
      </w:r>
      <w:r>
        <w:rPr/>
        <w:t>0769-22881803</w:t>
      </w:r>
    </w:p>
    <w:p>
      <w:r>
        <w:rPr>
          <w:b/>
          <w:sz w:val="24"/>
        </w:rPr>
        <w:t>3.项目联系方式</w:t>
      </w:r>
    </w:p>
    <w:p>
      <w:pPr>
        <w:ind w:firstLine="480"/>
      </w:pPr>
      <w:r>
        <w:rPr/>
        <w:t>项目联系人：</w:t>
      </w:r>
      <w:r>
        <w:rPr/>
        <w:t>薛先生</w:t>
      </w:r>
    </w:p>
    <w:p>
      <w:pPr>
        <w:ind w:firstLine="480"/>
      </w:pPr>
      <w:r>
        <w:rPr/>
        <w:t>电话：</w:t>
      </w:r>
      <w:r>
        <w:rPr/>
        <w:t>0769-22881803</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本项目为横沥镇隔坑南片区控制性详细规划编制。</w:t>
      </w:r>
    </w:p>
    <w:p/>
    <w:p>
      <w:pPr>
        <w:ind w:firstLine="480"/>
      </w:pPr>
    </w:p>
    <w:p/>
    <w:p>
      <w:r>
        <w:rPr/>
        <w:t>采购包1（横沥镇隔坑南片区控制性详细规划编制）</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自合同签订之日起6个月。</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1期：支付比例100%,1、共分三期进行支付： 第一期：自项目合同签订之日起十五个工作日内，支付合同价款的30%。 第二期：项目规划成果通过横沥镇城规会或班子会会议审议，规划成果上报自然资源局后十五个工作日内，支付合同价款的40%。 第三期：项目规划成果通过市规委审议并获市政府批复通过，且公告备案完成后十五个工作日内，支付合同价款的30%。 2、支付程序如果因成交人怠于或者拒绝提供资料或者办理手续等原因导致的付款迟延，责任全部由成交人承担，采购人不以违约论。因财政请款原因导致付款迟延的，采购人不以违约论。</w:t>
            </w:r>
          </w:p>
        </w:tc>
      </w:tr>
      <w:tr>
        <w:tc>
          <w:tcPr>
            <w:tcW w:type="dxa" w:w="4153"/>
          </w:tcPr>
          <w:p>
            <w:r>
              <w:rPr/>
              <w:t>验收要求</w:t>
            </w:r>
          </w:p>
        </w:tc>
        <w:tc>
          <w:tcPr>
            <w:tcW w:type="dxa" w:w="4153"/>
          </w:tcPr>
          <w:p/>
          <w:p/>
          <w:p/>
          <w:p>
            <w:r>
              <w:rPr/>
              <w:t>1期：1、验收工作由采购人（或采购人指定的单位）和成交人共同进行。  2、验收标准：按磋商文件技术要求和合同条款进行验收，在验收时，成交人向采购人提供本项目服务过程资料及总结资料。  3、由采购人对服务内容进行验收。如发现效果与磋商文件要求规定不符，采购人有权拒绝接受。</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其他，1、合同条款：供应商实质响应合同各条款。 2、报价内容：本项目服务费采用包干制，应包括服务成本（负责承担资料收集和整理、专家评审费（如有）、成果编制费、电子校核、公示、交通差旅费、文档和图档的打印输出、装订及寄送费用、成果验收、全额含税发票、雇员费用等一切费用）、法定税费和企业的利润。</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区域规划和设计服务</w:t>
            </w:r>
          </w:p>
        </w:tc>
        <w:tc>
          <w:tcPr>
            <w:tcW w:type="dxa" w:w="933"/>
          </w:tcPr>
          <w:p>
            <w:pPr>
              <w:jc w:val="left"/>
            </w:pPr>
            <w:r>
              <w:rPr/>
              <w:t>横沥镇隔坑南片区控制性详细规划编制</w:t>
            </w:r>
          </w:p>
        </w:tc>
        <w:tc>
          <w:tcPr>
            <w:tcW w:type="dxa" w:w="933"/>
          </w:tcPr>
          <w:p>
            <w:pPr>
              <w:jc w:val="left"/>
            </w:pPr>
            <w:r>
              <w:rPr/>
              <w:t>项</w:t>
            </w:r>
          </w:p>
        </w:tc>
        <w:tc>
          <w:tcPr>
            <w:tcW w:type="dxa" w:w="933"/>
          </w:tcPr>
          <w:p>
            <w:pPr>
              <w:jc w:val="right"/>
            </w:pPr>
            <w:r>
              <w:rPr/>
              <w:t>1.00</w:t>
            </w:r>
          </w:p>
        </w:tc>
        <w:tc>
          <w:tcPr>
            <w:tcW w:type="dxa" w:w="933"/>
          </w:tcPr>
          <w:p>
            <w:pPr>
              <w:jc w:val="right"/>
            </w:pPr>
            <w:r>
              <w:rPr/>
              <w:t>1,176,000.00</w:t>
            </w:r>
          </w:p>
        </w:tc>
        <w:tc>
          <w:tcPr>
            <w:tcW w:type="dxa" w:w="933"/>
          </w:tcPr>
          <w:p>
            <w:pPr>
              <w:jc w:val="right"/>
            </w:pPr>
            <w:r>
              <w:rPr/>
              <w:t>1,176,000.00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横沥镇隔坑南片区控制性详细规划编制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2"/>
            </w:pPr>
            <w:r>
              <w:rPr>
                <w:b/>
                <w:sz w:val="21"/>
              </w:rPr>
              <w:t>一、项目背景</w:t>
            </w:r>
          </w:p>
          <w:p>
            <w:pPr>
              <w:ind w:firstLine="420"/>
            </w:pPr>
            <w:r>
              <w:rPr>
                <w:sz w:val="21"/>
              </w:rPr>
              <w:t>横沥镇隔坑南片区现状产业资源较好，具备工改工等产业提质条件，但目前无控规覆盖，由于法定规划的缺失，长期影响了片区的经济发展和项目落地，也制约了横沥镇的良性发展。为完善规划管控，横沥镇政府计划启动该片区控规编制，结合上层次规划落实片区用地功能布局、道路交通规划以及各项配套设施，以指导片区内项目建设。基于上述背景，启动本次横沥镇隔坑南片区控规编制工作。</w:t>
            </w:r>
          </w:p>
          <w:p>
            <w:pPr>
              <w:ind w:firstLine="422"/>
            </w:pPr>
            <w:r>
              <w:rPr>
                <w:b/>
                <w:sz w:val="21"/>
              </w:rPr>
              <w:t>二、项目范围</w:t>
            </w:r>
          </w:p>
          <w:p>
            <w:pPr>
              <w:ind w:firstLine="420"/>
            </w:pPr>
            <w:r>
              <w:rPr>
                <w:sz w:val="21"/>
              </w:rPr>
              <w:t>本项目位于横沥在隔坑村南部，寒溪河以南，紧邻东坑镇。范围北至寒溪河，西临横东路，南至上车岗公路，东至上龙路，项目范围面积约</w:t>
            </w:r>
            <w:r>
              <w:rPr>
                <w:sz w:val="21"/>
              </w:rPr>
              <w:t>81.5公顷。</w:t>
            </w:r>
          </w:p>
          <w:p>
            <w:pPr>
              <w:ind w:firstLine="422"/>
            </w:pPr>
            <w:r>
              <w:rPr>
                <w:b/>
                <w:sz w:val="21"/>
              </w:rPr>
              <w:t>三、工作内容</w:t>
            </w:r>
          </w:p>
          <w:p>
            <w:pPr>
              <w:ind w:firstLine="420"/>
            </w:pPr>
            <w:r>
              <w:rPr>
                <w:sz w:val="21"/>
              </w:rPr>
              <w:t>结合国土空间总体规划要求，遵循相关标准和规范要求，对片区进行系统性规划设计，统筹协调项目的各类限制性因素，优化梳理片区交通组织、完善服务配套，提高城市品质。</w:t>
            </w:r>
            <w:r>
              <w:rPr>
                <w:sz w:val="21"/>
              </w:rPr>
              <w:t>主要工作内容分为五部分：</w:t>
            </w:r>
          </w:p>
          <w:p>
            <w:pPr>
              <w:ind w:firstLine="420"/>
            </w:pPr>
            <w:r>
              <w:rPr>
                <w:sz w:val="21"/>
              </w:rPr>
              <w:t>1</w:t>
            </w:r>
            <w:r>
              <w:rPr>
                <w:sz w:val="21"/>
              </w:rPr>
              <w:t>、连片工改工统筹</w:t>
            </w:r>
          </w:p>
          <w:p>
            <w:pPr>
              <w:ind w:firstLine="420"/>
            </w:pPr>
            <w:r>
              <w:rPr>
                <w:sz w:val="21"/>
              </w:rPr>
              <w:t>（</w:t>
            </w:r>
            <w:r>
              <w:rPr>
                <w:sz w:val="21"/>
              </w:rPr>
              <w:t>1）现状摸查与问题剖析</w:t>
            </w:r>
          </w:p>
          <w:p>
            <w:pPr>
              <w:ind w:firstLine="420"/>
            </w:pPr>
            <w:r>
              <w:rPr>
                <w:sz w:val="21"/>
              </w:rPr>
              <w:t>通过对片区区域道路交通系统现状情况进行调查和分析，并结合研究区域相关规划定位与规模，对影响区域现状交通特征及存在问题进行分析（主要包括：项目周边土地利用、道路系统、交通流量、公共交通、慢行系统及停车设施现状）。</w:t>
            </w:r>
          </w:p>
          <w:p>
            <w:pPr>
              <w:ind w:firstLine="420"/>
            </w:pPr>
            <w:r>
              <w:rPr>
                <w:sz w:val="21"/>
              </w:rPr>
              <w:t>（</w:t>
            </w:r>
            <w:r>
              <w:rPr>
                <w:sz w:val="21"/>
              </w:rPr>
              <w:t>2）发展策划：结合上位要求、区位背景、现状等研究片区发展方向、开发方式，确定发展目标、产业发展方向，识别发展重点，提出发展策略，指导城市更新和用地开发。</w:t>
            </w:r>
          </w:p>
          <w:p>
            <w:pPr>
              <w:ind w:firstLine="420"/>
            </w:pPr>
            <w:r>
              <w:rPr>
                <w:sz w:val="21"/>
              </w:rPr>
              <w:t>（</w:t>
            </w:r>
            <w:r>
              <w:rPr>
                <w:sz w:val="21"/>
              </w:rPr>
              <w:t>3）规划统筹：确定用地功能、公共设施、道路交通、建筑量等内容。</w:t>
            </w:r>
          </w:p>
          <w:p>
            <w:pPr>
              <w:ind w:firstLine="420"/>
            </w:pPr>
            <w:r>
              <w:rPr>
                <w:sz w:val="21"/>
              </w:rPr>
              <w:t>（</w:t>
            </w:r>
            <w:r>
              <w:rPr>
                <w:sz w:val="21"/>
              </w:rPr>
              <w:t>4）空间管控研究：形成城市设计总平面图、片区城市设计管控图则，指导后续各单元城市设计管控。</w:t>
            </w:r>
          </w:p>
          <w:p>
            <w:pPr>
              <w:ind w:firstLine="420"/>
            </w:pPr>
            <w:r>
              <w:rPr>
                <w:sz w:val="21"/>
              </w:rPr>
              <w:t>2</w:t>
            </w:r>
            <w:r>
              <w:rPr>
                <w:sz w:val="21"/>
              </w:rPr>
              <w:t>、控规编制</w:t>
            </w:r>
          </w:p>
          <w:p>
            <w:pPr>
              <w:ind w:firstLine="420"/>
            </w:pPr>
            <w:r>
              <w:rPr>
                <w:sz w:val="21"/>
              </w:rPr>
              <w:t>根据国家、省、市相关规范和标准要求，将控规编制内容分解为单元、街坊、地块三个层级，建立</w:t>
            </w:r>
            <w:r>
              <w:rPr>
                <w:sz w:val="21"/>
              </w:rPr>
              <w:t>“控规单元-街坊-地块”三级管控体系。新编控规区分增量地区、存量地区、历史保护区、战略预控区等不同类型，明确单元范围内不同类型地区的规划编制重点，完善片区控规编制工作。主要包括项目编制背景、上层次规划要求解读、用地功能布局、道路交通规划、规划影响评估等方面内容。</w:t>
            </w:r>
          </w:p>
          <w:p>
            <w:pPr>
              <w:ind w:firstLine="420"/>
            </w:pPr>
            <w:r>
              <w:rPr>
                <w:sz w:val="21"/>
              </w:rPr>
              <w:t>项目编制背景：镇（街道）、园区对该控规编制的考虑和诉求；对单元的初步发展意愿、需要落实的项目、近期发展的区域、希望通过控规解决的问题；</w:t>
            </w:r>
          </w:p>
          <w:p>
            <w:pPr>
              <w:ind w:firstLine="420"/>
            </w:pPr>
            <w:r>
              <w:rPr>
                <w:sz w:val="21"/>
              </w:rPr>
              <w:t>规划依据：说明本控规所依据的法规、条例、标准、规范、政府文件以及已批复的上位规划及相关规划、相关行政许可；</w:t>
            </w:r>
          </w:p>
          <w:p>
            <w:pPr>
              <w:ind w:firstLine="420"/>
            </w:pPr>
            <w:r>
              <w:rPr>
                <w:sz w:val="21"/>
              </w:rPr>
              <w:t>上层次规划要求解读：梳理提炼国土空间总体规划、生态控制线规划、工业保护线规划、轨道交通网络规划等上位规划和各类控制线对本片区的管控要求。说明片区是否存在已批项目处理、设施挂账等问题；</w:t>
            </w:r>
          </w:p>
          <w:p>
            <w:pPr>
              <w:ind w:firstLine="420"/>
            </w:pPr>
            <w:r>
              <w:rPr>
                <w:sz w:val="21"/>
              </w:rPr>
              <w:t>功能定位：明确本控规单元的功能定位、发展策略、发展目标；</w:t>
            </w:r>
          </w:p>
          <w:p>
            <w:pPr>
              <w:ind w:firstLine="420"/>
            </w:pPr>
            <w:r>
              <w:rPr>
                <w:sz w:val="21"/>
              </w:rPr>
              <w:t>发展规模：明确本控规单元的总建设用地面积、总建筑面积，控制的总人口数量等内容；</w:t>
            </w:r>
          </w:p>
          <w:p>
            <w:pPr>
              <w:ind w:firstLine="420"/>
            </w:pPr>
            <w:r>
              <w:rPr>
                <w:sz w:val="21"/>
              </w:rPr>
              <w:t>用地功能布局：根据上层次规划要求落实片区内用地功能，并进行相关规划说明；</w:t>
            </w:r>
          </w:p>
          <w:p>
            <w:pPr>
              <w:ind w:firstLine="420"/>
            </w:pPr>
            <w:r>
              <w:rPr>
                <w:sz w:val="21"/>
              </w:rPr>
              <w:t>道路交通规划：明确本控规单元轨道（国铁、城际线、地铁等）、高快速路、城市道路等的综合交通体系，明确城市道路网的规划结构和规划要求，提出交通设施和静态交通的规划布局和管控要求，以及公共交通、慢行交通的规划要求。</w:t>
            </w:r>
          </w:p>
          <w:p>
            <w:pPr>
              <w:ind w:firstLine="420"/>
            </w:pPr>
            <w:r>
              <w:rPr>
                <w:sz w:val="21"/>
              </w:rPr>
              <w:t>规划影响评估：对片区规划落实后对公共服务、交通、市政等各方面承载能力进行评估，确保规划方案可行。</w:t>
            </w:r>
          </w:p>
          <w:p>
            <w:pPr>
              <w:ind w:firstLine="420"/>
            </w:pPr>
            <w:r>
              <w:rPr>
                <w:sz w:val="21"/>
              </w:rPr>
              <w:t>3</w:t>
            </w:r>
            <w:r>
              <w:rPr>
                <w:sz w:val="21"/>
              </w:rPr>
              <w:t>、交通专项规划</w:t>
            </w:r>
          </w:p>
          <w:p>
            <w:pPr>
              <w:ind w:firstLine="420"/>
            </w:pPr>
            <w:r>
              <w:rPr>
                <w:sz w:val="21"/>
              </w:rPr>
              <w:t>为完善片区道路和各项交通设施规划布局，满足片区开发需求，对片区及周边道路交通进行专项研究，在现状研判的基础上，结合相关规划提出道路交通网络和各项交通设施优化建议，并对规划道路交通承载能力进行定量评估。</w:t>
            </w:r>
          </w:p>
          <w:p>
            <w:pPr>
              <w:ind w:firstLine="420"/>
            </w:pPr>
            <w:r>
              <w:rPr>
                <w:sz w:val="21"/>
              </w:rPr>
              <w:t>4</w:t>
            </w:r>
            <w:r>
              <w:rPr>
                <w:sz w:val="21"/>
              </w:rPr>
              <w:t>、市政基础设施专项规划</w:t>
            </w:r>
          </w:p>
          <w:p>
            <w:pPr>
              <w:ind w:firstLine="420"/>
            </w:pPr>
            <w:r>
              <w:rPr>
                <w:sz w:val="21"/>
              </w:rPr>
              <w:t>为满足片区给水、雨水、污水、电力、通信、燃气等各项市政基础设施需求，对片区市政基础设施进行专项研究，在现状各项设施供给能力，管线建设进行研判基础上，结合相关规划提出各项设施及相关管线优化措施，以满足片区开发需求。</w:t>
            </w:r>
          </w:p>
          <w:p>
            <w:pPr>
              <w:ind w:firstLine="420"/>
            </w:pPr>
            <w:r>
              <w:rPr>
                <w:sz w:val="21"/>
              </w:rPr>
              <w:t>5</w:t>
            </w:r>
            <w:r>
              <w:rPr>
                <w:sz w:val="21"/>
              </w:rPr>
              <w:t>、公共服务设施专项规划</w:t>
            </w:r>
          </w:p>
          <w:p>
            <w:pPr>
              <w:ind w:firstLine="420"/>
            </w:pPr>
            <w:r>
              <w:rPr>
                <w:sz w:val="21"/>
              </w:rPr>
              <w:t>结合片区新增人口需求，对片区公共服务涉及进行专项评估，结合相关审查要求，主要评估片区教育、医疗、文化、体育、社区商业、开敞空间等各项设施承载能力，确保片区各项规划公共服务设施满足新增人口需求。</w:t>
            </w:r>
          </w:p>
          <w:p>
            <w:pPr>
              <w:ind w:firstLine="422"/>
            </w:pPr>
            <w:r>
              <w:rPr>
                <w:b/>
                <w:sz w:val="21"/>
              </w:rPr>
              <w:t>四、成果要求</w:t>
            </w:r>
          </w:p>
          <w:p>
            <w:pPr>
              <w:ind w:firstLine="420"/>
            </w:pPr>
            <w:r>
              <w:rPr>
                <w:sz w:val="21"/>
              </w:rPr>
              <w:t>项目成果主要包括以下内容：</w:t>
            </w:r>
          </w:p>
          <w:tbl>
            <w:tblPr>
              <w:tblBorders>
                <w:top w:val="none" w:color="000000" w:sz="4"/>
                <w:left w:val="none" w:color="000000" w:sz="4"/>
                <w:bottom w:val="none" w:color="000000" w:sz="4"/>
                <w:right w:val="none" w:color="000000" w:sz="4"/>
                <w:insideH w:val="none"/>
                <w:insideV w:val="none"/>
              </w:tblBorders>
            </w:tblPr>
            <w:tblGrid>
              <w:gridCol w:w="668"/>
              <w:gridCol w:w="3320"/>
              <w:gridCol w:w="1608"/>
            </w:tblGrid>
            <w:tr>
              <w:tc>
                <w:tcPr>
                  <w:tcW w:type="dxa" w:w="668"/>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3320"/>
                  <w:tcBorders>
                    <w:top w:val="single" w:color="000000" w:sz="4"/>
                    <w:left w:val="none" w:color="000000" w:sz="4"/>
                    <w:bottom w:val="single" w:color="000000" w:sz="4"/>
                    <w:right w:val="single" w:color="000000" w:sz="4"/>
                  </w:tcBorders>
                  <w:vAlign w:val="top"/>
                </w:tcPr>
                <w:p>
                  <w:pPr>
                    <w:jc w:val="center"/>
                  </w:pPr>
                  <w:r>
                    <w:rPr>
                      <w:sz w:val="21"/>
                    </w:rPr>
                    <w:t>成果内容</w:t>
                  </w:r>
                </w:p>
              </w:tc>
              <w:tc>
                <w:tcPr>
                  <w:tcW w:type="dxa" w:w="1608"/>
                  <w:tcBorders>
                    <w:top w:val="single" w:color="000000" w:sz="4"/>
                    <w:left w:val="none" w:color="000000" w:sz="4"/>
                    <w:bottom w:val="single" w:color="000000" w:sz="4"/>
                    <w:right w:val="single" w:color="000000" w:sz="4"/>
                  </w:tcBorders>
                  <w:vAlign w:val="top"/>
                </w:tcPr>
                <w:p>
                  <w:pPr>
                    <w:jc w:val="center"/>
                  </w:pPr>
                  <w:r>
                    <w:rPr>
                      <w:sz w:val="21"/>
                    </w:rPr>
                    <w:t>成果形式</w:t>
                  </w:r>
                </w:p>
              </w:tc>
            </w:tr>
            <w:tr>
              <w:tc>
                <w:tcPr>
                  <w:tcW w:type="dxa" w:w="66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0"/>
                  <w:tcBorders>
                    <w:top w:val="none" w:color="000000" w:sz="4"/>
                    <w:left w:val="none" w:color="000000" w:sz="4"/>
                    <w:bottom w:val="single" w:color="000000" w:sz="4"/>
                    <w:right w:val="single" w:color="000000" w:sz="4"/>
                  </w:tcBorders>
                  <w:vAlign w:val="top"/>
                </w:tcPr>
                <w:p>
                  <w:pPr>
                    <w:jc w:val="center"/>
                  </w:pPr>
                  <w:r>
                    <w:rPr>
                      <w:sz w:val="21"/>
                    </w:rPr>
                    <w:t>成果文本合订本（含相关附图）</w:t>
                  </w:r>
                </w:p>
              </w:tc>
              <w:tc>
                <w:tcPr>
                  <w:tcW w:type="dxa" w:w="1608"/>
                  <w:tcBorders>
                    <w:top w:val="none" w:color="000000" w:sz="4"/>
                    <w:left w:val="none" w:color="000000" w:sz="4"/>
                    <w:bottom w:val="single" w:color="000000" w:sz="4"/>
                    <w:right w:val="single" w:color="000000" w:sz="4"/>
                  </w:tcBorders>
                  <w:vAlign w:val="top"/>
                </w:tcPr>
                <w:p>
                  <w:pPr>
                    <w:jc w:val="center"/>
                  </w:pPr>
                  <w:r>
                    <w:rPr>
                      <w:sz w:val="21"/>
                    </w:rPr>
                    <w:t>A4幅面，陆份</w:t>
                  </w:r>
                </w:p>
              </w:tc>
            </w:tr>
            <w:tr>
              <w:tc>
                <w:tcPr>
                  <w:tcW w:type="dxa" w:w="66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0"/>
                  <w:tcBorders>
                    <w:top w:val="none" w:color="000000" w:sz="4"/>
                    <w:left w:val="none" w:color="000000" w:sz="4"/>
                    <w:bottom w:val="single" w:color="000000" w:sz="4"/>
                    <w:right w:val="single" w:color="000000" w:sz="4"/>
                  </w:tcBorders>
                  <w:vAlign w:val="top"/>
                </w:tcPr>
                <w:p>
                  <w:pPr>
                    <w:jc w:val="center"/>
                  </w:pPr>
                  <w:r>
                    <w:rPr>
                      <w:sz w:val="21"/>
                    </w:rPr>
                    <w:t>成果电子文件光盘</w:t>
                  </w:r>
                </w:p>
              </w:tc>
              <w:tc>
                <w:tcPr>
                  <w:tcW w:type="dxa" w:w="1608"/>
                  <w:tcBorders>
                    <w:top w:val="none" w:color="000000" w:sz="4"/>
                    <w:left w:val="none" w:color="000000" w:sz="4"/>
                    <w:bottom w:val="single" w:color="000000" w:sz="4"/>
                    <w:right w:val="single" w:color="000000" w:sz="4"/>
                  </w:tcBorders>
                  <w:vAlign w:val="top"/>
                </w:tcPr>
                <w:p>
                  <w:pPr>
                    <w:jc w:val="center"/>
                  </w:pPr>
                  <w:r>
                    <w:rPr>
                      <w:sz w:val="21"/>
                    </w:rPr>
                    <w:t>陆份</w:t>
                  </w:r>
                </w:p>
              </w:tc>
            </w:tr>
          </w:tbl>
          <w:p>
            <w:pPr>
              <w:ind w:firstLine="420"/>
            </w:pPr>
            <w:r>
              <w:rPr>
                <w:sz w:val="21"/>
              </w:rPr>
              <w:t>成果具体要求如下：</w:t>
            </w:r>
          </w:p>
          <w:p>
            <w:pPr>
              <w:ind w:firstLine="420"/>
            </w:pPr>
            <w:r>
              <w:rPr>
                <w:sz w:val="21"/>
              </w:rPr>
              <w:t>1、成果文本应准确、完整地阐述研究范围、数据统计分析，完整地阐述目的、要求、内容所提到的相关内容；</w:t>
            </w:r>
          </w:p>
          <w:p>
            <w:pPr>
              <w:ind w:firstLine="420"/>
            </w:pPr>
            <w:r>
              <w:rPr>
                <w:sz w:val="21"/>
              </w:rPr>
              <w:t>2、图纸必须做到清晰、完整、尺寸齐全、准确，同类图纸规格应尽量统一；</w:t>
            </w:r>
          </w:p>
          <w:p>
            <w:pPr>
              <w:ind w:firstLine="420"/>
            </w:pPr>
            <w:r>
              <w:rPr>
                <w:sz w:val="21"/>
              </w:rPr>
              <w:t>3、研究成果应符合国家或本省、市相关的法律、法规、条例、规范、标准等；</w:t>
            </w:r>
          </w:p>
          <w:p>
            <w:pPr>
              <w:ind w:firstLine="420"/>
            </w:pPr>
            <w:r>
              <w:rPr>
                <w:sz w:val="21"/>
              </w:rPr>
              <w:t>4、全部设计成果均应制作计算机文件，文本文件采用Microsoft office2003或以上的格式文件，图形文件采用ArcGIS格式文件或符合数据库要求的标准矢量CAD格式 、JPG格式。</w:t>
            </w:r>
          </w:p>
          <w:p>
            <w:pPr>
              <w:ind w:firstLine="422"/>
            </w:pPr>
            <w:r>
              <w:rPr>
                <w:b/>
                <w:sz w:val="21"/>
              </w:rPr>
              <w:t>五、编制周期</w:t>
            </w:r>
          </w:p>
          <w:p>
            <w:pPr>
              <w:ind w:firstLine="420"/>
            </w:pPr>
            <w:r>
              <w:rPr>
                <w:sz w:val="21"/>
              </w:rPr>
              <w:t>根据本项目工作内容，预计编制时间约</w:t>
            </w:r>
            <w:r>
              <w:rPr>
                <w:sz w:val="21"/>
              </w:rPr>
              <w:t>6个月。</w:t>
            </w:r>
          </w:p>
          <w:p>
            <w:pPr>
              <w:ind w:firstLine="420"/>
            </w:pPr>
            <w:r>
              <w:rPr>
                <w:sz w:val="21"/>
              </w:rPr>
              <w:t>1、规划方案编制阶段</w:t>
            </w:r>
          </w:p>
          <w:p>
            <w:pPr>
              <w:ind w:firstLine="420"/>
            </w:pPr>
            <w:r>
              <w:rPr>
                <w:sz w:val="21"/>
              </w:rPr>
              <w:t>成交人根据采购人提供的资料，项目诉求，进行现状调研、规划解读、发展判断、城市设计、交通及市政研究、控规调整论证、总规完善说明、地块包装研究，形成调整报告。约</w:t>
            </w:r>
            <w:r>
              <w:rPr>
                <w:sz w:val="21"/>
              </w:rPr>
              <w:t>8周内完成。</w:t>
            </w:r>
          </w:p>
          <w:p>
            <w:pPr>
              <w:ind w:firstLine="420"/>
            </w:pPr>
            <w:r>
              <w:rPr>
                <w:sz w:val="21"/>
              </w:rPr>
              <w:t>2、镇街审查阶段：调整报告报镇规划所审查后，上报镇党委会议审查，约4周内完成。</w:t>
            </w:r>
          </w:p>
          <w:p>
            <w:pPr>
              <w:ind w:firstLine="420"/>
            </w:pPr>
            <w:r>
              <w:rPr>
                <w:sz w:val="21"/>
              </w:rPr>
              <w:t>3、松山湖自然资源局审查：系统申报、业务科室技术审查、分管领导会审议，约4周内完成。</w:t>
            </w:r>
          </w:p>
          <w:p>
            <w:pPr>
              <w:ind w:firstLine="420"/>
            </w:pPr>
            <w:r>
              <w:rPr>
                <w:sz w:val="21"/>
              </w:rPr>
              <w:t>4、批前公示：为期一个月。</w:t>
            </w:r>
          </w:p>
          <w:p>
            <w:pPr>
              <w:ind w:firstLine="420"/>
            </w:pPr>
            <w:r>
              <w:rPr>
                <w:sz w:val="21"/>
              </w:rPr>
              <w:t>5、规委会审议：公示结束，公众意见（若有）处理完毕后，即可报送市控规委员会审议，一般每月一次。</w:t>
            </w:r>
          </w:p>
          <w:p>
            <w:pPr>
              <w:ind w:firstLine="420"/>
            </w:pPr>
            <w:r>
              <w:rPr>
                <w:sz w:val="21"/>
              </w:rPr>
              <w:t>6、批后公告：项目通过规委审议并获市政府批复通过后，公告备案实施。</w:t>
            </w:r>
          </w:p>
          <w:p>
            <w:r>
              <w:rPr>
                <w:sz w:val="21"/>
              </w:rPr>
              <w:t xml:space="preserve">    注：以上时间不包括市主管部门审查中提出修改意见反复修改的时间。</w:t>
            </w:r>
          </w:p>
          <w:p>
            <w:r>
              <w:rPr/>
              <w:t xml:space="preserve">    </w:t>
            </w:r>
            <w:r>
              <w:rPr>
                <w:b/>
                <w:sz w:val="21"/>
              </w:rPr>
              <w:t>六、本项目规划范围示意图</w:t>
            </w:r>
          </w:p>
          <w:p>
            <w:r>
              <w:rPr>
                <w:b/>
              </w:rPr>
              <w:t xml:space="preserve">    </w:t>
            </w:r>
            <w:r>
              <w:drawing>
                <wp:inline distT="0" distR="0" distB="0" distL="0">
                  <wp:extent cx="3554729" cy="2720658"/>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2720658"/>
                          </a:xfrm>
                          <a:prstGeom prst="rect">
                            <a:avLst/>
                          </a:prstGeom>
                        </pic:spPr>
                      </pic:pic>
                    </a:graphicData>
                  </a:graphic>
                </wp:inline>
              </w:drawing>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1.采购代理机构：本项目是指广东政通招标有限公司，负责整个采购活动的组织，依法负责编制和发布磋商文件，对磋商文件拥有最终的解释权，不以任何身份出任磋商小组成员。</w:t>
      </w:r>
    </w:p>
    <w:p>
      <w:pPr>
        <w:ind w:firstLine="480"/>
      </w:pPr>
      <w:r>
        <w:rPr/>
        <w:t>2.采购人：本项目是指</w:t>
      </w:r>
      <w:r>
        <w:rPr/>
        <w:t>东莞市横沥镇规划管理所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无：本项目兼投兼中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60分钟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薛先生</w:t>
      </w:r>
    </w:p>
    <w:p>
      <w:pPr>
        <w:ind w:firstLine="480"/>
      </w:pPr>
      <w:r>
        <w:rPr/>
        <w:t>电话：</w:t>
      </w:r>
      <w:r>
        <w:rPr/>
        <w:t>0769-22881803</w:t>
      </w:r>
    </w:p>
    <w:p>
      <w:pPr>
        <w:ind w:firstLine="480"/>
      </w:pPr>
      <w:r>
        <w:rPr/>
        <w:t>传真：</w:t>
      </w:r>
      <w:r>
        <w:rPr/>
        <w:t>0769-22881803</w:t>
      </w:r>
    </w:p>
    <w:p>
      <w:pPr>
        <w:ind w:firstLine="480"/>
      </w:pPr>
      <w:r>
        <w:rPr/>
        <w:t>邮箱：</w:t>
      </w:r>
      <w:r>
        <w:rPr/>
        <w:t>839460116@qq.com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横沥镇隔坑南片区控制性详细规划编制)：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广东政通招标有限公司</w:t>
      </w:r>
      <w:r>
        <w:rPr/>
        <w:t>统一对外发布。</w:t>
      </w:r>
    </w:p>
    <w:p>
      <w:pPr>
        <w:ind w:firstLine="480"/>
      </w:pPr>
      <w:r>
        <w:rPr/>
        <w:t>（2）对</w:t>
      </w:r>
      <w:r>
        <w:rPr/>
        <w:t>广东政通招标有限公司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采购包1（横沥镇隔坑南片区控制性详细规划编制）：</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10%，即：评标价=最后报价×（1-10%）;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采购包1（横沥镇隔坑南片区控制性详细规划编制）：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特殊要求</w:t>
            </w:r>
          </w:p>
        </w:tc>
        <w:tc>
          <w:tcPr>
            <w:tcW w:type="dxa" w:w="4238"/>
          </w:tcPr>
          <w:p>
            <w:r>
              <w:rPr/>
              <w:t>供应商须具备有效期内的城乡规划编制乙级（含）以上资质证书。 注：须提供证书复印件，加盖供应商公章。</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采购包1（横沥镇隔坑南片区控制性详细规划编制）：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已按规定格式编制及盖章、签署，磋商有效期满足采购文件要求。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响应文件内容、签署、盖章</w:t>
            </w:r>
          </w:p>
        </w:tc>
        <w:tc>
          <w:tcPr>
            <w:tcW w:type="dxa" w:w="4238"/>
          </w:tcPr>
          <w:p>
            <w:r>
              <w:rPr/>
              <w:t>响应文件内容完整，无重大错漏，并已按磋商文件要求盖章、签署。</w:t>
            </w:r>
          </w:p>
        </w:tc>
      </w:tr>
      <w:tr>
        <w:tc>
          <w:tcPr>
            <w:tcW w:type="dxa" w:w="890"/>
          </w:tcPr>
          <w:p>
            <w:r>
              <w:rPr/>
              <w:t>4</w:t>
            </w:r>
          </w:p>
        </w:tc>
        <w:tc>
          <w:tcPr>
            <w:tcW w:type="dxa" w:w="3178"/>
          </w:tcPr>
          <w:p>
            <w:r>
              <w:rPr/>
              <w:t>响应报价</w:t>
            </w:r>
          </w:p>
        </w:tc>
        <w:tc>
          <w:tcPr>
            <w:tcW w:type="dxa" w:w="4238"/>
          </w:tcPr>
          <w:p>
            <w:r>
              <w:rPr/>
              <w:t>供应商的响应报价无超出项目预算金额。</w:t>
            </w:r>
          </w:p>
        </w:tc>
      </w:tr>
      <w:tr>
        <w:tc>
          <w:tcPr>
            <w:tcW w:type="dxa" w:w="890"/>
          </w:tcPr>
          <w:p>
            <w:r>
              <w:rPr/>
              <w:t>5</w:t>
            </w:r>
          </w:p>
        </w:tc>
        <w:tc>
          <w:tcPr>
            <w:tcW w:type="dxa" w:w="3178"/>
          </w:tcPr>
          <w:p>
            <w:r>
              <w:rPr/>
              <w:t>商务审查</w:t>
            </w:r>
          </w:p>
        </w:tc>
        <w:tc>
          <w:tcPr>
            <w:tcW w:type="dxa" w:w="4238"/>
          </w:tcPr>
          <w:p>
            <w:r>
              <w:rPr/>
              <w:t>商务条款满足磋商文件要求。</w:t>
            </w:r>
          </w:p>
        </w:tc>
      </w:tr>
      <w:tr>
        <w:tc>
          <w:tcPr>
            <w:tcW w:type="dxa" w:w="890"/>
          </w:tcPr>
          <w:p>
            <w:r>
              <w:rPr/>
              <w:t>6</w:t>
            </w:r>
          </w:p>
        </w:tc>
        <w:tc>
          <w:tcPr>
            <w:tcW w:type="dxa" w:w="3178"/>
          </w:tcPr>
          <w:p>
            <w:r>
              <w:rPr/>
              <w:t>技术审查</w:t>
            </w:r>
          </w:p>
        </w:tc>
        <w:tc>
          <w:tcPr>
            <w:tcW w:type="dxa" w:w="4238"/>
          </w:tcPr>
          <w:p>
            <w:r>
              <w:rPr/>
              <w:t>技术条款满足磋商文件要求。</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无效情形</w:t>
            </w:r>
          </w:p>
        </w:tc>
        <w:tc>
          <w:tcPr>
            <w:tcW w:type="dxa" w:w="4238"/>
          </w:tcPr>
          <w:p>
            <w:r>
              <w:rPr/>
              <w:t>响应文件中未有法律、法规和磋商文件规定的其他无效情形。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采购包1(横沥镇隔坑南片区控制性详细规划编制):</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商务部分50.0分</w:t>
            </w:r>
          </w:p>
          <w:p>
            <w:r>
              <w:rPr/>
              <w:t>技术部分40.0分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对项目的认知与理解 (12.0分)</w:t>
            </w:r>
            <w:r>
              <w:rPr/>
              <w:t>，（等次分值选择：</w:t>
            </w:r>
            <w:r>
              <w:rPr/>
              <w:t>0.0;</w:t>
            </w:r>
            <w:r>
              <w:rPr/>
              <w:t>4.0;</w:t>
            </w:r>
            <w:r>
              <w:rPr/>
              <w:t>8.0;</w:t>
            </w:r>
            <w:r>
              <w:rPr/>
              <w:t>12.0;</w:t>
            </w:r>
            <w:r>
              <w:rPr/>
              <w:t>）</w:t>
            </w:r>
          </w:p>
        </w:tc>
        <w:tc>
          <w:tcPr>
            <w:tcW w:type="dxa" w:w="5076"/>
          </w:tcPr>
          <w:p>
            <w:pPr>
              <w:jc w:val="left"/>
            </w:pPr>
            <w:r>
              <w:rPr/>
              <w:t>根据供应商对项目的认知与理解进行综合评比： （1）供应商对项目的分析、工作方向解读内容等科学、合理、准确的得12分； （2）供应商对项目的分析研究、工作方向解读内容较合理的得8分； （3）供应商对项目的分析研究、工作方向解读内容基本合理的得4分； （4）未提供对应方案不得分。</w:t>
            </w:r>
          </w:p>
        </w:tc>
      </w:tr>
      <w:tr>
        <w:tc>
          <w:tcPr>
            <w:tcW w:type="dxa" w:w="922"/>
            <w:gridSpan w:val="2"/>
            <w:vMerge/>
          </w:tcPr>
          <w:p/>
        </w:tc>
        <w:tc>
          <w:tcPr>
            <w:tcW w:type="dxa" w:w="2307"/>
          </w:tcPr>
          <w:p>
            <w:pPr>
              <w:jc w:val="left"/>
            </w:pPr>
            <w:r>
              <w:rPr/>
              <w:t>对规划体系的认识 (10.0分)</w:t>
            </w:r>
            <w:r>
              <w:rPr/>
              <w:t>，（等次分值选择：</w:t>
            </w:r>
            <w:r>
              <w:rPr/>
              <w:t>0.0;</w:t>
            </w:r>
            <w:r>
              <w:rPr/>
              <w:t>4.0;</w:t>
            </w:r>
            <w:r>
              <w:rPr/>
              <w:t>7.0;</w:t>
            </w:r>
            <w:r>
              <w:rPr/>
              <w:t>10.0;</w:t>
            </w:r>
            <w:r>
              <w:rPr/>
              <w:t>）</w:t>
            </w:r>
          </w:p>
        </w:tc>
        <w:tc>
          <w:tcPr>
            <w:tcW w:type="dxa" w:w="5076"/>
          </w:tcPr>
          <w:p>
            <w:pPr>
              <w:jc w:val="left"/>
            </w:pPr>
            <w:r>
              <w:rPr/>
              <w:t>根据供应商对东莞市国土空间规划、控规编制等工作的理解认识程度进行综合评审： （1）供应商对国土空间规划、控规编制工作有深刻的认识，得10分； （2）供应商对国土空间规划、控规编制工作有一定的认识，得7分 （3）供应商对国土空间规划、控规编制工作认识程度较差，得4分； （4）未提供对应方案不得分。</w:t>
            </w:r>
          </w:p>
        </w:tc>
      </w:tr>
      <w:tr>
        <w:tc>
          <w:tcPr>
            <w:tcW w:type="dxa" w:w="922"/>
            <w:gridSpan w:val="2"/>
            <w:vMerge/>
          </w:tcPr>
          <w:p/>
        </w:tc>
        <w:tc>
          <w:tcPr>
            <w:tcW w:type="dxa" w:w="2307"/>
          </w:tcPr>
          <w:p>
            <w:pPr>
              <w:jc w:val="left"/>
            </w:pPr>
            <w:r>
              <w:rPr/>
              <w:t>项目质量保障 (5.0分)</w:t>
            </w:r>
            <w:r>
              <w:rPr/>
              <w:t>，（等次分值选择：</w:t>
            </w:r>
            <w:r>
              <w:rPr/>
              <w:t>0.0;</w:t>
            </w:r>
            <w:r>
              <w:rPr/>
              <w:t>1.0;</w:t>
            </w:r>
            <w:r>
              <w:rPr/>
              <w:t>3.0;</w:t>
            </w:r>
            <w:r>
              <w:rPr/>
              <w:t>5.0;</w:t>
            </w:r>
            <w:r>
              <w:rPr/>
              <w:t>）</w:t>
            </w:r>
          </w:p>
        </w:tc>
        <w:tc>
          <w:tcPr>
            <w:tcW w:type="dxa" w:w="5076"/>
          </w:tcPr>
          <w:p>
            <w:pPr>
              <w:jc w:val="left"/>
            </w:pPr>
            <w:r>
              <w:rPr/>
              <w:t>根据供应商提供的项目质量保证措施方案进行综合评审； （1）项目质量保证措施方案可行性强，内容描述详细、合理，得5分； （2）项目质量保证措施方案基本可行，内容描述一般，得3分； （3）项目质量保证措施方案可行性较差，内容描述较差，得1分； （4）未提供方案不得分。</w:t>
            </w:r>
          </w:p>
        </w:tc>
      </w:tr>
      <w:tr>
        <w:tc>
          <w:tcPr>
            <w:tcW w:type="dxa" w:w="922"/>
            <w:gridSpan w:val="2"/>
            <w:vMerge/>
          </w:tcPr>
          <w:p/>
        </w:tc>
        <w:tc>
          <w:tcPr>
            <w:tcW w:type="dxa" w:w="2307"/>
          </w:tcPr>
          <w:p>
            <w:pPr>
              <w:jc w:val="left"/>
            </w:pPr>
            <w:r>
              <w:rPr/>
              <w:t>对本项目的建设性意见与建议 (5.0分)</w:t>
            </w:r>
            <w:r>
              <w:rPr/>
              <w:t>，（等次分值选择：</w:t>
            </w:r>
            <w:r>
              <w:rPr/>
              <w:t>0.0;</w:t>
            </w:r>
            <w:r>
              <w:rPr/>
              <w:t>1.0;</w:t>
            </w:r>
            <w:r>
              <w:rPr/>
              <w:t>3.0;</w:t>
            </w:r>
            <w:r>
              <w:rPr/>
              <w:t>5.0;</w:t>
            </w:r>
            <w:r>
              <w:rPr/>
              <w:t>）</w:t>
            </w:r>
          </w:p>
        </w:tc>
        <w:tc>
          <w:tcPr>
            <w:tcW w:type="dxa" w:w="5076"/>
          </w:tcPr>
          <w:p>
            <w:pPr>
              <w:jc w:val="left"/>
            </w:pPr>
            <w:r>
              <w:rPr/>
              <w:t>根据供应商针对本项目提出的建设性意见与建议方案进行综合评审： （1）建设性意见与建议方案具体、合理，可行性强，得5分； （2）建设性意见与建议方案较合理，可行性一般，得3分； （3）建设性意见与建议方案不够合理，可行性较差，得1分； （4）未提供方案不得分。</w:t>
            </w:r>
          </w:p>
        </w:tc>
      </w:tr>
      <w:tr>
        <w:tc>
          <w:tcPr>
            <w:tcW w:type="dxa" w:w="922"/>
            <w:gridSpan w:val="2"/>
            <w:vMerge/>
          </w:tcPr>
          <w:p/>
        </w:tc>
        <w:tc>
          <w:tcPr>
            <w:tcW w:type="dxa" w:w="2307"/>
          </w:tcPr>
          <w:p>
            <w:pPr>
              <w:jc w:val="left"/>
            </w:pPr>
            <w:r>
              <w:rPr/>
              <w:t>拟投入项目负责人 (3.5分)</w:t>
            </w:r>
          </w:p>
        </w:tc>
        <w:tc>
          <w:tcPr>
            <w:tcW w:type="dxa" w:w="5076"/>
          </w:tcPr>
          <w:p>
            <w:pPr>
              <w:jc w:val="left"/>
            </w:pPr>
            <w:r>
              <w:rPr/>
              <w:t>拟投入项目负责人（仅一人）： ①具有城市规划类高级（或以上）职称及注册城市规划师证书得1.5分，本项满分1.5分； ②承担或参与编制的规划项目获得省级（或以上）奖项得1分，本项满分1分； ③主持过国土空间总体规划的，每个项目得0.5分，最高得0.5分；主持过规划研究类项目的，每个项目得0.5分，最高得0.5分，本项满分1分。注：此项须提供该项目负责人主持编制过项目的合同复印件并加盖公章，并提供由该项目甲方出具的能证明是该项目负责人主持编制的相关证明。 注：须提供相关证明材料复印件和供应商为其购买的距开标前 6个月任意一个月（不含开标当月）的社保缴纳情况复印件加盖供应商公章。</w:t>
            </w:r>
          </w:p>
        </w:tc>
      </w:tr>
      <w:tr>
        <w:tc>
          <w:tcPr>
            <w:tcW w:type="dxa" w:w="922"/>
            <w:gridSpan w:val="2"/>
            <w:vMerge/>
          </w:tcPr>
          <w:p/>
        </w:tc>
        <w:tc>
          <w:tcPr>
            <w:tcW w:type="dxa" w:w="2307"/>
          </w:tcPr>
          <w:p>
            <w:pPr>
              <w:jc w:val="left"/>
            </w:pPr>
            <w:r>
              <w:rPr/>
              <w:t>拟投入技术人员 (4.5分)</w:t>
            </w:r>
          </w:p>
        </w:tc>
        <w:tc>
          <w:tcPr>
            <w:tcW w:type="dxa" w:w="5076"/>
          </w:tcPr>
          <w:p>
            <w:pPr>
              <w:jc w:val="left"/>
            </w:pPr>
            <w:r>
              <w:rPr/>
              <w:t>拟投入技术人员（项目负责人除外）： ①具有城市规划类高级（或以上）职称及注册城市规划师执业资格的，每提供一人得0.5分，本项满分2分； ②具有市政设计类高级（或以上）职称及市政设计类注册执业资格的，每提供一人得0.5分，本项满分1.5分； ③具有交通规划类高级（或以上）职称的，得0.5分，本项满分1分； 注：以上人员不得重复计分，提供人员相关证书复印件和供应商为其购买的距开标前 6个月任意一个月（不含开标当月）的社保缴纳情况复印件加盖供应商公章。</w:t>
            </w:r>
          </w:p>
        </w:tc>
      </w:tr>
      <w:tr>
        <w:tc>
          <w:tcPr>
            <w:tcW w:type="dxa" w:w="922"/>
            <w:gridSpan w:val="2"/>
            <w:vMerge w:val="restart"/>
          </w:tcPr>
          <w:p>
            <w:pPr>
              <w:jc w:val="center"/>
            </w:pPr>
            <w:r>
              <w:rPr/>
              <w:t>商务部分</w:t>
            </w:r>
          </w:p>
        </w:tc>
        <w:tc>
          <w:tcPr>
            <w:tcW w:type="dxa" w:w="2307"/>
          </w:tcPr>
          <w:p>
            <w:pPr>
              <w:jc w:val="left"/>
            </w:pPr>
            <w:r>
              <w:rPr/>
              <w:t>业绩情况 (40.0分)</w:t>
            </w:r>
          </w:p>
        </w:tc>
        <w:tc>
          <w:tcPr>
            <w:tcW w:type="dxa" w:w="5076"/>
          </w:tcPr>
          <w:p>
            <w:pPr>
              <w:jc w:val="left"/>
            </w:pPr>
            <w:r>
              <w:rPr/>
              <w:t>1、国土空间总体规划类（10.0分）：①供应商自2018年1月1日以来参与编制过市级（或以上）国土空间总体规划的，每个项目得5分，本项满分5分。 ②供应商自2018年1月1日以承接过国土空间总体规划项目的，每个项目得1分，最高得5分。  2、控制性详细规划类（10.0分）：①供应商自2018年1月1日以来参与过市级（或以上）控制性详细规划编制政策标准研究等项目的，每个项目得5分，本项满分5分； ②供应商自2018年1月1日以来承接过控制性详细规划类项目的，每个项目得1分，本项满分5分。 3、控制性详细规划评估类（10.0分）：①供应商自2018年1月1日以来参与过市级（或以上）控制性详细规划评估优化准则类项目的，每个项目得5分，本项满分5分； ②供应商自2018年1月1日以来承接过规划评估类项目的，每个项目得1分，本项满分5分。 4、专项规划类（10.0分）：①供应商自2018年1月1日以来参与过市级（或以上）专项规划编制指引及审查标准研究类项目的，每个项目得5分，本项满分5分； ②供应商自2018年1月1日以来承接过专项规划类项目的，每个项目得1分，本项满分5分。 注：以合同签订时间为准，提供以上项目的合同关键页复印件并加盖供应商公章，缺少相关证明材料的业绩不予承认；一个合同对应一个业绩，不得重复计算；“承接”指独立编制，“参与”指独立或与其他设计单位联合编制。</w:t>
            </w:r>
          </w:p>
        </w:tc>
      </w:tr>
      <w:tr>
        <w:tc>
          <w:tcPr>
            <w:tcW w:type="dxa" w:w="922"/>
            <w:gridSpan w:val="2"/>
            <w:vMerge/>
          </w:tcPr>
          <w:p/>
        </w:tc>
        <w:tc>
          <w:tcPr>
            <w:tcW w:type="dxa" w:w="2307"/>
          </w:tcPr>
          <w:p>
            <w:pPr>
              <w:jc w:val="left"/>
            </w:pPr>
            <w:r>
              <w:rPr/>
              <w:t>获奖情况 (6.0分)</w:t>
            </w:r>
          </w:p>
        </w:tc>
        <w:tc>
          <w:tcPr>
            <w:tcW w:type="dxa" w:w="5076"/>
          </w:tcPr>
          <w:p>
            <w:pPr>
              <w:jc w:val="left"/>
            </w:pPr>
            <w:r>
              <w:rPr/>
              <w:t>1、供应商承接或参与的控制性详细规划类项目，获得省级或以上奖项的，本项满分2分。 2、供应商承接或参与的生态控制线规划类项目，获得省级或以上奖项的，本项满分2分。 3、供应商承接或参与的地块包装规划研究类项目，获得省级或以上奖项的，本项满分2分。 注：提供获奖证书复印件并加盖供应商公章。</w:t>
            </w:r>
          </w:p>
        </w:tc>
      </w:tr>
      <w:tr>
        <w:tc>
          <w:tcPr>
            <w:tcW w:type="dxa" w:w="922"/>
            <w:gridSpan w:val="2"/>
            <w:vMerge/>
          </w:tcPr>
          <w:p/>
        </w:tc>
        <w:tc>
          <w:tcPr>
            <w:tcW w:type="dxa" w:w="2307"/>
          </w:tcPr>
          <w:p>
            <w:pPr>
              <w:jc w:val="left"/>
            </w:pPr>
            <w:r>
              <w:rPr/>
              <w:t>服务响应时间 (4.0分)</w:t>
            </w:r>
          </w:p>
        </w:tc>
        <w:tc>
          <w:tcPr>
            <w:tcW w:type="dxa" w:w="5076"/>
          </w:tcPr>
          <w:p>
            <w:pPr>
              <w:jc w:val="left"/>
            </w:pPr>
            <w:r>
              <w:rPr/>
              <w:t>根据供应商承诺在接到采购人通知后的响应并到达现场时间情况进行评审： 供应商承诺接到采购人通知后1.5小时（含）内到达采购人指定地点，得4分； 供应商承诺接到采购人通知后2小时（含）内到达采购人指定地点，得2分；  供应商承诺接到采购人通知后3小时（含）内到达采购人指定地点，得1分； 其他情况不得分。 注：须承诺函加盖供应商公章为准，无承诺不得分。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441900014-2023-00076</w:t>
      </w:r>
    </w:p>
    <w:p>
      <w:pPr>
        <w:jc w:val="center"/>
      </w:pPr>
      <w:r>
        <w:rPr>
          <w:b/>
          <w:sz w:val="24"/>
        </w:rPr>
        <w:t>采购项目编号：</w:t>
      </w:r>
      <w:r>
        <w:rPr>
          <w:b/>
          <w:sz w:val="24"/>
        </w:rPr>
        <w:t>441900014-2023-00076</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广东政通招标有限公司</w:t>
      </w:r>
    </w:p>
    <w:p>
      <w:pPr>
        <w:ind w:firstLine="480"/>
      </w:pPr>
      <w:r>
        <w:rPr/>
        <w:t>你方组织的</w:t>
      </w:r>
      <w:r>
        <w:rPr>
          <w:u w:val="single"/>
        </w:rPr>
        <w:t>“</w:t>
      </w:r>
      <w:r>
        <w:rPr>
          <w:u w:val="single"/>
        </w:rPr>
        <w:t>横沥镇隔坑南片区控制性详细规划编制</w:t>
      </w:r>
      <w:r>
        <w:rPr>
          <w:u w:val="single"/>
        </w:rPr>
        <w:t>”</w:t>
      </w:r>
      <w:r>
        <w:rPr/>
        <w:t>项目的竞争性磋商[采购项目编号为：</w:t>
      </w:r>
      <w:r>
        <w:rPr>
          <w:u w:val="single"/>
        </w:rPr>
        <w:t>441900014-2023-00076</w:t>
      </w:r>
      <w:r>
        <w:rPr/>
        <w:t>]，我方愿参与响应。</w:t>
      </w:r>
    </w:p>
    <w:p>
      <w:pPr>
        <w:ind w:firstLine="480"/>
      </w:pPr>
      <w:r>
        <w:rPr/>
        <w:t>我方确认收到贵方提供的</w:t>
      </w:r>
      <w:r>
        <w:rPr>
          <w:u w:val="single"/>
        </w:rPr>
        <w:t>“</w:t>
      </w:r>
      <w:r>
        <w:rPr>
          <w:u w:val="single"/>
        </w:rPr>
        <w:t>横沥镇隔坑南片区控制性详细规划编制</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横沥镇隔坑南片区控制性详细规划编制</w:t>
      </w:r>
      <w:r>
        <w:rPr/>
        <w:t>”项目采购[采购项目编号为</w:t>
      </w:r>
      <w:r>
        <w:rPr/>
        <w:t>441900014-2023-00076</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东莞市横沥镇规划管理所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广东政通招标有限公司</w:t>
      </w:r>
    </w:p>
    <w:p>
      <w:pPr>
        <w:ind w:firstLine="480"/>
      </w:pPr>
      <w:r>
        <w:rPr/>
        <w:t>我单位参加贵公司组织的</w:t>
      </w:r>
      <w:r>
        <w:rPr/>
        <w:t>横沥镇隔坑南片区控制性详细规划编制</w:t>
      </w:r>
      <w:r>
        <w:rPr/>
        <w:t>（采购项目编号：</w:t>
      </w:r>
      <w:r>
        <w:rPr/>
        <w:t>441900014-2023-00076</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横沥镇隔坑南片区控制性详细规划编制</w:t>
      </w:r>
      <w:r>
        <w:rPr/>
        <w:t>”项目（采购项目编号：</w:t>
      </w:r>
      <w:r>
        <w:rPr/>
        <w:t>441900014-2023-00076</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