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竞 争 性 磋 商 文 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441900012-2023-00038</w:t>
      </w:r>
    </w:p>
    <w:p>
      <w:pPr>
        <w:jc w:val="center"/>
      </w:pPr>
      <w:r>
        <w:rPr>
          <w:b/>
          <w:sz w:val="24"/>
        </w:rPr>
        <w:t>采购项目编号：</w:t>
      </w:r>
      <w:r>
        <w:rPr>
          <w:b/>
          <w:sz w:val="24"/>
        </w:rPr>
        <w:t>441900012-2023-00038</w:t>
      </w:r>
    </w:p>
    <w:p>
      <w:pPr>
        <w:jc w:val="center"/>
      </w:pPr>
      <w:r>
        <w:rPr>
          <w:b/>
          <w:sz w:val="24"/>
        </w:rPr>
        <w:t>项目名称：</w:t>
      </w:r>
      <w:r>
        <w:rPr>
          <w:b/>
          <w:sz w:val="24"/>
        </w:rPr>
        <w:t>石排镇2023-2025年内河涌保洁工作</w:t>
      </w:r>
    </w:p>
    <w:p>
      <w:pPr>
        <w:jc w:val="center"/>
      </w:pPr>
      <w:r>
        <w:rPr>
          <w:b/>
          <w:sz w:val="24"/>
        </w:rPr>
        <w:t>采购人：</w:t>
      </w:r>
      <w:r>
        <w:rPr>
          <w:b/>
          <w:sz w:val="24"/>
        </w:rPr>
        <w:t>东莞市石排镇水务工程运营中心</w:t>
      </w:r>
    </w:p>
    <w:p>
      <w:pPr>
        <w:jc w:val="center"/>
      </w:pPr>
      <w:r>
        <w:rPr>
          <w:b/>
          <w:sz w:val="24"/>
        </w:rPr>
        <w:t>采购代理机构：</w:t>
      </w:r>
      <w:r>
        <w:rPr>
          <w:b/>
          <w:sz w:val="24"/>
        </w:rPr>
        <w:t>广东政通招标有限公司</w:t>
      </w:r>
    </w:p>
    <w:p>
      <w:pPr>
        <w:ind w:firstLine="480"/>
      </w:pPr>
    </w:p>
    <w:p>
      <w:r>
        <w:rPr/>
        <w:t xml:space="preserve"> </w:t>
      </w:r>
    </w:p>
    <w:p/>
    <w:p>
      <w:pPr>
        <w:jc w:val="center"/>
      </w:pPr>
      <w:r>
        <w:rPr>
          <w:b/>
          <w:sz w:val="36"/>
        </w:rPr>
        <w:t>第一章 磋商邀请</w:t>
      </w:r>
    </w:p>
    <w:p>
      <w:pPr>
        <w:ind w:firstLine="480"/>
      </w:pPr>
      <w:r>
        <w:rPr/>
        <w:t>广东政通招标有限公司</w:t>
      </w:r>
      <w:r>
        <w:rPr/>
        <w:t>受</w:t>
      </w:r>
      <w:r>
        <w:rPr/>
        <w:t>东莞市石排镇水务工程运营中心</w:t>
      </w:r>
      <w:r>
        <w:rPr/>
        <w:t>的委托，采用</w:t>
      </w:r>
      <w:r>
        <w:rPr/>
        <w:t>竞争性磋商</w:t>
      </w:r>
      <w:r>
        <w:rPr/>
        <w:t>方式组织采购</w:t>
      </w:r>
      <w:r>
        <w:rPr/>
        <w:t>石排镇2023-2025年内河涌保洁工作</w:t>
      </w:r>
      <w:r>
        <w:rPr/>
        <w:t>。欢迎符合资格条件的供应商参加。</w:t>
      </w:r>
    </w:p>
    <w:p>
      <w:r>
        <w:rPr>
          <w:b/>
          <w:sz w:val="28"/>
        </w:rPr>
        <w:t>一.项目概述</w:t>
      </w:r>
    </w:p>
    <w:p>
      <w:r>
        <w:rPr>
          <w:b/>
          <w:sz w:val="24"/>
        </w:rPr>
        <w:t>1.名称与编号</w:t>
      </w:r>
    </w:p>
    <w:p>
      <w:pPr>
        <w:ind w:firstLine="480"/>
      </w:pPr>
      <w:r>
        <w:rPr/>
        <w:t>采购项目名称：</w:t>
      </w:r>
      <w:r>
        <w:rPr/>
        <w:t>石排镇2023-2025年内河涌保洁工作</w:t>
      </w:r>
    </w:p>
    <w:p>
      <w:pPr>
        <w:ind w:firstLine="480"/>
      </w:pPr>
      <w:r>
        <w:rPr/>
        <w:t>采购计划编号：</w:t>
      </w:r>
      <w:r>
        <w:rPr/>
        <w:t>441900012-2023-00038</w:t>
      </w:r>
    </w:p>
    <w:p>
      <w:pPr>
        <w:ind w:firstLine="480"/>
      </w:pPr>
      <w:r>
        <w:rPr/>
        <w:t>采购项目编号：</w:t>
      </w:r>
      <w:r>
        <w:rPr/>
        <w:t>441900012-2023-00038</w:t>
      </w:r>
    </w:p>
    <w:p>
      <w:pPr>
        <w:ind w:firstLine="480"/>
      </w:pPr>
      <w:r>
        <w:rPr/>
        <w:t>采购方式：</w:t>
      </w:r>
      <w:r>
        <w:rPr/>
        <w:t>竞争性磋商</w:t>
      </w:r>
    </w:p>
    <w:p>
      <w:pPr>
        <w:ind w:firstLine="480"/>
      </w:pPr>
      <w:r>
        <w:rPr/>
        <w:t>预算金额：</w:t>
      </w:r>
      <w:r>
        <w:rPr/>
        <w:t>3,346,800.00</w:t>
      </w:r>
      <w:r>
        <w:rPr/>
        <w:t>元</w:t>
      </w:r>
    </w:p>
    <w:p>
      <w:r>
        <w:rPr>
          <w:b/>
          <w:sz w:val="24"/>
        </w:rPr>
        <w:t>2.项目内容及需求情况（采购项目技术规格、参数及要求）</w:t>
      </w:r>
    </w:p>
    <w:p>
      <w:pPr>
        <w:ind w:firstLine="480"/>
      </w:pPr>
    </w:p>
    <w:p/>
    <w:p>
      <w:r>
        <w:rPr/>
        <w:t>采购包1(石排镇2023-2025年内河涌保洁工作):</w:t>
      </w:r>
    </w:p>
    <w:p>
      <w:r>
        <w:rPr/>
        <w:t>采购包预算金额：3,346,800.00元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1-1</w:t>
            </w:r>
          </w:p>
        </w:tc>
        <w:tc>
          <w:tcPr>
            <w:tcW w:type="dxa" w:w="1368"/>
          </w:tcPr>
          <w:p>
            <w:r>
              <w:rPr/>
              <w:t>其他服务</w:t>
            </w:r>
          </w:p>
        </w:tc>
        <w:tc>
          <w:tcPr>
            <w:tcW w:type="dxa" w:w="2052"/>
          </w:tcPr>
          <w:p>
            <w:r>
              <w:rPr/>
              <w:t>石排镇2023-2025年内河涌保洁工作</w:t>
            </w:r>
          </w:p>
        </w:tc>
        <w:tc>
          <w:tcPr>
            <w:tcW w:type="dxa" w:w="977"/>
          </w:tcPr>
          <w:p>
            <w:r>
              <w:rPr/>
              <w:t>1.0000(项)</w:t>
            </w:r>
          </w:p>
        </w:tc>
        <w:tc>
          <w:tcPr>
            <w:tcW w:type="dxa" w:w="977"/>
          </w:tcPr>
          <w:p>
            <w:r>
              <w:rPr/>
              <w:t>详见第二章</w:t>
            </w:r>
          </w:p>
        </w:tc>
        <w:tc>
          <w:tcPr>
            <w:tcW w:type="dxa" w:w="977"/>
          </w:tcPr>
          <w:p>
            <w:r>
              <w:rPr/>
              <w:t>3,346,800.00</w:t>
            </w:r>
          </w:p>
        </w:tc>
        <w:tc>
          <w:tcPr>
            <w:tcW w:type="dxa" w:w="977"/>
          </w:tcPr>
          <w:p>
            <w:r>
              <w:rPr/>
              <w:t>否</w:t>
            </w:r>
          </w:p>
        </w:tc>
      </w:tr>
    </w:tbl>
    <w:p/>
    <w:p>
      <w:r>
        <w:rPr/>
        <w:t>本采购包不接受联合体响应</w:t>
      </w:r>
    </w:p>
    <w:p/>
    <w:p>
      <w:r>
        <w:rPr/>
        <w:t>合同履行期限：自合同签订生效之日起2年。（具体以合同签订时间为准）</w:t>
      </w:r>
    </w:p>
    <w:p/>
    <w:p>
      <w:r>
        <w:rPr>
          <w:b/>
          <w:sz w:val="28"/>
        </w:rPr>
        <w:t>二.供应商的资格要求</w:t>
      </w:r>
    </w:p>
    <w:p>
      <w:r>
        <w:rPr>
          <w:b/>
          <w:sz w:val="24"/>
        </w:rPr>
        <w:t>1.供应商应具备《中华人民共和国政府采购法》第二十二条规定的条件，提供下列材料：</w:t>
      </w:r>
    </w:p>
    <w:p>
      <w:pPr>
        <w:ind w:firstLine="480"/>
      </w:pPr>
    </w:p>
    <w:p/>
    <w:p>
      <w:r>
        <w:rPr/>
        <w:t>1）具有独立承担民事责任的能力：在中华人民共和国境内注册的法人或其他组织或自然人，投标（响应）时提交有效的营业执照（或事业法人登记证或身份证等相关证明）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p/>
    <w:p>
      <w:r>
        <w:rPr/>
        <w:t>2）有依法缴纳税收和社会保障资金的良好记录：提供投标截止日前6个月内任意1个月依法缴纳税收和社会保障资金的相关材料。如依法免税或不需要缴纳社会保障资金的， 提供相应证明材料。(或提供相关承诺函）</w:t>
      </w:r>
    </w:p>
    <w:p/>
    <w:p>
      <w:r>
        <w:rPr/>
        <w:t>3）具有良好的商业信誉和健全的财务会计制度：供应商必须具有良好的商业信誉和健全的财务会计制度（提供2021年度财务状况报告或基本开户行出具的资信证明）。(或提供相关承诺函)</w:t>
      </w:r>
    </w:p>
    <w:p/>
    <w:p>
      <w:r>
        <w:rPr/>
        <w:t>4）履行合同所必需的设备和专业技术能力：按投标（响应）文件格式填报设备及专业技术能力情况。（或提供相关承诺函）</w:t>
      </w:r>
    </w:p>
    <w:p/>
    <w:p>
      <w:r>
        <w:rPr/>
        <w:t>5）参加采购活动前3年内，在经营活动中没有重大违法记录：在经营活动中没有重大违法记录：参照投标（报价）函相关承诺格式内容。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采购包1（石排镇2023-2025年内河涌保洁工作）：</w:t>
      </w:r>
      <w:r>
        <w:rPr/>
        <w:t>本项目整体专门面向中小企业采购。供应商须符合本项目采购标的对应行业（本项目行业为：其他未列明行业）的政策划分标准。监狱企业、残疾人福利单位视同小型、微型企业。 注：中小企业以供应商填写的 《中小企业声明函》为判定标准，残疾人福利性单位以供应商填写的《残疾人福利性单位声明函》为判定标准，监狱企业须供应商提供由省级以上监狱管理局、戒毒管理局（含新疆生产建设兵团）出具的属于监狱企业的证明文件，否则不予认定。</w:t>
      </w:r>
    </w:p>
    <w:p/>
    <w:p>
      <w:r>
        <w:rPr>
          <w:b/>
          <w:sz w:val="24"/>
        </w:rPr>
        <w:t>3.本项目特定的资格要求：</w:t>
      </w:r>
    </w:p>
    <w:p>
      <w:pPr>
        <w:ind w:firstLine="480"/>
      </w:pPr>
    </w:p>
    <w:p/>
    <w:p>
      <w:r>
        <w:rPr/>
        <w:t>采购包1（石排镇2023-2025年内河涌保洁工作）：</w:t>
      </w:r>
    </w:p>
    <w:p/>
    <w:p>
      <w:r>
        <w:rPr/>
        <w:t>1)供应商未被列入“信用中国”网站(www.creditchina.gov.cn)“记录失信被执行人或税收违法黑名单”记录名单；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 如相关失信记录已失效， 供应商需提供相关证明资料）。</w:t>
      </w:r>
    </w:p>
    <w:p/>
    <w:p>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
      <w:r>
        <w:rPr>
          <w:b/>
          <w:sz w:val="28"/>
        </w:rPr>
        <w:t>三.获取磋商文件</w:t>
      </w:r>
    </w:p>
    <w:p>
      <w:pPr>
        <w:ind w:firstLine="480"/>
      </w:pPr>
      <w:r>
        <w:rPr/>
        <w:t>时间：详见磋商公告及其变更公告（如有）</w:t>
      </w:r>
    </w:p>
    <w:p>
      <w:pPr>
        <w:ind w:firstLine="480"/>
      </w:pPr>
      <w:r>
        <w:rPr/>
        <w:t>地点：详见磋商公告及其变更公告（如有）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ind w:firstLine="480"/>
      </w:pPr>
      <w:r>
        <w:rPr/>
        <w:t>售价：免费</w:t>
      </w:r>
    </w:p>
    <w:p>
      <w:r>
        <w:rPr>
          <w:b/>
          <w:sz w:val="28"/>
        </w:rPr>
        <w:t>四.提交响应文件截止时间、开启时间和地点：</w:t>
      </w:r>
    </w:p>
    <w:p>
      <w:pPr>
        <w:ind w:firstLine="480"/>
      </w:pPr>
      <w:r>
        <w:rPr/>
        <w:t>提交响应文件截止时间和开启时间：详见磋商公告及其变更公告（如有）（自响应文件开始发出之日起至响应供应商提交响应文件截止之日止，不得少于10个日历日）</w:t>
      </w:r>
    </w:p>
    <w:p>
      <w:pPr>
        <w:ind w:firstLine="480"/>
      </w:pPr>
      <w:r>
        <w:rPr/>
        <w:t>地点：详见磋商公告及其变更公告（如有）</w:t>
      </w:r>
    </w:p>
    <w:p>
      <w:r>
        <w:rPr>
          <w:b/>
          <w:sz w:val="28"/>
        </w:rPr>
        <w:t>五.公告期限、发布公告的媒介：</w:t>
      </w:r>
    </w:p>
    <w:p>
      <w:pPr>
        <w:ind w:firstLine="480"/>
      </w:pPr>
      <w:r>
        <w:rPr/>
        <w:t>1、公告期限：自本公告发布之日起不得少于3个工作日。</w:t>
      </w:r>
    </w:p>
    <w:p>
      <w:pPr>
        <w:ind w:firstLine="480"/>
      </w:pPr>
      <w:r>
        <w:rPr/>
        <w:t>2、发布公告的媒介：中国政府采购网(www.ccgp.gov.cn)，广东省政府采购网(https://gdgpo.czt.gd.gov.cn/)；</w:t>
      </w:r>
    </w:p>
    <w:p>
      <w:r>
        <w:rPr>
          <w:b/>
          <w:sz w:val="28"/>
        </w:rPr>
        <w:t>六.本项目联系方式：</w:t>
      </w:r>
    </w:p>
    <w:p>
      <w:r>
        <w:rPr>
          <w:b/>
          <w:sz w:val="24"/>
        </w:rPr>
        <w:t>1.采购人信息</w:t>
      </w:r>
    </w:p>
    <w:p>
      <w:pPr>
        <w:ind w:firstLine="480"/>
      </w:pPr>
      <w:r>
        <w:rPr/>
        <w:t>名称：</w:t>
      </w:r>
      <w:r>
        <w:rPr/>
        <w:t>东莞市石排镇水务工程运营中心</w:t>
      </w:r>
    </w:p>
    <w:p>
      <w:pPr>
        <w:ind w:firstLine="480"/>
      </w:pPr>
      <w:r>
        <w:rPr/>
        <w:t>地址：</w:t>
      </w:r>
      <w:r>
        <w:rPr/>
        <w:t>东莞市石排镇水务工程运营中心</w:t>
      </w:r>
    </w:p>
    <w:p>
      <w:pPr>
        <w:ind w:firstLine="480"/>
      </w:pPr>
      <w:r>
        <w:rPr/>
        <w:t>联系方式：</w:t>
      </w:r>
      <w:r>
        <w:rPr/>
        <w:t>0769-86550313</w:t>
      </w:r>
    </w:p>
    <w:p>
      <w:r>
        <w:rPr>
          <w:b/>
          <w:sz w:val="24"/>
        </w:rPr>
        <w:t>2.采购代理机构信息</w:t>
      </w:r>
    </w:p>
    <w:p>
      <w:pPr>
        <w:ind w:firstLine="480"/>
      </w:pPr>
      <w:r>
        <w:rPr/>
        <w:t>名称：</w:t>
      </w:r>
      <w:r>
        <w:rPr/>
        <w:t>广东政通招标有限公司</w:t>
      </w:r>
    </w:p>
    <w:p>
      <w:pPr>
        <w:ind w:firstLine="480"/>
      </w:pPr>
      <w:r>
        <w:rPr/>
        <w:t>地址：</w:t>
      </w:r>
      <w:r>
        <w:rPr/>
        <w:t>广东省东莞市南城街道广东省东莞市南城街道鸿福路199号410、411室</w:t>
      </w:r>
    </w:p>
    <w:p>
      <w:pPr>
        <w:ind w:firstLine="480"/>
      </w:pPr>
      <w:r>
        <w:rPr/>
        <w:t>联系方式：</w:t>
      </w:r>
      <w:r>
        <w:rPr/>
        <w:t>0769-22881803</w:t>
      </w:r>
    </w:p>
    <w:p>
      <w:r>
        <w:rPr>
          <w:b/>
          <w:sz w:val="24"/>
        </w:rPr>
        <w:t>3.项目联系方式</w:t>
      </w:r>
    </w:p>
    <w:p>
      <w:pPr>
        <w:ind w:firstLine="480"/>
      </w:pPr>
      <w:r>
        <w:rPr/>
        <w:t>项目联系人：</w:t>
      </w:r>
      <w:r>
        <w:rPr/>
        <w:t>杨俊平</w:t>
      </w:r>
    </w:p>
    <w:p>
      <w:pPr>
        <w:ind w:firstLine="480"/>
      </w:pPr>
      <w:r>
        <w:rPr/>
        <w:t>电话：</w:t>
      </w:r>
      <w:r>
        <w:rPr/>
        <w:t>0769-22881803</w:t>
      </w:r>
    </w:p>
    <w:p>
      <w:r>
        <w:rPr>
          <w:b/>
          <w:sz w:val="24"/>
        </w:rPr>
        <w:t>4.技术支持联系方式</w:t>
      </w:r>
    </w:p>
    <w:p>
      <w:pPr>
        <w:ind w:firstLine="480"/>
      </w:pPr>
      <w:r>
        <w:rPr/>
        <w:t>云平台联系方式：020-88696588</w:t>
      </w:r>
    </w:p>
    <w:p>
      <w:pPr>
        <w:ind w:firstLine="480"/>
      </w:pPr>
      <w:r>
        <w:rPr/>
        <w:t>数字证书CA技术服务热线：400-887-6133</w:t>
      </w:r>
    </w:p>
    <w:p>
      <w:r>
        <w:rPr/>
        <w:t>采购代理机构：</w:t>
      </w:r>
      <w:r>
        <w:rPr/>
        <w:t>广东政通招标有限公司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r>
        <w:rPr>
          <w:sz w:val="21"/>
        </w:rPr>
        <w:t>为做好我镇河涌水面的水面垃圾</w:t>
      </w:r>
      <w:r>
        <w:rPr>
          <w:sz w:val="21"/>
        </w:rPr>
        <w:t>，漂浮物、油污</w:t>
      </w:r>
      <w:r>
        <w:rPr>
          <w:sz w:val="21"/>
        </w:rPr>
        <w:t>和堤围垃圾的清理工作，保持优美的水体环境。切实做好我镇河涌保洁工作，进一步完善河涌管理机制，现开展石排镇内河涌保洁服务项目相关工作。</w:t>
      </w:r>
    </w:p>
    <w:p/>
    <w:p>
      <w:pPr>
        <w:ind w:firstLine="480"/>
      </w:pPr>
    </w:p>
    <w:p/>
    <w:p>
      <w:r>
        <w:rPr/>
        <w:t>采购包1（石排镇2023-2025年内河涌保洁工作）</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自合同签订生效之日起2年。（具体以合同签订时间为准）</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1期：支付比例100%,（1）服务期限内河涌保洁工作费用按月结算，每个月进行考核评分（考核标准见附件1），完成每月考核评分工作后，20个工作日内支付上月保洁工作费用。 （2）每月承包费在河涌保洁工作优良达标的情况下全额支付；否则，只支付被扣除后的余额。 （3）成交后，成交人按合同价的3%交合同履约保证金，合同期满后，采购人在一个月内如数无息退还给成交人。如果成交人在合同期内违约致使被取消合同的，采购人将没收全部保证金。</w:t>
            </w:r>
          </w:p>
        </w:tc>
      </w:tr>
      <w:tr>
        <w:tc>
          <w:tcPr>
            <w:tcW w:type="dxa" w:w="4153"/>
          </w:tcPr>
          <w:p>
            <w:r>
              <w:rPr/>
              <w:t>验收要求</w:t>
            </w:r>
          </w:p>
        </w:tc>
        <w:tc>
          <w:tcPr>
            <w:tcW w:type="dxa" w:w="4153"/>
          </w:tcPr>
          <w:p/>
          <w:p/>
          <w:p/>
          <w:p>
            <w:r>
              <w:rPr/>
              <w:t>1期：按国家及相关行业标准进行验收</w:t>
            </w:r>
          </w:p>
        </w:tc>
      </w:tr>
      <w:tr>
        <w:tc>
          <w:tcPr>
            <w:tcW w:type="dxa" w:w="4153"/>
          </w:tcPr>
          <w:p>
            <w:r>
              <w:rPr/>
              <w:t>履约保证金</w:t>
            </w:r>
          </w:p>
        </w:tc>
        <w:tc>
          <w:tcPr>
            <w:tcW w:type="dxa" w:w="4153"/>
          </w:tcPr>
          <w:p/>
          <w:p/>
          <w:p/>
          <w:p/>
          <w:p>
            <w:r>
              <w:rPr/>
              <w:t>收取比例：3%,说明：中标（成交）供应商应在领取中标（成交）通知书之后签订合同之前递交履约保证金，履约保证金可采用保证金（银行转账、电汇）方式，或采用履约保函方式。 履约保证金在合同期满后或产品验收合格后，中标（成交）供应商向采购人提交退回履约保证金的申请、履约保证金汇款凭证复印件、采购合同、采购项目验收报告原件、中标（成交）通知书复印件，前往采购人办理履约保证金退还手续。</w:t>
            </w:r>
          </w:p>
        </w:tc>
      </w:tr>
      <w:tr>
        <w:tc>
          <w:tcPr>
            <w:tcW w:type="dxa" w:w="4153"/>
          </w:tcPr>
          <w:p>
            <w:r>
              <w:rPr/>
              <w:t>其他</w:t>
            </w:r>
          </w:p>
        </w:tc>
        <w:tc>
          <w:tcPr>
            <w:tcW w:type="dxa" w:w="4153"/>
          </w:tcPr>
          <w:p/>
          <w:p/>
          <w:p>
            <w:r>
              <w:rPr/>
              <w:t>一、报价要求，1、河涌保洁工作总承包价。按照管理标准及工作要求，开展工作所涉及的人员、设备、配套的相关费用 2、保洁报价中，主要考虑以下五项成本： (1) 河涌保洁费； (2) 零星河涌保洁工程成本费，用于特发情况应急（如洪水、上级部门大检查等）； (3) 税费； (4) 管理费； （5）其他。 3、如有需要，供应商可在报价前自行踏勘现场，报价时应考虑现场存在对排渠有影响的隐患因素，实际操作时遇到上述问题由成交人负责，特殊情况可向采购人申请商议。 4、供应商应充分考虑各种市场风险，包括油价、水价及工资福利上涨等因素。</w:t>
            </w:r>
          </w:p>
          <w:p/>
          <w:p>
            <w:r>
              <w:rPr/>
              <w:t>二、其他要求，供应商应充分结合本磋商文件上下文了解项目的需求、采购文件未尽事宜，将在合同签订或项目执行过程中双方协商确定，供应商须无条件满足采购单位的合理要求。</w:t>
            </w:r>
          </w:p>
        </w:tc>
      </w:tr>
    </w:tbl>
    <w:p>
      <w:r>
        <w:rPr>
          <w:b/>
        </w:rPr>
        <w:t>2.技术标准与要求</w:t>
      </w:r>
    </w:p>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jc w:val="center"/>
            </w:pPr>
            <w:r>
              <w:rPr/>
              <w:t>序号</w:t>
            </w:r>
          </w:p>
        </w:tc>
        <w:tc>
          <w:tcPr>
            <w:tcW w:type="dxa" w:w="933"/>
          </w:tcPr>
          <w:p>
            <w:pPr>
              <w:jc w:val="center"/>
            </w:pPr>
            <w:r>
              <w:rPr/>
              <w:t>品目名称</w:t>
            </w:r>
          </w:p>
        </w:tc>
        <w:tc>
          <w:tcPr>
            <w:tcW w:type="dxa" w:w="933"/>
          </w:tcPr>
          <w:p>
            <w:pPr>
              <w:jc w:val="center"/>
            </w:pPr>
            <w:r>
              <w:rPr/>
              <w:t>标的名称</w:t>
            </w:r>
          </w:p>
        </w:tc>
        <w:tc>
          <w:tcPr>
            <w:tcW w:type="dxa" w:w="933"/>
          </w:tcPr>
          <w:p>
            <w:pPr>
              <w:jc w:val="center"/>
            </w:pPr>
            <w:r>
              <w:rPr/>
              <w:t>单位</w:t>
            </w:r>
          </w:p>
        </w:tc>
        <w:tc>
          <w:tcPr>
            <w:tcW w:type="dxa" w:w="933"/>
          </w:tcPr>
          <w:p>
            <w:pPr>
              <w:jc w:val="center"/>
            </w:pPr>
            <w:r>
              <w:rPr/>
              <w:t>数量</w:t>
            </w:r>
          </w:p>
        </w:tc>
        <w:tc>
          <w:tcPr>
            <w:tcW w:type="dxa" w:w="933"/>
          </w:tcPr>
          <w:p>
            <w:pPr>
              <w:jc w:val="center"/>
            </w:pPr>
            <w:r>
              <w:rPr/>
              <w:t>分项预算单价（元）</w:t>
            </w:r>
          </w:p>
        </w:tc>
        <w:tc>
          <w:tcPr>
            <w:tcW w:type="dxa" w:w="933"/>
          </w:tcPr>
          <w:p>
            <w:pPr>
              <w:jc w:val="center"/>
            </w:pPr>
            <w:r>
              <w:rPr/>
              <w:t>分项预算总价（元）</w:t>
            </w:r>
          </w:p>
        </w:tc>
        <w:tc>
          <w:tcPr>
            <w:tcW w:type="dxa" w:w="840"/>
          </w:tcPr>
          <w:p>
            <w:r>
              <w:rPr/>
              <w:t>所属行业</w:t>
            </w:r>
          </w:p>
        </w:tc>
        <w:tc>
          <w:tcPr>
            <w:tcW w:type="dxa" w:w="933"/>
          </w:tcPr>
          <w:p>
            <w:pPr>
              <w:jc w:val="center"/>
            </w:pPr>
            <w:r>
              <w:rPr/>
              <w:t>技术要求</w:t>
            </w:r>
          </w:p>
        </w:tc>
      </w:tr>
      <w:tr>
        <w:tc>
          <w:tcPr>
            <w:tcW w:type="dxa" w:w="933"/>
          </w:tcPr>
          <w:p>
            <w:pPr>
              <w:jc w:val="center"/>
            </w:pPr>
            <w:r>
              <w:rPr/>
              <w:t>1</w:t>
            </w:r>
          </w:p>
        </w:tc>
        <w:tc>
          <w:tcPr>
            <w:tcW w:type="dxa" w:w="933"/>
          </w:tcPr>
          <w:p>
            <w:pPr>
              <w:jc w:val="left"/>
            </w:pPr>
            <w:r>
              <w:rPr/>
              <w:t>其他服务</w:t>
            </w:r>
          </w:p>
        </w:tc>
        <w:tc>
          <w:tcPr>
            <w:tcW w:type="dxa" w:w="933"/>
          </w:tcPr>
          <w:p>
            <w:pPr>
              <w:jc w:val="left"/>
            </w:pPr>
            <w:r>
              <w:rPr/>
              <w:t>石排镇2023-2025年内河涌保洁工作</w:t>
            </w:r>
          </w:p>
        </w:tc>
        <w:tc>
          <w:tcPr>
            <w:tcW w:type="dxa" w:w="933"/>
          </w:tcPr>
          <w:p>
            <w:pPr>
              <w:jc w:val="left"/>
            </w:pPr>
            <w:r>
              <w:rPr/>
              <w:t>项</w:t>
            </w:r>
          </w:p>
        </w:tc>
        <w:tc>
          <w:tcPr>
            <w:tcW w:type="dxa" w:w="933"/>
          </w:tcPr>
          <w:p>
            <w:pPr>
              <w:jc w:val="right"/>
            </w:pPr>
            <w:r>
              <w:rPr/>
              <w:t>1.00</w:t>
            </w:r>
          </w:p>
        </w:tc>
        <w:tc>
          <w:tcPr>
            <w:tcW w:type="dxa" w:w="933"/>
          </w:tcPr>
          <w:p>
            <w:pPr>
              <w:jc w:val="right"/>
            </w:pPr>
            <w:r>
              <w:rPr/>
              <w:t>3,346,800.00</w:t>
            </w:r>
          </w:p>
        </w:tc>
        <w:tc>
          <w:tcPr>
            <w:tcW w:type="dxa" w:w="933"/>
          </w:tcPr>
          <w:p>
            <w:pPr>
              <w:jc w:val="right"/>
            </w:pPr>
            <w:r>
              <w:rPr/>
              <w:t>3,346,800.00</w:t>
            </w:r>
          </w:p>
        </w:tc>
        <w:tc>
          <w:tcPr>
            <w:tcW w:type="dxa" w:w="840"/>
          </w:tcPr>
          <w:p>
            <w:r>
              <w:rPr/>
              <w:t>其他未列明行业</w:t>
            </w:r>
          </w:p>
        </w:tc>
        <w:tc>
          <w:tcPr>
            <w:tcW w:type="dxa" w:w="933"/>
          </w:tcPr>
          <w:p>
            <w:r>
              <w:rPr/>
              <w:t>详见附表一</w:t>
            </w:r>
          </w:p>
        </w:tc>
      </w:tr>
    </w:tbl>
    <w:p/>
    <w:p>
      <w:r>
        <w:rPr>
          <w:b/>
        </w:rPr>
        <w:t>附表</w:t>
      </w:r>
      <w:r>
        <w:rPr>
          <w:b/>
        </w:rPr>
        <w:t>一</w:t>
      </w:r>
      <w:r>
        <w:rPr>
          <w:b/>
        </w:rPr>
        <w:t>：</w:t>
      </w:r>
      <w:r>
        <w:rPr>
          <w:b/>
        </w:rPr>
        <w:t>石排镇2023-2025年内河涌保洁工作</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b/>
                <w:sz w:val="24"/>
              </w:rPr>
              <w:t>一、保洁范围</w:t>
            </w:r>
          </w:p>
          <w:p>
            <w:pPr>
              <w:ind w:firstLine="420"/>
            </w:pPr>
            <w:r>
              <w:rPr>
                <w:sz w:val="21"/>
              </w:rPr>
              <w:t>石排镇目前需要开展河涌保洁工作的河涌共</w:t>
            </w:r>
            <w:r>
              <w:rPr>
                <w:sz w:val="21"/>
              </w:rPr>
              <w:t>27条，总长约</w:t>
            </w:r>
            <w:r>
              <w:rPr>
                <w:sz w:val="21"/>
              </w:rPr>
              <w:t>41.09公里</w:t>
            </w:r>
            <w:r>
              <w:rPr>
                <w:sz w:val="21"/>
              </w:rPr>
              <w:t>（包括各河涌末端排站前池等范围），其中，镇属河涌保洁范围为河道管理范围线内，村属河涌保洁范围为河道岸边线外</w:t>
            </w:r>
            <w:r>
              <w:rPr>
                <w:sz w:val="21"/>
              </w:rPr>
              <w:t>1米范围内，故内河涌保洁面积约</w:t>
            </w:r>
            <w:r>
              <w:rPr>
                <w:sz w:val="21"/>
              </w:rPr>
              <w:t>55.78</w:t>
            </w:r>
            <w:r>
              <w:rPr>
                <w:sz w:val="21"/>
              </w:rPr>
              <w:t>万平米，</w:t>
            </w:r>
            <w:r>
              <w:rPr>
                <w:color w:val="000000"/>
                <w:sz w:val="21"/>
              </w:rPr>
              <w:t>实际长度</w:t>
            </w:r>
            <w:r>
              <w:rPr>
                <w:color w:val="000000"/>
                <w:sz w:val="21"/>
              </w:rPr>
              <w:t>与范围</w:t>
            </w:r>
            <w:r>
              <w:rPr>
                <w:color w:val="000000"/>
                <w:sz w:val="21"/>
              </w:rPr>
              <w:t>以现场实际情况为准。</w:t>
            </w:r>
            <w:r>
              <w:rPr>
                <w:sz w:val="21"/>
              </w:rPr>
              <w:t>具体情况如下表：</w:t>
            </w:r>
          </w:p>
          <w:tbl>
            <w:tblPr>
              <w:tblInd w:type="dxa" w:w="90"/>
              <w:tblBorders>
                <w:top w:val="none" w:color="000000" w:sz="4"/>
                <w:left w:val="none" w:color="000000" w:sz="4"/>
                <w:bottom w:val="none" w:color="000000" w:sz="4"/>
                <w:right w:val="none" w:color="000000" w:sz="4"/>
                <w:insideH w:val="none"/>
                <w:insideV w:val="none"/>
              </w:tblBorders>
            </w:tblPr>
            <w:tblGrid>
              <w:gridCol w:w="547"/>
              <w:gridCol w:w="1792"/>
              <w:gridCol w:w="987"/>
              <w:gridCol w:w="1620"/>
              <w:gridCol w:w="653"/>
            </w:tblGrid>
            <w:tr>
              <w:tc>
                <w:tcPr>
                  <w:tcW w:type="dxa" w:w="5599"/>
                  <w:gridSpan w:val="5"/>
                  <w:tcBorders>
                    <w:top w:val="single" w:color="000000" w:sz="4"/>
                    <w:left w:val="single" w:color="000000" w:sz="4"/>
                    <w:bottom w:val="single" w:color="000000" w:sz="4"/>
                    <w:right w:val="single" w:color="000000" w:sz="4"/>
                  </w:tcBorders>
                  <w:vAlign w:val="top"/>
                </w:tcPr>
                <w:p>
                  <w:pPr>
                    <w:jc w:val="center"/>
                  </w:pPr>
                  <w:r>
                    <w:rPr>
                      <w:b/>
                      <w:sz w:val="21"/>
                    </w:rPr>
                    <w:t>石排镇镇属河涌和村属河涌保洁范围统计表</w:t>
                  </w:r>
                </w:p>
              </w:tc>
            </w:tr>
            <w:tr>
              <w:tc>
                <w:tcPr>
                  <w:tcW w:type="dxa" w:w="547"/>
                  <w:tcBorders>
                    <w:top w:val="none" w:color="000000" w:sz="4"/>
                    <w:left w:val="single" w:color="000000" w:sz="4"/>
                    <w:bottom w:val="single" w:color="000000" w:sz="4"/>
                    <w:right w:val="single" w:color="000000" w:sz="4"/>
                  </w:tcBorders>
                  <w:vAlign w:val="top"/>
                </w:tcPr>
                <w:p>
                  <w:pPr>
                    <w:jc w:val="center"/>
                  </w:pPr>
                  <w:r>
                    <w:rPr>
                      <w:b/>
                      <w:sz w:val="21"/>
                    </w:rPr>
                    <w:t>序号</w:t>
                  </w:r>
                </w:p>
              </w:tc>
              <w:tc>
                <w:tcPr>
                  <w:tcW w:type="dxa" w:w="1792"/>
                  <w:tcBorders>
                    <w:top w:val="single" w:color="000000" w:sz="4"/>
                    <w:left w:val="none" w:color="000000" w:sz="4"/>
                    <w:bottom w:val="single" w:color="000000" w:sz="4"/>
                    <w:right w:val="single" w:color="000000" w:sz="4"/>
                  </w:tcBorders>
                  <w:vAlign w:val="top"/>
                </w:tcPr>
                <w:p>
                  <w:pPr>
                    <w:jc w:val="center"/>
                  </w:pPr>
                  <w:r>
                    <w:rPr>
                      <w:b/>
                      <w:sz w:val="21"/>
                    </w:rPr>
                    <w:t>河涌名称</w:t>
                  </w:r>
                </w:p>
              </w:tc>
              <w:tc>
                <w:tcPr>
                  <w:tcW w:type="dxa" w:w="987"/>
                  <w:tcBorders>
                    <w:top w:val="single" w:color="000000" w:sz="4"/>
                    <w:left w:val="none" w:color="000000" w:sz="4"/>
                    <w:bottom w:val="single" w:color="000000" w:sz="4"/>
                    <w:right w:val="single" w:color="000000" w:sz="4"/>
                  </w:tcBorders>
                  <w:vAlign w:val="top"/>
                </w:tcPr>
                <w:p>
                  <w:pPr>
                    <w:jc w:val="center"/>
                  </w:pPr>
                  <w:r>
                    <w:rPr>
                      <w:b/>
                      <w:sz w:val="21"/>
                    </w:rPr>
                    <w:t>长度（</w:t>
                  </w:r>
                  <w:r>
                    <w:rPr>
                      <w:b/>
                      <w:sz w:val="21"/>
                    </w:rPr>
                    <w:t>m）</w:t>
                  </w:r>
                </w:p>
              </w:tc>
              <w:tc>
                <w:tcPr>
                  <w:tcW w:type="dxa" w:w="1620"/>
                  <w:tcBorders>
                    <w:top w:val="single" w:color="000000" w:sz="4"/>
                    <w:left w:val="none" w:color="000000" w:sz="4"/>
                    <w:bottom w:val="single" w:color="000000" w:sz="4"/>
                    <w:right w:val="single" w:color="000000" w:sz="4"/>
                  </w:tcBorders>
                  <w:vAlign w:val="top"/>
                </w:tcPr>
                <w:p>
                  <w:pPr>
                    <w:jc w:val="center"/>
                  </w:pPr>
                  <w:r>
                    <w:rPr>
                      <w:b/>
                      <w:sz w:val="21"/>
                    </w:rPr>
                    <w:t>河涌保洁面积（</w:t>
                  </w:r>
                  <w:r>
                    <w:rPr>
                      <w:b/>
                      <w:sz w:val="21"/>
                    </w:rPr>
                    <w:t>㎡</w:t>
                  </w:r>
                  <w:r>
                    <w:rPr>
                      <w:b/>
                      <w:sz w:val="21"/>
                    </w:rPr>
                    <w:t>）</w:t>
                  </w:r>
                </w:p>
              </w:tc>
              <w:tc>
                <w:tcPr>
                  <w:tcW w:type="dxa" w:w="653"/>
                  <w:tcBorders>
                    <w:top w:val="single" w:color="000000" w:sz="4"/>
                    <w:left w:val="none" w:color="000000" w:sz="4"/>
                    <w:bottom w:val="single" w:color="000000" w:sz="4"/>
                    <w:right w:val="single" w:color="000000" w:sz="4"/>
                  </w:tcBorders>
                  <w:vAlign w:val="top"/>
                </w:tcPr>
                <w:p>
                  <w:pPr>
                    <w:jc w:val="center"/>
                  </w:pPr>
                  <w:r>
                    <w:rPr>
                      <w:b/>
                      <w:sz w:val="21"/>
                    </w:rPr>
                    <w:t>备注</w:t>
                  </w:r>
                </w:p>
              </w:tc>
            </w:tr>
            <w:tr>
              <w:tc>
                <w:tcPr>
                  <w:tcW w:type="dxa" w:w="547"/>
                  <w:tcBorders>
                    <w:top w:val="none" w:color="000000" w:sz="4"/>
                    <w:left w:val="single" w:color="000000" w:sz="4"/>
                    <w:bottom w:val="single" w:color="000000" w:sz="4"/>
                    <w:right w:val="single" w:color="000000" w:sz="4"/>
                  </w:tcBorders>
                  <w:vAlign w:val="top"/>
                </w:tcPr>
                <w:p>
                  <w:pPr>
                    <w:jc w:val="center"/>
                  </w:pPr>
                  <w:r>
                    <w:rPr>
                      <w:color w:val="000000"/>
                      <w:sz w:val="21"/>
                    </w:rPr>
                    <w:t>1</w:t>
                  </w:r>
                </w:p>
              </w:tc>
              <w:tc>
                <w:tcPr>
                  <w:tcW w:type="dxa" w:w="1792"/>
                  <w:tcBorders>
                    <w:top w:val="none" w:color="000000" w:sz="4"/>
                    <w:left w:val="none" w:color="000000" w:sz="4"/>
                    <w:bottom w:val="single" w:color="000000" w:sz="4"/>
                    <w:right w:val="single" w:color="000000" w:sz="4"/>
                  </w:tcBorders>
                  <w:vAlign w:val="top"/>
                </w:tcPr>
                <w:p>
                  <w:pPr>
                    <w:jc w:val="center"/>
                  </w:pPr>
                  <w:r>
                    <w:rPr>
                      <w:color w:val="000000"/>
                      <w:sz w:val="21"/>
                    </w:rPr>
                    <w:t>海仔河</w:t>
                  </w:r>
                </w:p>
              </w:tc>
              <w:tc>
                <w:tcPr>
                  <w:tcW w:type="dxa" w:w="987"/>
                  <w:tcBorders>
                    <w:top w:val="none" w:color="000000" w:sz="4"/>
                    <w:left w:val="none" w:color="000000" w:sz="4"/>
                    <w:bottom w:val="single" w:color="000000" w:sz="4"/>
                    <w:right w:val="single" w:color="000000" w:sz="4"/>
                  </w:tcBorders>
                  <w:vAlign w:val="top"/>
                </w:tcPr>
                <w:p>
                  <w:pPr>
                    <w:jc w:val="center"/>
                  </w:pPr>
                  <w:r>
                    <w:rPr>
                      <w:color w:val="000000"/>
                      <w:sz w:val="21"/>
                    </w:rPr>
                    <w:t>10170</w:t>
                  </w:r>
                </w:p>
              </w:tc>
              <w:tc>
                <w:tcPr>
                  <w:tcW w:type="dxa" w:w="1620"/>
                  <w:tcBorders>
                    <w:top w:val="none" w:color="000000" w:sz="4"/>
                    <w:left w:val="none" w:color="000000" w:sz="4"/>
                    <w:bottom w:val="single" w:color="000000" w:sz="4"/>
                    <w:right w:val="single" w:color="000000" w:sz="4"/>
                  </w:tcBorders>
                  <w:vAlign w:val="top"/>
                </w:tcPr>
                <w:p>
                  <w:pPr>
                    <w:jc w:val="center"/>
                  </w:pPr>
                  <w:r>
                    <w:rPr>
                      <w:color w:val="000000"/>
                      <w:sz w:val="21"/>
                    </w:rPr>
                    <w:t>233910</w:t>
                  </w:r>
                </w:p>
              </w:tc>
              <w:tc>
                <w:tcPr>
                  <w:tcW w:type="dxa" w:w="653"/>
                  <w:vMerge w:val="restart"/>
                  <w:tcBorders>
                    <w:top w:val="none" w:color="000000" w:sz="4"/>
                    <w:left w:val="none" w:color="000000" w:sz="4"/>
                    <w:bottom w:val="single" w:color="000000" w:sz="4"/>
                    <w:right w:val="single" w:color="000000" w:sz="4"/>
                  </w:tcBorders>
                  <w:vAlign w:val="top"/>
                </w:tcPr>
                <w:p>
                  <w:pPr>
                    <w:jc w:val="center"/>
                  </w:pPr>
                  <w:r>
                    <w:rPr>
                      <w:sz w:val="21"/>
                    </w:rPr>
                    <w:t>镇属</w:t>
                  </w:r>
                </w:p>
              </w:tc>
            </w:tr>
            <w:tr>
              <w:tc>
                <w:tcPr>
                  <w:tcW w:type="dxa" w:w="547"/>
                  <w:tcBorders>
                    <w:top w:val="none" w:color="000000" w:sz="4"/>
                    <w:left w:val="single" w:color="000000" w:sz="4"/>
                    <w:bottom w:val="single" w:color="000000" w:sz="4"/>
                    <w:right w:val="single" w:color="000000" w:sz="4"/>
                  </w:tcBorders>
                  <w:vAlign w:val="top"/>
                </w:tcPr>
                <w:p>
                  <w:pPr>
                    <w:jc w:val="center"/>
                  </w:pPr>
                  <w:r>
                    <w:rPr>
                      <w:color w:val="000000"/>
                      <w:sz w:val="21"/>
                    </w:rPr>
                    <w:t>2</w:t>
                  </w:r>
                </w:p>
              </w:tc>
              <w:tc>
                <w:tcPr>
                  <w:tcW w:type="dxa" w:w="1792"/>
                  <w:tcBorders>
                    <w:top w:val="none" w:color="000000" w:sz="4"/>
                    <w:left w:val="none" w:color="000000" w:sz="4"/>
                    <w:bottom w:val="single" w:color="000000" w:sz="4"/>
                    <w:right w:val="single" w:color="000000" w:sz="4"/>
                  </w:tcBorders>
                  <w:vAlign w:val="top"/>
                </w:tcPr>
                <w:p>
                  <w:pPr>
                    <w:jc w:val="center"/>
                  </w:pPr>
                  <w:r>
                    <w:rPr>
                      <w:color w:val="000000"/>
                      <w:sz w:val="21"/>
                    </w:rPr>
                    <w:t>福隆排渠</w:t>
                  </w:r>
                </w:p>
              </w:tc>
              <w:tc>
                <w:tcPr>
                  <w:tcW w:type="dxa" w:w="987"/>
                  <w:tcBorders>
                    <w:top w:val="none" w:color="000000" w:sz="4"/>
                    <w:left w:val="none" w:color="000000" w:sz="4"/>
                    <w:bottom w:val="single" w:color="000000" w:sz="4"/>
                    <w:right w:val="single" w:color="000000" w:sz="4"/>
                  </w:tcBorders>
                  <w:vAlign w:val="top"/>
                </w:tcPr>
                <w:p>
                  <w:pPr>
                    <w:jc w:val="center"/>
                  </w:pPr>
                  <w:r>
                    <w:rPr>
                      <w:color w:val="000000"/>
                      <w:sz w:val="21"/>
                    </w:rPr>
                    <w:t>1090</w:t>
                  </w:r>
                </w:p>
              </w:tc>
              <w:tc>
                <w:tcPr>
                  <w:tcW w:type="dxa" w:w="1620"/>
                  <w:tcBorders>
                    <w:top w:val="none" w:color="000000" w:sz="4"/>
                    <w:left w:val="none" w:color="000000" w:sz="4"/>
                    <w:bottom w:val="single" w:color="000000" w:sz="4"/>
                    <w:right w:val="single" w:color="000000" w:sz="4"/>
                  </w:tcBorders>
                  <w:vAlign w:val="top"/>
                </w:tcPr>
                <w:p>
                  <w:pPr>
                    <w:jc w:val="center"/>
                  </w:pPr>
                  <w:r>
                    <w:rPr>
                      <w:color w:val="000000"/>
                      <w:sz w:val="21"/>
                    </w:rPr>
                    <w:t>19620</w:t>
                  </w:r>
                </w:p>
              </w:tc>
            </w:tr>
            <w:tr>
              <w:tc>
                <w:tcPr>
                  <w:tcW w:type="dxa" w:w="547"/>
                  <w:tcBorders>
                    <w:top w:val="none" w:color="000000" w:sz="4"/>
                    <w:left w:val="single" w:color="000000" w:sz="4"/>
                    <w:bottom w:val="single" w:color="000000" w:sz="4"/>
                    <w:right w:val="single" w:color="000000" w:sz="4"/>
                  </w:tcBorders>
                  <w:vAlign w:val="top"/>
                </w:tcPr>
                <w:p>
                  <w:pPr>
                    <w:jc w:val="center"/>
                  </w:pPr>
                  <w:r>
                    <w:rPr>
                      <w:color w:val="000000"/>
                      <w:sz w:val="21"/>
                    </w:rPr>
                    <w:t>3</w:t>
                  </w:r>
                </w:p>
              </w:tc>
              <w:tc>
                <w:tcPr>
                  <w:tcW w:type="dxa" w:w="1792"/>
                  <w:tcBorders>
                    <w:top w:val="none" w:color="000000" w:sz="4"/>
                    <w:left w:val="none" w:color="000000" w:sz="4"/>
                    <w:bottom w:val="single" w:color="000000" w:sz="4"/>
                    <w:right w:val="single" w:color="000000" w:sz="4"/>
                  </w:tcBorders>
                  <w:vAlign w:val="top"/>
                </w:tcPr>
                <w:p>
                  <w:pPr>
                    <w:jc w:val="center"/>
                  </w:pPr>
                  <w:r>
                    <w:rPr>
                      <w:color w:val="000000"/>
                      <w:sz w:val="21"/>
                    </w:rPr>
                    <w:t>埔心排渠</w:t>
                  </w:r>
                </w:p>
              </w:tc>
              <w:tc>
                <w:tcPr>
                  <w:tcW w:type="dxa" w:w="987"/>
                  <w:tcBorders>
                    <w:top w:val="none" w:color="000000" w:sz="4"/>
                    <w:left w:val="none" w:color="000000" w:sz="4"/>
                    <w:bottom w:val="single" w:color="000000" w:sz="4"/>
                    <w:right w:val="single" w:color="000000" w:sz="4"/>
                  </w:tcBorders>
                  <w:vAlign w:val="top"/>
                </w:tcPr>
                <w:p>
                  <w:pPr>
                    <w:jc w:val="center"/>
                  </w:pPr>
                  <w:r>
                    <w:rPr>
                      <w:color w:val="000000"/>
                      <w:sz w:val="21"/>
                    </w:rPr>
                    <w:t>3250</w:t>
                  </w:r>
                </w:p>
              </w:tc>
              <w:tc>
                <w:tcPr>
                  <w:tcW w:type="dxa" w:w="1620"/>
                  <w:tcBorders>
                    <w:top w:val="none" w:color="000000" w:sz="4"/>
                    <w:left w:val="none" w:color="000000" w:sz="4"/>
                    <w:bottom w:val="single" w:color="000000" w:sz="4"/>
                    <w:right w:val="single" w:color="000000" w:sz="4"/>
                  </w:tcBorders>
                  <w:vAlign w:val="top"/>
                </w:tcPr>
                <w:p>
                  <w:pPr>
                    <w:jc w:val="center"/>
                  </w:pPr>
                  <w:r>
                    <w:rPr>
                      <w:color w:val="000000"/>
                      <w:sz w:val="21"/>
                    </w:rPr>
                    <w:t>25200</w:t>
                  </w:r>
                </w:p>
              </w:tc>
            </w:tr>
            <w:tr>
              <w:tc>
                <w:tcPr>
                  <w:tcW w:type="dxa" w:w="547"/>
                  <w:tcBorders>
                    <w:top w:val="none" w:color="000000" w:sz="4"/>
                    <w:left w:val="single" w:color="000000" w:sz="4"/>
                    <w:bottom w:val="single" w:color="000000" w:sz="4"/>
                    <w:right w:val="single" w:color="000000" w:sz="4"/>
                  </w:tcBorders>
                  <w:vAlign w:val="top"/>
                </w:tcPr>
                <w:p>
                  <w:pPr>
                    <w:jc w:val="center"/>
                  </w:pPr>
                  <w:r>
                    <w:rPr>
                      <w:color w:val="000000"/>
                      <w:sz w:val="21"/>
                    </w:rPr>
                    <w:t>4</w:t>
                  </w:r>
                </w:p>
              </w:tc>
              <w:tc>
                <w:tcPr>
                  <w:tcW w:type="dxa" w:w="1792"/>
                  <w:tcBorders>
                    <w:top w:val="none" w:color="000000" w:sz="4"/>
                    <w:left w:val="none" w:color="000000" w:sz="4"/>
                    <w:bottom w:val="single" w:color="000000" w:sz="4"/>
                    <w:right w:val="single" w:color="000000" w:sz="4"/>
                  </w:tcBorders>
                  <w:vAlign w:val="top"/>
                </w:tcPr>
                <w:p>
                  <w:pPr>
                    <w:jc w:val="center"/>
                  </w:pPr>
                  <w:r>
                    <w:rPr>
                      <w:color w:val="000000"/>
                      <w:sz w:val="21"/>
                    </w:rPr>
                    <w:t>文庙排渠</w:t>
                  </w:r>
                </w:p>
              </w:tc>
              <w:tc>
                <w:tcPr>
                  <w:tcW w:type="dxa" w:w="987"/>
                  <w:tcBorders>
                    <w:top w:val="none" w:color="000000" w:sz="4"/>
                    <w:left w:val="none" w:color="000000" w:sz="4"/>
                    <w:bottom w:val="single" w:color="000000" w:sz="4"/>
                    <w:right w:val="single" w:color="000000" w:sz="4"/>
                  </w:tcBorders>
                  <w:vAlign w:val="top"/>
                </w:tcPr>
                <w:p>
                  <w:pPr>
                    <w:jc w:val="center"/>
                  </w:pPr>
                  <w:r>
                    <w:rPr>
                      <w:color w:val="000000"/>
                      <w:sz w:val="21"/>
                    </w:rPr>
                    <w:t>1870</w:t>
                  </w:r>
                </w:p>
              </w:tc>
              <w:tc>
                <w:tcPr>
                  <w:tcW w:type="dxa" w:w="1620"/>
                  <w:tcBorders>
                    <w:top w:val="none" w:color="000000" w:sz="4"/>
                    <w:left w:val="none" w:color="000000" w:sz="4"/>
                    <w:bottom w:val="single" w:color="000000" w:sz="4"/>
                    <w:right w:val="single" w:color="000000" w:sz="4"/>
                  </w:tcBorders>
                  <w:vAlign w:val="top"/>
                </w:tcPr>
                <w:p>
                  <w:pPr>
                    <w:jc w:val="center"/>
                  </w:pPr>
                  <w:r>
                    <w:rPr>
                      <w:color w:val="000000"/>
                      <w:sz w:val="21"/>
                    </w:rPr>
                    <w:t>36409</w:t>
                  </w:r>
                </w:p>
              </w:tc>
            </w:tr>
            <w:tr>
              <w:tc>
                <w:tcPr>
                  <w:tcW w:type="dxa" w:w="547"/>
                  <w:tcBorders>
                    <w:top w:val="none" w:color="000000" w:sz="4"/>
                    <w:left w:val="single" w:color="000000" w:sz="4"/>
                    <w:bottom w:val="single" w:color="000000" w:sz="4"/>
                    <w:right w:val="single" w:color="000000" w:sz="4"/>
                  </w:tcBorders>
                  <w:vAlign w:val="top"/>
                </w:tcPr>
                <w:p>
                  <w:pPr>
                    <w:jc w:val="center"/>
                  </w:pPr>
                  <w:r>
                    <w:rPr>
                      <w:color w:val="000000"/>
                      <w:sz w:val="21"/>
                    </w:rPr>
                    <w:t>5</w:t>
                  </w:r>
                </w:p>
              </w:tc>
              <w:tc>
                <w:tcPr>
                  <w:tcW w:type="dxa" w:w="1792"/>
                  <w:tcBorders>
                    <w:top w:val="none" w:color="000000" w:sz="4"/>
                    <w:left w:val="none" w:color="000000" w:sz="4"/>
                    <w:bottom w:val="single" w:color="000000" w:sz="4"/>
                    <w:right w:val="single" w:color="000000" w:sz="4"/>
                  </w:tcBorders>
                  <w:vAlign w:val="top"/>
                </w:tcPr>
                <w:p>
                  <w:pPr>
                    <w:jc w:val="center"/>
                  </w:pPr>
                  <w:r>
                    <w:rPr>
                      <w:color w:val="000000"/>
                      <w:sz w:val="21"/>
                    </w:rPr>
                    <w:t>田边排渠</w:t>
                  </w:r>
                </w:p>
              </w:tc>
              <w:tc>
                <w:tcPr>
                  <w:tcW w:type="dxa" w:w="987"/>
                  <w:tcBorders>
                    <w:top w:val="none" w:color="000000" w:sz="4"/>
                    <w:left w:val="none" w:color="000000" w:sz="4"/>
                    <w:bottom w:val="single" w:color="000000" w:sz="4"/>
                    <w:right w:val="single" w:color="000000" w:sz="4"/>
                  </w:tcBorders>
                  <w:vAlign w:val="top"/>
                </w:tcPr>
                <w:p>
                  <w:pPr>
                    <w:jc w:val="center"/>
                  </w:pPr>
                  <w:r>
                    <w:rPr>
                      <w:color w:val="000000"/>
                      <w:sz w:val="21"/>
                    </w:rPr>
                    <w:t>2920</w:t>
                  </w:r>
                </w:p>
              </w:tc>
              <w:tc>
                <w:tcPr>
                  <w:tcW w:type="dxa" w:w="1620"/>
                  <w:tcBorders>
                    <w:top w:val="none" w:color="000000" w:sz="4"/>
                    <w:left w:val="none" w:color="000000" w:sz="4"/>
                    <w:bottom w:val="single" w:color="000000" w:sz="4"/>
                    <w:right w:val="single" w:color="000000" w:sz="4"/>
                  </w:tcBorders>
                  <w:vAlign w:val="top"/>
                </w:tcPr>
                <w:p>
                  <w:pPr>
                    <w:jc w:val="center"/>
                  </w:pPr>
                  <w:r>
                    <w:rPr>
                      <w:color w:val="000000"/>
                      <w:sz w:val="21"/>
                    </w:rPr>
                    <w:t>35040</w:t>
                  </w:r>
                </w:p>
              </w:tc>
            </w:tr>
            <w:tr>
              <w:tc>
                <w:tcPr>
                  <w:tcW w:type="dxa" w:w="547"/>
                  <w:tcBorders>
                    <w:top w:val="none" w:color="000000" w:sz="4"/>
                    <w:left w:val="single" w:color="000000" w:sz="4"/>
                    <w:bottom w:val="single" w:color="000000" w:sz="4"/>
                    <w:right w:val="single" w:color="000000" w:sz="4"/>
                  </w:tcBorders>
                  <w:vAlign w:val="top"/>
                </w:tcPr>
                <w:p>
                  <w:pPr>
                    <w:jc w:val="center"/>
                  </w:pPr>
                  <w:r>
                    <w:rPr>
                      <w:color w:val="000000"/>
                      <w:sz w:val="21"/>
                    </w:rPr>
                    <w:t>6</w:t>
                  </w:r>
                </w:p>
              </w:tc>
              <w:tc>
                <w:tcPr>
                  <w:tcW w:type="dxa" w:w="1792"/>
                  <w:tcBorders>
                    <w:top w:val="none" w:color="000000" w:sz="4"/>
                    <w:left w:val="none" w:color="000000" w:sz="4"/>
                    <w:bottom w:val="single" w:color="000000" w:sz="4"/>
                    <w:right w:val="single" w:color="000000" w:sz="4"/>
                  </w:tcBorders>
                  <w:vAlign w:val="top"/>
                </w:tcPr>
                <w:p>
                  <w:pPr>
                    <w:jc w:val="center"/>
                  </w:pPr>
                  <w:r>
                    <w:rPr>
                      <w:color w:val="000000"/>
                      <w:sz w:val="21"/>
                    </w:rPr>
                    <w:t>向西排渠</w:t>
                  </w:r>
                </w:p>
              </w:tc>
              <w:tc>
                <w:tcPr>
                  <w:tcW w:type="dxa" w:w="987"/>
                  <w:tcBorders>
                    <w:top w:val="none" w:color="000000" w:sz="4"/>
                    <w:left w:val="none" w:color="000000" w:sz="4"/>
                    <w:bottom w:val="single" w:color="000000" w:sz="4"/>
                    <w:right w:val="single" w:color="000000" w:sz="4"/>
                  </w:tcBorders>
                  <w:vAlign w:val="top"/>
                </w:tcPr>
                <w:p>
                  <w:pPr>
                    <w:jc w:val="center"/>
                  </w:pPr>
                  <w:r>
                    <w:rPr>
                      <w:color w:val="000000"/>
                      <w:sz w:val="21"/>
                    </w:rPr>
                    <w:t>3120</w:t>
                  </w:r>
                </w:p>
              </w:tc>
              <w:tc>
                <w:tcPr>
                  <w:tcW w:type="dxa" w:w="1620"/>
                  <w:tcBorders>
                    <w:top w:val="none" w:color="000000" w:sz="4"/>
                    <w:left w:val="none" w:color="000000" w:sz="4"/>
                    <w:bottom w:val="single" w:color="000000" w:sz="4"/>
                    <w:right w:val="single" w:color="000000" w:sz="4"/>
                  </w:tcBorders>
                  <w:vAlign w:val="top"/>
                </w:tcPr>
                <w:p>
                  <w:pPr>
                    <w:jc w:val="center"/>
                  </w:pPr>
                  <w:r>
                    <w:rPr>
                      <w:color w:val="000000"/>
                      <w:sz w:val="21"/>
                    </w:rPr>
                    <w:t>49300</w:t>
                  </w:r>
                </w:p>
              </w:tc>
            </w:tr>
            <w:tr>
              <w:tc>
                <w:tcPr>
                  <w:tcW w:type="dxa" w:w="547"/>
                  <w:tcBorders>
                    <w:top w:val="none" w:color="000000" w:sz="4"/>
                    <w:left w:val="single" w:color="000000" w:sz="4"/>
                    <w:bottom w:val="single" w:color="000000" w:sz="4"/>
                    <w:right w:val="single" w:color="000000" w:sz="4"/>
                  </w:tcBorders>
                  <w:vAlign w:val="top"/>
                </w:tcPr>
                <w:p>
                  <w:pPr>
                    <w:jc w:val="center"/>
                  </w:pPr>
                  <w:r>
                    <w:rPr>
                      <w:color w:val="000000"/>
                      <w:sz w:val="21"/>
                    </w:rPr>
                    <w:t>7</w:t>
                  </w:r>
                </w:p>
              </w:tc>
              <w:tc>
                <w:tcPr>
                  <w:tcW w:type="dxa" w:w="1792"/>
                  <w:tcBorders>
                    <w:top w:val="none" w:color="000000" w:sz="4"/>
                    <w:left w:val="none" w:color="000000" w:sz="4"/>
                    <w:bottom w:val="single" w:color="000000" w:sz="4"/>
                    <w:right w:val="single" w:color="000000" w:sz="4"/>
                  </w:tcBorders>
                  <w:vAlign w:val="top"/>
                </w:tcPr>
                <w:p>
                  <w:pPr>
                    <w:jc w:val="center"/>
                  </w:pPr>
                  <w:r>
                    <w:rPr>
                      <w:color w:val="000000"/>
                      <w:sz w:val="21"/>
                    </w:rPr>
                    <w:t>黄家</w:t>
                  </w:r>
                  <w:r>
                    <w:rPr>
                      <w:b/>
                      <w:color w:val="000000"/>
                      <w:sz w:val="21"/>
                    </w:rPr>
                    <w:t>壆</w:t>
                  </w:r>
                  <w:r>
                    <w:rPr>
                      <w:color w:val="000000"/>
                      <w:sz w:val="21"/>
                    </w:rPr>
                    <w:t>排渠</w:t>
                  </w:r>
                </w:p>
              </w:tc>
              <w:tc>
                <w:tcPr>
                  <w:tcW w:type="dxa" w:w="987"/>
                  <w:tcBorders>
                    <w:top w:val="none" w:color="000000" w:sz="4"/>
                    <w:left w:val="none" w:color="000000" w:sz="4"/>
                    <w:bottom w:val="single" w:color="000000" w:sz="4"/>
                    <w:right w:val="single" w:color="000000" w:sz="4"/>
                  </w:tcBorders>
                  <w:vAlign w:val="top"/>
                </w:tcPr>
                <w:p>
                  <w:pPr>
                    <w:jc w:val="center"/>
                  </w:pPr>
                  <w:r>
                    <w:rPr>
                      <w:color w:val="000000"/>
                      <w:sz w:val="21"/>
                    </w:rPr>
                    <w:t>1060</w:t>
                  </w:r>
                </w:p>
              </w:tc>
              <w:tc>
                <w:tcPr>
                  <w:tcW w:type="dxa" w:w="1620"/>
                  <w:tcBorders>
                    <w:top w:val="none" w:color="000000" w:sz="4"/>
                    <w:left w:val="none" w:color="000000" w:sz="4"/>
                    <w:bottom w:val="single" w:color="000000" w:sz="4"/>
                    <w:right w:val="single" w:color="000000" w:sz="4"/>
                  </w:tcBorders>
                  <w:vAlign w:val="top"/>
                </w:tcPr>
                <w:p>
                  <w:pPr>
                    <w:jc w:val="center"/>
                  </w:pPr>
                  <w:r>
                    <w:rPr>
                      <w:color w:val="000000"/>
                      <w:sz w:val="21"/>
                    </w:rPr>
                    <w:t>12720</w:t>
                  </w:r>
                </w:p>
              </w:tc>
            </w:tr>
            <w:tr>
              <w:tc>
                <w:tcPr>
                  <w:tcW w:type="dxa" w:w="547"/>
                  <w:tcBorders>
                    <w:top w:val="none" w:color="000000" w:sz="4"/>
                    <w:left w:val="single" w:color="000000" w:sz="4"/>
                    <w:bottom w:val="single" w:color="000000" w:sz="4"/>
                    <w:right w:val="single" w:color="000000" w:sz="4"/>
                  </w:tcBorders>
                  <w:vAlign w:val="top"/>
                </w:tcPr>
                <w:p>
                  <w:pPr>
                    <w:jc w:val="center"/>
                  </w:pPr>
                  <w:r>
                    <w:rPr>
                      <w:color w:val="000000"/>
                      <w:sz w:val="21"/>
                    </w:rPr>
                    <w:t>8</w:t>
                  </w:r>
                </w:p>
              </w:tc>
              <w:tc>
                <w:tcPr>
                  <w:tcW w:type="dxa" w:w="1792"/>
                  <w:tcBorders>
                    <w:top w:val="none" w:color="000000" w:sz="4"/>
                    <w:left w:val="none" w:color="000000" w:sz="4"/>
                    <w:bottom w:val="single" w:color="000000" w:sz="4"/>
                    <w:right w:val="single" w:color="000000" w:sz="4"/>
                  </w:tcBorders>
                  <w:vAlign w:val="top"/>
                </w:tcPr>
                <w:p>
                  <w:pPr>
                    <w:jc w:val="center"/>
                  </w:pPr>
                  <w:r>
                    <w:rPr>
                      <w:color w:val="000000"/>
                      <w:sz w:val="21"/>
                    </w:rPr>
                    <w:t>独洲排渠</w:t>
                  </w:r>
                </w:p>
              </w:tc>
              <w:tc>
                <w:tcPr>
                  <w:tcW w:type="dxa" w:w="987"/>
                  <w:tcBorders>
                    <w:top w:val="none" w:color="000000" w:sz="4"/>
                    <w:left w:val="none" w:color="000000" w:sz="4"/>
                    <w:bottom w:val="single" w:color="000000" w:sz="4"/>
                    <w:right w:val="single" w:color="000000" w:sz="4"/>
                  </w:tcBorders>
                  <w:vAlign w:val="top"/>
                </w:tcPr>
                <w:p>
                  <w:pPr>
                    <w:jc w:val="center"/>
                  </w:pPr>
                  <w:r>
                    <w:rPr>
                      <w:color w:val="000000"/>
                      <w:sz w:val="21"/>
                    </w:rPr>
                    <w:t>2230</w:t>
                  </w:r>
                </w:p>
              </w:tc>
              <w:tc>
                <w:tcPr>
                  <w:tcW w:type="dxa" w:w="1620"/>
                  <w:tcBorders>
                    <w:top w:val="none" w:color="000000" w:sz="4"/>
                    <w:left w:val="none" w:color="000000" w:sz="4"/>
                    <w:bottom w:val="single" w:color="000000" w:sz="4"/>
                    <w:right w:val="single" w:color="000000" w:sz="4"/>
                  </w:tcBorders>
                  <w:vAlign w:val="top"/>
                </w:tcPr>
                <w:p>
                  <w:pPr>
                    <w:jc w:val="center"/>
                  </w:pPr>
                  <w:r>
                    <w:rPr>
                      <w:color w:val="000000"/>
                      <w:sz w:val="21"/>
                    </w:rPr>
                    <w:t>35680</w:t>
                  </w:r>
                </w:p>
              </w:tc>
            </w:tr>
            <w:tr>
              <w:tc>
                <w:tcPr>
                  <w:tcW w:type="dxa" w:w="547"/>
                  <w:tcBorders>
                    <w:top w:val="none" w:color="000000" w:sz="4"/>
                    <w:left w:val="single" w:color="000000" w:sz="4"/>
                    <w:bottom w:val="single" w:color="000000" w:sz="4"/>
                    <w:right w:val="single" w:color="000000" w:sz="4"/>
                  </w:tcBorders>
                  <w:vAlign w:val="top"/>
                </w:tcPr>
                <w:p>
                  <w:pPr>
                    <w:jc w:val="center"/>
                  </w:pPr>
                  <w:r>
                    <w:rPr>
                      <w:color w:val="000000"/>
                      <w:sz w:val="21"/>
                    </w:rPr>
                    <w:t>9</w:t>
                  </w:r>
                </w:p>
              </w:tc>
              <w:tc>
                <w:tcPr>
                  <w:tcW w:type="dxa" w:w="1792"/>
                  <w:tcBorders>
                    <w:top w:val="none" w:color="000000" w:sz="4"/>
                    <w:left w:val="none" w:color="000000" w:sz="4"/>
                    <w:bottom w:val="single" w:color="000000" w:sz="4"/>
                    <w:right w:val="single" w:color="000000" w:sz="4"/>
                  </w:tcBorders>
                  <w:vAlign w:val="top"/>
                </w:tcPr>
                <w:p>
                  <w:pPr>
                    <w:jc w:val="center"/>
                  </w:pPr>
                  <w:r>
                    <w:rPr>
                      <w:color w:val="000000"/>
                      <w:sz w:val="21"/>
                    </w:rPr>
                    <w:t>石崇排渠</w:t>
                  </w:r>
                </w:p>
              </w:tc>
              <w:tc>
                <w:tcPr>
                  <w:tcW w:type="dxa" w:w="987"/>
                  <w:tcBorders>
                    <w:top w:val="none" w:color="000000" w:sz="4"/>
                    <w:left w:val="none" w:color="000000" w:sz="4"/>
                    <w:bottom w:val="single" w:color="000000" w:sz="4"/>
                    <w:right w:val="single" w:color="000000" w:sz="4"/>
                  </w:tcBorders>
                  <w:vAlign w:val="top"/>
                </w:tcPr>
                <w:p>
                  <w:pPr>
                    <w:jc w:val="center"/>
                  </w:pPr>
                  <w:r>
                    <w:rPr>
                      <w:color w:val="000000"/>
                      <w:sz w:val="21"/>
                    </w:rPr>
                    <w:t>1070</w:t>
                  </w:r>
                </w:p>
              </w:tc>
              <w:tc>
                <w:tcPr>
                  <w:tcW w:type="dxa" w:w="1620"/>
                  <w:tcBorders>
                    <w:top w:val="none" w:color="000000" w:sz="4"/>
                    <w:left w:val="none" w:color="000000" w:sz="4"/>
                    <w:bottom w:val="single" w:color="000000" w:sz="4"/>
                    <w:right w:val="single" w:color="000000" w:sz="4"/>
                  </w:tcBorders>
                  <w:vAlign w:val="top"/>
                </w:tcPr>
                <w:p>
                  <w:pPr>
                    <w:jc w:val="center"/>
                  </w:pPr>
                  <w:r>
                    <w:rPr>
                      <w:color w:val="000000"/>
                      <w:sz w:val="21"/>
                    </w:rPr>
                    <w:t>17120</w:t>
                  </w:r>
                </w:p>
              </w:tc>
            </w:tr>
            <w:tr>
              <w:tc>
                <w:tcPr>
                  <w:tcW w:type="dxa" w:w="547"/>
                  <w:tcBorders>
                    <w:top w:val="none" w:color="000000" w:sz="4"/>
                    <w:left w:val="single" w:color="000000" w:sz="4"/>
                    <w:bottom w:val="single" w:color="000000" w:sz="4"/>
                    <w:right w:val="single" w:color="000000" w:sz="4"/>
                  </w:tcBorders>
                  <w:vAlign w:val="top"/>
                </w:tcPr>
                <w:p>
                  <w:pPr>
                    <w:jc w:val="center"/>
                  </w:pPr>
                  <w:r>
                    <w:rPr>
                      <w:color w:val="000000"/>
                      <w:sz w:val="21"/>
                    </w:rPr>
                    <w:t>10</w:t>
                  </w:r>
                </w:p>
              </w:tc>
              <w:tc>
                <w:tcPr>
                  <w:tcW w:type="dxa" w:w="1792"/>
                  <w:tcBorders>
                    <w:top w:val="none" w:color="000000" w:sz="4"/>
                    <w:left w:val="none" w:color="000000" w:sz="4"/>
                    <w:bottom w:val="single" w:color="000000" w:sz="4"/>
                    <w:right w:val="single" w:color="000000" w:sz="4"/>
                  </w:tcBorders>
                  <w:vAlign w:val="top"/>
                </w:tcPr>
                <w:p>
                  <w:pPr>
                    <w:jc w:val="center"/>
                  </w:pPr>
                  <w:r>
                    <w:rPr>
                      <w:color w:val="000000"/>
                      <w:sz w:val="21"/>
                    </w:rPr>
                    <w:t>沙角内河</w:t>
                  </w:r>
                </w:p>
              </w:tc>
              <w:tc>
                <w:tcPr>
                  <w:tcW w:type="dxa" w:w="987"/>
                  <w:tcBorders>
                    <w:top w:val="none" w:color="000000" w:sz="4"/>
                    <w:left w:val="none" w:color="000000" w:sz="4"/>
                    <w:bottom w:val="single" w:color="000000" w:sz="4"/>
                    <w:right w:val="single" w:color="000000" w:sz="4"/>
                  </w:tcBorders>
                  <w:vAlign w:val="top"/>
                </w:tcPr>
                <w:p>
                  <w:pPr>
                    <w:jc w:val="center"/>
                  </w:pPr>
                  <w:r>
                    <w:rPr>
                      <w:color w:val="000000"/>
                      <w:sz w:val="21"/>
                    </w:rPr>
                    <w:t>2810</w:t>
                  </w:r>
                </w:p>
              </w:tc>
              <w:tc>
                <w:tcPr>
                  <w:tcW w:type="dxa" w:w="1620"/>
                  <w:tcBorders>
                    <w:top w:val="none" w:color="000000" w:sz="4"/>
                    <w:left w:val="none" w:color="000000" w:sz="4"/>
                    <w:bottom w:val="single" w:color="000000" w:sz="4"/>
                    <w:right w:val="single" w:color="000000" w:sz="4"/>
                  </w:tcBorders>
                  <w:vAlign w:val="top"/>
                </w:tcPr>
                <w:p>
                  <w:pPr>
                    <w:jc w:val="center"/>
                  </w:pPr>
                  <w:r>
                    <w:rPr>
                      <w:color w:val="000000"/>
                      <w:sz w:val="21"/>
                    </w:rPr>
                    <w:t>33720</w:t>
                  </w:r>
                </w:p>
              </w:tc>
              <w:tc>
                <w:tcPr>
                  <w:tcW w:type="dxa" w:w="653"/>
                  <w:vMerge w:val="restart"/>
                  <w:tcBorders>
                    <w:top w:val="none" w:color="000000" w:sz="4"/>
                    <w:left w:val="none" w:color="000000" w:sz="4"/>
                    <w:bottom w:val="none" w:color="000000" w:sz="4"/>
                    <w:right w:val="single" w:color="000000" w:sz="4"/>
                  </w:tcBorders>
                  <w:vAlign w:val="top"/>
                </w:tcPr>
                <w:p>
                  <w:pPr>
                    <w:jc w:val="center"/>
                  </w:pPr>
                  <w:r>
                    <w:rPr>
                      <w:sz w:val="21"/>
                    </w:rPr>
                    <w:t>村属</w:t>
                  </w:r>
                </w:p>
              </w:tc>
            </w:tr>
            <w:tr>
              <w:tc>
                <w:tcPr>
                  <w:tcW w:type="dxa" w:w="547"/>
                  <w:tcBorders>
                    <w:top w:val="none" w:color="000000" w:sz="4"/>
                    <w:left w:val="single" w:color="000000" w:sz="4"/>
                    <w:bottom w:val="single" w:color="000000" w:sz="4"/>
                    <w:right w:val="single" w:color="000000" w:sz="4"/>
                  </w:tcBorders>
                  <w:vAlign w:val="top"/>
                </w:tcPr>
                <w:p>
                  <w:pPr>
                    <w:jc w:val="center"/>
                  </w:pPr>
                  <w:r>
                    <w:rPr>
                      <w:color w:val="000000"/>
                      <w:sz w:val="21"/>
                    </w:rPr>
                    <w:t>11</w:t>
                  </w:r>
                </w:p>
              </w:tc>
              <w:tc>
                <w:tcPr>
                  <w:tcW w:type="dxa" w:w="1792"/>
                  <w:tcBorders>
                    <w:top w:val="none" w:color="000000" w:sz="4"/>
                    <w:left w:val="none" w:color="000000" w:sz="4"/>
                    <w:bottom w:val="single" w:color="000000" w:sz="4"/>
                    <w:right w:val="single" w:color="000000" w:sz="4"/>
                  </w:tcBorders>
                  <w:vAlign w:val="top"/>
                </w:tcPr>
                <w:p>
                  <w:pPr>
                    <w:jc w:val="center"/>
                  </w:pPr>
                  <w:r>
                    <w:rPr>
                      <w:color w:val="000000"/>
                      <w:sz w:val="21"/>
                    </w:rPr>
                    <w:t>李屋排渠</w:t>
                  </w:r>
                </w:p>
              </w:tc>
              <w:tc>
                <w:tcPr>
                  <w:tcW w:type="dxa" w:w="987"/>
                  <w:tcBorders>
                    <w:top w:val="none" w:color="000000" w:sz="4"/>
                    <w:left w:val="none" w:color="000000" w:sz="4"/>
                    <w:bottom w:val="single" w:color="000000" w:sz="4"/>
                    <w:right w:val="single" w:color="000000" w:sz="4"/>
                  </w:tcBorders>
                  <w:vAlign w:val="top"/>
                </w:tcPr>
                <w:p>
                  <w:pPr>
                    <w:jc w:val="center"/>
                  </w:pPr>
                  <w:r>
                    <w:rPr>
                      <w:color w:val="000000"/>
                      <w:sz w:val="21"/>
                    </w:rPr>
                    <w:t>1690</w:t>
                  </w:r>
                </w:p>
              </w:tc>
              <w:tc>
                <w:tcPr>
                  <w:tcW w:type="dxa" w:w="1620"/>
                  <w:tcBorders>
                    <w:top w:val="none" w:color="000000" w:sz="4"/>
                    <w:left w:val="none" w:color="000000" w:sz="4"/>
                    <w:bottom w:val="single" w:color="000000" w:sz="4"/>
                    <w:right w:val="single" w:color="000000" w:sz="4"/>
                  </w:tcBorders>
                  <w:vAlign w:val="top"/>
                </w:tcPr>
                <w:p>
                  <w:pPr>
                    <w:jc w:val="center"/>
                  </w:pPr>
                  <w:r>
                    <w:rPr>
                      <w:color w:val="000000"/>
                      <w:sz w:val="21"/>
                    </w:rPr>
                    <w:t>6760</w:t>
                  </w:r>
                </w:p>
              </w:tc>
            </w:tr>
            <w:tr>
              <w:tc>
                <w:tcPr>
                  <w:tcW w:type="dxa" w:w="547"/>
                  <w:tcBorders>
                    <w:top w:val="none" w:color="000000" w:sz="4"/>
                    <w:left w:val="single" w:color="000000" w:sz="4"/>
                    <w:bottom w:val="single" w:color="000000" w:sz="4"/>
                    <w:right w:val="single" w:color="000000" w:sz="4"/>
                  </w:tcBorders>
                  <w:vAlign w:val="top"/>
                </w:tcPr>
                <w:p>
                  <w:pPr>
                    <w:jc w:val="center"/>
                  </w:pPr>
                  <w:r>
                    <w:rPr>
                      <w:color w:val="000000"/>
                      <w:sz w:val="21"/>
                    </w:rPr>
                    <w:t>12</w:t>
                  </w:r>
                </w:p>
              </w:tc>
              <w:tc>
                <w:tcPr>
                  <w:tcW w:type="dxa" w:w="1792"/>
                  <w:tcBorders>
                    <w:top w:val="none" w:color="000000" w:sz="4"/>
                    <w:left w:val="none" w:color="000000" w:sz="4"/>
                    <w:bottom w:val="single" w:color="000000" w:sz="4"/>
                    <w:right w:val="single" w:color="000000" w:sz="4"/>
                  </w:tcBorders>
                  <w:vAlign w:val="top"/>
                </w:tcPr>
                <w:p>
                  <w:pPr>
                    <w:jc w:val="center"/>
                  </w:pPr>
                  <w:r>
                    <w:rPr>
                      <w:color w:val="000000"/>
                      <w:sz w:val="21"/>
                    </w:rPr>
                    <w:t>东支渠</w:t>
                  </w:r>
                </w:p>
              </w:tc>
              <w:tc>
                <w:tcPr>
                  <w:tcW w:type="dxa" w:w="987"/>
                  <w:tcBorders>
                    <w:top w:val="none" w:color="000000" w:sz="4"/>
                    <w:left w:val="none" w:color="000000" w:sz="4"/>
                    <w:bottom w:val="single" w:color="000000" w:sz="4"/>
                    <w:right w:val="single" w:color="000000" w:sz="4"/>
                  </w:tcBorders>
                  <w:vAlign w:val="top"/>
                </w:tcPr>
                <w:p>
                  <w:pPr>
                    <w:jc w:val="center"/>
                  </w:pPr>
                  <w:r>
                    <w:rPr>
                      <w:color w:val="000000"/>
                      <w:sz w:val="21"/>
                    </w:rPr>
                    <w:t>770</w:t>
                  </w:r>
                </w:p>
              </w:tc>
              <w:tc>
                <w:tcPr>
                  <w:tcW w:type="dxa" w:w="1620"/>
                  <w:tcBorders>
                    <w:top w:val="none" w:color="000000" w:sz="4"/>
                    <w:left w:val="none" w:color="000000" w:sz="4"/>
                    <w:bottom w:val="single" w:color="000000" w:sz="4"/>
                    <w:right w:val="single" w:color="000000" w:sz="4"/>
                  </w:tcBorders>
                  <w:vAlign w:val="top"/>
                </w:tcPr>
                <w:p>
                  <w:pPr>
                    <w:jc w:val="center"/>
                  </w:pPr>
                  <w:r>
                    <w:rPr>
                      <w:color w:val="000000"/>
                      <w:sz w:val="21"/>
                    </w:rPr>
                    <w:t>3080</w:t>
                  </w:r>
                </w:p>
              </w:tc>
            </w:tr>
            <w:tr>
              <w:tc>
                <w:tcPr>
                  <w:tcW w:type="dxa" w:w="547"/>
                  <w:tcBorders>
                    <w:top w:val="none" w:color="000000" w:sz="4"/>
                    <w:left w:val="single" w:color="000000" w:sz="4"/>
                    <w:bottom w:val="single" w:color="000000" w:sz="4"/>
                    <w:right w:val="single" w:color="000000" w:sz="4"/>
                  </w:tcBorders>
                  <w:vAlign w:val="top"/>
                </w:tcPr>
                <w:p>
                  <w:pPr>
                    <w:jc w:val="center"/>
                  </w:pPr>
                  <w:r>
                    <w:rPr>
                      <w:color w:val="000000"/>
                      <w:sz w:val="21"/>
                    </w:rPr>
                    <w:t>13</w:t>
                  </w:r>
                </w:p>
              </w:tc>
              <w:tc>
                <w:tcPr>
                  <w:tcW w:type="dxa" w:w="1792"/>
                  <w:tcBorders>
                    <w:top w:val="none" w:color="000000" w:sz="4"/>
                    <w:left w:val="none" w:color="000000" w:sz="4"/>
                    <w:bottom w:val="single" w:color="000000" w:sz="4"/>
                    <w:right w:val="single" w:color="000000" w:sz="4"/>
                  </w:tcBorders>
                  <w:vAlign w:val="top"/>
                </w:tcPr>
                <w:p>
                  <w:pPr>
                    <w:jc w:val="center"/>
                  </w:pPr>
                  <w:r>
                    <w:rPr>
                      <w:color w:val="000000"/>
                      <w:sz w:val="21"/>
                    </w:rPr>
                    <w:t>鸿运排渠</w:t>
                  </w:r>
                </w:p>
              </w:tc>
              <w:tc>
                <w:tcPr>
                  <w:tcW w:type="dxa" w:w="987"/>
                  <w:tcBorders>
                    <w:top w:val="none" w:color="000000" w:sz="4"/>
                    <w:left w:val="none" w:color="000000" w:sz="4"/>
                    <w:bottom w:val="single" w:color="000000" w:sz="4"/>
                    <w:right w:val="single" w:color="000000" w:sz="4"/>
                  </w:tcBorders>
                  <w:vAlign w:val="top"/>
                </w:tcPr>
                <w:p>
                  <w:pPr>
                    <w:jc w:val="center"/>
                  </w:pPr>
                  <w:r>
                    <w:rPr>
                      <w:color w:val="000000"/>
                      <w:sz w:val="21"/>
                    </w:rPr>
                    <w:t>820</w:t>
                  </w:r>
                </w:p>
              </w:tc>
              <w:tc>
                <w:tcPr>
                  <w:tcW w:type="dxa" w:w="1620"/>
                  <w:tcBorders>
                    <w:top w:val="none" w:color="000000" w:sz="4"/>
                    <w:left w:val="none" w:color="000000" w:sz="4"/>
                    <w:bottom w:val="single" w:color="000000" w:sz="4"/>
                    <w:right w:val="single" w:color="000000" w:sz="4"/>
                  </w:tcBorders>
                  <w:vAlign w:val="top"/>
                </w:tcPr>
                <w:p>
                  <w:pPr>
                    <w:jc w:val="center"/>
                  </w:pPr>
                  <w:r>
                    <w:rPr>
                      <w:color w:val="000000"/>
                      <w:sz w:val="21"/>
                    </w:rPr>
                    <w:t>3280</w:t>
                  </w:r>
                </w:p>
              </w:tc>
            </w:tr>
            <w:tr>
              <w:tc>
                <w:tcPr>
                  <w:tcW w:type="dxa" w:w="547"/>
                  <w:tcBorders>
                    <w:top w:val="none" w:color="000000" w:sz="4"/>
                    <w:left w:val="single" w:color="000000" w:sz="4"/>
                    <w:bottom w:val="single" w:color="000000" w:sz="4"/>
                    <w:right w:val="single" w:color="000000" w:sz="4"/>
                  </w:tcBorders>
                  <w:vAlign w:val="top"/>
                </w:tcPr>
                <w:p>
                  <w:pPr>
                    <w:jc w:val="center"/>
                  </w:pPr>
                  <w:r>
                    <w:rPr>
                      <w:color w:val="000000"/>
                      <w:sz w:val="21"/>
                    </w:rPr>
                    <w:t>14</w:t>
                  </w:r>
                </w:p>
              </w:tc>
              <w:tc>
                <w:tcPr>
                  <w:tcW w:type="dxa" w:w="1792"/>
                  <w:tcBorders>
                    <w:top w:val="none" w:color="000000" w:sz="4"/>
                    <w:left w:val="none" w:color="000000" w:sz="4"/>
                    <w:bottom w:val="single" w:color="000000" w:sz="4"/>
                    <w:right w:val="single" w:color="000000" w:sz="4"/>
                  </w:tcBorders>
                  <w:vAlign w:val="top"/>
                </w:tcPr>
                <w:p>
                  <w:pPr>
                    <w:jc w:val="center"/>
                  </w:pPr>
                  <w:r>
                    <w:rPr>
                      <w:color w:val="000000"/>
                      <w:sz w:val="21"/>
                    </w:rPr>
                    <w:t>中坑二渠</w:t>
                  </w:r>
                </w:p>
              </w:tc>
              <w:tc>
                <w:tcPr>
                  <w:tcW w:type="dxa" w:w="987"/>
                  <w:tcBorders>
                    <w:top w:val="none" w:color="000000" w:sz="4"/>
                    <w:left w:val="none" w:color="000000" w:sz="4"/>
                    <w:bottom w:val="single" w:color="000000" w:sz="4"/>
                    <w:right w:val="single" w:color="000000" w:sz="4"/>
                  </w:tcBorders>
                  <w:vAlign w:val="top"/>
                </w:tcPr>
                <w:p>
                  <w:pPr>
                    <w:jc w:val="center"/>
                  </w:pPr>
                  <w:r>
                    <w:rPr>
                      <w:color w:val="000000"/>
                      <w:sz w:val="21"/>
                    </w:rPr>
                    <w:t>230</w:t>
                  </w:r>
                </w:p>
              </w:tc>
              <w:tc>
                <w:tcPr>
                  <w:tcW w:type="dxa" w:w="1620"/>
                  <w:tcBorders>
                    <w:top w:val="none" w:color="000000" w:sz="4"/>
                    <w:left w:val="none" w:color="000000" w:sz="4"/>
                    <w:bottom w:val="single" w:color="000000" w:sz="4"/>
                    <w:right w:val="single" w:color="000000" w:sz="4"/>
                  </w:tcBorders>
                  <w:vAlign w:val="top"/>
                </w:tcPr>
                <w:p>
                  <w:pPr>
                    <w:jc w:val="center"/>
                  </w:pPr>
                  <w:r>
                    <w:rPr>
                      <w:color w:val="000000"/>
                      <w:sz w:val="21"/>
                    </w:rPr>
                    <w:t>920</w:t>
                  </w:r>
                </w:p>
              </w:tc>
            </w:tr>
            <w:tr>
              <w:tc>
                <w:tcPr>
                  <w:tcW w:type="dxa" w:w="547"/>
                  <w:tcBorders>
                    <w:top w:val="none" w:color="000000" w:sz="4"/>
                    <w:left w:val="single" w:color="000000" w:sz="4"/>
                    <w:bottom w:val="single" w:color="000000" w:sz="4"/>
                    <w:right w:val="single" w:color="000000" w:sz="4"/>
                  </w:tcBorders>
                  <w:vAlign w:val="top"/>
                </w:tcPr>
                <w:p>
                  <w:pPr>
                    <w:jc w:val="center"/>
                  </w:pPr>
                  <w:r>
                    <w:rPr>
                      <w:color w:val="000000"/>
                      <w:sz w:val="21"/>
                    </w:rPr>
                    <w:t>15</w:t>
                  </w:r>
                </w:p>
              </w:tc>
              <w:tc>
                <w:tcPr>
                  <w:tcW w:type="dxa" w:w="1792"/>
                  <w:tcBorders>
                    <w:top w:val="none" w:color="000000" w:sz="4"/>
                    <w:left w:val="none" w:color="000000" w:sz="4"/>
                    <w:bottom w:val="single" w:color="000000" w:sz="4"/>
                    <w:right w:val="single" w:color="000000" w:sz="4"/>
                  </w:tcBorders>
                  <w:vAlign w:val="top"/>
                </w:tcPr>
                <w:p>
                  <w:pPr>
                    <w:jc w:val="center"/>
                  </w:pPr>
                  <w:r>
                    <w:rPr>
                      <w:color w:val="000000"/>
                      <w:sz w:val="21"/>
                    </w:rPr>
                    <w:t>下沙一渠</w:t>
                  </w:r>
                </w:p>
              </w:tc>
              <w:tc>
                <w:tcPr>
                  <w:tcW w:type="dxa" w:w="987"/>
                  <w:tcBorders>
                    <w:top w:val="none" w:color="000000" w:sz="4"/>
                    <w:left w:val="none" w:color="000000" w:sz="4"/>
                    <w:bottom w:val="single" w:color="000000" w:sz="4"/>
                    <w:right w:val="single" w:color="000000" w:sz="4"/>
                  </w:tcBorders>
                  <w:vAlign w:val="top"/>
                </w:tcPr>
                <w:p>
                  <w:pPr>
                    <w:jc w:val="center"/>
                  </w:pPr>
                  <w:r>
                    <w:rPr>
                      <w:color w:val="000000"/>
                      <w:sz w:val="21"/>
                    </w:rPr>
                    <w:t>43</w:t>
                  </w:r>
                </w:p>
              </w:tc>
              <w:tc>
                <w:tcPr>
                  <w:tcW w:type="dxa" w:w="1620"/>
                  <w:tcBorders>
                    <w:top w:val="none" w:color="000000" w:sz="4"/>
                    <w:left w:val="none" w:color="000000" w:sz="4"/>
                    <w:bottom w:val="single" w:color="000000" w:sz="4"/>
                    <w:right w:val="single" w:color="000000" w:sz="4"/>
                  </w:tcBorders>
                  <w:vAlign w:val="top"/>
                </w:tcPr>
                <w:p>
                  <w:pPr>
                    <w:jc w:val="center"/>
                  </w:pPr>
                  <w:r>
                    <w:rPr>
                      <w:color w:val="000000"/>
                      <w:sz w:val="21"/>
                    </w:rPr>
                    <w:t>1720</w:t>
                  </w:r>
                </w:p>
              </w:tc>
            </w:tr>
            <w:tr>
              <w:tc>
                <w:tcPr>
                  <w:tcW w:type="dxa" w:w="547"/>
                  <w:tcBorders>
                    <w:top w:val="none" w:color="000000" w:sz="4"/>
                    <w:left w:val="single" w:color="000000" w:sz="4"/>
                    <w:bottom w:val="single" w:color="000000" w:sz="4"/>
                    <w:right w:val="single" w:color="000000" w:sz="4"/>
                  </w:tcBorders>
                  <w:vAlign w:val="top"/>
                </w:tcPr>
                <w:p>
                  <w:pPr>
                    <w:jc w:val="center"/>
                  </w:pPr>
                  <w:r>
                    <w:rPr>
                      <w:color w:val="000000"/>
                      <w:sz w:val="21"/>
                    </w:rPr>
                    <w:t>16</w:t>
                  </w:r>
                </w:p>
              </w:tc>
              <w:tc>
                <w:tcPr>
                  <w:tcW w:type="dxa" w:w="1792"/>
                  <w:tcBorders>
                    <w:top w:val="none" w:color="000000" w:sz="4"/>
                    <w:left w:val="none" w:color="000000" w:sz="4"/>
                    <w:bottom w:val="single" w:color="000000" w:sz="4"/>
                    <w:right w:val="single" w:color="000000" w:sz="4"/>
                  </w:tcBorders>
                  <w:vAlign w:val="top"/>
                </w:tcPr>
                <w:p>
                  <w:pPr>
                    <w:jc w:val="center"/>
                  </w:pPr>
                  <w:r>
                    <w:rPr>
                      <w:color w:val="000000"/>
                      <w:sz w:val="21"/>
                    </w:rPr>
                    <w:t>庙边王横头浅排渠</w:t>
                  </w:r>
                </w:p>
              </w:tc>
              <w:tc>
                <w:tcPr>
                  <w:tcW w:type="dxa" w:w="987"/>
                  <w:tcBorders>
                    <w:top w:val="none" w:color="000000" w:sz="4"/>
                    <w:left w:val="none" w:color="000000" w:sz="4"/>
                    <w:bottom w:val="single" w:color="000000" w:sz="4"/>
                    <w:right w:val="single" w:color="000000" w:sz="4"/>
                  </w:tcBorders>
                  <w:vAlign w:val="top"/>
                </w:tcPr>
                <w:p>
                  <w:pPr>
                    <w:jc w:val="center"/>
                  </w:pPr>
                  <w:r>
                    <w:rPr>
                      <w:color w:val="000000"/>
                      <w:sz w:val="21"/>
                    </w:rPr>
                    <w:t>180</w:t>
                  </w:r>
                </w:p>
              </w:tc>
              <w:tc>
                <w:tcPr>
                  <w:tcW w:type="dxa" w:w="1620"/>
                  <w:tcBorders>
                    <w:top w:val="none" w:color="000000" w:sz="4"/>
                    <w:left w:val="none" w:color="000000" w:sz="4"/>
                    <w:bottom w:val="single" w:color="000000" w:sz="4"/>
                    <w:right w:val="single" w:color="000000" w:sz="4"/>
                  </w:tcBorders>
                  <w:vAlign w:val="top"/>
                </w:tcPr>
                <w:p>
                  <w:pPr>
                    <w:jc w:val="center"/>
                  </w:pPr>
                  <w:r>
                    <w:rPr>
                      <w:color w:val="000000"/>
                      <w:sz w:val="21"/>
                    </w:rPr>
                    <w:t>720</w:t>
                  </w:r>
                </w:p>
              </w:tc>
            </w:tr>
            <w:tr>
              <w:tc>
                <w:tcPr>
                  <w:tcW w:type="dxa" w:w="547"/>
                  <w:tcBorders>
                    <w:top w:val="none" w:color="000000" w:sz="4"/>
                    <w:left w:val="single" w:color="000000" w:sz="4"/>
                    <w:bottom w:val="single" w:color="000000" w:sz="4"/>
                    <w:right w:val="single" w:color="000000" w:sz="4"/>
                  </w:tcBorders>
                  <w:vAlign w:val="top"/>
                </w:tcPr>
                <w:p>
                  <w:pPr>
                    <w:jc w:val="center"/>
                  </w:pPr>
                  <w:r>
                    <w:rPr>
                      <w:color w:val="000000"/>
                      <w:sz w:val="21"/>
                    </w:rPr>
                    <w:t>17</w:t>
                  </w:r>
                </w:p>
              </w:tc>
              <w:tc>
                <w:tcPr>
                  <w:tcW w:type="dxa" w:w="1792"/>
                  <w:tcBorders>
                    <w:top w:val="none" w:color="000000" w:sz="4"/>
                    <w:left w:val="none" w:color="000000" w:sz="4"/>
                    <w:bottom w:val="single" w:color="000000" w:sz="4"/>
                    <w:right w:val="single" w:color="000000" w:sz="4"/>
                  </w:tcBorders>
                  <w:vAlign w:val="top"/>
                </w:tcPr>
                <w:p>
                  <w:pPr>
                    <w:jc w:val="center"/>
                  </w:pPr>
                  <w:r>
                    <w:rPr>
                      <w:color w:val="000000"/>
                      <w:sz w:val="21"/>
                    </w:rPr>
                    <w:t>福隆电力排渠</w:t>
                  </w:r>
                </w:p>
              </w:tc>
              <w:tc>
                <w:tcPr>
                  <w:tcW w:type="dxa" w:w="987"/>
                  <w:tcBorders>
                    <w:top w:val="none" w:color="000000" w:sz="4"/>
                    <w:left w:val="none" w:color="000000" w:sz="4"/>
                    <w:bottom w:val="single" w:color="000000" w:sz="4"/>
                    <w:right w:val="single" w:color="000000" w:sz="4"/>
                  </w:tcBorders>
                  <w:vAlign w:val="top"/>
                </w:tcPr>
                <w:p>
                  <w:pPr>
                    <w:jc w:val="center"/>
                  </w:pPr>
                  <w:r>
                    <w:rPr>
                      <w:color w:val="000000"/>
                      <w:sz w:val="21"/>
                    </w:rPr>
                    <w:t>1500</w:t>
                  </w:r>
                </w:p>
              </w:tc>
              <w:tc>
                <w:tcPr>
                  <w:tcW w:type="dxa" w:w="1620"/>
                  <w:tcBorders>
                    <w:top w:val="none" w:color="000000" w:sz="4"/>
                    <w:left w:val="none" w:color="000000" w:sz="4"/>
                    <w:bottom w:val="single" w:color="000000" w:sz="4"/>
                    <w:right w:val="single" w:color="000000" w:sz="4"/>
                  </w:tcBorders>
                  <w:vAlign w:val="top"/>
                </w:tcPr>
                <w:p>
                  <w:pPr>
                    <w:jc w:val="center"/>
                  </w:pPr>
                  <w:r>
                    <w:rPr>
                      <w:color w:val="000000"/>
                      <w:sz w:val="21"/>
                    </w:rPr>
                    <w:t>7500</w:t>
                  </w:r>
                </w:p>
              </w:tc>
            </w:tr>
            <w:tr>
              <w:tc>
                <w:tcPr>
                  <w:tcW w:type="dxa" w:w="547"/>
                  <w:tcBorders>
                    <w:top w:val="none" w:color="000000" w:sz="4"/>
                    <w:left w:val="single" w:color="000000" w:sz="4"/>
                    <w:bottom w:val="single" w:color="000000" w:sz="4"/>
                    <w:right w:val="single" w:color="000000" w:sz="4"/>
                  </w:tcBorders>
                  <w:vAlign w:val="top"/>
                </w:tcPr>
                <w:p>
                  <w:pPr>
                    <w:jc w:val="center"/>
                  </w:pPr>
                  <w:r>
                    <w:rPr>
                      <w:color w:val="000000"/>
                      <w:sz w:val="21"/>
                    </w:rPr>
                    <w:t>18</w:t>
                  </w:r>
                </w:p>
              </w:tc>
              <w:tc>
                <w:tcPr>
                  <w:tcW w:type="dxa" w:w="1792"/>
                  <w:tcBorders>
                    <w:top w:val="none" w:color="000000" w:sz="4"/>
                    <w:left w:val="none" w:color="000000" w:sz="4"/>
                    <w:bottom w:val="single" w:color="000000" w:sz="4"/>
                    <w:right w:val="single" w:color="000000" w:sz="4"/>
                  </w:tcBorders>
                  <w:vAlign w:val="top"/>
                </w:tcPr>
                <w:p>
                  <w:pPr>
                    <w:jc w:val="center"/>
                  </w:pPr>
                  <w:r>
                    <w:rPr>
                      <w:color w:val="000000"/>
                      <w:sz w:val="21"/>
                    </w:rPr>
                    <w:t>福隆第二工业区排渠</w:t>
                  </w:r>
                </w:p>
              </w:tc>
              <w:tc>
                <w:tcPr>
                  <w:tcW w:type="dxa" w:w="987"/>
                  <w:tcBorders>
                    <w:top w:val="none" w:color="000000" w:sz="4"/>
                    <w:left w:val="none" w:color="000000" w:sz="4"/>
                    <w:bottom w:val="single" w:color="000000" w:sz="4"/>
                    <w:right w:val="single" w:color="000000" w:sz="4"/>
                  </w:tcBorders>
                  <w:vAlign w:val="top"/>
                </w:tcPr>
                <w:p>
                  <w:pPr>
                    <w:jc w:val="center"/>
                  </w:pPr>
                  <w:r>
                    <w:rPr>
                      <w:color w:val="000000"/>
                      <w:sz w:val="21"/>
                    </w:rPr>
                    <w:t>1000</w:t>
                  </w:r>
                </w:p>
              </w:tc>
              <w:tc>
                <w:tcPr>
                  <w:tcW w:type="dxa" w:w="1620"/>
                  <w:tcBorders>
                    <w:top w:val="none" w:color="000000" w:sz="4"/>
                    <w:left w:val="none" w:color="000000" w:sz="4"/>
                    <w:bottom w:val="single" w:color="000000" w:sz="4"/>
                    <w:right w:val="single" w:color="000000" w:sz="4"/>
                  </w:tcBorders>
                  <w:vAlign w:val="top"/>
                </w:tcPr>
                <w:p>
                  <w:pPr>
                    <w:jc w:val="center"/>
                  </w:pPr>
                  <w:r>
                    <w:rPr>
                      <w:color w:val="000000"/>
                      <w:sz w:val="21"/>
                    </w:rPr>
                    <w:t>4000</w:t>
                  </w:r>
                </w:p>
              </w:tc>
            </w:tr>
            <w:tr>
              <w:tc>
                <w:tcPr>
                  <w:tcW w:type="dxa" w:w="547"/>
                  <w:tcBorders>
                    <w:top w:val="none" w:color="000000" w:sz="4"/>
                    <w:left w:val="single" w:color="000000" w:sz="4"/>
                    <w:bottom w:val="single" w:color="000000" w:sz="4"/>
                    <w:right w:val="single" w:color="000000" w:sz="4"/>
                  </w:tcBorders>
                  <w:vAlign w:val="top"/>
                </w:tcPr>
                <w:p>
                  <w:pPr>
                    <w:jc w:val="center"/>
                  </w:pPr>
                  <w:r>
                    <w:rPr>
                      <w:color w:val="000000"/>
                      <w:sz w:val="21"/>
                    </w:rPr>
                    <w:t>19</w:t>
                  </w:r>
                </w:p>
              </w:tc>
              <w:tc>
                <w:tcPr>
                  <w:tcW w:type="dxa" w:w="1792"/>
                  <w:tcBorders>
                    <w:top w:val="none" w:color="000000" w:sz="4"/>
                    <w:left w:val="none" w:color="000000" w:sz="4"/>
                    <w:bottom w:val="single" w:color="000000" w:sz="4"/>
                    <w:right w:val="single" w:color="000000" w:sz="4"/>
                  </w:tcBorders>
                  <w:vAlign w:val="top"/>
                </w:tcPr>
                <w:p>
                  <w:pPr>
                    <w:jc w:val="center"/>
                  </w:pPr>
                  <w:r>
                    <w:rPr>
                      <w:color w:val="000000"/>
                      <w:sz w:val="21"/>
                    </w:rPr>
                    <w:t>文庙支渠</w:t>
                  </w:r>
                </w:p>
              </w:tc>
              <w:tc>
                <w:tcPr>
                  <w:tcW w:type="dxa" w:w="987"/>
                  <w:tcBorders>
                    <w:top w:val="none" w:color="000000" w:sz="4"/>
                    <w:left w:val="none" w:color="000000" w:sz="4"/>
                    <w:bottom w:val="single" w:color="000000" w:sz="4"/>
                    <w:right w:val="single" w:color="000000" w:sz="4"/>
                  </w:tcBorders>
                  <w:vAlign w:val="top"/>
                </w:tcPr>
                <w:p>
                  <w:pPr>
                    <w:jc w:val="center"/>
                  </w:pPr>
                  <w:r>
                    <w:rPr>
                      <w:color w:val="000000"/>
                      <w:sz w:val="21"/>
                    </w:rPr>
                    <w:t>500</w:t>
                  </w:r>
                </w:p>
              </w:tc>
              <w:tc>
                <w:tcPr>
                  <w:tcW w:type="dxa" w:w="1620"/>
                  <w:tcBorders>
                    <w:top w:val="none" w:color="000000" w:sz="4"/>
                    <w:left w:val="none" w:color="000000" w:sz="4"/>
                    <w:bottom w:val="single" w:color="000000" w:sz="4"/>
                    <w:right w:val="single" w:color="000000" w:sz="4"/>
                  </w:tcBorders>
                  <w:vAlign w:val="top"/>
                </w:tcPr>
                <w:p>
                  <w:pPr>
                    <w:jc w:val="center"/>
                  </w:pPr>
                  <w:r>
                    <w:rPr>
                      <w:color w:val="000000"/>
                      <w:sz w:val="21"/>
                    </w:rPr>
                    <w:t>4000</w:t>
                  </w:r>
                </w:p>
              </w:tc>
            </w:tr>
            <w:tr>
              <w:tc>
                <w:tcPr>
                  <w:tcW w:type="dxa" w:w="547"/>
                  <w:tcBorders>
                    <w:top w:val="none" w:color="000000" w:sz="4"/>
                    <w:left w:val="single" w:color="000000" w:sz="4"/>
                    <w:bottom w:val="single" w:color="000000" w:sz="4"/>
                    <w:right w:val="single" w:color="000000" w:sz="4"/>
                  </w:tcBorders>
                  <w:vAlign w:val="top"/>
                </w:tcPr>
                <w:p>
                  <w:pPr>
                    <w:jc w:val="center"/>
                  </w:pPr>
                  <w:r>
                    <w:rPr>
                      <w:color w:val="000000"/>
                      <w:sz w:val="21"/>
                    </w:rPr>
                    <w:t>20</w:t>
                  </w:r>
                </w:p>
              </w:tc>
              <w:tc>
                <w:tcPr>
                  <w:tcW w:type="dxa" w:w="1792"/>
                  <w:tcBorders>
                    <w:top w:val="none" w:color="000000" w:sz="4"/>
                    <w:left w:val="none" w:color="000000" w:sz="4"/>
                    <w:bottom w:val="single" w:color="000000" w:sz="4"/>
                    <w:right w:val="single" w:color="000000" w:sz="4"/>
                  </w:tcBorders>
                  <w:vAlign w:val="top"/>
                </w:tcPr>
                <w:p>
                  <w:pPr>
                    <w:jc w:val="center"/>
                  </w:pPr>
                  <w:r>
                    <w:rPr>
                      <w:color w:val="000000"/>
                      <w:sz w:val="21"/>
                    </w:rPr>
                    <w:t>文庙沙迳支渠</w:t>
                  </w:r>
                </w:p>
              </w:tc>
              <w:tc>
                <w:tcPr>
                  <w:tcW w:type="dxa" w:w="987"/>
                  <w:tcBorders>
                    <w:top w:val="none" w:color="000000" w:sz="4"/>
                    <w:left w:val="none" w:color="000000" w:sz="4"/>
                    <w:bottom w:val="single" w:color="000000" w:sz="4"/>
                    <w:right w:val="single" w:color="000000" w:sz="4"/>
                  </w:tcBorders>
                  <w:vAlign w:val="top"/>
                </w:tcPr>
                <w:p>
                  <w:pPr>
                    <w:jc w:val="center"/>
                  </w:pPr>
                  <w:r>
                    <w:rPr>
                      <w:color w:val="000000"/>
                      <w:sz w:val="21"/>
                    </w:rPr>
                    <w:t>400</w:t>
                  </w:r>
                </w:p>
              </w:tc>
              <w:tc>
                <w:tcPr>
                  <w:tcW w:type="dxa" w:w="1620"/>
                  <w:tcBorders>
                    <w:top w:val="none" w:color="000000" w:sz="4"/>
                    <w:left w:val="none" w:color="000000" w:sz="4"/>
                    <w:bottom w:val="single" w:color="000000" w:sz="4"/>
                    <w:right w:val="single" w:color="000000" w:sz="4"/>
                  </w:tcBorders>
                  <w:vAlign w:val="top"/>
                </w:tcPr>
                <w:p>
                  <w:pPr>
                    <w:jc w:val="center"/>
                  </w:pPr>
                  <w:r>
                    <w:rPr>
                      <w:color w:val="000000"/>
                      <w:sz w:val="21"/>
                    </w:rPr>
                    <w:t>3200</w:t>
                  </w:r>
                </w:p>
              </w:tc>
            </w:tr>
            <w:tr>
              <w:tc>
                <w:tcPr>
                  <w:tcW w:type="dxa" w:w="547"/>
                  <w:tcBorders>
                    <w:top w:val="none" w:color="000000" w:sz="4"/>
                    <w:left w:val="single" w:color="000000" w:sz="4"/>
                    <w:bottom w:val="single" w:color="000000" w:sz="4"/>
                    <w:right w:val="single" w:color="000000" w:sz="4"/>
                  </w:tcBorders>
                  <w:vAlign w:val="top"/>
                </w:tcPr>
                <w:p>
                  <w:pPr>
                    <w:jc w:val="center"/>
                  </w:pPr>
                  <w:r>
                    <w:rPr>
                      <w:color w:val="000000"/>
                      <w:sz w:val="21"/>
                    </w:rPr>
                    <w:t>21</w:t>
                  </w:r>
                </w:p>
              </w:tc>
              <w:tc>
                <w:tcPr>
                  <w:tcW w:type="dxa" w:w="1792"/>
                  <w:tcBorders>
                    <w:top w:val="none" w:color="000000" w:sz="4"/>
                    <w:left w:val="none" w:color="000000" w:sz="4"/>
                    <w:bottom w:val="single" w:color="000000" w:sz="4"/>
                    <w:right w:val="single" w:color="000000" w:sz="4"/>
                  </w:tcBorders>
                  <w:vAlign w:val="top"/>
                </w:tcPr>
                <w:p>
                  <w:pPr>
                    <w:jc w:val="center"/>
                  </w:pPr>
                  <w:r>
                    <w:rPr>
                      <w:color w:val="000000"/>
                      <w:sz w:val="21"/>
                    </w:rPr>
                    <w:t>向西支渠</w:t>
                  </w:r>
                </w:p>
              </w:tc>
              <w:tc>
                <w:tcPr>
                  <w:tcW w:type="dxa" w:w="987"/>
                  <w:tcBorders>
                    <w:top w:val="none" w:color="000000" w:sz="4"/>
                    <w:left w:val="none" w:color="000000" w:sz="4"/>
                    <w:bottom w:val="single" w:color="000000" w:sz="4"/>
                    <w:right w:val="single" w:color="000000" w:sz="4"/>
                  </w:tcBorders>
                  <w:vAlign w:val="top"/>
                </w:tcPr>
                <w:p>
                  <w:pPr>
                    <w:jc w:val="center"/>
                  </w:pPr>
                  <w:r>
                    <w:rPr>
                      <w:color w:val="000000"/>
                      <w:sz w:val="21"/>
                    </w:rPr>
                    <w:t>600</w:t>
                  </w:r>
                </w:p>
              </w:tc>
              <w:tc>
                <w:tcPr>
                  <w:tcW w:type="dxa" w:w="1620"/>
                  <w:tcBorders>
                    <w:top w:val="none" w:color="000000" w:sz="4"/>
                    <w:left w:val="none" w:color="000000" w:sz="4"/>
                    <w:bottom w:val="single" w:color="000000" w:sz="4"/>
                    <w:right w:val="single" w:color="000000" w:sz="4"/>
                  </w:tcBorders>
                  <w:vAlign w:val="top"/>
                </w:tcPr>
                <w:p>
                  <w:pPr>
                    <w:jc w:val="center"/>
                  </w:pPr>
                  <w:r>
                    <w:rPr>
                      <w:color w:val="000000"/>
                      <w:sz w:val="21"/>
                    </w:rPr>
                    <w:t>7200</w:t>
                  </w:r>
                </w:p>
              </w:tc>
            </w:tr>
            <w:tr>
              <w:tc>
                <w:tcPr>
                  <w:tcW w:type="dxa" w:w="547"/>
                  <w:tcBorders>
                    <w:top w:val="none" w:color="000000" w:sz="4"/>
                    <w:left w:val="single" w:color="000000" w:sz="4"/>
                    <w:bottom w:val="single" w:color="000000" w:sz="4"/>
                    <w:right w:val="single" w:color="000000" w:sz="4"/>
                  </w:tcBorders>
                  <w:vAlign w:val="top"/>
                </w:tcPr>
                <w:p>
                  <w:pPr>
                    <w:jc w:val="center"/>
                  </w:pPr>
                  <w:r>
                    <w:rPr>
                      <w:color w:val="000000"/>
                      <w:sz w:val="21"/>
                    </w:rPr>
                    <w:t>22</w:t>
                  </w:r>
                </w:p>
              </w:tc>
              <w:tc>
                <w:tcPr>
                  <w:tcW w:type="dxa" w:w="1792"/>
                  <w:tcBorders>
                    <w:top w:val="none" w:color="000000" w:sz="4"/>
                    <w:left w:val="none" w:color="000000" w:sz="4"/>
                    <w:bottom w:val="single" w:color="000000" w:sz="4"/>
                    <w:right w:val="single" w:color="000000" w:sz="4"/>
                  </w:tcBorders>
                  <w:vAlign w:val="top"/>
                </w:tcPr>
                <w:p>
                  <w:pPr>
                    <w:jc w:val="center"/>
                  </w:pPr>
                  <w:r>
                    <w:rPr>
                      <w:color w:val="000000"/>
                      <w:sz w:val="21"/>
                    </w:rPr>
                    <w:t>沙角内河支渠</w:t>
                  </w:r>
                </w:p>
              </w:tc>
              <w:tc>
                <w:tcPr>
                  <w:tcW w:type="dxa" w:w="987"/>
                  <w:tcBorders>
                    <w:top w:val="none" w:color="000000" w:sz="4"/>
                    <w:left w:val="none" w:color="000000" w:sz="4"/>
                    <w:bottom w:val="single" w:color="000000" w:sz="4"/>
                    <w:right w:val="single" w:color="000000" w:sz="4"/>
                  </w:tcBorders>
                  <w:vAlign w:val="top"/>
                </w:tcPr>
                <w:p>
                  <w:pPr>
                    <w:jc w:val="center"/>
                  </w:pPr>
                  <w:r>
                    <w:rPr>
                      <w:color w:val="000000"/>
                      <w:sz w:val="21"/>
                    </w:rPr>
                    <w:t>1000</w:t>
                  </w:r>
                </w:p>
              </w:tc>
              <w:tc>
                <w:tcPr>
                  <w:tcW w:type="dxa" w:w="1620"/>
                  <w:tcBorders>
                    <w:top w:val="none" w:color="000000" w:sz="4"/>
                    <w:left w:val="none" w:color="000000" w:sz="4"/>
                    <w:bottom w:val="single" w:color="000000" w:sz="4"/>
                    <w:right w:val="single" w:color="000000" w:sz="4"/>
                  </w:tcBorders>
                  <w:vAlign w:val="top"/>
                </w:tcPr>
                <w:p>
                  <w:pPr>
                    <w:jc w:val="center"/>
                  </w:pPr>
                  <w:r>
                    <w:rPr>
                      <w:color w:val="000000"/>
                      <w:sz w:val="21"/>
                    </w:rPr>
                    <w:t>4000</w:t>
                  </w:r>
                </w:p>
              </w:tc>
            </w:tr>
            <w:tr>
              <w:tc>
                <w:tcPr>
                  <w:tcW w:type="dxa" w:w="547"/>
                  <w:tcBorders>
                    <w:top w:val="none" w:color="000000" w:sz="4"/>
                    <w:left w:val="single" w:color="000000" w:sz="4"/>
                    <w:bottom w:val="single" w:color="000000" w:sz="4"/>
                    <w:right w:val="single" w:color="000000" w:sz="4"/>
                  </w:tcBorders>
                  <w:vAlign w:val="top"/>
                </w:tcPr>
                <w:p>
                  <w:pPr>
                    <w:jc w:val="center"/>
                  </w:pPr>
                  <w:r>
                    <w:rPr>
                      <w:color w:val="000000"/>
                      <w:sz w:val="21"/>
                    </w:rPr>
                    <w:t>23</w:t>
                  </w:r>
                </w:p>
              </w:tc>
              <w:tc>
                <w:tcPr>
                  <w:tcW w:type="dxa" w:w="1792"/>
                  <w:tcBorders>
                    <w:top w:val="none" w:color="000000" w:sz="4"/>
                    <w:left w:val="none" w:color="000000" w:sz="4"/>
                    <w:bottom w:val="single" w:color="000000" w:sz="4"/>
                    <w:right w:val="single" w:color="000000" w:sz="4"/>
                  </w:tcBorders>
                  <w:vAlign w:val="top"/>
                </w:tcPr>
                <w:p>
                  <w:pPr>
                    <w:jc w:val="center"/>
                  </w:pPr>
                  <w:r>
                    <w:rPr>
                      <w:color w:val="000000"/>
                      <w:sz w:val="21"/>
                    </w:rPr>
                    <w:t>水贝廖屋排渠</w:t>
                  </w:r>
                </w:p>
              </w:tc>
              <w:tc>
                <w:tcPr>
                  <w:tcW w:type="dxa" w:w="987"/>
                  <w:tcBorders>
                    <w:top w:val="none" w:color="000000" w:sz="4"/>
                    <w:left w:val="none" w:color="000000" w:sz="4"/>
                    <w:bottom w:val="single" w:color="000000" w:sz="4"/>
                    <w:right w:val="single" w:color="000000" w:sz="4"/>
                  </w:tcBorders>
                  <w:vAlign w:val="top"/>
                </w:tcPr>
                <w:p>
                  <w:pPr>
                    <w:jc w:val="center"/>
                  </w:pPr>
                  <w:r>
                    <w:rPr>
                      <w:color w:val="000000"/>
                      <w:sz w:val="21"/>
                    </w:rPr>
                    <w:t>900</w:t>
                  </w:r>
                </w:p>
              </w:tc>
              <w:tc>
                <w:tcPr>
                  <w:tcW w:type="dxa" w:w="1620"/>
                  <w:tcBorders>
                    <w:top w:val="none" w:color="000000" w:sz="4"/>
                    <w:left w:val="none" w:color="000000" w:sz="4"/>
                    <w:bottom w:val="single" w:color="000000" w:sz="4"/>
                    <w:right w:val="single" w:color="000000" w:sz="4"/>
                  </w:tcBorders>
                  <w:vAlign w:val="top"/>
                </w:tcPr>
                <w:p>
                  <w:pPr>
                    <w:jc w:val="center"/>
                  </w:pPr>
                  <w:r>
                    <w:rPr>
                      <w:color w:val="000000"/>
                      <w:sz w:val="21"/>
                    </w:rPr>
                    <w:t>3600</w:t>
                  </w:r>
                </w:p>
              </w:tc>
            </w:tr>
            <w:tr>
              <w:tc>
                <w:tcPr>
                  <w:tcW w:type="dxa" w:w="547"/>
                  <w:tcBorders>
                    <w:top w:val="none" w:color="000000" w:sz="4"/>
                    <w:left w:val="single" w:color="000000" w:sz="4"/>
                    <w:bottom w:val="single" w:color="000000" w:sz="4"/>
                    <w:right w:val="single" w:color="000000" w:sz="4"/>
                  </w:tcBorders>
                  <w:vAlign w:val="top"/>
                </w:tcPr>
                <w:p>
                  <w:pPr>
                    <w:jc w:val="center"/>
                  </w:pPr>
                  <w:r>
                    <w:rPr>
                      <w:color w:val="000000"/>
                      <w:sz w:val="21"/>
                    </w:rPr>
                    <w:t>24</w:t>
                  </w:r>
                </w:p>
              </w:tc>
              <w:tc>
                <w:tcPr>
                  <w:tcW w:type="dxa" w:w="1792"/>
                  <w:tcBorders>
                    <w:top w:val="none" w:color="000000" w:sz="4"/>
                    <w:left w:val="none" w:color="000000" w:sz="4"/>
                    <w:bottom w:val="single" w:color="000000" w:sz="4"/>
                    <w:right w:val="single" w:color="000000" w:sz="4"/>
                  </w:tcBorders>
                  <w:vAlign w:val="top"/>
                </w:tcPr>
                <w:p>
                  <w:pPr>
                    <w:jc w:val="center"/>
                  </w:pPr>
                  <w:r>
                    <w:rPr>
                      <w:color w:val="000000"/>
                      <w:sz w:val="21"/>
                    </w:rPr>
                    <w:t>田寮黄牛埔排渠</w:t>
                  </w:r>
                </w:p>
              </w:tc>
              <w:tc>
                <w:tcPr>
                  <w:tcW w:type="dxa" w:w="987"/>
                  <w:tcBorders>
                    <w:top w:val="none" w:color="000000" w:sz="4"/>
                    <w:left w:val="none" w:color="000000" w:sz="4"/>
                    <w:bottom w:val="single" w:color="000000" w:sz="4"/>
                    <w:right w:val="single" w:color="000000" w:sz="4"/>
                  </w:tcBorders>
                  <w:vAlign w:val="top"/>
                </w:tcPr>
                <w:p>
                  <w:pPr>
                    <w:jc w:val="center"/>
                  </w:pPr>
                  <w:r>
                    <w:rPr>
                      <w:color w:val="000000"/>
                      <w:sz w:val="21"/>
                    </w:rPr>
                    <w:t>270</w:t>
                  </w:r>
                </w:p>
              </w:tc>
              <w:tc>
                <w:tcPr>
                  <w:tcW w:type="dxa" w:w="1620"/>
                  <w:tcBorders>
                    <w:top w:val="none" w:color="000000" w:sz="4"/>
                    <w:left w:val="none" w:color="000000" w:sz="4"/>
                    <w:bottom w:val="single" w:color="000000" w:sz="4"/>
                    <w:right w:val="single" w:color="000000" w:sz="4"/>
                  </w:tcBorders>
                  <w:vAlign w:val="top"/>
                </w:tcPr>
                <w:p>
                  <w:pPr>
                    <w:jc w:val="center"/>
                  </w:pPr>
                  <w:r>
                    <w:rPr>
                      <w:color w:val="000000"/>
                      <w:sz w:val="21"/>
                    </w:rPr>
                    <w:t>1080</w:t>
                  </w:r>
                </w:p>
              </w:tc>
            </w:tr>
            <w:tr>
              <w:tc>
                <w:tcPr>
                  <w:tcW w:type="dxa" w:w="547"/>
                  <w:tcBorders>
                    <w:top w:val="none" w:color="000000" w:sz="4"/>
                    <w:left w:val="single" w:color="000000" w:sz="4"/>
                    <w:bottom w:val="single" w:color="000000" w:sz="4"/>
                    <w:right w:val="single" w:color="000000" w:sz="4"/>
                  </w:tcBorders>
                  <w:vAlign w:val="top"/>
                </w:tcPr>
                <w:p>
                  <w:pPr>
                    <w:jc w:val="center"/>
                  </w:pPr>
                  <w:r>
                    <w:rPr>
                      <w:color w:val="000000"/>
                      <w:sz w:val="21"/>
                    </w:rPr>
                    <w:t>25</w:t>
                  </w:r>
                </w:p>
              </w:tc>
              <w:tc>
                <w:tcPr>
                  <w:tcW w:type="dxa" w:w="1792"/>
                  <w:tcBorders>
                    <w:top w:val="none" w:color="000000" w:sz="4"/>
                    <w:left w:val="none" w:color="000000" w:sz="4"/>
                    <w:bottom w:val="single" w:color="000000" w:sz="4"/>
                    <w:right w:val="single" w:color="000000" w:sz="4"/>
                  </w:tcBorders>
                  <w:vAlign w:val="top"/>
                </w:tcPr>
                <w:p>
                  <w:pPr>
                    <w:jc w:val="center"/>
                  </w:pPr>
                  <w:r>
                    <w:rPr>
                      <w:color w:val="000000"/>
                      <w:sz w:val="21"/>
                    </w:rPr>
                    <w:t>田寮水鱼场小渠</w:t>
                  </w:r>
                </w:p>
              </w:tc>
              <w:tc>
                <w:tcPr>
                  <w:tcW w:type="dxa" w:w="987"/>
                  <w:tcBorders>
                    <w:top w:val="none" w:color="000000" w:sz="4"/>
                    <w:left w:val="none" w:color="000000" w:sz="4"/>
                    <w:bottom w:val="single" w:color="000000" w:sz="4"/>
                    <w:right w:val="single" w:color="000000" w:sz="4"/>
                  </w:tcBorders>
                  <w:vAlign w:val="top"/>
                </w:tcPr>
                <w:p>
                  <w:pPr>
                    <w:jc w:val="center"/>
                  </w:pPr>
                  <w:r>
                    <w:rPr>
                      <w:color w:val="000000"/>
                      <w:sz w:val="21"/>
                    </w:rPr>
                    <w:t>500</w:t>
                  </w:r>
                </w:p>
              </w:tc>
              <w:tc>
                <w:tcPr>
                  <w:tcW w:type="dxa" w:w="1620"/>
                  <w:tcBorders>
                    <w:top w:val="none" w:color="000000" w:sz="4"/>
                    <w:left w:val="none" w:color="000000" w:sz="4"/>
                    <w:bottom w:val="single" w:color="000000" w:sz="4"/>
                    <w:right w:val="single" w:color="000000" w:sz="4"/>
                  </w:tcBorders>
                  <w:vAlign w:val="top"/>
                </w:tcPr>
                <w:p>
                  <w:pPr>
                    <w:jc w:val="center"/>
                  </w:pPr>
                  <w:r>
                    <w:rPr>
                      <w:color w:val="000000"/>
                      <w:sz w:val="21"/>
                    </w:rPr>
                    <w:t>2500</w:t>
                  </w:r>
                </w:p>
              </w:tc>
            </w:tr>
            <w:tr>
              <w:tc>
                <w:tcPr>
                  <w:tcW w:type="dxa" w:w="547"/>
                  <w:tcBorders>
                    <w:top w:val="none" w:color="000000" w:sz="4"/>
                    <w:left w:val="single" w:color="000000" w:sz="4"/>
                    <w:bottom w:val="single" w:color="000000" w:sz="4"/>
                    <w:right w:val="single" w:color="000000" w:sz="4"/>
                  </w:tcBorders>
                  <w:vAlign w:val="top"/>
                </w:tcPr>
                <w:p>
                  <w:pPr>
                    <w:jc w:val="center"/>
                  </w:pPr>
                  <w:r>
                    <w:rPr>
                      <w:color w:val="000000"/>
                      <w:sz w:val="21"/>
                    </w:rPr>
                    <w:t>26</w:t>
                  </w:r>
                </w:p>
              </w:tc>
              <w:tc>
                <w:tcPr>
                  <w:tcW w:type="dxa" w:w="1792"/>
                  <w:tcBorders>
                    <w:top w:val="none" w:color="000000" w:sz="4"/>
                    <w:left w:val="none" w:color="000000" w:sz="4"/>
                    <w:bottom w:val="single" w:color="000000" w:sz="4"/>
                    <w:right w:val="single" w:color="000000" w:sz="4"/>
                  </w:tcBorders>
                  <w:vAlign w:val="top"/>
                </w:tcPr>
                <w:p>
                  <w:pPr>
                    <w:jc w:val="center"/>
                  </w:pPr>
                  <w:r>
                    <w:rPr>
                      <w:color w:val="000000"/>
                      <w:sz w:val="21"/>
                    </w:rPr>
                    <w:t>田寮小渠</w:t>
                  </w:r>
                </w:p>
              </w:tc>
              <w:tc>
                <w:tcPr>
                  <w:tcW w:type="dxa" w:w="987"/>
                  <w:tcBorders>
                    <w:top w:val="none" w:color="000000" w:sz="4"/>
                    <w:left w:val="none" w:color="000000" w:sz="4"/>
                    <w:bottom w:val="single" w:color="000000" w:sz="4"/>
                    <w:right w:val="single" w:color="000000" w:sz="4"/>
                  </w:tcBorders>
                  <w:vAlign w:val="top"/>
                </w:tcPr>
                <w:p>
                  <w:pPr>
                    <w:jc w:val="center"/>
                  </w:pPr>
                  <w:r>
                    <w:rPr>
                      <w:color w:val="000000"/>
                      <w:sz w:val="21"/>
                    </w:rPr>
                    <w:t>700</w:t>
                  </w:r>
                </w:p>
              </w:tc>
              <w:tc>
                <w:tcPr>
                  <w:tcW w:type="dxa" w:w="1620"/>
                  <w:tcBorders>
                    <w:top w:val="none" w:color="000000" w:sz="4"/>
                    <w:left w:val="none" w:color="000000" w:sz="4"/>
                    <w:bottom w:val="single" w:color="000000" w:sz="4"/>
                    <w:right w:val="single" w:color="000000" w:sz="4"/>
                  </w:tcBorders>
                  <w:vAlign w:val="top"/>
                </w:tcPr>
                <w:p>
                  <w:pPr>
                    <w:jc w:val="center"/>
                  </w:pPr>
                  <w:r>
                    <w:rPr>
                      <w:color w:val="000000"/>
                      <w:sz w:val="21"/>
                    </w:rPr>
                    <w:t>3500</w:t>
                  </w:r>
                </w:p>
              </w:tc>
            </w:tr>
            <w:tr>
              <w:tc>
                <w:tcPr>
                  <w:tcW w:type="dxa" w:w="547"/>
                  <w:tcBorders>
                    <w:top w:val="none" w:color="000000" w:sz="4"/>
                    <w:left w:val="single" w:color="000000" w:sz="4"/>
                    <w:bottom w:val="single" w:color="000000" w:sz="4"/>
                    <w:right w:val="single" w:color="000000" w:sz="4"/>
                  </w:tcBorders>
                  <w:vAlign w:val="top"/>
                </w:tcPr>
                <w:p>
                  <w:pPr>
                    <w:jc w:val="center"/>
                  </w:pPr>
                  <w:r>
                    <w:rPr>
                      <w:color w:val="000000"/>
                      <w:sz w:val="21"/>
                    </w:rPr>
                    <w:t>27</w:t>
                  </w:r>
                </w:p>
              </w:tc>
              <w:tc>
                <w:tcPr>
                  <w:tcW w:type="dxa" w:w="1792"/>
                  <w:tcBorders>
                    <w:top w:val="none" w:color="000000" w:sz="4"/>
                    <w:left w:val="none" w:color="000000" w:sz="4"/>
                    <w:bottom w:val="single" w:color="000000" w:sz="4"/>
                    <w:right w:val="single" w:color="000000" w:sz="4"/>
                  </w:tcBorders>
                  <w:vAlign w:val="top"/>
                </w:tcPr>
                <w:p>
                  <w:pPr>
                    <w:jc w:val="center"/>
                  </w:pPr>
                  <w:r>
                    <w:rPr>
                      <w:color w:val="000000"/>
                      <w:sz w:val="21"/>
                    </w:rPr>
                    <w:t>鸿运排渠支渠</w:t>
                  </w:r>
                </w:p>
              </w:tc>
              <w:tc>
                <w:tcPr>
                  <w:tcW w:type="dxa" w:w="987"/>
                  <w:tcBorders>
                    <w:top w:val="none" w:color="000000" w:sz="4"/>
                    <w:left w:val="none" w:color="000000" w:sz="4"/>
                    <w:bottom w:val="single" w:color="000000" w:sz="4"/>
                    <w:right w:val="single" w:color="000000" w:sz="4"/>
                  </w:tcBorders>
                  <w:vAlign w:val="top"/>
                </w:tcPr>
                <w:p>
                  <w:pPr>
                    <w:jc w:val="center"/>
                  </w:pPr>
                  <w:r>
                    <w:rPr>
                      <w:color w:val="000000"/>
                      <w:sz w:val="21"/>
                    </w:rPr>
                    <w:t>400</w:t>
                  </w:r>
                </w:p>
              </w:tc>
              <w:tc>
                <w:tcPr>
                  <w:tcW w:type="dxa" w:w="1620"/>
                  <w:tcBorders>
                    <w:top w:val="none" w:color="000000" w:sz="4"/>
                    <w:left w:val="none" w:color="000000" w:sz="4"/>
                    <w:bottom w:val="single" w:color="000000" w:sz="4"/>
                    <w:right w:val="single" w:color="000000" w:sz="4"/>
                  </w:tcBorders>
                  <w:vAlign w:val="top"/>
                </w:tcPr>
                <w:p>
                  <w:pPr>
                    <w:jc w:val="center"/>
                  </w:pPr>
                  <w:r>
                    <w:rPr>
                      <w:color w:val="000000"/>
                      <w:sz w:val="21"/>
                    </w:rPr>
                    <w:t>2000</w:t>
                  </w:r>
                </w:p>
              </w:tc>
            </w:tr>
            <w:tr>
              <w:tc>
                <w:tcPr>
                  <w:tcW w:type="dxa" w:w="547"/>
                  <w:tcBorders>
                    <w:top w:val="none" w:color="000000" w:sz="4"/>
                    <w:left w:val="single" w:color="000000" w:sz="4"/>
                    <w:bottom w:val="single" w:color="000000" w:sz="4"/>
                    <w:right w:val="single" w:color="000000" w:sz="4"/>
                  </w:tcBorders>
                  <w:vAlign w:val="top"/>
                </w:tcPr>
                <w:p>
                  <w:pPr>
                    <w:jc w:val="center"/>
                  </w:pPr>
                  <w:r>
                    <w:rPr>
                      <w:color w:val="000000"/>
                      <w:sz w:val="21"/>
                    </w:rPr>
                    <w:t>合计</w:t>
                  </w:r>
                </w:p>
              </w:tc>
              <w:tc>
                <w:tcPr>
                  <w:tcW w:type="dxa" w:w="1792"/>
                  <w:tcBorders>
                    <w:top w:val="none" w:color="000000" w:sz="4"/>
                    <w:left w:val="none" w:color="000000" w:sz="4"/>
                    <w:bottom w:val="single" w:color="000000" w:sz="4"/>
                    <w:right w:val="single" w:color="000000" w:sz="4"/>
                  </w:tcBorders>
                  <w:vAlign w:val="top"/>
                </w:tcPr>
                <w:p>
                  <w:pPr>
                    <w:jc w:val="center"/>
                  </w:pPr>
                </w:p>
              </w:tc>
              <w:tc>
                <w:tcPr>
                  <w:tcW w:type="dxa" w:w="987"/>
                  <w:tcBorders>
                    <w:top w:val="none" w:color="000000" w:sz="4"/>
                    <w:left w:val="none" w:color="000000" w:sz="4"/>
                    <w:bottom w:val="single" w:color="000000" w:sz="4"/>
                    <w:right w:val="single" w:color="000000" w:sz="4"/>
                  </w:tcBorders>
                  <w:vAlign w:val="top"/>
                </w:tcPr>
                <w:p>
                  <w:pPr>
                    <w:jc w:val="center"/>
                  </w:pPr>
                  <w:r>
                    <w:rPr>
                      <w:color w:val="000000"/>
                      <w:sz w:val="21"/>
                    </w:rPr>
                    <w:t>41093</w:t>
                  </w:r>
                </w:p>
              </w:tc>
              <w:tc>
                <w:tcPr>
                  <w:tcW w:type="dxa" w:w="1620"/>
                  <w:tcBorders>
                    <w:top w:val="none" w:color="000000" w:sz="4"/>
                    <w:left w:val="none" w:color="000000" w:sz="4"/>
                    <w:bottom w:val="single" w:color="000000" w:sz="4"/>
                    <w:right w:val="single" w:color="000000" w:sz="4"/>
                  </w:tcBorders>
                  <w:vAlign w:val="top"/>
                </w:tcPr>
                <w:p>
                  <w:pPr>
                    <w:jc w:val="center"/>
                  </w:pPr>
                  <w:r>
                    <w:rPr>
                      <w:color w:val="000000"/>
                      <w:sz w:val="21"/>
                    </w:rPr>
                    <w:t>557779</w:t>
                  </w:r>
                </w:p>
              </w:tc>
              <w:tc>
                <w:tcPr>
                  <w:tcW w:type="dxa" w:w="653"/>
                  <w:tcBorders>
                    <w:top w:val="none" w:color="000000" w:sz="4"/>
                    <w:left w:val="none" w:color="000000" w:sz="4"/>
                    <w:bottom w:val="single" w:color="000000" w:sz="4"/>
                    <w:right w:val="single" w:color="000000" w:sz="4"/>
                  </w:tcBorders>
                  <w:vAlign w:val="top"/>
                </w:tcPr>
                <w:p/>
              </w:tc>
            </w:tr>
          </w:tbl>
          <w:p>
            <w:pPr>
              <w:jc w:val="both"/>
            </w:pPr>
          </w:p>
          <w:p>
            <w:r>
              <w:rPr>
                <w:b/>
                <w:sz w:val="24"/>
              </w:rPr>
              <w:t>二、业务</w:t>
            </w:r>
            <w:r>
              <w:rPr>
                <w:b/>
                <w:sz w:val="24"/>
              </w:rPr>
              <w:t>范围</w:t>
            </w:r>
          </w:p>
          <w:p>
            <w:pPr>
              <w:ind w:firstLine="420"/>
              <w:jc w:val="both"/>
            </w:pPr>
            <w:r>
              <w:rPr>
                <w:color w:val="000000"/>
                <w:sz w:val="21"/>
              </w:rPr>
              <w:t>1、</w:t>
            </w:r>
            <w:r>
              <w:rPr>
                <w:color w:val="000000"/>
                <w:sz w:val="21"/>
              </w:rPr>
              <w:t>水面漂浮物</w:t>
            </w:r>
            <w:r>
              <w:rPr>
                <w:color w:val="000000"/>
                <w:sz w:val="21"/>
              </w:rPr>
              <w:t>及油污</w:t>
            </w:r>
            <w:r>
              <w:rPr>
                <w:color w:val="000000"/>
                <w:sz w:val="21"/>
              </w:rPr>
              <w:t>的清理；</w:t>
            </w:r>
          </w:p>
          <w:p>
            <w:pPr>
              <w:ind w:firstLine="420"/>
              <w:jc w:val="both"/>
            </w:pPr>
            <w:r>
              <w:rPr>
                <w:color w:val="000000"/>
                <w:sz w:val="21"/>
              </w:rPr>
              <w:t>2、</w:t>
            </w:r>
            <w:r>
              <w:rPr>
                <w:color w:val="000000"/>
                <w:sz w:val="21"/>
              </w:rPr>
              <w:t>水浮莲</w:t>
            </w:r>
            <w:r>
              <w:rPr>
                <w:color w:val="000000"/>
                <w:sz w:val="21"/>
              </w:rPr>
              <w:t>、落叶（堆积面积较大范围）</w:t>
            </w:r>
            <w:r>
              <w:rPr>
                <w:color w:val="000000"/>
                <w:sz w:val="21"/>
              </w:rPr>
              <w:t>等的打捞和清理；</w:t>
            </w:r>
          </w:p>
          <w:p>
            <w:pPr>
              <w:ind w:firstLine="420"/>
              <w:jc w:val="both"/>
            </w:pPr>
            <w:r>
              <w:rPr>
                <w:color w:val="000000"/>
                <w:sz w:val="21"/>
              </w:rPr>
              <w:t>3、</w:t>
            </w:r>
            <w:r>
              <w:rPr>
                <w:color w:val="000000"/>
                <w:sz w:val="21"/>
              </w:rPr>
              <w:t>垃圾等杂物的打捞和清理；</w:t>
            </w:r>
          </w:p>
          <w:p>
            <w:pPr>
              <w:ind w:firstLine="420"/>
              <w:jc w:val="both"/>
            </w:pPr>
            <w:r>
              <w:rPr>
                <w:color w:val="000000"/>
                <w:sz w:val="21"/>
              </w:rPr>
              <w:t>4、</w:t>
            </w:r>
            <w:r>
              <w:rPr>
                <w:color w:val="000000"/>
                <w:sz w:val="21"/>
              </w:rPr>
              <w:t>河涌</w:t>
            </w:r>
            <w:r>
              <w:rPr>
                <w:color w:val="000000"/>
                <w:sz w:val="21"/>
              </w:rPr>
              <w:t>两岸堤迎水波至堤顶及堤顶</w:t>
            </w:r>
            <w:r>
              <w:rPr>
                <w:color w:val="000000"/>
                <w:sz w:val="21"/>
              </w:rPr>
              <w:t>保洁</w:t>
            </w:r>
            <w:r>
              <w:rPr>
                <w:color w:val="000000"/>
                <w:sz w:val="21"/>
              </w:rPr>
              <w:t>范围内垃圾的清理及</w:t>
            </w:r>
            <w:r>
              <w:rPr>
                <w:color w:val="000000"/>
                <w:sz w:val="21"/>
              </w:rPr>
              <w:t>部分</w:t>
            </w:r>
            <w:r>
              <w:rPr>
                <w:color w:val="000000"/>
                <w:sz w:val="21"/>
              </w:rPr>
              <w:t>杂草的修剪。</w:t>
            </w:r>
          </w:p>
          <w:p/>
          <w:p>
            <w:r>
              <w:rPr>
                <w:b/>
                <w:sz w:val="24"/>
              </w:rPr>
              <w:t>三、作业设备要求</w:t>
            </w:r>
          </w:p>
          <w:p>
            <w:pPr>
              <w:ind w:firstLine="420"/>
              <w:jc w:val="both"/>
            </w:pPr>
            <w:r>
              <w:rPr>
                <w:color w:val="000000"/>
                <w:sz w:val="21"/>
              </w:rPr>
              <w:t>供应商</w:t>
            </w:r>
            <w:r>
              <w:rPr>
                <w:color w:val="000000"/>
                <w:sz w:val="21"/>
              </w:rPr>
              <w:t>必须在</w:t>
            </w:r>
            <w:r>
              <w:rPr>
                <w:color w:val="000000"/>
                <w:sz w:val="21"/>
              </w:rPr>
              <w:t>响应文件</w:t>
            </w:r>
            <w:r>
              <w:rPr>
                <w:color w:val="000000"/>
                <w:sz w:val="21"/>
              </w:rPr>
              <w:t>中提供拥有并能投放使用设备的清单，其中必须具备的机械设备及工具数量（保洁过程中，</w:t>
            </w:r>
            <w:r>
              <w:rPr>
                <w:color w:val="000000"/>
                <w:sz w:val="21"/>
              </w:rPr>
              <w:t>采购人</w:t>
            </w:r>
            <w:r>
              <w:rPr>
                <w:color w:val="000000"/>
                <w:sz w:val="21"/>
              </w:rPr>
              <w:t>要求时，需在</w:t>
            </w:r>
            <w:r>
              <w:rPr>
                <w:color w:val="000000"/>
                <w:sz w:val="21"/>
              </w:rPr>
              <w:t>一</w:t>
            </w:r>
            <w:r>
              <w:rPr>
                <w:color w:val="000000"/>
                <w:sz w:val="21"/>
              </w:rPr>
              <w:t>天内就位）：小艇</w:t>
            </w:r>
            <w:r>
              <w:rPr>
                <w:color w:val="000000"/>
                <w:sz w:val="21"/>
              </w:rPr>
              <w:t>10</w:t>
            </w:r>
            <w:r>
              <w:rPr>
                <w:color w:val="000000"/>
                <w:sz w:val="21"/>
              </w:rPr>
              <w:t>条（打捞垃圾和</w:t>
            </w:r>
            <w:r>
              <w:rPr>
                <w:color w:val="000000"/>
                <w:sz w:val="21"/>
              </w:rPr>
              <w:t>漂浮物</w:t>
            </w:r>
            <w:r>
              <w:rPr>
                <w:color w:val="000000"/>
                <w:sz w:val="21"/>
              </w:rPr>
              <w:t>）、货车</w:t>
            </w:r>
            <w:r>
              <w:rPr>
                <w:color w:val="000000"/>
                <w:sz w:val="21"/>
              </w:rPr>
              <w:t>3</w:t>
            </w:r>
            <w:r>
              <w:rPr>
                <w:color w:val="000000"/>
                <w:sz w:val="21"/>
              </w:rPr>
              <w:t>辆（作清运垃圾和</w:t>
            </w:r>
            <w:r>
              <w:rPr>
                <w:color w:val="000000"/>
                <w:sz w:val="21"/>
              </w:rPr>
              <w:t>漂浮物</w:t>
            </w:r>
            <w:r>
              <w:rPr>
                <w:color w:val="000000"/>
                <w:sz w:val="21"/>
              </w:rPr>
              <w:t>）、剪草机</w:t>
            </w:r>
            <w:r>
              <w:rPr>
                <w:color w:val="000000"/>
                <w:sz w:val="21"/>
              </w:rPr>
              <w:t>5</w:t>
            </w:r>
            <w:r>
              <w:rPr>
                <w:color w:val="000000"/>
                <w:sz w:val="21"/>
              </w:rPr>
              <w:t>台等。</w:t>
            </w:r>
            <w:r>
              <w:rPr>
                <w:color w:val="000000"/>
                <w:sz w:val="21"/>
              </w:rPr>
              <w:t>成交人</w:t>
            </w:r>
            <w:r>
              <w:rPr>
                <w:color w:val="000000"/>
                <w:sz w:val="21"/>
              </w:rPr>
              <w:t>签订合同后</w:t>
            </w:r>
            <w:r>
              <w:rPr>
                <w:color w:val="000000"/>
                <w:sz w:val="21"/>
              </w:rPr>
              <w:t>30天内，以上机械设备由采购人验证，若</w:t>
            </w:r>
            <w:r>
              <w:rPr>
                <w:color w:val="000000"/>
                <w:sz w:val="21"/>
              </w:rPr>
              <w:t>成交人</w:t>
            </w:r>
            <w:r>
              <w:rPr>
                <w:color w:val="000000"/>
                <w:sz w:val="21"/>
              </w:rPr>
              <w:t>签订合同后</w:t>
            </w:r>
            <w:r>
              <w:rPr>
                <w:color w:val="000000"/>
                <w:sz w:val="21"/>
              </w:rPr>
              <w:t>30天内未能提供以上设备，则作违约处理。</w:t>
            </w:r>
          </w:p>
          <w:p/>
          <w:p>
            <w:r>
              <w:rPr>
                <w:b/>
                <w:sz w:val="24"/>
              </w:rPr>
              <w:t>四</w:t>
            </w:r>
            <w:r>
              <w:rPr>
                <w:b/>
                <w:sz w:val="24"/>
              </w:rPr>
              <w:t>、质量管理标准及作业要求</w:t>
            </w:r>
          </w:p>
          <w:p>
            <w:pPr>
              <w:ind w:firstLine="422"/>
              <w:jc w:val="both"/>
            </w:pPr>
            <w:r>
              <w:rPr>
                <w:b/>
                <w:color w:val="000000"/>
                <w:sz w:val="21"/>
              </w:rPr>
              <w:t>1、质量标准</w:t>
            </w:r>
          </w:p>
          <w:p>
            <w:pPr>
              <w:ind w:firstLine="420"/>
              <w:jc w:val="both"/>
            </w:pPr>
            <w:r>
              <w:rPr>
                <w:color w:val="000000"/>
                <w:sz w:val="21"/>
              </w:rPr>
              <w:t>（</w:t>
            </w:r>
            <w:r>
              <w:rPr>
                <w:color w:val="000000"/>
                <w:sz w:val="21"/>
              </w:rPr>
              <w:t>1）垃圾处理</w:t>
            </w:r>
          </w:p>
          <w:p>
            <w:pPr>
              <w:ind w:firstLine="420"/>
              <w:jc w:val="both"/>
            </w:pPr>
            <w:r>
              <w:rPr>
                <w:color w:val="000000"/>
                <w:sz w:val="21"/>
              </w:rPr>
              <w:t>渠道内不得有卫生死角；不得将垃圾随意堆放在渠道两岸。</w:t>
            </w:r>
          </w:p>
          <w:p>
            <w:pPr>
              <w:ind w:firstLine="420"/>
              <w:jc w:val="both"/>
            </w:pPr>
            <w:r>
              <w:rPr>
                <w:color w:val="000000"/>
                <w:sz w:val="21"/>
              </w:rPr>
              <w:t>（</w:t>
            </w:r>
            <w:r>
              <w:rPr>
                <w:color w:val="000000"/>
                <w:sz w:val="21"/>
              </w:rPr>
              <w:t>2）水浮莲</w:t>
            </w:r>
            <w:r>
              <w:rPr>
                <w:color w:val="000000"/>
                <w:sz w:val="21"/>
              </w:rPr>
              <w:t>、落叶（堆积面积较大范围）</w:t>
            </w:r>
            <w:r>
              <w:rPr>
                <w:color w:val="000000"/>
                <w:sz w:val="21"/>
              </w:rPr>
              <w:t>处理</w:t>
            </w:r>
          </w:p>
          <w:p>
            <w:pPr>
              <w:ind w:firstLine="420"/>
              <w:jc w:val="both"/>
            </w:pPr>
            <w:r>
              <w:rPr>
                <w:color w:val="000000"/>
                <w:sz w:val="21"/>
              </w:rPr>
              <w:t>渠道中不能有水浮莲；发现有水浮莲，需及时清理，要晒干后才能运往垃圾压缩站。</w:t>
            </w:r>
          </w:p>
          <w:p>
            <w:pPr>
              <w:ind w:firstLine="420"/>
              <w:jc w:val="both"/>
            </w:pPr>
            <w:r>
              <w:rPr>
                <w:color w:val="000000"/>
                <w:sz w:val="21"/>
              </w:rPr>
              <w:t>（</w:t>
            </w:r>
            <w:r>
              <w:rPr>
                <w:color w:val="000000"/>
                <w:sz w:val="21"/>
              </w:rPr>
              <w:t>3）漂浮物及油污处理</w:t>
            </w:r>
          </w:p>
          <w:p>
            <w:pPr>
              <w:ind w:firstLine="420"/>
              <w:jc w:val="both"/>
            </w:pPr>
            <w:r>
              <w:rPr>
                <w:color w:val="000000"/>
                <w:sz w:val="21"/>
              </w:rPr>
              <w:t>大件漂浮物需及时清理出渠道；漂浮物等清理后要放在甲方指定位置，</w:t>
            </w:r>
            <w:r>
              <w:rPr>
                <w:color w:val="000000"/>
                <w:sz w:val="21"/>
              </w:rPr>
              <w:t>并做好围蔽标识措施，两</w:t>
            </w:r>
            <w:r>
              <w:rPr>
                <w:color w:val="000000"/>
                <w:sz w:val="21"/>
              </w:rPr>
              <w:t>天内必须清走。</w:t>
            </w:r>
          </w:p>
          <w:p>
            <w:pPr>
              <w:ind w:firstLine="420"/>
              <w:jc w:val="both"/>
            </w:pPr>
            <w:r>
              <w:rPr>
                <w:color w:val="000000"/>
                <w:sz w:val="21"/>
              </w:rPr>
              <w:t>（</w:t>
            </w:r>
            <w:r>
              <w:rPr>
                <w:color w:val="000000"/>
                <w:sz w:val="21"/>
              </w:rPr>
              <w:t>4）杂草处理</w:t>
            </w:r>
          </w:p>
          <w:p>
            <w:pPr>
              <w:ind w:firstLine="420"/>
              <w:jc w:val="both"/>
            </w:pPr>
            <w:r>
              <w:rPr>
                <w:color w:val="000000"/>
                <w:sz w:val="21"/>
              </w:rPr>
              <w:t>渠道两岸堤迎水波至堤顶及堤顶范围内杂要修剪（需与绿化运维单位协商确认后开展）。</w:t>
            </w:r>
          </w:p>
          <w:p>
            <w:pPr>
              <w:ind w:firstLine="420"/>
              <w:jc w:val="both"/>
            </w:pPr>
            <w:r>
              <w:rPr>
                <w:color w:val="000000"/>
                <w:sz w:val="21"/>
              </w:rPr>
              <w:t>（</w:t>
            </w:r>
            <w:r>
              <w:rPr>
                <w:color w:val="000000"/>
                <w:sz w:val="21"/>
              </w:rPr>
              <w:t>5）保洁要求</w:t>
            </w:r>
          </w:p>
          <w:p>
            <w:pPr>
              <w:ind w:firstLine="420"/>
              <w:jc w:val="both"/>
            </w:pPr>
            <w:r>
              <w:rPr>
                <w:color w:val="000000"/>
                <w:sz w:val="21"/>
              </w:rPr>
              <w:t>每周至少清理各河涌</w:t>
            </w:r>
            <w:r>
              <w:rPr>
                <w:color w:val="000000"/>
                <w:sz w:val="21"/>
              </w:rPr>
              <w:t>3次，每天不少于8小时保洁及不少于3次巡查，发现问题的要一天内处理完毕</w:t>
            </w:r>
          </w:p>
          <w:p>
            <w:pPr>
              <w:ind w:firstLine="420"/>
              <w:jc w:val="both"/>
            </w:pPr>
            <w:r>
              <w:rPr>
                <w:color w:val="000000"/>
                <w:sz w:val="21"/>
              </w:rPr>
              <w:t>（</w:t>
            </w:r>
            <w:r>
              <w:rPr>
                <w:color w:val="000000"/>
                <w:sz w:val="21"/>
              </w:rPr>
              <w:t>6）人员要求</w:t>
            </w:r>
          </w:p>
          <w:p>
            <w:pPr>
              <w:ind w:firstLine="420"/>
              <w:jc w:val="both"/>
            </w:pPr>
            <w:r>
              <w:rPr>
                <w:color w:val="000000"/>
                <w:sz w:val="21"/>
              </w:rPr>
              <w:t>上岗按规定着标志服上岗；按要求数量聘请足额作业人员；排涝期间，每个排站需要安排</w:t>
            </w:r>
            <w:r>
              <w:rPr>
                <w:color w:val="000000"/>
                <w:sz w:val="21"/>
              </w:rPr>
              <w:t>2个人负责清理杂物；在下大雨时，必须有工作人员巡查河涌排水情况，在垃圾阻碍河涌行洪严重的位置有专职人员负责清理，防止堵塞。</w:t>
            </w:r>
          </w:p>
          <w:p>
            <w:pPr>
              <w:ind w:firstLine="420"/>
              <w:jc w:val="both"/>
            </w:pPr>
            <w:r>
              <w:rPr>
                <w:color w:val="000000"/>
                <w:sz w:val="21"/>
              </w:rPr>
              <w:t>（</w:t>
            </w:r>
            <w:r>
              <w:rPr>
                <w:color w:val="000000"/>
                <w:sz w:val="21"/>
              </w:rPr>
              <w:t>7）其他</w:t>
            </w:r>
          </w:p>
          <w:p>
            <w:pPr>
              <w:ind w:firstLine="420"/>
              <w:jc w:val="both"/>
            </w:pPr>
            <w:r>
              <w:rPr>
                <w:color w:val="000000"/>
                <w:sz w:val="21"/>
              </w:rPr>
              <w:t>清洁活动或突击性的卫生清洁任务，能按时、按石排镇水务工程运营中心和各村要求完成所分配工作的；工作到位，且没有被投诉。</w:t>
            </w:r>
          </w:p>
          <w:p>
            <w:pPr>
              <w:ind w:firstLine="422"/>
              <w:jc w:val="both"/>
            </w:pPr>
            <w:r>
              <w:rPr>
                <w:b/>
                <w:color w:val="000000"/>
                <w:sz w:val="21"/>
              </w:rPr>
              <w:t>2、</w:t>
            </w:r>
            <w:r>
              <w:rPr>
                <w:b/>
                <w:color w:val="000000"/>
                <w:sz w:val="21"/>
              </w:rPr>
              <w:t>成交人</w:t>
            </w:r>
            <w:r>
              <w:rPr>
                <w:b/>
                <w:color w:val="000000"/>
                <w:sz w:val="21"/>
              </w:rPr>
              <w:t>基本管理标准</w:t>
            </w:r>
          </w:p>
          <w:p>
            <w:pPr>
              <w:ind w:firstLine="420"/>
              <w:jc w:val="both"/>
            </w:pPr>
            <w:r>
              <w:rPr>
                <w:color w:val="000000"/>
                <w:sz w:val="21"/>
              </w:rPr>
              <w:t>（</w:t>
            </w:r>
            <w:r>
              <w:rPr>
                <w:color w:val="000000"/>
                <w:sz w:val="21"/>
              </w:rPr>
              <w:t>1）服从石排镇</w:t>
            </w:r>
            <w:r>
              <w:rPr>
                <w:color w:val="000000"/>
                <w:sz w:val="21"/>
              </w:rPr>
              <w:t>水务工程运营中心</w:t>
            </w:r>
            <w:r>
              <w:rPr>
                <w:color w:val="000000"/>
                <w:sz w:val="21"/>
              </w:rPr>
              <w:t>和各村统一组织与领导，讲究工作方法，以质量求信誉。</w:t>
            </w:r>
          </w:p>
          <w:p>
            <w:pPr>
              <w:ind w:firstLine="420"/>
              <w:jc w:val="both"/>
            </w:pPr>
            <w:r>
              <w:rPr>
                <w:color w:val="000000"/>
                <w:sz w:val="21"/>
              </w:rPr>
              <w:t>（</w:t>
            </w:r>
            <w:r>
              <w:rPr>
                <w:color w:val="000000"/>
                <w:sz w:val="21"/>
              </w:rPr>
              <w:t>2）日常必须有专职人员巡查有关</w:t>
            </w:r>
            <w:r>
              <w:rPr>
                <w:color w:val="000000"/>
                <w:sz w:val="21"/>
              </w:rPr>
              <w:t>河涌</w:t>
            </w:r>
            <w:r>
              <w:rPr>
                <w:color w:val="000000"/>
                <w:sz w:val="21"/>
              </w:rPr>
              <w:t>，发现阻塞要及时清理。</w:t>
            </w:r>
          </w:p>
          <w:p>
            <w:pPr>
              <w:ind w:firstLine="420"/>
              <w:jc w:val="both"/>
            </w:pPr>
            <w:r>
              <w:rPr>
                <w:color w:val="000000"/>
                <w:sz w:val="21"/>
              </w:rPr>
              <w:t>（</w:t>
            </w:r>
            <w:r>
              <w:rPr>
                <w:color w:val="000000"/>
                <w:sz w:val="21"/>
              </w:rPr>
              <w:t>3）人员配置要求：</w:t>
            </w:r>
            <w:r>
              <w:rPr>
                <w:color w:val="000000"/>
                <w:sz w:val="21"/>
              </w:rPr>
              <w:t>成交人</w:t>
            </w:r>
            <w:r>
              <w:rPr>
                <w:color w:val="000000"/>
                <w:sz w:val="21"/>
              </w:rPr>
              <w:t>要配置项目总负责人</w:t>
            </w:r>
            <w:r>
              <w:rPr>
                <w:color w:val="000000"/>
                <w:sz w:val="21"/>
              </w:rPr>
              <w:t>1人，主管1人，一  线工作人员</w:t>
            </w:r>
            <w:r>
              <w:rPr>
                <w:color w:val="000000"/>
                <w:sz w:val="21"/>
              </w:rPr>
              <w:t>25</w:t>
            </w:r>
            <w:r>
              <w:rPr>
                <w:color w:val="000000"/>
                <w:sz w:val="21"/>
              </w:rPr>
              <w:t>人。</w:t>
            </w:r>
          </w:p>
          <w:p>
            <w:pPr>
              <w:ind w:firstLine="420"/>
              <w:jc w:val="both"/>
            </w:pPr>
            <w:r>
              <w:rPr>
                <w:color w:val="000000"/>
                <w:sz w:val="21"/>
              </w:rPr>
              <w:t>（</w:t>
            </w:r>
            <w:r>
              <w:rPr>
                <w:color w:val="000000"/>
                <w:sz w:val="21"/>
              </w:rPr>
              <w:t>4）实际进场的人员必须与投标中列明的人员数量相符， 每少1个人每月扣1分。</w:t>
            </w:r>
          </w:p>
          <w:p>
            <w:pPr>
              <w:ind w:firstLine="420"/>
              <w:jc w:val="both"/>
            </w:pPr>
            <w:r>
              <w:rPr>
                <w:color w:val="000000"/>
                <w:sz w:val="21"/>
              </w:rPr>
              <w:t>（</w:t>
            </w:r>
            <w:r>
              <w:rPr>
                <w:color w:val="000000"/>
                <w:sz w:val="21"/>
              </w:rPr>
              <w:t>5）</w:t>
            </w:r>
            <w:r>
              <w:rPr>
                <w:color w:val="000000"/>
                <w:sz w:val="21"/>
              </w:rPr>
              <w:t>成交人</w:t>
            </w:r>
            <w:r>
              <w:rPr>
                <w:color w:val="000000"/>
                <w:sz w:val="21"/>
              </w:rPr>
              <w:t>按要求做好</w:t>
            </w:r>
            <w:r>
              <w:rPr>
                <w:color w:val="000000"/>
                <w:sz w:val="21"/>
              </w:rPr>
              <w:t>河涌</w:t>
            </w:r>
            <w:r>
              <w:rPr>
                <w:color w:val="000000"/>
                <w:sz w:val="21"/>
              </w:rPr>
              <w:t>保洁工作资料收集和整理，把每月工作计划及总结、作业面积及工作人员情况用书面形式上报给石排镇水务工程运营中心。</w:t>
            </w:r>
          </w:p>
          <w:p>
            <w:pPr>
              <w:ind w:firstLine="420"/>
              <w:jc w:val="both"/>
            </w:pPr>
            <w:r>
              <w:rPr>
                <w:color w:val="000000"/>
                <w:sz w:val="21"/>
              </w:rPr>
              <w:t>（</w:t>
            </w:r>
            <w:r>
              <w:rPr>
                <w:color w:val="000000"/>
                <w:sz w:val="21"/>
              </w:rPr>
              <w:t>6）</w:t>
            </w:r>
            <w:r>
              <w:rPr>
                <w:color w:val="000000"/>
                <w:sz w:val="21"/>
              </w:rPr>
              <w:t>成交人</w:t>
            </w:r>
            <w:r>
              <w:rPr>
                <w:color w:val="000000"/>
                <w:sz w:val="21"/>
              </w:rPr>
              <w:t>要每月</w:t>
            </w:r>
            <w:r>
              <w:rPr>
                <w:color w:val="000000"/>
                <w:sz w:val="21"/>
              </w:rPr>
              <w:t>25日前，制定好切实可行的下个月工作计划和</w:t>
            </w:r>
            <w:r>
              <w:rPr>
                <w:color w:val="000000"/>
                <w:sz w:val="21"/>
              </w:rPr>
              <w:t>河涌</w:t>
            </w:r>
            <w:r>
              <w:rPr>
                <w:color w:val="000000"/>
                <w:sz w:val="21"/>
              </w:rPr>
              <w:t>保洁行动实施方案。</w:t>
            </w:r>
          </w:p>
          <w:p>
            <w:pPr>
              <w:ind w:firstLine="420"/>
              <w:jc w:val="both"/>
            </w:pPr>
            <w:r>
              <w:rPr>
                <w:color w:val="000000"/>
                <w:sz w:val="21"/>
              </w:rPr>
              <w:t>（</w:t>
            </w:r>
            <w:r>
              <w:rPr>
                <w:color w:val="000000"/>
                <w:sz w:val="21"/>
              </w:rPr>
              <w:t>7）必须确保</w:t>
            </w:r>
            <w:r>
              <w:rPr>
                <w:color w:val="000000"/>
                <w:sz w:val="21"/>
              </w:rPr>
              <w:t>成交人</w:t>
            </w:r>
            <w:r>
              <w:rPr>
                <w:color w:val="000000"/>
                <w:sz w:val="21"/>
              </w:rPr>
              <w:t>及其工人遵守石排镇水务工程运营中心有关管理规定，并能按有关安全规定安全进行工作。</w:t>
            </w:r>
            <w:r>
              <w:rPr>
                <w:color w:val="000000"/>
                <w:sz w:val="21"/>
              </w:rPr>
              <w:t>成交人</w:t>
            </w:r>
            <w:r>
              <w:rPr>
                <w:color w:val="000000"/>
                <w:sz w:val="21"/>
              </w:rPr>
              <w:t>及其工人如有违纪违法、发生工伤意外事故，石排镇水务工程运营中心所均不负任何责任。</w:t>
            </w:r>
          </w:p>
          <w:p>
            <w:pPr>
              <w:ind w:firstLine="420"/>
              <w:jc w:val="both"/>
            </w:pPr>
            <w:r>
              <w:rPr>
                <w:color w:val="000000"/>
                <w:sz w:val="21"/>
              </w:rPr>
              <w:t>（</w:t>
            </w:r>
            <w:r>
              <w:rPr>
                <w:color w:val="000000"/>
                <w:sz w:val="21"/>
              </w:rPr>
              <w:t>8）</w:t>
            </w:r>
            <w:r>
              <w:rPr>
                <w:color w:val="000000"/>
                <w:sz w:val="21"/>
              </w:rPr>
              <w:t>成交人</w:t>
            </w:r>
            <w:r>
              <w:rPr>
                <w:color w:val="000000"/>
                <w:sz w:val="21"/>
              </w:rPr>
              <w:t>及其工人的工资、保险费、药费、工具等一切费用支出，由</w:t>
            </w:r>
            <w:r>
              <w:rPr>
                <w:color w:val="000000"/>
                <w:sz w:val="21"/>
              </w:rPr>
              <w:t>成交人</w:t>
            </w:r>
            <w:r>
              <w:rPr>
                <w:color w:val="000000"/>
                <w:sz w:val="21"/>
              </w:rPr>
              <w:t>负责，盈亏自负，与</w:t>
            </w:r>
            <w:r>
              <w:rPr>
                <w:color w:val="000000"/>
                <w:sz w:val="21"/>
              </w:rPr>
              <w:t>采购人</w:t>
            </w:r>
            <w:r>
              <w:rPr>
                <w:color w:val="000000"/>
                <w:sz w:val="21"/>
              </w:rPr>
              <w:t>无关。另外，</w:t>
            </w:r>
            <w:r>
              <w:rPr>
                <w:color w:val="000000"/>
                <w:sz w:val="21"/>
              </w:rPr>
              <w:t>成交人</w:t>
            </w:r>
            <w:r>
              <w:rPr>
                <w:color w:val="000000"/>
                <w:sz w:val="21"/>
              </w:rPr>
              <w:t>要保证其工人购买工伤保险，并交付</w:t>
            </w:r>
            <w:r>
              <w:rPr>
                <w:color w:val="000000"/>
                <w:sz w:val="21"/>
              </w:rPr>
              <w:t>采购人</w:t>
            </w:r>
            <w:r>
              <w:rPr>
                <w:color w:val="000000"/>
                <w:sz w:val="21"/>
              </w:rPr>
              <w:t>后才能上班。否则，视为非工作人员，不准上班，后果由</w:t>
            </w:r>
            <w:r>
              <w:rPr>
                <w:color w:val="000000"/>
                <w:sz w:val="21"/>
              </w:rPr>
              <w:t>成交人</w:t>
            </w:r>
            <w:r>
              <w:rPr>
                <w:color w:val="000000"/>
                <w:sz w:val="21"/>
              </w:rPr>
              <w:t>负责。</w:t>
            </w:r>
          </w:p>
          <w:p>
            <w:pPr>
              <w:ind w:firstLine="420"/>
              <w:jc w:val="both"/>
            </w:pPr>
            <w:r>
              <w:rPr>
                <w:color w:val="000000"/>
                <w:sz w:val="21"/>
              </w:rPr>
              <w:t>（</w:t>
            </w:r>
            <w:r>
              <w:rPr>
                <w:color w:val="000000"/>
                <w:sz w:val="21"/>
              </w:rPr>
              <w:t>9）</w:t>
            </w:r>
            <w:r>
              <w:rPr>
                <w:color w:val="000000"/>
                <w:sz w:val="21"/>
              </w:rPr>
              <w:t>成交人</w:t>
            </w:r>
            <w:r>
              <w:rPr>
                <w:color w:val="000000"/>
                <w:sz w:val="21"/>
              </w:rPr>
              <w:t>根据所承担的工作内容，按实际上岗人数自行到有关部门申办用工手续、员工劳动保险手续和办理暂住证手续，安排好属下人员的住宿和管理工作。</w:t>
            </w:r>
          </w:p>
          <w:p>
            <w:pPr>
              <w:ind w:firstLine="420"/>
              <w:jc w:val="both"/>
            </w:pPr>
            <w:r>
              <w:rPr>
                <w:color w:val="000000"/>
                <w:sz w:val="21"/>
              </w:rPr>
              <w:t>（</w:t>
            </w:r>
            <w:r>
              <w:rPr>
                <w:color w:val="000000"/>
                <w:sz w:val="21"/>
              </w:rPr>
              <w:t>10）</w:t>
            </w:r>
            <w:r>
              <w:rPr>
                <w:color w:val="000000"/>
                <w:sz w:val="21"/>
              </w:rPr>
              <w:t>成交人</w:t>
            </w:r>
            <w:r>
              <w:rPr>
                <w:color w:val="000000"/>
                <w:sz w:val="21"/>
              </w:rPr>
              <w:t>必须落实安全生产和交通安全措施，在进行排渠保洁作业时，必须认真负责，自行解决作业安全问题，如发生任何意外，</w:t>
            </w:r>
            <w:r>
              <w:rPr>
                <w:color w:val="000000"/>
                <w:sz w:val="21"/>
              </w:rPr>
              <w:t>成交人</w:t>
            </w:r>
            <w:r>
              <w:rPr>
                <w:color w:val="000000"/>
                <w:sz w:val="21"/>
              </w:rPr>
              <w:t>负责事故处理和一切费用。</w:t>
            </w:r>
          </w:p>
          <w:p>
            <w:pPr>
              <w:ind w:firstLine="420"/>
              <w:jc w:val="both"/>
            </w:pPr>
            <w:r>
              <w:rPr>
                <w:color w:val="000000"/>
                <w:sz w:val="21"/>
              </w:rPr>
              <w:t>（</w:t>
            </w:r>
            <w:r>
              <w:rPr>
                <w:color w:val="000000"/>
                <w:sz w:val="21"/>
              </w:rPr>
              <w:t>11）</w:t>
            </w:r>
            <w:r>
              <w:rPr>
                <w:color w:val="000000"/>
                <w:sz w:val="21"/>
              </w:rPr>
              <w:t>成交人</w:t>
            </w:r>
            <w:r>
              <w:rPr>
                <w:color w:val="000000"/>
                <w:sz w:val="21"/>
              </w:rPr>
              <w:t>不得向工人收取任何名义的各种保证金，否则，一经发现，</w:t>
            </w:r>
            <w:r>
              <w:rPr>
                <w:color w:val="000000"/>
                <w:sz w:val="21"/>
              </w:rPr>
              <w:t>采购人</w:t>
            </w:r>
            <w:r>
              <w:rPr>
                <w:color w:val="000000"/>
                <w:sz w:val="21"/>
              </w:rPr>
              <w:t>予以经济处罚和单方面终止协议，由此产生的一切法律责任和经济损失均由</w:t>
            </w:r>
            <w:r>
              <w:rPr>
                <w:color w:val="000000"/>
                <w:sz w:val="21"/>
              </w:rPr>
              <w:t>成交人</w:t>
            </w:r>
            <w:r>
              <w:rPr>
                <w:color w:val="000000"/>
                <w:sz w:val="21"/>
              </w:rPr>
              <w:t>承担。</w:t>
            </w:r>
          </w:p>
          <w:p>
            <w:pPr>
              <w:ind w:firstLine="420"/>
              <w:jc w:val="both"/>
            </w:pPr>
            <w:r>
              <w:rPr>
                <w:color w:val="000000"/>
                <w:sz w:val="21"/>
              </w:rPr>
              <w:t>（</w:t>
            </w:r>
            <w:r>
              <w:rPr>
                <w:color w:val="000000"/>
                <w:sz w:val="21"/>
              </w:rPr>
              <w:t>17）工人住宿、水电、伙食问题由</w:t>
            </w:r>
            <w:r>
              <w:rPr>
                <w:color w:val="000000"/>
                <w:sz w:val="21"/>
              </w:rPr>
              <w:t>成交人</w:t>
            </w:r>
            <w:r>
              <w:rPr>
                <w:color w:val="000000"/>
                <w:sz w:val="21"/>
              </w:rPr>
              <w:t>负责。</w:t>
            </w:r>
          </w:p>
          <w:p>
            <w:pPr>
              <w:ind w:firstLine="420"/>
              <w:jc w:val="both"/>
            </w:pPr>
            <w:r>
              <w:rPr>
                <w:color w:val="000000"/>
                <w:sz w:val="21"/>
              </w:rPr>
              <w:t>（</w:t>
            </w:r>
            <w:r>
              <w:rPr>
                <w:color w:val="000000"/>
                <w:sz w:val="21"/>
              </w:rPr>
              <w:t>18）</w:t>
            </w:r>
            <w:r>
              <w:rPr>
                <w:color w:val="000000"/>
                <w:sz w:val="21"/>
              </w:rPr>
              <w:t>成交人</w:t>
            </w:r>
            <w:r>
              <w:rPr>
                <w:color w:val="000000"/>
                <w:sz w:val="21"/>
              </w:rPr>
              <w:t>不得以任何形式进行分包、转包给别人，否则，一经发现，</w:t>
            </w:r>
            <w:r>
              <w:rPr>
                <w:color w:val="000000"/>
                <w:sz w:val="21"/>
              </w:rPr>
              <w:t>采购人</w:t>
            </w:r>
            <w:r>
              <w:rPr>
                <w:color w:val="000000"/>
                <w:sz w:val="21"/>
              </w:rPr>
              <w:t>有权予以经济处罚和单方面终止协议。</w:t>
            </w:r>
          </w:p>
          <w:p>
            <w:pPr>
              <w:ind w:firstLine="422"/>
              <w:jc w:val="both"/>
            </w:pPr>
            <w:r>
              <w:rPr>
                <w:b/>
                <w:color w:val="000000"/>
                <w:sz w:val="21"/>
              </w:rPr>
              <w:t>3、具体作业要求</w:t>
            </w:r>
          </w:p>
          <w:p>
            <w:pPr>
              <w:ind w:firstLine="420"/>
              <w:jc w:val="both"/>
            </w:pPr>
            <w:r>
              <w:rPr>
                <w:color w:val="000000"/>
                <w:sz w:val="21"/>
              </w:rPr>
              <w:t>（</w:t>
            </w:r>
            <w:r>
              <w:rPr>
                <w:color w:val="000000"/>
                <w:sz w:val="21"/>
              </w:rPr>
              <w:t>1）</w:t>
            </w:r>
            <w:r>
              <w:rPr>
                <w:color w:val="000000"/>
                <w:sz w:val="21"/>
              </w:rPr>
              <w:t>成交人</w:t>
            </w:r>
            <w:r>
              <w:rPr>
                <w:color w:val="000000"/>
                <w:sz w:val="21"/>
              </w:rPr>
              <w:t>保证</w:t>
            </w:r>
            <w:r>
              <w:rPr>
                <w:color w:val="000000"/>
                <w:sz w:val="21"/>
              </w:rPr>
              <w:t>河涌</w:t>
            </w:r>
            <w:r>
              <w:rPr>
                <w:color w:val="000000"/>
                <w:sz w:val="21"/>
              </w:rPr>
              <w:t>保洁工作措施落实，保证服务质量。作业时必须统一标准，做到文明作业。</w:t>
            </w:r>
          </w:p>
          <w:p>
            <w:pPr>
              <w:ind w:firstLine="420"/>
              <w:jc w:val="both"/>
            </w:pPr>
            <w:r>
              <w:rPr>
                <w:color w:val="000000"/>
                <w:sz w:val="21"/>
              </w:rPr>
              <w:t>（</w:t>
            </w:r>
            <w:r>
              <w:rPr>
                <w:color w:val="000000"/>
                <w:sz w:val="21"/>
              </w:rPr>
              <w:t>2）对管护的</w:t>
            </w:r>
            <w:r>
              <w:rPr>
                <w:color w:val="000000"/>
                <w:sz w:val="21"/>
              </w:rPr>
              <w:t>河涌</w:t>
            </w:r>
            <w:r>
              <w:rPr>
                <w:color w:val="000000"/>
                <w:sz w:val="21"/>
              </w:rPr>
              <w:t>要每天安排专门人员进行巡查、监督。发现有违反有关管理法的现象，应及时制止，并向有关部门反映，共同配合解决。</w:t>
            </w:r>
          </w:p>
          <w:p>
            <w:pPr>
              <w:ind w:firstLine="420"/>
              <w:jc w:val="both"/>
            </w:pPr>
            <w:r>
              <w:rPr>
                <w:color w:val="000000"/>
                <w:sz w:val="21"/>
              </w:rPr>
              <w:t>（</w:t>
            </w:r>
            <w:r>
              <w:rPr>
                <w:color w:val="000000"/>
                <w:sz w:val="21"/>
              </w:rPr>
              <w:t>3）在台风多雨季节要做到勤巡、勤清，做好抢险工作，及时排除水浸现象。在镇沙角灌站及横山、向西、田寮等排站排水时，要派人到排站清理垃圾。</w:t>
            </w:r>
          </w:p>
          <w:p>
            <w:pPr>
              <w:ind w:firstLine="420"/>
              <w:jc w:val="both"/>
            </w:pPr>
            <w:r>
              <w:rPr>
                <w:color w:val="000000"/>
                <w:sz w:val="21"/>
              </w:rPr>
              <w:t>（</w:t>
            </w:r>
            <w:r>
              <w:rPr>
                <w:color w:val="000000"/>
                <w:sz w:val="21"/>
              </w:rPr>
              <w:t>4）打捞的水浮莲、漂浮物</w:t>
            </w:r>
            <w:r>
              <w:rPr>
                <w:color w:val="000000"/>
                <w:sz w:val="21"/>
              </w:rPr>
              <w:t>、</w:t>
            </w:r>
            <w:r>
              <w:rPr>
                <w:color w:val="000000"/>
                <w:sz w:val="21"/>
              </w:rPr>
              <w:t>油污</w:t>
            </w:r>
            <w:r>
              <w:rPr>
                <w:color w:val="000000"/>
                <w:sz w:val="21"/>
              </w:rPr>
              <w:t>及垃圾需及时清理出排渠，不得随便堆放影响其他人或镇容美观的地方，并及时将水浮莲、漂浮物放在</w:t>
            </w:r>
            <w:r>
              <w:rPr>
                <w:color w:val="000000"/>
                <w:sz w:val="21"/>
              </w:rPr>
              <w:t>采购人</w:t>
            </w:r>
            <w:r>
              <w:rPr>
                <w:color w:val="000000"/>
                <w:sz w:val="21"/>
              </w:rPr>
              <w:t>指定位置，</w:t>
            </w:r>
            <w:r>
              <w:rPr>
                <w:color w:val="000000"/>
                <w:sz w:val="21"/>
              </w:rPr>
              <w:t>并做好围蔽标识措施，两</w:t>
            </w:r>
            <w:r>
              <w:rPr>
                <w:color w:val="000000"/>
                <w:sz w:val="21"/>
              </w:rPr>
              <w:t>天内必须清走。</w:t>
            </w:r>
          </w:p>
          <w:p>
            <w:pPr>
              <w:ind w:firstLine="420"/>
              <w:jc w:val="both"/>
            </w:pPr>
            <w:r>
              <w:rPr>
                <w:color w:val="000000"/>
                <w:sz w:val="21"/>
              </w:rPr>
              <w:t>（</w:t>
            </w:r>
            <w:r>
              <w:rPr>
                <w:color w:val="000000"/>
                <w:sz w:val="21"/>
              </w:rPr>
              <w:t>5）</w:t>
            </w:r>
            <w:r>
              <w:rPr>
                <w:color w:val="000000"/>
                <w:sz w:val="21"/>
              </w:rPr>
              <w:t>河涌</w:t>
            </w:r>
            <w:r>
              <w:rPr>
                <w:color w:val="000000"/>
                <w:sz w:val="21"/>
              </w:rPr>
              <w:t>两岸堤迎水波至堤顶及堤顶</w:t>
            </w:r>
            <w:r>
              <w:rPr>
                <w:color w:val="000000"/>
                <w:sz w:val="21"/>
              </w:rPr>
              <w:t>保洁</w:t>
            </w:r>
            <w:r>
              <w:rPr>
                <w:color w:val="000000"/>
                <w:sz w:val="21"/>
              </w:rPr>
              <w:t>范围内杂草要修剪</w:t>
            </w:r>
            <w:r>
              <w:rPr>
                <w:color w:val="000000"/>
                <w:sz w:val="21"/>
              </w:rPr>
              <w:t>（需与绿化维护项目协调确认后开展）</w:t>
            </w:r>
            <w:r>
              <w:rPr>
                <w:color w:val="000000"/>
                <w:sz w:val="21"/>
              </w:rPr>
              <w:t>。</w:t>
            </w:r>
          </w:p>
          <w:p>
            <w:pPr>
              <w:ind w:firstLine="420"/>
              <w:jc w:val="both"/>
            </w:pPr>
            <w:r>
              <w:rPr>
                <w:color w:val="000000"/>
                <w:sz w:val="21"/>
              </w:rPr>
              <w:t>（</w:t>
            </w:r>
            <w:r>
              <w:rPr>
                <w:color w:val="000000"/>
                <w:sz w:val="21"/>
              </w:rPr>
              <w:t>6）每周至少清理各</w:t>
            </w:r>
            <w:r>
              <w:rPr>
                <w:color w:val="000000"/>
                <w:sz w:val="21"/>
              </w:rPr>
              <w:t>河涌</w:t>
            </w:r>
            <w:r>
              <w:rPr>
                <w:color w:val="000000"/>
                <w:sz w:val="21"/>
              </w:rPr>
              <w:t>3</w:t>
            </w:r>
            <w:r>
              <w:rPr>
                <w:color w:val="000000"/>
                <w:sz w:val="21"/>
              </w:rPr>
              <w:t>次，每天不少于</w:t>
            </w:r>
            <w:r>
              <w:rPr>
                <w:color w:val="000000"/>
                <w:sz w:val="21"/>
              </w:rPr>
              <w:t>8小时保洁及不少于</w:t>
            </w:r>
            <w:r>
              <w:rPr>
                <w:color w:val="000000"/>
                <w:sz w:val="21"/>
              </w:rPr>
              <w:t>3</w:t>
            </w:r>
            <w:r>
              <w:rPr>
                <w:color w:val="000000"/>
                <w:sz w:val="21"/>
              </w:rPr>
              <w:t>次巡查，发现问题的要</w:t>
            </w:r>
            <w:r>
              <w:rPr>
                <w:color w:val="000000"/>
                <w:sz w:val="21"/>
              </w:rPr>
              <w:t>一</w:t>
            </w:r>
            <w:r>
              <w:rPr>
                <w:color w:val="000000"/>
                <w:sz w:val="21"/>
              </w:rPr>
              <w:t>天内处理完毕，情况严重无法解决的，要向有关部门寻求协助。</w:t>
            </w:r>
          </w:p>
          <w:p>
            <w:pPr>
              <w:ind w:firstLine="420"/>
              <w:jc w:val="both"/>
            </w:pPr>
            <w:r>
              <w:rPr>
                <w:color w:val="000000"/>
                <w:sz w:val="21"/>
              </w:rPr>
              <w:t>（</w:t>
            </w:r>
            <w:r>
              <w:rPr>
                <w:color w:val="000000"/>
                <w:sz w:val="21"/>
              </w:rPr>
              <w:t>7）无条件接受石排镇</w:t>
            </w:r>
            <w:r>
              <w:rPr>
                <w:color w:val="000000"/>
                <w:sz w:val="21"/>
              </w:rPr>
              <w:t>水务工程运营中心</w:t>
            </w:r>
            <w:r>
              <w:rPr>
                <w:color w:val="000000"/>
                <w:sz w:val="21"/>
              </w:rPr>
              <w:t>对工作的检查、监督、考核和工作指导，发现问题及时改正。</w:t>
            </w:r>
          </w:p>
          <w:p>
            <w:pPr>
              <w:ind w:firstLine="420"/>
              <w:jc w:val="both"/>
            </w:pPr>
            <w:r>
              <w:rPr>
                <w:color w:val="000000"/>
                <w:sz w:val="21"/>
              </w:rPr>
              <w:t>（</w:t>
            </w:r>
            <w:r>
              <w:rPr>
                <w:color w:val="000000"/>
                <w:sz w:val="21"/>
              </w:rPr>
              <w:t>8）若遇上级单位检查评比，</w:t>
            </w:r>
            <w:r>
              <w:rPr>
                <w:color w:val="000000"/>
                <w:sz w:val="21"/>
              </w:rPr>
              <w:t>成交人</w:t>
            </w:r>
            <w:r>
              <w:rPr>
                <w:color w:val="000000"/>
                <w:sz w:val="21"/>
              </w:rPr>
              <w:t>必须无条件积极配合，抽调人员进行</w:t>
            </w:r>
            <w:r>
              <w:rPr>
                <w:color w:val="000000"/>
                <w:sz w:val="21"/>
              </w:rPr>
              <w:t>河涌</w:t>
            </w:r>
            <w:r>
              <w:rPr>
                <w:color w:val="000000"/>
                <w:sz w:val="21"/>
              </w:rPr>
              <w:t>保洁等相关工作。</w:t>
            </w:r>
          </w:p>
          <w:p/>
          <w:p>
            <w:r>
              <w:rPr>
                <w:b/>
                <w:sz w:val="24"/>
              </w:rPr>
              <w:t>五</w:t>
            </w:r>
            <w:r>
              <w:rPr>
                <w:b/>
                <w:sz w:val="24"/>
              </w:rPr>
              <w:t>、考核标准</w:t>
            </w:r>
          </w:p>
          <w:p>
            <w:pPr>
              <w:ind w:firstLine="422"/>
              <w:jc w:val="both"/>
            </w:pPr>
            <w:r>
              <w:rPr>
                <w:b/>
                <w:color w:val="000000"/>
                <w:sz w:val="21"/>
              </w:rPr>
              <w:t>（一）检查验收制度</w:t>
            </w:r>
          </w:p>
          <w:p>
            <w:pPr>
              <w:ind w:firstLine="420"/>
              <w:jc w:val="both"/>
            </w:pPr>
            <w:r>
              <w:rPr>
                <w:color w:val="000000"/>
                <w:sz w:val="21"/>
              </w:rPr>
              <w:t>1、由石排镇</w:t>
            </w:r>
            <w:r>
              <w:rPr>
                <w:color w:val="000000"/>
                <w:sz w:val="21"/>
              </w:rPr>
              <w:t>水务工程运营中心联合相关部门</w:t>
            </w:r>
            <w:r>
              <w:rPr>
                <w:color w:val="000000"/>
                <w:sz w:val="21"/>
              </w:rPr>
              <w:t>派专门人员检查。以抽查和检查的形式，按照《石排镇</w:t>
            </w:r>
            <w:r>
              <w:rPr>
                <w:color w:val="000000"/>
                <w:sz w:val="21"/>
              </w:rPr>
              <w:t>河涌</w:t>
            </w:r>
            <w:r>
              <w:rPr>
                <w:color w:val="000000"/>
                <w:sz w:val="21"/>
              </w:rPr>
              <w:t>保洁考核评分暂行标准》，根据实际</w:t>
            </w:r>
            <w:r>
              <w:rPr>
                <w:color w:val="000000"/>
                <w:sz w:val="21"/>
              </w:rPr>
              <w:t>河涌</w:t>
            </w:r>
            <w:r>
              <w:rPr>
                <w:color w:val="000000"/>
                <w:sz w:val="21"/>
              </w:rPr>
              <w:t>保洁工作开展情况及实效进行评分。</w:t>
            </w:r>
          </w:p>
          <w:p>
            <w:pPr>
              <w:ind w:firstLine="420"/>
              <w:jc w:val="both"/>
            </w:pPr>
            <w:r>
              <w:rPr>
                <w:color w:val="000000"/>
                <w:sz w:val="21"/>
              </w:rPr>
              <w:t>2、检查评分情况分别进行每月汇总，按月底检查评分汇总情况支付承包款项，每月的扣分罚款从当月承包款中扣除，根据实际应付款情况，于每季度最后月向</w:t>
            </w:r>
            <w:r>
              <w:rPr>
                <w:color w:val="000000"/>
                <w:sz w:val="21"/>
              </w:rPr>
              <w:t>成交人</w:t>
            </w:r>
            <w:r>
              <w:rPr>
                <w:color w:val="000000"/>
                <w:sz w:val="21"/>
              </w:rPr>
              <w:t>结算支付。某个</w:t>
            </w:r>
            <w:r>
              <w:rPr>
                <w:color w:val="000000"/>
                <w:sz w:val="21"/>
              </w:rPr>
              <w:t>河涌</w:t>
            </w:r>
            <w:r>
              <w:rPr>
                <w:color w:val="000000"/>
                <w:sz w:val="21"/>
              </w:rPr>
              <w:t>保洁工作效果差，受到严重投诉，群众普遍反映</w:t>
            </w:r>
            <w:r>
              <w:rPr>
                <w:color w:val="000000"/>
                <w:sz w:val="21"/>
              </w:rPr>
              <w:t>河涌</w:t>
            </w:r>
            <w:r>
              <w:rPr>
                <w:color w:val="000000"/>
                <w:sz w:val="21"/>
              </w:rPr>
              <w:t>保洁工作不到位的，减扣相应费用。</w:t>
            </w:r>
          </w:p>
          <w:p>
            <w:pPr>
              <w:ind w:firstLine="420"/>
              <w:jc w:val="both"/>
            </w:pPr>
            <w:r>
              <w:rPr>
                <w:color w:val="000000"/>
                <w:sz w:val="21"/>
              </w:rPr>
              <w:t>3、石排镇</w:t>
            </w:r>
            <w:r>
              <w:rPr>
                <w:color w:val="000000"/>
                <w:sz w:val="21"/>
              </w:rPr>
              <w:t>水务工程运营中心及相关部门</w:t>
            </w:r>
            <w:r>
              <w:rPr>
                <w:color w:val="000000"/>
                <w:sz w:val="21"/>
              </w:rPr>
              <w:t>检查人员必须严格遵守标准进行实际操作，不能以权谋私，玩忽职守。</w:t>
            </w:r>
          </w:p>
          <w:p>
            <w:pPr>
              <w:ind w:firstLine="422"/>
              <w:jc w:val="both"/>
            </w:pPr>
            <w:r>
              <w:rPr>
                <w:b/>
                <w:color w:val="000000"/>
                <w:sz w:val="21"/>
              </w:rPr>
              <w:t>（二）考核评分办法</w:t>
            </w:r>
          </w:p>
          <w:p>
            <w:pPr>
              <w:ind w:firstLine="420"/>
              <w:jc w:val="both"/>
            </w:pPr>
            <w:r>
              <w:rPr>
                <w:color w:val="000000"/>
                <w:sz w:val="21"/>
              </w:rPr>
              <w:t>1、考核标准：</w:t>
            </w:r>
            <w:r>
              <w:rPr>
                <w:color w:val="000000"/>
                <w:sz w:val="21"/>
              </w:rPr>
              <w:t>河涌</w:t>
            </w:r>
            <w:r>
              <w:rPr>
                <w:color w:val="000000"/>
                <w:sz w:val="21"/>
              </w:rPr>
              <w:t>保洁评分考核满分为</w:t>
            </w:r>
            <w:r>
              <w:rPr>
                <w:color w:val="000000"/>
                <w:sz w:val="21"/>
              </w:rPr>
              <w:t>100分；</w:t>
            </w:r>
          </w:p>
          <w:p>
            <w:pPr>
              <w:ind w:firstLine="420"/>
              <w:jc w:val="both"/>
            </w:pPr>
            <w:r>
              <w:rPr>
                <w:color w:val="000000"/>
                <w:sz w:val="21"/>
              </w:rPr>
              <w:t>2、考核分= 100－合计检查扣分；</w:t>
            </w:r>
          </w:p>
          <w:p>
            <w:pPr>
              <w:ind w:firstLine="420"/>
              <w:jc w:val="both"/>
            </w:pPr>
            <w:r>
              <w:rPr>
                <w:color w:val="000000"/>
                <w:sz w:val="21"/>
              </w:rPr>
              <w:t>3、扣分、扣款方法按《石排镇</w:t>
            </w:r>
            <w:r>
              <w:rPr>
                <w:color w:val="000000"/>
                <w:sz w:val="21"/>
              </w:rPr>
              <w:t>河涌</w:t>
            </w:r>
            <w:r>
              <w:rPr>
                <w:color w:val="000000"/>
                <w:sz w:val="21"/>
              </w:rPr>
              <w:t>保洁考核评分暂行标准》执行，评分采用百分制，</w:t>
            </w:r>
            <w:r>
              <w:rPr>
                <w:color w:val="000000"/>
                <w:sz w:val="21"/>
              </w:rPr>
              <w:t>100-90分为优良达标，不扣除当月承包费；80分以上至90分（不包括90分）以下的部分，每少1分扣除当月承包费的1％；低于80分以下的部分，每少1分扣除当月承包费的2％（如当月评分为73分，即当月承包费＝年中标总价÷12×（100－10－14）%）。</w:t>
            </w:r>
            <w:r>
              <w:rPr>
                <w:color w:val="000000"/>
                <w:sz w:val="21"/>
              </w:rPr>
              <w:t>年内</w:t>
            </w:r>
            <w:r>
              <w:rPr>
                <w:color w:val="000000"/>
                <w:sz w:val="21"/>
              </w:rPr>
              <w:t>检查分数在</w:t>
            </w:r>
            <w:r>
              <w:rPr>
                <w:color w:val="000000"/>
                <w:sz w:val="21"/>
              </w:rPr>
              <w:t>70分以下三次以上的，除按规定扣款外，还将解除协议，协议保证金不退。</w:t>
            </w:r>
          </w:p>
          <w:p/>
          <w:p>
            <w:r>
              <w:rPr>
                <w:b/>
                <w:sz w:val="24"/>
              </w:rPr>
              <w:t>附件</w:t>
            </w:r>
            <w:r>
              <w:rPr>
                <w:b/>
                <w:sz w:val="24"/>
              </w:rPr>
              <w:t>1</w:t>
            </w:r>
            <w:r>
              <w:rPr>
                <w:b/>
                <w:sz w:val="24"/>
              </w:rPr>
              <w:t>：</w:t>
            </w:r>
          </w:p>
          <w:tbl>
            <w:tblPr>
              <w:tblInd w:type="dxa" w:w="90"/>
              <w:tblBorders>
                <w:top w:val="none" w:color="000000" w:sz="4"/>
                <w:left w:val="none" w:color="000000" w:sz="4"/>
                <w:bottom w:val="none" w:color="000000" w:sz="4"/>
                <w:right w:val="none" w:color="000000" w:sz="4"/>
                <w:insideH w:val="none"/>
                <w:insideV w:val="none"/>
              </w:tblBorders>
            </w:tblPr>
            <w:tblGrid>
              <w:gridCol w:w="338"/>
              <w:gridCol w:w="438"/>
              <w:gridCol w:w="179"/>
              <w:gridCol w:w="344"/>
              <w:gridCol w:w="1570"/>
              <w:gridCol w:w="1485"/>
              <w:gridCol w:w="399"/>
              <w:gridCol w:w="401"/>
              <w:gridCol w:w="432"/>
              <w:gridCol w:w="11"/>
            </w:tblGrid>
            <w:tr>
              <w:tc>
                <w:tcPr>
                  <w:tcW w:type="dxa" w:w="5154"/>
                  <w:gridSpan w:val="8"/>
                  <w:tcBorders>
                    <w:top w:val="none" w:color="000000" w:sz="4"/>
                    <w:left w:val="none" w:color="000000" w:sz="4"/>
                    <w:bottom w:val="none" w:color="000000" w:sz="4"/>
                    <w:right w:val="none" w:color="000000" w:sz="4"/>
                  </w:tcBorders>
                  <w:vAlign w:val="top"/>
                </w:tcPr>
                <w:p>
                  <w:pPr>
                    <w:jc w:val="center"/>
                  </w:pPr>
                  <w:r>
                    <w:rPr>
                      <w:b/>
                      <w:color w:val="000000"/>
                      <w:sz w:val="21"/>
                    </w:rPr>
                    <w:t>石排镇河涌保洁现场考核评分暂行标准</w:t>
                  </w:r>
                </w:p>
              </w:tc>
              <w:tc>
                <w:tcPr>
                  <w:tcW w:type="dxa" w:w="443"/>
                  <w:gridSpan w:val="2"/>
                  <w:tcBorders>
                    <w:top w:val="none" w:color="000000" w:sz="4"/>
                    <w:left w:val="none" w:color="000000" w:sz="4"/>
                    <w:bottom w:val="none" w:color="000000" w:sz="4"/>
                    <w:right w:val="none" w:color="000000" w:sz="4"/>
                  </w:tcBorders>
                  <w:vAlign w:val="top"/>
                </w:tcPr>
                <w:p>
                  <w:pPr>
                    <w:jc w:val="center"/>
                  </w:pPr>
                </w:p>
              </w:tc>
            </w:tr>
            <w:tr>
              <w:tc>
                <w:tcPr>
                  <w:tcW w:type="dxa" w:w="5154"/>
                  <w:gridSpan w:val="8"/>
                  <w:tcBorders>
                    <w:top w:val="none" w:color="000000" w:sz="4"/>
                    <w:left w:val="none" w:color="000000" w:sz="4"/>
                    <w:bottom w:val="single" w:color="000000" w:sz="4"/>
                    <w:right w:val="none" w:color="000000" w:sz="4"/>
                  </w:tcBorders>
                  <w:vAlign w:val="top"/>
                </w:tcPr>
                <w:p>
                  <w:r>
                    <w:rPr>
                      <w:color w:val="000000"/>
                      <w:sz w:val="21"/>
                    </w:rPr>
                    <w:t>被检单位</w:t>
                  </w:r>
                  <w:r>
                    <w:rPr>
                      <w:color w:val="000000"/>
                      <w:sz w:val="21"/>
                    </w:rPr>
                    <w:t>:                                       考评日期：  年   月  日</w:t>
                  </w:r>
                </w:p>
              </w:tc>
              <w:tc>
                <w:tcPr>
                  <w:tcW w:type="dxa" w:w="443"/>
                  <w:gridSpan w:val="2"/>
                  <w:tcBorders>
                    <w:top w:val="none" w:color="000000" w:sz="4"/>
                    <w:left w:val="none" w:color="000000" w:sz="4"/>
                    <w:bottom w:val="single" w:color="000000" w:sz="4"/>
                    <w:right w:val="none" w:color="000000" w:sz="4"/>
                  </w:tcBorders>
                  <w:vAlign w:val="top"/>
                </w:tcPr>
                <w:p/>
              </w:tc>
            </w:tr>
            <w:tr>
              <w:tc>
                <w:tcPr>
                  <w:tcW w:type="dxa" w:w="338"/>
                  <w:vMerge w:val="restart"/>
                  <w:tcBorders>
                    <w:top w:val="none" w:color="000000" w:sz="4"/>
                    <w:left w:val="single" w:color="000000" w:sz="4"/>
                    <w:bottom w:val="single" w:color="000000" w:sz="4"/>
                    <w:right w:val="single" w:color="000000" w:sz="4"/>
                  </w:tcBorders>
                  <w:vAlign w:val="top"/>
                </w:tcPr>
                <w:p>
                  <w:pPr>
                    <w:jc w:val="center"/>
                  </w:pPr>
                  <w:r>
                    <w:rPr>
                      <w:b/>
                      <w:color w:val="000000"/>
                      <w:sz w:val="21"/>
                    </w:rPr>
                    <w:t>项目名称</w:t>
                  </w:r>
                </w:p>
              </w:tc>
              <w:tc>
                <w:tcPr>
                  <w:tcW w:type="dxa" w:w="438"/>
                  <w:vMerge w:val="restart"/>
                  <w:tcBorders>
                    <w:top w:val="none" w:color="000000" w:sz="4"/>
                    <w:left w:val="none" w:color="000000" w:sz="4"/>
                    <w:bottom w:val="single" w:color="000000" w:sz="4"/>
                    <w:right w:val="single" w:color="000000" w:sz="4"/>
                  </w:tcBorders>
                  <w:vAlign w:val="top"/>
                </w:tcPr>
                <w:p>
                  <w:pPr>
                    <w:jc w:val="center"/>
                  </w:pPr>
                  <w:r>
                    <w:rPr>
                      <w:b/>
                      <w:color w:val="000000"/>
                      <w:sz w:val="21"/>
                    </w:rPr>
                    <w:t>总</w:t>
                  </w:r>
                  <w:r>
                    <w:rPr>
                      <w:b/>
                      <w:color w:val="000000"/>
                      <w:sz w:val="21"/>
                    </w:rPr>
                    <w:t>分</w:t>
                  </w:r>
                </w:p>
              </w:tc>
              <w:tc>
                <w:tcPr>
                  <w:tcW w:type="dxa" w:w="2093"/>
                  <w:gridSpan w:val="3"/>
                  <w:tcBorders>
                    <w:top w:val="single" w:color="000000" w:sz="4"/>
                    <w:left w:val="none" w:color="000000" w:sz="4"/>
                    <w:bottom w:val="single" w:color="000000" w:sz="4"/>
                    <w:right w:val="single" w:color="000000" w:sz="4"/>
                  </w:tcBorders>
                  <w:vAlign w:val="top"/>
                </w:tcPr>
                <w:p>
                  <w:pPr>
                    <w:jc w:val="center"/>
                  </w:pPr>
                  <w:r>
                    <w:rPr>
                      <w:b/>
                      <w:color w:val="000000"/>
                      <w:sz w:val="21"/>
                    </w:rPr>
                    <w:t>现场考核</w:t>
                  </w:r>
                </w:p>
              </w:tc>
              <w:tc>
                <w:tcPr>
                  <w:tcW w:type="dxa" w:w="1485"/>
                  <w:vMerge w:val="restart"/>
                  <w:tcBorders>
                    <w:top w:val="single" w:color="000000" w:sz="4"/>
                    <w:left w:val="none" w:color="000000" w:sz="4"/>
                    <w:bottom w:val="single" w:color="000000" w:sz="4"/>
                    <w:right w:val="single" w:color="000000" w:sz="4"/>
                  </w:tcBorders>
                  <w:vAlign w:val="top"/>
                </w:tcPr>
                <w:p>
                  <w:pPr>
                    <w:jc w:val="center"/>
                  </w:pPr>
                  <w:r>
                    <w:rPr>
                      <w:b/>
                      <w:color w:val="000000"/>
                      <w:sz w:val="21"/>
                    </w:rPr>
                    <w:t>扣分方法</w:t>
                  </w:r>
                </w:p>
              </w:tc>
              <w:tc>
                <w:tcPr>
                  <w:tcW w:type="dxa" w:w="399"/>
                  <w:vMerge w:val="restart"/>
                  <w:tcBorders>
                    <w:top w:val="single" w:color="000000" w:sz="4"/>
                    <w:left w:val="none" w:color="000000" w:sz="4"/>
                    <w:bottom w:val="single" w:color="000000" w:sz="4"/>
                    <w:right w:val="single" w:color="000000" w:sz="4"/>
                  </w:tcBorders>
                  <w:vAlign w:val="top"/>
                </w:tcPr>
                <w:p>
                  <w:pPr>
                    <w:jc w:val="center"/>
                  </w:pPr>
                  <w:r>
                    <w:rPr>
                      <w:b/>
                      <w:color w:val="000000"/>
                      <w:sz w:val="21"/>
                    </w:rPr>
                    <w:t>满分</w:t>
                  </w:r>
                </w:p>
              </w:tc>
              <w:tc>
                <w:tcPr>
                  <w:tcW w:type="dxa" w:w="401"/>
                  <w:vMerge w:val="restart"/>
                  <w:tcBorders>
                    <w:top w:val="single" w:color="000000" w:sz="4"/>
                    <w:left w:val="none" w:color="000000" w:sz="4"/>
                    <w:bottom w:val="single" w:color="000000" w:sz="4"/>
                    <w:right w:val="single" w:color="000000" w:sz="4"/>
                  </w:tcBorders>
                  <w:vAlign w:val="top"/>
                </w:tcPr>
                <w:p>
                  <w:pPr>
                    <w:jc w:val="center"/>
                  </w:pPr>
                  <w:r>
                    <w:rPr>
                      <w:b/>
                      <w:color w:val="000000"/>
                      <w:sz w:val="21"/>
                    </w:rPr>
                    <w:t>扣</w:t>
                  </w:r>
                  <w:r>
                    <w:rPr>
                      <w:b/>
                      <w:color w:val="000000"/>
                      <w:sz w:val="21"/>
                    </w:rPr>
                    <w:t>分</w:t>
                  </w:r>
                </w:p>
              </w:tc>
              <w:tc>
                <w:tcPr>
                  <w:tcW w:type="dxa" w:w="443"/>
                  <w:gridSpan w:val="2"/>
                  <w:vMerge w:val="restart"/>
                  <w:tcBorders>
                    <w:top w:val="single" w:color="000000" w:sz="4"/>
                    <w:left w:val="none" w:color="000000" w:sz="4"/>
                    <w:bottom w:val="single" w:color="000000" w:sz="4"/>
                    <w:right w:val="single" w:color="000000" w:sz="4"/>
                  </w:tcBorders>
                  <w:vAlign w:val="top"/>
                </w:tcPr>
                <w:p>
                  <w:pPr>
                    <w:jc w:val="center"/>
                  </w:pPr>
                  <w:r>
                    <w:rPr>
                      <w:b/>
                      <w:color w:val="000000"/>
                      <w:sz w:val="21"/>
                    </w:rPr>
                    <w:t>得分</w:t>
                  </w:r>
                </w:p>
              </w:tc>
            </w:tr>
            <w:tr>
              <w:tc>
                <w:tcPr>
                  <w:tcW w:type="dxa" w:w="338"/>
                  <w:vMerge/>
                  <w:tcBorders>
                    <w:top w:val="none" w:color="000000" w:sz="4"/>
                    <w:left w:val="single" w:color="000000" w:sz="4"/>
                    <w:bottom w:val="single" w:color="000000" w:sz="4"/>
                    <w:right w:val="single" w:color="000000" w:sz="4"/>
                  </w:tcBorders>
                </w:tcPr>
                <w:p/>
              </w:tc>
              <w:tc>
                <w:tcPr>
                  <w:tcW w:type="dxa" w:w="438"/>
                  <w:vMerge/>
                  <w:tcBorders>
                    <w:top w:val="none" w:color="000000" w:sz="4"/>
                    <w:left w:val="none" w:color="000000" w:sz="4"/>
                    <w:bottom w:val="single" w:color="000000" w:sz="4"/>
                    <w:right w:val="single" w:color="000000" w:sz="4"/>
                  </w:tcBorders>
                </w:tcPr>
                <w:p/>
              </w:tc>
              <w:tc>
                <w:tcPr>
                  <w:tcW w:type="dxa" w:w="523"/>
                  <w:gridSpan w:val="2"/>
                  <w:tcBorders>
                    <w:top w:val="none" w:color="000000" w:sz="4"/>
                    <w:left w:val="none" w:color="000000" w:sz="4"/>
                    <w:bottom w:val="single" w:color="000000" w:sz="4"/>
                    <w:right w:val="single" w:color="000000" w:sz="4"/>
                  </w:tcBorders>
                  <w:vAlign w:val="top"/>
                </w:tcPr>
                <w:p>
                  <w:pPr>
                    <w:jc w:val="center"/>
                  </w:pPr>
                  <w:r>
                    <w:rPr>
                      <w:b/>
                      <w:color w:val="000000"/>
                      <w:sz w:val="21"/>
                    </w:rPr>
                    <w:t>项目</w:t>
                  </w:r>
                </w:p>
              </w:tc>
              <w:tc>
                <w:tcPr>
                  <w:tcW w:type="dxa" w:w="1570"/>
                  <w:tcBorders>
                    <w:top w:val="none" w:color="000000" w:sz="4"/>
                    <w:left w:val="none" w:color="000000" w:sz="4"/>
                    <w:bottom w:val="single" w:color="000000" w:sz="4"/>
                    <w:right w:val="single" w:color="000000" w:sz="4"/>
                  </w:tcBorders>
                  <w:vAlign w:val="top"/>
                </w:tcPr>
                <w:p>
                  <w:pPr>
                    <w:jc w:val="center"/>
                  </w:pPr>
                  <w:r>
                    <w:rPr>
                      <w:b/>
                      <w:color w:val="000000"/>
                      <w:sz w:val="21"/>
                    </w:rPr>
                    <w:t>检查方法及评价依据</w:t>
                  </w:r>
                </w:p>
              </w:tc>
            </w:tr>
            <w:tr>
              <w:tc>
                <w:tcPr>
                  <w:tcW w:type="dxa" w:w="338"/>
                  <w:vMerge w:val="restart"/>
                  <w:tcBorders>
                    <w:top w:val="none" w:color="000000" w:sz="4"/>
                    <w:left w:val="single" w:color="000000" w:sz="4"/>
                    <w:bottom w:val="none" w:color="000000" w:sz="4"/>
                    <w:right w:val="single" w:color="000000" w:sz="4"/>
                  </w:tcBorders>
                  <w:vAlign w:val="top"/>
                </w:tcPr>
                <w:p>
                  <w:pPr>
                    <w:jc w:val="center"/>
                  </w:pPr>
                  <w:r>
                    <w:rPr>
                      <w:color w:val="000000"/>
                      <w:sz w:val="21"/>
                    </w:rPr>
                    <w:t>河涌</w:t>
                  </w:r>
                  <w:r>
                    <w:rPr>
                      <w:color w:val="000000"/>
                      <w:sz w:val="21"/>
                    </w:rPr>
                    <w:t xml:space="preserve"> </w:t>
                  </w:r>
                  <w:r>
                    <w:rPr>
                      <w:color w:val="000000"/>
                      <w:sz w:val="21"/>
                    </w:rPr>
                    <w:t>保洁</w:t>
                  </w:r>
                </w:p>
              </w:tc>
              <w:tc>
                <w:tcPr>
                  <w:tcW w:type="dxa" w:w="438"/>
                  <w:vMerge w:val="restart"/>
                  <w:tcBorders>
                    <w:top w:val="none" w:color="000000" w:sz="4"/>
                    <w:left w:val="none" w:color="000000" w:sz="4"/>
                    <w:bottom w:val="none" w:color="000000" w:sz="4"/>
                    <w:right w:val="single" w:color="000000" w:sz="4"/>
                  </w:tcBorders>
                  <w:vAlign w:val="top"/>
                </w:tcPr>
                <w:p>
                  <w:pPr>
                    <w:jc w:val="center"/>
                  </w:pPr>
                  <w:r>
                    <w:rPr>
                      <w:color w:val="000000"/>
                      <w:sz w:val="21"/>
                    </w:rPr>
                    <w:t>100分</w:t>
                  </w:r>
                </w:p>
              </w:tc>
              <w:tc>
                <w:tcPr>
                  <w:tcW w:type="dxa" w:w="179"/>
                  <w:vMerge w:val="restart"/>
                  <w:tcBorders>
                    <w:top w:val="none" w:color="000000" w:sz="4"/>
                    <w:left w:val="none" w:color="000000" w:sz="4"/>
                    <w:bottom w:val="single" w:color="000000" w:sz="4"/>
                    <w:right w:val="single" w:color="000000" w:sz="4"/>
                  </w:tcBorders>
                  <w:vAlign w:val="top"/>
                </w:tcPr>
                <w:p>
                  <w:pPr>
                    <w:jc w:val="center"/>
                  </w:pPr>
                  <w:r>
                    <w:rPr>
                      <w:color w:val="000000"/>
                      <w:sz w:val="21"/>
                    </w:rPr>
                    <w:t>水面保洁</w:t>
                  </w:r>
                </w:p>
              </w:tc>
              <w:tc>
                <w:tcPr>
                  <w:tcW w:type="dxa" w:w="344"/>
                  <w:vMerge w:val="restart"/>
                  <w:tcBorders>
                    <w:top w:val="none" w:color="000000" w:sz="4"/>
                    <w:left w:val="none" w:color="000000" w:sz="4"/>
                    <w:bottom w:val="single" w:color="000000" w:sz="4"/>
                    <w:right w:val="single" w:color="000000" w:sz="4"/>
                  </w:tcBorders>
                  <w:vAlign w:val="top"/>
                </w:tcPr>
                <w:p>
                  <w:pPr>
                    <w:jc w:val="center"/>
                  </w:pPr>
                  <w:r>
                    <w:rPr>
                      <w:color w:val="000000"/>
                      <w:sz w:val="21"/>
                    </w:rPr>
                    <w:t>垃圾处理</w:t>
                  </w:r>
                </w:p>
              </w:tc>
              <w:tc>
                <w:tcPr>
                  <w:tcW w:type="dxa" w:w="1570"/>
                  <w:tcBorders>
                    <w:top w:val="none" w:color="000000" w:sz="4"/>
                    <w:left w:val="none" w:color="000000" w:sz="4"/>
                    <w:bottom w:val="single" w:color="000000" w:sz="4"/>
                    <w:right w:val="single" w:color="000000" w:sz="4"/>
                  </w:tcBorders>
                  <w:vAlign w:val="top"/>
                </w:tcPr>
                <w:p>
                  <w:r>
                    <w:rPr>
                      <w:color w:val="000000"/>
                      <w:sz w:val="21"/>
                    </w:rPr>
                    <w:t>1、渠道内未发现卫生死角；</w:t>
                  </w:r>
                </w:p>
              </w:tc>
              <w:tc>
                <w:tcPr>
                  <w:tcW w:type="dxa" w:w="1485"/>
                  <w:tcBorders>
                    <w:top w:val="none" w:color="000000" w:sz="4"/>
                    <w:left w:val="none" w:color="000000" w:sz="4"/>
                    <w:bottom w:val="single" w:color="000000" w:sz="4"/>
                    <w:right w:val="single" w:color="000000" w:sz="4"/>
                  </w:tcBorders>
                  <w:vAlign w:val="top"/>
                </w:tcPr>
                <w:p>
                  <w:r>
                    <w:rPr>
                      <w:color w:val="000000"/>
                      <w:sz w:val="21"/>
                    </w:rPr>
                    <w:t>1、未按要求的，每次每处扣0.5分，扣完为止；</w:t>
                  </w:r>
                </w:p>
              </w:tc>
              <w:tc>
                <w:tcPr>
                  <w:tcW w:type="dxa" w:w="399"/>
                  <w:tcBorders>
                    <w:top w:val="none" w:color="000000" w:sz="4"/>
                    <w:left w:val="none" w:color="000000" w:sz="4"/>
                    <w:bottom w:val="single" w:color="000000" w:sz="4"/>
                    <w:right w:val="single" w:color="000000" w:sz="4"/>
                  </w:tcBorders>
                  <w:vAlign w:val="top"/>
                </w:tcPr>
                <w:p>
                  <w:pPr>
                    <w:jc w:val="center"/>
                  </w:pPr>
                  <w:r>
                    <w:rPr>
                      <w:color w:val="000000"/>
                      <w:sz w:val="21"/>
                    </w:rPr>
                    <w:t>10</w:t>
                  </w:r>
                </w:p>
              </w:tc>
              <w:tc>
                <w:tcPr>
                  <w:tcW w:type="dxa" w:w="401"/>
                  <w:tcBorders>
                    <w:top w:val="none" w:color="000000" w:sz="4"/>
                    <w:left w:val="none" w:color="000000" w:sz="4"/>
                    <w:bottom w:val="single" w:color="000000" w:sz="4"/>
                    <w:right w:val="single" w:color="000000" w:sz="4"/>
                  </w:tcBorders>
                  <w:vAlign w:val="top"/>
                </w:tcPr>
                <w:p>
                  <w:pPr>
                    <w:jc w:val="center"/>
                  </w:pPr>
                </w:p>
              </w:tc>
              <w:tc>
                <w:tcPr>
                  <w:tcW w:type="dxa" w:w="443"/>
                  <w:gridSpan w:val="2"/>
                  <w:tcBorders>
                    <w:top w:val="single" w:color="000000" w:sz="4"/>
                    <w:left w:val="none" w:color="000000" w:sz="4"/>
                    <w:bottom w:val="single" w:color="000000" w:sz="4"/>
                    <w:right w:val="single" w:color="000000" w:sz="4"/>
                  </w:tcBorders>
                  <w:vAlign w:val="top"/>
                </w:tcPr>
                <w:p>
                  <w:pPr>
                    <w:jc w:val="center"/>
                  </w:pPr>
                </w:p>
              </w:tc>
            </w:tr>
            <w:tr>
              <w:tc>
                <w:tcPr>
                  <w:tcW w:type="dxa" w:w="338"/>
                  <w:vMerge/>
                  <w:tcBorders>
                    <w:top w:val="none" w:color="000000" w:sz="4"/>
                    <w:left w:val="single" w:color="000000" w:sz="4"/>
                    <w:bottom w:val="none" w:color="000000" w:sz="4"/>
                    <w:right w:val="single" w:color="000000" w:sz="4"/>
                  </w:tcBorders>
                </w:tcPr>
                <w:p/>
              </w:tc>
              <w:tc>
                <w:tcPr>
                  <w:tcW w:type="dxa" w:w="438"/>
                  <w:vMerge/>
                  <w:tcBorders>
                    <w:top w:val="none" w:color="000000" w:sz="4"/>
                    <w:left w:val="none" w:color="000000" w:sz="4"/>
                    <w:bottom w:val="none" w:color="000000" w:sz="4"/>
                    <w:right w:val="single" w:color="000000" w:sz="4"/>
                  </w:tcBorders>
                </w:tcPr>
                <w:p/>
              </w:tc>
              <w:tc>
                <w:tcPr>
                  <w:tcW w:type="dxa" w:w="179"/>
                  <w:vMerge/>
                  <w:tcBorders>
                    <w:top w:val="none" w:color="000000" w:sz="4"/>
                    <w:left w:val="none" w:color="000000" w:sz="4"/>
                    <w:bottom w:val="single" w:color="000000" w:sz="4"/>
                    <w:right w:val="single" w:color="000000" w:sz="4"/>
                  </w:tcBorders>
                </w:tcPr>
                <w:p/>
              </w:tc>
              <w:tc>
                <w:tcPr>
                  <w:tcW w:type="dxa" w:w="344"/>
                  <w:vMerge/>
                  <w:tcBorders>
                    <w:top w:val="none" w:color="000000" w:sz="4"/>
                    <w:left w:val="none" w:color="000000" w:sz="4"/>
                    <w:bottom w:val="single" w:color="000000" w:sz="4"/>
                    <w:right w:val="single" w:color="000000" w:sz="4"/>
                  </w:tcBorders>
                </w:tcPr>
                <w:p/>
              </w:tc>
              <w:tc>
                <w:tcPr>
                  <w:tcW w:type="dxa" w:w="1570"/>
                  <w:tcBorders>
                    <w:top w:val="none" w:color="000000" w:sz="4"/>
                    <w:left w:val="none" w:color="000000" w:sz="4"/>
                    <w:bottom w:val="single" w:color="000000" w:sz="4"/>
                    <w:right w:val="single" w:color="000000" w:sz="4"/>
                  </w:tcBorders>
                  <w:vAlign w:val="top"/>
                </w:tcPr>
                <w:p>
                  <w:r>
                    <w:rPr>
                      <w:color w:val="000000"/>
                      <w:sz w:val="21"/>
                    </w:rPr>
                    <w:t>2、严禁将垃圾随意堆放在渠道两岸。</w:t>
                  </w:r>
                </w:p>
              </w:tc>
              <w:tc>
                <w:tcPr>
                  <w:tcW w:type="dxa" w:w="1485"/>
                  <w:tcBorders>
                    <w:top w:val="none" w:color="000000" w:sz="4"/>
                    <w:left w:val="none" w:color="000000" w:sz="4"/>
                    <w:bottom w:val="single" w:color="000000" w:sz="4"/>
                    <w:right w:val="single" w:color="000000" w:sz="4"/>
                  </w:tcBorders>
                  <w:vAlign w:val="top"/>
                </w:tcPr>
                <w:p>
                  <w:r>
                    <w:rPr>
                      <w:color w:val="000000"/>
                      <w:sz w:val="21"/>
                    </w:rPr>
                    <w:t>2、发现随意堆放的，每次扣0.5分，扣完为止。</w:t>
                  </w:r>
                </w:p>
              </w:tc>
              <w:tc>
                <w:tcPr>
                  <w:tcW w:type="dxa" w:w="399"/>
                  <w:tcBorders>
                    <w:top w:val="none" w:color="000000" w:sz="4"/>
                    <w:left w:val="none" w:color="000000" w:sz="4"/>
                    <w:bottom w:val="single" w:color="000000" w:sz="4"/>
                    <w:right w:val="single" w:color="000000" w:sz="4"/>
                  </w:tcBorders>
                  <w:vAlign w:val="top"/>
                </w:tcPr>
                <w:p>
                  <w:pPr>
                    <w:jc w:val="center"/>
                  </w:pPr>
                  <w:r>
                    <w:rPr>
                      <w:color w:val="000000"/>
                      <w:sz w:val="21"/>
                    </w:rPr>
                    <w:t>10</w:t>
                  </w:r>
                </w:p>
              </w:tc>
              <w:tc>
                <w:tcPr>
                  <w:tcW w:type="dxa" w:w="401"/>
                  <w:tcBorders>
                    <w:top w:val="none" w:color="000000" w:sz="4"/>
                    <w:left w:val="none" w:color="000000" w:sz="4"/>
                    <w:bottom w:val="single" w:color="000000" w:sz="4"/>
                    <w:right w:val="single" w:color="000000" w:sz="4"/>
                  </w:tcBorders>
                  <w:vAlign w:val="top"/>
                </w:tcPr>
                <w:p>
                  <w:pPr>
                    <w:jc w:val="center"/>
                  </w:pPr>
                </w:p>
              </w:tc>
              <w:tc>
                <w:tcPr>
                  <w:tcW w:type="dxa" w:w="443"/>
                  <w:gridSpan w:val="2"/>
                  <w:tcBorders>
                    <w:top w:val="none" w:color="000000" w:sz="4"/>
                    <w:left w:val="none" w:color="000000" w:sz="4"/>
                    <w:bottom w:val="single" w:color="000000" w:sz="4"/>
                    <w:right w:val="single" w:color="000000" w:sz="4"/>
                  </w:tcBorders>
                  <w:vAlign w:val="top"/>
                </w:tcPr>
                <w:p>
                  <w:pPr>
                    <w:jc w:val="center"/>
                  </w:pPr>
                </w:p>
              </w:tc>
            </w:tr>
            <w:tr>
              <w:tc>
                <w:tcPr>
                  <w:tcW w:type="dxa" w:w="338"/>
                  <w:vMerge/>
                  <w:tcBorders>
                    <w:top w:val="none" w:color="000000" w:sz="4"/>
                    <w:left w:val="single" w:color="000000" w:sz="4"/>
                    <w:bottom w:val="none" w:color="000000" w:sz="4"/>
                    <w:right w:val="single" w:color="000000" w:sz="4"/>
                  </w:tcBorders>
                </w:tcPr>
                <w:p/>
              </w:tc>
              <w:tc>
                <w:tcPr>
                  <w:tcW w:type="dxa" w:w="438"/>
                  <w:vMerge/>
                  <w:tcBorders>
                    <w:top w:val="none" w:color="000000" w:sz="4"/>
                    <w:left w:val="none" w:color="000000" w:sz="4"/>
                    <w:bottom w:val="none" w:color="000000" w:sz="4"/>
                    <w:right w:val="single" w:color="000000" w:sz="4"/>
                  </w:tcBorders>
                </w:tcPr>
                <w:p/>
              </w:tc>
              <w:tc>
                <w:tcPr>
                  <w:tcW w:type="dxa" w:w="179"/>
                  <w:vMerge/>
                  <w:tcBorders>
                    <w:top w:val="none" w:color="000000" w:sz="4"/>
                    <w:left w:val="none" w:color="000000" w:sz="4"/>
                    <w:bottom w:val="single" w:color="000000" w:sz="4"/>
                    <w:right w:val="single" w:color="000000" w:sz="4"/>
                  </w:tcBorders>
                </w:tcPr>
                <w:p/>
              </w:tc>
              <w:tc>
                <w:tcPr>
                  <w:tcW w:type="dxa" w:w="344"/>
                  <w:vMerge w:val="restart"/>
                  <w:tcBorders>
                    <w:top w:val="none" w:color="000000" w:sz="4"/>
                    <w:left w:val="none" w:color="000000" w:sz="4"/>
                    <w:bottom w:val="single" w:color="000000" w:sz="4"/>
                    <w:right w:val="single" w:color="000000" w:sz="4"/>
                  </w:tcBorders>
                  <w:vAlign w:val="top"/>
                </w:tcPr>
                <w:p>
                  <w:pPr>
                    <w:jc w:val="center"/>
                  </w:pPr>
                  <w:r>
                    <w:rPr>
                      <w:color w:val="000000"/>
                      <w:sz w:val="21"/>
                    </w:rPr>
                    <w:t>水浮莲处理</w:t>
                  </w:r>
                </w:p>
              </w:tc>
              <w:tc>
                <w:tcPr>
                  <w:tcW w:type="dxa" w:w="1570"/>
                  <w:tcBorders>
                    <w:top w:val="none" w:color="000000" w:sz="4"/>
                    <w:left w:val="none" w:color="000000" w:sz="4"/>
                    <w:bottom w:val="single" w:color="000000" w:sz="4"/>
                    <w:right w:val="single" w:color="000000" w:sz="4"/>
                  </w:tcBorders>
                  <w:vAlign w:val="top"/>
                </w:tcPr>
                <w:p>
                  <w:r>
                    <w:rPr>
                      <w:color w:val="000000"/>
                      <w:sz w:val="21"/>
                    </w:rPr>
                    <w:t>1、渠道中不能有水浮莲；</w:t>
                  </w:r>
                </w:p>
              </w:tc>
              <w:tc>
                <w:tcPr>
                  <w:tcW w:type="dxa" w:w="1485"/>
                  <w:tcBorders>
                    <w:top w:val="none" w:color="000000" w:sz="4"/>
                    <w:left w:val="none" w:color="000000" w:sz="4"/>
                    <w:bottom w:val="single" w:color="000000" w:sz="4"/>
                    <w:right w:val="single" w:color="000000" w:sz="4"/>
                  </w:tcBorders>
                  <w:vAlign w:val="top"/>
                </w:tcPr>
                <w:p>
                  <w:r>
                    <w:rPr>
                      <w:color w:val="000000"/>
                      <w:sz w:val="21"/>
                    </w:rPr>
                    <w:t>1、发现有水浮莲的，每</w:t>
                  </w:r>
                  <w:r>
                    <w:rPr>
                      <w:color w:val="000000"/>
                      <w:sz w:val="21"/>
                    </w:rPr>
                    <w:t>1</w:t>
                  </w:r>
                  <w:r>
                    <w:rPr>
                      <w:color w:val="000000"/>
                      <w:sz w:val="21"/>
                    </w:rPr>
                    <w:t>m</w:t>
                  </w:r>
                  <w:r>
                    <w:rPr>
                      <w:color w:val="000000"/>
                      <w:sz w:val="21"/>
                      <w:vertAlign w:val="superscript"/>
                    </w:rPr>
                    <w:t>2</w:t>
                  </w:r>
                  <w:r>
                    <w:rPr>
                      <w:color w:val="000000"/>
                      <w:sz w:val="21"/>
                    </w:rPr>
                    <w:t>扣</w:t>
                  </w:r>
                  <w:r>
                    <w:rPr>
                      <w:color w:val="000000"/>
                      <w:sz w:val="21"/>
                    </w:rPr>
                    <w:t>0.5分，扣完为止；</w:t>
                  </w:r>
                  <w:r>
                    <w:rPr>
                      <w:color w:val="000000"/>
                      <w:sz w:val="21"/>
                    </w:rPr>
                    <w:t>超过</w:t>
                  </w:r>
                  <w:r>
                    <w:rPr>
                      <w:color w:val="000000"/>
                      <w:sz w:val="21"/>
                    </w:rPr>
                    <w:t>1m</w:t>
                  </w:r>
                  <w:r>
                    <w:rPr>
                      <w:color w:val="000000"/>
                      <w:sz w:val="21"/>
                      <w:vertAlign w:val="superscript"/>
                    </w:rPr>
                    <w:t>2</w:t>
                  </w:r>
                  <w:r>
                    <w:rPr>
                      <w:color w:val="000000"/>
                      <w:sz w:val="21"/>
                    </w:rPr>
                    <w:t>以上一次性扣除</w:t>
                  </w:r>
                  <w:r>
                    <w:rPr>
                      <w:color w:val="000000"/>
                      <w:sz w:val="21"/>
                    </w:rPr>
                    <w:t>5分。</w:t>
                  </w:r>
                </w:p>
              </w:tc>
              <w:tc>
                <w:tcPr>
                  <w:tcW w:type="dxa" w:w="399"/>
                  <w:tcBorders>
                    <w:top w:val="none" w:color="000000" w:sz="4"/>
                    <w:left w:val="none" w:color="000000" w:sz="4"/>
                    <w:bottom w:val="single" w:color="000000" w:sz="4"/>
                    <w:right w:val="single" w:color="000000" w:sz="4"/>
                  </w:tcBorders>
                  <w:vAlign w:val="top"/>
                </w:tcPr>
                <w:p>
                  <w:pPr>
                    <w:jc w:val="center"/>
                  </w:pPr>
                  <w:r>
                    <w:rPr>
                      <w:color w:val="000000"/>
                      <w:sz w:val="21"/>
                    </w:rPr>
                    <w:t>5</w:t>
                  </w:r>
                </w:p>
              </w:tc>
              <w:tc>
                <w:tcPr>
                  <w:tcW w:type="dxa" w:w="401"/>
                  <w:tcBorders>
                    <w:top w:val="none" w:color="000000" w:sz="4"/>
                    <w:left w:val="none" w:color="000000" w:sz="4"/>
                    <w:bottom w:val="single" w:color="000000" w:sz="4"/>
                    <w:right w:val="single" w:color="000000" w:sz="4"/>
                  </w:tcBorders>
                  <w:vAlign w:val="top"/>
                </w:tcPr>
                <w:p>
                  <w:pPr>
                    <w:jc w:val="center"/>
                  </w:pPr>
                </w:p>
              </w:tc>
              <w:tc>
                <w:tcPr>
                  <w:tcW w:type="dxa" w:w="443"/>
                  <w:gridSpan w:val="2"/>
                  <w:tcBorders>
                    <w:top w:val="none" w:color="000000" w:sz="4"/>
                    <w:left w:val="none" w:color="000000" w:sz="4"/>
                    <w:bottom w:val="single" w:color="000000" w:sz="4"/>
                    <w:right w:val="single" w:color="000000" w:sz="4"/>
                  </w:tcBorders>
                  <w:vAlign w:val="top"/>
                </w:tcPr>
                <w:p>
                  <w:pPr>
                    <w:jc w:val="center"/>
                  </w:pPr>
                </w:p>
              </w:tc>
            </w:tr>
            <w:tr>
              <w:tc>
                <w:tcPr>
                  <w:tcW w:type="dxa" w:w="338"/>
                  <w:vMerge/>
                  <w:tcBorders>
                    <w:top w:val="none" w:color="000000" w:sz="4"/>
                    <w:left w:val="single" w:color="000000" w:sz="4"/>
                    <w:bottom w:val="none" w:color="000000" w:sz="4"/>
                    <w:right w:val="single" w:color="000000" w:sz="4"/>
                  </w:tcBorders>
                </w:tcPr>
                <w:p/>
              </w:tc>
              <w:tc>
                <w:tcPr>
                  <w:tcW w:type="dxa" w:w="438"/>
                  <w:vMerge/>
                  <w:tcBorders>
                    <w:top w:val="none" w:color="000000" w:sz="4"/>
                    <w:left w:val="none" w:color="000000" w:sz="4"/>
                    <w:bottom w:val="none" w:color="000000" w:sz="4"/>
                    <w:right w:val="single" w:color="000000" w:sz="4"/>
                  </w:tcBorders>
                </w:tcPr>
                <w:p/>
              </w:tc>
              <w:tc>
                <w:tcPr>
                  <w:tcW w:type="dxa" w:w="179"/>
                  <w:vMerge/>
                  <w:tcBorders>
                    <w:top w:val="none" w:color="000000" w:sz="4"/>
                    <w:left w:val="none" w:color="000000" w:sz="4"/>
                    <w:bottom w:val="single" w:color="000000" w:sz="4"/>
                    <w:right w:val="single" w:color="000000" w:sz="4"/>
                  </w:tcBorders>
                </w:tcPr>
                <w:p/>
              </w:tc>
              <w:tc>
                <w:tcPr>
                  <w:tcW w:type="dxa" w:w="344"/>
                  <w:vMerge/>
                  <w:tcBorders>
                    <w:top w:val="none" w:color="000000" w:sz="4"/>
                    <w:left w:val="none" w:color="000000" w:sz="4"/>
                    <w:bottom w:val="single" w:color="000000" w:sz="4"/>
                    <w:right w:val="single" w:color="000000" w:sz="4"/>
                  </w:tcBorders>
                </w:tcPr>
                <w:p/>
              </w:tc>
              <w:tc>
                <w:tcPr>
                  <w:tcW w:type="dxa" w:w="1570"/>
                  <w:tcBorders>
                    <w:top w:val="none" w:color="000000" w:sz="4"/>
                    <w:left w:val="none" w:color="000000" w:sz="4"/>
                    <w:bottom w:val="single" w:color="000000" w:sz="4"/>
                    <w:right w:val="single" w:color="000000" w:sz="4"/>
                  </w:tcBorders>
                  <w:vAlign w:val="top"/>
                </w:tcPr>
                <w:p>
                  <w:r>
                    <w:rPr>
                      <w:color w:val="000000"/>
                      <w:sz w:val="21"/>
                    </w:rPr>
                    <w:t>2、发现有水浮莲</w:t>
                  </w:r>
                  <w:r>
                    <w:rPr>
                      <w:color w:val="000000"/>
                      <w:sz w:val="21"/>
                    </w:rPr>
                    <w:t>、、落叶（堆积面积较大范围）</w:t>
                  </w:r>
                  <w:r>
                    <w:rPr>
                      <w:color w:val="000000"/>
                      <w:sz w:val="21"/>
                    </w:rPr>
                    <w:t>，需及时清理，要晒干后才能运往垃圾压缩站。</w:t>
                  </w:r>
                </w:p>
              </w:tc>
              <w:tc>
                <w:tcPr>
                  <w:tcW w:type="dxa" w:w="1485"/>
                  <w:tcBorders>
                    <w:top w:val="none" w:color="000000" w:sz="4"/>
                    <w:left w:val="none" w:color="000000" w:sz="4"/>
                    <w:bottom w:val="single" w:color="000000" w:sz="4"/>
                    <w:right w:val="single" w:color="000000" w:sz="4"/>
                  </w:tcBorders>
                  <w:vAlign w:val="top"/>
                </w:tcPr>
                <w:p>
                  <w:r>
                    <w:rPr>
                      <w:color w:val="000000"/>
                      <w:sz w:val="21"/>
                    </w:rPr>
                    <w:t>2、未及时清理或不按要求运往垃圾压缩站的，发现一次扣1分，扣完为止；</w:t>
                  </w:r>
                </w:p>
              </w:tc>
              <w:tc>
                <w:tcPr>
                  <w:tcW w:type="dxa" w:w="399"/>
                  <w:tcBorders>
                    <w:top w:val="none" w:color="000000" w:sz="4"/>
                    <w:left w:val="none" w:color="000000" w:sz="4"/>
                    <w:bottom w:val="single" w:color="000000" w:sz="4"/>
                    <w:right w:val="single" w:color="000000" w:sz="4"/>
                  </w:tcBorders>
                  <w:vAlign w:val="top"/>
                </w:tcPr>
                <w:p>
                  <w:pPr>
                    <w:jc w:val="center"/>
                  </w:pPr>
                  <w:r>
                    <w:rPr>
                      <w:color w:val="000000"/>
                      <w:sz w:val="21"/>
                    </w:rPr>
                    <w:t>5</w:t>
                  </w:r>
                </w:p>
              </w:tc>
              <w:tc>
                <w:tcPr>
                  <w:tcW w:type="dxa" w:w="401"/>
                  <w:tcBorders>
                    <w:top w:val="none" w:color="000000" w:sz="4"/>
                    <w:left w:val="none" w:color="000000" w:sz="4"/>
                    <w:bottom w:val="single" w:color="000000" w:sz="4"/>
                    <w:right w:val="single" w:color="000000" w:sz="4"/>
                  </w:tcBorders>
                  <w:vAlign w:val="top"/>
                </w:tcPr>
                <w:p>
                  <w:pPr>
                    <w:jc w:val="center"/>
                  </w:pPr>
                </w:p>
              </w:tc>
              <w:tc>
                <w:tcPr>
                  <w:tcW w:type="dxa" w:w="443"/>
                  <w:gridSpan w:val="2"/>
                  <w:tcBorders>
                    <w:top w:val="none" w:color="000000" w:sz="4"/>
                    <w:left w:val="none" w:color="000000" w:sz="4"/>
                    <w:bottom w:val="single" w:color="000000" w:sz="4"/>
                    <w:right w:val="single" w:color="000000" w:sz="4"/>
                  </w:tcBorders>
                  <w:vAlign w:val="top"/>
                </w:tcPr>
                <w:p>
                  <w:pPr>
                    <w:jc w:val="center"/>
                  </w:pPr>
                </w:p>
              </w:tc>
            </w:tr>
            <w:tr>
              <w:tc>
                <w:tcPr>
                  <w:tcW w:type="dxa" w:w="338"/>
                  <w:vMerge/>
                  <w:tcBorders>
                    <w:top w:val="none" w:color="000000" w:sz="4"/>
                    <w:left w:val="single" w:color="000000" w:sz="4"/>
                    <w:bottom w:val="none" w:color="000000" w:sz="4"/>
                    <w:right w:val="single" w:color="000000" w:sz="4"/>
                  </w:tcBorders>
                </w:tcPr>
                <w:p/>
              </w:tc>
              <w:tc>
                <w:tcPr>
                  <w:tcW w:type="dxa" w:w="438"/>
                  <w:vMerge/>
                  <w:tcBorders>
                    <w:top w:val="none" w:color="000000" w:sz="4"/>
                    <w:left w:val="none" w:color="000000" w:sz="4"/>
                    <w:bottom w:val="none" w:color="000000" w:sz="4"/>
                    <w:right w:val="single" w:color="000000" w:sz="4"/>
                  </w:tcBorders>
                </w:tcPr>
                <w:p/>
              </w:tc>
              <w:tc>
                <w:tcPr>
                  <w:tcW w:type="dxa" w:w="179"/>
                  <w:vMerge/>
                  <w:tcBorders>
                    <w:top w:val="none" w:color="000000" w:sz="4"/>
                    <w:left w:val="none" w:color="000000" w:sz="4"/>
                    <w:bottom w:val="single" w:color="000000" w:sz="4"/>
                    <w:right w:val="single" w:color="000000" w:sz="4"/>
                  </w:tcBorders>
                </w:tcPr>
                <w:p/>
              </w:tc>
              <w:tc>
                <w:tcPr>
                  <w:tcW w:type="dxa" w:w="344"/>
                  <w:vMerge w:val="restart"/>
                  <w:tcBorders>
                    <w:top w:val="none" w:color="000000" w:sz="4"/>
                    <w:left w:val="none" w:color="000000" w:sz="4"/>
                    <w:bottom w:val="single" w:color="000000" w:sz="4"/>
                    <w:right w:val="single" w:color="000000" w:sz="4"/>
                  </w:tcBorders>
                  <w:vAlign w:val="top"/>
                </w:tcPr>
                <w:p>
                  <w:pPr>
                    <w:jc w:val="center"/>
                  </w:pPr>
                  <w:r>
                    <w:rPr>
                      <w:color w:val="000000"/>
                      <w:sz w:val="21"/>
                    </w:rPr>
                    <w:t>漂浮物及油污处理</w:t>
                  </w:r>
                </w:p>
              </w:tc>
              <w:tc>
                <w:tcPr>
                  <w:tcW w:type="dxa" w:w="1570"/>
                  <w:tcBorders>
                    <w:top w:val="none" w:color="000000" w:sz="4"/>
                    <w:left w:val="none" w:color="000000" w:sz="4"/>
                    <w:bottom w:val="single" w:color="000000" w:sz="4"/>
                    <w:right w:val="single" w:color="000000" w:sz="4"/>
                  </w:tcBorders>
                  <w:vAlign w:val="top"/>
                </w:tcPr>
                <w:p>
                  <w:r>
                    <w:rPr>
                      <w:color w:val="000000"/>
                      <w:sz w:val="21"/>
                    </w:rPr>
                    <w:t>1、大件漂浮物需及时清理出渠道；</w:t>
                  </w:r>
                </w:p>
              </w:tc>
              <w:tc>
                <w:tcPr>
                  <w:tcW w:type="dxa" w:w="1485"/>
                  <w:tcBorders>
                    <w:top w:val="none" w:color="000000" w:sz="4"/>
                    <w:left w:val="none" w:color="000000" w:sz="4"/>
                    <w:bottom w:val="single" w:color="000000" w:sz="4"/>
                    <w:right w:val="single" w:color="000000" w:sz="4"/>
                  </w:tcBorders>
                  <w:vAlign w:val="top"/>
                </w:tcPr>
                <w:p>
                  <w:r>
                    <w:rPr>
                      <w:color w:val="000000"/>
                      <w:sz w:val="21"/>
                    </w:rPr>
                    <w:t>1、未及时清理的，每次每个扣0.5分，扣完为止；</w:t>
                  </w:r>
                </w:p>
              </w:tc>
              <w:tc>
                <w:tcPr>
                  <w:tcW w:type="dxa" w:w="399"/>
                  <w:tcBorders>
                    <w:top w:val="none" w:color="000000" w:sz="4"/>
                    <w:left w:val="none" w:color="000000" w:sz="4"/>
                    <w:bottom w:val="single" w:color="000000" w:sz="4"/>
                    <w:right w:val="single" w:color="000000" w:sz="4"/>
                  </w:tcBorders>
                  <w:vAlign w:val="top"/>
                </w:tcPr>
                <w:p>
                  <w:pPr>
                    <w:jc w:val="center"/>
                  </w:pPr>
                  <w:r>
                    <w:rPr>
                      <w:color w:val="000000"/>
                      <w:sz w:val="21"/>
                    </w:rPr>
                    <w:t>10</w:t>
                  </w:r>
                </w:p>
              </w:tc>
              <w:tc>
                <w:tcPr>
                  <w:tcW w:type="dxa" w:w="401"/>
                  <w:tcBorders>
                    <w:top w:val="none" w:color="000000" w:sz="4"/>
                    <w:left w:val="none" w:color="000000" w:sz="4"/>
                    <w:bottom w:val="single" w:color="000000" w:sz="4"/>
                    <w:right w:val="single" w:color="000000" w:sz="4"/>
                  </w:tcBorders>
                  <w:vAlign w:val="top"/>
                </w:tcPr>
                <w:p>
                  <w:pPr>
                    <w:jc w:val="center"/>
                  </w:pPr>
                </w:p>
              </w:tc>
              <w:tc>
                <w:tcPr>
                  <w:tcW w:type="dxa" w:w="443"/>
                  <w:gridSpan w:val="2"/>
                  <w:tcBorders>
                    <w:top w:val="none" w:color="000000" w:sz="4"/>
                    <w:left w:val="none" w:color="000000" w:sz="4"/>
                    <w:bottom w:val="single" w:color="000000" w:sz="4"/>
                    <w:right w:val="single" w:color="000000" w:sz="4"/>
                  </w:tcBorders>
                  <w:vAlign w:val="top"/>
                </w:tcPr>
                <w:p>
                  <w:pPr>
                    <w:jc w:val="center"/>
                  </w:pPr>
                </w:p>
              </w:tc>
            </w:tr>
            <w:tr>
              <w:tc>
                <w:tcPr>
                  <w:tcW w:type="dxa" w:w="338"/>
                  <w:vMerge/>
                  <w:tcBorders>
                    <w:top w:val="none" w:color="000000" w:sz="4"/>
                    <w:left w:val="single" w:color="000000" w:sz="4"/>
                    <w:bottom w:val="none" w:color="000000" w:sz="4"/>
                    <w:right w:val="single" w:color="000000" w:sz="4"/>
                  </w:tcBorders>
                </w:tcPr>
                <w:p/>
              </w:tc>
              <w:tc>
                <w:tcPr>
                  <w:tcW w:type="dxa" w:w="438"/>
                  <w:vMerge/>
                  <w:tcBorders>
                    <w:top w:val="none" w:color="000000" w:sz="4"/>
                    <w:left w:val="none" w:color="000000" w:sz="4"/>
                    <w:bottom w:val="none" w:color="000000" w:sz="4"/>
                    <w:right w:val="single" w:color="000000" w:sz="4"/>
                  </w:tcBorders>
                </w:tcPr>
                <w:p/>
              </w:tc>
              <w:tc>
                <w:tcPr>
                  <w:tcW w:type="dxa" w:w="179"/>
                  <w:vMerge/>
                  <w:tcBorders>
                    <w:top w:val="none" w:color="000000" w:sz="4"/>
                    <w:left w:val="none" w:color="000000" w:sz="4"/>
                    <w:bottom w:val="single" w:color="000000" w:sz="4"/>
                    <w:right w:val="single" w:color="000000" w:sz="4"/>
                  </w:tcBorders>
                </w:tcPr>
                <w:p/>
              </w:tc>
              <w:tc>
                <w:tcPr>
                  <w:tcW w:type="dxa" w:w="344"/>
                  <w:vMerge/>
                  <w:tcBorders>
                    <w:top w:val="none" w:color="000000" w:sz="4"/>
                    <w:left w:val="none" w:color="000000" w:sz="4"/>
                    <w:bottom w:val="single" w:color="000000" w:sz="4"/>
                    <w:right w:val="single" w:color="000000" w:sz="4"/>
                  </w:tcBorders>
                </w:tcPr>
                <w:p/>
              </w:tc>
              <w:tc>
                <w:tcPr>
                  <w:tcW w:type="dxa" w:w="1570"/>
                  <w:tcBorders>
                    <w:top w:val="none" w:color="000000" w:sz="4"/>
                    <w:left w:val="none" w:color="000000" w:sz="4"/>
                    <w:bottom w:val="single" w:color="000000" w:sz="4"/>
                    <w:right w:val="single" w:color="000000" w:sz="4"/>
                  </w:tcBorders>
                  <w:vAlign w:val="top"/>
                </w:tcPr>
                <w:p>
                  <w:pPr>
                    <w:ind w:firstLine="420"/>
                    <w:jc w:val="both"/>
                  </w:pPr>
                  <w:r>
                    <w:rPr>
                      <w:color w:val="000000"/>
                      <w:sz w:val="21"/>
                    </w:rPr>
                    <w:t>2、漂浮物等清理后要放在甲方指定位置，</w:t>
                  </w:r>
                  <w:r>
                    <w:rPr>
                      <w:color w:val="000000"/>
                      <w:sz w:val="21"/>
                    </w:rPr>
                    <w:t>并做好围蔽标识措施，两</w:t>
                  </w:r>
                  <w:r>
                    <w:rPr>
                      <w:color w:val="000000"/>
                      <w:sz w:val="21"/>
                    </w:rPr>
                    <w:t>天内必须清走。</w:t>
                  </w:r>
                </w:p>
                <w:p/>
              </w:tc>
              <w:tc>
                <w:tcPr>
                  <w:tcW w:type="dxa" w:w="1485"/>
                  <w:tcBorders>
                    <w:top w:val="none" w:color="000000" w:sz="4"/>
                    <w:left w:val="none" w:color="000000" w:sz="4"/>
                    <w:bottom w:val="single" w:color="000000" w:sz="4"/>
                    <w:right w:val="single" w:color="000000" w:sz="4"/>
                  </w:tcBorders>
                  <w:vAlign w:val="top"/>
                </w:tcPr>
                <w:p>
                  <w:r>
                    <w:rPr>
                      <w:color w:val="000000"/>
                      <w:sz w:val="21"/>
                    </w:rPr>
                    <w:t>2、未按要求及时清理的，发现一次扣0.5分，扣完为止。</w:t>
                  </w:r>
                </w:p>
              </w:tc>
              <w:tc>
                <w:tcPr>
                  <w:tcW w:type="dxa" w:w="399"/>
                  <w:tcBorders>
                    <w:top w:val="none" w:color="000000" w:sz="4"/>
                    <w:left w:val="none" w:color="000000" w:sz="4"/>
                    <w:bottom w:val="single" w:color="000000" w:sz="4"/>
                    <w:right w:val="single" w:color="000000" w:sz="4"/>
                  </w:tcBorders>
                  <w:vAlign w:val="top"/>
                </w:tcPr>
                <w:p>
                  <w:pPr>
                    <w:jc w:val="center"/>
                  </w:pPr>
                  <w:r>
                    <w:rPr>
                      <w:color w:val="000000"/>
                      <w:sz w:val="21"/>
                    </w:rPr>
                    <w:t>10</w:t>
                  </w:r>
                </w:p>
              </w:tc>
              <w:tc>
                <w:tcPr>
                  <w:tcW w:type="dxa" w:w="401"/>
                  <w:tcBorders>
                    <w:top w:val="none" w:color="000000" w:sz="4"/>
                    <w:left w:val="none" w:color="000000" w:sz="4"/>
                    <w:bottom w:val="single" w:color="000000" w:sz="4"/>
                    <w:right w:val="single" w:color="000000" w:sz="4"/>
                  </w:tcBorders>
                  <w:vAlign w:val="top"/>
                </w:tcPr>
                <w:p>
                  <w:pPr>
                    <w:jc w:val="center"/>
                  </w:pPr>
                </w:p>
              </w:tc>
              <w:tc>
                <w:tcPr>
                  <w:tcW w:type="dxa" w:w="443"/>
                  <w:gridSpan w:val="2"/>
                  <w:tcBorders>
                    <w:top w:val="none" w:color="000000" w:sz="4"/>
                    <w:left w:val="none" w:color="000000" w:sz="4"/>
                    <w:bottom w:val="single" w:color="000000" w:sz="4"/>
                    <w:right w:val="single" w:color="000000" w:sz="4"/>
                  </w:tcBorders>
                  <w:vAlign w:val="top"/>
                </w:tcPr>
                <w:p>
                  <w:pPr>
                    <w:jc w:val="center"/>
                  </w:pPr>
                </w:p>
              </w:tc>
            </w:tr>
            <w:tr>
              <w:tc>
                <w:tcPr>
                  <w:tcW w:type="dxa" w:w="338"/>
                  <w:vMerge/>
                  <w:tcBorders>
                    <w:top w:val="none" w:color="000000" w:sz="4"/>
                    <w:left w:val="single" w:color="000000" w:sz="4"/>
                    <w:bottom w:val="none" w:color="000000" w:sz="4"/>
                    <w:right w:val="single" w:color="000000" w:sz="4"/>
                  </w:tcBorders>
                </w:tcPr>
                <w:p/>
              </w:tc>
              <w:tc>
                <w:tcPr>
                  <w:tcW w:type="dxa" w:w="438"/>
                  <w:vMerge/>
                  <w:tcBorders>
                    <w:top w:val="none" w:color="000000" w:sz="4"/>
                    <w:left w:val="none" w:color="000000" w:sz="4"/>
                    <w:bottom w:val="none" w:color="000000" w:sz="4"/>
                    <w:right w:val="single" w:color="000000" w:sz="4"/>
                  </w:tcBorders>
                </w:tcPr>
                <w:p/>
              </w:tc>
              <w:tc>
                <w:tcPr>
                  <w:tcW w:type="dxa" w:w="523"/>
                  <w:gridSpan w:val="2"/>
                  <w:tcBorders>
                    <w:top w:val="none" w:color="000000" w:sz="4"/>
                    <w:left w:val="none" w:color="000000" w:sz="4"/>
                    <w:bottom w:val="single" w:color="000000" w:sz="4"/>
                    <w:right w:val="single" w:color="000000" w:sz="4"/>
                  </w:tcBorders>
                  <w:vAlign w:val="top"/>
                </w:tcPr>
                <w:p>
                  <w:pPr>
                    <w:jc w:val="center"/>
                  </w:pPr>
                  <w:r>
                    <w:rPr>
                      <w:color w:val="000000"/>
                      <w:sz w:val="21"/>
                    </w:rPr>
                    <w:t>杂草处理</w:t>
                  </w:r>
                </w:p>
              </w:tc>
              <w:tc>
                <w:tcPr>
                  <w:tcW w:type="dxa" w:w="1570"/>
                  <w:tcBorders>
                    <w:top w:val="none" w:color="000000" w:sz="4"/>
                    <w:left w:val="none" w:color="000000" w:sz="4"/>
                    <w:bottom w:val="single" w:color="000000" w:sz="4"/>
                    <w:right w:val="single" w:color="000000" w:sz="4"/>
                  </w:tcBorders>
                  <w:vAlign w:val="top"/>
                </w:tcPr>
                <w:p>
                  <w:r>
                    <w:rPr>
                      <w:color w:val="000000"/>
                      <w:sz w:val="21"/>
                    </w:rPr>
                    <w:t>渠道两岸堤迎水波至堤顶及堤顶范围内杂要修剪</w:t>
                  </w:r>
                  <w:r>
                    <w:rPr>
                      <w:color w:val="000000"/>
                      <w:sz w:val="21"/>
                    </w:rPr>
                    <w:t>（需与绿化运维单位协商确认后开展）</w:t>
                  </w:r>
                  <w:r>
                    <w:rPr>
                      <w:color w:val="000000"/>
                      <w:sz w:val="21"/>
                    </w:rPr>
                    <w:t>。</w:t>
                  </w:r>
                </w:p>
              </w:tc>
              <w:tc>
                <w:tcPr>
                  <w:tcW w:type="dxa" w:w="1485"/>
                  <w:tcBorders>
                    <w:top w:val="none" w:color="000000" w:sz="4"/>
                    <w:left w:val="none" w:color="000000" w:sz="4"/>
                    <w:bottom w:val="single" w:color="000000" w:sz="4"/>
                    <w:right w:val="single" w:color="000000" w:sz="4"/>
                  </w:tcBorders>
                  <w:vAlign w:val="top"/>
                </w:tcPr>
                <w:p>
                  <w:r>
                    <w:rPr>
                      <w:color w:val="000000"/>
                      <w:sz w:val="21"/>
                    </w:rPr>
                    <w:t>1、未按要求的，每次扣1分，扣完为止；</w:t>
                  </w:r>
                </w:p>
              </w:tc>
              <w:tc>
                <w:tcPr>
                  <w:tcW w:type="dxa" w:w="399"/>
                  <w:tcBorders>
                    <w:top w:val="none" w:color="000000" w:sz="4"/>
                    <w:left w:val="none" w:color="000000" w:sz="4"/>
                    <w:bottom w:val="single" w:color="000000" w:sz="4"/>
                    <w:right w:val="single" w:color="000000" w:sz="4"/>
                  </w:tcBorders>
                  <w:vAlign w:val="top"/>
                </w:tcPr>
                <w:p>
                  <w:pPr>
                    <w:jc w:val="center"/>
                  </w:pPr>
                  <w:r>
                    <w:rPr>
                      <w:color w:val="000000"/>
                      <w:sz w:val="21"/>
                    </w:rPr>
                    <w:t>9</w:t>
                  </w:r>
                </w:p>
              </w:tc>
              <w:tc>
                <w:tcPr>
                  <w:tcW w:type="dxa" w:w="401"/>
                  <w:tcBorders>
                    <w:top w:val="none" w:color="000000" w:sz="4"/>
                    <w:left w:val="none" w:color="000000" w:sz="4"/>
                    <w:bottom w:val="single" w:color="000000" w:sz="4"/>
                    <w:right w:val="single" w:color="000000" w:sz="4"/>
                  </w:tcBorders>
                  <w:vAlign w:val="top"/>
                </w:tcPr>
                <w:p>
                  <w:pPr>
                    <w:jc w:val="center"/>
                  </w:pPr>
                </w:p>
              </w:tc>
              <w:tc>
                <w:tcPr>
                  <w:tcW w:type="dxa" w:w="443"/>
                  <w:gridSpan w:val="2"/>
                  <w:tcBorders>
                    <w:top w:val="none" w:color="000000" w:sz="4"/>
                    <w:left w:val="none" w:color="000000" w:sz="4"/>
                    <w:bottom w:val="single" w:color="000000" w:sz="4"/>
                    <w:right w:val="single" w:color="000000" w:sz="4"/>
                  </w:tcBorders>
                  <w:vAlign w:val="top"/>
                </w:tcPr>
                <w:p>
                  <w:pPr>
                    <w:jc w:val="center"/>
                  </w:pPr>
                </w:p>
              </w:tc>
            </w:tr>
            <w:tr>
              <w:tc>
                <w:tcPr>
                  <w:tcW w:type="dxa" w:w="338"/>
                  <w:vMerge/>
                  <w:tcBorders>
                    <w:top w:val="none" w:color="000000" w:sz="4"/>
                    <w:left w:val="single" w:color="000000" w:sz="4"/>
                    <w:bottom w:val="none" w:color="000000" w:sz="4"/>
                    <w:right w:val="single" w:color="000000" w:sz="4"/>
                  </w:tcBorders>
                </w:tcPr>
                <w:p/>
              </w:tc>
              <w:tc>
                <w:tcPr>
                  <w:tcW w:type="dxa" w:w="438"/>
                  <w:vMerge/>
                  <w:tcBorders>
                    <w:top w:val="none" w:color="000000" w:sz="4"/>
                    <w:left w:val="none" w:color="000000" w:sz="4"/>
                    <w:bottom w:val="none" w:color="000000" w:sz="4"/>
                    <w:right w:val="single" w:color="000000" w:sz="4"/>
                  </w:tcBorders>
                </w:tcPr>
                <w:p/>
              </w:tc>
              <w:tc>
                <w:tcPr>
                  <w:tcW w:type="dxa" w:w="523"/>
                  <w:gridSpan w:val="2"/>
                  <w:tcBorders>
                    <w:top w:val="none" w:color="000000" w:sz="4"/>
                    <w:left w:val="none" w:color="000000" w:sz="4"/>
                    <w:bottom w:val="single" w:color="000000" w:sz="4"/>
                    <w:right w:val="single" w:color="000000" w:sz="4"/>
                  </w:tcBorders>
                  <w:vAlign w:val="top"/>
                </w:tcPr>
                <w:p>
                  <w:pPr>
                    <w:jc w:val="center"/>
                  </w:pPr>
                  <w:r>
                    <w:rPr>
                      <w:color w:val="000000"/>
                      <w:sz w:val="21"/>
                    </w:rPr>
                    <w:t>保洁要求</w:t>
                  </w:r>
                </w:p>
              </w:tc>
              <w:tc>
                <w:tcPr>
                  <w:tcW w:type="dxa" w:w="1570"/>
                  <w:tcBorders>
                    <w:top w:val="none" w:color="000000" w:sz="4"/>
                    <w:left w:val="none" w:color="000000" w:sz="4"/>
                    <w:bottom w:val="single" w:color="000000" w:sz="4"/>
                    <w:right w:val="single" w:color="000000" w:sz="4"/>
                  </w:tcBorders>
                  <w:vAlign w:val="top"/>
                </w:tcPr>
                <w:p>
                  <w:r>
                    <w:rPr>
                      <w:color w:val="000000"/>
                      <w:sz w:val="21"/>
                    </w:rPr>
                    <w:t>每周至少清理各河涌</w:t>
                  </w:r>
                  <w:r>
                    <w:rPr>
                      <w:color w:val="000000"/>
                      <w:sz w:val="21"/>
                    </w:rPr>
                    <w:t>3</w:t>
                  </w:r>
                  <w:r>
                    <w:rPr>
                      <w:color w:val="000000"/>
                      <w:sz w:val="21"/>
                    </w:rPr>
                    <w:t>次，每天不少于</w:t>
                  </w:r>
                  <w:r>
                    <w:rPr>
                      <w:color w:val="000000"/>
                      <w:sz w:val="21"/>
                    </w:rPr>
                    <w:t>8小时保洁及不少于</w:t>
                  </w:r>
                  <w:r>
                    <w:rPr>
                      <w:color w:val="000000"/>
                      <w:sz w:val="21"/>
                    </w:rPr>
                    <w:t>3</w:t>
                  </w:r>
                  <w:r>
                    <w:rPr>
                      <w:color w:val="000000"/>
                      <w:sz w:val="21"/>
                    </w:rPr>
                    <w:t>次巡查，发现问题的要</w:t>
                  </w:r>
                  <w:r>
                    <w:rPr>
                      <w:color w:val="000000"/>
                      <w:sz w:val="21"/>
                    </w:rPr>
                    <w:t>一</w:t>
                  </w:r>
                  <w:r>
                    <w:rPr>
                      <w:color w:val="000000"/>
                      <w:sz w:val="21"/>
                    </w:rPr>
                    <w:t>天内处理完毕</w:t>
                  </w:r>
                </w:p>
              </w:tc>
              <w:tc>
                <w:tcPr>
                  <w:tcW w:type="dxa" w:w="1485"/>
                  <w:tcBorders>
                    <w:top w:val="none" w:color="000000" w:sz="4"/>
                    <w:left w:val="none" w:color="000000" w:sz="4"/>
                    <w:bottom w:val="single" w:color="000000" w:sz="4"/>
                    <w:right w:val="single" w:color="000000" w:sz="4"/>
                  </w:tcBorders>
                  <w:vAlign w:val="top"/>
                </w:tcPr>
                <w:p>
                  <w:r>
                    <w:rPr>
                      <w:color w:val="000000"/>
                      <w:sz w:val="21"/>
                    </w:rPr>
                    <w:t>1、未按要求清理或巡查的，每次扣0.5分，扣完为止。</w:t>
                  </w:r>
                </w:p>
              </w:tc>
              <w:tc>
                <w:tcPr>
                  <w:tcW w:type="dxa" w:w="399"/>
                  <w:tcBorders>
                    <w:top w:val="none" w:color="000000" w:sz="4"/>
                    <w:left w:val="none" w:color="000000" w:sz="4"/>
                    <w:bottom w:val="single" w:color="000000" w:sz="4"/>
                    <w:right w:val="single" w:color="000000" w:sz="4"/>
                  </w:tcBorders>
                  <w:vAlign w:val="top"/>
                </w:tcPr>
                <w:p>
                  <w:pPr>
                    <w:jc w:val="center"/>
                  </w:pPr>
                  <w:r>
                    <w:rPr>
                      <w:color w:val="000000"/>
                      <w:sz w:val="21"/>
                    </w:rPr>
                    <w:t>10</w:t>
                  </w:r>
                </w:p>
              </w:tc>
              <w:tc>
                <w:tcPr>
                  <w:tcW w:type="dxa" w:w="401"/>
                  <w:tcBorders>
                    <w:top w:val="none" w:color="000000" w:sz="4"/>
                    <w:left w:val="none" w:color="000000" w:sz="4"/>
                    <w:bottom w:val="single" w:color="000000" w:sz="4"/>
                    <w:right w:val="single" w:color="000000" w:sz="4"/>
                  </w:tcBorders>
                  <w:vAlign w:val="top"/>
                </w:tcPr>
                <w:p>
                  <w:pPr>
                    <w:jc w:val="center"/>
                  </w:pPr>
                </w:p>
              </w:tc>
              <w:tc>
                <w:tcPr>
                  <w:tcW w:type="dxa" w:w="443"/>
                  <w:gridSpan w:val="2"/>
                  <w:tcBorders>
                    <w:top w:val="none" w:color="000000" w:sz="4"/>
                    <w:left w:val="none" w:color="000000" w:sz="4"/>
                    <w:bottom w:val="single" w:color="000000" w:sz="4"/>
                    <w:right w:val="single" w:color="000000" w:sz="4"/>
                  </w:tcBorders>
                  <w:vAlign w:val="top"/>
                </w:tcPr>
                <w:p>
                  <w:pPr>
                    <w:jc w:val="center"/>
                  </w:pPr>
                </w:p>
              </w:tc>
            </w:tr>
            <w:tr>
              <w:tc>
                <w:tcPr>
                  <w:tcW w:type="dxa" w:w="338"/>
                  <w:vMerge/>
                  <w:tcBorders>
                    <w:top w:val="none" w:color="000000" w:sz="4"/>
                    <w:left w:val="single" w:color="000000" w:sz="4"/>
                    <w:bottom w:val="none" w:color="000000" w:sz="4"/>
                    <w:right w:val="single" w:color="000000" w:sz="4"/>
                  </w:tcBorders>
                </w:tcPr>
                <w:p/>
              </w:tc>
              <w:tc>
                <w:tcPr>
                  <w:tcW w:type="dxa" w:w="438"/>
                  <w:vMerge/>
                  <w:tcBorders>
                    <w:top w:val="none" w:color="000000" w:sz="4"/>
                    <w:left w:val="none" w:color="000000" w:sz="4"/>
                    <w:bottom w:val="none" w:color="000000" w:sz="4"/>
                    <w:right w:val="single" w:color="000000" w:sz="4"/>
                  </w:tcBorders>
                </w:tcPr>
                <w:p/>
              </w:tc>
              <w:tc>
                <w:tcPr>
                  <w:tcW w:type="dxa" w:w="523"/>
                  <w:gridSpan w:val="2"/>
                  <w:vMerge w:val="restart"/>
                  <w:tcBorders>
                    <w:top w:val="none" w:color="000000" w:sz="4"/>
                    <w:left w:val="none" w:color="000000" w:sz="4"/>
                    <w:bottom w:val="single" w:color="000000" w:sz="4"/>
                    <w:right w:val="single" w:color="000000" w:sz="4"/>
                  </w:tcBorders>
                  <w:vAlign w:val="top"/>
                </w:tcPr>
                <w:p>
                  <w:pPr>
                    <w:jc w:val="center"/>
                  </w:pPr>
                  <w:r>
                    <w:rPr>
                      <w:color w:val="000000"/>
                      <w:sz w:val="21"/>
                    </w:rPr>
                    <w:t>人员要求</w:t>
                  </w:r>
                </w:p>
              </w:tc>
              <w:tc>
                <w:tcPr>
                  <w:tcW w:type="dxa" w:w="1570"/>
                  <w:tcBorders>
                    <w:top w:val="none" w:color="000000" w:sz="4"/>
                    <w:left w:val="none" w:color="000000" w:sz="4"/>
                    <w:bottom w:val="single" w:color="000000" w:sz="4"/>
                    <w:right w:val="single" w:color="000000" w:sz="4"/>
                  </w:tcBorders>
                  <w:vAlign w:val="top"/>
                </w:tcPr>
                <w:p>
                  <w:r>
                    <w:rPr>
                      <w:color w:val="000000"/>
                      <w:sz w:val="21"/>
                    </w:rPr>
                    <w:t>1、上岗按规定着标志服上岗；</w:t>
                  </w:r>
                </w:p>
              </w:tc>
              <w:tc>
                <w:tcPr>
                  <w:tcW w:type="dxa" w:w="1485"/>
                  <w:tcBorders>
                    <w:top w:val="none" w:color="000000" w:sz="4"/>
                    <w:left w:val="none" w:color="000000" w:sz="4"/>
                    <w:bottom w:val="single" w:color="000000" w:sz="4"/>
                    <w:right w:val="single" w:color="000000" w:sz="4"/>
                  </w:tcBorders>
                  <w:vAlign w:val="top"/>
                </w:tcPr>
                <w:p>
                  <w:r>
                    <w:rPr>
                      <w:color w:val="000000"/>
                      <w:sz w:val="21"/>
                    </w:rPr>
                    <w:t>1、发现未着标志服上岗的，每人每次扣0.5分，扣完为止；</w:t>
                  </w:r>
                </w:p>
              </w:tc>
              <w:tc>
                <w:tcPr>
                  <w:tcW w:type="dxa" w:w="399"/>
                  <w:tcBorders>
                    <w:top w:val="none" w:color="000000" w:sz="4"/>
                    <w:left w:val="none" w:color="000000" w:sz="4"/>
                    <w:bottom w:val="single" w:color="000000" w:sz="4"/>
                    <w:right w:val="single" w:color="000000" w:sz="4"/>
                  </w:tcBorders>
                  <w:vAlign w:val="top"/>
                </w:tcPr>
                <w:p>
                  <w:pPr>
                    <w:jc w:val="center"/>
                  </w:pPr>
                  <w:r>
                    <w:rPr>
                      <w:color w:val="000000"/>
                      <w:sz w:val="21"/>
                    </w:rPr>
                    <w:t>5</w:t>
                  </w:r>
                </w:p>
              </w:tc>
              <w:tc>
                <w:tcPr>
                  <w:tcW w:type="dxa" w:w="401"/>
                  <w:tcBorders>
                    <w:top w:val="none" w:color="000000" w:sz="4"/>
                    <w:left w:val="none" w:color="000000" w:sz="4"/>
                    <w:bottom w:val="single" w:color="000000" w:sz="4"/>
                    <w:right w:val="single" w:color="000000" w:sz="4"/>
                  </w:tcBorders>
                  <w:vAlign w:val="top"/>
                </w:tcPr>
                <w:p>
                  <w:pPr>
                    <w:jc w:val="center"/>
                  </w:pPr>
                </w:p>
              </w:tc>
              <w:tc>
                <w:tcPr>
                  <w:tcW w:type="dxa" w:w="443"/>
                  <w:gridSpan w:val="2"/>
                  <w:tcBorders>
                    <w:top w:val="none" w:color="000000" w:sz="4"/>
                    <w:left w:val="none" w:color="000000" w:sz="4"/>
                    <w:bottom w:val="single" w:color="000000" w:sz="4"/>
                    <w:right w:val="single" w:color="000000" w:sz="4"/>
                  </w:tcBorders>
                  <w:vAlign w:val="top"/>
                </w:tcPr>
                <w:p>
                  <w:pPr>
                    <w:jc w:val="center"/>
                  </w:pPr>
                </w:p>
              </w:tc>
            </w:tr>
            <w:tr>
              <w:tc>
                <w:tcPr>
                  <w:tcW w:type="dxa" w:w="338"/>
                  <w:vMerge/>
                  <w:tcBorders>
                    <w:top w:val="none" w:color="000000" w:sz="4"/>
                    <w:left w:val="single" w:color="000000" w:sz="4"/>
                    <w:bottom w:val="none" w:color="000000" w:sz="4"/>
                    <w:right w:val="single" w:color="000000" w:sz="4"/>
                  </w:tcBorders>
                </w:tcPr>
                <w:p/>
              </w:tc>
              <w:tc>
                <w:tcPr>
                  <w:tcW w:type="dxa" w:w="438"/>
                  <w:vMerge/>
                  <w:tcBorders>
                    <w:top w:val="none" w:color="000000" w:sz="4"/>
                    <w:left w:val="none" w:color="000000" w:sz="4"/>
                    <w:bottom w:val="none" w:color="000000" w:sz="4"/>
                    <w:right w:val="single" w:color="000000" w:sz="4"/>
                  </w:tcBorders>
                </w:tcPr>
                <w:p/>
              </w:tc>
              <w:tc>
                <w:tcPr>
                  <w:tcW w:type="dxa" w:w="523"/>
                  <w:gridSpan w:val="2"/>
                  <w:vMerge/>
                  <w:tcBorders>
                    <w:top w:val="none" w:color="000000" w:sz="4"/>
                    <w:left w:val="none" w:color="000000" w:sz="4"/>
                    <w:bottom w:val="single" w:color="000000" w:sz="4"/>
                    <w:right w:val="single" w:color="000000" w:sz="4"/>
                  </w:tcBorders>
                </w:tcPr>
                <w:p/>
              </w:tc>
              <w:tc>
                <w:tcPr>
                  <w:tcW w:type="dxa" w:w="1570"/>
                  <w:tcBorders>
                    <w:top w:val="none" w:color="000000" w:sz="4"/>
                    <w:left w:val="none" w:color="000000" w:sz="4"/>
                    <w:bottom w:val="single" w:color="000000" w:sz="4"/>
                    <w:right w:val="single" w:color="000000" w:sz="4"/>
                  </w:tcBorders>
                  <w:vAlign w:val="top"/>
                </w:tcPr>
                <w:p>
                  <w:r>
                    <w:rPr>
                      <w:color w:val="000000"/>
                      <w:sz w:val="21"/>
                    </w:rPr>
                    <w:t>2、按要求数量聘请足额作业人员；排涝期间，每个排站需要安排2个人负责清理杂物。</w:t>
                  </w:r>
                </w:p>
              </w:tc>
              <w:tc>
                <w:tcPr>
                  <w:tcW w:type="dxa" w:w="1485"/>
                  <w:tcBorders>
                    <w:top w:val="none" w:color="000000" w:sz="4"/>
                    <w:left w:val="none" w:color="000000" w:sz="4"/>
                    <w:bottom w:val="single" w:color="000000" w:sz="4"/>
                    <w:right w:val="single" w:color="000000" w:sz="4"/>
                  </w:tcBorders>
                  <w:vAlign w:val="top"/>
                </w:tcPr>
                <w:p>
                  <w:r>
                    <w:rPr>
                      <w:color w:val="000000"/>
                      <w:sz w:val="21"/>
                    </w:rPr>
                    <w:t>2、未按要求的，每少一人扣</w:t>
                  </w:r>
                  <w:r>
                    <w:rPr>
                      <w:color w:val="000000"/>
                      <w:sz w:val="21"/>
                    </w:rPr>
                    <w:t>1.0</w:t>
                  </w:r>
                  <w:r>
                    <w:rPr>
                      <w:color w:val="000000"/>
                      <w:sz w:val="21"/>
                    </w:rPr>
                    <w:t>分，扣完为止。</w:t>
                  </w:r>
                </w:p>
              </w:tc>
              <w:tc>
                <w:tcPr>
                  <w:tcW w:type="dxa" w:w="399"/>
                  <w:tcBorders>
                    <w:top w:val="none" w:color="000000" w:sz="4"/>
                    <w:left w:val="none" w:color="000000" w:sz="4"/>
                    <w:bottom w:val="single" w:color="000000" w:sz="4"/>
                    <w:right w:val="single" w:color="000000" w:sz="4"/>
                  </w:tcBorders>
                  <w:vAlign w:val="top"/>
                </w:tcPr>
                <w:p>
                  <w:pPr>
                    <w:jc w:val="center"/>
                  </w:pPr>
                  <w:r>
                    <w:rPr>
                      <w:color w:val="000000"/>
                      <w:sz w:val="21"/>
                    </w:rPr>
                    <w:t>10</w:t>
                  </w:r>
                </w:p>
              </w:tc>
              <w:tc>
                <w:tcPr>
                  <w:tcW w:type="dxa" w:w="401"/>
                  <w:tcBorders>
                    <w:top w:val="none" w:color="000000" w:sz="4"/>
                    <w:left w:val="none" w:color="000000" w:sz="4"/>
                    <w:bottom w:val="single" w:color="000000" w:sz="4"/>
                    <w:right w:val="single" w:color="000000" w:sz="4"/>
                  </w:tcBorders>
                  <w:vAlign w:val="top"/>
                </w:tcPr>
                <w:p>
                  <w:pPr>
                    <w:jc w:val="center"/>
                  </w:pPr>
                </w:p>
              </w:tc>
              <w:tc>
                <w:tcPr>
                  <w:tcW w:type="dxa" w:w="443"/>
                  <w:gridSpan w:val="2"/>
                  <w:tcBorders>
                    <w:top w:val="none" w:color="000000" w:sz="4"/>
                    <w:left w:val="none" w:color="000000" w:sz="4"/>
                    <w:bottom w:val="single" w:color="000000" w:sz="4"/>
                    <w:right w:val="single" w:color="000000" w:sz="4"/>
                  </w:tcBorders>
                  <w:vAlign w:val="top"/>
                </w:tcPr>
                <w:p>
                  <w:pPr>
                    <w:jc w:val="center"/>
                  </w:pPr>
                </w:p>
              </w:tc>
            </w:tr>
            <w:tr>
              <w:tc>
                <w:tcPr>
                  <w:tcW w:type="dxa" w:w="338"/>
                  <w:vMerge/>
                  <w:tcBorders>
                    <w:top w:val="none" w:color="000000" w:sz="4"/>
                    <w:left w:val="single" w:color="000000" w:sz="4"/>
                    <w:bottom w:val="none" w:color="000000" w:sz="4"/>
                    <w:right w:val="single" w:color="000000" w:sz="4"/>
                  </w:tcBorders>
                </w:tcPr>
                <w:p/>
              </w:tc>
              <w:tc>
                <w:tcPr>
                  <w:tcW w:type="dxa" w:w="438"/>
                  <w:vMerge/>
                  <w:tcBorders>
                    <w:top w:val="none" w:color="000000" w:sz="4"/>
                    <w:left w:val="none" w:color="000000" w:sz="4"/>
                    <w:bottom w:val="none" w:color="000000" w:sz="4"/>
                    <w:right w:val="single" w:color="000000" w:sz="4"/>
                  </w:tcBorders>
                </w:tcPr>
                <w:p/>
              </w:tc>
              <w:tc>
                <w:tcPr>
                  <w:tcW w:type="dxa" w:w="523"/>
                  <w:gridSpan w:val="2"/>
                  <w:vMerge/>
                  <w:tcBorders>
                    <w:top w:val="none" w:color="000000" w:sz="4"/>
                    <w:left w:val="none" w:color="000000" w:sz="4"/>
                    <w:bottom w:val="single" w:color="000000" w:sz="4"/>
                    <w:right w:val="single" w:color="000000" w:sz="4"/>
                  </w:tcBorders>
                </w:tcPr>
                <w:p/>
              </w:tc>
              <w:tc>
                <w:tcPr>
                  <w:tcW w:type="dxa" w:w="1570"/>
                  <w:tcBorders>
                    <w:top w:val="none" w:color="000000" w:sz="4"/>
                    <w:left w:val="none" w:color="000000" w:sz="4"/>
                    <w:bottom w:val="single" w:color="000000" w:sz="4"/>
                    <w:right w:val="single" w:color="000000" w:sz="4"/>
                  </w:tcBorders>
                  <w:vAlign w:val="top"/>
                </w:tcPr>
                <w:p>
                  <w:r>
                    <w:rPr>
                      <w:color w:val="000000"/>
                      <w:sz w:val="21"/>
                    </w:rPr>
                    <w:t>3、在下大雨时，必须有工作人员巡查河涌排水情况，在</w:t>
                  </w:r>
                  <w:r>
                    <w:rPr>
                      <w:color w:val="000000"/>
                      <w:sz w:val="21"/>
                    </w:rPr>
                    <w:t>垃圾阻碍河涌行洪</w:t>
                  </w:r>
                  <w:r>
                    <w:rPr>
                      <w:color w:val="000000"/>
                      <w:sz w:val="21"/>
                    </w:rPr>
                    <w:t>严重的</w:t>
                  </w:r>
                  <w:r>
                    <w:rPr>
                      <w:color w:val="000000"/>
                      <w:sz w:val="21"/>
                    </w:rPr>
                    <w:t>位置</w:t>
                  </w:r>
                  <w:r>
                    <w:rPr>
                      <w:color w:val="000000"/>
                      <w:sz w:val="21"/>
                    </w:rPr>
                    <w:t>有专职人员负责清理，防止堵塞。</w:t>
                  </w:r>
                </w:p>
              </w:tc>
              <w:tc>
                <w:tcPr>
                  <w:tcW w:type="dxa" w:w="1485"/>
                  <w:tcBorders>
                    <w:top w:val="none" w:color="000000" w:sz="4"/>
                    <w:left w:val="none" w:color="000000" w:sz="4"/>
                    <w:bottom w:val="single" w:color="000000" w:sz="4"/>
                    <w:right w:val="single" w:color="000000" w:sz="4"/>
                  </w:tcBorders>
                  <w:vAlign w:val="top"/>
                </w:tcPr>
                <w:p>
                  <w:r>
                    <w:rPr>
                      <w:color w:val="000000"/>
                      <w:sz w:val="21"/>
                    </w:rPr>
                    <w:t>2、未按要求清理的，每次每个扣0.25分，扣完为止。</w:t>
                  </w:r>
                </w:p>
              </w:tc>
              <w:tc>
                <w:tcPr>
                  <w:tcW w:type="dxa" w:w="399"/>
                  <w:tcBorders>
                    <w:top w:val="none" w:color="000000" w:sz="4"/>
                    <w:left w:val="none" w:color="000000" w:sz="4"/>
                    <w:bottom w:val="single" w:color="000000" w:sz="4"/>
                    <w:right w:val="single" w:color="000000" w:sz="4"/>
                  </w:tcBorders>
                  <w:vAlign w:val="top"/>
                </w:tcPr>
                <w:p>
                  <w:pPr>
                    <w:jc w:val="center"/>
                  </w:pPr>
                  <w:r>
                    <w:rPr>
                      <w:color w:val="000000"/>
                      <w:sz w:val="21"/>
                    </w:rPr>
                    <w:t>5</w:t>
                  </w:r>
                </w:p>
              </w:tc>
              <w:tc>
                <w:tcPr>
                  <w:tcW w:type="dxa" w:w="401"/>
                  <w:tcBorders>
                    <w:top w:val="none" w:color="000000" w:sz="4"/>
                    <w:left w:val="none" w:color="000000" w:sz="4"/>
                    <w:bottom w:val="single" w:color="000000" w:sz="4"/>
                    <w:right w:val="single" w:color="000000" w:sz="4"/>
                  </w:tcBorders>
                  <w:vAlign w:val="top"/>
                </w:tcPr>
                <w:p>
                  <w:pPr>
                    <w:jc w:val="center"/>
                  </w:pPr>
                </w:p>
              </w:tc>
              <w:tc>
                <w:tcPr>
                  <w:tcW w:type="dxa" w:w="443"/>
                  <w:gridSpan w:val="2"/>
                  <w:tcBorders>
                    <w:top w:val="none" w:color="000000" w:sz="4"/>
                    <w:left w:val="none" w:color="000000" w:sz="4"/>
                    <w:bottom w:val="single" w:color="000000" w:sz="4"/>
                    <w:right w:val="single" w:color="000000" w:sz="4"/>
                  </w:tcBorders>
                  <w:vAlign w:val="top"/>
                </w:tcPr>
                <w:p>
                  <w:pPr>
                    <w:jc w:val="center"/>
                  </w:pPr>
                </w:p>
              </w:tc>
            </w:tr>
            <w:tr>
              <w:tc>
                <w:tcPr>
                  <w:tcW w:type="dxa" w:w="338"/>
                  <w:vMerge/>
                  <w:tcBorders>
                    <w:top w:val="none" w:color="000000" w:sz="4"/>
                    <w:left w:val="single" w:color="000000" w:sz="4"/>
                    <w:bottom w:val="none" w:color="000000" w:sz="4"/>
                    <w:right w:val="single" w:color="000000" w:sz="4"/>
                  </w:tcBorders>
                </w:tcPr>
                <w:p/>
              </w:tc>
              <w:tc>
                <w:tcPr>
                  <w:tcW w:type="dxa" w:w="438"/>
                  <w:vMerge/>
                  <w:tcBorders>
                    <w:top w:val="none" w:color="000000" w:sz="4"/>
                    <w:left w:val="none" w:color="000000" w:sz="4"/>
                    <w:bottom w:val="none" w:color="000000" w:sz="4"/>
                    <w:right w:val="single" w:color="000000" w:sz="4"/>
                  </w:tcBorders>
                </w:tcPr>
                <w:p/>
              </w:tc>
              <w:tc>
                <w:tcPr>
                  <w:tcW w:type="dxa" w:w="523"/>
                  <w:gridSpan w:val="2"/>
                  <w:vMerge w:val="restart"/>
                  <w:tcBorders>
                    <w:top w:val="none" w:color="000000" w:sz="4"/>
                    <w:left w:val="none" w:color="000000" w:sz="4"/>
                    <w:bottom w:val="single" w:color="000000" w:sz="4"/>
                    <w:right w:val="single" w:color="000000" w:sz="4"/>
                  </w:tcBorders>
                  <w:vAlign w:val="top"/>
                </w:tcPr>
                <w:p>
                  <w:pPr>
                    <w:jc w:val="center"/>
                  </w:pPr>
                  <w:r>
                    <w:rPr>
                      <w:color w:val="000000"/>
                      <w:sz w:val="21"/>
                    </w:rPr>
                    <w:t>其</w:t>
                  </w:r>
                  <w:r>
                    <w:rPr>
                      <w:color w:val="000000"/>
                      <w:sz w:val="21"/>
                    </w:rPr>
                    <w:t>他</w:t>
                  </w:r>
                </w:p>
              </w:tc>
              <w:tc>
                <w:tcPr>
                  <w:tcW w:type="dxa" w:w="1570"/>
                  <w:tcBorders>
                    <w:top w:val="none" w:color="000000" w:sz="4"/>
                    <w:left w:val="none" w:color="000000" w:sz="4"/>
                    <w:bottom w:val="single" w:color="000000" w:sz="4"/>
                    <w:right w:val="single" w:color="000000" w:sz="4"/>
                  </w:tcBorders>
                  <w:vAlign w:val="top"/>
                </w:tcPr>
                <w:p>
                  <w:r>
                    <w:rPr>
                      <w:color w:val="000000"/>
                      <w:sz w:val="21"/>
                    </w:rPr>
                    <w:t>1、清洁活动或突击性的卫生清洁任务，能按时、按甲方要求完成所分配工作的；</w:t>
                  </w:r>
                </w:p>
              </w:tc>
              <w:tc>
                <w:tcPr>
                  <w:tcW w:type="dxa" w:w="1485"/>
                  <w:tcBorders>
                    <w:top w:val="none" w:color="000000" w:sz="4"/>
                    <w:left w:val="none" w:color="000000" w:sz="4"/>
                    <w:bottom w:val="single" w:color="000000" w:sz="4"/>
                    <w:right w:val="single" w:color="000000" w:sz="4"/>
                  </w:tcBorders>
                  <w:vAlign w:val="top"/>
                </w:tcPr>
                <w:p>
                  <w:r>
                    <w:rPr>
                      <w:color w:val="000000"/>
                      <w:sz w:val="21"/>
                    </w:rPr>
                    <w:t>1、未按时按要求完成的，扣5分；</w:t>
                  </w:r>
                </w:p>
              </w:tc>
              <w:tc>
                <w:tcPr>
                  <w:tcW w:type="dxa" w:w="399"/>
                  <w:tcBorders>
                    <w:top w:val="none" w:color="000000" w:sz="4"/>
                    <w:left w:val="none" w:color="000000" w:sz="4"/>
                    <w:bottom w:val="single" w:color="000000" w:sz="4"/>
                    <w:right w:val="single" w:color="000000" w:sz="4"/>
                  </w:tcBorders>
                  <w:vAlign w:val="top"/>
                </w:tcPr>
                <w:p>
                  <w:pPr>
                    <w:jc w:val="center"/>
                  </w:pPr>
                  <w:r>
                    <w:rPr>
                      <w:color w:val="000000"/>
                      <w:sz w:val="21"/>
                    </w:rPr>
                    <w:t>5</w:t>
                  </w:r>
                </w:p>
              </w:tc>
              <w:tc>
                <w:tcPr>
                  <w:tcW w:type="dxa" w:w="401"/>
                  <w:tcBorders>
                    <w:top w:val="none" w:color="000000" w:sz="4"/>
                    <w:left w:val="none" w:color="000000" w:sz="4"/>
                    <w:bottom w:val="single" w:color="000000" w:sz="4"/>
                    <w:right w:val="single" w:color="000000" w:sz="4"/>
                  </w:tcBorders>
                  <w:vAlign w:val="top"/>
                </w:tcPr>
                <w:p>
                  <w:pPr>
                    <w:jc w:val="center"/>
                  </w:pPr>
                </w:p>
              </w:tc>
              <w:tc>
                <w:tcPr>
                  <w:tcW w:type="dxa" w:w="432"/>
                  <w:tcBorders>
                    <w:top w:val="none" w:color="000000" w:sz="4"/>
                    <w:left w:val="none" w:color="000000" w:sz="4"/>
                    <w:bottom w:val="single" w:color="000000" w:sz="4"/>
                    <w:right w:val="single" w:color="000000" w:sz="4"/>
                  </w:tcBorders>
                  <w:vAlign w:val="top"/>
                </w:tcPr>
                <w:p>
                  <w:pPr>
                    <w:jc w:val="center"/>
                  </w:pPr>
                </w:p>
              </w:tc>
            </w:tr>
            <w:tr>
              <w:tc>
                <w:tcPr>
                  <w:tcW w:type="dxa" w:w="338"/>
                  <w:vMerge/>
                  <w:tcBorders>
                    <w:top w:val="none" w:color="000000" w:sz="4"/>
                    <w:left w:val="single" w:color="000000" w:sz="4"/>
                    <w:bottom w:val="none" w:color="000000" w:sz="4"/>
                    <w:right w:val="single" w:color="000000" w:sz="4"/>
                  </w:tcBorders>
                </w:tcPr>
                <w:p/>
              </w:tc>
              <w:tc>
                <w:tcPr>
                  <w:tcW w:type="dxa" w:w="438"/>
                  <w:vMerge/>
                  <w:tcBorders>
                    <w:top w:val="none" w:color="000000" w:sz="4"/>
                    <w:left w:val="none" w:color="000000" w:sz="4"/>
                    <w:bottom w:val="none" w:color="000000" w:sz="4"/>
                    <w:right w:val="single" w:color="000000" w:sz="4"/>
                  </w:tcBorders>
                </w:tcPr>
                <w:p/>
              </w:tc>
              <w:tc>
                <w:tcPr>
                  <w:tcW w:type="dxa" w:w="523"/>
                  <w:gridSpan w:val="2"/>
                  <w:vMerge/>
                  <w:tcBorders>
                    <w:top w:val="none" w:color="000000" w:sz="4"/>
                    <w:left w:val="none" w:color="000000" w:sz="4"/>
                    <w:bottom w:val="single" w:color="000000" w:sz="4"/>
                    <w:right w:val="single" w:color="000000" w:sz="4"/>
                  </w:tcBorders>
                </w:tcPr>
                <w:p/>
              </w:tc>
              <w:tc>
                <w:tcPr>
                  <w:tcW w:type="dxa" w:w="1570"/>
                  <w:tcBorders>
                    <w:top w:val="none" w:color="000000" w:sz="4"/>
                    <w:left w:val="none" w:color="000000" w:sz="4"/>
                    <w:bottom w:val="single" w:color="000000" w:sz="4"/>
                    <w:right w:val="single" w:color="000000" w:sz="4"/>
                  </w:tcBorders>
                  <w:vAlign w:val="top"/>
                </w:tcPr>
                <w:p>
                  <w:r>
                    <w:rPr>
                      <w:color w:val="000000"/>
                      <w:sz w:val="21"/>
                    </w:rPr>
                    <w:t>2、工作到位，没有被投诉的。</w:t>
                  </w:r>
                </w:p>
              </w:tc>
              <w:tc>
                <w:tcPr>
                  <w:tcW w:type="dxa" w:w="1485"/>
                  <w:tcBorders>
                    <w:top w:val="none" w:color="000000" w:sz="4"/>
                    <w:left w:val="none" w:color="000000" w:sz="4"/>
                    <w:bottom w:val="single" w:color="000000" w:sz="4"/>
                    <w:right w:val="single" w:color="000000" w:sz="4"/>
                  </w:tcBorders>
                  <w:vAlign w:val="top"/>
                </w:tcPr>
                <w:p>
                  <w:r>
                    <w:rPr>
                      <w:color w:val="000000"/>
                      <w:sz w:val="21"/>
                    </w:rPr>
                    <w:t>2、被群众投诉、情况属实的，每次扣0.5分；被市媒体批评曝光的，每次扣1分；被省级以上媒体批评曝光的，每次扣1.5分，情况严重的，终止合同。</w:t>
                  </w:r>
                </w:p>
              </w:tc>
              <w:tc>
                <w:tcPr>
                  <w:tcW w:type="dxa" w:w="399"/>
                  <w:tcBorders>
                    <w:top w:val="none" w:color="000000" w:sz="4"/>
                    <w:left w:val="none" w:color="000000" w:sz="4"/>
                    <w:bottom w:val="single" w:color="000000" w:sz="4"/>
                    <w:right w:val="single" w:color="000000" w:sz="4"/>
                  </w:tcBorders>
                  <w:vAlign w:val="top"/>
                </w:tcPr>
                <w:p>
                  <w:pPr>
                    <w:jc w:val="center"/>
                  </w:pPr>
                  <w:r>
                    <w:rPr>
                      <w:color w:val="000000"/>
                      <w:sz w:val="21"/>
                    </w:rPr>
                    <w:t>6</w:t>
                  </w:r>
                </w:p>
              </w:tc>
              <w:tc>
                <w:tcPr>
                  <w:tcW w:type="dxa" w:w="401"/>
                  <w:tcBorders>
                    <w:top w:val="none" w:color="000000" w:sz="4"/>
                    <w:left w:val="none" w:color="000000" w:sz="4"/>
                    <w:bottom w:val="single" w:color="000000" w:sz="4"/>
                    <w:right w:val="single" w:color="000000" w:sz="4"/>
                  </w:tcBorders>
                  <w:vAlign w:val="top"/>
                </w:tcPr>
                <w:p>
                  <w:pPr>
                    <w:jc w:val="center"/>
                  </w:pPr>
                </w:p>
              </w:tc>
              <w:tc>
                <w:tcPr>
                  <w:tcW w:type="dxa" w:w="432"/>
                  <w:tcBorders>
                    <w:top w:val="none" w:color="000000" w:sz="4"/>
                    <w:left w:val="none" w:color="000000" w:sz="4"/>
                    <w:bottom w:val="single" w:color="000000" w:sz="4"/>
                    <w:right w:val="single" w:color="000000" w:sz="4"/>
                  </w:tcBorders>
                  <w:vAlign w:val="top"/>
                </w:tcPr>
                <w:p>
                  <w:pPr>
                    <w:jc w:val="center"/>
                  </w:pPr>
                </w:p>
              </w:tc>
            </w:tr>
            <w:tr>
              <w:tc>
                <w:tcPr>
                  <w:tcW w:type="dxa" w:w="5154"/>
                  <w:gridSpan w:val="8"/>
                  <w:tcBorders>
                    <w:top w:val="none" w:color="000000" w:sz="4"/>
                    <w:left w:val="single" w:color="000000" w:sz="4"/>
                    <w:bottom w:val="single" w:color="000000" w:sz="4"/>
                    <w:right w:val="single" w:color="000000" w:sz="4"/>
                  </w:tcBorders>
                  <w:vAlign w:val="top"/>
                </w:tcPr>
                <w:p>
                  <w:pPr>
                    <w:jc w:val="center"/>
                  </w:pPr>
                  <w:r>
                    <w:rPr>
                      <w:b/>
                      <w:color w:val="000000"/>
                      <w:sz w:val="21"/>
                    </w:rPr>
                    <w:t>合计实得分（</w:t>
                  </w:r>
                  <w:r>
                    <w:rPr>
                      <w:b/>
                      <w:color w:val="000000"/>
                      <w:sz w:val="21"/>
                    </w:rPr>
                    <w:t xml:space="preserve">    </w:t>
                  </w:r>
                  <w:r>
                    <w:rPr>
                      <w:b/>
                      <w:color w:val="000000"/>
                      <w:sz w:val="21"/>
                    </w:rPr>
                    <w:t>）</w:t>
                  </w:r>
                  <w:r>
                    <w:rPr>
                      <w:b/>
                      <w:color w:val="000000"/>
                      <w:sz w:val="21"/>
                    </w:rPr>
                    <w:t>=总分（100）—合计检查扣分（    ）</w:t>
                  </w:r>
                </w:p>
              </w:tc>
              <w:tc>
                <w:tcPr>
                  <w:tcW w:type="dxa" w:w="432"/>
                  <w:tcBorders>
                    <w:top w:val="none" w:color="000000" w:sz="4"/>
                    <w:left w:val="none" w:color="000000" w:sz="4"/>
                    <w:bottom w:val="single" w:color="000000" w:sz="4"/>
                    <w:right w:val="single" w:color="000000" w:sz="4"/>
                  </w:tcBorders>
                  <w:vAlign w:val="top"/>
                </w:tcPr>
                <w:p>
                  <w:pPr>
                    <w:jc w:val="center"/>
                  </w:pPr>
                </w:p>
              </w:tc>
            </w:tr>
          </w:tbl>
          <w:p>
            <w:r>
              <w:rPr/>
              <w:t xml:space="preserve"> </w:t>
            </w:r>
          </w:p>
          <w:p>
            <w:r>
              <w:rPr/>
              <w:t xml:space="preserve"> </w:t>
            </w:r>
          </w:p>
          <w:p>
            <w:r>
              <w:rPr/>
              <w:t xml:space="preserve"> </w:t>
            </w:r>
          </w:p>
          <w:p>
            <w:r>
              <w:rPr/>
              <w:t xml:space="preserve"> </w:t>
            </w:r>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供应商须知</w:t>
      </w:r>
    </w:p>
    <w:p>
      <w:pPr>
        <w:ind w:firstLine="480"/>
      </w:pPr>
      <w:r>
        <w:rPr/>
        <w:t>供应商必须认真阅读磋商文件中所有的事项、格式、条款和采购需求等。供应商没有按照磋商文件要求提交全部资料，或者响应文件没有对磋商文件在各方面都做出实质性响应的可能导致其响应无效或被拒绝。</w:t>
      </w:r>
    </w:p>
    <w:p>
      <w:pPr>
        <w:ind w:firstLine="480"/>
      </w:pPr>
      <w:r>
        <w:rPr/>
        <w:t>请注意：供应商需在响应文件截止时间前，将加密响应文件上传至云平台项目采购系统中并取得回执，逾期上传或错误方式投递送达将导致响应无效。</w:t>
      </w:r>
    </w:p>
    <w:p>
      <w:r>
        <w:rPr>
          <w:b/>
          <w:sz w:val="24"/>
        </w:rPr>
        <w:t>一、名词解释</w:t>
      </w:r>
    </w:p>
    <w:p>
      <w:pPr>
        <w:ind w:firstLine="480"/>
      </w:pPr>
      <w:r>
        <w:rPr/>
        <w:t>1.采购代理机构：本项目是指广东政通招标有限公司，负责整个采购活动的组织，依法负责编制和发布磋商文件，对磋商文件拥有最终的解释权，不以任何身份出任磋商小组成员。</w:t>
      </w:r>
    </w:p>
    <w:p>
      <w:pPr>
        <w:ind w:firstLine="480"/>
      </w:pPr>
      <w:r>
        <w:rPr/>
        <w:t>2.采购人：本项目是指</w:t>
      </w:r>
      <w:r>
        <w:rPr/>
        <w:t>东莞市石排镇水务工程运营中心</w:t>
      </w:r>
      <w:r>
        <w:rPr/>
        <w:t>，是采购活动当事人之一，负责项目的整体规划、技术方案可行性设计论证与实施，作为合同采购方（用户）的主体承担质疑回复、履行合同、验收与评价等义务。</w:t>
      </w:r>
    </w:p>
    <w:p>
      <w:pPr>
        <w:ind w:firstLine="480"/>
      </w:pPr>
      <w:r>
        <w:rPr/>
        <w:t>3.供应商：是指在云平台项目采购系统完成本项目响应登记并提交电子响应文件的供应商。</w:t>
      </w:r>
    </w:p>
    <w:p>
      <w:pPr>
        <w:ind w:firstLine="480"/>
      </w:pPr>
      <w:r>
        <w:rPr/>
        <w:t>4.“磋商小组”是指根据《中华人民共和国政府采购法》等法律法规规定，由采购人代表和有关专家组成以确定成交供应商或者推荐成交候选供应商的临时组织。</w:t>
      </w:r>
    </w:p>
    <w:p>
      <w:pPr>
        <w:ind w:firstLine="480"/>
      </w:pPr>
      <w:r>
        <w:rPr/>
        <w:t>5.“成交供应商”是指经磋商小组评审确定的对磋商文件做出实质性响应，经采购人按照规定在磋商小组推荐的成交候选供应商中确定的或磋商小组受采购人委托直接确认的供应商。</w:t>
      </w:r>
    </w:p>
    <w:p>
      <w:pPr>
        <w:ind w:firstLine="480"/>
      </w:pPr>
      <w:r>
        <w:rPr/>
        <w:t>6.磋商文件：是指包括磋商公告和磋商文件及其补充、变更和澄清等一系列文件。</w:t>
      </w:r>
    </w:p>
    <w:p>
      <w:pPr>
        <w:ind w:firstLine="480"/>
      </w:pPr>
      <w:r>
        <w:rPr/>
        <w:t>7.电子响应文件：是指使用云平台提供的投标客户端制作加密并上传到系统的响应文件。（投标客户端制作响应文件时，生成的后缀为“.标书”的文件）</w:t>
      </w:r>
    </w:p>
    <w:p>
      <w:pPr>
        <w:ind w:firstLine="480"/>
      </w:pPr>
      <w:r>
        <w:rPr/>
        <w:t>8.备用电子响应文件：是指使用云平台提供的投标客户端制作电子响应文件时，同时生成的同一版本的备用响应文件。（投标客户端制作响应文件时，生成的后缀为“.备用标书”的文件）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本表与磋商文件对应章节的内容若不一致，以本表为准。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pPr>
              <w:jc w:val="center"/>
            </w:pPr>
            <w:r>
              <w:rPr/>
              <w:t>1</w:t>
            </w:r>
          </w:p>
        </w:tc>
        <w:tc>
          <w:tcPr>
            <w:tcW w:type="dxa" w:w="2252"/>
          </w:tcPr>
          <w:p>
            <w:r>
              <w:rPr/>
              <w:t>采购包情况</w:t>
            </w:r>
          </w:p>
        </w:tc>
        <w:tc>
          <w:tcPr>
            <w:tcW w:type="dxa" w:w="5004"/>
          </w:tcPr>
          <w:p>
            <w:r>
              <w:rPr/>
              <w:t>本项目共</w:t>
            </w:r>
            <w:r>
              <w:rPr/>
              <w:t>1</w:t>
            </w:r>
            <w:r>
              <w:rPr/>
              <w:t>个采购包</w:t>
            </w:r>
          </w:p>
        </w:tc>
      </w:tr>
      <w:tr>
        <w:tc>
          <w:tcPr>
            <w:tcW w:type="dxa" w:w="1051"/>
          </w:tcPr>
          <w:p>
            <w:pPr>
              <w:jc w:val="center"/>
            </w:pPr>
            <w:r>
              <w:rPr/>
              <w:t>2</w:t>
            </w:r>
          </w:p>
        </w:tc>
        <w:tc>
          <w:tcPr>
            <w:tcW w:type="dxa" w:w="2252"/>
          </w:tcPr>
          <w:p>
            <w:r>
              <w:rPr/>
              <w:t>开启方式</w:t>
            </w:r>
          </w:p>
        </w:tc>
        <w:tc>
          <w:tcPr>
            <w:tcW w:type="dxa" w:w="5004"/>
          </w:tcPr>
          <w:p>
            <w:r>
              <w:rPr/>
              <w:t>现场电子开标</w:t>
            </w:r>
          </w:p>
        </w:tc>
      </w:tr>
      <w:tr>
        <w:tc>
          <w:tcPr>
            <w:tcW w:type="dxa" w:w="1051"/>
          </w:tcPr>
          <w:p>
            <w:pPr>
              <w:jc w:val="center"/>
            </w:pPr>
            <w:r>
              <w:rPr/>
              <w:t>3</w:t>
            </w:r>
          </w:p>
        </w:tc>
        <w:tc>
          <w:tcPr>
            <w:tcW w:type="dxa" w:w="2252"/>
          </w:tcPr>
          <w:p>
            <w:r>
              <w:rPr/>
              <w:t>评审方式</w:t>
            </w:r>
          </w:p>
        </w:tc>
        <w:tc>
          <w:tcPr>
            <w:tcW w:type="dxa" w:w="5004"/>
          </w:tcPr>
          <w:p>
            <w:r>
              <w:rPr/>
              <w:t>现场电子评标</w:t>
            </w:r>
            <w:r>
              <w:rPr/>
              <w:t>（供应商应当审慎标记各评审项的应答部分，标记内容清晰且完整，否则将自行承担不利后果）</w:t>
            </w:r>
          </w:p>
        </w:tc>
      </w:tr>
      <w:tr>
        <w:tc>
          <w:tcPr>
            <w:tcW w:type="dxa" w:w="1051"/>
          </w:tcPr>
          <w:p>
            <w:pPr>
              <w:jc w:val="center"/>
            </w:pPr>
            <w:r>
              <w:rPr/>
              <w:t>4</w:t>
            </w:r>
          </w:p>
        </w:tc>
        <w:tc>
          <w:tcPr>
            <w:tcW w:type="dxa" w:w="2252"/>
          </w:tcPr>
          <w:p>
            <w:r>
              <w:rPr/>
              <w:t>评审办法</w:t>
            </w:r>
          </w:p>
        </w:tc>
        <w:tc>
          <w:tcPr>
            <w:tcW w:type="dxa" w:w="5004"/>
          </w:tcPr>
          <w:p>
            <w:r>
              <w:rPr/>
              <w:t>采购包1：综合评分法</w:t>
            </w:r>
          </w:p>
        </w:tc>
      </w:tr>
      <w:tr>
        <w:tc>
          <w:tcPr>
            <w:tcW w:type="dxa" w:w="1051"/>
          </w:tcPr>
          <w:p>
            <w:pPr>
              <w:jc w:val="center"/>
            </w:pPr>
            <w:r>
              <w:rPr/>
              <w:t>5</w:t>
            </w:r>
          </w:p>
        </w:tc>
        <w:tc>
          <w:tcPr>
            <w:tcW w:type="dxa" w:w="2252"/>
          </w:tcPr>
          <w:p>
            <w:r>
              <w:rPr/>
              <w:t>报价形式</w:t>
            </w:r>
          </w:p>
        </w:tc>
        <w:tc>
          <w:tcPr>
            <w:tcW w:type="dxa" w:w="5004"/>
          </w:tcPr>
          <w:p/>
          <w:p>
            <w:r>
              <w:rPr/>
              <w:t>采购包1：总价</w:t>
            </w:r>
          </w:p>
        </w:tc>
      </w:tr>
      <w:tr>
        <w:tc>
          <w:tcPr>
            <w:tcW w:type="dxa" w:w="1051"/>
          </w:tcPr>
          <w:p>
            <w:pPr>
              <w:jc w:val="center"/>
            </w:pPr>
            <w:r>
              <w:rPr/>
              <w:t>6</w:t>
            </w:r>
          </w:p>
        </w:tc>
        <w:tc>
          <w:tcPr>
            <w:tcW w:type="dxa" w:w="2252"/>
          </w:tcPr>
          <w:p>
            <w:r>
              <w:rPr/>
              <w:t>报价要求</w:t>
            </w:r>
          </w:p>
        </w:tc>
        <w:tc>
          <w:tcPr>
            <w:tcW w:type="dxa" w:w="5004"/>
          </w:tcPr>
          <w:p>
            <w:r>
              <w:rPr/>
              <w:t>各采购包报价不超过预算总价</w:t>
            </w:r>
          </w:p>
        </w:tc>
      </w:tr>
      <w:tr>
        <w:tc>
          <w:tcPr>
            <w:tcW w:type="dxa" w:w="1051"/>
          </w:tcPr>
          <w:p>
            <w:pPr>
              <w:jc w:val="center"/>
            </w:pPr>
            <w:r>
              <w:rPr/>
              <w:t>7</w:t>
            </w:r>
          </w:p>
        </w:tc>
        <w:tc>
          <w:tcPr>
            <w:tcW w:type="dxa" w:w="2252"/>
          </w:tcPr>
          <w:p>
            <w:r>
              <w:rPr/>
              <w:t>现场踏勘</w:t>
            </w:r>
          </w:p>
        </w:tc>
        <w:tc>
          <w:tcPr>
            <w:tcW w:type="dxa" w:w="5004"/>
          </w:tcPr>
          <w:p/>
          <w:p>
            <w:r>
              <w:rPr/>
              <w:t>否</w:t>
            </w:r>
          </w:p>
        </w:tc>
      </w:tr>
      <w:tr>
        <w:tc>
          <w:tcPr>
            <w:tcW w:type="dxa" w:w="1051"/>
          </w:tcPr>
          <w:p>
            <w:pPr>
              <w:jc w:val="center"/>
            </w:pPr>
            <w:r>
              <w:rPr/>
              <w:t>8</w:t>
            </w:r>
          </w:p>
        </w:tc>
        <w:tc>
          <w:tcPr>
            <w:tcW w:type="dxa" w:w="2252"/>
          </w:tcPr>
          <w:p>
            <w:r>
              <w:rPr/>
              <w:t>响应有效期</w:t>
            </w:r>
          </w:p>
        </w:tc>
        <w:tc>
          <w:tcPr>
            <w:tcW w:type="dxa" w:w="5004"/>
          </w:tcPr>
          <w:p>
            <w:r>
              <w:rPr/>
              <w:t>从提交投标（响应）文件的截止之日起90日历天</w:t>
            </w:r>
          </w:p>
        </w:tc>
      </w:tr>
      <w:tr>
        <w:tc>
          <w:tcPr>
            <w:tcW w:type="dxa" w:w="1051"/>
          </w:tcPr>
          <w:p>
            <w:pPr>
              <w:jc w:val="center"/>
            </w:pPr>
            <w:r>
              <w:rPr/>
              <w:t>9</w:t>
            </w:r>
          </w:p>
        </w:tc>
        <w:tc>
          <w:tcPr>
            <w:tcW w:type="dxa" w:w="2252"/>
          </w:tcPr>
          <w:p>
            <w:r>
              <w:rPr/>
              <w:t>响应保证金</w:t>
            </w:r>
          </w:p>
        </w:tc>
        <w:tc>
          <w:tcPr>
            <w:tcW w:type="dxa" w:w="5004"/>
          </w:tcPr>
          <w:p/>
          <w:p>
            <w:r>
              <w:rPr/>
              <w:t>采购包1：保证金人民币：33,000.00元整。</w:t>
            </w:r>
          </w:p>
          <w:p>
            <w:r>
              <w:rPr/>
              <w:t>开户单位：</w:t>
            </w:r>
            <w:r>
              <w:rPr/>
              <w:t>广东政通招标有限公司</w:t>
            </w:r>
          </w:p>
          <w:p>
            <w:r>
              <w:rPr/>
              <w:t>开户账号：</w:t>
            </w:r>
            <w:r>
              <w:rPr/>
              <w:t>6232590699050056751</w:t>
            </w:r>
          </w:p>
          <w:p>
            <w:r>
              <w:rPr/>
              <w:t>开户银行：</w:t>
            </w:r>
            <w:r>
              <w:rPr/>
              <w:t>广发银行股份有限公司东莞新城支行</w:t>
            </w:r>
          </w:p>
          <w:p>
            <w:r>
              <w:rPr/>
              <w:t>支票提交方式：</w:t>
            </w:r>
            <w:r>
              <w:rPr/>
              <w:t>/</w:t>
            </w:r>
          </w:p>
          <w:p>
            <w:r>
              <w:rPr/>
              <w:t>汇票、本票提交方式：</w:t>
            </w:r>
            <w:r>
              <w:rPr/>
              <w:t>/</w:t>
            </w:r>
          </w:p>
          <w:p/>
          <w:p>
            <w:r>
              <w:rPr/>
              <w:t>响应保证金有效期∶与响应有效期一致。</w:t>
            </w:r>
          </w:p>
          <w:p>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jc w:val="center"/>
            </w:pPr>
            <w:r>
              <w:rPr/>
              <w:t>10</w:t>
            </w:r>
          </w:p>
        </w:tc>
        <w:tc>
          <w:tcPr>
            <w:tcW w:type="dxa" w:w="2252"/>
          </w:tcPr>
          <w:p>
            <w:r>
              <w:rPr/>
              <w:t>成交候选供应商推荐家数</w:t>
            </w:r>
          </w:p>
        </w:tc>
        <w:tc>
          <w:tcPr>
            <w:tcW w:type="dxa" w:w="5004"/>
          </w:tcPr>
          <w:p>
            <w:r>
              <w:rPr/>
              <w:t>采购包1：</w:t>
            </w:r>
            <w:r>
              <w:rPr/>
              <w:t>3家</w:t>
            </w:r>
          </w:p>
        </w:tc>
      </w:tr>
      <w:tr>
        <w:tc>
          <w:tcPr>
            <w:tcW w:type="dxa" w:w="1051"/>
          </w:tcPr>
          <w:p>
            <w:pPr>
              <w:jc w:val="center"/>
            </w:pPr>
            <w:r>
              <w:rPr/>
              <w:t>11</w:t>
            </w:r>
          </w:p>
        </w:tc>
        <w:tc>
          <w:tcPr>
            <w:tcW w:type="dxa" w:w="2252"/>
          </w:tcPr>
          <w:p>
            <w:r>
              <w:rPr/>
              <w:t>成交供应商家数</w:t>
            </w:r>
          </w:p>
        </w:tc>
        <w:tc>
          <w:tcPr>
            <w:tcW w:type="dxa" w:w="5004"/>
          </w:tcPr>
          <w:p>
            <w:r>
              <w:rPr/>
              <w:t>采购包1：</w:t>
            </w:r>
            <w:r>
              <w:rPr/>
              <w:t>1家</w:t>
            </w:r>
          </w:p>
        </w:tc>
      </w:tr>
      <w:tr>
        <w:tc>
          <w:tcPr>
            <w:tcW w:type="dxa" w:w="1051"/>
          </w:tcPr>
          <w:p>
            <w:pPr>
              <w:jc w:val="center"/>
            </w:pPr>
            <w:r>
              <w:rPr/>
              <w:t>12</w:t>
            </w:r>
          </w:p>
        </w:tc>
        <w:tc>
          <w:tcPr>
            <w:tcW w:type="dxa" w:w="2252"/>
          </w:tcPr>
          <w:p>
            <w:r>
              <w:rPr/>
              <w:t>有效供应商家数</w:t>
            </w:r>
          </w:p>
        </w:tc>
        <w:tc>
          <w:tcPr>
            <w:tcW w:type="dxa" w:w="5004"/>
          </w:tcPr>
          <w:p/>
          <w:p>
            <w:pPr>
              <w:jc w:val="left"/>
            </w:pPr>
          </w:p>
          <w:p>
            <w:r>
              <w:rPr/>
              <w:t>采购包1：3家</w:t>
            </w:r>
          </w:p>
          <w:p/>
          <w:p>
            <w:r>
              <w:rPr/>
              <w:t>此人数约定了开启与评审过程中的最低有效供应商家数，当家数不足时项目将不得开启、不得评审或直接终止采购。</w:t>
            </w:r>
          </w:p>
        </w:tc>
      </w:tr>
      <w:tr>
        <w:tc>
          <w:tcPr>
            <w:tcW w:type="dxa" w:w="1051"/>
          </w:tcPr>
          <w:p>
            <w:pPr>
              <w:jc w:val="center"/>
            </w:pPr>
            <w:r>
              <w:rPr/>
              <w:t>13</w:t>
            </w:r>
          </w:p>
        </w:tc>
        <w:tc>
          <w:tcPr>
            <w:tcW w:type="dxa" w:w="2252"/>
          </w:tcPr>
          <w:p>
            <w:r>
              <w:rPr/>
              <w:t>项目兼投兼中（兼投不兼中）规则</w:t>
            </w:r>
          </w:p>
        </w:tc>
        <w:tc>
          <w:tcPr>
            <w:tcW w:type="dxa" w:w="5004"/>
          </w:tcPr>
          <w:p>
            <w:r>
              <w:rPr/>
              <w:t>无：-</w:t>
            </w:r>
          </w:p>
        </w:tc>
      </w:tr>
      <w:tr>
        <w:tc>
          <w:tcPr>
            <w:tcW w:type="dxa" w:w="1051"/>
          </w:tcPr>
          <w:p>
            <w:pPr>
              <w:jc w:val="center"/>
            </w:pPr>
            <w:r>
              <w:rPr/>
              <w:t>14</w:t>
            </w:r>
          </w:p>
        </w:tc>
        <w:tc>
          <w:tcPr>
            <w:tcW w:type="dxa" w:w="2252"/>
          </w:tcPr>
          <w:p>
            <w:r>
              <w:rPr/>
              <w:t>成交供应商确定方式</w:t>
            </w:r>
          </w:p>
        </w:tc>
        <w:tc>
          <w:tcPr>
            <w:tcW w:type="dxa" w:w="5004"/>
          </w:tcPr>
          <w:p>
            <w:r>
              <w:rPr/>
              <w:t>采购人按照评审报告中推荐的成交候选人确定中标（成交）人。</w:t>
            </w:r>
          </w:p>
        </w:tc>
      </w:tr>
      <w:tr>
        <w:tc>
          <w:tcPr>
            <w:tcW w:type="dxa" w:w="1051"/>
          </w:tcPr>
          <w:p>
            <w:pPr>
              <w:jc w:val="center"/>
            </w:pPr>
            <w:r>
              <w:rPr/>
              <w:t>15</w:t>
            </w:r>
          </w:p>
        </w:tc>
        <w:tc>
          <w:tcPr>
            <w:tcW w:type="dxa" w:w="2252"/>
          </w:tcPr>
          <w:p>
            <w:r>
              <w:rPr/>
              <w:t>代理服务费</w:t>
            </w:r>
          </w:p>
        </w:tc>
        <w:tc>
          <w:tcPr>
            <w:tcW w:type="dxa" w:w="5004"/>
          </w:tcPr>
          <w:p>
            <w:r>
              <w:rPr/>
              <w:t>收取。</w:t>
            </w:r>
          </w:p>
          <w:p>
            <w:r>
              <w:rPr/>
              <w:t>采购机构代理服务收费标准：中标（成交）服务费根据国家计委[计价格[2002]1980号]文和国家发改委[发改价格[2011]534号]文及相关规定向中标（成交）单位收取，按差额定率累进法计算，以中标（成交）通知书中确定的中标（成交）总金额作为收费的计算依据。</w:t>
            </w:r>
          </w:p>
        </w:tc>
      </w:tr>
      <w:tr>
        <w:tc>
          <w:tcPr>
            <w:tcW w:type="dxa" w:w="1051"/>
          </w:tcPr>
          <w:p>
            <w:pPr>
              <w:jc w:val="center"/>
            </w:pPr>
            <w:r>
              <w:rPr/>
              <w:t>16</w:t>
            </w:r>
          </w:p>
        </w:tc>
        <w:tc>
          <w:tcPr>
            <w:tcW w:type="dxa" w:w="2252"/>
          </w:tcPr>
          <w:p>
            <w:r>
              <w:rPr/>
              <w:t>代理服务费收取方式</w:t>
            </w:r>
          </w:p>
        </w:tc>
        <w:tc>
          <w:tcPr>
            <w:tcW w:type="dxa" w:w="5004"/>
          </w:tcPr>
          <w:p>
            <w:r>
              <w:rPr/>
              <w:t>向中标/成交供应商收取</w:t>
            </w:r>
          </w:p>
        </w:tc>
      </w:tr>
      <w:tr>
        <w:tc>
          <w:tcPr>
            <w:tcW w:type="dxa" w:w="1051"/>
          </w:tcPr>
          <w:p>
            <w:pPr>
              <w:jc w:val="center"/>
            </w:pPr>
            <w:r>
              <w:rPr/>
              <w:t>17</w:t>
            </w:r>
          </w:p>
        </w:tc>
        <w:tc>
          <w:tcPr>
            <w:tcW w:type="dxa" w:w="2252"/>
          </w:tcPr>
          <w:p>
            <w:r>
              <w:rPr/>
              <w:t>响应文件要求</w:t>
            </w:r>
          </w:p>
        </w:tc>
        <w:tc>
          <w:tcPr>
            <w:tcW w:type="dxa" w:w="5004"/>
          </w:tcPr>
          <w:p>
            <w:pPr>
              <w:ind w:firstLine="480"/>
            </w:pPr>
            <w:r>
              <w:rPr>
                <w:b/>
              </w:rPr>
              <w:t>一、电子响应文件（必须提供）：</w:t>
            </w:r>
          </w:p>
          <w:p>
            <w:pPr>
              <w:ind w:firstLine="480"/>
            </w:pPr>
            <w:r>
              <w:rPr/>
              <w:t>（1）加密的电子响应文件 1 份（需在递交响应文件截止时间前成功上传至云平台项目采购系统）。</w:t>
            </w:r>
          </w:p>
          <w:p>
            <w:pPr>
              <w:ind w:firstLine="480"/>
            </w:pPr>
            <w:r>
              <w:rPr/>
              <w:t>（2）非加密电子版文件 U 盘(或光盘)</w:t>
            </w:r>
            <w:r>
              <w:rPr/>
              <w:t>1</w:t>
            </w:r>
            <w:r>
              <w:rPr/>
              <w:t>份，加密的电子响应文件与非加密的电子响应文件必须完全一致。</w:t>
            </w:r>
          </w:p>
          <w:p>
            <w:pPr>
              <w:ind w:firstLine="480"/>
            </w:pPr>
            <w:r>
              <w:rPr>
                <w:b/>
              </w:rPr>
              <w:t>非加密电子版响应文件使用情形:</w:t>
            </w:r>
            <w:r>
              <w:rPr/>
              <w:t>当无法使用 CA 证书在云平台项目采购系统进行电子响应文件开标解密时，供应商须在代理机构指引下启用非加密电子版响应文件。</w:t>
            </w:r>
          </w:p>
          <w:p>
            <w:pPr>
              <w:ind w:firstLine="480"/>
            </w:pPr>
            <w:r>
              <w:rPr>
                <w:b/>
              </w:rPr>
              <w:t>二、纸质投标文件（代理机构自行选择）：</w:t>
            </w:r>
            <w:r>
              <w:br/>
            </w:r>
            <w:r>
              <w:rPr/>
              <w:t xml:space="preserve">      （3）纸质投标文件正本1份，纸质投标文件副本1份。纸质投标文件应与电子投标文件一致（递交的纸质文件需密封完好，注明“正本”和“副本”字样，正本和副本分别封装。如果正本与副本不符，应以正本为准。）。</w:t>
            </w:r>
            <w:r>
              <w:br/>
            </w:r>
            <w:r>
              <w:rPr>
                <w:b/>
              </w:rPr>
              <w:t xml:space="preserve">    纸质投标文件使用情形：</w:t>
            </w:r>
            <w:r>
              <w:rPr/>
              <w:t>当项目采购系统出现故障，无法使用电子投标文件评标时，代理机构可根据云平台发布的通知指引，根据实际情况使用纸质投标文件评标。</w:t>
            </w:r>
            <w:r>
              <w:br/>
            </w:r>
            <w:r>
              <w:rPr/>
              <w:t xml:space="preserve">    在电子投标文件能正常使用的情况下，不得因供应商未提交纸质投标文件而认定供应商投标无效。</w:t>
            </w:r>
          </w:p>
        </w:tc>
      </w:tr>
      <w:tr>
        <w:tc>
          <w:tcPr>
            <w:tcW w:type="dxa" w:w="1051"/>
          </w:tcPr>
          <w:p>
            <w:pPr>
              <w:jc w:val="center"/>
            </w:pPr>
            <w:r>
              <w:rPr/>
              <w:t>18</w:t>
            </w:r>
          </w:p>
        </w:tc>
        <w:tc>
          <w:tcPr>
            <w:tcW w:type="dxa" w:w="2252"/>
          </w:tcPr>
          <w:p>
            <w:r>
              <w:rPr/>
              <w:t>其他</w:t>
            </w:r>
          </w:p>
        </w:tc>
        <w:tc>
          <w:tcPr>
            <w:tcW w:type="dxa" w:w="5004"/>
          </w:tcPr>
          <w:p/>
        </w:tc>
      </w:tr>
      <w:tr>
        <w:tc>
          <w:tcPr>
            <w:tcW w:type="dxa" w:w="1051"/>
          </w:tcPr>
          <w:p>
            <w:pPr>
              <w:jc w:val="center"/>
            </w:pPr>
            <w:r>
              <w:rPr/>
              <w:t>19</w:t>
            </w:r>
          </w:p>
        </w:tc>
        <w:tc>
          <w:tcPr>
            <w:tcW w:type="dxa" w:w="2252"/>
          </w:tcPr>
          <w:p>
            <w:r>
              <w:rPr/>
              <w:t>开标解密时长</w:t>
            </w:r>
          </w:p>
        </w:tc>
        <w:tc>
          <w:tcPr>
            <w:tcW w:type="dxa" w:w="5004"/>
          </w:tcPr>
          <w:p/>
          <w:p>
            <w:r>
              <w:rPr/>
              <w:t>说明：具体情况根据开标时现场代理机构人员设置为准</w:t>
            </w:r>
          </w:p>
        </w:tc>
      </w:tr>
      <w:tr>
        <w:tc>
          <w:tcPr>
            <w:tcW w:type="dxa" w:w="1051"/>
          </w:tcPr>
          <w:p>
            <w:pPr>
              <w:jc w:val="center"/>
            </w:pPr>
            <w:r>
              <w:rPr/>
              <w:t>20</w:t>
            </w:r>
          </w:p>
        </w:tc>
        <w:tc>
          <w:tcPr>
            <w:tcW w:type="dxa" w:w="2252"/>
          </w:tcPr>
          <w:p>
            <w:r>
              <w:rPr/>
              <w:t>专门面向中小企业采购</w:t>
            </w:r>
          </w:p>
        </w:tc>
        <w:tc>
          <w:tcPr>
            <w:tcW w:type="dxa" w:w="5004"/>
          </w:tcPr>
          <w:p>
            <w:pPr>
              <w:jc w:val="left"/>
            </w:pPr>
            <w:r>
              <w:rPr/>
              <w:t>采购包1：面向中小企业，采购包专门预留</w:t>
            </w:r>
          </w:p>
        </w:tc>
      </w:tr>
    </w:tbl>
    <w:p>
      <w:r>
        <w:rPr>
          <w:b/>
          <w:sz w:val="28"/>
        </w:rPr>
        <w:t>三、说明</w:t>
      </w:r>
    </w:p>
    <w:p>
      <w:r>
        <w:rPr>
          <w:b/>
          <w:sz w:val="24"/>
        </w:rPr>
        <w:t>1.总则</w:t>
      </w:r>
    </w:p>
    <w:p>
      <w:pPr>
        <w:ind w:firstLine="480"/>
      </w:pPr>
      <w:r>
        <w:rPr/>
        <w:t>本磋商文件依据《中华人民共和国政府采购法》、《中华人民共和国政府采购法实施条例》（国务院令第658号）和《政府采购竞争性磋商采购方式管理暂行办法》（财库〔2014〕214号）及国家和广东省有关法律、法规、规章制度编制。</w:t>
      </w:r>
    </w:p>
    <w:p>
      <w:pPr>
        <w:ind w:firstLine="480"/>
      </w:pPr>
      <w:r>
        <w:rPr/>
        <w:t>供应商应仔细阅读本项目信息公告及磋商文件的所有内容（包括变更、补充、澄清以及修改等，且均为磋商文件的组成部分），按照磋商文件要求以及格式编制响应文件，并保证其真实性，否则一切后果自负。</w:t>
      </w:r>
    </w:p>
    <w:p>
      <w:pPr>
        <w:ind w:firstLine="480"/>
      </w:pPr>
      <w:r>
        <w:rPr/>
        <w:t>本次竞争性磋商项目，是以磋商公告的方式邀请非特定的供应商参加磋商。</w:t>
      </w:r>
    </w:p>
    <w:p>
      <w:r>
        <w:rPr>
          <w:b/>
          <w:sz w:val="24"/>
        </w:rPr>
        <w:t>2.适用范围</w:t>
      </w:r>
    </w:p>
    <w:p>
      <w:pPr>
        <w:ind w:firstLine="480"/>
      </w:pPr>
      <w:r>
        <w:rPr/>
        <w:t>本磋商文件仅适用于本次磋商公告中所涉及的项目和内容。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4.磋商费用</w:t>
      </w:r>
    </w:p>
    <w:p>
      <w:pPr>
        <w:ind w:firstLine="480"/>
      </w:pPr>
      <w:r>
        <w:rPr/>
        <w:t>不论磋商结果如何，供应商应承担所有与准备和参加磋商有关的费用。采购代理机构和采购人均无义务和责任承担相关费用。</w:t>
      </w:r>
    </w:p>
    <w:p>
      <w:r>
        <w:rPr>
          <w:b/>
          <w:sz w:val="24"/>
        </w:rPr>
        <w:t>5.以联合体形式磋商的，应符合以下规定：</w:t>
      </w:r>
    </w:p>
    <w:p>
      <w:pPr>
        <w:ind w:firstLine="480"/>
      </w:pPr>
      <w:r>
        <w:rPr/>
        <w:t>5.1联合体各方均应当满足《中华人民共和国政府采购法》第二十二条规定的条件，并在响应文件中提供联合体各方的相关证明材料。</w:t>
      </w:r>
    </w:p>
    <w:p>
      <w:pPr>
        <w:ind w:firstLine="480"/>
      </w:pPr>
      <w:r>
        <w:rPr/>
        <w:t>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ind w:firstLine="480"/>
      </w:pPr>
      <w:r>
        <w:rPr/>
        <w:t>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6.关联企业响应说明</w:t>
      </w:r>
    </w:p>
    <w:p>
      <w:pPr>
        <w:ind w:firstLine="480"/>
      </w:pPr>
      <w:r>
        <w:rPr/>
        <w:t>6.1对于不接受联合体响应的采购项目（采购包）：法定代表人或单位负责人为同一个人或者存在直接控股、管理关系的不同供应商，不得同时参加同一项目或同一采购包的响应。如同时参加，则评审时将同时被拒绝。</w:t>
      </w:r>
    </w:p>
    <w:p>
      <w:pPr>
        <w:ind w:firstLine="480"/>
      </w:pPr>
      <w:r>
        <w:rPr/>
        <w:t>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r>
        <w:rPr>
          <w:b/>
          <w:sz w:val="24"/>
        </w:rPr>
        <w:t>7.关于中小微企业响应</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ind w:firstLine="480"/>
      </w:pPr>
      <w:r>
        <w:rPr/>
        <w:t>8.2供应商不得与采购人就响应价格、响应方案等实质性内容进行磋商，也不得私下接触磋商小组成员。</w:t>
      </w:r>
    </w:p>
    <w:p>
      <w:pPr>
        <w:ind w:firstLine="480"/>
      </w:pPr>
      <w:r>
        <w:rPr/>
        <w:t>8.3在确定成交供应商之前，供应商试图在响应文件审查、澄清、比较和评价时对磋商小组、采购人和采购代理机构施加任何影响都可能导致其响应无效。</w:t>
      </w:r>
    </w:p>
    <w:p>
      <w:pPr>
        <w:ind w:firstLine="480"/>
      </w:pPr>
      <w:r>
        <w:rPr/>
        <w:t>8.4获得本磋商文件者，须履行本磋商项目下保密义务，不得将因本次磋商获得的信息向第三人外传，不得将磋商文件用作本次响应以外的任何用途。</w:t>
      </w:r>
    </w:p>
    <w:p>
      <w:pPr>
        <w:ind w:firstLine="480"/>
      </w:pPr>
      <w:r>
        <w:rPr/>
        <w:t>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ind w:firstLine="480"/>
      </w:pPr>
      <w:r>
        <w:rPr/>
        <w:t>8.6采购人或采购代理机构有权将供应商提供的所有资料向有关政府部门或询价小组披露。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9.2除非磋商文件的技术规格中另有规定，供应商在响应文件中及其与采购人和采购代理机构的所有往来文件中的计量单位均应采用中华人民共和国法定计量单位。</w:t>
      </w:r>
    </w:p>
    <w:p>
      <w:pPr>
        <w:ind w:firstLine="480"/>
      </w:pPr>
      <w:r>
        <w:rPr/>
        <w:t>9.3供应商所提供的货物和服务均应以人民币报价，货币单位：元。</w:t>
      </w:r>
    </w:p>
    <w:p>
      <w:r>
        <w:rPr>
          <w:b/>
          <w:sz w:val="24"/>
        </w:rPr>
        <w:t>10. 现场踏勘（如有）</w:t>
      </w:r>
    </w:p>
    <w:p>
      <w:pPr>
        <w:ind w:firstLine="480"/>
      </w:pPr>
      <w:r>
        <w:rPr/>
        <w:t>10.1磋商文件规定组织踏勘现场的，采购人按磋商文件规定的时间、地点组织供应商踏勘项目现场。</w:t>
      </w:r>
    </w:p>
    <w:p>
      <w:pPr>
        <w:ind w:firstLine="480"/>
      </w:pPr>
      <w:r>
        <w:rPr/>
        <w:t>10.2供应商自行承担踏勘现场发生的责任、风险和自身费用。</w:t>
      </w:r>
    </w:p>
    <w:p>
      <w:pPr>
        <w:ind w:firstLine="480"/>
      </w:pPr>
      <w:r>
        <w:rPr/>
        <w:t>10.3采购人在踏勘现场中介绍的资料和数据等，不构成对磋商文件的修改或不作为供应商编制响应文件的依据。</w:t>
      </w:r>
    </w:p>
    <w:p>
      <w:r>
        <w:rPr>
          <w:b/>
          <w:sz w:val="28"/>
        </w:rPr>
        <w:t>四、磋商文件的澄清和修改</w:t>
      </w:r>
    </w:p>
    <w:p>
      <w:pPr>
        <w:ind w:firstLine="480"/>
      </w:pPr>
      <w:r>
        <w:rPr/>
        <w:t>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ind w:firstLine="480"/>
      </w:pPr>
      <w:r>
        <w:rPr/>
        <w:t>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ind w:firstLine="480"/>
      </w:pPr>
      <w:r>
        <w:rPr/>
        <w:t>3.如更正公告有重新发布电子磋商文件的，供应商应登录云平台项目采购系统下载最新发布的电子磋商文件制作响应文件。</w:t>
      </w:r>
    </w:p>
    <w:p>
      <w:pPr>
        <w:ind w:firstLine="480"/>
      </w:pPr>
      <w:r>
        <w:rPr/>
        <w:t>4.供应商在规定的时间内未对磋商文件提出疑问、质疑或要求澄清的，将视其为无异议。对磋商文件中描述有歧义或前后不一致的地方，磋商小组有权进行评判，但对同一条款的评判应适用于每个供应商。</w:t>
      </w:r>
    </w:p>
    <w:p>
      <w:r>
        <w:rPr>
          <w:b/>
          <w:sz w:val="28"/>
        </w:rPr>
        <w:t>五、响应要求</w:t>
      </w:r>
    </w:p>
    <w:p>
      <w:r>
        <w:rPr>
          <w:b/>
          <w:sz w:val="24"/>
        </w:rPr>
        <w:t>1.响应登记</w:t>
      </w:r>
    </w:p>
    <w:p>
      <w:pPr>
        <w:ind w:firstLine="480"/>
      </w:pPr>
      <w:r>
        <w:rPr/>
        <w:t>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r>
        <w:rPr>
          <w:b/>
          <w:sz w:val="24"/>
        </w:rPr>
        <w:t>2.响应文件的制作</w:t>
      </w:r>
    </w:p>
    <w:p>
      <w:pPr>
        <w:ind w:firstLine="480"/>
      </w:pPr>
      <w:r>
        <w:rPr/>
        <w:t>2.1响应文件中，所有内容均以电子文件编制，其格式要求详见第六章说明。如因不按要求编制导致系统无法检索、读取相关信息时，其后果由供应商承担。</w:t>
      </w:r>
    </w:p>
    <w:p>
      <w:pPr>
        <w:ind w:firstLine="480"/>
      </w:pPr>
      <w:r>
        <w:rPr/>
        <w:t>2.2供应商应使用云平台提供的投标客户端编制、标记、加密响应文件，成功加密后将生成指定格式的电子响应文件和电子备用响应文件。所有响应文件不能进行压缩处理。关于电子磋商报价说明如下：</w:t>
      </w:r>
    </w:p>
    <w:p>
      <w:pPr>
        <w:ind w:firstLine="480"/>
      </w:pPr>
      <w:r>
        <w:rPr/>
        <w:t>（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ind w:firstLine="480"/>
      </w:pPr>
      <w:r>
        <w:rPr/>
        <w:t>（2）磋商报价包括本项目采购需求和投入使用的所有费用，包括但不限于主件、标准附件、备品备件、施工、服务、专用工具、安装、调试、检验、培训、运输、保险、税款等。</w:t>
      </w:r>
    </w:p>
    <w:p>
      <w:pPr>
        <w:ind w:firstLine="480"/>
      </w:pPr>
      <w:r>
        <w:rPr/>
        <w:t>（3）磋商报价不得有选择性报价和附有条件的报价，否则将导致响应无效。</w:t>
      </w:r>
    </w:p>
    <w:p>
      <w:pPr>
        <w:ind w:firstLine="480"/>
      </w:pPr>
      <w:r>
        <w:rPr/>
        <w:t>2.3如有对多个采购包响应的，要对每个采购包独立制作电子响应文件。</w:t>
      </w:r>
    </w:p>
    <w:p>
      <w:pPr>
        <w:ind w:firstLine="480"/>
      </w:pPr>
      <w:r>
        <w:rPr/>
        <w:t>2.4供应商不得将同一个项目或同一个采购包的内容拆开响应，否则其报价将被视为非实质性响应。</w:t>
      </w:r>
    </w:p>
    <w:p>
      <w:pPr>
        <w:ind w:firstLine="480"/>
      </w:pPr>
      <w:r>
        <w:rPr/>
        <w:t>2.5供应商须对磋商文件的对应要求给予唯一的实质性响应，否则将视为不响应。</w:t>
      </w:r>
    </w:p>
    <w:p>
      <w:pPr>
        <w:ind w:firstLine="480"/>
      </w:pPr>
      <w:r>
        <w:rPr/>
        <w:t>2.6磋商文件中，凡标有“★”的地方均为实质性响应条款，供应商若有一项带“★”的条款未响应或不满足，将按无效响应处理。</w:t>
      </w:r>
    </w:p>
    <w:p>
      <w:pPr>
        <w:ind w:firstLine="480"/>
      </w:pPr>
      <w:r>
        <w:rPr/>
        <w:t>2.7供应商必须按磋商文件指定的格式填写各种报价，各报价应计算正确。除在磋商文件另有规定外（如：报折扣、报优惠率等），计量单位应使用中华人民共和国法定计量单位，以人民币填报所有报价。</w:t>
      </w:r>
    </w:p>
    <w:p>
      <w:pPr>
        <w:ind w:firstLine="480"/>
      </w:pPr>
      <w:r>
        <w:rPr/>
        <w:t>2.8响应文件以及供应商与采购人、代理机构就有关响应的往来函电均应使用中文。供应商提交的支持性文件和印制的文件可以用另一种语言，但相应内容应翻译成中文，在解释响应文件时以中文文本为准。</w:t>
      </w:r>
    </w:p>
    <w:p>
      <w:pPr>
        <w:ind w:firstLine="480"/>
      </w:pPr>
      <w:r>
        <w:rPr/>
        <w:t>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3.响应文件的提交</w:t>
      </w:r>
    </w:p>
    <w:p>
      <w:pPr>
        <w:ind w:firstLine="480"/>
      </w:pPr>
      <w:r>
        <w:rPr/>
        <w:t>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ind w:firstLine="480"/>
      </w:pPr>
      <w:r>
        <w:rPr/>
        <w:t>3.2代理机构对因不可抗力事件造成的响应文件的损坏、丢失的，不承担责任。</w:t>
      </w:r>
    </w:p>
    <w:p>
      <w:pPr>
        <w:ind w:firstLine="480"/>
      </w:pPr>
      <w:r>
        <w:rPr/>
        <w:t>3.3出现下述情形之一，属于未成功提交响应文件，按无效响应处理：</w:t>
      </w:r>
    </w:p>
    <w:p>
      <w:pPr>
        <w:ind w:firstLine="480"/>
      </w:pPr>
      <w:r>
        <w:rPr/>
        <w:t>（1）至提交响应文件截止时，响应文件未完整上传并取得响应回执的。</w:t>
      </w:r>
    </w:p>
    <w:p>
      <w:pPr>
        <w:ind w:firstLine="480"/>
      </w:pPr>
      <w:r>
        <w:rPr/>
        <w:t>（2）响应文件未按响应格式中注明需签字盖章的要求进行签名（含电子签名）和加盖电子印章，或签名（含电子签名）或电子印章不完整的。</w:t>
      </w:r>
    </w:p>
    <w:p>
      <w:pPr>
        <w:ind w:firstLine="480"/>
      </w:pPr>
      <w:r>
        <w:rPr/>
        <w:t>（3）响应文件损坏或格式不正确的。</w:t>
      </w:r>
    </w:p>
    <w:p>
      <w:r>
        <w:rPr>
          <w:b/>
          <w:sz w:val="24"/>
        </w:rPr>
        <w:t>4.响应文件的修改、撤回与撤销</w:t>
      </w:r>
    </w:p>
    <w:p>
      <w:pPr>
        <w:ind w:firstLine="480"/>
      </w:pPr>
      <w:r>
        <w:rPr/>
        <w:t>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ind w:firstLine="480"/>
      </w:pPr>
      <w:r>
        <w:rPr/>
        <w:t>4.2在提交响应文件截止时间后，供应商不得补充、修改和更换响应文件。</w:t>
      </w:r>
    </w:p>
    <w:p>
      <w:r>
        <w:rPr>
          <w:b/>
          <w:sz w:val="24"/>
        </w:rPr>
        <w:t>5.响应文件的解密</w:t>
      </w:r>
    </w:p>
    <w:p>
      <w:pPr>
        <w:ind w:firstLine="480"/>
      </w:pPr>
      <w:r>
        <w:rPr/>
        <w:t>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r>
        <w:rPr>
          <w:b/>
          <w:sz w:val="24"/>
        </w:rPr>
        <w:t>6.响应保证金</w:t>
      </w:r>
    </w:p>
    <w:p>
      <w:pPr>
        <w:ind w:firstLine="480"/>
      </w:pPr>
      <w:r>
        <w:rPr/>
        <w:t>6.1响应保证金的缴纳</w:t>
      </w:r>
    </w:p>
    <w:p>
      <w:pPr>
        <w:ind w:firstLine="480"/>
      </w:pPr>
      <w:r>
        <w:rPr/>
        <w:t>供应商在提交响应文件的同时，应按供应商须知前附表规定的金额和缴纳要求缴纳响应保证金，并作为其响应文件的组成部分。</w:t>
      </w:r>
    </w:p>
    <w:p>
      <w:pPr>
        <w:ind w:firstLine="480"/>
      </w:pPr>
      <w:r>
        <w:rPr/>
        <w:t>如采用转账、支票、本票、汇票形式提交的，响应保证金从供应商基本账户递交，由</w:t>
      </w:r>
      <w:r>
        <w:rPr/>
        <w:t>广东政通招标有限公司</w:t>
      </w:r>
      <w:r>
        <w:rPr/>
        <w:t>代收。具体操作要求详见</w:t>
      </w:r>
      <w:r>
        <w:rPr/>
        <w:t>广东政通招标有限公司</w:t>
      </w:r>
      <w:r>
        <w:rPr/>
        <w:t>有关指引，递交事宜请自行咨询</w:t>
      </w:r>
      <w:r>
        <w:rPr/>
        <w:t>广东政通招标有限公司</w:t>
      </w:r>
      <w:r>
        <w:rPr/>
        <w:t>；请各供应商在响应文件递交截止时间前按须知前附表规定的金额递交至</w:t>
      </w:r>
      <w:r>
        <w:rPr/>
        <w:t>广东政通招标有限公司</w:t>
      </w:r>
      <w:r>
        <w:rPr/>
        <w:t>，到账情况以开启时</w:t>
      </w:r>
      <w:r>
        <w:rPr/>
        <w:t>广东政通招标有限公司</w:t>
      </w:r>
      <w:r>
        <w:rPr/>
        <w:t>查询的信息为准。</w:t>
      </w:r>
    </w:p>
    <w:p>
      <w:pPr>
        <w:ind w:firstLine="480"/>
      </w:pPr>
      <w:r>
        <w:rPr/>
        <w:t>如采用金融机构、专业担保机构开具的响应保函、响应保证保险函等形式提交响应保证金的，响应保函或响应保证保险函须开具给采购人（保险受益人须为采购人），并与响应文件一同递交。</w:t>
      </w:r>
    </w:p>
    <w:p>
      <w:pPr>
        <w:ind w:firstLine="480"/>
      </w:pPr>
      <w:r>
        <w:rPr/>
        <w:t>供应商可通过"广东政府采购智慧云平台金融服务中心"(https://gdgpo.czt.gd.gov.cn/zcdservice/zcd/guangdong/)，申请办理电子保函，电子保函与纸质保函具有同样效力。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启或评审现场无法拉取电子保函信息时，可提供电子保函打印件或购买凭证作为核验凭证。相关凭证应上传至系统归档保存。</w:t>
      </w:r>
    </w:p>
    <w:p>
      <w:pPr>
        <w:ind w:firstLine="480"/>
      </w:pPr>
      <w:r>
        <w:rPr/>
        <w:t>6.2响应保证金的退还：</w:t>
      </w:r>
    </w:p>
    <w:p>
      <w:pPr>
        <w:ind w:firstLine="480"/>
      </w:pPr>
      <w:r>
        <w:rPr/>
        <w:t>（1）供应商在递交响应文件截止时间前放弃响应的，自所投采购包结果公告发出后5个工作日内退还。</w:t>
      </w:r>
    </w:p>
    <w:p>
      <w:pPr>
        <w:ind w:firstLine="480"/>
      </w:pPr>
      <w:r>
        <w:rPr/>
        <w:t>（2）未成交的供应商保证金，在成交供应商发出后5个工作日内原额退还。</w:t>
      </w:r>
    </w:p>
    <w:p>
      <w:pPr>
        <w:ind w:firstLine="480"/>
      </w:pPr>
      <w:r>
        <w:rPr/>
        <w:t>（3）成交供应商的响应保证金,在成交供应商与采购人签订采购合同后5个工作日内原额退还。</w:t>
      </w:r>
    </w:p>
    <w:p>
      <w:pPr>
        <w:ind w:firstLine="480"/>
      </w:pPr>
      <w:r>
        <w:rPr/>
        <w:t>备注：但因供应商自身原因导致无法及时退还的除外。</w:t>
      </w:r>
    </w:p>
    <w:p>
      <w:pPr>
        <w:ind w:firstLine="480"/>
      </w:pPr>
      <w:r>
        <w:rPr/>
        <w:t>6.3有下列情形之一的，响应保证金将不予退还并上缴国库：</w:t>
      </w:r>
    </w:p>
    <w:p>
      <w:pPr>
        <w:ind w:firstLine="480"/>
      </w:pPr>
      <w:r>
        <w:rPr/>
        <w:t>（1）提供虚假材料谋取成交的；</w:t>
      </w:r>
    </w:p>
    <w:p>
      <w:pPr>
        <w:ind w:firstLine="480"/>
      </w:pPr>
      <w:r>
        <w:rPr/>
        <w:t>（2）供应商在磋商文件规定的响应有效期内撤销其响应；</w:t>
      </w:r>
    </w:p>
    <w:p>
      <w:pPr>
        <w:ind w:firstLine="480"/>
      </w:pPr>
      <w:r>
        <w:rPr/>
        <w:t>（3）成交后，无正当理由放弃成交资格；</w:t>
      </w:r>
    </w:p>
    <w:p>
      <w:pPr>
        <w:ind w:firstLine="480"/>
      </w:pPr>
      <w:r>
        <w:rPr/>
        <w:t>（4）成交后，无正当理由不与采购人签订合同；</w:t>
      </w:r>
    </w:p>
    <w:p>
      <w:pPr>
        <w:ind w:firstLine="480"/>
      </w:pPr>
      <w:r>
        <w:rPr/>
        <w:t>（5）法律法规和磋商文件规定的其他情形。</w:t>
      </w:r>
    </w:p>
    <w:p>
      <w:r>
        <w:rPr>
          <w:b/>
          <w:sz w:val="24"/>
        </w:rPr>
        <w:t>7.响应有效期</w:t>
      </w:r>
    </w:p>
    <w:p>
      <w:pPr>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ind w:firstLine="480"/>
      </w:pPr>
      <w:r>
        <w:rPr/>
        <w:t>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r>
        <w:rPr>
          <w:b/>
          <w:sz w:val="24"/>
        </w:rPr>
        <w:t>8.样品（演示）</w:t>
      </w:r>
    </w:p>
    <w:p>
      <w:pPr>
        <w:ind w:firstLine="480"/>
      </w:pPr>
      <w:r>
        <w:rPr/>
        <w:t>8.1磋商文件规定供应商提交样品的，样品属于响应文件的组成部分。样品的生产、运输、安装、保全等一切费用由供应商自理。</w:t>
      </w:r>
    </w:p>
    <w:p>
      <w:pPr>
        <w:ind w:firstLine="480"/>
      </w:pPr>
      <w:r>
        <w:rPr/>
        <w:t>8.2递交响应文件截止时间前，供应商应将样品送达至指定地点。若需要现场演示的，供应商应提前做好演示准备（包括演示设备）。</w:t>
      </w:r>
    </w:p>
    <w:p>
      <w:pPr>
        <w:ind w:firstLine="480"/>
      </w:pPr>
      <w:r>
        <w:rPr/>
        <w:t>8.3采购结果公告发布后，成交供应商的样品由采购人封存，作为履约验收的依据之一。未成交供应商在接到采购代理机构通知后，应按规定时间尽快自行取回样品，否则视同供应商不再认领，代理机构有权进行处理。</w:t>
      </w:r>
    </w:p>
    <w:p>
      <w:r>
        <w:rPr>
          <w:b/>
          <w:sz w:val="24"/>
        </w:rPr>
        <w:t>9.除磋商文件另有规定外，有下列情形之一的，响应无效：</w:t>
      </w:r>
    </w:p>
    <w:p>
      <w:pPr>
        <w:ind w:firstLine="480"/>
      </w:pPr>
      <w:r>
        <w:rPr/>
        <w:t>9.1响应文件未按照磋商文件要求签署、盖章；</w:t>
      </w:r>
    </w:p>
    <w:p>
      <w:pPr>
        <w:ind w:firstLine="480"/>
      </w:pPr>
      <w:r>
        <w:rPr/>
        <w:t>9.2不符合磋商文件中规定的资格要求；</w:t>
      </w:r>
    </w:p>
    <w:p>
      <w:pPr>
        <w:ind w:firstLine="480"/>
      </w:pPr>
      <w:r>
        <w:rPr/>
        <w:t>9.3磋商报价超过磋商文件中规定的预算金额或最高限价；</w:t>
      </w:r>
    </w:p>
    <w:p>
      <w:pPr>
        <w:ind w:firstLine="480"/>
      </w:pPr>
      <w:r>
        <w:rPr/>
        <w:t>9.4响应文件含有采购人不能接受的附加条件；</w:t>
      </w:r>
    </w:p>
    <w:p>
      <w:pPr>
        <w:ind w:firstLine="480"/>
      </w:pPr>
      <w:r>
        <w:rPr/>
        <w:t>9.5有关法律、法规和规章及磋商文件规定的其他无效情形。</w:t>
      </w:r>
    </w:p>
    <w:p>
      <w:r>
        <w:rPr>
          <w:b/>
          <w:sz w:val="28"/>
        </w:rPr>
        <w:t>六、磋商、评审和结果确定</w:t>
      </w:r>
    </w:p>
    <w:p>
      <w:r>
        <w:rPr>
          <w:b/>
          <w:sz w:val="24"/>
        </w:rPr>
        <w:t>1.响应文件的开启</w:t>
      </w:r>
    </w:p>
    <w:p>
      <w:pPr>
        <w:ind w:firstLine="480"/>
      </w:pPr>
      <w:r>
        <w:rPr/>
        <w:t>1.1开启程序</w:t>
      </w:r>
    </w:p>
    <w:p>
      <w:pPr>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ind w:firstLine="480"/>
      </w:pPr>
      <w:r>
        <w:rPr/>
        <w:t>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ind w:firstLine="480"/>
      </w:pPr>
      <w:r>
        <w:rPr/>
        <w:t>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ind w:firstLine="480"/>
      </w:pPr>
      <w:r>
        <w:rPr/>
        <w:t>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ind w:firstLine="480"/>
      </w:pPr>
      <w:r>
        <w:rPr/>
        <w:t>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如供应商无法在代理规定的时间内完成备用电子响应文件的上传，响应将被拒绝，作无效响应处理。</w:t>
      </w:r>
    </w:p>
    <w:p>
      <w:pPr>
        <w:ind w:firstLine="480"/>
      </w:pPr>
      <w:r>
        <w:rPr/>
        <w:t>1.2异议</w:t>
      </w:r>
    </w:p>
    <w:p>
      <w:pPr>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ind w:firstLine="480"/>
      </w:pPr>
      <w:r>
        <w:rPr/>
        <w:t>1.3开启时出现下列情况的，视为响应无效处理</w:t>
      </w:r>
    </w:p>
    <w:p>
      <w:pPr>
        <w:ind w:firstLine="480"/>
      </w:pPr>
      <w:r>
        <w:rPr/>
        <w:t>（1）经检查数字证书无效的；</w:t>
      </w:r>
    </w:p>
    <w:p>
      <w:pPr>
        <w:ind w:firstLine="480"/>
      </w:pPr>
      <w:r>
        <w:rPr/>
        <w:t>（2）因供应商自身原因，未在规定时间内完成电子响应文件解密的；</w:t>
      </w:r>
    </w:p>
    <w:p>
      <w:pPr>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r>
        <w:rPr>
          <w:b/>
          <w:sz w:val="24"/>
        </w:rPr>
        <w:t>2.评审（详见第四章）</w:t>
      </w:r>
    </w:p>
    <w:p>
      <w:r>
        <w:rPr>
          <w:b/>
          <w:sz w:val="24"/>
        </w:rPr>
        <w:t>3.成交</w:t>
      </w:r>
    </w:p>
    <w:p>
      <w:pPr>
        <w:ind w:firstLine="480"/>
      </w:pPr>
      <w:r>
        <w:rPr/>
        <w:t>3.1成交结果公告：</w:t>
      </w:r>
    </w:p>
    <w:p>
      <w:pPr>
        <w:ind w:firstLine="480"/>
      </w:pPr>
      <w:r>
        <w:rPr/>
        <w:t>成交供应商确定之日起2个工作日内，采购人或采购代理机构将在中国政府采购网(www.ccgp.gov.cn)、广东省政府采购网(https://gdgpo.czt.gd.gov.cn/)、上以公告的形式发布成交结果，结果公告的公告期限为</w:t>
        <w:tab/>
        <w:tab/>
        <w:t xml:space="preserve"> 1 个工作日。结果公告同时作为采购代理机构通知除成交供应商外的其他供应商没有成交的书面形式，采购代理机构不再以其它方式另行通知。</w:t>
      </w:r>
    </w:p>
    <w:p>
      <w:pPr>
        <w:ind w:firstLine="480"/>
      </w:pPr>
      <w:r>
        <w:rPr/>
        <w:t>3.2成交通知书：</w:t>
      </w:r>
    </w:p>
    <w:p>
      <w:pPr>
        <w:ind w:firstLine="480"/>
      </w:pPr>
      <w:r>
        <w:rPr/>
        <w:t>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ind w:firstLine="480"/>
      </w:pPr>
      <w:r>
        <w:rPr/>
        <w:t>3.3终止公告：</w:t>
      </w:r>
    </w:p>
    <w:p>
      <w:pPr>
        <w:ind w:firstLine="480"/>
      </w:pPr>
      <w:r>
        <w:rPr/>
        <w:t>终止磋商采购活动后，采购人或采购代理机构将在中国政府采购网(www.ccgp.gov.cn)、广东省政府采购网(https://gdgpo.czt.gd.gov.cn/)、上发布终止公告，终止公告的公告期限为</w:t>
        <w:tab/>
        <w:tab/>
        <w:t xml:space="preserve"> 1 个工作日。</w:t>
      </w:r>
    </w:p>
    <w:p>
      <w:r>
        <w:rPr>
          <w:b/>
          <w:sz w:val="28"/>
        </w:rPr>
        <w:t>七、询问、质疑与投诉</w:t>
      </w:r>
    </w:p>
    <w:p>
      <w:r>
        <w:rPr>
          <w:b/>
          <w:sz w:val="24"/>
        </w:rPr>
        <w:t>1.询问</w:t>
      </w:r>
    </w:p>
    <w:p>
      <w:pPr>
        <w:ind w:firstLine="480"/>
      </w:pPr>
      <w:r>
        <w:rPr/>
        <w:t>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r>
        <w:rPr>
          <w:b/>
          <w:sz w:val="24"/>
        </w:rPr>
        <w:t>2.质疑</w:t>
      </w:r>
    </w:p>
    <w:p>
      <w:pPr>
        <w:ind w:firstLine="480"/>
      </w:pPr>
      <w:r>
        <w:rPr/>
        <w:t>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（1）对磋商文件提出质疑的，为获取磋商文件之日或者磋商文件公告期限届满之日；</w:t>
      </w:r>
    </w:p>
    <w:p>
      <w:pPr>
        <w:ind w:firstLine="480"/>
      </w:pPr>
      <w:r>
        <w:rPr/>
        <w:t>（2）对采购过程提出质疑的，为各采购程序环节结束之日；</w:t>
      </w:r>
    </w:p>
    <w:p>
      <w:pPr>
        <w:ind w:firstLine="480"/>
      </w:pPr>
      <w:r>
        <w:rPr/>
        <w:t>（3）对成交结果提出质疑的，为成交结果公告期限届满之日。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（3）认为磋商文件、采购过程和成交结果使自己的合法权益受到损害的法律依据、事实依据、相关证明材料及证据来源；</w:t>
      </w:r>
    </w:p>
    <w:p>
      <w:pPr>
        <w:ind w:firstLine="480"/>
      </w:pPr>
      <w:r>
        <w:rPr/>
        <w:t>（4）提出质疑的日期。</w:t>
      </w:r>
    </w:p>
    <w:p>
      <w:pPr>
        <w:ind w:firstLine="480"/>
      </w:pPr>
      <w:r>
        <w:rPr/>
        <w:t>2.3质疑函应当署名。质疑供应商为自然人的，应当由本人签字；质疑供应商为法人或者其他组织的，应当由法定代表人、主要负责人，或者其授权代表签字或者盖章，并加盖公章。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杨先生</w:t>
      </w:r>
    </w:p>
    <w:p>
      <w:pPr>
        <w:ind w:firstLine="480"/>
      </w:pPr>
      <w:r>
        <w:rPr/>
        <w:t>电话：</w:t>
      </w:r>
      <w:r>
        <w:rPr/>
        <w:t>0769-22881803</w:t>
      </w:r>
    </w:p>
    <w:p>
      <w:pPr>
        <w:ind w:firstLine="480"/>
      </w:pPr>
      <w:r>
        <w:rPr/>
        <w:t>传真：</w:t>
      </w:r>
      <w:r>
        <w:rPr/>
        <w:t>0769-22881803</w:t>
      </w:r>
    </w:p>
    <w:p>
      <w:pPr>
        <w:ind w:firstLine="480"/>
      </w:pPr>
      <w:r>
        <w:rPr/>
        <w:t>邮箱：</w:t>
      </w:r>
      <w:r>
        <w:rPr/>
        <w:t>471539976@qq.com</w:t>
      </w:r>
    </w:p>
    <w:p>
      <w:pPr>
        <w:ind w:firstLine="480"/>
      </w:pPr>
      <w:r>
        <w:rPr/>
        <w:t>地址：</w:t>
      </w:r>
      <w:r>
        <w:rPr/>
        <w:t>东莞市南城街道鸿福路199号（市民服务中心）411室</w:t>
      </w:r>
    </w:p>
    <w:p>
      <w:pPr>
        <w:ind w:firstLine="480"/>
      </w:pPr>
      <w:r>
        <w:rPr/>
        <w:t>邮编：</w:t>
      </w:r>
      <w:r>
        <w:rPr/>
        <w:t>523000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政府采购监督管理机构名称：东莞市财政局政府采购监管科</w:t>
      </w:r>
    </w:p>
    <w:p>
      <w:r>
        <w:rPr/>
        <w:t>地  址：东莞市南城区鸿福路99号行政办事中心主楼12楼28室</w:t>
      </w:r>
    </w:p>
    <w:p>
      <w:r>
        <w:rPr/>
        <w:t>电  话：0769-22831025、0769-22830161</w:t>
      </w:r>
    </w:p>
    <w:p>
      <w:r>
        <w:rPr/>
        <w:t>邮  编：523000</w:t>
      </w:r>
    </w:p>
    <w:p>
      <w:r>
        <w:rPr/>
        <w:t>传  真：-</w:t>
      </w:r>
    </w:p>
    <w:p/>
    <w:p>
      <w:r>
        <w:rPr>
          <w:b/>
          <w:sz w:val="28"/>
        </w:rPr>
        <w:t>八、合同签订和履行</w:t>
      </w:r>
    </w:p>
    <w:p>
      <w:r>
        <w:rPr>
          <w:b/>
          <w:sz w:val="24"/>
        </w:rPr>
        <w:t>1.合同签订</w:t>
      </w:r>
    </w:p>
    <w:p>
      <w:pPr>
        <w:ind w:firstLine="480"/>
      </w:pPr>
      <w:r>
        <w:rPr/>
        <w:t>1.1采购人应当自《成交通知书》发出之日起三十日内，按照磋商文件和成交供应商响应文件的约定，与成交供应商签订合同。所签订的合同不得对磋商文件和成交供应商响应文件作实质性修改。</w:t>
      </w:r>
    </w:p>
    <w:p>
      <w:pPr>
        <w:ind w:firstLine="480"/>
      </w:pPr>
      <w:r>
        <w:rPr/>
        <w:t>1.2采购人不得提出试用合格等任何不合理的要求作为签订合同的条件，且不得与成交供应商私下订立背离合同实质性内容的协议。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评审</w:t>
      </w:r>
    </w:p>
    <w:p>
      <w:r>
        <w:rPr>
          <w:b/>
          <w:sz w:val="28"/>
        </w:rPr>
        <w:t>一、评审要求</w:t>
      </w:r>
    </w:p>
    <w:p>
      <w:r>
        <w:rPr>
          <w:b/>
          <w:sz w:val="24"/>
        </w:rPr>
        <w:t>1.评审方法</w:t>
      </w:r>
    </w:p>
    <w:p>
      <w:pPr>
        <w:ind w:firstLine="480"/>
      </w:pPr>
    </w:p>
    <w:p/>
    <w:p>
      <w:r>
        <w:rPr/>
        <w:t>采购包1(石排镇2023-2025年内河涌保洁工作)：综合评分法,是指响应文件满足磋商文件全部实质性要求，且按照评审因素的量化指标评审得分最高的投标人为成交候选人的评标方法。（最低报价不是成交的唯一依据。）</w:t>
      </w:r>
    </w:p>
    <w:p/>
    <w:p>
      <w:r>
        <w:rPr>
          <w:b/>
          <w:sz w:val="24"/>
        </w:rPr>
        <w:t>2.评审原则</w:t>
      </w:r>
    </w:p>
    <w:p>
      <w:pPr>
        <w:ind w:firstLine="480"/>
      </w:pPr>
      <w:r>
        <w:rPr/>
        <w:t>2.1评审活动遵循公平、公正、科学和择优的原则，以磋商文件和响应文件为评审的基本依据，并按照磋商文件规定的评审方法和评审标准进行评审。</w:t>
      </w:r>
    </w:p>
    <w:p>
      <w:pPr>
        <w:ind w:firstLine="480"/>
      </w:pPr>
      <w:r>
        <w:rPr/>
        <w:t>2.2具体评审事项由磋商小组负责，并按磋商文件的规定办法进行评审。对磋商文件中描述有歧义或前后不一致的地方，磋商小组有权按法律法规的规定进行评判，但对同一条款的评判应适用于每个响应供应商。</w:t>
      </w:r>
    </w:p>
    <w:p>
      <w:r>
        <w:rPr>
          <w:b/>
          <w:sz w:val="24"/>
        </w:rPr>
        <w:t>3.磋商小组</w:t>
      </w:r>
    </w:p>
    <w:p>
      <w:pPr>
        <w:ind w:firstLine="480"/>
      </w:pPr>
      <w:r>
        <w:rPr/>
        <w:t>3.1磋商小组由采购人代表和评审专家组成，成员人数应当为3人及以上单数，其中技术、经济等方面的评审专家不得少于成员总数的三分之二。</w:t>
      </w:r>
    </w:p>
    <w:p>
      <w:pPr>
        <w:ind w:firstLine="480"/>
      </w:pPr>
      <w:r>
        <w:rPr/>
        <w:t>3.2评审应遵守下列评审纪律：</w:t>
      </w:r>
    </w:p>
    <w:p>
      <w:pPr>
        <w:ind w:firstLine="480"/>
      </w:pPr>
      <w:r>
        <w:rPr/>
        <w:t>（1）评审情况不得私自外泄，有关信息由</w:t>
      </w:r>
      <w:r>
        <w:rPr/>
        <w:t>广东政通招标有限公司</w:t>
      </w:r>
      <w:r>
        <w:rPr/>
        <w:t>统一对外发布。</w:t>
      </w:r>
    </w:p>
    <w:p>
      <w:pPr>
        <w:ind w:firstLine="480"/>
      </w:pPr>
      <w:r>
        <w:rPr/>
        <w:t>（2）对</w:t>
      </w:r>
      <w:r>
        <w:rPr/>
        <w:t>广东政通招标有限公司</w:t>
      </w:r>
      <w:r>
        <w:rPr/>
        <w:t>或供应商提供的要求保密的资料，不得摘记翻印和外传。</w:t>
      </w:r>
    </w:p>
    <w:p>
      <w:pPr>
        <w:ind w:firstLine="480"/>
      </w:pPr>
      <w:r>
        <w:rPr/>
        <w:t>（3）不得收受响应供应商或有关人员的任何礼物，不得串联鼓动其他人袒护某供应商。若与供应商存在利害关系，则应主动声明并回避。</w:t>
      </w:r>
    </w:p>
    <w:p>
      <w:pPr>
        <w:ind w:firstLine="480"/>
      </w:pPr>
      <w:r>
        <w:rPr/>
        <w:t>（4）全体评委应按照磋商文件规定进行评审，一切认定事项应查有实据且不得弄虚作假。</w:t>
      </w:r>
    </w:p>
    <w:p>
      <w:pPr>
        <w:ind w:firstLine="480"/>
      </w:pPr>
      <w:r>
        <w:rPr/>
        <w:t>（5）磋商小组各成员应当独立对每个响应供应商的响应文件进行评价，并对评价意见承担个人责任。评审过程中，不得发表倾向性言论。</w:t>
      </w:r>
    </w:p>
    <w:p>
      <w:pPr>
        <w:ind w:firstLine="480"/>
      </w:pPr>
      <w:r>
        <w:rPr/>
        <w:t>※对违反评审纪律的评委，将取消其评委资格，对评审工作造成严重损失者将予以通报批评乃至追究法律责任。</w:t>
      </w:r>
    </w:p>
    <w:p>
      <w:r>
        <w:rPr>
          <w:b/>
          <w:sz w:val="24"/>
        </w:rPr>
        <w:t>4.有下列情形之一的，视为供应商串通响应，其响应无效</w:t>
      </w:r>
    </w:p>
    <w:p>
      <w:pPr>
        <w:ind w:firstLine="480"/>
      </w:pPr>
      <w:r>
        <w:rPr/>
        <w:t>4.1不同供应商的响应文件由同一单位或者个人编制；</w:t>
      </w:r>
    </w:p>
    <w:p>
      <w:pPr>
        <w:ind w:firstLine="480"/>
      </w:pPr>
      <w:r>
        <w:rPr/>
        <w:t>4.2不同供应商委托同一单位或者个人办理响应事宜；</w:t>
      </w:r>
    </w:p>
    <w:p>
      <w:pPr>
        <w:ind w:firstLine="480"/>
      </w:pPr>
      <w:r>
        <w:rPr/>
        <w:t>4.3不同供应商的响应文件载明的项目管理成员或者联系人员为同一人；</w:t>
      </w:r>
    </w:p>
    <w:p>
      <w:pPr>
        <w:ind w:firstLine="480"/>
      </w:pPr>
      <w:r>
        <w:rPr/>
        <w:t>4.4不同供应商的响应文件异常一致或者响应报价呈规律性差异；</w:t>
      </w:r>
    </w:p>
    <w:p>
      <w:pPr>
        <w:ind w:firstLine="480"/>
      </w:pPr>
      <w:r>
        <w:rPr/>
        <w:t>4.5不同供应商的响应文件相互混装；</w:t>
      </w:r>
    </w:p>
    <w:p>
      <w:pPr>
        <w:ind w:firstLine="480"/>
      </w:pPr>
      <w:r>
        <w:rPr/>
        <w:t>4.6不同供应商的响应保证金或购买电子保函支付款为从同一单位或个人的账户转出。</w:t>
      </w:r>
    </w:p>
    <w:p>
      <w:pPr>
        <w:ind w:firstLine="480"/>
      </w:pPr>
      <w:r>
        <w:rPr/>
        <w:t>4.7供应商上传的电子响应文件使用该项目其他响应供应商的数字证书加密的或加盖该项目的其他响应供应商的电子印章的。</w:t>
      </w:r>
    </w:p>
    <w:p>
      <w:pPr>
        <w:ind w:firstLine="480"/>
      </w:pPr>
      <w:r>
        <w:rPr/>
        <w:t xml:space="preserve"> 说明：在评审过程中发现供应商有上述情形的，磋商小组应当认定其响应无效。同时，项目评审时被认定为串通响应的供应商不得参加该合同项下的采购活动。</w:t>
      </w:r>
    </w:p>
    <w:p>
      <w:r>
        <w:rPr>
          <w:b/>
          <w:sz w:val="24"/>
        </w:rPr>
        <w:t>5.有下列情形之一的，属于恶意串通响应：</w:t>
      </w:r>
    </w:p>
    <w:p>
      <w:pPr>
        <w:ind w:firstLine="480"/>
      </w:pPr>
      <w:r>
        <w:rPr/>
        <w:t>（1）供应商直接或者间接从采购人或者采购代理机构处获得其他供应商的相关情况并修改其响应文件；</w:t>
      </w:r>
    </w:p>
    <w:p>
      <w:pPr>
        <w:ind w:firstLine="480"/>
      </w:pPr>
      <w:r>
        <w:rPr/>
        <w:t>（2）供应商按照采购人或者采购代理机构的授意撤换、修改响应文件；</w:t>
      </w:r>
    </w:p>
    <w:p>
      <w:pPr>
        <w:ind w:firstLine="480"/>
      </w:pPr>
      <w:r>
        <w:rPr/>
        <w:t>（3）供应商之间协商报价、技术方案等响应文件的实质性内容；</w:t>
      </w:r>
    </w:p>
    <w:p>
      <w:pPr>
        <w:ind w:firstLine="480"/>
      </w:pPr>
      <w:r>
        <w:rPr/>
        <w:t>（4）属于同一集团、协会、商会等组织成员的供应商按照该组织要求协同参加政府采购活动；</w:t>
      </w:r>
    </w:p>
    <w:p>
      <w:pPr>
        <w:ind w:firstLine="480"/>
      </w:pPr>
      <w:r>
        <w:rPr/>
        <w:t>（5）供应商之间事先约定由某一特定供应商成交；</w:t>
      </w:r>
    </w:p>
    <w:p>
      <w:pPr>
        <w:ind w:firstLine="480"/>
      </w:pPr>
      <w:r>
        <w:rPr/>
        <w:t>（6）供应商之间商定部分供应商放弃参加政府采购活动或者放弃成交；</w:t>
      </w:r>
    </w:p>
    <w:p>
      <w:pPr>
        <w:ind w:firstLine="480"/>
      </w:pPr>
      <w:r>
        <w:rPr/>
        <w:t>（7）供应商与采购人或者采购代理机构之间、供应商相互之间，为谋求特定供应商成交或者排斥其他供应商的其他串通行为。</w:t>
      </w:r>
    </w:p>
    <w:p>
      <w:r>
        <w:rPr>
          <w:b/>
          <w:sz w:val="24"/>
        </w:rPr>
        <w:t>6.其他响应无效的情形</w:t>
      </w:r>
    </w:p>
    <w:p>
      <w:pPr>
        <w:ind w:firstLine="480"/>
      </w:pPr>
      <w:r>
        <w:rPr/>
        <w:t>详见资格性审查、符合性审查和磋商文件其他响应无效条款。</w:t>
      </w:r>
    </w:p>
    <w:p>
      <w:r>
        <w:rPr>
          <w:b/>
          <w:sz w:val="24"/>
        </w:rPr>
        <w:t>7.终止竞争性磋商采购活动的情形</w:t>
      </w:r>
    </w:p>
    <w:p>
      <w:pPr>
        <w:ind w:firstLine="480"/>
      </w:pPr>
      <w:r>
        <w:rPr/>
        <w:t>出现下列情形之一的，采购人或者采购代理机构应当终止竞争性磋商采购活动，发布项目终止公告并说明原因，重新开展采购活动：</w:t>
      </w:r>
    </w:p>
    <w:p>
      <w:pPr>
        <w:ind w:firstLine="480"/>
      </w:pPr>
      <w:r>
        <w:rPr/>
        <w:t>（1）因情况变化，不再符合规定的竞争性磋商采购方式适用情形的；</w:t>
      </w:r>
    </w:p>
    <w:p>
      <w:pPr>
        <w:ind w:firstLine="480"/>
      </w:pPr>
      <w:r>
        <w:rPr/>
        <w:t>（2）出现影响采购公正的违法、违规行为的；</w:t>
      </w:r>
    </w:p>
    <w:p>
      <w:pPr>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ind w:firstLine="480"/>
      </w:pPr>
      <w:r>
        <w:rPr/>
        <w:t>（4）法律、法规以及磋商文件规定其他情形。</w:t>
      </w:r>
    </w:p>
    <w:p>
      <w:r>
        <w:rPr>
          <w:b/>
          <w:sz w:val="24"/>
        </w:rPr>
        <w:t>8.确定成交供应商</w:t>
      </w:r>
    </w:p>
    <w:p>
      <w:pPr>
        <w:ind w:firstLine="480"/>
      </w:pPr>
      <w:r>
        <w:rPr/>
        <w:t>磋商小组按照磋商文件确定的评审方法、步骤、标准，对响应文件进行评审。评审结束后，对供应商的评审名次进行排序，确定成交供应商或者推荐成交候选供应商。</w:t>
      </w:r>
    </w:p>
    <w:p>
      <w:r>
        <w:rPr>
          <w:b/>
          <w:sz w:val="24"/>
        </w:rPr>
        <w:t>9.价格修正</w:t>
      </w:r>
    </w:p>
    <w:p>
      <w:pPr>
        <w:ind w:firstLine="480"/>
      </w:pPr>
      <w:r>
        <w:rPr/>
        <w:t>对报价的计算错误按以下原则修正：</w:t>
      </w:r>
    </w:p>
    <w:p>
      <w:pPr>
        <w:ind w:firstLine="480"/>
      </w:pPr>
      <w:r>
        <w:rPr/>
        <w:t>（1）响应文件中首轮报价表（报价表）内容与响应文件中相应内容不一致的，以首轮报价表（报价表）为准；</w:t>
      </w:r>
    </w:p>
    <w:p>
      <w:pPr>
        <w:ind w:firstLine="480"/>
      </w:pPr>
      <w:r>
        <w:rPr/>
        <w:t>（2）大写金额和小写金额不一致的，以大写金额为准；</w:t>
      </w:r>
    </w:p>
    <w:p>
      <w:pPr>
        <w:ind w:firstLine="480"/>
      </w:pPr>
      <w:r>
        <w:rPr/>
        <w:t>（3）单价金额小数点或者百分比有明显错位的，以首轮报价表的总价为准，并修改单价；</w:t>
      </w:r>
    </w:p>
    <w:p>
      <w:pPr>
        <w:ind w:firstLine="480"/>
      </w:pPr>
      <w:r>
        <w:rPr/>
        <w:t>（4）总价金额与按单价汇总金额不一致的，以单价金额计算结果为准。但是单价金额计算结果超过预算价的，对其按无效响应处理；</w:t>
      </w:r>
    </w:p>
    <w:p>
      <w:pPr>
        <w:ind w:firstLine="480"/>
      </w:pPr>
      <w:r>
        <w:rPr/>
        <w:t>（5）若投标客户端上传的电子报价数据与电子响应文件价格不一致的，以电子报价数据为准。</w:t>
      </w:r>
    </w:p>
    <w:p>
      <w:pPr>
        <w:ind w:firstLine="480"/>
      </w:pPr>
      <w:r>
        <w:rPr/>
        <w:t>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采购包1（石排镇2023-2025年内河涌保洁工作）：</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ind w:firstLine="480"/>
      </w:pPr>
      <w:r>
        <w:rPr/>
        <w:t>说明：供应商应当对其出具的《中小企业声明函》真实性负责，供应商出具的《中小企业声明函》内容不实的，属于提供虚假材料谋取成交。</w:t>
      </w:r>
    </w:p>
    <w:p>
      <w:pPr>
        <w:ind w:firstLine="480"/>
      </w:pPr>
      <w:r>
        <w:rPr/>
        <w:t>（3）联合体各方均为小型、微型企业的，各方均应提供《中小企业声明函》；中小微企业作为联合体一方参与政府采购活动，且联合体协议书中约定，小型、微型企业的协议合同金额占到联合体协议合同总金额30%以上的，应附中小微企业的《中小企业声明函》。</w:t>
      </w:r>
    </w:p>
    <w:p>
      <w:r>
        <w:rPr>
          <w:b/>
          <w:sz w:val="28"/>
        </w:rPr>
        <w:t>三、评审程序</w:t>
      </w:r>
    </w:p>
    <w:p>
      <w:r>
        <w:rPr>
          <w:b/>
          <w:sz w:val="24"/>
        </w:rPr>
        <w:t>1.资格性审查和符合性审查</w:t>
      </w:r>
    </w:p>
    <w:p>
      <w:pPr>
        <w:ind w:firstLine="480"/>
      </w:pPr>
      <w:r>
        <w:rPr/>
        <w:t>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ind w:firstLine="480"/>
      </w:pPr>
      <w:r>
        <w:rPr/>
        <w:t>磋商小组对各磋商供应商进行资格性和符合性审查过程中，对初步被认定为初审不合格或无效响应者应实行及时告知，由磋商小组组长或采购人代表将集体意见及时告知报价当事人。</w:t>
      </w:r>
    </w:p>
    <w:p>
      <w:pPr>
        <w:ind w:firstLine="480"/>
      </w:pPr>
      <w:r>
        <w:rPr/>
        <w:t>表一资格性审查表：</w:t>
      </w:r>
    </w:p>
    <w:p>
      <w:pPr>
        <w:ind w:firstLine="480"/>
      </w:pPr>
    </w:p>
    <w:p/>
    <w:p>
      <w:r>
        <w:rPr/>
        <w:t>采购包1（石排镇2023-2025年内河涌保洁工作）：</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提供投标截止日前6个月内任意1个月依法缴纳税收和社会保障资金的相关材料。如依法免税或不需要缴纳社会保障资金的， 提供相应证明材料。(或提供相关承诺函）</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供应商必须具有良好的商业信誉和健全的财务会计制度（提供2021年度财务状况报告或基本开户行出具的资信证明）。(或提供相关承诺函)</w:t>
            </w:r>
          </w:p>
        </w:tc>
      </w:tr>
      <w:tr>
        <w:tc>
          <w:tcPr>
            <w:tcW w:type="dxa" w:w="890"/>
          </w:tcPr>
          <w:p>
            <w:r>
              <w:rPr/>
              <w:t>4</w:t>
            </w:r>
          </w:p>
        </w:tc>
        <w:tc>
          <w:tcPr>
            <w:tcW w:type="dxa" w:w="3178"/>
          </w:tcPr>
          <w:p>
            <w:r>
              <w:rPr/>
              <w:t>履行合同所必需的设备和专业技术能力</w:t>
            </w:r>
          </w:p>
        </w:tc>
        <w:tc>
          <w:tcPr>
            <w:tcW w:type="dxa" w:w="4238"/>
          </w:tcPr>
          <w:p>
            <w:r>
              <w:rPr/>
              <w:t>按投标（响应）文件格式填报设备及专业技术能力情况。（或提供相关承诺函）</w:t>
            </w:r>
          </w:p>
        </w:tc>
      </w:tr>
      <w:tr>
        <w:tc>
          <w:tcPr>
            <w:tcW w:type="dxa" w:w="890"/>
          </w:tcPr>
          <w:p>
            <w:r>
              <w:rPr/>
              <w:t>5</w:t>
            </w:r>
          </w:p>
        </w:tc>
        <w:tc>
          <w:tcPr>
            <w:tcW w:type="dxa" w:w="3178"/>
          </w:tcPr>
          <w:p>
            <w:r>
              <w:rPr/>
              <w:t>参加采购活动前3年内，在经营活动中没有重大违法记录</w:t>
            </w:r>
          </w:p>
        </w:tc>
        <w:tc>
          <w:tcPr>
            <w:tcW w:type="dxa" w:w="4238"/>
          </w:tcPr>
          <w:p>
            <w:r>
              <w:rPr/>
              <w:t>在经营活动中没有重大违法记录：参照投标（报价）函相关承诺格式内容。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供应商未被列入“信用中国”网站(www.creditchina.gov.cn)“记录失信被执行人或税收违法黑名单”记录名单；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 如相关失信记录已失效， 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r>
              <w:rPr/>
              <w:t>8</w:t>
            </w:r>
          </w:p>
        </w:tc>
        <w:tc>
          <w:tcPr>
            <w:tcW w:type="dxa" w:w="3178"/>
          </w:tcPr>
          <w:p>
            <w:r>
              <w:rPr/>
              <w:t>本采购包专门面向中小企业采购</w:t>
            </w:r>
          </w:p>
        </w:tc>
        <w:tc>
          <w:tcPr>
            <w:tcW w:type="dxa" w:w="4238"/>
          </w:tcPr>
          <w:p>
            <w:r>
              <w:rPr/>
              <w:t>本项目整体专门面向中小企业采购。供应商须符合本项目采购标的对应行业（本项目行业为：其他未列明行业）的政策划分标准。监狱企业、残疾人福利单位视同小型、微型企业。 注：中小企业以供应商填写的 《中小企业声明函》为判定标准，残疾人福利性单位以供应商填写的《残疾人福利性单位声明函》为判定标准，监狱企业须供应商提供由省级以上监狱管理局、戒毒管理局（含新疆生产建设兵团）出具的属于监狱企业的证明文件，否则不予认定。</w:t>
            </w:r>
          </w:p>
        </w:tc>
      </w:tr>
    </w:tbl>
    <w:p/>
    <w:p>
      <w:pPr>
        <w:ind w:firstLine="480"/>
      </w:pPr>
      <w:r>
        <w:rPr/>
        <w:t>表二符合性审查表：</w:t>
      </w:r>
    </w:p>
    <w:p>
      <w:pPr>
        <w:ind w:firstLine="480"/>
      </w:pPr>
    </w:p>
    <w:p/>
    <w:p>
      <w:r>
        <w:rPr/>
        <w:t>采购包1（石排镇2023-2025年内河涌保洁工作）：</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响应承诺函</w:t>
            </w:r>
          </w:p>
        </w:tc>
        <w:tc>
          <w:tcPr>
            <w:tcW w:type="dxa" w:w="4238"/>
          </w:tcPr>
          <w:p>
            <w:r>
              <w:rPr/>
              <w:t>已按规定格式编制及盖章、签署，磋商有效期满足磋商文件要求。</w:t>
            </w:r>
          </w:p>
        </w:tc>
      </w:tr>
      <w:tr>
        <w:tc>
          <w:tcPr>
            <w:tcW w:type="dxa" w:w="890"/>
          </w:tcPr>
          <w:p>
            <w:r>
              <w:rPr/>
              <w:t>2</w:t>
            </w:r>
          </w:p>
        </w:tc>
        <w:tc>
          <w:tcPr>
            <w:tcW w:type="dxa" w:w="3178"/>
          </w:tcPr>
          <w:p>
            <w:r>
              <w:rPr/>
              <w:t>法定代表人证明书及授权委托书</w:t>
            </w:r>
          </w:p>
        </w:tc>
        <w:tc>
          <w:tcPr>
            <w:tcW w:type="dxa" w:w="4238"/>
          </w:tcPr>
          <w:p>
            <w:r>
              <w:rPr/>
              <w:t>已经盖章、签署，授权有效期。</w:t>
            </w:r>
          </w:p>
        </w:tc>
      </w:tr>
      <w:tr>
        <w:tc>
          <w:tcPr>
            <w:tcW w:type="dxa" w:w="890"/>
          </w:tcPr>
          <w:p>
            <w:r>
              <w:rPr/>
              <w:t>3</w:t>
            </w:r>
          </w:p>
        </w:tc>
        <w:tc>
          <w:tcPr>
            <w:tcW w:type="dxa" w:w="3178"/>
          </w:tcPr>
          <w:p>
            <w:r>
              <w:rPr/>
              <w:t>响应文件内容、签署、盖章</w:t>
            </w:r>
          </w:p>
        </w:tc>
        <w:tc>
          <w:tcPr>
            <w:tcW w:type="dxa" w:w="4238"/>
          </w:tcPr>
          <w:p>
            <w:r>
              <w:rPr/>
              <w:t>响应文件内容完整，无重大错漏，并已按磋商文件要求盖章、签署。</w:t>
            </w:r>
          </w:p>
        </w:tc>
      </w:tr>
      <w:tr>
        <w:tc>
          <w:tcPr>
            <w:tcW w:type="dxa" w:w="890"/>
          </w:tcPr>
          <w:p>
            <w:r>
              <w:rPr/>
              <w:t>4</w:t>
            </w:r>
          </w:p>
        </w:tc>
        <w:tc>
          <w:tcPr>
            <w:tcW w:type="dxa" w:w="3178"/>
          </w:tcPr>
          <w:p>
            <w:r>
              <w:rPr/>
              <w:t>响应报价</w:t>
            </w:r>
          </w:p>
        </w:tc>
        <w:tc>
          <w:tcPr>
            <w:tcW w:type="dxa" w:w="4238"/>
          </w:tcPr>
          <w:p>
            <w:r>
              <w:rPr/>
              <w:t>供应商的响应报价无超出项目预算金额。</w:t>
            </w:r>
          </w:p>
        </w:tc>
      </w:tr>
      <w:tr>
        <w:tc>
          <w:tcPr>
            <w:tcW w:type="dxa" w:w="890"/>
          </w:tcPr>
          <w:p>
            <w:r>
              <w:rPr/>
              <w:t>5</w:t>
            </w:r>
          </w:p>
        </w:tc>
        <w:tc>
          <w:tcPr>
            <w:tcW w:type="dxa" w:w="3178"/>
          </w:tcPr>
          <w:p>
            <w:r>
              <w:rPr/>
              <w:t>商务审查</w:t>
            </w:r>
          </w:p>
        </w:tc>
        <w:tc>
          <w:tcPr>
            <w:tcW w:type="dxa" w:w="4238"/>
          </w:tcPr>
          <w:p>
            <w:r>
              <w:rPr/>
              <w:t>商务条款满足磋商文件要求。</w:t>
            </w:r>
          </w:p>
        </w:tc>
      </w:tr>
      <w:tr>
        <w:tc>
          <w:tcPr>
            <w:tcW w:type="dxa" w:w="890"/>
          </w:tcPr>
          <w:p>
            <w:r>
              <w:rPr/>
              <w:t>6</w:t>
            </w:r>
          </w:p>
        </w:tc>
        <w:tc>
          <w:tcPr>
            <w:tcW w:type="dxa" w:w="3178"/>
          </w:tcPr>
          <w:p>
            <w:r>
              <w:rPr/>
              <w:t>技术审查</w:t>
            </w:r>
          </w:p>
        </w:tc>
        <w:tc>
          <w:tcPr>
            <w:tcW w:type="dxa" w:w="4238"/>
          </w:tcPr>
          <w:p>
            <w:r>
              <w:rPr/>
              <w:t>技术条款满足磋商文件要求。</w:t>
            </w:r>
          </w:p>
        </w:tc>
      </w:tr>
      <w:tr>
        <w:tc>
          <w:tcPr>
            <w:tcW w:type="dxa" w:w="890"/>
          </w:tcPr>
          <w:p>
            <w:r>
              <w:rPr/>
              <w:t>7</w:t>
            </w:r>
          </w:p>
        </w:tc>
        <w:tc>
          <w:tcPr>
            <w:tcW w:type="dxa" w:w="3178"/>
          </w:tcPr>
          <w:p>
            <w:r>
              <w:rPr/>
              <w:t>附加条件</w:t>
            </w:r>
          </w:p>
        </w:tc>
        <w:tc>
          <w:tcPr>
            <w:tcW w:type="dxa" w:w="4238"/>
          </w:tcPr>
          <w:p>
            <w:r>
              <w:rPr/>
              <w:t>响应文件未含有采购人不能接受的附加条件。</w:t>
            </w:r>
          </w:p>
        </w:tc>
      </w:tr>
      <w:tr>
        <w:tc>
          <w:tcPr>
            <w:tcW w:type="dxa" w:w="890"/>
          </w:tcPr>
          <w:p>
            <w:r>
              <w:rPr/>
              <w:t>8</w:t>
            </w:r>
          </w:p>
        </w:tc>
        <w:tc>
          <w:tcPr>
            <w:tcW w:type="dxa" w:w="3178"/>
          </w:tcPr>
          <w:p>
            <w:r>
              <w:rPr/>
              <w:t>无效情形</w:t>
            </w:r>
          </w:p>
        </w:tc>
        <w:tc>
          <w:tcPr>
            <w:tcW w:type="dxa" w:w="4238"/>
          </w:tcPr>
          <w:p>
            <w:r>
              <w:rPr/>
              <w:t>响应文件中未有法律、法规和磋商文件规定的其他无效情形。</w:t>
            </w:r>
          </w:p>
        </w:tc>
      </w:tr>
    </w:tbl>
    <w:p/>
    <w:p>
      <w:r>
        <w:rPr>
          <w:b/>
          <w:sz w:val="24"/>
        </w:rPr>
        <w:t>2.响应文件澄清</w:t>
      </w:r>
    </w:p>
    <w:p>
      <w:pPr>
        <w:ind w:firstLine="480"/>
      </w:pPr>
      <w:r>
        <w:rPr/>
        <w:t>2.1对于响应文件中含义不明确、同类问题表述不一致或者有明显文字和计算错误的内容，磋商小组可在评审过程中发起在线澄清，要求供应商针对价格或内容做出必要的澄清、说明或补正。代理机构可根据开启环节记录的</w:t>
      </w:r>
      <w:r>
        <w:rPr>
          <w:b/>
        </w:rPr>
        <w:t>授权代表人联系方式</w:t>
      </w:r>
      <w:r>
        <w:rPr/>
        <w:t>发送短信提醒或电话告知。</w:t>
      </w:r>
    </w:p>
    <w:p>
      <w:pPr>
        <w:ind w:firstLine="480"/>
      </w:pPr>
      <w:r>
        <w:rPr/>
        <w:t>供应商需登录广东政府采购智慧云平台项目采购系统的等候大厅，在规定时间内完成澄清（响应），并加盖电子印章。</w:t>
      </w:r>
    </w:p>
    <w:p>
      <w:pPr>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ind w:firstLine="480"/>
      </w:pPr>
      <w:r>
        <w:rPr/>
        <w:t>2.2磋商小组不接受供应商主动提出的澄清、说明或补正。</w:t>
      </w:r>
    </w:p>
    <w:p>
      <w:pPr>
        <w:ind w:firstLine="480"/>
      </w:pPr>
      <w:r>
        <w:rPr/>
        <w:t>2.3磋商小组对供应商提交的澄清、说明或补正有疑问的，可以要求供应商进一步澄清、说明或补正。</w:t>
      </w:r>
    </w:p>
    <w:p>
      <w:r>
        <w:rPr>
          <w:b/>
          <w:sz w:val="24"/>
        </w:rPr>
        <w:t>3.磋商</w:t>
      </w:r>
    </w:p>
    <w:p>
      <w:pPr>
        <w:ind w:firstLine="480"/>
      </w:pPr>
      <w:r>
        <w:rPr/>
        <w:t>3.1磋商小组所有成员应当集中与单一供应商分别进行磋商，并给予所有参加磋商的供应商平等的磋商机会。</w:t>
      </w:r>
    </w:p>
    <w:p>
      <w:pPr>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ind w:firstLine="480"/>
      </w:pPr>
      <w:r>
        <w:rPr/>
        <w:t>3.3对磋商文件作出的实质性变动是磋商文件的有效组成部分，磋商小组应当及时、同时通知所有参加磋商的供应商。</w:t>
      </w:r>
    </w:p>
    <w:p>
      <w:pPr>
        <w:ind w:firstLine="480"/>
      </w:pPr>
      <w:r>
        <w:rPr/>
        <w:t>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r>
        <w:rPr>
          <w:b/>
          <w:sz w:val="24"/>
        </w:rPr>
        <w:t>4.最后报价</w:t>
      </w:r>
    </w:p>
    <w:p>
      <w:pPr>
        <w:ind w:firstLine="480"/>
      </w:pPr>
      <w:r>
        <w:rPr/>
        <w:t>4.1磋商结束后，磋商小组应当要求所有实质性响应的供应商在规定时间内提交最后报价。最后报价是供应商响应文件的有效组成部分。</w:t>
      </w:r>
    </w:p>
    <w:p>
      <w:pPr>
        <w:ind w:firstLine="480"/>
      </w:pPr>
      <w:r>
        <w:rPr/>
        <w:t>4.2已提交响应文件的供应商，在提交最后报价之前，可以根据磋商情况退出磋商。</w:t>
      </w:r>
    </w:p>
    <w:p>
      <w:pPr>
        <w:ind w:firstLine="480"/>
      </w:pPr>
      <w:r>
        <w:rPr/>
        <w:t>4.3除法规规定的特殊性情形外，提交最后报价的供应商不得少于3家。</w:t>
      </w:r>
    </w:p>
    <w:p>
      <w:r>
        <w:rPr>
          <w:b/>
          <w:sz w:val="24"/>
        </w:rPr>
        <w:t>5.详细评审</w:t>
      </w:r>
    </w:p>
    <w:p>
      <w:pPr>
        <w:ind w:firstLine="480"/>
      </w:pPr>
    </w:p>
    <w:p/>
    <w:p/>
    <w:p>
      <w:r>
        <w:rPr/>
        <w:t>采购包1(石排镇2023-2025年内河涌保洁工作):</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商务部分20.0分</w:t>
            </w:r>
          </w:p>
          <w:p>
            <w:r>
              <w:rPr/>
              <w:t>技术部分70.0分</w:t>
            </w:r>
          </w:p>
          <w:p>
            <w:r>
              <w:rPr/>
              <w:t>报价得分10.0分</w:t>
            </w:r>
          </w:p>
        </w:tc>
      </w:tr>
      <w:tr>
        <w:tc>
          <w:tcPr>
            <w:tcW w:type="dxa" w:w="922"/>
            <w:gridSpan w:val="2"/>
            <w:vMerge w:val="restart"/>
          </w:tcPr>
          <w:p>
            <w:pPr>
              <w:jc w:val="center"/>
            </w:pPr>
            <w:r>
              <w:rPr/>
              <w:t>技术部分</w:t>
            </w:r>
          </w:p>
        </w:tc>
        <w:tc>
          <w:tcPr>
            <w:tcW w:type="dxa" w:w="2307"/>
          </w:tcPr>
          <w:p>
            <w:pPr>
              <w:jc w:val="left"/>
            </w:pPr>
            <w:r>
              <w:rPr/>
              <w:t>项目的理解 (10.0分)</w:t>
            </w:r>
            <w:r>
              <w:rPr/>
              <w:t>，（等次分值选择：</w:t>
            </w:r>
            <w:r>
              <w:rPr/>
              <w:t>0.0;</w:t>
            </w:r>
            <w:r>
              <w:rPr/>
              <w:t>1.0;</w:t>
            </w:r>
            <w:r>
              <w:rPr/>
              <w:t>3.0;</w:t>
            </w:r>
            <w:r>
              <w:rPr/>
              <w:t>6.0;</w:t>
            </w:r>
            <w:r>
              <w:rPr/>
              <w:t>10.0;</w:t>
            </w:r>
            <w:r>
              <w:rPr/>
              <w:t>）</w:t>
            </w:r>
          </w:p>
        </w:tc>
        <w:tc>
          <w:tcPr>
            <w:tcW w:type="dxa" w:w="5076"/>
          </w:tcPr>
          <w:p>
            <w:pPr>
              <w:jc w:val="left"/>
            </w:pPr>
            <w:r>
              <w:rPr/>
              <w:t>根据供应商对本项目现场的熟悉程度、理解及项目重点和难点的分析，以及根据项目重点和难点所采取的措施等进行综合评价： 现场的熟悉程度深入，重点和难点分析合理、所采取的应急计划和措施可行性强，得10分； 现场的熟悉程度较深入，重点和难点分析较合理、所采取的应急计划和措施可行性较强，得6分； 现场的熟悉程度一般，重点和难点分析基本合理、所采取的应急计划和措施可行性一般，得3分； 现场的熟悉程度肤浅，重点和难点分析基本合理、所采取的应急计划和措施可行性较差，得1分； 未提供方案，不得分。</w:t>
            </w:r>
          </w:p>
        </w:tc>
      </w:tr>
      <w:tr>
        <w:tc>
          <w:tcPr>
            <w:tcW w:type="dxa" w:w="922"/>
            <w:gridSpan w:val="2"/>
            <w:vMerge/>
          </w:tcPr>
          <w:p/>
        </w:tc>
        <w:tc>
          <w:tcPr>
            <w:tcW w:type="dxa" w:w="2307"/>
          </w:tcPr>
          <w:p>
            <w:pPr>
              <w:jc w:val="left"/>
            </w:pPr>
            <w:r>
              <w:rPr/>
              <w:t>服务方案 (15.0分)</w:t>
            </w:r>
            <w:r>
              <w:rPr/>
              <w:t>，（等次分值选择：</w:t>
            </w:r>
            <w:r>
              <w:rPr/>
              <w:t>0.0;</w:t>
            </w:r>
            <w:r>
              <w:rPr/>
              <w:t>1.0;</w:t>
            </w:r>
            <w:r>
              <w:rPr/>
              <w:t>5.0;</w:t>
            </w:r>
            <w:r>
              <w:rPr/>
              <w:t>10.0;</w:t>
            </w:r>
            <w:r>
              <w:rPr/>
              <w:t>15.0;</w:t>
            </w:r>
            <w:r>
              <w:rPr/>
              <w:t>）</w:t>
            </w:r>
          </w:p>
        </w:tc>
        <w:tc>
          <w:tcPr>
            <w:tcW w:type="dxa" w:w="5076"/>
          </w:tcPr>
          <w:p>
            <w:pPr>
              <w:jc w:val="left"/>
            </w:pPr>
            <w:r>
              <w:rPr/>
              <w:t>根根据供应商提供的服务方案（包括但不限于作业区域的作业内容、作业时间、作业方法、日常巡查及自检保障措施等）进行综合评审： 方案筹划周全、非常有时效性，有完整规划的操作流程，非常有利于项目实施，得15分； 方案筹划较周全、较有时效性，有较完整规划的操作流程，有利于项目实施，得10分； 方案筹划一般，有基本的时效性，操作流程一般，基本能满足项目要求，得5分； 方案筹划及时效性有所欠缺，操作流程不能完全满足项目要求，得1分； 未提供对应方案，不得分。</w:t>
            </w:r>
          </w:p>
        </w:tc>
      </w:tr>
      <w:tr>
        <w:tc>
          <w:tcPr>
            <w:tcW w:type="dxa" w:w="922"/>
            <w:gridSpan w:val="2"/>
            <w:vMerge/>
          </w:tcPr>
          <w:p/>
        </w:tc>
        <w:tc>
          <w:tcPr>
            <w:tcW w:type="dxa" w:w="2307"/>
          </w:tcPr>
          <w:p>
            <w:pPr>
              <w:jc w:val="left"/>
            </w:pPr>
            <w:r>
              <w:rPr/>
              <w:t>安全作业措施方案 (12.0分)</w:t>
            </w:r>
            <w:r>
              <w:rPr/>
              <w:t>，（等次分值选择：</w:t>
            </w:r>
            <w:r>
              <w:rPr/>
              <w:t>0.0;</w:t>
            </w:r>
            <w:r>
              <w:rPr/>
              <w:t>1.0;</w:t>
            </w:r>
            <w:r>
              <w:rPr/>
              <w:t>4.0;</w:t>
            </w:r>
            <w:r>
              <w:rPr/>
              <w:t>8.0;</w:t>
            </w:r>
            <w:r>
              <w:rPr/>
              <w:t>12.0;</w:t>
            </w:r>
            <w:r>
              <w:rPr/>
              <w:t>）</w:t>
            </w:r>
          </w:p>
        </w:tc>
        <w:tc>
          <w:tcPr>
            <w:tcW w:type="dxa" w:w="5076"/>
          </w:tcPr>
          <w:p>
            <w:pPr>
              <w:jc w:val="left"/>
            </w:pPr>
            <w:r>
              <w:rPr/>
              <w:t>根据供应商对本项目编制的安全作业措施方案进行综合评审： 方案详尽科学、针对性强，相应措施合理可行，有利于项目实施，得12分； 方案较详尽，针对性基本符合要求，相应的措施基本合理可行，得8分； 方案全面性一般，针对性一般，相应的措施可行性一般，得4分； 方案不全面，针对性差，相应的措施可行性差，得1分； 未提供对应方案，不得分。</w:t>
            </w:r>
          </w:p>
        </w:tc>
      </w:tr>
      <w:tr>
        <w:tc>
          <w:tcPr>
            <w:tcW w:type="dxa" w:w="922"/>
            <w:gridSpan w:val="2"/>
            <w:vMerge/>
          </w:tcPr>
          <w:p/>
        </w:tc>
        <w:tc>
          <w:tcPr>
            <w:tcW w:type="dxa" w:w="2307"/>
          </w:tcPr>
          <w:p>
            <w:pPr>
              <w:jc w:val="left"/>
            </w:pPr>
            <w:r>
              <w:rPr/>
              <w:t>质量保证措施方案 (12.0分)</w:t>
            </w:r>
            <w:r>
              <w:rPr/>
              <w:t>，（等次分值选择：</w:t>
            </w:r>
            <w:r>
              <w:rPr/>
              <w:t>0.0;</w:t>
            </w:r>
            <w:r>
              <w:rPr/>
              <w:t>1.0;</w:t>
            </w:r>
            <w:r>
              <w:rPr/>
              <w:t>4.0;</w:t>
            </w:r>
            <w:r>
              <w:rPr/>
              <w:t>8.0;</w:t>
            </w:r>
            <w:r>
              <w:rPr/>
              <w:t>12.0;</w:t>
            </w:r>
            <w:r>
              <w:rPr/>
              <w:t>）</w:t>
            </w:r>
          </w:p>
        </w:tc>
        <w:tc>
          <w:tcPr>
            <w:tcW w:type="dxa" w:w="5076"/>
          </w:tcPr>
          <w:p>
            <w:pPr>
              <w:jc w:val="left"/>
            </w:pPr>
            <w:r>
              <w:rPr/>
              <w:t>根据供应商是否能根据本项目要求提供详细的服务质量方案保证目标及分期目标，并提供具体可行、详细的保证措施等进行综合评审： 措施科学完整，质量保证目标明确及具有合理具体的分期目标，针对性强，可行性强，可操作性强，得12分； 措施基本完整，质量保证目标明确及具有分期目标，针对性一般，可行性一般，可操性一般，得8分； 措施基本完整，质量保证目标不明确，分期目标不具体，针对性差，可行性一般，可操作性一般，得4分； 措施不完整，质量保证目标不明确，分期目标不具体，针对性差，可行性差，可操作性差，得1分； 未提供对应方案，不得分。</w:t>
            </w:r>
          </w:p>
        </w:tc>
      </w:tr>
      <w:tr>
        <w:tc>
          <w:tcPr>
            <w:tcW w:type="dxa" w:w="922"/>
            <w:gridSpan w:val="2"/>
            <w:vMerge/>
          </w:tcPr>
          <w:p/>
        </w:tc>
        <w:tc>
          <w:tcPr>
            <w:tcW w:type="dxa" w:w="2307"/>
          </w:tcPr>
          <w:p>
            <w:pPr>
              <w:jc w:val="left"/>
            </w:pPr>
            <w:r>
              <w:rPr/>
              <w:t>应急方案 (12.0分)</w:t>
            </w:r>
            <w:r>
              <w:rPr/>
              <w:t>，（等次分值选择：</w:t>
            </w:r>
            <w:r>
              <w:rPr/>
              <w:t>0.0;</w:t>
            </w:r>
            <w:r>
              <w:rPr/>
              <w:t>1.0;</w:t>
            </w:r>
            <w:r>
              <w:rPr/>
              <w:t>4.0;</w:t>
            </w:r>
            <w:r>
              <w:rPr/>
              <w:t>8.0;</w:t>
            </w:r>
            <w:r>
              <w:rPr/>
              <w:t>12.0;</w:t>
            </w:r>
            <w:r>
              <w:rPr/>
              <w:t>）</w:t>
            </w:r>
          </w:p>
        </w:tc>
        <w:tc>
          <w:tcPr>
            <w:tcW w:type="dxa" w:w="5076"/>
          </w:tcPr>
          <w:p>
            <w:pPr>
              <w:jc w:val="left"/>
            </w:pPr>
            <w:r>
              <w:rPr/>
              <w:t>根据供应商针对台风、暴雨等天气影响，重大接待任务，重大节假日或活动等特殊情况制定的应急方案（包括传达机制、人员和设备调配、责任分工等）进行综合评审： 应急方案详尽完整、针对性强，相应的应急措施切实有效可行，得12分； 应急方案较详尽完整、针对性较强，相应的应急措施较合理可行，得8分； 应急方案基本满足要求、针对性一般，相应的应急措施基本合理，得4分； 应急方案不能满足要求、针对性差、应急措施不合理，得1分； 未提供对应方案，不得分。</w:t>
            </w:r>
          </w:p>
        </w:tc>
      </w:tr>
      <w:tr>
        <w:tc>
          <w:tcPr>
            <w:tcW w:type="dxa" w:w="922"/>
            <w:gridSpan w:val="2"/>
            <w:vMerge/>
          </w:tcPr>
          <w:p/>
        </w:tc>
        <w:tc>
          <w:tcPr>
            <w:tcW w:type="dxa" w:w="2307"/>
          </w:tcPr>
          <w:p>
            <w:pPr>
              <w:jc w:val="left"/>
            </w:pPr>
            <w:r>
              <w:rPr/>
              <w:t>项目人员管理及配置安排 (9.0分)</w:t>
            </w:r>
            <w:r>
              <w:rPr/>
              <w:t>，（等次分值选择：</w:t>
            </w:r>
            <w:r>
              <w:rPr/>
              <w:t>0.0;</w:t>
            </w:r>
            <w:r>
              <w:rPr/>
              <w:t>1.0;</w:t>
            </w:r>
            <w:r>
              <w:rPr/>
              <w:t>5.0;</w:t>
            </w:r>
            <w:r>
              <w:rPr/>
              <w:t>9.0;</w:t>
            </w:r>
            <w:r>
              <w:rPr/>
              <w:t>）</w:t>
            </w:r>
          </w:p>
        </w:tc>
        <w:tc>
          <w:tcPr>
            <w:tcW w:type="dxa" w:w="5076"/>
          </w:tcPr>
          <w:p>
            <w:pPr>
              <w:jc w:val="left"/>
            </w:pPr>
            <w:r>
              <w:rPr/>
              <w:t>根据供应商所提供的人员管理实施方案(包括但不限于管理组织架构、人员分工、岗位责任、责任监督制度等)进行综合评审: 实施方案规范性、明确性、完整性较强,得9分； 实施方案规范性、明确性、完整性一般,得5分； 实施方案规范性、明确性、完整性较差,得1分； 未提供对应方案，不得分。</w:t>
            </w:r>
          </w:p>
        </w:tc>
      </w:tr>
      <w:tr>
        <w:tc>
          <w:tcPr>
            <w:tcW w:type="dxa" w:w="922"/>
            <w:gridSpan w:val="2"/>
            <w:vMerge w:val="restart"/>
          </w:tcPr>
          <w:p>
            <w:pPr>
              <w:jc w:val="center"/>
            </w:pPr>
            <w:r>
              <w:rPr/>
              <w:t>商务部分</w:t>
            </w:r>
          </w:p>
        </w:tc>
        <w:tc>
          <w:tcPr>
            <w:tcW w:type="dxa" w:w="2307"/>
          </w:tcPr>
          <w:p>
            <w:pPr>
              <w:jc w:val="left"/>
            </w:pPr>
            <w:r>
              <w:rPr/>
              <w:t>体系认证 (4.0分)</w:t>
            </w:r>
          </w:p>
        </w:tc>
        <w:tc>
          <w:tcPr>
            <w:tcW w:type="dxa" w:w="5076"/>
          </w:tcPr>
          <w:p>
            <w:pPr>
              <w:jc w:val="left"/>
            </w:pPr>
            <w:r>
              <w:rPr/>
              <w:t>供应商具有由国家认监委批准设立的认证机构颁发并在有效期内的质量管理体系认证、环境管理体系认证、职业健康安全管理体系认证、诚信管理体系认证的，每个得1分，本项最高得4分。 注：须提供有效证书复印件并加盖供应商公章，不符合以上要求的不得分。</w:t>
            </w:r>
          </w:p>
        </w:tc>
      </w:tr>
      <w:tr>
        <w:tc>
          <w:tcPr>
            <w:tcW w:type="dxa" w:w="922"/>
            <w:gridSpan w:val="2"/>
            <w:vMerge/>
          </w:tcPr>
          <w:p/>
        </w:tc>
        <w:tc>
          <w:tcPr>
            <w:tcW w:type="dxa" w:w="2307"/>
          </w:tcPr>
          <w:p>
            <w:pPr>
              <w:jc w:val="left"/>
            </w:pPr>
            <w:r>
              <w:rPr/>
              <w:t>业绩 (6.0分)</w:t>
            </w:r>
          </w:p>
        </w:tc>
        <w:tc>
          <w:tcPr>
            <w:tcW w:type="dxa" w:w="5076"/>
          </w:tcPr>
          <w:p>
            <w:pPr>
              <w:jc w:val="left"/>
            </w:pPr>
            <w:r>
              <w:rPr/>
              <w:t>根据供应商具有河涌保洁（或河道保洁或水域保洁）类项目业绩进行评审，每提供一个业绩合同得2分，本项最高得6分。  注：须提供合同复印件加盖供应商公章，否则不得分。</w:t>
            </w:r>
          </w:p>
        </w:tc>
      </w:tr>
      <w:tr>
        <w:tc>
          <w:tcPr>
            <w:tcW w:type="dxa" w:w="922"/>
            <w:gridSpan w:val="2"/>
            <w:vMerge/>
          </w:tcPr>
          <w:p/>
        </w:tc>
        <w:tc>
          <w:tcPr>
            <w:tcW w:type="dxa" w:w="2307"/>
          </w:tcPr>
          <w:p>
            <w:pPr>
              <w:jc w:val="left"/>
            </w:pPr>
            <w:r>
              <w:rPr/>
              <w:t>企业荣誉 (8.0分)</w:t>
            </w:r>
          </w:p>
        </w:tc>
        <w:tc>
          <w:tcPr>
            <w:tcW w:type="dxa" w:w="5076"/>
          </w:tcPr>
          <w:p>
            <w:pPr>
              <w:jc w:val="left"/>
            </w:pPr>
            <w:r>
              <w:rPr/>
              <w:t>供应商具有保洁（或环卫）类荣誉的，每个得2分，本项最高得8分。 注：须提供荣誉证书或牌匾照片或表彰文件的复印件加盖供应商公章，否则不得分。</w:t>
            </w:r>
          </w:p>
        </w:tc>
      </w:tr>
      <w:tr>
        <w:tc>
          <w:tcPr>
            <w:tcW w:type="dxa" w:w="922"/>
            <w:gridSpan w:val="2"/>
            <w:vMerge/>
          </w:tcPr>
          <w:p/>
        </w:tc>
        <w:tc>
          <w:tcPr>
            <w:tcW w:type="dxa" w:w="2307"/>
          </w:tcPr>
          <w:p>
            <w:pPr>
              <w:jc w:val="left"/>
            </w:pPr>
            <w:r>
              <w:rPr/>
              <w:t>服务响应 (2.0分)</w:t>
            </w:r>
          </w:p>
        </w:tc>
        <w:tc>
          <w:tcPr>
            <w:tcW w:type="dxa" w:w="5076"/>
          </w:tcPr>
          <w:p>
            <w:pPr>
              <w:jc w:val="left"/>
            </w:pPr>
            <w:r>
              <w:rPr/>
              <w:t>根据供应商提供的服务响应时间承诺进行评分。 承诺在接到采购人通知后1小时内到现场，得2分； 承诺在接到采购人通知后2小时内到现场，得1分； 承诺在接到采购人通知后3小时（含）内到现场，得0.5分； 其它不得分。 注：须提供服务承诺书并加盖供应商公章，否则不得分。</w:t>
            </w:r>
          </w:p>
        </w:tc>
      </w:tr>
      <w:tr>
        <w:tc>
          <w:tcPr>
            <w:tcW w:type="dxa" w:w="922"/>
            <w:gridSpan w:val="2"/>
          </w:tcPr>
          <w:p>
            <w:pPr>
              <w:jc w:val="center"/>
            </w:pPr>
            <w:r>
              <w:rPr/>
              <w:t>投标报价</w:t>
            </w:r>
          </w:p>
        </w:tc>
        <w:tc>
          <w:tcPr>
            <w:tcW w:type="dxa" w:w="2307"/>
          </w:tcPr>
          <w:p>
            <w:pPr>
              <w:jc w:val="left"/>
            </w:pPr>
            <w:r>
              <w:rPr/>
              <w:t>投标报价得分 (10.0分)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b/>
          <w:sz w:val="24"/>
        </w:rPr>
        <w:t>6.汇总、排序</w:t>
      </w:r>
    </w:p>
    <w:p>
      <w:pPr>
        <w:ind w:firstLine="480"/>
      </w:pPr>
    </w:p>
    <w:p/>
    <w:p>
      <w:r>
        <w:rPr/>
        <w:t>采购包1：</w:t>
      </w:r>
    </w:p>
    <w:p/>
    <w:p>
      <w:r>
        <w:rPr/>
        <w:t>评审结果按评审后总得分由高到低顺序排列。评审得分相同的，按最终报价由低到高顺序排列。得分且最终报价相同的，由谈判小组采取随机抽取的方式确定。排名第一的谈判供应商为第一成交候选人，排名第二的谈判供应商为第二成交候选人（提供相同品牌产品（非单一产品采购，以核心产品为准。多个核心产品的，有一种产品品牌相同，即视为提供相同品牌产品），评审后得分最高的同品牌谈判供应商获得成交候选人推荐资格；评审得分相同的，由采购人或者采购人委托谈判小组采取随机抽取方式确定，其他同品牌谈判供应商不作为成交候选人）。</w:t>
      </w:r>
    </w:p>
    <w:p/>
    <w:p>
      <w:r>
        <w:rPr>
          <w:b/>
          <w:sz w:val="24"/>
        </w:rPr>
        <w:t>7.其他无效响应的情形：</w:t>
      </w:r>
    </w:p>
    <w:p>
      <w:pPr>
        <w:ind w:firstLine="480"/>
      </w:pPr>
      <w:r>
        <w:rPr/>
        <w:t>（1）评审期间，供应商没有按磋商小组的要求提交法定代表人或其委托代理人签字的澄清、说明、补正或改变了响应文件的实质性内容的。</w:t>
      </w:r>
    </w:p>
    <w:p>
      <w:pPr>
        <w:ind w:firstLine="480"/>
      </w:pPr>
      <w:r>
        <w:rPr/>
        <w:t>（2）响应文件提供虚假材料的。</w:t>
      </w:r>
    </w:p>
    <w:p>
      <w:pPr>
        <w:ind w:firstLine="480"/>
      </w:pPr>
      <w:r>
        <w:rPr/>
        <w:t>（3）供应商以他人名义响应、串通响应、以行贿手段谋取成交或者以其他弄虚作假方式响应的。</w:t>
      </w:r>
    </w:p>
    <w:p>
      <w:pPr>
        <w:ind w:firstLine="480"/>
      </w:pPr>
      <w:r>
        <w:rPr/>
        <w:t>（4）供应商对采购人、采购代理机构、磋商小组及其工作人员施加影响，有碍招标公平、公正的。</w:t>
      </w:r>
    </w:p>
    <w:p>
      <w:pPr>
        <w:ind w:firstLine="480"/>
      </w:pPr>
      <w:r>
        <w:rPr/>
        <w:t>（5）响应文件含有采购人不能接受的附加条件的。</w:t>
      </w:r>
    </w:p>
    <w:p>
      <w:pPr>
        <w:ind w:firstLine="480"/>
      </w:pPr>
      <w:r>
        <w:rPr/>
        <w:t>（6）法律、法规和磋商文件规定的其他无效情形。</w:t>
      </w:r>
    </w:p>
    <w:p>
      <w:pPr>
        <w:ind w:firstLine="480"/>
      </w:pPr>
    </w:p>
    <w:p>
      <w:r>
        <w:rPr/>
        <w:t xml:space="preserve"> </w:t>
      </w:r>
    </w:p>
    <w:p/>
    <w:p>
      <w:pPr>
        <w:jc w:val="center"/>
      </w:pPr>
      <w:r>
        <w:rPr>
          <w:b/>
          <w:sz w:val="36"/>
        </w:rPr>
        <w:t>第五章 合同文本</w:t>
      </w:r>
    </w:p>
    <w:p>
      <w:pPr>
        <w:ind w:firstLine="480"/>
      </w:pPr>
    </w:p>
    <w:p/>
    <w:p/>
    <w:p/>
    <w:p>
      <w:pPr>
        <w:shd w:fill="FFFFFF"/>
        <w:jc w:val="center"/>
      </w:pPr>
      <w:r>
        <w:rPr>
          <w:rFonts w:ascii="宋体" w:hAnsi="宋体" w:cs="宋体" w:eastAsia="宋体"/>
          <w:b/>
          <w:color w:val="222222"/>
          <w:sz w:val="48"/>
        </w:rPr>
        <w:t xml:space="preserve"> </w:t>
      </w:r>
    </w:p>
    <w:p>
      <w:pPr>
        <w:shd w:fill="FFFFFF"/>
        <w:jc w:val="center"/>
      </w:pPr>
      <w:r>
        <w:rPr>
          <w:rFonts w:ascii="宋体" w:hAnsi="宋体" w:cs="宋体" w:eastAsia="宋体"/>
          <w:b/>
          <w:color w:val="222222"/>
          <w:sz w:val="48"/>
        </w:rPr>
        <w:t xml:space="preserve"> </w:t>
      </w:r>
    </w:p>
    <w:p>
      <w:pPr>
        <w:shd w:fill="FFFFFF"/>
        <w:jc w:val="center"/>
      </w:pPr>
      <w:r>
        <w:rPr>
          <w:rFonts w:ascii="宋体" w:hAnsi="宋体" w:cs="宋体" w:eastAsia="宋体"/>
          <w:b/>
          <w:color w:val="222222"/>
          <w:sz w:val="48"/>
        </w:rPr>
        <w:t xml:space="preserve"> </w:t>
      </w:r>
    </w:p>
    <w:p>
      <w:pPr>
        <w:shd w:fill="FFFFFF"/>
        <w:jc w:val="center"/>
      </w:pPr>
      <w:r>
        <w:rPr>
          <w:rFonts w:ascii="宋体" w:hAnsi="宋体" w:cs="宋体" w:eastAsia="宋体"/>
          <w:b/>
          <w:color w:val="222222"/>
          <w:sz w:val="48"/>
        </w:rPr>
        <w:t xml:space="preserve"> </w:t>
      </w:r>
    </w:p>
    <w:p>
      <w:pPr>
        <w:shd w:fill="FFFFFF"/>
        <w:jc w:val="center"/>
      </w:pPr>
      <w:r>
        <w:rPr>
          <w:rFonts w:ascii="宋体" w:hAnsi="宋体" w:cs="宋体" w:eastAsia="宋体"/>
          <w:b/>
          <w:color w:val="222222"/>
          <w:sz w:val="48"/>
        </w:rPr>
        <w:t>广东省政府采购</w:t>
      </w:r>
    </w:p>
    <w:p>
      <w:pPr>
        <w:shd w:fill="FFFFFF"/>
        <w:jc w:val="both"/>
      </w:pPr>
      <w:r>
        <w:rPr>
          <w:rFonts w:ascii="helvetica" w:hAnsi="helvetica" w:cs="helvetica" w:eastAsia="helvetica"/>
          <w:color w:val="222222"/>
          <w:sz w:val="27"/>
        </w:rPr>
        <w:t xml:space="preserve"> </w:t>
      </w:r>
    </w:p>
    <w:p>
      <w:pPr>
        <w:shd w:fill="FFFFFF"/>
        <w:jc w:val="center"/>
      </w:pPr>
      <w:r>
        <w:rPr>
          <w:rFonts w:ascii="宋体" w:hAnsi="宋体" w:cs="宋体" w:eastAsia="宋体"/>
          <w:b/>
          <w:color w:val="222222"/>
          <w:sz w:val="48"/>
        </w:rPr>
        <w:t>合　同　书</w:t>
      </w:r>
    </w:p>
    <w:p>
      <w:pPr>
        <w:shd w:fill="FFFFFF"/>
        <w:jc w:val="center"/>
      </w:pPr>
      <w:r>
        <w:br/>
      </w:r>
      <w:r>
        <w:br/>
      </w:r>
      <w:r>
        <w:br/>
      </w:r>
      <w:r>
        <w:br/>
      </w:r>
      <w:r>
        <w:br/>
      </w:r>
      <w:r>
        <w:br/>
      </w:r>
      <w:r>
        <w:br/>
      </w:r>
      <w:r>
        <w:br/>
      </w:r>
      <w:r>
        <w:rPr>
          <w:rFonts w:ascii="helvetica" w:hAnsi="helvetica" w:cs="helvetica" w:eastAsia="helvetica"/>
          <w:color w:val="222222"/>
          <w:sz w:val="27"/>
        </w:rPr>
        <w:t xml:space="preserve"> </w:t>
      </w:r>
    </w:p>
    <w:p>
      <w:pPr>
        <w:shd w:fill="FFFFFF"/>
        <w:jc w:val="center"/>
      </w:pPr>
      <w:r>
        <w:rPr>
          <w:rFonts w:ascii="宋体" w:hAnsi="宋体" w:cs="宋体" w:eastAsia="宋体"/>
          <w:color w:val="222222"/>
          <w:sz w:val="28"/>
        </w:rPr>
        <w:t>采购计划编号：</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jc w:val="both"/>
      </w:pPr>
      <w:r>
        <w:rPr>
          <w:rFonts w:ascii="helvetica" w:hAnsi="helvetica" w:cs="helvetica" w:eastAsia="helvetica"/>
          <w:color w:val="222222"/>
          <w:sz w:val="27"/>
        </w:rPr>
        <w:t xml:space="preserve"> </w:t>
      </w:r>
    </w:p>
    <w:p>
      <w:pPr>
        <w:shd w:fill="FFFFFF"/>
        <w:jc w:val="center"/>
      </w:pPr>
      <w:r>
        <w:rPr>
          <w:rFonts w:ascii="宋体" w:hAnsi="宋体" w:cs="宋体" w:eastAsia="宋体"/>
          <w:color w:val="222222"/>
          <w:sz w:val="28"/>
        </w:rPr>
        <w:t>项目编号：</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jc w:val="both"/>
      </w:pPr>
      <w:r>
        <w:rPr>
          <w:rFonts w:ascii="helvetica" w:hAnsi="helvetica" w:cs="helvetica" w:eastAsia="helvetica"/>
          <w:color w:val="222222"/>
          <w:sz w:val="27"/>
        </w:rPr>
        <w:t xml:space="preserve"> </w:t>
      </w:r>
    </w:p>
    <w:p>
      <w:pPr>
        <w:shd w:fill="FFFFFF"/>
        <w:jc w:val="center"/>
      </w:pPr>
      <w:r>
        <w:rPr>
          <w:rFonts w:ascii="宋体" w:hAnsi="宋体" w:cs="宋体" w:eastAsia="宋体"/>
          <w:color w:val="222222"/>
          <w:sz w:val="28"/>
        </w:rPr>
        <w:t>项目名称：</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jc w:val="both"/>
      </w:pPr>
      <w:r>
        <w:br/>
      </w:r>
      <w:r>
        <w:rPr>
          <w:rFonts w:ascii="helvetica" w:hAnsi="helvetica" w:cs="helvetica" w:eastAsia="helvetica"/>
          <w:color w:val="222222"/>
          <w:sz w:val="27"/>
        </w:rPr>
        <w:t xml:space="preserve"> </w:t>
      </w:r>
    </w:p>
    <w:p>
      <w:pPr>
        <w:shd w:fill="FFFFFF"/>
        <w:jc w:val="both"/>
      </w:pPr>
      <w:r>
        <w:rPr>
          <w:rFonts w:ascii="宋体" w:hAnsi="宋体" w:cs="宋体" w:eastAsia="宋体"/>
          <w:b/>
          <w:color w:val="222222"/>
          <w:sz w:val="27"/>
        </w:rPr>
        <w:t>甲方：</w:t>
      </w:r>
      <w:r>
        <w:rPr>
          <w:rFonts w:ascii="宋体" w:hAnsi="宋体" w:cs="宋体" w:eastAsia="宋体"/>
          <w:b/>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p>
    <w:p>
      <w:pPr>
        <w:shd w:fill="FFFFFF"/>
        <w:jc w:val="both"/>
      </w:pPr>
      <w:r>
        <w:rPr>
          <w:rFonts w:ascii="宋体" w:hAnsi="宋体" w:cs="宋体" w:eastAsia="宋体"/>
          <w:color w:val="222222"/>
          <w:sz w:val="27"/>
        </w:rPr>
        <w:t>电话：</w:t>
      </w:r>
      <w:r>
        <w:rPr>
          <w:rFonts w:ascii="宋体" w:hAnsi="宋体" w:cs="宋体" w:eastAsia="宋体"/>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color w:val="222222"/>
          <w:sz w:val="27"/>
        </w:rPr>
        <w:t>传真</w:t>
      </w:r>
      <w:r>
        <w:rPr>
          <w:rFonts w:ascii="宋体" w:hAnsi="宋体" w:cs="宋体" w:eastAsia="宋体"/>
          <w:color w:val="222222"/>
          <w:sz w:val="27"/>
        </w:rPr>
        <w:t xml:space="preserve"> </w:t>
      </w:r>
      <w:r>
        <w:rPr>
          <w:rFonts w:ascii="宋体" w:hAnsi="宋体" w:cs="宋体" w:eastAsia="宋体"/>
          <w:color w:val="222222"/>
          <w:sz w:val="27"/>
        </w:rPr>
        <w:t>：</w:t>
      </w:r>
      <w:r>
        <w:rPr>
          <w:rFonts w:ascii="宋体" w:hAnsi="宋体" w:cs="宋体" w:eastAsia="宋体"/>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color w:val="222222"/>
          <w:sz w:val="27"/>
        </w:rPr>
        <w:t>地址：</w:t>
      </w:r>
      <w:r>
        <w:rPr>
          <w:rFonts w:ascii="宋体" w:hAnsi="宋体" w:cs="宋体" w:eastAsia="宋体"/>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p>
    <w:p>
      <w:pPr>
        <w:shd w:fill="FFFFFF"/>
        <w:jc w:val="both"/>
      </w:pPr>
      <w:r>
        <w:rPr>
          <w:rFonts w:ascii="宋体" w:hAnsi="宋体" w:cs="宋体" w:eastAsia="宋体"/>
          <w:b/>
          <w:color w:val="222222"/>
          <w:sz w:val="27"/>
        </w:rPr>
        <w:t>乙方：</w:t>
      </w:r>
      <w:r>
        <w:rPr>
          <w:rFonts w:ascii="宋体" w:hAnsi="宋体" w:cs="宋体" w:eastAsia="宋体"/>
          <w:b/>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p>
    <w:p>
      <w:pPr>
        <w:shd w:fill="FFFFFF"/>
        <w:jc w:val="both"/>
      </w:pPr>
      <w:r>
        <w:rPr>
          <w:rFonts w:ascii="宋体" w:hAnsi="宋体" w:cs="宋体" w:eastAsia="宋体"/>
          <w:color w:val="222222"/>
          <w:sz w:val="27"/>
        </w:rPr>
        <w:t>电话：</w:t>
      </w:r>
      <w:r>
        <w:rPr>
          <w:rFonts w:ascii="宋体" w:hAnsi="宋体" w:cs="宋体" w:eastAsia="宋体"/>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color w:val="222222"/>
          <w:sz w:val="27"/>
        </w:rPr>
        <w:t>传真：</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color w:val="222222"/>
          <w:sz w:val="27"/>
        </w:rPr>
        <w:t>地址：</w:t>
      </w:r>
      <w:r>
        <w:rPr>
          <w:rFonts w:ascii="宋体" w:hAnsi="宋体" w:cs="宋体" w:eastAsia="宋体"/>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p>
    <w:p>
      <w:pPr>
        <w:shd w:fill="FFFFFF"/>
        <w:jc w:val="both"/>
      </w:pPr>
      <w:r>
        <w:rPr>
          <w:rFonts w:ascii="helvetica" w:hAnsi="helvetica" w:cs="helvetica" w:eastAsia="helvetica"/>
          <w:color w:val="222222"/>
          <w:sz w:val="27"/>
        </w:rPr>
        <w:t xml:space="preserve"> </w:t>
      </w:r>
    </w:p>
    <w:p>
      <w:pPr>
        <w:shd w:fill="FFFFFF"/>
        <w:jc w:val="both"/>
      </w:pP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根据</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项目</w:t>
      </w:r>
      <w:r>
        <w:rPr>
          <w:rFonts w:ascii="宋体" w:hAnsi="宋体" w:cs="宋体" w:eastAsia="宋体"/>
          <w:color w:val="222222"/>
          <w:sz w:val="27"/>
        </w:rPr>
        <w:t xml:space="preserve"> </w:t>
      </w:r>
      <w:r>
        <w:rPr>
          <w:rFonts w:ascii="宋体" w:hAnsi="宋体" w:cs="宋体" w:eastAsia="宋体"/>
          <w:color w:val="222222"/>
          <w:sz w:val="27"/>
        </w:rPr>
        <w:t>的采购结果，按照《中华人民共和国政府采购法》，《</w:t>
      </w:r>
      <w:r>
        <w:rPr>
          <w:rFonts w:ascii="宋体" w:hAnsi="宋体" w:cs="宋体" w:eastAsia="宋体"/>
          <w:color w:val="222222"/>
          <w:sz w:val="27"/>
        </w:rPr>
        <w:t>中华人民共和国民法典(合同编)</w:t>
      </w:r>
      <w:r>
        <w:rPr>
          <w:rFonts w:ascii="宋体" w:hAnsi="宋体" w:cs="宋体" w:eastAsia="宋体"/>
          <w:color w:val="222222"/>
          <w:sz w:val="27"/>
        </w:rPr>
        <w:t>》的规定，经双方协商，本着平等互利和诚实信用的原则，一致同意遵守本合同如下。</w:t>
      </w:r>
    </w:p>
    <w:p>
      <w:pPr>
        <w:shd w:fill="FFFFFF"/>
        <w:jc w:val="both"/>
      </w:pPr>
      <w:r>
        <w:rPr>
          <w:rFonts w:ascii="宋体" w:hAnsi="宋体" w:cs="宋体" w:eastAsia="宋体"/>
          <w:b/>
          <w:color w:val="222222"/>
          <w:sz w:val="27"/>
        </w:rPr>
        <w:t>一、合同金额</w:t>
      </w:r>
    </w:p>
    <w:p>
      <w:pPr>
        <w:shd w:fill="FFFFFF"/>
        <w:jc w:val="both"/>
      </w:pPr>
      <w:r>
        <w:rPr>
          <w:rFonts w:ascii="宋体" w:hAnsi="宋体" w:cs="宋体" w:eastAsia="宋体"/>
          <w:color w:val="222222"/>
          <w:sz w:val="27"/>
        </w:rPr>
        <w:t>　　合同金额为（大写）：_____________元（￥_________元）人民币。</w:t>
      </w:r>
    </w:p>
    <w:p>
      <w:pPr>
        <w:shd w:fill="FFFFFF"/>
        <w:jc w:val="both"/>
      </w:pPr>
      <w:r>
        <w:rPr>
          <w:rFonts w:ascii="宋体" w:hAnsi="宋体" w:cs="宋体" w:eastAsia="宋体"/>
          <w:b/>
          <w:color w:val="222222"/>
          <w:sz w:val="27"/>
        </w:rPr>
        <w:t>二、服务范围</w:t>
      </w:r>
    </w:p>
    <w:p>
      <w:pPr>
        <w:shd w:fill="FFFFFF"/>
        <w:jc w:val="both"/>
      </w:pPr>
      <w:r>
        <w:rPr>
          <w:rFonts w:ascii="宋体" w:hAnsi="宋体" w:cs="宋体" w:eastAsia="宋体"/>
          <w:color w:val="222222"/>
          <w:sz w:val="27"/>
        </w:rPr>
        <w:t>　　甲方聘请乙方提供以下服务：</w:t>
      </w:r>
    </w:p>
    <w:p>
      <w:pPr>
        <w:shd w:fill="FFFFFF"/>
        <w:jc w:val="both"/>
      </w:pPr>
      <w:r>
        <w:rPr>
          <w:rFonts w:ascii="宋体" w:hAnsi="宋体" w:cs="宋体" w:eastAsia="宋体"/>
          <w:color w:val="222222"/>
          <w:sz w:val="27"/>
        </w:rPr>
        <w:t>　　1．</w:t>
      </w:r>
      <w:r>
        <w:rPr>
          <w:rFonts w:ascii="宋体" w:hAnsi="宋体" w:cs="宋体" w:eastAsia="宋体"/>
          <w:color w:val="222222"/>
          <w:sz w:val="27"/>
        </w:rPr>
        <w:t>　　　　　　　　　　　</w:t>
      </w:r>
      <w:r>
        <w:rPr>
          <w:rFonts w:ascii="宋体" w:hAnsi="宋体" w:cs="宋体" w:eastAsia="宋体"/>
          <w:color w:val="222222"/>
          <w:sz w:val="27"/>
        </w:rPr>
        <w:t>。</w:t>
      </w:r>
    </w:p>
    <w:p>
      <w:pPr>
        <w:shd w:fill="FFFFFF"/>
        <w:jc w:val="both"/>
      </w:pPr>
      <w:r>
        <w:rPr>
          <w:rFonts w:ascii="宋体" w:hAnsi="宋体" w:cs="宋体" w:eastAsia="宋体"/>
          <w:color w:val="222222"/>
          <w:sz w:val="27"/>
        </w:rPr>
        <w:t>　　2．</w:t>
      </w:r>
      <w:r>
        <w:rPr>
          <w:rFonts w:ascii="宋体" w:hAnsi="宋体" w:cs="宋体" w:eastAsia="宋体"/>
          <w:color w:val="222222"/>
          <w:sz w:val="27"/>
        </w:rPr>
        <w:t>　　　　　　　　　　　</w:t>
      </w:r>
    </w:p>
    <w:p>
      <w:pPr>
        <w:shd w:fill="FFFFFF"/>
        <w:jc w:val="both"/>
      </w:pPr>
      <w:r>
        <w:rPr>
          <w:rFonts w:ascii="宋体" w:hAnsi="宋体" w:cs="宋体" w:eastAsia="宋体"/>
          <w:color w:val="222222"/>
          <w:sz w:val="27"/>
        </w:rPr>
        <w:t>……</w:t>
      </w:r>
    </w:p>
    <w:p>
      <w:pPr>
        <w:shd w:fill="FFFFFF"/>
        <w:jc w:val="both"/>
      </w:pPr>
      <w:r>
        <w:rPr>
          <w:rFonts w:ascii="宋体" w:hAnsi="宋体" w:cs="宋体" w:eastAsia="宋体"/>
          <w:b/>
          <w:color w:val="222222"/>
          <w:sz w:val="27"/>
        </w:rPr>
        <w:t>三、甲方乙方的权利和义务</w:t>
      </w:r>
    </w:p>
    <w:p>
      <w:pPr>
        <w:shd w:fill="FFFFFF"/>
        <w:jc w:val="both"/>
      </w:pPr>
      <w:r>
        <w:rPr>
          <w:rFonts w:ascii="宋体" w:hAnsi="宋体" w:cs="宋体" w:eastAsia="宋体"/>
          <w:color w:val="222222"/>
          <w:sz w:val="27"/>
        </w:rPr>
        <w:t>　　1.甲方的权利和义务</w:t>
      </w:r>
    </w:p>
    <w:p>
      <w:pPr>
        <w:shd w:fill="FFFFFF"/>
        <w:jc w:val="both"/>
      </w:pPr>
      <w:r>
        <w:rPr>
          <w:rFonts w:ascii="宋体" w:hAnsi="宋体" w:cs="宋体" w:eastAsia="宋体"/>
          <w:color w:val="222222"/>
          <w:sz w:val="27"/>
        </w:rPr>
        <w:t>　　2.乙方的权利和义务</w:t>
      </w:r>
    </w:p>
    <w:p>
      <w:pPr>
        <w:shd w:fill="FFFFFF"/>
        <w:jc w:val="both"/>
      </w:pPr>
      <w:r>
        <w:rPr>
          <w:rFonts w:ascii="宋体" w:hAnsi="宋体" w:cs="宋体" w:eastAsia="宋体"/>
          <w:b/>
          <w:color w:val="222222"/>
          <w:sz w:val="27"/>
        </w:rPr>
        <w:t>四、服务期间（项目完成期限）</w:t>
      </w:r>
    </w:p>
    <w:p>
      <w:pPr>
        <w:shd w:fill="FFFFFF"/>
        <w:jc w:val="both"/>
      </w:pPr>
      <w:r>
        <w:rPr>
          <w:rFonts w:ascii="宋体" w:hAnsi="宋体" w:cs="宋体" w:eastAsia="宋体"/>
          <w:color w:val="222222"/>
          <w:sz w:val="27"/>
        </w:rPr>
        <w:t>　　1.委托服务期间自______年______月至______年______月止。</w:t>
      </w:r>
    </w:p>
    <w:p>
      <w:pPr>
        <w:shd w:fill="FFFFFF"/>
        <w:jc w:val="both"/>
      </w:pPr>
      <w:r>
        <w:rPr>
          <w:rFonts w:ascii="宋体" w:hAnsi="宋体" w:cs="宋体" w:eastAsia="宋体"/>
          <w:b/>
          <w:color w:val="222222"/>
          <w:sz w:val="27"/>
        </w:rPr>
        <w:t>五、付款方式</w:t>
      </w:r>
    </w:p>
    <w:p>
      <w:pPr>
        <w:shd w:fill="FFFFFF"/>
        <w:jc w:val="both"/>
      </w:pPr>
      <w:r>
        <w:rPr>
          <w:rFonts w:ascii="宋体" w:hAnsi="宋体" w:cs="宋体" w:eastAsia="宋体"/>
          <w:color w:val="222222"/>
          <w:sz w:val="27"/>
        </w:rPr>
        <w:t>　　由甲方按下列程序在</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内付款：</w:t>
      </w:r>
    </w:p>
    <w:p>
      <w:pPr>
        <w:shd w:fill="FFFFFF"/>
        <w:jc w:val="both"/>
      </w:pPr>
      <w:r>
        <w:rPr>
          <w:rFonts w:ascii="宋体" w:hAnsi="宋体" w:cs="宋体" w:eastAsia="宋体"/>
          <w:color w:val="222222"/>
          <w:sz w:val="27"/>
        </w:rPr>
        <w:t>　　1.在合同实施及服务人员到达服务地后__天内，甲方应将第一次付　　款总服务费的__(-%)付给乙方。</w:t>
      </w:r>
    </w:p>
    <w:p>
      <w:pPr>
        <w:shd w:fill="FFFFFF"/>
        <w:jc w:val="both"/>
      </w:pPr>
      <w:r>
        <w:rPr>
          <w:rFonts w:ascii="宋体" w:hAnsi="宋体" w:cs="宋体" w:eastAsia="宋体"/>
          <w:color w:val="222222"/>
          <w:sz w:val="27"/>
        </w:rPr>
        <w:t>　　2.第二次付款额应为总服务费的__(-%)，甲方应在乙方已经准备好，并递交了服务报告及其它相关文件，而这些报告和文件符合合同附件上的要求并被甲方验收后付给乙方。</w:t>
      </w:r>
    </w:p>
    <w:p>
      <w:pPr>
        <w:shd w:fill="FFFFFF"/>
        <w:jc w:val="both"/>
      </w:pPr>
      <w:r>
        <w:rPr>
          <w:rFonts w:ascii="宋体" w:hAnsi="宋体" w:cs="宋体" w:eastAsia="宋体"/>
          <w:color w:val="222222"/>
          <w:sz w:val="27"/>
        </w:rPr>
        <w:t>　　3.最后一次付款额应为总服务费的__(-%)，甲方应在乙方递交了服务总结报告和说明并完全履行合同完毕_________日内付给乙方。</w:t>
      </w:r>
    </w:p>
    <w:p>
      <w:pPr>
        <w:shd w:fill="FFFFFF"/>
        <w:jc w:val="both"/>
      </w:pPr>
      <w:r>
        <w:rPr>
          <w:rFonts w:ascii="宋体" w:hAnsi="宋体" w:cs="宋体" w:eastAsia="宋体"/>
          <w:color w:val="222222"/>
          <w:sz w:val="27"/>
        </w:rPr>
        <w:t>　　4.对于满足合同约定支付条件的，甲方应当自收到发票后30日内将资金支付到合同约定的乙方账户，不得以机构变动、人员更替、政策调整等为由延迟付款，不得将采购文件和合同中未规定的义务作为向乙方付款的条件。</w:t>
      </w:r>
    </w:p>
    <w:p>
      <w:pPr>
        <w:shd w:fill="FFFFFF"/>
        <w:jc w:val="both"/>
      </w:pPr>
      <w:r>
        <w:rPr>
          <w:rFonts w:ascii="宋体" w:hAnsi="宋体" w:cs="宋体" w:eastAsia="宋体"/>
          <w:b/>
          <w:color w:val="222222"/>
          <w:sz w:val="27"/>
        </w:rPr>
        <w:t>六、知识产权归属</w:t>
      </w:r>
    </w:p>
    <w:p>
      <w:pPr>
        <w:shd w:fill="FFFFFF"/>
        <w:jc w:val="both"/>
      </w:pPr>
      <w:r>
        <w:rPr>
          <w:rFonts w:ascii="宋体" w:hAnsi="宋体" w:cs="宋体" w:eastAsia="宋体"/>
          <w:b/>
          <w:color w:val="222222"/>
          <w:sz w:val="27"/>
        </w:rPr>
        <w:t>七、保密</w:t>
      </w:r>
    </w:p>
    <w:p>
      <w:pPr>
        <w:shd w:fill="FFFFFF"/>
        <w:jc w:val="both"/>
      </w:pPr>
      <w:r>
        <w:rPr>
          <w:rFonts w:ascii="宋体" w:hAnsi="宋体" w:cs="宋体" w:eastAsia="宋体"/>
          <w:b/>
          <w:color w:val="222222"/>
          <w:sz w:val="27"/>
        </w:rPr>
        <w:t>八、违约责任与赔偿损失</w:t>
      </w:r>
    </w:p>
    <w:p>
      <w:pPr>
        <w:shd w:fill="FFFFFF"/>
        <w:jc w:val="both"/>
      </w:pPr>
      <w:r>
        <w:rPr>
          <w:rFonts w:ascii="宋体" w:hAnsi="宋体" w:cs="宋体" w:eastAsia="宋体"/>
          <w:color w:val="222222"/>
          <w:sz w:val="27"/>
        </w:rPr>
        <w:t>　　1.乙方提供的服务不符合本合同规定的，甲方有权拒收，并且乙方须向甲方方支付本合同总价5%的违约金。</w:t>
      </w:r>
    </w:p>
    <w:p>
      <w:pPr>
        <w:shd w:fill="FFFFFF"/>
        <w:jc w:val="both"/>
      </w:pPr>
      <w:r>
        <w:rPr>
          <w:rFonts w:ascii="宋体" w:hAnsi="宋体" w:cs="宋体" w:eastAsia="宋体"/>
          <w:color w:val="222222"/>
          <w:sz w:val="27"/>
        </w:rPr>
        <w:t>　　2.乙方未能按本合同规定的交货时间提供服务，从逾期之日起每日按本合同总价3‰的数额向甲方支付违约金；逾期半个月以上的，甲方有权终止合同，由此造成的甲方经济损失由乙方承担。</w:t>
      </w:r>
    </w:p>
    <w:p>
      <w:pPr>
        <w:shd w:fill="FFFFFF"/>
        <w:jc w:val="both"/>
      </w:pPr>
      <w:r>
        <w:rPr>
          <w:rFonts w:ascii="宋体" w:hAnsi="宋体" w:cs="宋体" w:eastAsia="宋体"/>
          <w:color w:val="222222"/>
          <w:sz w:val="27"/>
        </w:rPr>
        <w:t>　　3.甲方无正当理由拒收接受服务，到期拒付服务款项的，甲方向乙方偿付本合同总的5%的违约金。甲方人逾期付款，则每日按本合同总价的3‰向乙方偿付违约金。</w:t>
      </w:r>
    </w:p>
    <w:p>
      <w:pPr>
        <w:shd w:fill="FFFFFF"/>
        <w:jc w:val="both"/>
      </w:pPr>
      <w:r>
        <w:rPr>
          <w:rFonts w:ascii="宋体" w:hAnsi="宋体" w:cs="宋体" w:eastAsia="宋体"/>
          <w:color w:val="222222"/>
          <w:sz w:val="27"/>
        </w:rPr>
        <w:t>　　4.对于因甲方原因导致变更、中止或者终止政府采购合同的，甲方应当依照以下合同约定对供应商受到的损失予以赔偿或者补偿：</w:t>
      </w:r>
    </w:p>
    <w:p>
      <w:pPr>
        <w:shd w:fill="FFFFFF"/>
        <w:jc w:val="both"/>
      </w:pP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p>
    <w:p>
      <w:pPr>
        <w:shd w:fill="FFFFFF"/>
        <w:jc w:val="both"/>
      </w:pPr>
      <w:r>
        <w:rPr>
          <w:rFonts w:ascii="宋体" w:hAnsi="宋体" w:cs="宋体" w:eastAsia="宋体"/>
          <w:color w:val="222222"/>
          <w:sz w:val="27"/>
        </w:rPr>
        <w:t>　　5.其它违约责任按《</w:t>
      </w:r>
      <w:r>
        <w:rPr>
          <w:rFonts w:ascii="宋体" w:hAnsi="宋体" w:cs="宋体" w:eastAsia="宋体"/>
          <w:color w:val="222222"/>
          <w:sz w:val="27"/>
        </w:rPr>
        <w:t>中华人民共和国民法典(合同编)</w:t>
      </w:r>
      <w:r>
        <w:rPr>
          <w:rFonts w:ascii="宋体" w:hAnsi="宋体" w:cs="宋体" w:eastAsia="宋体"/>
          <w:color w:val="222222"/>
          <w:sz w:val="27"/>
        </w:rPr>
        <w:t>》处理。</w:t>
      </w:r>
    </w:p>
    <w:p>
      <w:pPr>
        <w:shd w:fill="FFFFFF"/>
        <w:jc w:val="both"/>
      </w:pPr>
      <w:r>
        <w:rPr>
          <w:rFonts w:ascii="宋体" w:hAnsi="宋体" w:cs="宋体" w:eastAsia="宋体"/>
          <w:b/>
          <w:color w:val="222222"/>
          <w:sz w:val="27"/>
        </w:rPr>
        <w:t>九、争议的解决</w:t>
      </w:r>
    </w:p>
    <w:p>
      <w:pPr>
        <w:shd w:fill="FFFFFF"/>
        <w:ind w:firstLine="400"/>
        <w:jc w:val="both"/>
      </w:pPr>
      <w:r>
        <w:rPr>
          <w:rFonts w:ascii="宋体" w:hAnsi="宋体" w:cs="宋体" w:eastAsia="宋体"/>
          <w:color w:val="222222"/>
          <w:sz w:val="27"/>
        </w:rPr>
        <w:t>合同执行过程中发生的任何争议，如双方不能通过友好协商解决，按相关法律法规处理。</w:t>
      </w:r>
      <w:r>
        <w:rPr>
          <w:rFonts w:ascii="helvetica" w:hAnsi="helvetica" w:cs="helvetica" w:eastAsia="helvetica"/>
          <w:color w:val="222222"/>
          <w:sz w:val="27"/>
        </w:rPr>
        <w:t xml:space="preserve"> </w:t>
      </w:r>
      <w:r>
        <w:rPr>
          <w:rFonts w:ascii="宋体" w:hAnsi="宋体" w:cs="宋体" w:eastAsia="宋体"/>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jc w:val="both"/>
      </w:pPr>
      <w:r>
        <w:rPr>
          <w:rFonts w:ascii="宋体" w:hAnsi="宋体" w:cs="宋体" w:eastAsia="宋体"/>
          <w:b/>
          <w:color w:val="222222"/>
          <w:sz w:val="27"/>
        </w:rPr>
        <w:t>十、不可抗力</w:t>
      </w:r>
    </w:p>
    <w:p>
      <w:pPr>
        <w:shd w:fill="FFFFFF"/>
        <w:jc w:val="both"/>
      </w:pPr>
      <w:r>
        <w:rPr>
          <w:rFonts w:ascii="宋体" w:hAnsi="宋体" w:cs="宋体" w:eastAsia="宋体"/>
          <w:color w:val="222222"/>
          <w:sz w:val="27"/>
        </w:rPr>
        <w:t>　　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shd w:fill="FFFFFF"/>
        <w:jc w:val="both"/>
      </w:pPr>
      <w:r>
        <w:rPr>
          <w:rFonts w:ascii="宋体" w:hAnsi="宋体" w:cs="宋体" w:eastAsia="宋体"/>
          <w:b/>
          <w:color w:val="222222"/>
          <w:sz w:val="27"/>
        </w:rPr>
        <w:t>十一、税费</w:t>
      </w:r>
    </w:p>
    <w:p>
      <w:pPr>
        <w:shd w:fill="FFFFFF"/>
        <w:jc w:val="both"/>
      </w:pPr>
      <w:r>
        <w:rPr>
          <w:rFonts w:ascii="宋体" w:hAnsi="宋体" w:cs="宋体" w:eastAsia="宋体"/>
          <w:color w:val="222222"/>
          <w:sz w:val="27"/>
        </w:rPr>
        <w:t>　　在中国境内、外发生的与本合同执行有关的一切税费均由乙方负担。</w:t>
      </w:r>
    </w:p>
    <w:p>
      <w:pPr>
        <w:shd w:fill="FFFFFF"/>
        <w:jc w:val="both"/>
      </w:pPr>
      <w:r>
        <w:rPr>
          <w:rFonts w:ascii="宋体" w:hAnsi="宋体" w:cs="宋体" w:eastAsia="宋体"/>
          <w:b/>
          <w:color w:val="222222"/>
          <w:sz w:val="27"/>
        </w:rPr>
        <w:t>十二、其它</w:t>
      </w:r>
    </w:p>
    <w:p>
      <w:pPr>
        <w:shd w:fill="FFFFFF"/>
        <w:jc w:val="both"/>
      </w:pPr>
      <w:r>
        <w:rPr>
          <w:rFonts w:ascii="宋体" w:hAnsi="宋体" w:cs="宋体" w:eastAsia="宋体"/>
          <w:color w:val="222222"/>
          <w:sz w:val="27"/>
        </w:rPr>
        <w:t>　　1.本合同所有附件、招标文件、投标文件、中标通知书均为合同的有效组成部分，与本合同具有同等法律效力。</w:t>
      </w:r>
    </w:p>
    <w:p>
      <w:pPr>
        <w:shd w:fill="FFFFFF"/>
        <w:jc w:val="both"/>
      </w:pPr>
      <w:r>
        <w:rPr>
          <w:rFonts w:ascii="宋体" w:hAnsi="宋体" w:cs="宋体" w:eastAsia="宋体"/>
          <w:color w:val="222222"/>
          <w:sz w:val="27"/>
        </w:rPr>
        <w:t>　　2.在执行本合同的过程中，所有经双方签署确认的文件（包括会议纪要、补充协议、往来信函）即成为本合同的有效组成部分。</w:t>
      </w:r>
    </w:p>
    <w:p>
      <w:pPr>
        <w:shd w:fill="FFFFFF"/>
        <w:jc w:val="both"/>
      </w:pPr>
      <w:r>
        <w:rPr>
          <w:rFonts w:ascii="宋体" w:hAnsi="宋体" w:cs="宋体" w:eastAsia="宋体"/>
          <w:color w:val="222222"/>
          <w:sz w:val="27"/>
        </w:rPr>
        <w:t>　　3.如一方地址、电话、传真号码有变更，应在变更当日内书面通知对方，否则，应承担相应责任。</w:t>
      </w:r>
    </w:p>
    <w:p>
      <w:pPr>
        <w:shd w:fill="FFFFFF"/>
        <w:jc w:val="both"/>
      </w:pPr>
      <w:r>
        <w:rPr>
          <w:rFonts w:ascii="宋体" w:hAnsi="宋体" w:cs="宋体" w:eastAsia="宋体"/>
          <w:color w:val="222222"/>
          <w:sz w:val="27"/>
        </w:rPr>
        <w:t>　　4.除甲方事先书面同意外，乙方不得部分或全部转让其应履行的合同项下的义务。</w:t>
      </w:r>
    </w:p>
    <w:p>
      <w:pPr>
        <w:shd w:fill="FFFFFF"/>
        <w:jc w:val="both"/>
      </w:pPr>
      <w:r>
        <w:rPr>
          <w:rFonts w:ascii="宋体" w:hAnsi="宋体" w:cs="宋体" w:eastAsia="宋体"/>
          <w:b/>
          <w:color w:val="222222"/>
          <w:sz w:val="27"/>
        </w:rPr>
        <w:t>十三、合同生效</w:t>
      </w:r>
    </w:p>
    <w:p>
      <w:pPr>
        <w:shd w:fill="FFFFFF"/>
        <w:jc w:val="both"/>
      </w:pPr>
      <w:r>
        <w:rPr>
          <w:rFonts w:ascii="宋体" w:hAnsi="宋体" w:cs="宋体" w:eastAsia="宋体"/>
          <w:color w:val="222222"/>
          <w:sz w:val="27"/>
        </w:rPr>
        <w:t>　　1.本合同在甲乙双方法人代表或其授权代表签字盖章后生效。</w:t>
      </w:r>
    </w:p>
    <w:p>
      <w:pPr>
        <w:shd w:fill="FFFFFF"/>
        <w:jc w:val="both"/>
      </w:pPr>
      <w:r>
        <w:rPr>
          <w:rFonts w:ascii="宋体" w:hAnsi="宋体" w:cs="宋体" w:eastAsia="宋体"/>
          <w:color w:val="222222"/>
          <w:sz w:val="27"/>
        </w:rPr>
        <w:t>　　2.合同一式</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份。</w:t>
      </w:r>
    </w:p>
    <w:p>
      <w:pPr>
        <w:shd w:fill="FFFFFF"/>
        <w:jc w:val="both"/>
      </w:pPr>
      <w:r>
        <w:rPr>
          <w:rFonts w:ascii="helvetica" w:hAnsi="helvetica" w:cs="helvetica" w:eastAsia="helvetica"/>
          <w:color w:val="222222"/>
          <w:sz w:val="27"/>
        </w:rPr>
        <w:t xml:space="preserve"> </w:t>
      </w:r>
    </w:p>
    <w:p>
      <w:pPr>
        <w:shd w:fill="FFFFFF"/>
        <w:jc w:val="both"/>
      </w:pPr>
      <w:r>
        <w:rPr>
          <w:rFonts w:ascii="宋体" w:hAnsi="宋体" w:cs="宋体" w:eastAsia="宋体"/>
          <w:b/>
          <w:color w:val="222222"/>
          <w:sz w:val="27"/>
        </w:rPr>
        <w:t>甲方（盖章）：</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乙方（盖章）：</w:t>
      </w:r>
    </w:p>
    <w:p>
      <w:pPr>
        <w:shd w:fill="FFFFFF"/>
        <w:jc w:val="both"/>
      </w:pPr>
      <w:r>
        <w:rPr>
          <w:rFonts w:ascii="宋体" w:hAnsi="宋体" w:cs="宋体" w:eastAsia="宋体"/>
          <w:b/>
          <w:color w:val="222222"/>
          <w:sz w:val="27"/>
        </w:rPr>
        <w:t>代表：</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代表：</w:t>
      </w:r>
    </w:p>
    <w:p>
      <w:pPr>
        <w:shd w:fill="FFFFFF"/>
        <w:jc w:val="both"/>
      </w:pPr>
      <w:r>
        <w:rPr>
          <w:rFonts w:ascii="宋体" w:hAnsi="宋体" w:cs="宋体" w:eastAsia="宋体"/>
          <w:color w:val="222222"/>
          <w:sz w:val="27"/>
        </w:rPr>
        <w:t>签订地点：</w:t>
      </w:r>
    </w:p>
    <w:p>
      <w:pPr>
        <w:shd w:fill="FFFFFF"/>
        <w:jc w:val="both"/>
      </w:pPr>
      <w:r>
        <w:rPr>
          <w:rFonts w:ascii="宋体" w:hAnsi="宋体" w:cs="宋体" w:eastAsia="宋体"/>
          <w:color w:val="222222"/>
          <w:sz w:val="27"/>
        </w:rPr>
        <w:t>签订日期：　　　年　　月　　日</w:t>
      </w:r>
      <w:r>
        <w:rPr>
          <w:rFonts w:ascii="宋体" w:hAnsi="宋体" w:cs="宋体" w:eastAsia="宋体"/>
          <w:color w:val="222222"/>
          <w:sz w:val="27"/>
        </w:rPr>
        <w:t xml:space="preserve"> </w:t>
      </w:r>
      <w:r>
        <w:rPr>
          <w:rFonts w:ascii="宋体" w:hAnsi="宋体" w:cs="宋体" w:eastAsia="宋体"/>
          <w:color w:val="222222"/>
          <w:sz w:val="27"/>
        </w:rPr>
        <w:t>签订日期：　　　年　　月　　日</w:t>
      </w:r>
    </w:p>
    <w:p>
      <w:pPr>
        <w:shd w:fill="FFFFFF"/>
        <w:jc w:val="both"/>
      </w:pPr>
      <w:r>
        <w:rPr>
          <w:rFonts w:ascii="宋体" w:hAnsi="宋体" w:cs="宋体" w:eastAsia="宋体"/>
          <w:color w:val="222222"/>
          <w:sz w:val="27"/>
        </w:rPr>
        <w:t>开户名称：</w:t>
      </w:r>
    </w:p>
    <w:p>
      <w:pPr>
        <w:shd w:fill="FFFFFF"/>
        <w:jc w:val="both"/>
      </w:pPr>
      <w:r>
        <w:rPr>
          <w:rFonts w:ascii="宋体" w:hAnsi="宋体" w:cs="宋体" w:eastAsia="宋体"/>
          <w:color w:val="222222"/>
          <w:sz w:val="27"/>
        </w:rPr>
        <w:t>银行帐号：</w:t>
      </w:r>
    </w:p>
    <w:p>
      <w:pPr>
        <w:shd w:fill="FFFFFF"/>
        <w:jc w:val="both"/>
      </w:pPr>
      <w:r>
        <w:rPr>
          <w:rFonts w:ascii="宋体" w:hAnsi="宋体" w:cs="宋体" w:eastAsia="宋体"/>
          <w:color w:val="222222"/>
          <w:sz w:val="27"/>
        </w:rPr>
        <w:t>开</w:t>
        <w:tab/>
        <w:tab/>
        <w:tab/>
        <w:tab/>
        <w:tab/>
        <w:t xml:space="preserve"> 户 行：</w:t>
      </w:r>
    </w:p>
    <w:p/>
    <w:p>
      <w:pPr>
        <w:ind w:firstLine="480"/>
      </w:pPr>
    </w:p>
    <w:p>
      <w:r>
        <w:rPr/>
        <w:t xml:space="preserve"> </w:t>
      </w:r>
    </w:p>
    <w:p/>
    <w:p>
      <w:pPr>
        <w:jc w:val="center"/>
      </w:pPr>
      <w:r>
        <w:rPr>
          <w:b/>
          <w:sz w:val="36"/>
        </w:rPr>
        <w:t>第六章 响应文件格式与要求</w:t>
      </w:r>
    </w:p>
    <w:p>
      <w:pPr>
        <w:ind w:firstLine="480"/>
      </w:pPr>
      <w:r>
        <w:rPr/>
        <w:t>供应商应提交证明其有资格参加磋商和成交后有能力履行合同的相关文件，并作为其响应文件的一部分，所有文件必须真实可靠、不得伪造，否则将按相关规定予以处罚。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供应商是企业（包括合伙企业），要提供在工商部门注册的有效“企业法人营业执照”或“营业执照”；如供应商是事业单位，要提供有效的“事业单位法人证书”；供应商是非企业专业服务机构的，如律师事务所，会计师事务所要提供执业许可证等证明文件；如供应商是个体工商户，要提供有效的“个体工商户营业执照”；如供应商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4.供应商参加政府采购前三年内在经营活动中没有重大违法记录声明函。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（2）查询截止时点：提交响应文件截止日当天；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供应商被列入失信被执行人、重大税收违法案件当事人名单、政府采购严重违法失信行为记录名单的供应商作无效响应处理。</w:t>
      </w:r>
    </w:p>
    <w:p>
      <w:pPr>
        <w:ind w:firstLine="480"/>
      </w:pPr>
      <w:r>
        <w:rPr/>
        <w:t>6. 按照磋商文件要求，供应商应当提交的资格、资信证明文件。</w:t>
      </w:r>
    </w:p>
    <w:p>
      <w:pPr>
        <w:ind w:firstLine="480"/>
      </w:pPr>
    </w:p>
    <w:p>
      <w:r>
        <w:rPr/>
        <w:t xml:space="preserve"> </w:t>
      </w:r>
    </w:p>
    <w:p/>
    <w:p>
      <w:pPr>
        <w:jc w:val="center"/>
      </w:pPr>
      <w:r>
        <w:rPr>
          <w:b/>
          <w:sz w:val="48"/>
        </w:rPr>
        <w:t>响应文件封面</w:t>
      </w:r>
    </w:p>
    <w:p/>
    <w:p>
      <w:pPr>
        <w:jc w:val="center"/>
      </w:pPr>
      <w:r>
        <w:rPr>
          <w:b/>
          <w:sz w:val="48"/>
        </w:rPr>
        <w:t>（项目名称）</w:t>
      </w:r>
    </w:p>
    <w:p>
      <w:pPr>
        <w:jc w:val="center"/>
      </w:pPr>
      <w:r>
        <w:rPr>
          <w:b/>
          <w:sz w:val="48"/>
        </w:rPr>
        <w:t>响应文件封面</w:t>
      </w:r>
    </w:p>
    <w:p>
      <w:pPr>
        <w:jc w:val="center"/>
      </w:pPr>
      <w:r>
        <w:rPr>
          <w:b/>
          <w:sz w:val="24"/>
        </w:rPr>
        <w:t>（正本/副本）</w:t>
      </w:r>
    </w:p>
    <w:p/>
    <w:p>
      <w:pPr>
        <w:jc w:val="center"/>
      </w:pPr>
      <w:r>
        <w:rPr>
          <w:b/>
          <w:sz w:val="24"/>
        </w:rPr>
        <w:t>采购计划编号：</w:t>
      </w:r>
      <w:r>
        <w:rPr>
          <w:b/>
          <w:sz w:val="24"/>
        </w:rPr>
        <w:t>441900012-2023-00038</w:t>
      </w:r>
    </w:p>
    <w:p>
      <w:pPr>
        <w:jc w:val="center"/>
      </w:pPr>
      <w:r>
        <w:rPr>
          <w:b/>
          <w:sz w:val="24"/>
        </w:rPr>
        <w:t>采购项目编号：</w:t>
      </w:r>
      <w:r>
        <w:rPr>
          <w:b/>
          <w:sz w:val="24"/>
        </w:rPr>
        <w:t>441900012-2023-00038</w:t>
      </w:r>
    </w:p>
    <w:p>
      <w:pPr>
        <w:jc w:val="center"/>
      </w:pPr>
      <w:r>
        <w:rPr>
          <w:b/>
          <w:sz w:val="24"/>
        </w:rPr>
        <w:t>所响应采购包：第 包</w:t>
      </w:r>
    </w:p>
    <w:p/>
    <w:p>
      <w:pPr>
        <w:jc w:val="center"/>
      </w:pPr>
      <w:r>
        <w:rPr>
          <w:b/>
          <w:sz w:val="24"/>
        </w:rPr>
        <w:t>（供应商名称）</w:t>
      </w:r>
    </w:p>
    <w:p>
      <w:pPr>
        <w:jc w:val="center"/>
      </w:pPr>
      <w:r>
        <w:rPr>
          <w:b/>
          <w:sz w:val="24"/>
        </w:rPr>
        <w:t>年 月 日</w:t>
      </w:r>
    </w:p>
    <w:p>
      <w:pPr>
        <w:ind w:firstLine="480"/>
      </w:pPr>
    </w:p>
    <w:p>
      <w:r>
        <w:rPr/>
        <w:t xml:space="preserve"> </w:t>
      </w:r>
    </w:p>
    <w:p/>
    <w:p>
      <w:pPr>
        <w:jc w:val="center"/>
      </w:pPr>
      <w:r>
        <w:rPr>
          <w:b/>
          <w:sz w:val="24"/>
        </w:rPr>
        <w:t>响应文件目录</w:t>
      </w:r>
    </w:p>
    <w:p>
      <w:pPr>
        <w:ind w:firstLine="480"/>
      </w:pPr>
      <w:r>
        <w:rPr/>
        <w:t>一、响应承诺函</w:t>
      </w:r>
    </w:p>
    <w:p>
      <w:pPr>
        <w:ind w:firstLine="480"/>
      </w:pPr>
      <w:r>
        <w:rPr/>
        <w:t>二、首轮报价表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七、响应保证金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十四、联合体共同响应协议书</w:t>
      </w:r>
    </w:p>
    <w:p>
      <w:pPr>
        <w:ind w:firstLine="480"/>
      </w:pPr>
      <w:r>
        <w:rPr/>
        <w:t>十五、供应商业绩情况表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p>
    <w:p>
      <w:r>
        <w:rPr/>
        <w:t xml:space="preserve"> </w:t>
      </w:r>
    </w:p>
    <w:p/>
    <w:p>
      <w:r>
        <w:rPr>
          <w:b/>
          <w:sz w:val="28"/>
        </w:rPr>
        <w:t>格式一：</w:t>
      </w:r>
    </w:p>
    <w:p>
      <w:pPr>
        <w:jc w:val="center"/>
      </w:pPr>
      <w:r>
        <w:rPr>
          <w:b/>
          <w:sz w:val="24"/>
        </w:rPr>
        <w:t>响 应 承 诺 函</w:t>
      </w:r>
    </w:p>
    <w:p>
      <w:pPr>
        <w:ind w:firstLine="480"/>
      </w:pPr>
      <w:r>
        <w:rPr/>
        <w:t>致：</w:t>
      </w:r>
      <w:r>
        <w:rPr/>
        <w:t>广东政通招标有限公司</w:t>
      </w:r>
    </w:p>
    <w:p>
      <w:pPr>
        <w:ind w:firstLine="480"/>
      </w:pPr>
      <w:r>
        <w:rPr/>
        <w:t>你方组织的</w:t>
      </w:r>
      <w:r>
        <w:rPr>
          <w:u w:val="single"/>
        </w:rPr>
        <w:t>“</w:t>
      </w:r>
      <w:r>
        <w:rPr>
          <w:u w:val="single"/>
        </w:rPr>
        <w:t>石排镇2023-2025年内河涌保洁工作</w:t>
      </w:r>
      <w:r>
        <w:rPr>
          <w:u w:val="single"/>
        </w:rPr>
        <w:t>”</w:t>
      </w:r>
      <w:r>
        <w:rPr/>
        <w:t>项目的竞争性磋商[采购项目编号为：</w:t>
      </w:r>
      <w:r>
        <w:rPr>
          <w:u w:val="single"/>
        </w:rPr>
        <w:t>441900012-2023-00038</w:t>
      </w:r>
      <w:r>
        <w:rPr/>
        <w:t>]，我方愿参与响应。</w:t>
      </w:r>
    </w:p>
    <w:p>
      <w:pPr>
        <w:ind w:firstLine="480"/>
      </w:pPr>
      <w:r>
        <w:rPr/>
        <w:t>我方确认收到贵方提供的</w:t>
      </w:r>
      <w:r>
        <w:rPr>
          <w:u w:val="single"/>
        </w:rPr>
        <w:t>“</w:t>
      </w:r>
      <w:r>
        <w:rPr>
          <w:u w:val="single"/>
        </w:rPr>
        <w:t>石排镇2023-2025年内河涌保洁工作</w:t>
      </w:r>
      <w:r>
        <w:rPr>
          <w:u w:val="single"/>
        </w:rPr>
        <w:t>”</w:t>
      </w:r>
      <w:r>
        <w:rPr/>
        <w:t>项目的磋商文件的全部内容。</w:t>
      </w:r>
    </w:p>
    <w:p>
      <w:pPr>
        <w:ind w:firstLine="480"/>
      </w:pPr>
      <w:r>
        <w:rPr/>
        <w:t>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力。</w:t>
      </w:r>
    </w:p>
    <w:p>
      <w:pPr>
        <w:ind w:firstLine="480"/>
      </w:pPr>
      <w:r>
        <w:rPr>
          <w:u w:val="single"/>
        </w:rPr>
        <w:t>(供应商名称)</w:t>
      </w:r>
      <w:r>
        <w:rPr/>
        <w:t>作为供应商正式授权</w:t>
      </w:r>
      <w:r>
        <w:rPr>
          <w:u w:val="single"/>
        </w:rPr>
        <w:t>(授权代表全名,职务)</w:t>
      </w:r>
      <w:r>
        <w:rPr/>
        <w:t>代表我方全权处理有关本响应的一切事宜。</w:t>
      </w:r>
    </w:p>
    <w:p>
      <w:pPr>
        <w:ind w:firstLine="480"/>
      </w:pPr>
      <w:r>
        <w:rPr/>
        <w:t>我方已完全明白磋商文件的所有条款要求，并申明如下：</w:t>
      </w:r>
    </w:p>
    <w:p>
      <w:pPr>
        <w:ind w:firstLine="480"/>
      </w:pPr>
      <w:r>
        <w:rPr/>
        <w:t>（一）按磋商文件提供的全部货物（工程、服务）与相关服务的磋商总价详见《首轮报价表》。</w:t>
      </w:r>
    </w:p>
    <w:p>
      <w:pPr>
        <w:ind w:firstLine="480"/>
      </w:pPr>
      <w:r>
        <w:rPr/>
        <w:t>（二）本响应文件的有效期为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ind w:firstLine="480"/>
      </w:pPr>
      <w:r>
        <w:rPr/>
        <w:t>（三）我方明白并同意，在规定的开启日之后，响应有效期之内撤回响应或成交后不按规定与采购人签订合同或不提交履约保证金, 则贵方将不予退还响应保证金。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（五）我方理解贵方不一定接受最低磋商价或任何贵方可能收到的响应。</w:t>
      </w:r>
    </w:p>
    <w:p>
      <w:pPr>
        <w:ind w:firstLine="480"/>
      </w:pPr>
      <w:r>
        <w:rPr/>
        <w:t>（六）我方如果成交，将保证履行磋商文件及其澄清、修改文件（如果有）中的全部责任和义务，按质、按量、按期完成《采购需求》及《合同书》中的全部任务。</w:t>
      </w:r>
    </w:p>
    <w:p>
      <w:pPr>
        <w:ind w:firstLine="480"/>
      </w:pPr>
      <w:r>
        <w:rPr/>
        <w:t>（七）我方作为法律、财务和运作上独立于采购人、采购代理机构的供应商，在此保证所提交的所有文件和全部说明是真实的和正确的。</w:t>
      </w:r>
    </w:p>
    <w:p>
      <w:pPr>
        <w:ind w:firstLine="480"/>
      </w:pPr>
      <w:r>
        <w:rPr/>
        <w:t>（八）我方磋商报价已包含应向知识产权所有权人支付的所有相关税费，并保证采购人在中国使用我方提供的货物时，如有第三方提出侵犯其知识产权主张的，责任由我方承担。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（九）我方接受采购人委托向贵方支付代理服务费，项目总报价已包含代理服务费，如果被确定为成交供应商，承诺向贵方足额支付。（若采购人支付代理服务费，则此条不适用）</w:t>
      </w:r>
    </w:p>
    <w:p>
      <w:pPr>
        <w:ind w:firstLine="480"/>
      </w:pPr>
      <w:r>
        <w:rPr/>
        <w:t>（十）我方与其他供应商不存在单位负责人为同一人或者存在直接控股、管理关系。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以上内容如有虚假或与事实不符的，磋商小组可将我方做无效响应处理，我方愿意承担相应的法律责任。</w:t>
      </w:r>
    </w:p>
    <w:p>
      <w:pPr>
        <w:ind w:firstLine="480"/>
      </w:pPr>
      <w:r>
        <w:rPr/>
        <w:t>（十四）我方对在本函及响应文件中所作的所有承诺承担法律责任。</w:t>
      </w:r>
    </w:p>
    <w:p>
      <w:pPr>
        <w:ind w:firstLine="480"/>
      </w:pPr>
      <w:r>
        <w:rPr/>
        <w:t>（十五）所有与本磋商有关的函件请发往下列地址：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pPr>
        <w:jc w:val="right"/>
      </w:pPr>
      <w:r>
        <w:rPr/>
        <w:t>法定代表人或授权委托人（签字）：__________________</w:t>
      </w:r>
    </w:p>
    <w:p>
      <w:pPr>
        <w:jc w:val="right"/>
      </w:pPr>
      <w:r>
        <w:rPr/>
        <w:t>加盖公章：__________________</w:t>
      </w:r>
    </w:p>
    <w:p>
      <w:pPr>
        <w:jc w:val="right"/>
      </w:pPr>
      <w:r>
        <w:rPr/>
        <w:t xml:space="preserve"> 日  期：__________________</w:t>
      </w:r>
    </w:p>
    <w:p>
      <w:pPr>
        <w:ind w:firstLine="480"/>
      </w:pPr>
    </w:p>
    <w:p>
      <w:r>
        <w:rPr/>
        <w:t xml:space="preserve"> </w:t>
      </w:r>
    </w:p>
    <w:p/>
    <w:p>
      <w:r>
        <w:rPr>
          <w:b/>
          <w:sz w:val="28"/>
        </w:rPr>
        <w:t>格式二：</w:t>
      </w:r>
    </w:p>
    <w:p>
      <w:pPr>
        <w:jc w:val="center"/>
      </w:pPr>
      <w:r>
        <w:rPr>
          <w:b/>
          <w:sz w:val="24"/>
        </w:rPr>
        <w:t>首轮报价表</w:t>
      </w:r>
    </w:p>
    <w:p>
      <w:pPr>
        <w:ind w:firstLine="480"/>
      </w:pPr>
      <w:r>
        <w:rPr/>
        <w:t>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响应报价（元/%）</w:t>
            </w:r>
          </w:p>
        </w:tc>
        <w:tc>
          <w:tcPr>
            <w:tcW w:type="dxa" w:w="1661"/>
          </w:tcPr>
          <w:p>
            <w:r>
              <w:rPr/>
              <w:t>交货或服务期</w:t>
            </w:r>
          </w:p>
        </w:tc>
        <w:tc>
          <w:tcPr>
            <w:tcW w:type="dxa" w:w="1661"/>
          </w:tcPr>
          <w:p>
            <w:r>
              <w:rPr/>
              <w:t>交货或服务地点</w:t>
            </w:r>
          </w:p>
        </w:tc>
      </w:tr>
      <w:tr>
        <w:tc>
          <w:tcPr>
            <w:tcW w:type="dxa" w:w="1661"/>
          </w:tcPr>
          <w:p>
            <w:pPr>
              <w:jc w:val="center"/>
            </w:pPr>
            <w:r>
              <w:rPr/>
              <w:t>1</w:t>
            </w:r>
          </w:p>
        </w:tc>
        <w:tc>
          <w:tcPr>
            <w:tcW w:type="dxa" w:w="1661"/>
          </w:tcPr>
          <w:p/>
        </w:tc>
        <w:tc>
          <w:tcPr>
            <w:tcW w:type="dxa" w:w="1661"/>
          </w:tcPr>
          <w:p/>
        </w:tc>
        <w:tc>
          <w:tcPr>
            <w:tcW w:type="dxa" w:w="1661"/>
          </w:tcPr>
          <w:p/>
        </w:tc>
        <w:tc>
          <w:tcPr>
            <w:tcW w:type="dxa" w:w="1661"/>
          </w:tcPr>
          <w:p/>
        </w:tc>
      </w:tr>
    </w:tbl>
    <w:p>
      <w:pPr>
        <w:jc w:val="right"/>
      </w:pPr>
      <w:r>
        <w:rPr/>
        <w:t>供应商签章：__________________</w:t>
      </w:r>
    </w:p>
    <w:p>
      <w:pPr>
        <w:jc w:val="right"/>
      </w:pPr>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响应供应商名称：</w:t>
      </w:r>
    </w:p>
    <w:p>
      <w:pPr>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pPr>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pPr>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jc w:val="right"/>
      </w:pPr>
      <w:r>
        <w:rPr/>
        <w:t>供应商签章：__________________</w:t>
      </w:r>
    </w:p>
    <w:p>
      <w:pPr>
        <w:jc w:val="right"/>
      </w:pPr>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pPr>
              <w:jc w:val="center"/>
            </w:pPr>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w:t>
      </w:r>
    </w:p>
    <w:p>
      <w:pPr>
        <w:ind w:firstLine="480"/>
      </w:pPr>
      <w:r>
        <w:rPr/>
        <w:t>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2.“节能产品、环境标志产品”须填写认证证书编号，并在对应“节能产品”、“环境标志产品”栏中勾选，同时提供有效期内的证书复印件（加盖供应商公章）</w:t>
      </w:r>
    </w:p>
    <w:p>
      <w:pPr>
        <w:jc w:val="right"/>
      </w:pPr>
      <w:r>
        <w:rPr/>
        <w:t xml:space="preserve"> 供应商名称（盖章）：__________________</w:t>
      </w:r>
    </w:p>
    <w:p>
      <w:pPr>
        <w:jc w:val="right"/>
      </w:pPr>
      <w:r>
        <w:rPr/>
        <w:t xml:space="preserve"> 日  期：__________________</w:t>
      </w:r>
    </w:p>
    <w:p>
      <w:pPr>
        <w:ind w:firstLine="480"/>
      </w:pPr>
    </w:p>
    <w:p>
      <w:r>
        <w:rPr/>
        <w:t xml:space="preserve"> </w:t>
      </w:r>
    </w:p>
    <w:p/>
    <w:p>
      <w:r>
        <w:rPr>
          <w:b/>
          <w:sz w:val="28"/>
        </w:rPr>
        <w:t>格式五：</w:t>
      </w:r>
    </w:p>
    <w:p>
      <w:pPr>
        <w:ind w:firstLine="480"/>
      </w:pPr>
      <w:r>
        <w:rPr/>
        <w:t>（供应商可使用下述格式，也可使用广东省工商行政管理局统一印制的法定代表人证明书格式）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经营范围：__________________________________________________________</w:t>
      </w:r>
    </w:p>
    <w:p>
      <w:pPr>
        <w:ind w:firstLine="480"/>
      </w:pPr>
    </w:p>
    <w:p>
      <w:pPr>
        <w:ind w:firstLine="480"/>
      </w:pPr>
    </w:p>
    <w:p>
      <w:pPr>
        <w:jc w:val="right"/>
      </w:pPr>
      <w:r>
        <w:rPr/>
        <w:t xml:space="preserve"> 供应商名称（盖章）：__________________</w:t>
      </w:r>
    </w:p>
    <w:p>
      <w:pPr>
        <w:jc w:val="right"/>
      </w:pPr>
      <w:r>
        <w:rPr/>
        <w:t xml:space="preserve"> 地  址：__________________</w:t>
      </w:r>
    </w:p>
    <w:p>
      <w:pPr>
        <w:jc w:val="right"/>
      </w:pPr>
      <w:r>
        <w:rPr/>
        <w:t xml:space="preserve"> 法定代表人（签字或盖章）：__________________</w:t>
      </w:r>
    </w:p>
    <w:p>
      <w:pPr>
        <w:jc w:val="right"/>
      </w:pPr>
      <w:r>
        <w:rPr/>
        <w:t xml:space="preserve"> 职  务：__________________</w:t>
      </w:r>
    </w:p>
    <w:p>
      <w:pPr>
        <w:jc w:val="right"/>
      </w:pPr>
      <w:r>
        <w:rPr/>
        <w:t xml:space="preserve"> 日  期：__________________</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（对于银行、保险、电信、邮政、铁路等行业以及获得总公司响应授权的分公司，可以提供响应分支机构负责人授权书）</w:t>
      </w:r>
    </w:p>
    <w:p>
      <w:pPr>
        <w:jc w:val="center"/>
      </w:pPr>
      <w:r>
        <w:rPr>
          <w:b/>
          <w:sz w:val="24"/>
        </w:rPr>
        <w:t>法定代表人授权书</w:t>
      </w:r>
    </w:p>
    <w:p>
      <w:pPr>
        <w:ind w:firstLine="480"/>
      </w:pPr>
      <w:r>
        <w:rPr/>
        <w:t>致：</w:t>
      </w:r>
      <w:r>
        <w:rPr/>
        <w:t>广东政通招标有限公司</w:t>
      </w:r>
    </w:p>
    <w:p>
      <w:pPr>
        <w:ind w:firstLine="480"/>
      </w:pPr>
      <w:r>
        <w:rPr/>
        <w:t>本授权书声明：________是注册于</w:t>
      </w:r>
      <w:r>
        <w:rPr>
          <w:u w:val="single"/>
        </w:rPr>
        <w:t>（国家或地区）</w:t>
      </w:r>
      <w:r>
        <w:rPr/>
        <w:t>的</w:t>
      </w:r>
      <w:r>
        <w:rPr>
          <w:u w:val="single"/>
        </w:rPr>
        <w:t>（供应商名称）</w:t>
      </w:r>
      <w:r>
        <w:rPr/>
        <w:t>的法定代表人，现任________职务，有效证件号码：________________。现授权</w:t>
      </w:r>
      <w:r>
        <w:rPr>
          <w:u w:val="single"/>
        </w:rPr>
        <w:t>（姓名、职务）</w:t>
      </w:r>
      <w:r>
        <w:rPr/>
        <w:t>作为我公司的全权代理人，就“</w:t>
      </w:r>
      <w:r>
        <w:rPr/>
        <w:t>石排镇2023-2025年内河涌保洁工作</w:t>
      </w:r>
      <w:r>
        <w:rPr/>
        <w:t>”项目采购[采购项目编号为</w:t>
      </w:r>
      <w:r>
        <w:rPr/>
        <w:t>441900012-2023-00038</w:t>
      </w:r>
      <w:r>
        <w:rPr/>
        <w:t>]的响应和合同执行，以我方的名义处理一切与之有关的事宜。</w:t>
      </w:r>
    </w:p>
    <w:p>
      <w:pPr>
        <w:ind w:firstLine="480"/>
      </w:pPr>
      <w:r>
        <w:rPr/>
        <w:t>本授权书于________年________月________日签字生效，特此声明。</w:t>
      </w:r>
    </w:p>
    <w:p>
      <w:pPr>
        <w:jc w:val="right"/>
      </w:pPr>
      <w:r>
        <w:rPr/>
        <w:t xml:space="preserve"> 供应商（盖章）：__________________</w:t>
      </w:r>
    </w:p>
    <w:p>
      <w:pPr>
        <w:jc w:val="right"/>
      </w:pPr>
      <w:r>
        <w:rPr/>
        <w:t xml:space="preserve"> 地  址：__________________</w:t>
      </w:r>
    </w:p>
    <w:p>
      <w:pPr>
        <w:jc w:val="right"/>
      </w:pPr>
      <w:r>
        <w:rPr/>
        <w:t xml:space="preserve"> 法定代表人（签字或盖章）：__________________</w:t>
      </w:r>
    </w:p>
    <w:p>
      <w:pPr>
        <w:jc w:val="right"/>
      </w:pPr>
      <w:r>
        <w:rPr/>
        <w:t xml:space="preserve"> 职  务：__________________</w:t>
      </w:r>
    </w:p>
    <w:p>
      <w:pPr>
        <w:jc w:val="right"/>
      </w:pPr>
      <w:r>
        <w:rPr/>
        <w:t xml:space="preserve"> 被授权人（签字或盖章）：__________________</w:t>
      </w:r>
    </w:p>
    <w:p>
      <w:pPr>
        <w:jc w:val="right"/>
      </w:pPr>
      <w:r>
        <w:rPr/>
        <w:t xml:space="preserve"> 职  务：__________________</w:t>
      </w:r>
    </w:p>
    <w:p>
      <w:pPr>
        <w:jc w:val="right"/>
      </w:pPr>
      <w:r>
        <w:rPr/>
        <w:t xml:space="preserve"> 日  期：__________________</w:t>
      </w:r>
    </w:p>
    <w:p>
      <w:pPr>
        <w:ind w:firstLine="480"/>
      </w:pPr>
    </w:p>
    <w:p>
      <w:r>
        <w:rPr/>
        <w:t xml:space="preserve"> </w:t>
      </w:r>
    </w:p>
    <w:p/>
    <w:p>
      <w:r>
        <w:rPr>
          <w:b/>
          <w:sz w:val="28"/>
        </w:rPr>
        <w:t>格式七：</w:t>
      </w:r>
    </w:p>
    <w:p>
      <w:pPr>
        <w:jc w:val="center"/>
      </w:pPr>
      <w:r>
        <w:rPr>
          <w:b/>
          <w:sz w:val="24"/>
        </w:rPr>
        <w:t>响应保证金</w:t>
      </w:r>
    </w:p>
    <w:p>
      <w:pPr>
        <w:ind w:firstLine="480"/>
      </w:pPr>
      <w:r>
        <w:rPr/>
        <w:t>响应文件要求递交响应保证金的，供应商应在此提供保证金的凭证的复印件。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详见资格性条款要求</w:t>
      </w:r>
    </w:p>
    <w:p>
      <w:pPr>
        <w:ind w:firstLine="480"/>
      </w:pPr>
      <w:r>
        <w:rPr/>
        <w:t>设备和专业技术能力情况表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8304"/>
            <w:gridSpan w:val="4"/>
          </w:tcPr>
          <w:p>
            <w:r>
              <w:rPr/>
              <w:t>我单位为本项目实施提供以下设备和专业技术人员：</w:t>
            </w:r>
          </w:p>
        </w:tc>
      </w:tr>
      <w:tr>
        <w:tc>
          <w:tcPr>
            <w:tcW w:type="dxa" w:w="2076"/>
          </w:tcPr>
          <w:p>
            <w:r>
              <w:rPr/>
              <w:t>序号</w:t>
            </w:r>
          </w:p>
        </w:tc>
        <w:tc>
          <w:tcPr>
            <w:tcW w:type="dxa" w:w="2076"/>
          </w:tcPr>
          <w:p>
            <w:r>
              <w:rPr/>
              <w:t>设备名称和专业技术人员</w:t>
            </w:r>
          </w:p>
        </w:tc>
        <w:tc>
          <w:tcPr>
            <w:tcW w:type="dxa" w:w="2076"/>
          </w:tcPr>
          <w:p>
            <w:r>
              <w:rPr/>
              <w:t>数量及单位</w:t>
            </w:r>
          </w:p>
        </w:tc>
        <w:tc>
          <w:tcPr>
            <w:tcW w:type="dxa" w:w="2076"/>
          </w:tcPr>
          <w:p>
            <w:r>
              <w:rPr/>
              <w:t>备注</w:t>
            </w:r>
          </w:p>
        </w:tc>
      </w:tr>
      <w:tr>
        <w:tc>
          <w:tcPr>
            <w:tcW w:type="dxa" w:w="2076"/>
          </w:tcPr>
          <w:p>
            <w:pPr>
              <w:jc w:val="center"/>
            </w:pPr>
            <w:r>
              <w:rPr/>
              <w:t>1</w:t>
            </w:r>
          </w:p>
        </w:tc>
        <w:tc>
          <w:tcPr>
            <w:tcW w:type="dxa" w:w="2076"/>
          </w:tcPr>
          <w:p/>
        </w:tc>
        <w:tc>
          <w:tcPr>
            <w:tcW w:type="dxa" w:w="2076"/>
          </w:tcPr>
          <w:p/>
        </w:tc>
        <w:tc>
          <w:tcPr>
            <w:tcW w:type="dxa" w:w="2076"/>
          </w:tcPr>
          <w:p/>
        </w:tc>
      </w:tr>
      <w:tr>
        <w:tc>
          <w:tcPr>
            <w:tcW w:type="dxa" w:w="2076"/>
          </w:tcPr>
          <w:p>
            <w:pPr>
              <w:jc w:val="center"/>
            </w:pPr>
            <w:r>
              <w:rPr/>
              <w:t>2</w:t>
            </w:r>
          </w:p>
        </w:tc>
        <w:tc>
          <w:tcPr>
            <w:tcW w:type="dxa" w:w="2076"/>
          </w:tcPr>
          <w:p/>
        </w:tc>
        <w:tc>
          <w:tcPr>
            <w:tcW w:type="dxa" w:w="2076"/>
          </w:tcPr>
          <w:p/>
        </w:tc>
        <w:tc>
          <w:tcPr>
            <w:tcW w:type="dxa" w:w="2076"/>
          </w:tcPr>
          <w:p/>
        </w:tc>
      </w:tr>
      <w:tr>
        <w:tc>
          <w:tcPr>
            <w:tcW w:type="dxa" w:w="2076"/>
          </w:tcPr>
          <w:p>
            <w:pPr>
              <w:jc w:val="center"/>
            </w:pPr>
            <w:r>
              <w:rPr/>
              <w:t>3</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bl>
    <w:p>
      <w:pPr>
        <w:ind w:firstLine="480"/>
      </w:pP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东莞市石排镇水务工程运营中心</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中小企业声明函（所投产品制造商为中小企业时提交本函，所属行业应符合磋商文件中明确的本项目所属行业）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ind w:firstLine="480"/>
      </w:pPr>
      <w:r>
        <w:rPr/>
        <w:t>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pPr>
        <w:jc w:val="right"/>
      </w:pPr>
      <w:r>
        <w:rPr/>
        <w:t xml:space="preserve"> 企业名称（盖章）：__________________</w:t>
      </w:r>
    </w:p>
    <w:p>
      <w:pPr>
        <w:jc w:val="right"/>
      </w:pPr>
      <w:r>
        <w:rPr/>
        <w:t xml:space="preserve"> 日  期：__________________</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中小企业声明函（承建本项目工程为中小企业或者承接本项目服务为中小企业时提交本函，所属行业应符合磋商文件中明确的本项目所属行业）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ind w:firstLine="480"/>
      </w:pPr>
      <w:r>
        <w:rPr/>
        <w:t>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pPr>
        <w:jc w:val="right"/>
      </w:pPr>
      <w:r>
        <w:rPr/>
        <w:t xml:space="preserve"> 企业名称（盖章）：__________________</w:t>
      </w:r>
    </w:p>
    <w:p>
      <w:pPr>
        <w:jc w:val="right"/>
      </w:pPr>
      <w:r>
        <w:rPr/>
        <w:t xml:space="preserve"> 日  期：__________________</w:t>
      </w:r>
    </w:p>
    <w:p>
      <w:pPr>
        <w:ind w:firstLine="480"/>
      </w:pPr>
      <w:r>
        <w:rPr/>
        <w:t>1：从业人员、营业收入、资产总额填报上一年度数据，无上一年度数据的新成立企业可不填报。</w:t>
      </w:r>
    </w:p>
    <w:p>
      <w:pPr>
        <w:ind w:firstLine="480"/>
      </w:pPr>
      <w:r>
        <w:rPr/>
        <w:t>2：供应商应当自行核实是否属于小微企业，并认真填写声明函，若有虚假将追究其责任。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pPr>
        <w:jc w:val="right"/>
      </w:pPr>
      <w:r>
        <w:rPr/>
        <w:t>单位名称（盖章）：__________________</w:t>
      </w:r>
    </w:p>
    <w:p>
      <w:pPr>
        <w:jc w:val="right"/>
      </w:pPr>
      <w:r>
        <w:rPr/>
        <w:t xml:space="preserve"> 日  期：__________________</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联合体共同响应协议书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共同组成一个联合体，以一个供应商的身份共同参加本项目的响应。（甲公司全称）、（乙公司全称）、（……公司全称）作为联合体成员，若成交，联合体各方共同与签订政府采购合同。</w:t>
      </w:r>
    </w:p>
    <w:p>
      <w:pPr>
        <w:ind w:firstLine="480"/>
      </w:pPr>
      <w:r>
        <w:rPr/>
        <w:t>二、联合体内部有关事项约定如下：</w:t>
      </w:r>
    </w:p>
    <w:p>
      <w:pPr>
        <w:ind w:firstLine="480"/>
      </w:pPr>
      <w:r>
        <w:rPr/>
        <w:t>1.（甲公司全称）作为联合体的牵头单位，代表联合体双方负责响应和合同实施阶段的主办、协调工作。</w:t>
      </w:r>
    </w:p>
    <w:p>
      <w:pPr>
        <w:ind w:firstLine="480"/>
      </w:pPr>
      <w:r>
        <w:rPr/>
        <w:t>2.联合体将严格按照文件的各项要求，递交响应文件，切实执行一切合同文件，共同承担合同规定的一切义务和责任，同时按照内部职责的划分，承担自身所负的责任和风险，在法律在承担连带责任。</w:t>
      </w:r>
    </w:p>
    <w:p>
      <w:pPr>
        <w:ind w:firstLine="480"/>
      </w:pPr>
      <w:r>
        <w:rPr/>
        <w:t>3.如果本联合体成交，（甲公司全称）负责本项目___________部分，（乙公司全称）负责本项目___________部分。</w:t>
      </w:r>
    </w:p>
    <w:p>
      <w:pPr>
        <w:ind w:firstLine="480"/>
      </w:pPr>
      <w:r>
        <w:rPr/>
        <w:t>4.如成交，联合体各方共同与（采购人）签订合同书，并就成交项目向采购人负责有连带的和各自的法律责任；</w:t>
      </w:r>
    </w:p>
    <w:p>
      <w:pPr>
        <w:ind w:firstLine="480"/>
      </w:pPr>
      <w:r>
        <w:rPr/>
        <w:t>5.联合体成员（公司全称）为（请填写：小型、微型）企业，将承担合同总金额____%的工作内容（联合体成员中有小型、微型企业时适用）。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五、本协议在自签署之日起生效，有效期内有效，如获成交资格，合同有效期延续至合同履行完毕之日。</w:t>
      </w:r>
    </w:p>
    <w:p>
      <w:pPr>
        <w:ind w:firstLine="480"/>
      </w:pPr>
      <w:r>
        <w:rPr/>
        <w:t>六、本协议书正本一式____份，随响应文件装订____份，送采购人____份，联合体成员各一份；副本一式____份，联合体成员各执____份。</w:t>
      </w:r>
    </w:p>
    <w:p>
      <w:pPr>
        <w:jc w:val="right"/>
      </w:pPr>
      <w:r>
        <w:rPr/>
        <w:t>甲公司全称：____（盖章）________，乙公司全称：____（盖章）________，……公司全称：____（盖章）________，</w:t>
      </w:r>
    </w:p>
    <w:p>
      <w:pPr>
        <w:jc w:val="right"/>
      </w:pPr>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pPr>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根据上述业绩情况，按磋商文件要求附销售或服务合同复印件。</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磋商文件规定的技术和服务要求</w:t>
            </w:r>
          </w:p>
        </w:tc>
        <w:tc>
          <w:tcPr>
            <w:tcW w:type="dxa" w:w="923"/>
          </w:tcPr>
          <w:p>
            <w:r>
              <w:rPr/>
              <w:t>响应文件响应的具体内容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1.“磋商文件规定的技术和服务要求”项下填写的内容应与磋商文件中采购需求的</w:t>
        <w:tab/>
        <w:tab/>
        <w:t xml:space="preserve">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ind w:firstLine="480"/>
      </w:pPr>
      <w:r>
        <w:rPr/>
        <w:t>2.参数性质栏标注“★”、“▲”号条款标志，</w:t>
        <w:tab/>
        <w:tab/>
        <w:t xml:space="preserve"> 打“★”号条款为实质性条款，若有任何一条负偏离或不满足则导致响应无效。打“▲”号条款为重要技术参数（如有），若有部分“▲”条款未响应或不满足，将根据评审要求影响其得分，但不作为无效响应条款。</w:t>
      </w:r>
    </w:p>
    <w:p>
      <w:pPr>
        <w:ind w:firstLine="480"/>
      </w:pPr>
      <w:r>
        <w:rPr/>
        <w:t>3.“是否偏离”项下应按下列规定填写：优于的，填写“正偏离”；符合的，填写“无偏离”；低于的，填写“负偏离”。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磋商文件规定的商务条件</w:t>
            </w:r>
          </w:p>
        </w:tc>
        <w:tc>
          <w:tcPr>
            <w:tcW w:type="dxa" w:w="1187"/>
          </w:tcPr>
          <w:p>
            <w:r>
              <w:rPr/>
              <w:t>响应文件响应的具体内容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pPr>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1.“磋商文件规定的商务条件”项下填写的内容应与磋商文件中采购需求的 “商务要求”的内容保持一致。</w:t>
      </w:r>
    </w:p>
    <w:p>
      <w:pPr>
        <w:ind w:firstLine="480"/>
      </w:pPr>
      <w:r>
        <w:rPr/>
        <w:t>2.供应商应当如实填写上表“响应文件响应的具体内容”处内容，对磋商文件规定的商务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ind w:firstLine="480"/>
      </w:pPr>
      <w:r>
        <w:rPr/>
        <w:t>3.参数性质栏标注“★”、“▲”号条款标志，</w:t>
        <w:tab/>
        <w:tab/>
        <w:t xml:space="preserve"> 打“★”号条款为实质性条款，若有任何一条负偏离或不满足则导致响应无效。打“▲”号条款为重要技术参数（如有），若有部分“▲”条款未响应或不满足，将根据评审要求影响其得分，但不作为无效响应条款。</w:t>
      </w:r>
    </w:p>
    <w:p>
      <w:pPr>
        <w:ind w:firstLine="480"/>
      </w:pPr>
      <w:r>
        <w:rPr/>
        <w:t>4.“是否偏离”项下应按下列规定填写：优于的，填写“正偏离”；符合的，填写“无偏离”；低于的，填写“负偏离”。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pPr>
              <w:jc w:val="center"/>
            </w:pPr>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pPr>
              <w:jc w:val="center"/>
            </w:pPr>
            <w:r>
              <w:rPr/>
              <w:t>2</w:t>
            </w:r>
          </w:p>
        </w:tc>
        <w:tc>
          <w:tcPr>
            <w:tcW w:type="dxa" w:w="2076"/>
          </w:tcPr>
          <w:p>
            <w:r>
              <w:rPr/>
              <w:t>___月___日—___月___日</w:t>
            </w:r>
          </w:p>
        </w:tc>
        <w:tc>
          <w:tcPr>
            <w:tcW w:type="dxa" w:w="2076"/>
          </w:tcPr>
          <w:p/>
        </w:tc>
        <w:tc>
          <w:tcPr>
            <w:tcW w:type="dxa" w:w="2076"/>
          </w:tcPr>
          <w:p/>
        </w:tc>
      </w:tr>
      <w:tr>
        <w:tc>
          <w:tcPr>
            <w:tcW w:type="dxa" w:w="2076"/>
          </w:tcPr>
          <w:p>
            <w:pPr>
              <w:jc w:val="center"/>
            </w:pPr>
            <w:r>
              <w:rPr/>
              <w:t>3</w:t>
            </w:r>
          </w:p>
        </w:tc>
        <w:tc>
          <w:tcPr>
            <w:tcW w:type="dxa" w:w="2076"/>
          </w:tcPr>
          <w:p>
            <w:r>
              <w:rPr/>
              <w:t>___月___日—___月___日</w:t>
            </w:r>
          </w:p>
        </w:tc>
        <w:tc>
          <w:tcPr>
            <w:tcW w:type="dxa" w:w="2076"/>
          </w:tcPr>
          <w:p/>
        </w:tc>
        <w:tc>
          <w:tcPr>
            <w:tcW w:type="dxa" w:w="2076"/>
          </w:tcPr>
          <w:p/>
        </w:tc>
      </w:tr>
      <w:tr>
        <w:tc>
          <w:tcPr>
            <w:tcW w:type="dxa" w:w="2076"/>
          </w:tcPr>
          <w:p>
            <w:pPr>
              <w:jc w:val="center"/>
            </w:pPr>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1.磋商文件要求提供的其他资料。</w:t>
      </w:r>
    </w:p>
    <w:p>
      <w:pPr>
        <w:ind w:firstLine="480"/>
      </w:pPr>
      <w:r>
        <w:rPr/>
        <w:t>2.供应商认为需提供的其他资料。</w:t>
      </w:r>
    </w:p>
    <w:p>
      <w:pPr>
        <w:ind w:firstLine="480"/>
      </w:pPr>
    </w:p>
    <w:p>
      <w:r>
        <w:rPr/>
        <w:t xml:space="preserve"> </w:t>
      </w:r>
    </w:p>
    <w:p/>
    <w:p>
      <w:r>
        <w:rPr>
          <w:b/>
          <w:sz w:val="28"/>
        </w:rPr>
        <w:t>格式二十：</w:t>
      </w:r>
    </w:p>
    <w:p>
      <w:pPr>
        <w:ind w:firstLine="480"/>
      </w:pPr>
      <w:r>
        <w:rPr/>
        <w:t>（若采购人支付代理服务费，则无需出具此承诺书）</w:t>
      </w:r>
    </w:p>
    <w:p>
      <w:pPr>
        <w:jc w:val="center"/>
      </w:pPr>
      <w:r>
        <w:rPr>
          <w:b/>
          <w:sz w:val="24"/>
        </w:rPr>
        <w:t>代理服务费缴纳承诺函</w:t>
      </w:r>
    </w:p>
    <w:p>
      <w:pPr>
        <w:ind w:firstLine="480"/>
      </w:pPr>
      <w:r>
        <w:rPr/>
        <w:t>致：</w:t>
      </w:r>
      <w:r>
        <w:rPr/>
        <w:t>广东政通招标有限公司</w:t>
      </w:r>
    </w:p>
    <w:p>
      <w:pPr>
        <w:ind w:firstLine="480"/>
      </w:pPr>
      <w:r>
        <w:rPr/>
        <w:t>我单位参加贵公司组织的</w:t>
      </w:r>
      <w:r>
        <w:rPr/>
        <w:t>石排镇2023-2025年内河涌保洁工作</w:t>
      </w:r>
      <w:r>
        <w:rPr/>
        <w:t>（采购项目编号：</w:t>
      </w:r>
      <w:r>
        <w:rPr/>
        <w:t>441900012-2023-00038</w:t>
      </w:r>
      <w:r>
        <w:rPr/>
        <w:t>），作出如下承诺：</w:t>
      </w:r>
    </w:p>
    <w:p>
      <w:pPr>
        <w:ind w:firstLine="480"/>
      </w:pPr>
      <w:r>
        <w:rPr/>
        <w:t>1、完全响应磋商文件中要求的条款，若提供虚假资料将作为无效响应处理，并接受相关部门的处罚。</w:t>
      </w:r>
    </w:p>
    <w:p>
      <w:pPr>
        <w:ind w:firstLine="480"/>
      </w:pPr>
      <w:r>
        <w:rPr/>
        <w:t>2、我单位若被选为成交供应商，承诺按照规定缴纳代理服务费。代理服务费包括组织专家对审查供应商资格、答疑、组织磋商、评审、确定成交供应商，以及提供采购前期咨询、协调合同的签订等服务，按______支付。</w:t>
      </w:r>
    </w:p>
    <w:p>
      <w:pPr>
        <w:ind w:firstLine="480"/>
      </w:pPr>
      <w:r>
        <w:rPr/>
        <w:t>3、如我公司被选为成交供应商，在成交结果公示后3日内向采购代理机构指定账户缴付代理服务费。</w:t>
      </w:r>
    </w:p>
    <w:p>
      <w:pPr>
        <w:ind w:firstLine="480"/>
      </w:pPr>
      <w:r>
        <w:rPr/>
        <w:t>特此承诺！</w:t>
      </w:r>
    </w:p>
    <w:p>
      <w:pPr>
        <w:ind w:firstLine="480"/>
      </w:pPr>
    </w:p>
    <w:p>
      <w:pPr>
        <w:jc w:val="right"/>
      </w:pPr>
      <w:r>
        <w:rPr/>
        <w:t>供应商法定名称（公章）；_____________________</w:t>
      </w:r>
    </w:p>
    <w:p>
      <w:pPr>
        <w:jc w:val="right"/>
      </w:pPr>
      <w:r>
        <w:rPr/>
        <w:t>供应商法定地址：_____________________</w:t>
      </w:r>
    </w:p>
    <w:p>
      <w:pPr>
        <w:jc w:val="right"/>
      </w:pPr>
      <w:r>
        <w:rPr/>
        <w:t>供应商授权代表（签字或盖章）：_____________________</w:t>
      </w:r>
    </w:p>
    <w:p>
      <w:pPr>
        <w:jc w:val="right"/>
      </w:pPr>
      <w:r>
        <w:rPr/>
        <w:t>电 话：_____________________</w:t>
      </w:r>
    </w:p>
    <w:p>
      <w:pPr>
        <w:jc w:val="right"/>
      </w:pPr>
      <w:r>
        <w:rPr/>
        <w:t>传 真：_____________________</w:t>
      </w:r>
    </w:p>
    <w:p>
      <w:pPr>
        <w:jc w:val="right"/>
      </w:pPr>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供应商需要采购人提供的附加条件</w:t>
            </w:r>
          </w:p>
        </w:tc>
      </w:tr>
      <w:tr>
        <w:tc>
          <w:tcPr>
            <w:tcW w:type="dxa" w:w="4153"/>
          </w:tcPr>
          <w:p>
            <w:pPr>
              <w:jc w:val="center"/>
            </w:pPr>
            <w:r>
              <w:rPr/>
              <w:t>1</w:t>
            </w:r>
          </w:p>
        </w:tc>
        <w:tc>
          <w:tcPr>
            <w:tcW w:type="dxa" w:w="4153"/>
          </w:tcPr>
          <w:p/>
        </w:tc>
      </w:tr>
      <w:tr>
        <w:tc>
          <w:tcPr>
            <w:tcW w:type="dxa" w:w="4153"/>
          </w:tcPr>
          <w:p>
            <w:pPr>
              <w:jc w:val="center"/>
            </w:pPr>
            <w:r>
              <w:rPr/>
              <w:t>2</w:t>
            </w:r>
          </w:p>
        </w:tc>
        <w:tc>
          <w:tcPr>
            <w:tcW w:type="dxa" w:w="4153"/>
          </w:tcPr>
          <w:p/>
        </w:tc>
      </w:tr>
      <w:tr>
        <w:tc>
          <w:tcPr>
            <w:tcW w:type="dxa" w:w="4153"/>
          </w:tcPr>
          <w:p>
            <w:pPr>
              <w:jc w:val="center"/>
            </w:pPr>
            <w:r>
              <w:rPr/>
              <w:t>3</w:t>
            </w:r>
          </w:p>
        </w:tc>
        <w:tc>
          <w:tcPr>
            <w:tcW w:type="dxa" w:w="4153"/>
          </w:tcPr>
          <w:p/>
        </w:tc>
      </w:tr>
    </w:tbl>
    <w:p>
      <w:pPr>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说明：本部分格式为供应商提交询问函、质疑函、投诉函时使用，不属于响应文件格式的组成部分。</w:t>
      </w:r>
    </w:p>
    <w:p>
      <w:pPr>
        <w:jc w:val="center"/>
      </w:pPr>
      <w:r>
        <w:rPr>
          <w:b/>
          <w:sz w:val="24"/>
        </w:rPr>
        <w:t>询问函</w:t>
      </w:r>
    </w:p>
    <w:p>
      <w:pPr>
        <w:ind w:firstLine="480"/>
      </w:pPr>
      <w:r>
        <w:rPr/>
        <w:t>广东政通招标有限公司</w:t>
      </w:r>
    </w:p>
    <w:p>
      <w:pPr>
        <w:ind w:firstLine="480"/>
      </w:pPr>
      <w:r>
        <w:rPr/>
        <w:t>我单位已登记并准备参与“</w:t>
      </w:r>
      <w:r>
        <w:rPr/>
        <w:t>石排镇2023-2025年内河涌保洁工作</w:t>
      </w:r>
      <w:r>
        <w:rPr/>
        <w:t>”项目（采购项目编号：</w:t>
      </w:r>
      <w:r>
        <w:rPr/>
        <w:t>441900012-2023-00038</w:t>
      </w:r>
      <w:r>
        <w:rPr/>
        <w:t>）的响应活动，现有以下几个内容（或条款）存在疑问（或无法理解），特提出询问。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pPr>
        <w:ind w:firstLine="480"/>
      </w:pPr>
      <w:r>
        <w:rPr/>
        <w:t>询问人：（公章）</w:t>
      </w:r>
    </w:p>
    <w:p>
      <w:pPr>
        <w:ind w:firstLine="480"/>
      </w:pPr>
      <w:r>
        <w:rPr/>
        <w:t>法定代表人（授权代表）：</w:t>
      </w:r>
    </w:p>
    <w:p>
      <w:pPr>
        <w:ind w:firstLine="480"/>
      </w:pPr>
      <w:r>
        <w:rPr/>
        <w:t>地址/邮编：</w:t>
      </w:r>
    </w:p>
    <w:p>
      <w:pPr>
        <w:ind w:firstLine="480"/>
      </w:pPr>
      <w:r>
        <w:rPr/>
        <w:t>电话/传真：</w:t>
      </w:r>
    </w:p>
    <w:p>
      <w:pPr>
        <w:jc w:val="right"/>
      </w:pPr>
      <w:r>
        <w:rPr/>
        <w:t xml:space="preserve"> 日  期：__________________</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质疑供应商：__________________________________________</w:t>
      </w:r>
    </w:p>
    <w:p>
      <w:pPr>
        <w:ind w:firstLine="480"/>
      </w:pPr>
      <w:r>
        <w:rPr/>
        <w:t>地址：_____________________邮编：_____________________</w:t>
      </w:r>
    </w:p>
    <w:p>
      <w:pPr>
        <w:ind w:firstLine="480"/>
      </w:pPr>
      <w:r>
        <w:rPr/>
        <w:t>联系：_____________________联系电话：_________________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磋商文件获取日期：_____________________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w:t>
      </w:r>
    </w:p>
    <w:p>
      <w:pPr>
        <w:ind w:firstLine="480"/>
      </w:pPr>
      <w:r>
        <w:rPr/>
        <w:t>……</w:t>
      </w:r>
    </w:p>
    <w:p>
      <w:pPr>
        <w:ind w:firstLine="480"/>
      </w:pPr>
      <w:r>
        <w:rPr/>
        <w:t>四、与质疑事项相关的质疑请求</w:t>
      </w:r>
    </w:p>
    <w:p>
      <w:pPr>
        <w:ind w:firstLine="480"/>
      </w:pPr>
      <w:r>
        <w:rPr/>
        <w:t>请求：</w:t>
      </w:r>
    </w:p>
    <w:p>
      <w:pPr>
        <w:jc w:val="right"/>
      </w:pPr>
      <w:r>
        <w:rPr/>
        <w:t xml:space="preserve"> 签字(签章)：_____________________ 公章：_____________________</w:t>
      </w:r>
    </w:p>
    <w:p>
      <w:pPr>
        <w:jc w:val="right"/>
      </w:pPr>
      <w:r>
        <w:rPr/>
        <w:t>日期：_____________________</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3.质疑供应商若对项目的某一采购包进行质疑，质疑函中应列明具体分包号。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磋商文件公告:</w:t>
      </w:r>
      <w:r>
        <w:rPr>
          <w:u w:val="single"/>
        </w:rPr>
        <w:t>是/否</w:t>
      </w:r>
      <w:r>
        <w:rPr/>
        <w:t>公告期限：</w:t>
      </w:r>
    </w:p>
    <w:p>
      <w:pPr>
        <w:ind w:firstLine="480"/>
      </w:pPr>
      <w:r>
        <w:rPr/>
        <w:t>采购结果公告:</w:t>
      </w:r>
      <w:r>
        <w:rPr>
          <w:u w:val="single"/>
        </w:rPr>
        <w:t>是/否</w:t>
      </w:r>
      <w:r>
        <w:rPr/>
        <w:t>公告期限：</w:t>
      </w:r>
    </w:p>
    <w:p>
      <w:pPr>
        <w:ind w:firstLine="480"/>
      </w:pPr>
      <w:r>
        <w:rPr/>
        <w:t>三、质疑基本情况</w:t>
      </w:r>
    </w:p>
    <w:p>
      <w:pPr>
        <w:ind w:firstLine="480"/>
      </w:pPr>
      <w:r>
        <w:rPr/>
        <w:t>投诉人于 ____年____月____日,向____________________提出质疑，质疑事项为：________________________________________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投诉事项1：____________________</w:t>
      </w:r>
    </w:p>
    <w:p>
      <w:pPr>
        <w:ind w:firstLine="480"/>
      </w:pPr>
      <w:r>
        <w:rPr/>
        <w:t>事实依据：____________________</w:t>
      </w:r>
    </w:p>
    <w:p>
      <w:pPr>
        <w:ind w:firstLine="480"/>
      </w:pPr>
      <w:r>
        <w:rPr/>
        <w:t>法律依据：____________________</w:t>
      </w:r>
    </w:p>
    <w:p>
      <w:pPr>
        <w:ind w:firstLine="480"/>
      </w:pPr>
      <w:r>
        <w:rPr/>
        <w:t>投诉事项2</w:t>
      </w:r>
    </w:p>
    <w:p>
      <w:pPr>
        <w:ind w:firstLine="480"/>
      </w:pPr>
      <w:r>
        <w:rPr/>
        <w:t>……</w:t>
      </w:r>
    </w:p>
    <w:p>
      <w:pPr>
        <w:ind w:firstLine="480"/>
      </w:pPr>
      <w:r>
        <w:rPr/>
        <w:t>五、与投诉事项相关的投诉请求</w:t>
      </w:r>
    </w:p>
    <w:p>
      <w:pPr>
        <w:ind w:firstLine="480"/>
      </w:pPr>
      <w:r>
        <w:rPr/>
        <w:t>请求：________________________</w:t>
      </w:r>
    </w:p>
    <w:p>
      <w:pPr>
        <w:ind w:firstLine="480"/>
      </w:pPr>
    </w:p>
    <w:p>
      <w:pPr>
        <w:jc w:val="right"/>
      </w:pPr>
      <w:r>
        <w:rPr/>
        <w:t>签字(签章)：_________公章________</w:t>
      </w:r>
    </w:p>
    <w:p>
      <w:pPr>
        <w:jc w:val="right"/>
      </w:pPr>
      <w:r>
        <w:rPr/>
        <w:t>日期：_____________________</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pPr>
        <w:jc w:val="right"/>
      </w:pPr>
      <w:r>
        <w:rPr/>
        <w:t>编号：【】号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ind w:firstLine="480"/>
      </w:pPr>
      <w:r>
        <w:rPr/>
        <w:t>一、保证责任的情形及保证金额</w:t>
      </w:r>
    </w:p>
    <w:p>
      <w:pPr>
        <w:ind w:firstLine="480"/>
      </w:pPr>
      <w:r>
        <w:rPr/>
        <w:t>（一）在投标（响应）人出现下列情形之一时，我方承担保证责任：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（二）我方承担保证责任的最高金额为人民币__________元（大写）即本项目的投标（响应）保证金金额。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我方的保证期间为：本保函自__年__月__日起生效，有效期至开标日后的90天内。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因本保函发生的纠纷，由你我双方协商解决，协商不成的，通过诉讼程序解决，诉讼管辖地法院为________法院。</w:t>
      </w:r>
    </w:p>
    <w:p>
      <w:pPr>
        <w:ind w:firstLine="480"/>
      </w:pPr>
      <w:r>
        <w:rPr/>
        <w:t>七、保函的生效</w:t>
      </w:r>
    </w:p>
    <w:p>
      <w:pPr>
        <w:ind w:firstLine="480"/>
      </w:pPr>
      <w:r>
        <w:rPr/>
        <w:t>本保函自我方加盖公章之日起生效。</w:t>
      </w:r>
    </w:p>
    <w:p>
      <w:pPr>
        <w:ind w:firstLine="480"/>
      </w:pPr>
    </w:p>
    <w:p>
      <w:pPr>
        <w:jc w:val="right"/>
      </w:pPr>
      <w:r>
        <w:rPr/>
        <w:t>保证人：_______（公章）_______</w:t>
      </w:r>
    </w:p>
    <w:p>
      <w:pPr>
        <w:jc w:val="right"/>
      </w:pPr>
      <w:r>
        <w:rPr/>
        <w:t>联系人：________________联系电话：_______________</w:t>
      </w:r>
    </w:p>
    <w:p>
      <w:pPr>
        <w:jc w:val="right"/>
      </w:pPr>
      <w:r>
        <w:rPr/>
        <w:t>___年___月___日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