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color w:val="auto"/>
          <w:szCs w:val="21"/>
          <w:highlight w:val="none"/>
        </w:rPr>
      </w:pPr>
    </w:p>
    <w:p>
      <w:pPr>
        <w:pStyle w:val="21"/>
        <w:ind w:left="0" w:firstLine="0" w:firstLineChars="0"/>
        <w:rPr>
          <w:rFonts w:ascii="黑体" w:eastAsia="黑体"/>
          <w:color w:val="auto"/>
          <w:szCs w:val="21"/>
          <w:highlight w:val="none"/>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GDZT2023103C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东莞市横沥镇社区卫生服务中心外送检验服务项目（第二批次）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19"/>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highlight w:val="none"/>
          <w:u w:val="none"/>
        </w:rPr>
      </w:pPr>
      <w:r>
        <w:rPr>
          <w:rFonts w:hint="eastAsia" w:ascii="宋体" w:hAnsi="宋体" w:eastAsia="宋体" w:cs="宋体"/>
          <w:b/>
          <w:bCs w:val="0"/>
          <w:sz w:val="21"/>
          <w:szCs w:val="21"/>
          <w:highlight w:val="none"/>
          <w:u w:val="none"/>
        </w:rPr>
        <w:t>（本提示内容非招标文件的组成部分，仅</w:t>
      </w:r>
      <w:r>
        <w:rPr>
          <w:rFonts w:hint="eastAsia" w:ascii="宋体" w:hAnsi="宋体" w:eastAsia="宋体" w:cs="宋体"/>
          <w:b/>
          <w:bCs w:val="0"/>
          <w:sz w:val="21"/>
          <w:szCs w:val="21"/>
          <w:highlight w:val="none"/>
          <w:u w:val="none"/>
          <w:lang w:val="en-US" w:eastAsia="zh-CN"/>
        </w:rPr>
        <w:t>起</w:t>
      </w:r>
      <w:r>
        <w:rPr>
          <w:rFonts w:hint="eastAsia" w:ascii="宋体" w:hAnsi="宋体" w:eastAsia="宋体" w:cs="宋体"/>
          <w:b/>
          <w:bCs w:val="0"/>
          <w:sz w:val="21"/>
          <w:szCs w:val="21"/>
          <w:highlight w:val="none"/>
          <w:u w:val="none"/>
        </w:rPr>
        <w:t>提醒</w:t>
      </w:r>
      <w:r>
        <w:rPr>
          <w:rFonts w:hint="eastAsia" w:ascii="宋体" w:hAnsi="宋体" w:eastAsia="宋体" w:cs="宋体"/>
          <w:b/>
          <w:bCs w:val="0"/>
          <w:sz w:val="21"/>
          <w:szCs w:val="21"/>
          <w:highlight w:val="none"/>
          <w:u w:val="none"/>
          <w:lang w:val="en-US" w:eastAsia="zh-CN"/>
        </w:rPr>
        <w:t>作用</w:t>
      </w:r>
      <w:r>
        <w:rPr>
          <w:rFonts w:hint="eastAsia" w:ascii="宋体" w:hAnsi="宋体" w:eastAsia="宋体" w:cs="宋体"/>
          <w:b/>
          <w:bCs w:val="0"/>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highlight w:val="none"/>
          <w:u w:val="none"/>
        </w:rPr>
      </w:pPr>
      <w:r>
        <w:rPr>
          <w:rFonts w:hint="eastAsia" w:ascii="宋体" w:hAnsi="宋体" w:eastAsia="宋体" w:cs="宋体"/>
          <w:b/>
          <w:bCs w:val="0"/>
          <w:sz w:val="21"/>
          <w:szCs w:val="21"/>
          <w:highlight w:val="none"/>
          <w:u w:val="none"/>
          <w:lang w:val="en-US" w:eastAsia="zh-CN"/>
        </w:rPr>
        <w:t>1、</w:t>
      </w:r>
      <w:r>
        <w:rPr>
          <w:rFonts w:hint="eastAsia" w:ascii="宋体" w:hAnsi="宋体" w:eastAsia="宋体" w:cs="宋体"/>
          <w:b/>
          <w:bCs w:val="0"/>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2</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建议投标供应商将投标文件正本、副本、唱标信封分别密封包装，并按照招标文件“第</w:t>
      </w:r>
      <w:r>
        <w:rPr>
          <w:rFonts w:hint="eastAsia" w:ascii="宋体" w:hAnsi="宋体" w:cs="宋体"/>
          <w:b/>
          <w:bCs w:val="0"/>
          <w:sz w:val="21"/>
          <w:szCs w:val="21"/>
          <w:highlight w:val="none"/>
          <w:u w:val="none"/>
          <w:lang w:val="en-US" w:eastAsia="zh-CN"/>
        </w:rPr>
        <w:t>四</w:t>
      </w:r>
      <w:r>
        <w:rPr>
          <w:rFonts w:hint="eastAsia" w:ascii="宋体" w:hAnsi="宋体" w:eastAsia="宋体" w:cs="宋体"/>
          <w:b/>
          <w:bCs w:val="0"/>
          <w:sz w:val="21"/>
          <w:szCs w:val="21"/>
          <w:highlight w:val="none"/>
          <w:u w:val="none"/>
          <w:lang w:val="en-US" w:eastAsia="zh-CN"/>
        </w:rPr>
        <w:t>部分</w:t>
      </w:r>
      <w:r>
        <w:rPr>
          <w:rFonts w:hint="eastAsia" w:ascii="宋体" w:hAnsi="宋体" w:eastAsia="宋体" w:cs="宋体"/>
          <w:b/>
          <w:bCs w:val="0"/>
          <w:sz w:val="21"/>
          <w:szCs w:val="21"/>
          <w:highlight w:val="none"/>
          <w:u w:val="none"/>
        </w:rPr>
        <w:t xml:space="preserve"> 投标人须知 </w:t>
      </w:r>
      <w:r>
        <w:rPr>
          <w:rFonts w:hint="eastAsia" w:ascii="宋体" w:hAnsi="宋体" w:eastAsia="宋体" w:cs="宋体"/>
          <w:b/>
          <w:bCs w:val="0"/>
          <w:sz w:val="21"/>
          <w:szCs w:val="21"/>
          <w:highlight w:val="none"/>
          <w:u w:val="none"/>
          <w:lang w:val="en-US" w:eastAsia="zh-CN"/>
        </w:rPr>
        <w:t>第四章</w:t>
      </w:r>
      <w:r>
        <w:rPr>
          <w:rFonts w:hint="eastAsia" w:ascii="宋体" w:hAnsi="宋体" w:eastAsia="宋体" w:cs="宋体"/>
          <w:b/>
          <w:bCs w:val="0"/>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3</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请正确填写《</w:t>
      </w:r>
      <w:r>
        <w:rPr>
          <w:rFonts w:hint="eastAsia" w:ascii="宋体" w:hAnsi="宋体" w:eastAsia="宋体" w:cs="宋体"/>
          <w:b/>
          <w:bCs w:val="0"/>
          <w:sz w:val="21"/>
          <w:szCs w:val="21"/>
          <w:highlight w:val="none"/>
          <w:u w:val="none"/>
          <w:lang w:val="en-US" w:eastAsia="zh-CN"/>
        </w:rPr>
        <w:t>唱标</w:t>
      </w:r>
      <w:r>
        <w:rPr>
          <w:rFonts w:hint="eastAsia" w:ascii="宋体" w:hAnsi="宋体" w:eastAsia="宋体" w:cs="宋体"/>
          <w:b/>
          <w:bCs w:val="0"/>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4</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投标文件应</w:t>
      </w:r>
      <w:r>
        <w:rPr>
          <w:rFonts w:hint="eastAsia" w:ascii="宋体" w:hAnsi="宋体" w:eastAsia="宋体" w:cs="宋体"/>
          <w:b/>
          <w:bCs w:val="0"/>
          <w:sz w:val="21"/>
          <w:szCs w:val="21"/>
          <w:highlight w:val="none"/>
          <w:u w:val="none"/>
          <w:lang w:val="en-US" w:eastAsia="zh-CN"/>
        </w:rPr>
        <w:t>编制目录及</w:t>
      </w:r>
      <w:r>
        <w:rPr>
          <w:rFonts w:hint="eastAsia" w:ascii="宋体" w:hAnsi="宋体" w:eastAsia="宋体" w:cs="宋体"/>
          <w:b/>
          <w:bCs w:val="0"/>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5</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6</w:t>
      </w:r>
      <w:r>
        <w:rPr>
          <w:rFonts w:hint="eastAsia" w:ascii="宋体" w:hAnsi="宋体" w:eastAsia="宋体" w:cs="宋体"/>
          <w:b/>
          <w:bCs w:val="0"/>
          <w:sz w:val="21"/>
          <w:szCs w:val="21"/>
          <w:highlight w:val="none"/>
          <w:u w:val="none"/>
          <w:lang w:val="en-US" w:eastAsia="zh-CN"/>
        </w:rPr>
        <w:t>、加</w:t>
      </w:r>
      <w:r>
        <w:rPr>
          <w:rFonts w:hint="eastAsia" w:ascii="宋体" w:hAnsi="宋体" w:eastAsia="宋体" w:cs="宋体"/>
          <w:b/>
          <w:bCs w:val="0"/>
          <w:sz w:val="21"/>
          <w:szCs w:val="21"/>
          <w:highlight w:val="none"/>
          <w:u w:val="none"/>
        </w:rPr>
        <w:t>★号</w:t>
      </w:r>
      <w:r>
        <w:rPr>
          <w:rFonts w:hint="eastAsia" w:ascii="宋体" w:hAnsi="宋体" w:eastAsia="宋体" w:cs="宋体"/>
          <w:b/>
          <w:bCs w:val="0"/>
          <w:sz w:val="21"/>
          <w:szCs w:val="21"/>
          <w:highlight w:val="none"/>
          <w:u w:val="none"/>
          <w:lang w:val="en-US" w:eastAsia="zh-CN"/>
        </w:rPr>
        <w:t>条款</w:t>
      </w:r>
      <w:r>
        <w:rPr>
          <w:rFonts w:hint="eastAsia" w:ascii="宋体" w:hAnsi="宋体" w:eastAsia="宋体" w:cs="宋体"/>
          <w:b/>
          <w:bCs w:val="0"/>
          <w:sz w:val="21"/>
          <w:szCs w:val="21"/>
          <w:highlight w:val="none"/>
          <w:u w:val="none"/>
        </w:rPr>
        <w:t>必须完全响应，不响应或负偏离将导致投标无效</w:t>
      </w:r>
      <w:r>
        <w:rPr>
          <w:rFonts w:hint="eastAsia" w:ascii="宋体" w:hAnsi="宋体" w:eastAsia="宋体" w:cs="宋体"/>
          <w:b/>
          <w:bCs w:val="0"/>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lang w:val="en-US" w:eastAsia="zh-CN"/>
        </w:rPr>
      </w:pPr>
      <w:r>
        <w:rPr>
          <w:rFonts w:hint="eastAsia" w:ascii="宋体" w:hAnsi="宋体" w:cs="宋体"/>
          <w:b/>
          <w:bCs w:val="0"/>
          <w:sz w:val="21"/>
          <w:szCs w:val="21"/>
          <w:highlight w:val="none"/>
          <w:u w:val="none"/>
          <w:lang w:val="en-US" w:eastAsia="zh-CN"/>
        </w:rPr>
        <w:t>7</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为避免因迟到而无法按时递交投标文件，投标供应商</w:t>
      </w:r>
      <w:r>
        <w:rPr>
          <w:rFonts w:hint="eastAsia" w:ascii="宋体" w:hAnsi="宋体" w:eastAsia="宋体" w:cs="宋体"/>
          <w:b/>
          <w:bCs w:val="0"/>
          <w:sz w:val="21"/>
          <w:szCs w:val="21"/>
          <w:highlight w:val="none"/>
          <w:u w:val="none"/>
          <w:lang w:val="en-US" w:eastAsia="zh-CN"/>
        </w:rPr>
        <w:t>应自行计算路途可能出现塞车的时间，建议</w:t>
      </w:r>
      <w:r>
        <w:rPr>
          <w:rFonts w:hint="eastAsia" w:ascii="宋体" w:hAnsi="宋体" w:eastAsia="宋体" w:cs="宋体"/>
          <w:b/>
          <w:bCs w:val="0"/>
          <w:sz w:val="21"/>
          <w:szCs w:val="21"/>
          <w:highlight w:val="none"/>
          <w:u w:val="none"/>
        </w:rPr>
        <w:t>在投标文件递交截止时间之前30分钟内到达开标地点</w:t>
      </w:r>
      <w:r>
        <w:rPr>
          <w:rFonts w:hint="eastAsia" w:ascii="宋体" w:hAnsi="宋体" w:eastAsia="宋体" w:cs="宋体"/>
          <w:b/>
          <w:bCs w:val="0"/>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8</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highlight w:val="none"/>
          <w:u w:val="none"/>
          <w:lang w:val="en-US" w:eastAsia="zh-CN"/>
        </w:rPr>
        <w:t>2</w:t>
      </w:r>
      <w:r>
        <w:rPr>
          <w:rFonts w:hint="eastAsia" w:ascii="宋体" w:hAnsi="宋体" w:eastAsia="宋体" w:cs="宋体"/>
          <w:b/>
          <w:bCs w:val="0"/>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highlight w:val="none"/>
          <w:u w:val="none"/>
          <w:lang w:val="en-US" w:eastAsia="zh-CN"/>
        </w:rPr>
      </w:pPr>
      <w:r>
        <w:rPr>
          <w:rFonts w:hint="eastAsia" w:ascii="宋体" w:hAnsi="宋体" w:eastAsia="宋体" w:cs="宋体"/>
          <w:b/>
          <w:bCs w:val="0"/>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highlight w:val="none"/>
          <w:lang w:eastAsia="zh-CN"/>
        </w:rPr>
      </w:pPr>
      <w:r>
        <w:rPr>
          <w:rFonts w:hint="eastAsia" w:eastAsia="宋体"/>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19"/>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19"/>
        <w:ind w:left="0" w:leftChars="0"/>
        <w:rPr>
          <w:color w:val="auto"/>
          <w:sz w:val="40"/>
          <w:szCs w:val="40"/>
          <w:highlight w:val="none"/>
        </w:rPr>
      </w:pPr>
      <w:r>
        <w:rPr>
          <w:rFonts w:hint="eastAsia"/>
          <w:color w:val="auto"/>
          <w:sz w:val="40"/>
          <w:szCs w:val="40"/>
          <w:highlight w:val="none"/>
        </w:rPr>
        <w:t>目录</w:t>
      </w:r>
    </w:p>
    <w:p>
      <w:pPr>
        <w:pStyle w:val="19"/>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东莞市横沥镇社区卫生服务中心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东莞市横沥镇社区卫生服务中心外送检验服务项目（第二批次）</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GDZT2023103C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东莞市横沥镇社区卫生服务中心外送检验服务项目（第二批次）</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2"/>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48"/>
        <w:gridCol w:w="660"/>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13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4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1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133"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东莞市横沥镇社区卫生服务中心外送检验服务项目（第二批次）</w:t>
            </w:r>
          </w:p>
        </w:tc>
        <w:tc>
          <w:tcPr>
            <w:tcW w:w="444"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17"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960,000.00</w:t>
            </w:r>
            <w:r>
              <w:rPr>
                <w:rFonts w:hint="eastAsia" w:ascii="宋体" w:hAnsi="宋体"/>
                <w:color w:val="auto"/>
                <w:szCs w:val="21"/>
                <w:highlight w:val="none"/>
              </w:rPr>
              <w:t>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投标人</w:t>
      </w:r>
      <w:r>
        <w:rPr>
          <w:rFonts w:hint="eastAsia" w:ascii="宋体" w:hAnsi="宋体" w:eastAsia="宋体" w:cs="宋体"/>
          <w:color w:val="auto"/>
          <w:kern w:val="0"/>
          <w:sz w:val="21"/>
          <w:szCs w:val="21"/>
          <w:highlight w:val="none"/>
          <w:lang w:val="en-US" w:eastAsia="zh-CN"/>
        </w:rPr>
        <w:t>须具有卫生行政部门核发且在有效期内的《医疗机构执业许可证》。</w:t>
      </w:r>
    </w:p>
    <w:p>
      <w:pPr>
        <w:shd w:val="clear"/>
        <w:spacing w:after="0" w:line="360" w:lineRule="auto"/>
        <w:ind w:firstLine="411" w:firstLineChars="196"/>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2</w:t>
      </w:r>
      <w:r>
        <w:rPr>
          <w:rFonts w:hint="eastAsia" w:ascii="宋体" w:hAnsi="宋体"/>
          <w:color w:val="auto"/>
          <w:szCs w:val="21"/>
          <w:highlight w:val="none"/>
        </w:rPr>
        <w:t>月</w:t>
      </w:r>
      <w:r>
        <w:rPr>
          <w:rFonts w:hint="eastAsia" w:ascii="宋体" w:hAnsi="宋体"/>
          <w:color w:val="auto"/>
          <w:szCs w:val="21"/>
          <w:highlight w:val="none"/>
          <w:lang w:val="en-US" w:eastAsia="zh-CN"/>
        </w:rPr>
        <w:t>24</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2</w:t>
      </w:r>
      <w:r>
        <w:rPr>
          <w:rFonts w:hint="eastAsia" w:ascii="宋体" w:hAnsi="宋体"/>
          <w:color w:val="auto"/>
          <w:szCs w:val="21"/>
          <w:highlight w:val="none"/>
        </w:rPr>
        <w:t>月</w:t>
      </w:r>
      <w:r>
        <w:rPr>
          <w:rFonts w:hint="eastAsia" w:ascii="宋体" w:hAnsi="宋体"/>
          <w:color w:val="auto"/>
          <w:szCs w:val="21"/>
          <w:highlight w:val="none"/>
          <w:lang w:val="en-US" w:eastAsia="zh-CN"/>
        </w:rPr>
        <w:t>24</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w:t>
      </w:r>
      <w:bookmarkStart w:id="389" w:name="_GoBack"/>
      <w:bookmarkEnd w:id="389"/>
      <w:r>
        <w:rPr>
          <w:rFonts w:hint="eastAsia" w:ascii="宋体" w:hAnsi="宋体"/>
          <w:color w:val="auto"/>
          <w:szCs w:val="21"/>
          <w:highlight w:val="none"/>
        </w:rPr>
        <w:t>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15</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16</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16</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spacing w:after="0" w:line="360" w:lineRule="auto"/>
        <w:ind w:firstLine="420" w:firstLineChars="200"/>
        <w:rPr>
          <w:rFonts w:hint="eastAsia" w:ascii="宋体" w:hAnsi="宋体" w:eastAsia="宋体"/>
          <w:bCs/>
          <w:sz w:val="21"/>
          <w:szCs w:val="21"/>
          <w:highlight w:val="none"/>
          <w:lang w:val="en-US" w:eastAsia="zh-CN"/>
        </w:rPr>
      </w:pPr>
      <w:r>
        <w:rPr>
          <w:rFonts w:hint="eastAsia" w:ascii="宋体" w:hAnsi="宋体" w:eastAsia="宋体"/>
          <w:bCs/>
          <w:sz w:val="21"/>
          <w:szCs w:val="21"/>
          <w:highlight w:val="none"/>
        </w:rPr>
        <w:t>采购人联系人：黄</w:t>
      </w:r>
      <w:r>
        <w:rPr>
          <w:rFonts w:hint="eastAsia" w:ascii="宋体" w:hAnsi="宋体"/>
          <w:bCs/>
          <w:sz w:val="21"/>
          <w:szCs w:val="21"/>
          <w:highlight w:val="none"/>
          <w:lang w:val="en-US" w:eastAsia="zh-CN"/>
        </w:rPr>
        <w:t>工</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地址：东莞市横沥镇</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联系电话：0769-89302656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p>
    <w:p>
      <w:pPr>
        <w:pStyle w:val="2"/>
        <w:rPr>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rPr>
              <w:t>自筹资金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4"/>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highlight w:val="none"/>
                <w:lang w:val="zh-CN"/>
              </w:rPr>
            </w:pPr>
            <w:r>
              <w:rPr>
                <w:rFonts w:hint="eastAsia" w:ascii="宋体" w:eastAsia="宋体" w:cs="宋体"/>
                <w:color w:val="auto"/>
                <w:sz w:val="21"/>
                <w:szCs w:val="21"/>
                <w:highlight w:val="none"/>
                <w:lang w:val="en-US" w:eastAsia="zh-CN"/>
              </w:rPr>
              <w:t>价格评分（20分）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价格分计算方法：满足招标文件要求且投标价格最低的综合单价折扣率为评标基准价，其价格分为满分。其他投标人的价格分统一按照下列公式计算：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textAlignment w:val="auto"/>
              <w:rPr>
                <w:rFonts w:hint="eastAsia" w:ascii="宋体" w:eastAsia="宋体" w:cs="宋体"/>
                <w:bCs/>
                <w:color w:val="auto"/>
                <w:sz w:val="21"/>
                <w:szCs w:val="21"/>
                <w:highlight w:val="none"/>
                <w:lang w:val="zh-CN"/>
              </w:rPr>
            </w:pPr>
            <w:r>
              <w:rPr>
                <w:rFonts w:hint="eastAsia" w:ascii="宋体" w:hAnsi="宋体" w:eastAsia="宋体"/>
                <w:color w:val="auto"/>
                <w:sz w:val="21"/>
                <w:szCs w:val="21"/>
                <w:highlight w:val="none"/>
              </w:rPr>
              <w:t>投标报价得分=(评标基准单价折扣率／投标单价折扣率)×价格权值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投标人实验室认可情况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投标人获得省级或以上检验中心颁发的《室间质评证书》的，每个得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本项最高得6分</w:t>
            </w:r>
            <w:r>
              <w:rPr>
                <w:rFonts w:hint="eastAsia" w:ascii="宋体" w:hAnsi="宋体" w:eastAsia="宋体" w:cs="宋体"/>
                <w:color w:val="auto"/>
                <w:sz w:val="21"/>
                <w:szCs w:val="21"/>
                <w:highlight w:val="none"/>
              </w:rPr>
              <w:t>。</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rPr>
            </w:pPr>
            <w:r>
              <w:rPr>
                <w:rFonts w:hint="eastAsia" w:ascii="宋体" w:hAnsi="宋体" w:eastAsia="宋体" w:cs="宋体"/>
                <w:color w:val="auto"/>
                <w:sz w:val="21"/>
                <w:szCs w:val="21"/>
                <w:highlight w:val="none"/>
                <w:lang w:val="en-US" w:eastAsia="zh-CN"/>
              </w:rPr>
              <w:t>注：须提供有效</w:t>
            </w:r>
            <w:r>
              <w:rPr>
                <w:rFonts w:hint="eastAsia" w:ascii="宋体" w:hAnsi="宋体" w:eastAsia="宋体" w:cs="宋体"/>
                <w:color w:val="auto"/>
                <w:sz w:val="21"/>
                <w:szCs w:val="21"/>
                <w:highlight w:val="none"/>
              </w:rPr>
              <w:t>证书复印件</w:t>
            </w:r>
            <w:r>
              <w:rPr>
                <w:rFonts w:hint="eastAsia" w:ascii="宋体" w:hAnsi="宋体" w:eastAsia="宋体" w:cs="宋体"/>
                <w:color w:val="auto"/>
                <w:sz w:val="21"/>
                <w:szCs w:val="21"/>
                <w:highlight w:val="none"/>
                <w:lang w:eastAsia="zh-CN"/>
              </w:rPr>
              <w:t>加盖投标人公章，</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51" w:type="dxa"/>
            <w:vMerge w:val="restar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vMerge w:val="restar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投标人综合实力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具有国家行政监督管理部门认可认证机构颁发的知识产权管理体系认证证书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auto"/>
                <w:sz w:val="21"/>
                <w:szCs w:val="21"/>
                <w:highlight w:val="none"/>
                <w:lang w:val="en-US" w:eastAsia="zh-CN"/>
              </w:rPr>
              <w:t>注：须提供有效证书复印件加盖投标人公章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51"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p>
        </w:tc>
        <w:tc>
          <w:tcPr>
            <w:tcW w:w="1290" w:type="dxa"/>
            <w:vMerge w:val="continue"/>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具有临床检验中心颁发临床基因扩增检验实验室技术审核验收合格证书</w:t>
            </w:r>
            <w:r>
              <w:rPr>
                <w:rFonts w:hint="eastAsia" w:asci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分，本项最高得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注：须提供有效证书复印件加盖投标人公章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highlight w:val="none"/>
                <w:lang w:val="zh-CN"/>
              </w:rPr>
            </w:pPr>
            <w:r>
              <w:rPr>
                <w:rFonts w:hint="eastAsia" w:ascii="宋体" w:eastAsia="宋体" w:cs="宋体"/>
                <w:bCs/>
                <w:sz w:val="21"/>
                <w:szCs w:val="21"/>
                <w:highlight w:val="none"/>
                <w:lang w:val="en-US" w:eastAsia="zh-CN"/>
              </w:rPr>
              <w:t>投标人</w:t>
            </w:r>
            <w:r>
              <w:rPr>
                <w:rFonts w:hint="eastAsia" w:ascii="宋体" w:hAnsi="宋体" w:eastAsia="宋体" w:cs="宋体"/>
                <w:bCs/>
                <w:sz w:val="21"/>
                <w:szCs w:val="21"/>
                <w:highlight w:val="none"/>
                <w:lang w:val="zh-CN"/>
              </w:rPr>
              <w:t>具有医疗机构检验</w:t>
            </w:r>
            <w:r>
              <w:rPr>
                <w:rFonts w:hint="eastAsia" w:ascii="宋体" w:eastAsia="宋体" w:cs="宋体"/>
                <w:bCs/>
                <w:sz w:val="21"/>
                <w:szCs w:val="21"/>
                <w:highlight w:val="none"/>
                <w:lang w:val="zh-CN"/>
              </w:rPr>
              <w:t>（</w:t>
            </w:r>
            <w:r>
              <w:rPr>
                <w:rFonts w:hint="eastAsia" w:ascii="宋体" w:hAnsi="宋体" w:eastAsia="宋体" w:cs="宋体"/>
                <w:bCs/>
                <w:sz w:val="21"/>
                <w:szCs w:val="21"/>
                <w:highlight w:val="none"/>
                <w:lang w:val="zh-CN"/>
              </w:rPr>
              <w:t>或检测</w:t>
            </w:r>
            <w:r>
              <w:rPr>
                <w:rFonts w:hint="eastAsia" w:ascii="宋体" w:eastAsia="宋体" w:cs="宋体"/>
                <w:bCs/>
                <w:sz w:val="21"/>
                <w:szCs w:val="21"/>
                <w:highlight w:val="none"/>
                <w:lang w:val="zh-CN"/>
              </w:rPr>
              <w:t>）</w:t>
            </w:r>
            <w:r>
              <w:rPr>
                <w:rFonts w:hint="eastAsia" w:ascii="宋体" w:hAnsi="宋体" w:eastAsia="宋体" w:cs="宋体"/>
                <w:bCs/>
                <w:sz w:val="21"/>
                <w:szCs w:val="21"/>
                <w:highlight w:val="none"/>
                <w:lang w:val="zh-CN"/>
              </w:rPr>
              <w:t>外送服务</w:t>
            </w:r>
            <w:r>
              <w:rPr>
                <w:rFonts w:hint="eastAsia" w:ascii="宋体" w:eastAsia="宋体" w:cs="宋体"/>
                <w:bCs/>
                <w:sz w:val="21"/>
                <w:szCs w:val="21"/>
                <w:highlight w:val="none"/>
                <w:lang w:val="en-US" w:eastAsia="zh-CN"/>
              </w:rPr>
              <w:t>类</w:t>
            </w:r>
            <w:r>
              <w:rPr>
                <w:rFonts w:hint="eastAsia" w:ascii="宋体" w:hAnsi="宋体" w:eastAsia="宋体" w:cs="宋体"/>
                <w:bCs/>
                <w:sz w:val="21"/>
                <w:szCs w:val="21"/>
                <w:highlight w:val="none"/>
                <w:lang w:val="zh-CN"/>
              </w:rPr>
              <w:t>项目业绩</w:t>
            </w:r>
            <w:r>
              <w:rPr>
                <w:rFonts w:hint="eastAsia" w:ascii="宋体" w:eastAsia="宋体" w:cs="宋体"/>
                <w:bCs/>
                <w:sz w:val="21"/>
                <w:szCs w:val="21"/>
                <w:highlight w:val="none"/>
                <w:lang w:val="en-US" w:eastAsia="zh-CN"/>
              </w:rPr>
              <w:t>的</w:t>
            </w:r>
            <w:r>
              <w:rPr>
                <w:rFonts w:hint="eastAsia" w:ascii="宋体" w:hAnsi="宋体" w:eastAsia="宋体" w:cs="宋体"/>
                <w:bCs/>
                <w:sz w:val="21"/>
                <w:szCs w:val="21"/>
                <w:highlight w:val="none"/>
                <w:lang w:val="zh-CN"/>
              </w:rPr>
              <w:t>，按医疗机构的数量计分，每提供一个医疗机构</w:t>
            </w:r>
            <w:r>
              <w:rPr>
                <w:rFonts w:hint="eastAsia" w:ascii="宋体" w:eastAsia="宋体" w:cs="宋体"/>
                <w:bCs/>
                <w:sz w:val="21"/>
                <w:szCs w:val="21"/>
                <w:highlight w:val="none"/>
                <w:lang w:val="en-US" w:eastAsia="zh-CN"/>
              </w:rPr>
              <w:t>的业绩</w:t>
            </w:r>
            <w:r>
              <w:rPr>
                <w:rFonts w:hint="eastAsia" w:ascii="宋体" w:hAnsi="宋体" w:eastAsia="宋体" w:cs="宋体"/>
                <w:bCs/>
                <w:sz w:val="21"/>
                <w:szCs w:val="21"/>
                <w:highlight w:val="none"/>
                <w:lang w:val="zh-CN"/>
              </w:rPr>
              <w:t>合同得2分，</w:t>
            </w:r>
            <w:r>
              <w:rPr>
                <w:rFonts w:hint="eastAsia" w:ascii="宋体" w:eastAsia="宋体" w:cs="宋体"/>
                <w:bCs/>
                <w:sz w:val="21"/>
                <w:szCs w:val="21"/>
                <w:highlight w:val="none"/>
                <w:lang w:val="en-US" w:eastAsia="zh-CN"/>
              </w:rPr>
              <w:t>本项</w:t>
            </w:r>
            <w:r>
              <w:rPr>
                <w:rFonts w:hint="eastAsia" w:ascii="宋体" w:hAnsi="宋体" w:eastAsia="宋体" w:cs="宋体"/>
                <w:bCs/>
                <w:sz w:val="21"/>
                <w:szCs w:val="21"/>
                <w:highlight w:val="none"/>
                <w:lang w:val="zh-CN"/>
              </w:rPr>
              <w:t>最高得</w:t>
            </w:r>
            <w:r>
              <w:rPr>
                <w:rFonts w:hint="eastAsia" w:ascii="宋体" w:eastAsia="宋体" w:cs="宋体"/>
                <w:bCs/>
                <w:sz w:val="21"/>
                <w:szCs w:val="21"/>
                <w:highlight w:val="none"/>
                <w:lang w:val="en-US" w:eastAsia="zh-CN"/>
              </w:rPr>
              <w:t>1</w:t>
            </w:r>
            <w:r>
              <w:rPr>
                <w:rFonts w:hint="eastAsia" w:ascii="宋体" w:hAnsi="宋体" w:eastAsia="宋体" w:cs="宋体"/>
                <w:bCs/>
                <w:sz w:val="21"/>
                <w:szCs w:val="21"/>
                <w:highlight w:val="none"/>
                <w:lang w:val="zh-CN"/>
              </w:rPr>
              <w:t>0分。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sz w:val="21"/>
                <w:szCs w:val="21"/>
                <w:highlight w:val="none"/>
                <w:lang w:val="en-US" w:eastAsia="zh-CN"/>
              </w:rPr>
              <w:t>注：</w:t>
            </w:r>
            <w:r>
              <w:rPr>
                <w:rFonts w:hint="eastAsia" w:ascii="宋体" w:hAnsi="宋体" w:eastAsia="宋体" w:cs="宋体"/>
                <w:color w:val="auto"/>
                <w:sz w:val="21"/>
                <w:szCs w:val="21"/>
                <w:highlight w:val="none"/>
              </w:rPr>
              <w:t>须提供业绩合同复印件</w:t>
            </w:r>
            <w:r>
              <w:rPr>
                <w:rFonts w:hint="eastAsia" w:ascii="宋体" w:hAnsi="宋体" w:eastAsia="宋体" w:cs="宋体"/>
                <w:color w:val="auto"/>
                <w:sz w:val="21"/>
                <w:szCs w:val="21"/>
                <w:highlight w:val="none"/>
                <w:lang w:eastAsia="zh-CN"/>
              </w:rPr>
              <w:t>加盖投标人公章，</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根据供应商提供的服务响应时间承诺进行</w:t>
            </w:r>
            <w:r>
              <w:rPr>
                <w:rFonts w:hint="eastAsia" w:ascii="宋体" w:hAnsi="宋体" w:cs="宋体"/>
                <w:bCs/>
                <w:color w:val="auto"/>
                <w:sz w:val="21"/>
                <w:szCs w:val="21"/>
                <w:highlight w:val="none"/>
                <w:lang w:val="en-US" w:eastAsia="zh-CN"/>
              </w:rPr>
              <w:t>评审</w:t>
            </w:r>
            <w:r>
              <w:rPr>
                <w:rFonts w:hint="eastAsia" w:ascii="宋体" w:hAnsi="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（3）承诺在接到采购人通知后3小时内到现场，得1分；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（4）承诺在接到采购人通知后超过3小时到现场，不得分。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zh-CN"/>
              </w:rPr>
              <w:t>注：</w:t>
            </w:r>
            <w:r>
              <w:rPr>
                <w:rFonts w:hint="eastAsia" w:ascii="宋体" w:hAnsi="宋体" w:eastAsia="宋体" w:cs="宋体"/>
                <w:bCs/>
                <w:color w:val="auto"/>
                <w:sz w:val="21"/>
                <w:szCs w:val="21"/>
                <w:highlight w:val="none"/>
              </w:rPr>
              <w:t>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技术响应</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对用户需求书中带“▲”技术要求条款的技术指标进行响应，若全部响应为满足或优于的得</w:t>
            </w:r>
            <w:r>
              <w:rPr>
                <w:rFonts w:hint="eastAsia" w:asci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val="zh-CN" w:eastAsia="zh-CN"/>
              </w:rPr>
              <w:t>分，不满足或者不响应的每一个扣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分，扣完为止，本项最低得0分。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投标人提供的项目实施方案响应《用户需求书》</w:t>
            </w:r>
            <w:r>
              <w:rPr>
                <w:rFonts w:hint="eastAsia" w:ascii="宋体" w:hAnsi="宋体" w:eastAsia="宋体" w:cs="宋体"/>
                <w:color w:val="auto"/>
                <w:sz w:val="21"/>
                <w:szCs w:val="21"/>
                <w:highlight w:val="none"/>
                <w:lang w:val="en-US" w:eastAsia="zh-CN"/>
              </w:rPr>
              <w:t>的程度进行综合评审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如对每周上门服务次数、咨询服务方案、检验方案、出具检测报告具体时间长短方案等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对标本运输保管方案及其保障措施、质量标准及保障措施、异常报告处理流程、采购人对检测报告提出异议后处理机制、提供检验前培训服务方案进行综合评审：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完整，实施方法基本可行，满足以上提出要求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w:t>
            </w:r>
            <w:r>
              <w:rPr>
                <w:rFonts w:hint="eastAsia" w:ascii="宋体" w:hAnsi="宋体" w:eastAsia="宋体" w:cs="宋体"/>
                <w:color w:val="auto"/>
                <w:sz w:val="21"/>
                <w:szCs w:val="21"/>
                <w:highlight w:val="none"/>
              </w:rPr>
              <w:t>要求，得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增值服务方案  </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CN"/>
              </w:rPr>
              <w:t>投标人针对</w:t>
            </w:r>
            <w:r>
              <w:rPr>
                <w:rFonts w:hint="eastAsia" w:ascii="宋体" w:hAnsi="宋体" w:eastAsia="宋体" w:cs="宋体"/>
                <w:color w:val="auto"/>
                <w:sz w:val="21"/>
                <w:szCs w:val="21"/>
                <w:highlight w:val="none"/>
              </w:rPr>
              <w:t>招标文件用户需求书要求，协助采购人实验室进行流程优化、质量提升、技术能力提升，提供给采购人实验室信息系统双向对接提出相应的实施服务方案</w:t>
            </w:r>
            <w:r>
              <w:rPr>
                <w:rFonts w:hint="eastAsia" w:ascii="宋体" w:hAnsi="宋体" w:eastAsia="宋体" w:cs="宋体"/>
                <w:color w:val="auto"/>
                <w:sz w:val="21"/>
                <w:szCs w:val="21"/>
                <w:highlight w:val="none"/>
                <w:lang w:val="en-US" w:eastAsia="zh-CN"/>
              </w:rPr>
              <w:t>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服务方案完整，实施方法可行，满足优于以上提出的要求，得10分；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完整，实施方法基本可行，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拟投入技术人员及设备配备方案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拟投入本项目的技术人员(检验类别)、设备、实验室情况进行综合</w:t>
            </w:r>
            <w:r>
              <w:rPr>
                <w:rFonts w:hint="eastAsia" w:ascii="宋体" w:hAnsi="宋体" w:eastAsia="宋体" w:cs="宋体"/>
                <w:color w:val="auto"/>
                <w:sz w:val="21"/>
                <w:szCs w:val="21"/>
                <w:highlight w:val="none"/>
                <w:lang w:val="en-US" w:eastAsia="zh-CN"/>
              </w:rPr>
              <w:t>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技术人员配备完整、设备配套齐全，实验室管理方案、实施方法可行，得10分；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技术人员配备较为完整、设备配套较为齐全，实验室管理方案、实施方法基本可行，得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技术人员配备不够完整、设备配套不够齐全，实验室管理方案、实施方法不当，得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widowControl/>
              <w:shd w:val="clear" w:color="auto" w:fill="auto"/>
              <w:kinsoku/>
              <w:wordWrap/>
              <w:overflowPunct/>
              <w:topLinePunct w:val="0"/>
              <w:autoSpaceDE/>
              <w:autoSpaceDN/>
              <w:bidi w:val="0"/>
              <w:adjustRightInd w:val="0"/>
              <w:snapToGrid w:val="0"/>
              <w:spacing w:before="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根据投标人提供的售后服务承诺方案，售后服务计划及方案是否合理、是否完善、</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可靠进行</w:t>
            </w:r>
            <w:r>
              <w:rPr>
                <w:rFonts w:hint="eastAsia" w:ascii="宋体" w:hAnsi="宋体" w:eastAsia="宋体" w:cs="宋体"/>
                <w:color w:val="auto"/>
                <w:sz w:val="21"/>
                <w:szCs w:val="21"/>
                <w:highlight w:val="none"/>
                <w:lang w:val="en-US" w:eastAsia="zh-CN"/>
              </w:rPr>
              <w:t>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方案完整，实施方法可行，得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w:t>
            </w:r>
            <w:r>
              <w:rPr>
                <w:rFonts w:hint="eastAsia" w:ascii="宋体" w:hAnsi="宋体" w:eastAsia="宋体" w:cs="宋体"/>
                <w:color w:val="auto"/>
                <w:sz w:val="21"/>
                <w:szCs w:val="21"/>
                <w:highlight w:val="none"/>
                <w:lang w:eastAsia="zh-CN"/>
              </w:rPr>
              <w:t>够</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w:t>
            </w:r>
            <w:r>
              <w:rPr>
                <w:rFonts w:hint="eastAsia" w:ascii="宋体" w:hAnsi="宋体" w:eastAsia="宋体" w:cs="宋体"/>
                <w:color w:val="auto"/>
                <w:sz w:val="21"/>
                <w:szCs w:val="21"/>
                <w:highlight w:val="none"/>
              </w:rPr>
              <w:t>差，得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eastAsia="宋体" w:cs="宋体"/>
                <w:bCs/>
                <w:color w:val="auto"/>
                <w:sz w:val="21"/>
                <w:szCs w:val="21"/>
                <w:highlight w:val="none"/>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rPr>
          <w:highlight w:val="none"/>
        </w:rPr>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479"/>
      <w:bookmarkStart w:id="18" w:name="_Toc30638"/>
      <w:bookmarkStart w:id="19" w:name="_Toc29685"/>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3400"/>
      <w:bookmarkStart w:id="28" w:name="_Toc16848"/>
      <w:bookmarkStart w:id="29" w:name="_Toc21002"/>
      <w:r>
        <w:rPr>
          <w:rFonts w:hint="eastAsia" w:ascii="宋体" w:hAnsi="宋体"/>
          <w:color w:val="auto"/>
          <w:sz w:val="21"/>
          <w:szCs w:val="21"/>
          <w:highlight w:val="none"/>
        </w:rPr>
        <w:t>2.</w:t>
      </w:r>
      <w:bookmarkStart w:id="30" w:name="_Toc303084246"/>
      <w:bookmarkStart w:id="31" w:name="_Toc298847174"/>
      <w:bookmarkStart w:id="32" w:name="_Toc382049092"/>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3909"/>
      <w:bookmarkStart w:id="38" w:name="_Toc12536"/>
      <w:bookmarkStart w:id="39" w:name="_Toc15945"/>
      <w:r>
        <w:rPr>
          <w:rFonts w:hint="eastAsia" w:ascii="宋体" w:hAnsi="宋体"/>
          <w:color w:val="auto"/>
          <w:sz w:val="21"/>
          <w:szCs w:val="21"/>
          <w:highlight w:val="none"/>
        </w:rPr>
        <w:t>4.投标费用</w:t>
      </w:r>
      <w:bookmarkEnd w:id="37"/>
      <w:bookmarkEnd w:id="38"/>
      <w:bookmarkEnd w:id="39"/>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6571"/>
      <w:bookmarkStart w:id="47" w:name="_Toc3233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23726"/>
      <w:bookmarkStart w:id="60" w:name="_Toc4773"/>
      <w:bookmarkStart w:id="61" w:name="_Toc16712"/>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382049103"/>
      <w:bookmarkStart w:id="66" w:name="_Toc7728"/>
      <w:bookmarkStart w:id="67" w:name="_Toc307934854"/>
      <w:bookmarkStart w:id="68" w:name="_Toc28866"/>
      <w:bookmarkStart w:id="69" w:name="_Toc12145"/>
      <w:bookmarkStart w:id="70" w:name="_Toc18999"/>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2"/>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p>
    <w:p>
      <w:pPr>
        <w:pStyle w:val="32"/>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473"/>
      <w:bookmarkStart w:id="95" w:name="_Toc303084264"/>
      <w:bookmarkStart w:id="96" w:name="_Toc24997"/>
      <w:bookmarkStart w:id="97" w:name="_Toc23678"/>
      <w:bookmarkStart w:id="98" w:name="_Toc29590"/>
      <w:bookmarkStart w:id="99" w:name="_Toc382049111"/>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303084265"/>
      <w:bookmarkStart w:id="107" w:name="_Toc7689"/>
      <w:bookmarkStart w:id="108" w:name="_Toc5900"/>
      <w:bookmarkStart w:id="109" w:name="_Toc382049112"/>
      <w:bookmarkStart w:id="110" w:name="_Toc9777"/>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32730"/>
      <w:bookmarkStart w:id="125" w:name="_Toc15231"/>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3762"/>
      <w:bookmarkStart w:id="128" w:name="_Toc18436"/>
      <w:bookmarkStart w:id="129" w:name="_Toc16745"/>
      <w:r>
        <w:rPr>
          <w:rFonts w:hint="eastAsia" w:ascii="宋体" w:hAnsi="宋体"/>
          <w:color w:val="auto"/>
          <w:sz w:val="21"/>
          <w:szCs w:val="21"/>
          <w:highlight w:val="none"/>
        </w:rPr>
        <w:t>25.投标文件的初审</w:t>
      </w:r>
      <w:bookmarkEnd w:id="127"/>
      <w:bookmarkEnd w:id="128"/>
      <w:bookmarkEnd w:id="129"/>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9184"/>
      <w:bookmarkStart w:id="131" w:name="_Toc21742"/>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12115"/>
      <w:bookmarkStart w:id="138" w:name="_Toc20328"/>
      <w:bookmarkStart w:id="139" w:name="_Toc22591"/>
      <w:bookmarkStart w:id="140" w:name="_Toc3114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12440"/>
      <w:bookmarkStart w:id="150" w:name="_Toc508284013"/>
      <w:bookmarkStart w:id="151" w:name="_Toc23136"/>
      <w:bookmarkStart w:id="152" w:name="_Toc29283"/>
      <w:r>
        <w:rPr>
          <w:rFonts w:hint="eastAsia" w:ascii="宋体" w:hAnsi="宋体"/>
          <w:color w:val="auto"/>
          <w:sz w:val="21"/>
          <w:szCs w:val="21"/>
          <w:highlight w:val="none"/>
        </w:rPr>
        <w:t>30.发布采购结果</w:t>
      </w:r>
      <w:bookmarkEnd w:id="149"/>
      <w:bookmarkEnd w:id="150"/>
      <w:bookmarkEnd w:id="151"/>
      <w:bookmarkEnd w:id="152"/>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744"/>
      <w:bookmarkStart w:id="157" w:name="_Toc29009"/>
      <w:bookmarkStart w:id="158" w:name="_Toc303084277"/>
      <w:bookmarkStart w:id="159" w:name="_Toc7405"/>
      <w:bookmarkStart w:id="160" w:name="_Toc382049124"/>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8234"/>
      <w:bookmarkStart w:id="169" w:name="_Toc11264"/>
      <w:bookmarkStart w:id="170" w:name="_Toc2767"/>
      <w:r>
        <w:rPr>
          <w:rFonts w:hint="eastAsia" w:ascii="宋体" w:hAnsi="宋体"/>
          <w:color w:val="auto"/>
          <w:sz w:val="21"/>
          <w:szCs w:val="21"/>
          <w:highlight w:val="none"/>
        </w:rPr>
        <w:t>34.质疑</w:t>
      </w:r>
      <w:bookmarkEnd w:id="168"/>
      <w:bookmarkEnd w:id="169"/>
      <w:bookmarkEnd w:id="170"/>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6548"/>
      <w:bookmarkStart w:id="175" w:name="_Toc10082"/>
      <w:bookmarkStart w:id="176" w:name="_Toc21187"/>
      <w:r>
        <w:rPr>
          <w:rFonts w:hint="eastAsia" w:ascii="宋体" w:hAnsi="宋体"/>
          <w:color w:val="auto"/>
          <w:sz w:val="21"/>
          <w:szCs w:val="21"/>
          <w:highlight w:val="none"/>
        </w:rPr>
        <w:t>35.招标文件的解释权</w:t>
      </w:r>
      <w:bookmarkEnd w:id="174"/>
      <w:bookmarkEnd w:id="175"/>
      <w:bookmarkEnd w:id="176"/>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82"/>
      <w:bookmarkStart w:id="178" w:name="_Toc31854"/>
      <w:bookmarkStart w:id="179" w:name="_Toc7011"/>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2"/>
              <w:ind w:left="210" w:hanging="210" w:hanging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eastAsia="zh-CN"/>
              </w:rPr>
              <w:t>签订合同之日起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年，在服务期限内，预算使用完毕或服务期限到期即合同终止</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以先到为准。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每月结算一次，当月的服务费用采购人于次月底前支付。（中标人向采购人申请付款时须提供相应额度的国家正式发票给采购人。）</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投标人的投标单价以《东莞市公立医疗机构基本医疗服务价格（以最新版本为准）》中的规定的单价为标准，如此价格标准以外的送检项目，价格由中标人与采购人共同商定。如在服务期限内，物价部门调整了检验单价时，应按照物价部门调整的检验单价浮动比例调整结算单价。</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ascii="宋体" w:hAnsi="宋体" w:cs="宋体"/>
                <w:color w:val="auto"/>
                <w:szCs w:val="21"/>
                <w:highlight w:val="none"/>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实际服务费用=每月实际检测项目费用×投标人实际投标的单价折扣率。（</w:t>
            </w:r>
            <w:r>
              <w:rPr>
                <w:rFonts w:hint="eastAsia" w:ascii="宋体" w:hAnsi="宋体" w:eastAsia="宋体" w:cs="宋体"/>
                <w:b/>
                <w:bCs/>
                <w:color w:val="auto"/>
                <w:sz w:val="21"/>
                <w:szCs w:val="21"/>
                <w:highlight w:val="none"/>
                <w:lang w:val="en-US" w:eastAsia="zh-CN"/>
              </w:rPr>
              <w:t>注：折扣率=1-下浮率</w:t>
            </w:r>
            <w:r>
              <w:rPr>
                <w:rFonts w:hint="eastAsia" w:ascii="宋体" w:hAnsi="宋体" w:eastAsia="宋体" w:cs="宋体"/>
                <w:b/>
                <w:bCs/>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42" w:firstLineChars="200"/>
              <w:jc w:val="both"/>
              <w:textAlignment w:val="auto"/>
              <w:outlineLvl w:val="9"/>
              <w:rPr>
                <w:rFonts w:hint="eastAsia" w:ascii="宋体" w:hAnsi="宋体" w:cs="宋体"/>
                <w:b/>
                <w:sz w:val="22"/>
                <w:szCs w:val="22"/>
                <w:highlight w:val="none"/>
              </w:rPr>
            </w:pPr>
            <w:r>
              <w:rPr>
                <w:rFonts w:hint="eastAsia" w:ascii="宋体" w:hAnsi="宋体" w:cs="宋体"/>
                <w:b/>
                <w:sz w:val="22"/>
                <w:szCs w:val="22"/>
                <w:highlight w:val="none"/>
              </w:rPr>
              <w:t>1、</w:t>
            </w:r>
            <w:r>
              <w:rPr>
                <w:rFonts w:hint="eastAsia" w:ascii="宋体" w:hAnsi="宋体" w:cs="宋体"/>
                <w:b/>
                <w:sz w:val="22"/>
                <w:szCs w:val="22"/>
                <w:highlight w:val="none"/>
                <w:lang w:val="en-US" w:eastAsia="zh-CN"/>
              </w:rPr>
              <w:t>投标人</w:t>
            </w:r>
            <w:r>
              <w:rPr>
                <w:rFonts w:hint="eastAsia" w:ascii="宋体" w:hAnsi="宋体" w:cs="宋体"/>
                <w:b/>
                <w:sz w:val="22"/>
                <w:szCs w:val="22"/>
                <w:highlight w:val="none"/>
              </w:rPr>
              <w:t>必须对本项目的全部内容响应及所有检验内容（包括但不限于项目清单内容）提供统一的</w:t>
            </w:r>
            <w:r>
              <w:rPr>
                <w:rFonts w:hint="eastAsia" w:ascii="宋体" w:hAnsi="宋体" w:cs="宋体"/>
                <w:b/>
                <w:sz w:val="22"/>
                <w:szCs w:val="22"/>
                <w:highlight w:val="none"/>
                <w:lang w:val="en-US" w:eastAsia="zh-CN"/>
              </w:rPr>
              <w:t>单价</w:t>
            </w:r>
            <w:r>
              <w:rPr>
                <w:rFonts w:hint="eastAsia" w:ascii="宋体" w:hAnsi="宋体" w:cs="宋体"/>
                <w:b/>
                <w:sz w:val="22"/>
                <w:szCs w:val="22"/>
                <w:highlight w:val="none"/>
              </w:rPr>
              <w:t>折扣率报价。</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40" w:firstLineChars="200"/>
              <w:jc w:val="both"/>
              <w:textAlignment w:val="auto"/>
              <w:outlineLvl w:val="9"/>
              <w:rPr>
                <w:rFonts w:ascii="宋体" w:hAnsi="宋体" w:cs="宋体"/>
                <w:color w:val="auto"/>
                <w:szCs w:val="21"/>
                <w:highlight w:val="none"/>
              </w:rPr>
            </w:pPr>
            <w:r>
              <w:rPr>
                <w:rFonts w:hint="eastAsia" w:ascii="宋体" w:hAnsi="宋体" w:cs="宋体"/>
                <w:bCs/>
                <w:sz w:val="22"/>
                <w:szCs w:val="22"/>
                <w:highlight w:val="none"/>
              </w:rPr>
              <w:t>2、</w:t>
            </w:r>
            <w:r>
              <w:rPr>
                <w:rFonts w:hint="eastAsia" w:ascii="宋体" w:hAnsi="宋体" w:cs="宋体"/>
                <w:bCs/>
                <w:sz w:val="22"/>
                <w:szCs w:val="22"/>
                <w:highlight w:val="none"/>
                <w:lang w:val="en-US" w:eastAsia="zh-CN"/>
              </w:rPr>
              <w:t>投标人</w:t>
            </w:r>
            <w:r>
              <w:rPr>
                <w:rFonts w:hint="eastAsia" w:ascii="宋体" w:hAnsi="宋体" w:cs="宋体"/>
                <w:bCs/>
                <w:sz w:val="22"/>
                <w:szCs w:val="22"/>
                <w:highlight w:val="none"/>
              </w:rPr>
              <w:t>的报价折扣率不能为负数或零，报价应包含完成本次采购所有服务内容的费用，包括人工费、检验费、材料费、设备使用费、各种税务费、必须的辅助材料费及合同实施过程中不可预见费用等全部费用。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2"/>
        <w:rPr>
          <w:color w:val="auto"/>
          <w:highlight w:val="none"/>
          <w:lang w:val="en-US"/>
        </w:rPr>
      </w:pPr>
    </w:p>
    <w:p>
      <w:pPr>
        <w:rPr>
          <w:color w:val="auto"/>
          <w:highlight w:val="none"/>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bidi w:val="0"/>
        <w:rPr>
          <w:rFonts w:hint="eastAsia"/>
          <w:highlight w:val="none"/>
        </w:rPr>
      </w:pPr>
      <w:bookmarkStart w:id="182" w:name="_Toc13112"/>
      <w:bookmarkStart w:id="183" w:name="_Toc24679"/>
      <w:bookmarkStart w:id="184" w:name="_Toc14462"/>
      <w:bookmarkStart w:id="185" w:name="_Toc31278"/>
      <w:r>
        <w:rPr>
          <w:rFonts w:hint="eastAsia"/>
          <w:highlight w:val="none"/>
        </w:rPr>
        <w:t>一、检验采购清单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检验项目清单详见附件</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。外送项目包括但不限于附件中所列项目，其增减不受服务协议的限制，而是根据采购人业务发展和临床的需求进行增减。本次招标价格以《东莞市公立医疗机构基本医疗服务价格</w:t>
      </w:r>
      <w:r>
        <w:rPr>
          <w:rFonts w:hint="eastAsia" w:ascii="宋体" w:hAnsi="宋体" w:eastAsia="宋体" w:cs="宋体"/>
          <w:b/>
          <w:bCs/>
          <w:color w:val="auto"/>
          <w:sz w:val="21"/>
          <w:szCs w:val="21"/>
          <w:highlight w:val="none"/>
          <w:lang w:eastAsia="zh-CN"/>
        </w:rPr>
        <w:t>（以最新版本为准）</w:t>
      </w:r>
      <w:r>
        <w:rPr>
          <w:rFonts w:hint="eastAsia" w:ascii="宋体" w:hAnsi="宋体" w:eastAsia="宋体" w:cs="宋体"/>
          <w:sz w:val="21"/>
          <w:szCs w:val="21"/>
          <w:highlight w:val="none"/>
        </w:rPr>
        <w:t>》中的规定的单价为标准，如此价格标准以外的送检项目，价格由中标人与采购人共同商定。具体项目及数量以实际检验为准。</w:t>
      </w:r>
    </w:p>
    <w:p>
      <w:pPr>
        <w:pageBreakBefore w:val="0"/>
        <w:widowControl/>
        <w:kinsoku/>
        <w:wordWrap/>
        <w:overflowPunct/>
        <w:topLinePunct w:val="0"/>
        <w:autoSpaceDE/>
        <w:autoSpaceDN/>
        <w:bidi w:val="0"/>
        <w:adjustRightInd w:val="0"/>
        <w:snapToGrid w:val="0"/>
        <w:spacing w:line="360" w:lineRule="auto"/>
        <w:ind w:firstLine="424" w:firstLineChars="202"/>
        <w:textAlignment w:val="auto"/>
        <w:rPr>
          <w:rFonts w:hint="eastAsia" w:ascii="宋体" w:hAnsi="宋体" w:eastAsia="宋体" w:cs="宋体"/>
          <w:sz w:val="21"/>
          <w:szCs w:val="21"/>
          <w:highlight w:val="none"/>
        </w:rPr>
      </w:pPr>
    </w:p>
    <w:p>
      <w:pPr>
        <w:pStyle w:val="6"/>
        <w:bidi w:val="0"/>
        <w:rPr>
          <w:rFonts w:hint="eastAsia"/>
          <w:highlight w:val="none"/>
        </w:rPr>
      </w:pPr>
      <w:r>
        <w:rPr>
          <w:rFonts w:hint="eastAsia"/>
          <w:highlight w:val="none"/>
        </w:rPr>
        <w:t>二、项目要求</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(一)、服务要求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1、投标人必须配备完善医疗冷链物流系统和信息服务体系，要保证接收、送检标本运输过程的安全，保证标本的质量。</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▲2、如采购人设备仪器出现故障，投标人必须帮助采购人完成此类标本的检验，并承诺2个小时内向采购人提供急诊检验结果报告单。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▲3、投标人当天送检的常规检测项目应在当天下午四点前向采购人提供检验结果报告单。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4、投标人提供每周七天的上门接收标本的服务，时间为8：30至17：30。遇特殊标本可机动收取。</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5、投标人具有规范标本接收、登记和包装流程，保证标本质量和安全，确保标本顺利交接，方便查核。</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6、投标人标本接收人员要通过严格培训，负责标本质量的初检、标识的核对，标本的接收登记及包装储存。</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7、投标人必须确保及时接收、送检标本和及时检验。标本不符合检验要求时，应及时通知采购人重新取样。</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8、标本在送检过程中出现延迟、遗漏、丢失等情况，投标人应有完善的应急预案予以妥善解决，否则投标人应承担相应责任。</w:t>
      </w:r>
    </w:p>
    <w:p>
      <w:pPr>
        <w:pageBreakBefore w:val="0"/>
        <w:widowControl/>
        <w:kinsoku/>
        <w:wordWrap/>
        <w:overflowPunct/>
        <w:topLinePunct w:val="0"/>
        <w:autoSpaceDE/>
        <w:autoSpaceDN/>
        <w:bidi w:val="0"/>
        <w:adjustRightInd w:val="0"/>
        <w:snapToGrid w:val="0"/>
        <w:spacing w:line="360" w:lineRule="auto"/>
        <w:ind w:firstLine="210" w:firstLineChars="1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★9、检验报告单必须由具备相应资质的检验人员签发，上级检验师或医师复核。出现因检验结果错误导致采购人医疗纠纷等不良后果，责任由中标人承担。</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10、部分特殊检查项目需要的采样器、知情同意书、专用的患者资料登记申请单等由投标人免费提供。</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(二)、结果查询</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▲1、为保证检验结果实时网络传送，实现实验室数据的汇总、储存、传输功能，可以与医院中心LIS和HIS系统对接,需符合国家信息安全有关的规定和要求。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2、提供网上查询服务，以供随时查询进度和结果。</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3、提供电话查询服务，危急值专人电话跟进，确保患者检测信息与临床医生的畅通。</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4、医务人员可以随时调阅检验结果，投标人须保证病人的资料的准确性和检验结果的及时性，并提供系统使用的必要培训与技术支持。</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5、按照检测项目常规报告时间提供检测结果，并能满足招标方急诊项目的优先检测。</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 xml:space="preserve"> (三)、技术支持</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1、有完整的培训体系。</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2、协助采购人开展进修培训、协助医院中心开展继续教育、学术交流活动。</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提供采购人医务工作人员到投标人实验室进修的机会，以提高采购人医务工作人员的专业技能。协助设计、制作相关医学检验宣传资料。能够协助检验科的建设和发展，每年提供检验人员免费进修和ISO15189知识培训工作。</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(四)、人员要求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投标人所选派本项目的支持人员配备必须合理，职责明确，提供完备的服务团队，包括项目负责人、高级职称检验师等。</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(五)、车辆要求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配备接收、送检的车辆：车辆必须配备专用车载冰箱或保温箱，冰箱或保温箱必须有相应的温度记录表，同时需具备RFID无线射频功能。</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(六)、提供售后服务</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设有客服专线电话，处理相关的日常咨询及售后服务工作。具有完善管理制度和服务流程以保障上门服务及时有效性，并定期选派具有医学检验背景的专业技术人员提供售后服务。</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z w:val="21"/>
          <w:szCs w:val="21"/>
          <w:highlight w:val="none"/>
        </w:rPr>
      </w:pPr>
    </w:p>
    <w:p>
      <w:pPr>
        <w:pStyle w:val="6"/>
        <w:bidi w:val="0"/>
        <w:rPr>
          <w:rFonts w:hint="eastAsia"/>
          <w:highlight w:val="none"/>
        </w:rPr>
      </w:pPr>
      <w:r>
        <w:rPr>
          <w:rFonts w:hint="eastAsia"/>
          <w:highlight w:val="none"/>
        </w:rPr>
        <w:t>三、质量要求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sz w:val="24"/>
          <w:highlight w:val="none"/>
        </w:rPr>
      </w:pPr>
      <w:r>
        <w:rPr>
          <w:rFonts w:hint="eastAsia" w:ascii="宋体" w:hAnsi="宋体" w:eastAsia="宋体" w:cs="宋体"/>
          <w:sz w:val="21"/>
          <w:szCs w:val="21"/>
          <w:highlight w:val="none"/>
        </w:rPr>
        <w:t>投标实验室具有完善的质量管理体系，每次检测都有严格的室内质控，每年省临检中心的质量控制和室间质量评估工作，以控制诊断结果的质量。因投标实验室质量因素导致的医疗纠纷、事故等不良后果的，由此产生的赔偿责任由中标人承担。</w:t>
      </w:r>
      <w:r>
        <w:rPr>
          <w:rFonts w:hint="eastAsia"/>
          <w:sz w:val="24"/>
          <w:highlight w:val="none"/>
        </w:rPr>
        <w:t xml:space="preserve"> </w:t>
      </w:r>
    </w:p>
    <w:p>
      <w:pPr>
        <w:pStyle w:val="2"/>
        <w:rPr>
          <w:rFonts w:hint="eastAsia"/>
          <w:highlight w:val="none"/>
        </w:rPr>
      </w:pPr>
    </w:p>
    <w:p>
      <w:pPr>
        <w:ind w:firstLine="422" w:firstLineChars="200"/>
        <w:rPr>
          <w:rFonts w:hint="eastAsia" w:ascii="宋体" w:hAnsi="宋体" w:eastAsia="宋体" w:cs="Times New Roman"/>
          <w:b/>
          <w:bCs/>
          <w:sz w:val="21"/>
          <w:szCs w:val="21"/>
          <w:highlight w:val="none"/>
        </w:rPr>
      </w:pPr>
      <w:r>
        <w:rPr>
          <w:rFonts w:hint="eastAsia" w:ascii="宋体" w:hAnsi="宋体" w:eastAsia="宋体" w:cs="Times New Roman"/>
          <w:b/>
          <w:bCs/>
          <w:sz w:val="21"/>
          <w:szCs w:val="21"/>
          <w:highlight w:val="none"/>
        </w:rPr>
        <w:t>注：不满足招标文件中 “★”条款的投标文件将作无效投标处理。</w:t>
      </w:r>
    </w:p>
    <w:p>
      <w:pPr>
        <w:pStyle w:val="2"/>
        <w:ind w:left="0" w:leftChars="0" w:firstLine="0" w:firstLineChars="0"/>
        <w:rPr>
          <w:highlight w:val="none"/>
        </w:rPr>
        <w:sectPr>
          <w:pgSz w:w="11906" w:h="16838"/>
          <w:pgMar w:top="1440" w:right="1800" w:bottom="1440" w:left="1800" w:header="851" w:footer="992" w:gutter="0"/>
          <w:pgNumType w:fmt="decimal"/>
          <w:cols w:space="720" w:num="1"/>
          <w:docGrid w:type="lines" w:linePitch="312" w:charSpace="0"/>
        </w:sectPr>
      </w:pPr>
    </w:p>
    <w:p>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t>附件1：</w:t>
      </w:r>
    </w:p>
    <w:bookmarkEnd w:id="182"/>
    <w:bookmarkEnd w:id="183"/>
    <w:bookmarkEnd w:id="184"/>
    <w:bookmarkEnd w:id="185"/>
    <w:tbl>
      <w:tblPr>
        <w:tblStyle w:val="22"/>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86"/>
        <w:gridCol w:w="2923"/>
        <w:gridCol w:w="2248"/>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bCs/>
                <w:i w:val="0"/>
                <w:iCs w:val="0"/>
                <w:color w:val="000000"/>
                <w:sz w:val="21"/>
                <w:szCs w:val="21"/>
                <w:highlight w:val="none"/>
                <w:u w:val="none"/>
              </w:rPr>
            </w:pPr>
            <w:bookmarkStart w:id="186" w:name="_Toc21448"/>
            <w:bookmarkStart w:id="187" w:name="_Toc12014"/>
            <w:bookmarkStart w:id="188" w:name="_Toc12485"/>
            <w:r>
              <w:rPr>
                <w:rFonts w:hint="eastAsia" w:ascii="宋体" w:hAnsi="宋体" w:eastAsia="宋体" w:cs="宋体"/>
                <w:b/>
                <w:bCs/>
                <w:i w:val="0"/>
                <w:iCs w:val="0"/>
                <w:color w:val="000000"/>
                <w:kern w:val="0"/>
                <w:sz w:val="21"/>
                <w:szCs w:val="21"/>
                <w:highlight w:val="none"/>
                <w:u w:val="none"/>
                <w:lang w:val="en-US" w:eastAsia="zh-CN" w:bidi="ar"/>
              </w:rPr>
              <w:t>项目</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标准名称</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检测方法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报告周期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高灵敏度乙型肝炎DNA定量检测（内标法）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高灵敏度乙型肝炎DNA定量检测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内标法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8个工作日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乙型肝炎病毒DNA荧光定量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乙型肝炎病毒DNA测定（定量）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9"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乙肝两对半定量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乙型肝炎病毒表面抗原测定（定量）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乙型肝炎病毒表面抗体测定（定量）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乙型肝炎病毒e抗原测定（定量）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乙型肝炎病毒e抗体测定（定量）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乙型肝炎病毒核心抗体测定（定量）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风湿8项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抗Sm抗体测定</w:t>
            </w:r>
          </w:p>
        </w:tc>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免疫印迹法</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抗SS-A/Ro60抗体测定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抗SS-A/Ro52抗体测定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抗SS-B/La抗体测定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抗ScL-70抗体测定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抗nRNP抗体测定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抗JO-1抗体测定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抗线粒体抗体测定   </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vMerge w:val="continue"/>
            <w:shd w:val="clear" w:color="auto" w:fill="auto"/>
            <w:noWrap/>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新冠病毒核酸检测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新型冠状病毒RNA测定（单样检测）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荧光PCR法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血清泌乳素测定（化学发光法）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血清垂体泌乳素测定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甲功七项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血清促甲状腺激素测定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血清甲状腺素测定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血清三碘甲状腺原氨酸测定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血清游离甲状腺素测定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血清游离三碘甲状腺原氨酸测定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促甲状腺素受体抗体测定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甲状腺球蛋白抗体测定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抗甲状腺过氧化物酶抗体测定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甲功五项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血清促甲状腺激素测定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血清甲状腺素测定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血清三碘甲状腺原氨酸测定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血清游离甲状腺素测定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血清游离三碘甲状腺原氨酸测定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游离甲功3项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血清三碘甲状腺原氨酸测定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血清游离甲状腺素测定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血清游离三碘甲状腺原氨酸测定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性激素6项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血清垂体泌乳素测定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血清促卵泡刺激素测定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血清促黄体生成素测定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睾酮</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雌二醇测定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孕酮测定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肿瘤3项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甲胎蛋白测定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糖类抗原50测定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糖类抗原测定</w:t>
            </w:r>
          </w:p>
        </w:tc>
        <w:tc>
          <w:tcPr>
            <w:tcW w:w="0" w:type="auto"/>
            <w:shd w:val="clear" w:color="auto" w:fill="auto"/>
            <w:noWrap/>
            <w:vAlign w:val="bottom"/>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甲胎蛋白测定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甲胎蛋白测定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2"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卵巢肿瘤标志物检测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6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人附睾蛋白(HE4)测定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妇科肿瘤标志物检测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糖类抗原199测定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子宫肿瘤标志物检测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乳腺肿瘤标志物检测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糖类抗原153测定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优生五项（IgM）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弓形虫IgM抗体测定(定量）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单纯疱疹病毒I型IgM抗体测定(定量)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单纯疱疹病毒Ⅱ型IgM抗体测定(定量)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糖尿病3项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血清C肽测定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胰岛素自身抗体检测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血清胰岛素测定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地中海贫血3项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红细胞孵育渗透脆性试验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直接比色法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9"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葡萄糖6-磷酸脱氢酶(G-6-PD)缺陷筛查</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比色法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血红蛋白电泳</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毛细血管电泳法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微量元素七项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全血钙测定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全血镁测定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全血铁测定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全血铅测定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全血铜测定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全血锌测定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全血镉测定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原子吸收法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贫血三项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叶酸测定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维生素B12测定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2"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铁蛋白测定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高血压六项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醛固酮测定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血管紧张素Ⅰ测定（4℃）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血管紧张素Ⅰ测定（37℃）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血管紧张素Ⅱ测定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血浆肾素活性测定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醛固酮/肾素活性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肺炎衣原体抗体二项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肺炎衣原体IgG抗体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肺炎衣原体IgM抗体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肺炎支原体2项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肺炎支原体IgG抗体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肺炎支原体IgM抗体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甲状腺球蛋白测定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甲状腺球蛋白测定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甲状腺结合球蛋白</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甲状腺球蛋白抗体测定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甲状旁腺素</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甲状旁腺激素</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同型半胱氨酸（达安）</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同型半胱氨酸测定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循环酶法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孕酮测定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孕酮测定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过敏原吸入组11项（达安）</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吸入性过敏原IgE抗体10项（B组）</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免疫印迹法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过敏原食物组11项（达安）</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食物性过敏原IgE抗体10项（B组）</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免疫印迹法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不孕不育全套（七项）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抗心磷脂抗体（定量）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化学发光法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抗卵巢抗体测定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抗子宫内膜抗体测定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抗精子抗体测定(定性)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抗人绒毛膜促性腺激素抗体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抗透明带抗体测定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抗滋养层细胞膜抗体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过敏原吸入-食物组21项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吸入性过敏原IgE抗体10项（B组）</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免疫印迹法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食物性过敏原IgE抗体10项（B组）</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免疫印迹法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bottom"/>
          </w:tcPr>
          <w:p>
            <w:pPr>
              <w:keepNext w:val="0"/>
              <w:keepLines w:val="0"/>
              <w:pageBreakBefore w:val="0"/>
              <w:widowControl/>
              <w:suppressLineNumbers w:val="0"/>
              <w:kinsoku/>
              <w:wordWrap/>
              <w:overflowPunct/>
              <w:topLinePunct w:val="0"/>
              <w:autoSpaceDE/>
              <w:autoSpaceDN/>
              <w:bidi w:val="0"/>
              <w:spacing w:line="240" w:lineRule="auto"/>
              <w:jc w:val="left"/>
              <w:textAlignment w:val="bottom"/>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总IgE检测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化学发光法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免疫球蛋白及补体7项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补体C3测定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补体C4测定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免疫球蛋白M定量测定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免疫透射比浊法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免疫球蛋白A定量测定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免疫透射比浊法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免疫球蛋白G定量测定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免疫透射比浊法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轻链KAPPA定量测定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免疫散射比浊法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轻链LAMBDA定量测定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免疫散射比浊法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SLE3项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抗核抗体定量测定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抗双链DNA测定(定量)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抗Sm抗体IgG</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化学发光法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肺癌肿瘤标志物检测3项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神经元特异性烯醇化酶测定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细胞角蛋白19片段测定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幽门螺旋杆菌抗体检测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幽门螺杆菌IgG抗体测定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风疹病毒抗体测定（IgM）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风疹病毒抗体IGG</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风疹病毒IgG抗体测定(定量）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弓形体抗体测定（IgM)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弓形虫IgM抗体测定(定量）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巨细胞病毒抗体IgG测定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巨细胞病毒IgG抗体测定(定量）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巨细胞病毒抗体IgM测定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2"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结核杆菌抗体测定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结核杆菌抗体测定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胶体金法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抗核抗体测定（定量）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抗核抗体定量测定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单纯疱疹病毒II型抗体IgM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单纯疱疹病毒Ⅱ型IgM抗体测定(定量)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单纯疱疹病毒II型抗体IgG</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单纯疱疹病毒Ⅱ型IgG抗体测定(定量)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人类免疫缺陷病毒（HIV)</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艾滋病病毒抗体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酶联免疫吸附法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梅毒血清实验（TRUST)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梅毒甲苯胺红不加热血清试验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凝集法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雌二醇测定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雌二醇测定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丙肝抗体测定（2项）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丙型肝炎病毒抗体IgG</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酶联免疫吸附法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丙型肝炎病毒抗体IgM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酶联免疫吸附法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抗甲状腺过氧化物酶</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抗甲状腺过氧化物酶抗体测定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单纯疱疹病毒I型抗体IgM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单纯疱疹病毒I型IgM抗体测定(定量)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单纯疱疹病毒I型抗体IgG</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单纯疱疹病毒I型IgG抗体测定(定量)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促甲状腺素受体抗体TRAb</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促甲状腺素受体抗体测定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抗甲状腺微粒（TMAB)</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甲状腺微粒体抗体检测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糖蛋白抗原125测定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糖蛋白抗原15-3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糖类抗原153测定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血清人绒毛膜促性腺激素</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绒毛膜促性腺激素</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肺炎支衣原体套餐</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肺炎支原体IgG抗体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肺炎支原体IgM抗体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肺炎衣原体IgG抗体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肺炎衣原体IgM抗体</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血清促甲状腺素</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血清促甲状腺激素测定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RH大D定型检测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Rh血型鉴定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凝集法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肿瘤标志物常规筛查6项（女）</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甲胎蛋白测定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糖类抗原125测定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糖类抗原153测定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糖类抗原199测定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肿瘤标志物常规检测6项（男）</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癌胚抗原测定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甲胎蛋白测定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鳞状细胞癌相关抗原测定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糖类抗原199测定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总前列腺特异性抗原测定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游离前列腺特异性抗原测定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前列腺特异抗原2项（TPSA）(FPSA)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总前列腺特异性抗原测定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游离前列腺特异性抗原测定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孕中期检测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孕中期唐筛检测(14-21周+5天)</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时间分辨+化学发光</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糖尿病抗体三项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抗胰岛素自身抗体（IAA）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胰岛细胞抗体(ICA)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谷氨酸脱羧酶抗体(GAD-Ab)</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甲状腺功能五项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血清促甲状腺素测定（TSH)</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血清甲状腺素测定(T4)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血清三碘甲状原氨酸测定(T3)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血清游离甲状腺素测定(FT4)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血清游离三碘甲状原氨酸测定(FT3)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骨质疏松三项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总Ⅰ型胶原氨基端延长肽检测(TPINP)</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β－胶原降解产物测定（β－CTX）</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25羟基维生素D测定(25(OH)D）</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肝纤维化指标</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血清Ⅳ型胶原测定（CV-IV)</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血清层粘连蛋白测定(LN)</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人Ⅲ型前胶原肽测定(PⅢP)</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血清透明质酸酶测定(HA)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宫颈癌筛查两项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液基薄层细胞学检测（TCT）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巴氏染色+镜检</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人乳头瘤病毒DNA26分型（HPV-DNA）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基因芯片法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胃癌两项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胃蛋白酶原I</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ELISA法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胃蛋白酶原II</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ELISA法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白介素6+SAA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白介素6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血清淀粉样蛋白测定(SAA)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免疫学方法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肺炎支原体DNA定量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肺炎支原体DNA定量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甲乙型流感RNA定性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甲型流感RNA检测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PCR荧光探针法（达安试剂）</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乙型流感RNA检测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PCR荧光探针法（达安试剂）</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六项呼吸道病原体核</w:t>
            </w:r>
          </w:p>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酸检测试剂盒(PCR-荧光探针法)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六项呼吸道病原体核</w:t>
            </w:r>
          </w:p>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呼吸道IgM抗体9项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呼吸道合胞病毒抗体测定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副流感病毒抗体测定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腺病毒抗体测定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甲型流感病毒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乙型流感病毒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嗜肺军团菌病毒抗体IgM</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肺炎支原体血清学试验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柯萨奇病毒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肺炎衣原体抗体检测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手足口病三项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肠道病毒通用型DNA检测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荧光PCR法（定性）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柯萨奇病毒A16型DNA检测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荧光PCR法（定性）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肠道病毒71型DNA检测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荧光PCR法（定性）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诺如病毒核酸检测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诺如病毒核酸定性检测（诺如病毒I型RNA定性、诺如病毒II型RNA定性）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A群轮状病毒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轮状病毒核酸定性检测（全套）（轮状病毒A组、B组、C组RNA定性）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丙肝RNA定量检测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丙型肝炎RNA测定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沙眼衣原体/解脲脲原体/淋球菌DNA核酸检测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沙眼衣原体DNA核酸定量检测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解脲脲原体DNA核酸定量检测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淋球菌DNA核酸定量检测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PCR-荧光探针法（定量）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沙眼衣原体核酸RNA检测试剂盒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沙眼衣原体核酸RNA检测试剂盒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RNA恒温扩增（定性）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淋病奈瑟菌核酸RNA检测试剂盒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淋病奈瑟菌核酸RNA检测试剂盒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RNA恒温扩增（定性）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解脲脲原体核酸RNA检测试剂盒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解脲脲原体核酸RNA检测试剂盒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RNA恒温扩增（定性）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生殖支原体核酸RNA检测试剂盒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生殖支原体核酸RNA检测试剂盒</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RNA恒温扩增（定性）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单纯性疱疹病毒II型DNA定量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单纯性疱疹病毒II型DNA检测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风湿四项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抗核抗体测定(ANA)</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类风湿因子(RF)测定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免疫比浊法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抗环瓜氨酸肽抗体(抗CCP抗体)测定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化学发光法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抗角蛋白抗体(AKA)测定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间接免疫荧光法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维生素5项</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25-羟基维生素D测定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高效液相色谱-串联质谱法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25-羟基维生素D2测定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高效液相色谱-串联质谱法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25-羟基维生素D3测定</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left"/>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高效液相色谱-串联质谱法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血清维生素A测定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高效液相色谱-串联质谱法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spacing w:after="0" w:line="240" w:lineRule="auto"/>
              <w:jc w:val="center"/>
              <w:rPr>
                <w:rFonts w:hint="eastAsia" w:ascii="宋体" w:hAnsi="宋体" w:eastAsia="宋体" w:cs="宋体"/>
                <w:b w:val="0"/>
                <w:bCs w:val="0"/>
                <w:i w:val="0"/>
                <w:iCs w:val="0"/>
                <w:color w:val="000000"/>
                <w:sz w:val="21"/>
                <w:szCs w:val="21"/>
                <w:highlight w:val="none"/>
                <w:u w:val="none"/>
              </w:rPr>
            </w:pP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血清维生素E测定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高效液相色谱-串联质谱法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B族链球菌核酸检测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B族链球菌核酸检测（定量）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PCR</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风疹病毒DNA定性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风疹病毒核酸检测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荧光PCR法（定性）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8个工作日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巨细胞病毒DNA定量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巨细胞病毒核酸检测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荧光PCR法（定量）</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3个工作日</w:t>
            </w:r>
          </w:p>
        </w:tc>
      </w:tr>
    </w:tbl>
    <w:p>
      <w:pPr>
        <w:bidi w:val="0"/>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4"/>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pPr>
        <w:pStyle w:val="5"/>
        <w:spacing w:line="240" w:lineRule="auto"/>
        <w:jc w:val="center"/>
        <w:rPr>
          <w:rFonts w:ascii="宋体" w:hAnsi="宋体" w:cs="宋体"/>
          <w:color w:val="auto"/>
          <w:highlight w:val="none"/>
        </w:rPr>
      </w:pPr>
      <w:bookmarkStart w:id="192" w:name="_Toc16730"/>
      <w:bookmarkStart w:id="193" w:name="_Toc19575"/>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0"/>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31587"/>
      <w:bookmarkStart w:id="199" w:name="_Toc1478"/>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6790"/>
      <w:bookmarkStart w:id="202" w:name="_Toc2683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29"/>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6"/>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eastAsia="宋体"/>
                <w:sz w:val="21"/>
                <w:szCs w:val="21"/>
                <w:highlight w:val="none"/>
              </w:rPr>
              <w:t>投标单价折扣率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color w:val="auto"/>
          <w:szCs w:val="21"/>
          <w:highlight w:val="none"/>
        </w:rPr>
        <w:t xml:space="preserve">      </w:t>
      </w:r>
      <w:r>
        <w:rPr>
          <w:rFonts w:hint="eastAsia" w:ascii="宋体" w:hAnsi="宋体" w:eastAsia="宋体"/>
          <w:color w:val="auto"/>
          <w:sz w:val="21"/>
          <w:szCs w:val="21"/>
          <w:highlight w:val="none"/>
        </w:rPr>
        <w:t>注：1、</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保留小数点后两位。</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大小写不一致，以大写为准。</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必须准确唯一且应包含招标文件要求的所有费用。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29"/>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2"/>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ind w:firstLine="422"/>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29"/>
        <w:rPr>
          <w:color w:val="auto"/>
          <w:highlight w:val="none"/>
        </w:rPr>
      </w:pPr>
    </w:p>
    <w:p>
      <w:pPr>
        <w:tabs>
          <w:tab w:val="left" w:pos="284"/>
        </w:tabs>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tabs>
          <w:tab w:val="left" w:pos="284"/>
        </w:tabs>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8898066"/>
      <w:bookmarkStart w:id="223" w:name="_Toc17761"/>
      <w:bookmarkStart w:id="224" w:name="_Toc510171693"/>
      <w:bookmarkStart w:id="225" w:name="_Toc22970"/>
      <w:bookmarkStart w:id="226" w:name="_Toc30277"/>
      <w:bookmarkStart w:id="227" w:name="_Toc30247"/>
      <w:bookmarkStart w:id="228" w:name="_Toc509479530"/>
      <w:bookmarkStart w:id="229" w:name="_Toc20910"/>
      <w:bookmarkStart w:id="230" w:name="_Toc508958703"/>
      <w:bookmarkStart w:id="231" w:name="_Toc509927455"/>
      <w:bookmarkStart w:id="232" w:name="_Toc509844825"/>
      <w:bookmarkStart w:id="233" w:name="_Toc508960153"/>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31520"/>
      <w:bookmarkStart w:id="235" w:name="_Toc26216"/>
      <w:bookmarkStart w:id="236" w:name="_Toc28527"/>
      <w:bookmarkStart w:id="237" w:name="_Toc508898067"/>
      <w:bookmarkStart w:id="238" w:name="_Toc508960154"/>
      <w:bookmarkStart w:id="239" w:name="_Toc509479531"/>
      <w:bookmarkStart w:id="240" w:name="_Toc5447"/>
      <w:bookmarkStart w:id="241" w:name="_Toc509844826"/>
      <w:bookmarkStart w:id="242" w:name="_Toc21053"/>
      <w:bookmarkStart w:id="243" w:name="_Toc509927456"/>
      <w:bookmarkStart w:id="244" w:name="_Toc508958704"/>
      <w:bookmarkStart w:id="245" w:name="_Toc510171694"/>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8626"/>
      <w:bookmarkStart w:id="247" w:name="_Toc509927457"/>
      <w:bookmarkStart w:id="248" w:name="_Toc508960155"/>
      <w:bookmarkStart w:id="249" w:name="_Toc508898068"/>
      <w:bookmarkStart w:id="250" w:name="_Toc9148"/>
      <w:bookmarkStart w:id="251" w:name="_Toc508958705"/>
      <w:bookmarkStart w:id="252" w:name="_Toc509479532"/>
      <w:bookmarkStart w:id="253" w:name="_Toc24848"/>
      <w:bookmarkStart w:id="254" w:name="_Toc509844827"/>
      <w:bookmarkStart w:id="255" w:name="_Toc14653"/>
      <w:bookmarkStart w:id="256" w:name="_Toc510171695"/>
      <w:bookmarkStart w:id="257"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7858"/>
      <w:bookmarkStart w:id="259" w:name="_Toc510171696"/>
      <w:bookmarkStart w:id="260" w:name="_Toc509927458"/>
      <w:bookmarkStart w:id="261" w:name="_Toc508960156"/>
      <w:bookmarkStart w:id="262" w:name="_Toc509479533"/>
      <w:bookmarkStart w:id="263" w:name="_Toc9837"/>
      <w:bookmarkStart w:id="264" w:name="_Toc509844828"/>
      <w:bookmarkStart w:id="265" w:name="_Toc28686"/>
      <w:bookmarkStart w:id="266" w:name="_Toc28044"/>
      <w:bookmarkStart w:id="267" w:name="_Toc508898069"/>
      <w:bookmarkStart w:id="268" w:name="_Toc22981"/>
      <w:bookmarkStart w:id="269" w:name="_Toc50895870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927459"/>
      <w:bookmarkStart w:id="271" w:name="_Toc18843"/>
      <w:bookmarkStart w:id="272" w:name="_Toc508898070"/>
      <w:bookmarkStart w:id="273" w:name="_Toc508960157"/>
      <w:bookmarkStart w:id="274" w:name="_Toc510171697"/>
      <w:bookmarkStart w:id="275" w:name="_Toc509844829"/>
      <w:bookmarkStart w:id="276" w:name="_Toc509479534"/>
      <w:bookmarkStart w:id="277" w:name="_Toc508958707"/>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28067"/>
      <w:bookmarkStart w:id="296" w:name="_Toc5919"/>
      <w:bookmarkStart w:id="297" w:name="_Toc17470"/>
      <w:bookmarkStart w:id="298" w:name="_Toc4926"/>
      <w:bookmarkStart w:id="299" w:name="_Toc1511"/>
      <w:bookmarkStart w:id="300" w:name="_Toc29995"/>
      <w:bookmarkStart w:id="301" w:name="_Toc2421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5"/>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5"/>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9"/>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6080"/>
      <w:bookmarkStart w:id="320" w:name="_Toc18668"/>
      <w:bookmarkStart w:id="321" w:name="_Toc26078"/>
      <w:bookmarkStart w:id="322" w:name="_Toc4827"/>
      <w:bookmarkStart w:id="323" w:name="_Toc1274"/>
      <w:bookmarkStart w:id="324" w:name="_Toc4464"/>
    </w:p>
    <w:p>
      <w:pPr>
        <w:pStyle w:val="5"/>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12049"/>
            <w:bookmarkStart w:id="331" w:name="_Toc1016"/>
            <w:bookmarkStart w:id="332" w:name="_Toc10045"/>
            <w:bookmarkStart w:id="333" w:name="_Toc22448"/>
            <w:bookmarkStart w:id="334" w:name="_Toc21739"/>
            <w:bookmarkStart w:id="335" w:name="_Toc15368"/>
            <w:bookmarkStart w:id="336" w:name="_Toc26124"/>
            <w:bookmarkStart w:id="337" w:name="_Toc27090"/>
            <w:bookmarkStart w:id="338" w:name="_Toc14815"/>
            <w:bookmarkStart w:id="339" w:name="_Toc2700"/>
            <w:bookmarkStart w:id="340" w:name="_Toc15903"/>
            <w:bookmarkStart w:id="341" w:name="_Toc16872"/>
            <w:bookmarkStart w:id="342" w:name="_Toc4304"/>
            <w:bookmarkStart w:id="343" w:name="_Toc22917"/>
            <w:bookmarkStart w:id="344" w:name="_Toc21809"/>
            <w:bookmarkStart w:id="345" w:name="_Toc32531"/>
            <w:bookmarkStart w:id="346" w:name="_Toc24662"/>
            <w:bookmarkStart w:id="347" w:name="_Toc27442"/>
            <w:bookmarkStart w:id="348" w:name="_Toc22879"/>
            <w:bookmarkStart w:id="349" w:name="_Toc8312"/>
            <w:bookmarkStart w:id="350" w:name="_Toc7333"/>
            <w:bookmarkStart w:id="351" w:name="_Toc19251"/>
            <w:bookmarkStart w:id="352" w:name="_Toc8490"/>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20820"/>
            <w:bookmarkStart w:id="360" w:name="_Toc5992"/>
            <w:bookmarkStart w:id="361" w:name="_Toc3701"/>
            <w:bookmarkStart w:id="362" w:name="_Toc17642"/>
            <w:bookmarkStart w:id="363" w:name="_Toc1330"/>
            <w:bookmarkStart w:id="364" w:name="_Toc17296"/>
            <w:bookmarkStart w:id="365" w:name="_Toc27185"/>
            <w:bookmarkStart w:id="366" w:name="_Toc5563"/>
            <w:bookmarkStart w:id="367" w:name="_Toc20139"/>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w:t>
      </w:r>
    </w:p>
    <w:p>
      <w:pPr>
        <w:pStyle w:val="32"/>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2"/>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2"/>
        <w:rPr>
          <w:rFonts w:ascii="宋体" w:hAnsi="宋体"/>
          <w:color w:val="auto"/>
          <w:szCs w:val="21"/>
          <w:highlight w:val="none"/>
        </w:rPr>
      </w:pPr>
    </w:p>
    <w:p>
      <w:pPr>
        <w:pStyle w:val="32"/>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16710"/>
      <w:bookmarkStart w:id="380" w:name="_Toc21541"/>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72"/>
      <w:bookmarkStart w:id="385" w:name="_Toc2678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1"/>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rPr>
          <w:rFonts w:eastAsia="微软雅黑"/>
        </w:rPr>
      </w:pPr>
      <w:r>
        <w:rPr>
          <w:rStyle w:val="28"/>
        </w:rPr>
        <w:footnoteRef/>
      </w:r>
      <w:r>
        <w:rPr>
          <w:rFonts w:hint="eastAsia"/>
        </w:rPr>
        <w:t>从业人员、营业人员、资产总额填报上一年度数据，无上一年度数据的新成立企业可不填报。</w:t>
      </w:r>
    </w:p>
  </w:footnote>
  <w:footnote w:id="1">
    <w:p>
      <w:pPr>
        <w:pStyle w:val="18"/>
      </w:pPr>
      <w:r>
        <w:rPr>
          <w:rStyle w:val="28"/>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3E55F9"/>
    <w:rsid w:val="1E5C7612"/>
    <w:rsid w:val="1EA40BB4"/>
    <w:rsid w:val="1F43381C"/>
    <w:rsid w:val="1FA4148D"/>
    <w:rsid w:val="20121621"/>
    <w:rsid w:val="201A421D"/>
    <w:rsid w:val="20341172"/>
    <w:rsid w:val="204E554F"/>
    <w:rsid w:val="20590035"/>
    <w:rsid w:val="20C35213"/>
    <w:rsid w:val="20FC799E"/>
    <w:rsid w:val="21072664"/>
    <w:rsid w:val="21693C0A"/>
    <w:rsid w:val="21DC501A"/>
    <w:rsid w:val="22154DDD"/>
    <w:rsid w:val="22213E42"/>
    <w:rsid w:val="22336873"/>
    <w:rsid w:val="23175889"/>
    <w:rsid w:val="232C5C75"/>
    <w:rsid w:val="238C2182"/>
    <w:rsid w:val="239015D1"/>
    <w:rsid w:val="23BB4E7D"/>
    <w:rsid w:val="23C172D6"/>
    <w:rsid w:val="23F04F64"/>
    <w:rsid w:val="24814CBE"/>
    <w:rsid w:val="24AC168B"/>
    <w:rsid w:val="25857F75"/>
    <w:rsid w:val="258976B0"/>
    <w:rsid w:val="258C3BEC"/>
    <w:rsid w:val="25E576CC"/>
    <w:rsid w:val="260E3862"/>
    <w:rsid w:val="262569FC"/>
    <w:rsid w:val="26344C98"/>
    <w:rsid w:val="26F56CE2"/>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77724B"/>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AB5A5B"/>
    <w:rsid w:val="3FD70BB0"/>
    <w:rsid w:val="3FFB55AC"/>
    <w:rsid w:val="401C5F9D"/>
    <w:rsid w:val="401C690C"/>
    <w:rsid w:val="401D7195"/>
    <w:rsid w:val="40332A00"/>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5DD0A0B"/>
    <w:rsid w:val="4611075B"/>
    <w:rsid w:val="46214818"/>
    <w:rsid w:val="466E4C9E"/>
    <w:rsid w:val="467A0297"/>
    <w:rsid w:val="468B7125"/>
    <w:rsid w:val="46C4691F"/>
    <w:rsid w:val="47841568"/>
    <w:rsid w:val="479D1D34"/>
    <w:rsid w:val="47B609C0"/>
    <w:rsid w:val="47CF543E"/>
    <w:rsid w:val="482D31EA"/>
    <w:rsid w:val="484228F5"/>
    <w:rsid w:val="485970A0"/>
    <w:rsid w:val="48847961"/>
    <w:rsid w:val="48A41906"/>
    <w:rsid w:val="48B65C71"/>
    <w:rsid w:val="48F303D7"/>
    <w:rsid w:val="492837FF"/>
    <w:rsid w:val="492E6A57"/>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0EF6513"/>
    <w:rsid w:val="50F93342"/>
    <w:rsid w:val="51475B39"/>
    <w:rsid w:val="514C3EA7"/>
    <w:rsid w:val="519849E5"/>
    <w:rsid w:val="51B36892"/>
    <w:rsid w:val="51C11875"/>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F3D30"/>
    <w:rsid w:val="5E2810D5"/>
    <w:rsid w:val="5E2B7D62"/>
    <w:rsid w:val="5E2F31A6"/>
    <w:rsid w:val="5E71411E"/>
    <w:rsid w:val="5EA06921"/>
    <w:rsid w:val="5ED5006A"/>
    <w:rsid w:val="5F576E4B"/>
    <w:rsid w:val="5F5D4EDE"/>
    <w:rsid w:val="5F7A2C30"/>
    <w:rsid w:val="5FBE370A"/>
    <w:rsid w:val="60292845"/>
    <w:rsid w:val="60407720"/>
    <w:rsid w:val="61027308"/>
    <w:rsid w:val="612E1A5D"/>
    <w:rsid w:val="61816046"/>
    <w:rsid w:val="61881DE7"/>
    <w:rsid w:val="62182687"/>
    <w:rsid w:val="62391564"/>
    <w:rsid w:val="62816669"/>
    <w:rsid w:val="62BA0953"/>
    <w:rsid w:val="62D03A7C"/>
    <w:rsid w:val="62F16BCB"/>
    <w:rsid w:val="62F648FE"/>
    <w:rsid w:val="630A30D8"/>
    <w:rsid w:val="63341DB1"/>
    <w:rsid w:val="63447612"/>
    <w:rsid w:val="63907004"/>
    <w:rsid w:val="63974E47"/>
    <w:rsid w:val="63A10995"/>
    <w:rsid w:val="63C23EFA"/>
    <w:rsid w:val="63C41644"/>
    <w:rsid w:val="643A070A"/>
    <w:rsid w:val="644C573D"/>
    <w:rsid w:val="647F1ACC"/>
    <w:rsid w:val="648667A7"/>
    <w:rsid w:val="64DB383A"/>
    <w:rsid w:val="65032F85"/>
    <w:rsid w:val="65136B50"/>
    <w:rsid w:val="653B0C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B955B1"/>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524615"/>
    <w:rsid w:val="77653671"/>
    <w:rsid w:val="778546CC"/>
    <w:rsid w:val="77B56730"/>
    <w:rsid w:val="77C04A8B"/>
    <w:rsid w:val="77D85DB3"/>
    <w:rsid w:val="780252A0"/>
    <w:rsid w:val="78027772"/>
    <w:rsid w:val="78A50513"/>
    <w:rsid w:val="78B92B9D"/>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DF10853"/>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outlineLvl w:val="2"/>
    </w:pPr>
    <w:rPr>
      <w:b/>
      <w:bCs/>
      <w:sz w:val="28"/>
      <w:szCs w:val="32"/>
    </w:rPr>
  </w:style>
  <w:style w:type="paragraph" w:styleId="6">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49"/>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7">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8">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9">
    <w:name w:val="font41"/>
    <w:basedOn w:val="2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38732</Words>
  <Characters>40008</Characters>
  <Lines>349</Lines>
  <Paragraphs>98</Paragraphs>
  <TotalTime>1</TotalTime>
  <ScaleCrop>false</ScaleCrop>
  <LinksUpToDate>false</LinksUpToDate>
  <CharactersWithSpaces>41446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2023-02-24T08:24:44Z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4C8C734B518042ADBD723B3FEE903F38</vt:lpwstr>
  </property>
</Properties>
</file>