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441900024-2023-00035</w:t>
      </w:r>
    </w:p>
    <w:p>
      <w:pPr>
        <w:jc w:val="center"/>
      </w:pPr>
      <w:r>
        <w:rPr>
          <w:b/>
          <w:sz w:val="24"/>
        </w:rPr>
        <w:t>采购项目编号：</w:t>
      </w:r>
      <w:r>
        <w:rPr>
          <w:b/>
          <w:sz w:val="24"/>
        </w:rPr>
        <w:t>441900024-2023-00035</w:t>
      </w:r>
    </w:p>
    <w:p>
      <w:pPr>
        <w:jc w:val="center"/>
      </w:pPr>
      <w:r>
        <w:rPr>
          <w:b/>
          <w:sz w:val="24"/>
        </w:rPr>
        <w:t>项目名称：</w:t>
      </w:r>
      <w:r>
        <w:rPr>
          <w:b/>
          <w:sz w:val="24"/>
        </w:rPr>
        <w:t>塘厦镇常态化实施生态环境专管员采购项目</w:t>
      </w:r>
    </w:p>
    <w:p>
      <w:pPr>
        <w:jc w:val="center"/>
      </w:pPr>
      <w:r>
        <w:rPr>
          <w:b/>
          <w:sz w:val="24"/>
        </w:rPr>
        <w:t>采购人：</w:t>
      </w:r>
      <w:r>
        <w:rPr>
          <w:b/>
          <w:sz w:val="24"/>
        </w:rPr>
        <w:t>东莞市生态环境局塘厦分局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东莞市生态环境局塘厦分局</w:t>
      </w:r>
      <w:r>
        <w:rPr/>
        <w:t>的委托，采用</w:t>
      </w:r>
      <w:r>
        <w:rPr/>
        <w:t>公开招标</w:t>
      </w:r>
      <w:r>
        <w:rPr/>
        <w:t>方式组织采购</w:t>
      </w:r>
      <w:r>
        <w:rPr/>
        <w:t>塘厦镇常态化实施生态环境专管员采购项目</w:t>
      </w:r>
      <w:r>
        <w:rPr/>
        <w:t>。欢迎符合资格条件的国内供应商参加投标。</w:t>
      </w:r>
    </w:p>
    <w:p>
      <w:r>
        <w:rPr>
          <w:b/>
          <w:sz w:val="28"/>
        </w:rPr>
        <w:t>一.项目概述</w:t>
      </w:r>
    </w:p>
    <w:p>
      <w:r>
        <w:rPr>
          <w:b/>
          <w:sz w:val="24"/>
        </w:rPr>
        <w:t>1.名称与编号</w:t>
      </w:r>
    </w:p>
    <w:p>
      <w:pPr>
        <w:ind w:firstLine="480"/>
      </w:pPr>
      <w:r>
        <w:rPr/>
        <w:t>项目名称：</w:t>
      </w:r>
      <w:r>
        <w:rPr/>
        <w:t>塘厦镇常态化实施生态环境专管员采购项目</w:t>
      </w:r>
    </w:p>
    <w:p>
      <w:pPr>
        <w:ind w:firstLine="480"/>
      </w:pPr>
      <w:r>
        <w:rPr/>
        <w:t>采购计划编号：</w:t>
      </w:r>
      <w:r>
        <w:rPr/>
        <w:t>441900024-2023-00035</w:t>
      </w:r>
    </w:p>
    <w:p>
      <w:pPr>
        <w:ind w:firstLine="480"/>
      </w:pPr>
      <w:r>
        <w:rPr/>
        <w:t>采购项目编号：</w:t>
      </w:r>
      <w:r>
        <w:rPr/>
        <w:t>441900024-2023-00035</w:t>
      </w:r>
    </w:p>
    <w:p>
      <w:pPr>
        <w:ind w:firstLine="480"/>
      </w:pPr>
      <w:r>
        <w:rPr/>
        <w:t>采购方式：</w:t>
      </w:r>
      <w:r>
        <w:rPr/>
        <w:t>公开招标</w:t>
      </w:r>
    </w:p>
    <w:p>
      <w:pPr>
        <w:ind w:firstLine="480"/>
      </w:pPr>
      <w:r>
        <w:rPr/>
        <w:t>预算金额：</w:t>
      </w:r>
      <w:r>
        <w:rPr/>
        <w:t>12,771,000.00</w:t>
      </w:r>
      <w:r>
        <w:rPr/>
        <w:t>元</w:t>
      </w:r>
    </w:p>
    <w:p>
      <w:r>
        <w:rPr>
          <w:b/>
          <w:sz w:val="24"/>
        </w:rPr>
        <w:t>2.项目内容及需求情况（采购项目技术规格、参数及要求）</w:t>
      </w:r>
    </w:p>
    <w:p>
      <w:pPr>
        <w:ind w:firstLine="480"/>
      </w:pPr>
    </w:p>
    <w:p/>
    <w:p>
      <w:r>
        <w:rPr/>
        <w:t>采购包1(塘厦镇常态化实施生态环境专管员采购项目):</w:t>
      </w:r>
    </w:p>
    <w:p>
      <w:r>
        <w:rPr/>
        <w:t>采购包预算金额：12,771,000.00元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塘厦镇常态化实施生态环境专管员采购项目</w:t>
            </w:r>
          </w:p>
        </w:tc>
        <w:tc>
          <w:tcPr>
            <w:tcW w:type="dxa" w:w="977"/>
          </w:tcPr>
          <w:p>
            <w:r>
              <w:rPr/>
              <w:t>1.0000(项)</w:t>
            </w:r>
          </w:p>
        </w:tc>
        <w:tc>
          <w:tcPr>
            <w:tcW w:type="dxa" w:w="977"/>
          </w:tcPr>
          <w:p>
            <w:r>
              <w:rPr/>
              <w:t>详见第二章</w:t>
            </w:r>
          </w:p>
        </w:tc>
        <w:tc>
          <w:tcPr>
            <w:tcW w:type="dxa" w:w="977"/>
          </w:tcPr>
          <w:p>
            <w:r>
              <w:rPr/>
              <w:t>12,771,000.00</w:t>
            </w:r>
          </w:p>
        </w:tc>
        <w:tc>
          <w:tcPr>
            <w:tcW w:type="dxa" w:w="977"/>
          </w:tcPr>
          <w:p>
            <w:r>
              <w:rPr/>
              <w:t>否</w:t>
            </w:r>
          </w:p>
        </w:tc>
      </w:tr>
    </w:tbl>
    <w:p/>
    <w:p>
      <w:r>
        <w:rPr/>
        <w:t>本采购包不接受联合体投标</w:t>
      </w:r>
    </w:p>
    <w:p/>
    <w:p>
      <w:r>
        <w:rPr/>
        <w:t>合同履行期限：合同有效期为36个月，自2023年4月1日至2026年3月31日。具体服务期限以双方签订合同时间为准。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采购包1（塘厦镇常态化实施生态环境专管员采购项目）：</w:t>
      </w:r>
      <w:r>
        <w:rPr/>
        <w:t>本项目整体专门面向中小企业采购。投标人须符合本项目采购标的对应行业（本项目行业为：租赁和商务服务业）的政策划分标准。监狱企业、残疾人福利单位视同小型、微型企业。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采购包1（塘厦镇常态化实施生态环境专管员采购项目）：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东莞市生态环境局塘厦分局</w:t>
      </w:r>
    </w:p>
    <w:p>
      <w:pPr>
        <w:ind w:firstLine="480"/>
      </w:pPr>
      <w:r>
        <w:rPr/>
        <w:t>地址：</w:t>
      </w:r>
      <w:r>
        <w:rPr/>
        <w:t>东莞市塘厦镇迎宾大道7号</w:t>
      </w:r>
    </w:p>
    <w:p>
      <w:pPr>
        <w:ind w:firstLine="480"/>
      </w:pPr>
      <w:r>
        <w:rPr/>
        <w:t>联系方式：</w:t>
      </w:r>
      <w:r>
        <w:rPr/>
        <w:t>0769-87943968</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近来，在东莞市生态环境局的统筹协调下，全市各镇街（园区）以第三方服务的形式，采购</w:t>
      </w:r>
      <w:r>
        <w:rPr>
          <w:sz w:val="21"/>
        </w:rPr>
        <w:t>“专职+专业”的环境辅助监管服务，实现了对辖区污染源全覆盖监管、提升了基层生态环境监管能力，协助各项环境监管工作取得实效。为巩固望</w:t>
      </w:r>
      <w:r>
        <w:rPr>
          <w:sz w:val="21"/>
        </w:rPr>
        <w:t>塘厦镇</w:t>
      </w:r>
      <w:r>
        <w:rPr>
          <w:sz w:val="21"/>
        </w:rPr>
        <w:t>生态环境监管质量提升的成果，东莞市生态环境局塘厦分局决定继续推行生态环境专管员服务制度。本项目通过公开招标采购一家供应商，为</w:t>
      </w:r>
      <w:r>
        <w:rPr>
          <w:sz w:val="21"/>
        </w:rPr>
        <w:t>塘厦</w:t>
      </w:r>
      <w:r>
        <w:rPr>
          <w:sz w:val="21"/>
        </w:rPr>
        <w:t>镇提供环境辅助技术服务。</w:t>
      </w:r>
    </w:p>
    <w:p/>
    <w:p>
      <w:pPr>
        <w:ind w:firstLine="480"/>
      </w:pPr>
    </w:p>
    <w:p/>
    <w:p>
      <w:r>
        <w:rPr/>
        <w:t>采购包1（塘厦镇常态化实施生态环境专管员采购项目）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合同有效期为36个月，自2023年4月1日至2026年3月31日。具体服务期限以双方签订合同时间为准。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1期：支付比例100%,1期：支付比例10%,合同生效后30日内支付 2期：支付比例6%,2023年7月依据过渡期考核结果支付/无过渡期则直接支付 3期：支付比例8%,2023年10月依据2023年第二季度考核结果支付 4期：支付比例8%,2023年1月依据2023年第三季度考核结果支付 5期：支付比例8%,2024年4月依据2023年第四季度考核结果支付 6期：支付比例8%,2024年7月依据2024年第一季度考核结果支付 7期：支付比例8%,2024年10月依据2024年第二季度考核结果支付 8期：支付比例8%,2024年1月依据2024年第三季度考核结果支付 9期：支付比例8%,2025年4月依据2024年第四季度考核结果支付 10期：支付比例8%,2025年7月依据2025年第一季度考核结果支付 11期：支付比例8%,2025年10月依据2025年第二季度考核结果支付 12期：支付比例8%,2025年1月依据2025年第三季度考核结果支付 13期：支付比例4%,2026年4月依据2025年第四及2026第一季度考核结果支付 注： 1、合同款项由合同中的甲方（东莞市生态环境局塘厦分局）按金额支付给中标人。 2、项目付款均需按照财政集中支付程序办理付款手续。每次付款前，中标人应当按照支付方的要求，提供等额、有效的增值税普通发票，否则，付款期顺延至中标人提供有效的增值税发票后。 3、如因政策影响或财政支付会计部门原因，款项未能及时到位，不视为采购方违约，中标人应当继续履行合同义务，不得以此为由主张先履行抗辩权或同时履行抗辩权而不履行本合同规定的义务。否则，采购方有权要求中标人按本合同约定承担违约责任。如果中标人怠于或者拒绝提供资料或者办理手续或履行其他合同义务的，则因此产生的付款迟延的责任全部由中标人承担。</w:t>
            </w:r>
          </w:p>
        </w:tc>
      </w:tr>
      <w:tr>
        <w:tc>
          <w:tcPr>
            <w:tcW w:type="dxa" w:w="4153"/>
          </w:tcPr>
          <w:p>
            <w:r>
              <w:rPr/>
              <w:t>验收要求</w:t>
            </w:r>
          </w:p>
        </w:tc>
        <w:tc>
          <w:tcPr>
            <w:tcW w:type="dxa" w:w="4153"/>
          </w:tcPr>
          <w:p/>
          <w:p/>
          <w:p/>
          <w:p>
            <w:r>
              <w:rPr/>
              <w:t>1期：按国家、相关行业和采购人制定的考核标准进行验收（采购人的考核标准在合同履行期间动态调整）</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报价要求，投标报价以人民币报价，合同总价包含一切税费，且包含投标人为履行本合同义务所发生的一切费用和支出，包括但不限于人工费、装备设备费、差旅费、管理费、服务和技术费用、寄送技术资料费用、投标人利润及合同实施过程中不可预见的费用等，直至投标人提交符合采购方要求的最终成果并完成全部工作任务，除合同总价之外，采购人不再支付其他任何费用。本合同总价为固定不变价格，且不随通货膨胀、不可抗力因素的影响而波动。</w:t>
            </w:r>
          </w:p>
          <w:p/>
          <w:p>
            <w:r>
              <w:rPr/>
              <w:t>2、付款要求，实际支付比例以考核结果为根据，同时每次付款前，中标人应当按照支付方的要求提供等额、有效的增值税普通发票，否则，付款期顺延至中标人提供有效的增值税发票后。</w:t>
            </w:r>
          </w:p>
          <w:p/>
          <w:p>
            <w:r>
              <w:rPr/>
              <w:t>3、其他要求，投标人应充分结合本招标文件上下文了解项目招标需求、采购文件未尽事宜，将在合同签订或项目执行过程中双方协商确定，中标人须无条件满足采购单位的合理要求。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塘厦镇常态化实施生态环境专管员采购项目</w:t>
            </w:r>
          </w:p>
        </w:tc>
        <w:tc>
          <w:tcPr>
            <w:tcW w:type="dxa" w:w="933"/>
          </w:tcPr>
          <w:p>
            <w:pPr>
              <w:jc w:val="left"/>
            </w:pPr>
            <w:r>
              <w:rPr/>
              <w:t>项</w:t>
            </w:r>
          </w:p>
        </w:tc>
        <w:tc>
          <w:tcPr>
            <w:tcW w:type="dxa" w:w="933"/>
          </w:tcPr>
          <w:p>
            <w:pPr>
              <w:jc w:val="right"/>
            </w:pPr>
            <w:r>
              <w:rPr/>
              <w:t>1.00</w:t>
            </w:r>
          </w:p>
        </w:tc>
        <w:tc>
          <w:tcPr>
            <w:tcW w:type="dxa" w:w="933"/>
          </w:tcPr>
          <w:p>
            <w:pPr>
              <w:jc w:val="right"/>
            </w:pPr>
            <w:r>
              <w:rPr/>
              <w:t>12,771,000.00</w:t>
            </w:r>
          </w:p>
        </w:tc>
        <w:tc>
          <w:tcPr>
            <w:tcW w:type="dxa" w:w="933"/>
          </w:tcPr>
          <w:p>
            <w:pPr>
              <w:jc w:val="right"/>
            </w:pPr>
            <w:r>
              <w:rPr/>
              <w:t>12,771,000.00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塘厦镇常态化实施生态环境专管员采购项目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、服务内容</w:t>
            </w:r>
          </w:p>
          <w:p>
            <w:pPr>
              <w:ind w:firstLine="420"/>
            </w:pPr>
            <w:r>
              <w:rPr>
                <w:sz w:val="21"/>
              </w:rPr>
              <w:t>生态环境专管员队伍主要工作内容为协助生态环境部门开展污染源监管工作，包括以下工作内容：</w:t>
            </w:r>
          </w:p>
          <w:p>
            <w:pPr>
              <w:ind w:firstLine="420"/>
            </w:pPr>
            <w:r>
              <w:rPr>
                <w:sz w:val="21"/>
              </w:rPr>
              <w:t>（一）排污许可企业证后监管。以排污许可证载明事项为重点的清单式体检式核查，重点核查排放口规范化建设、污染物排放浓度和排放量、污染防治设施运行和维护、无组织排放控制等要求的落实情况，抽查核实环境管理台账记录、排污许可证执行报告、自行监测数据、信息公开内容的真实性。</w:t>
            </w:r>
          </w:p>
          <w:p>
            <w:pPr>
              <w:ind w:firstLine="420"/>
            </w:pPr>
            <w:r>
              <w:rPr>
                <w:sz w:val="21"/>
              </w:rPr>
              <w:t>（二）</w:t>
            </w:r>
            <w:r>
              <w:rPr>
                <w:sz w:val="21"/>
              </w:rPr>
              <w:t>“散乱污”企业巡查核查监管。摸清辖区内的“散乱污”企业台账，重点加强对未批先建、违反环保“三同时”制度、无证排污、不正常运转污染防治设施等涉“污”企业巡查，协助深化清理整治工作。对“散乱污”企业数据库清单实行全面核查，全面核清清理整治情况，严控死灰复燃。</w:t>
            </w:r>
          </w:p>
          <w:p>
            <w:pPr>
              <w:ind w:firstLine="420"/>
            </w:pPr>
            <w:r>
              <w:rPr>
                <w:sz w:val="21"/>
              </w:rPr>
              <w:t>（三）监控数据异常现场核查。接收、处理生态环境处理指挥调度平台下发的三级预警任务，即对平台分析得出的异常数据、超标数据进行现场核查。</w:t>
            </w:r>
          </w:p>
          <w:p>
            <w:pPr>
              <w:ind w:firstLine="420"/>
            </w:pPr>
            <w:r>
              <w:rPr>
                <w:sz w:val="21"/>
              </w:rPr>
              <w:t>（四）配合开展环保执法行动。协助生态环境部门开展各类生态环境专项执法、清理、整治行动，协助现场核查、数据统计、资料上报工作。</w:t>
            </w:r>
          </w:p>
          <w:p>
            <w:pPr>
              <w:ind w:firstLine="420"/>
            </w:pPr>
            <w:r>
              <w:rPr>
                <w:sz w:val="21"/>
              </w:rPr>
              <w:t>（五）采购方认为与本项目相关的其他工作或要求提供的服务。</w:t>
            </w:r>
          </w:p>
          <w:p>
            <w:r>
              <w:rPr>
                <w:b/>
                <w:sz w:val="24"/>
              </w:rPr>
              <w:t>二</w:t>
            </w:r>
            <w:r>
              <w:rPr>
                <w:b/>
                <w:sz w:val="24"/>
              </w:rPr>
              <w:t>、人员配备要求</w:t>
            </w:r>
          </w:p>
          <w:p>
            <w:pPr>
              <w:ind w:firstLine="420"/>
            </w:pPr>
            <w:r>
              <w:rPr>
                <w:sz w:val="21"/>
              </w:rPr>
              <w:t>1、人员数量要求</w:t>
            </w:r>
          </w:p>
          <w:tbl>
            <w:tblPr>
              <w:tblBorders>
                <w:top w:val="none" w:color="000000" w:sz="4"/>
                <w:left w:val="none" w:color="000000" w:sz="4"/>
                <w:bottom w:val="none" w:color="000000" w:sz="4"/>
                <w:right w:val="none" w:color="000000" w:sz="4"/>
                <w:insideH w:val="none"/>
                <w:insideV w:val="none"/>
              </w:tblBorders>
            </w:tblPr>
            <w:tblGrid>
              <w:gridCol w:w="2178"/>
              <w:gridCol w:w="3417"/>
            </w:tblGrid>
            <w:tr>
              <w:tc>
                <w:tcPr>
                  <w:tcW w:type="dxa" w:w="2178"/>
                  <w:tcBorders>
                    <w:top w:val="single" w:color="000000" w:sz="4"/>
                    <w:left w:val="single" w:color="000000" w:sz="4"/>
                    <w:bottom w:val="single" w:color="000000" w:sz="4"/>
                    <w:right w:val="single" w:color="000000" w:sz="4"/>
                  </w:tcBorders>
                  <w:vAlign w:val="top"/>
                </w:tcPr>
                <w:p>
                  <w:pPr>
                    <w:jc w:val="center"/>
                  </w:pPr>
                  <w:r>
                    <w:rPr>
                      <w:sz w:val="22"/>
                    </w:rPr>
                    <w:t>名称</w:t>
                  </w:r>
                </w:p>
              </w:tc>
              <w:tc>
                <w:tcPr>
                  <w:tcW w:type="dxa" w:w="3417"/>
                  <w:tcBorders>
                    <w:top w:val="single" w:color="000000" w:sz="4"/>
                    <w:left w:val="none" w:color="000000" w:sz="4"/>
                    <w:bottom w:val="single" w:color="000000" w:sz="4"/>
                    <w:right w:val="single" w:color="000000" w:sz="4"/>
                  </w:tcBorders>
                  <w:vAlign w:val="top"/>
                </w:tcPr>
                <w:p>
                  <w:pPr>
                    <w:jc w:val="center"/>
                  </w:pPr>
                  <w:r>
                    <w:rPr>
                      <w:sz w:val="21"/>
                    </w:rPr>
                    <w:t>配备人数（单位：人）</w:t>
                  </w:r>
                </w:p>
              </w:tc>
            </w:tr>
            <w:tr>
              <w:tc>
                <w:tcPr>
                  <w:tcW w:type="dxa" w:w="2178"/>
                  <w:tcBorders>
                    <w:top w:val="none" w:color="000000" w:sz="4"/>
                    <w:left w:val="single" w:color="000000" w:sz="4"/>
                    <w:bottom w:val="single" w:color="000000" w:sz="4"/>
                    <w:right w:val="single" w:color="000000" w:sz="4"/>
                  </w:tcBorders>
                  <w:vAlign w:val="top"/>
                </w:tcPr>
                <w:p>
                  <w:pPr>
                    <w:jc w:val="center"/>
                  </w:pPr>
                  <w:r>
                    <w:rPr>
                      <w:sz w:val="21"/>
                    </w:rPr>
                    <w:t>事务管理人员</w:t>
                  </w:r>
                </w:p>
              </w:tc>
              <w:tc>
                <w:tcPr>
                  <w:tcW w:type="dxa" w:w="3417"/>
                  <w:tcBorders>
                    <w:top w:val="none" w:color="000000" w:sz="4"/>
                    <w:left w:val="none" w:color="000000" w:sz="4"/>
                    <w:bottom w:val="single" w:color="000000" w:sz="4"/>
                    <w:right w:val="single" w:color="000000" w:sz="4"/>
                  </w:tcBorders>
                  <w:vAlign w:val="top"/>
                </w:tcPr>
                <w:p>
                  <w:pPr>
                    <w:jc w:val="center"/>
                  </w:pPr>
                  <w:r>
                    <w:rPr>
                      <w:sz w:val="22"/>
                    </w:rPr>
                    <w:t>3</w:t>
                  </w:r>
                </w:p>
              </w:tc>
            </w:tr>
            <w:tr>
              <w:tc>
                <w:tcPr>
                  <w:tcW w:type="dxa" w:w="2178"/>
                  <w:tcBorders>
                    <w:top w:val="none" w:color="000000" w:sz="4"/>
                    <w:left w:val="single" w:color="000000" w:sz="4"/>
                    <w:bottom w:val="single" w:color="000000" w:sz="4"/>
                    <w:right w:val="single" w:color="000000" w:sz="4"/>
                  </w:tcBorders>
                  <w:vAlign w:val="top"/>
                </w:tcPr>
                <w:p>
                  <w:pPr>
                    <w:jc w:val="center"/>
                  </w:pPr>
                  <w:r>
                    <w:rPr>
                      <w:sz w:val="21"/>
                    </w:rPr>
                    <w:t>技术性服务</w:t>
                  </w:r>
                  <w:r>
                    <w:rPr>
                      <w:sz w:val="21"/>
                    </w:rPr>
                    <w:t>人员</w:t>
                  </w:r>
                </w:p>
              </w:tc>
              <w:tc>
                <w:tcPr>
                  <w:tcW w:type="dxa" w:w="3417"/>
                  <w:tcBorders>
                    <w:top w:val="none" w:color="000000" w:sz="4"/>
                    <w:left w:val="none" w:color="000000" w:sz="4"/>
                    <w:bottom w:val="single" w:color="000000" w:sz="4"/>
                    <w:right w:val="single" w:color="000000" w:sz="4"/>
                  </w:tcBorders>
                  <w:vAlign w:val="top"/>
                </w:tcPr>
                <w:p>
                  <w:pPr>
                    <w:jc w:val="center"/>
                  </w:pPr>
                  <w:r>
                    <w:rPr>
                      <w:sz w:val="22"/>
                    </w:rPr>
                    <w:t>36</w:t>
                  </w:r>
                </w:p>
              </w:tc>
            </w:tr>
            <w:tr>
              <w:tc>
                <w:tcPr>
                  <w:tcW w:type="dxa" w:w="2178"/>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3417"/>
                  <w:tcBorders>
                    <w:top w:val="none" w:color="000000" w:sz="4"/>
                    <w:left w:val="none" w:color="000000" w:sz="4"/>
                    <w:bottom w:val="single" w:color="000000" w:sz="4"/>
                    <w:right w:val="single" w:color="000000" w:sz="4"/>
                  </w:tcBorders>
                  <w:vAlign w:val="top"/>
                </w:tcPr>
                <w:p>
                  <w:pPr>
                    <w:jc w:val="center"/>
                  </w:pPr>
                  <w:r>
                    <w:rPr>
                      <w:sz w:val="22"/>
                    </w:rPr>
                    <w:t>39</w:t>
                  </w:r>
                </w:p>
              </w:tc>
            </w:tr>
          </w:tbl>
          <w:p/>
          <w:p>
            <w:pPr>
              <w:ind w:firstLine="420"/>
            </w:pPr>
            <w:r>
              <w:rPr>
                <w:sz w:val="21"/>
              </w:rPr>
              <w:t>2、根据管理需要，</w:t>
            </w:r>
            <w:r>
              <w:rPr>
                <w:sz w:val="21"/>
              </w:rPr>
              <w:t>中标人</w:t>
            </w:r>
            <w:r>
              <w:rPr>
                <w:sz w:val="21"/>
              </w:rPr>
              <w:t>增设一个管理层级</w:t>
            </w:r>
            <w:r>
              <w:rPr>
                <w:sz w:val="21"/>
              </w:rPr>
              <w:t>—项目部，配备</w:t>
            </w:r>
            <w:r>
              <w:rPr>
                <w:sz w:val="21"/>
              </w:rPr>
              <w:t>3</w:t>
            </w:r>
            <w:r>
              <w:rPr>
                <w:sz w:val="21"/>
              </w:rPr>
              <w:t>名事务管理人员，形成项目部</w:t>
            </w:r>
            <w:r>
              <w:rPr>
                <w:sz w:val="21"/>
              </w:rPr>
              <w:t>—辖区队伍技术管理组—基层专管员的管理架构，统筹有序开展好</w:t>
            </w:r>
            <w:r>
              <w:rPr>
                <w:sz w:val="21"/>
              </w:rPr>
              <w:t>塘厦镇</w:t>
            </w:r>
            <w:r>
              <w:rPr>
                <w:sz w:val="21"/>
              </w:rPr>
              <w:t>的专管员队伍管理工作。</w:t>
            </w:r>
          </w:p>
          <w:p>
            <w:pPr>
              <w:ind w:firstLine="420"/>
              <w:jc w:val="both"/>
            </w:pPr>
            <w:r>
              <w:rPr>
                <w:sz w:val="21"/>
              </w:rPr>
              <w:t>3、要求安排工作人员至少</w:t>
            </w:r>
            <w:r>
              <w:rPr>
                <w:sz w:val="21"/>
              </w:rPr>
              <w:t>10</w:t>
            </w:r>
            <w:r>
              <w:rPr>
                <w:sz w:val="21"/>
              </w:rPr>
              <w:t>人具有</w:t>
            </w:r>
            <w:r>
              <w:rPr>
                <w:sz w:val="21"/>
              </w:rPr>
              <w:t>C1驾驶证。</w:t>
            </w:r>
          </w:p>
          <w:p>
            <w:pPr>
              <w:ind w:firstLine="420"/>
              <w:jc w:val="both"/>
            </w:pPr>
            <w:r>
              <w:rPr>
                <w:sz w:val="21"/>
              </w:rPr>
              <w:t>4、招聘的生态环境专管员应具备如下基本条件：思想政治素质好，遵纪守法，无违法违纪记录；项目部事务管理人员及专管员队伍管理人员要求具备国家承认的本科及以上学历或初级及以上专业技术职称，年龄在40周岁以下；基层专管员要求具有国家承认的专科及以上学历，年龄在35周岁以下；环境保护、法律、行政管理等相关专业优先聘用；并具有一定语言表达、文字书写、组织协调和计算机应用操作能力；曾有从事环保工作、应急管理工作、公安工作、行政单位工作1年及以上的或退伍军人，同等条件下优先使用并视同符合专业要求；身体健康，具有履行工作职责的身体条件。</w:t>
            </w:r>
          </w:p>
          <w:p>
            <w:pPr>
              <w:ind w:firstLine="420"/>
              <w:jc w:val="both"/>
            </w:pPr>
            <w:r>
              <w:rPr>
                <w:sz w:val="21"/>
              </w:rPr>
              <w:t>5、技术服务人员具有良好环保核查与协助能力，须经过专业培训合格后，方能上岗，培训内容主要为环保核查、环保专项协助等与本项目相关的内容。</w:t>
            </w:r>
            <w:r>
              <w:rPr>
                <w:sz w:val="21"/>
              </w:rPr>
              <w:t>中标人</w:t>
            </w:r>
            <w:r>
              <w:rPr>
                <w:sz w:val="21"/>
              </w:rPr>
              <w:t>应对所有工作人员进行持续的知识能力更新和继续教育培训，掌握国家法律法规和政策对环境保护工作的要求和规定。</w:t>
            </w:r>
          </w:p>
          <w:p>
            <w:pPr>
              <w:ind w:firstLine="420"/>
              <w:jc w:val="both"/>
            </w:pPr>
            <w:r>
              <w:rPr>
                <w:sz w:val="21"/>
              </w:rPr>
              <w:t>6、在服务期间，</w:t>
            </w:r>
            <w:r>
              <w:rPr>
                <w:sz w:val="21"/>
              </w:rPr>
              <w:t>中标人</w:t>
            </w:r>
            <w:r>
              <w:rPr>
                <w:sz w:val="21"/>
              </w:rPr>
              <w:t>负责根据岗位需求对派驻工作人员进行业务培训，所配备的工作人员须相对稳定，人员有变动或离职时，须在变动或辞职手续办理完毕后</w:t>
            </w:r>
            <w:r>
              <w:rPr>
                <w:sz w:val="21"/>
              </w:rPr>
              <w:t>20天内完成补充，并安排好新员工的上岗培训和交接手续。20天内未能及时补齐符合项目要求的工作人员的，按照考核办法扣款。</w:t>
            </w:r>
          </w:p>
          <w:p>
            <w:pPr>
              <w:ind w:firstLine="420"/>
              <w:jc w:val="both"/>
            </w:pPr>
            <w:r>
              <w:rPr>
                <w:sz w:val="21"/>
              </w:rPr>
              <w:t>7、人员到位要求：</w:t>
            </w:r>
            <w:r>
              <w:rPr>
                <w:sz w:val="21"/>
              </w:rPr>
              <w:t>中标人</w:t>
            </w:r>
            <w:r>
              <w:rPr>
                <w:sz w:val="21"/>
              </w:rPr>
              <w:t>应在合同生效后</w:t>
            </w:r>
            <w:r>
              <w:rPr>
                <w:sz w:val="21"/>
              </w:rPr>
              <w:t>20日内所需工作人员须到位50%，合同生效后50日内全部到位。</w:t>
            </w:r>
            <w:r>
              <w:rPr>
                <w:sz w:val="21"/>
              </w:rPr>
              <w:t>中标人</w:t>
            </w:r>
            <w:r>
              <w:rPr>
                <w:sz w:val="21"/>
              </w:rPr>
              <w:t>投标前应充分评估本企业人员储备情况及存在的风险，确保中标后按照招标文件规定的时限要求组织人员到位，因不可抗力因素，导致在约定的时间内人员到位比例无法达到采购方要求的，并经采购方同意的，则可适当延迟。除此之外，按照考核办法扣款，或者采购方解除合同。</w:t>
            </w:r>
          </w:p>
          <w:p>
            <w:pPr>
              <w:ind w:firstLine="420"/>
              <w:jc w:val="both"/>
            </w:pPr>
            <w:r>
              <w:rPr>
                <w:sz w:val="21"/>
              </w:rPr>
              <w:t>8、采购方要求</w:t>
            </w:r>
            <w:r>
              <w:rPr>
                <w:sz w:val="21"/>
              </w:rPr>
              <w:t>中标人</w:t>
            </w:r>
            <w:r>
              <w:rPr>
                <w:sz w:val="21"/>
              </w:rPr>
              <w:t>增派人员配置或其他资源的，</w:t>
            </w:r>
            <w:r>
              <w:rPr>
                <w:sz w:val="21"/>
              </w:rPr>
              <w:t>中标人</w:t>
            </w:r>
            <w:r>
              <w:rPr>
                <w:sz w:val="21"/>
              </w:rPr>
              <w:t>应当执行，否则，采购方有权中止支付费用。</w:t>
            </w:r>
          </w:p>
          <w:p>
            <w:r>
              <w:rPr>
                <w:b/>
                <w:sz w:val="24"/>
              </w:rPr>
              <w:t>三</w:t>
            </w:r>
            <w:r>
              <w:rPr>
                <w:b/>
                <w:sz w:val="24"/>
              </w:rPr>
              <w:t>、车辆、办公配备要求</w:t>
            </w:r>
          </w:p>
          <w:p>
            <w:pPr>
              <w:ind w:firstLine="420"/>
              <w:jc w:val="both"/>
            </w:pPr>
            <w:r>
              <w:rPr>
                <w:sz w:val="21"/>
              </w:rPr>
              <w:t>1、设备数量要求</w:t>
            </w:r>
          </w:p>
          <w:tbl>
            <w:tblPr>
              <w:tblBorders>
                <w:top w:val="none" w:color="000000" w:sz="4"/>
                <w:left w:val="none" w:color="000000" w:sz="4"/>
                <w:bottom w:val="none" w:color="000000" w:sz="4"/>
                <w:right w:val="none" w:color="000000" w:sz="4"/>
                <w:insideH w:val="none"/>
                <w:insideV w:val="none"/>
              </w:tblBorders>
            </w:tblPr>
            <w:tblGrid>
              <w:gridCol w:w="1671"/>
              <w:gridCol w:w="981"/>
              <w:gridCol w:w="981"/>
              <w:gridCol w:w="981"/>
              <w:gridCol w:w="982"/>
            </w:tblGrid>
            <w:tr>
              <w:tc>
                <w:tcPr>
                  <w:tcW w:type="dxa" w:w="1671"/>
                  <w:tcBorders>
                    <w:top w:val="single" w:color="000000" w:sz="4"/>
                    <w:left w:val="single" w:color="000000" w:sz="4"/>
                    <w:bottom w:val="single" w:color="000000" w:sz="4"/>
                    <w:right w:val="single" w:color="000000" w:sz="4"/>
                  </w:tcBorders>
                  <w:vAlign w:val="top"/>
                </w:tcPr>
                <w:p>
                  <w:pPr>
                    <w:jc w:val="center"/>
                  </w:pPr>
                  <w:r>
                    <w:rPr>
                      <w:sz w:val="22"/>
                    </w:rPr>
                    <w:t>名称</w:t>
                  </w:r>
                </w:p>
              </w:tc>
              <w:tc>
                <w:tcPr>
                  <w:tcW w:type="dxa" w:w="981"/>
                  <w:tcBorders>
                    <w:top w:val="single" w:color="000000" w:sz="4"/>
                    <w:left w:val="none" w:color="000000" w:sz="4"/>
                    <w:bottom w:val="single" w:color="000000" w:sz="4"/>
                    <w:right w:val="single" w:color="000000" w:sz="4"/>
                  </w:tcBorders>
                  <w:vAlign w:val="top"/>
                </w:tcPr>
                <w:p>
                  <w:pPr>
                    <w:jc w:val="center"/>
                  </w:pPr>
                  <w:r>
                    <w:rPr>
                      <w:sz w:val="21"/>
                    </w:rPr>
                    <w:t>配备车辆</w:t>
                  </w:r>
                </w:p>
                <w:p>
                  <w:pPr>
                    <w:jc w:val="center"/>
                  </w:pPr>
                  <w:r>
                    <w:rPr>
                      <w:sz w:val="21"/>
                    </w:rPr>
                    <w:t>（单位：辆）</w:t>
                  </w:r>
                </w:p>
              </w:tc>
              <w:tc>
                <w:tcPr>
                  <w:tcW w:type="dxa" w:w="981"/>
                  <w:tcBorders>
                    <w:top w:val="single" w:color="000000" w:sz="4"/>
                    <w:left w:val="none" w:color="000000" w:sz="4"/>
                    <w:bottom w:val="single" w:color="000000" w:sz="4"/>
                    <w:right w:val="single" w:color="000000" w:sz="4"/>
                  </w:tcBorders>
                  <w:vAlign w:val="top"/>
                </w:tcPr>
                <w:p>
                  <w:pPr>
                    <w:jc w:val="center"/>
                  </w:pPr>
                  <w:r>
                    <w:rPr>
                      <w:sz w:val="21"/>
                    </w:rPr>
                    <w:t>工作电脑</w:t>
                  </w:r>
                </w:p>
                <w:p>
                  <w:pPr>
                    <w:jc w:val="center"/>
                  </w:pPr>
                  <w:r>
                    <w:rPr>
                      <w:sz w:val="21"/>
                    </w:rPr>
                    <w:t>（单位：台）</w:t>
                  </w:r>
                </w:p>
              </w:tc>
              <w:tc>
                <w:tcPr>
                  <w:tcW w:type="dxa" w:w="981"/>
                  <w:tcBorders>
                    <w:top w:val="single" w:color="000000" w:sz="4"/>
                    <w:left w:val="none" w:color="000000" w:sz="4"/>
                    <w:bottom w:val="single" w:color="000000" w:sz="4"/>
                    <w:right w:val="single" w:color="000000" w:sz="4"/>
                  </w:tcBorders>
                  <w:vAlign w:val="top"/>
                </w:tcPr>
                <w:p>
                  <w:pPr>
                    <w:jc w:val="center"/>
                  </w:pPr>
                  <w:r>
                    <w:rPr>
                      <w:sz w:val="21"/>
                    </w:rPr>
                    <w:t>多功能打印机</w:t>
                  </w:r>
                </w:p>
                <w:p>
                  <w:pPr>
                    <w:jc w:val="center"/>
                  </w:pPr>
                  <w:r>
                    <w:rPr>
                      <w:sz w:val="21"/>
                    </w:rPr>
                    <w:t>（单位：台）</w:t>
                  </w:r>
                </w:p>
              </w:tc>
              <w:tc>
                <w:tcPr>
                  <w:tcW w:type="dxa" w:w="982"/>
                  <w:tcBorders>
                    <w:top w:val="single" w:color="000000" w:sz="4"/>
                    <w:left w:val="none" w:color="000000" w:sz="4"/>
                    <w:bottom w:val="single" w:color="000000" w:sz="4"/>
                    <w:right w:val="single" w:color="000000" w:sz="4"/>
                  </w:tcBorders>
                  <w:vAlign w:val="top"/>
                </w:tcPr>
                <w:p>
                  <w:pPr>
                    <w:jc w:val="center"/>
                  </w:pPr>
                  <w:r>
                    <w:rPr>
                      <w:sz w:val="21"/>
                    </w:rPr>
                    <w:t>移动执法仪</w:t>
                  </w:r>
                </w:p>
                <w:p>
                  <w:pPr>
                    <w:jc w:val="center"/>
                  </w:pPr>
                  <w:r>
                    <w:rPr>
                      <w:sz w:val="21"/>
                    </w:rPr>
                    <w:t>（单位：台）</w:t>
                  </w:r>
                </w:p>
              </w:tc>
            </w:tr>
            <w:tr>
              <w:tc>
                <w:tcPr>
                  <w:tcW w:type="dxa" w:w="1671"/>
                  <w:tcBorders>
                    <w:top w:val="none" w:color="000000" w:sz="4"/>
                    <w:left w:val="single" w:color="000000" w:sz="4"/>
                    <w:bottom w:val="single" w:color="000000" w:sz="4"/>
                    <w:right w:val="single" w:color="000000" w:sz="4"/>
                  </w:tcBorders>
                  <w:vAlign w:val="top"/>
                </w:tcPr>
                <w:p>
                  <w:pPr>
                    <w:jc w:val="center"/>
                  </w:pPr>
                  <w:r>
                    <w:rPr>
                      <w:sz w:val="21"/>
                    </w:rPr>
                    <w:t>事务管理人员</w:t>
                  </w:r>
                </w:p>
              </w:tc>
              <w:tc>
                <w:tcPr>
                  <w:tcW w:type="dxa" w:w="981"/>
                  <w:tcBorders>
                    <w:top w:val="none" w:color="000000" w:sz="4"/>
                    <w:left w:val="none" w:color="000000" w:sz="4"/>
                    <w:bottom w:val="single" w:color="000000" w:sz="4"/>
                    <w:right w:val="single" w:color="000000" w:sz="4"/>
                  </w:tcBorders>
                  <w:vAlign w:val="top"/>
                </w:tcPr>
                <w:p>
                  <w:pPr>
                    <w:jc w:val="center"/>
                  </w:pPr>
                  <w:r>
                    <w:rPr>
                      <w:sz w:val="22"/>
                    </w:rPr>
                    <w:t>0</w:t>
                  </w:r>
                </w:p>
              </w:tc>
              <w:tc>
                <w:tcPr>
                  <w:tcW w:type="dxa" w:w="981"/>
                  <w:tcBorders>
                    <w:top w:val="none" w:color="000000" w:sz="4"/>
                    <w:left w:val="none" w:color="000000" w:sz="4"/>
                    <w:bottom w:val="single" w:color="000000" w:sz="4"/>
                    <w:right w:val="single" w:color="000000" w:sz="4"/>
                  </w:tcBorders>
                  <w:vAlign w:val="top"/>
                </w:tcPr>
                <w:p>
                  <w:pPr>
                    <w:jc w:val="center"/>
                  </w:pPr>
                  <w:r>
                    <w:rPr>
                      <w:sz w:val="22"/>
                    </w:rPr>
                    <w:t>2</w:t>
                  </w:r>
                </w:p>
              </w:tc>
              <w:tc>
                <w:tcPr>
                  <w:tcW w:type="dxa" w:w="981"/>
                  <w:tcBorders>
                    <w:top w:val="none" w:color="000000" w:sz="4"/>
                    <w:left w:val="none" w:color="000000" w:sz="4"/>
                    <w:bottom w:val="single" w:color="000000" w:sz="4"/>
                    <w:right w:val="single" w:color="000000" w:sz="4"/>
                  </w:tcBorders>
                  <w:vAlign w:val="top"/>
                </w:tcPr>
                <w:p>
                  <w:pPr>
                    <w:jc w:val="center"/>
                  </w:pPr>
                  <w:r>
                    <w:rPr>
                      <w:sz w:val="22"/>
                    </w:rPr>
                    <w:t>1</w:t>
                  </w:r>
                </w:p>
              </w:tc>
              <w:tc>
                <w:tcPr>
                  <w:tcW w:type="dxa" w:w="982"/>
                  <w:tcBorders>
                    <w:top w:val="none" w:color="000000" w:sz="4"/>
                    <w:left w:val="none" w:color="000000" w:sz="4"/>
                    <w:bottom w:val="single" w:color="000000" w:sz="4"/>
                    <w:right w:val="single" w:color="000000" w:sz="4"/>
                  </w:tcBorders>
                  <w:vAlign w:val="top"/>
                </w:tcPr>
                <w:p>
                  <w:pPr>
                    <w:jc w:val="center"/>
                  </w:pPr>
                  <w:r>
                    <w:rPr>
                      <w:sz w:val="22"/>
                    </w:rPr>
                    <w:t>0</w:t>
                  </w:r>
                </w:p>
              </w:tc>
            </w:tr>
            <w:tr>
              <w:tc>
                <w:tcPr>
                  <w:tcW w:type="dxa" w:w="1671"/>
                  <w:tcBorders>
                    <w:top w:val="none" w:color="000000" w:sz="4"/>
                    <w:left w:val="single" w:color="000000" w:sz="4"/>
                    <w:bottom w:val="single" w:color="000000" w:sz="4"/>
                    <w:right w:val="single" w:color="000000" w:sz="4"/>
                  </w:tcBorders>
                  <w:vAlign w:val="top"/>
                </w:tcPr>
                <w:p>
                  <w:pPr>
                    <w:jc w:val="center"/>
                  </w:pPr>
                  <w:r>
                    <w:rPr>
                      <w:sz w:val="21"/>
                    </w:rPr>
                    <w:t>技术性服务</w:t>
                  </w:r>
                  <w:r>
                    <w:rPr>
                      <w:sz w:val="21"/>
                    </w:rPr>
                    <w:t>人员</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18</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w:t>
                  </w:r>
                </w:p>
              </w:tc>
              <w:tc>
                <w:tcPr>
                  <w:tcW w:type="dxa" w:w="982"/>
                  <w:tcBorders>
                    <w:top w:val="none" w:color="000000" w:sz="4"/>
                    <w:left w:val="none" w:color="000000" w:sz="4"/>
                    <w:bottom w:val="single" w:color="000000" w:sz="4"/>
                    <w:right w:val="single" w:color="000000" w:sz="4"/>
                  </w:tcBorders>
                  <w:vAlign w:val="top"/>
                </w:tcPr>
                <w:p>
                  <w:pPr>
                    <w:jc w:val="center"/>
                  </w:pPr>
                  <w:r>
                    <w:rPr>
                      <w:sz w:val="21"/>
                    </w:rPr>
                    <w:t>18</w:t>
                  </w:r>
                </w:p>
              </w:tc>
            </w:tr>
            <w:tr>
              <w:tc>
                <w:tcPr>
                  <w:tcW w:type="dxa" w:w="1671"/>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981"/>
                  <w:tcBorders>
                    <w:top w:val="none" w:color="000000" w:sz="4"/>
                    <w:left w:val="none" w:color="000000" w:sz="4"/>
                    <w:bottom w:val="single" w:color="000000" w:sz="4"/>
                    <w:right w:val="single" w:color="000000" w:sz="4"/>
                  </w:tcBorders>
                  <w:vAlign w:val="top"/>
                </w:tcPr>
                <w:p>
                  <w:pPr>
                    <w:jc w:val="center"/>
                  </w:pPr>
                  <w:r>
                    <w:rPr>
                      <w:sz w:val="21"/>
                    </w:rPr>
                    <w:t>1</w:t>
                  </w:r>
                  <w:r>
                    <w:rPr>
                      <w:sz w:val="21"/>
                    </w:rPr>
                    <w:t>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w:t>
                  </w:r>
                  <w:r>
                    <w:rPr>
                      <w:sz w:val="21"/>
                    </w:rPr>
                    <w:t>0</w:t>
                  </w:r>
                </w:p>
              </w:tc>
              <w:tc>
                <w:tcPr>
                  <w:tcW w:type="dxa" w:w="981"/>
                  <w:tcBorders>
                    <w:top w:val="none" w:color="000000" w:sz="4"/>
                    <w:left w:val="none" w:color="000000" w:sz="4"/>
                    <w:bottom w:val="single" w:color="000000" w:sz="4"/>
                    <w:right w:val="single" w:color="000000" w:sz="4"/>
                  </w:tcBorders>
                  <w:vAlign w:val="top"/>
                </w:tcPr>
                <w:p>
                  <w:pPr>
                    <w:jc w:val="center"/>
                  </w:pPr>
                  <w:r>
                    <w:rPr>
                      <w:sz w:val="21"/>
                    </w:rPr>
                    <w:t>2</w:t>
                  </w:r>
                </w:p>
              </w:tc>
              <w:tc>
                <w:tcPr>
                  <w:tcW w:type="dxa" w:w="982"/>
                  <w:tcBorders>
                    <w:top w:val="none" w:color="000000" w:sz="4"/>
                    <w:left w:val="none" w:color="000000" w:sz="4"/>
                    <w:bottom w:val="single" w:color="000000" w:sz="4"/>
                    <w:right w:val="single" w:color="000000" w:sz="4"/>
                  </w:tcBorders>
                  <w:vAlign w:val="top"/>
                </w:tcPr>
                <w:p>
                  <w:pPr>
                    <w:jc w:val="center"/>
                  </w:pPr>
                  <w:r>
                    <w:rPr>
                      <w:sz w:val="21"/>
                    </w:rPr>
                    <w:t>18</w:t>
                  </w:r>
                </w:p>
              </w:tc>
            </w:tr>
          </w:tbl>
          <w:p>
            <w:pPr>
              <w:ind w:firstLine="420"/>
              <w:jc w:val="both"/>
            </w:pPr>
            <w:r>
              <w:rPr>
                <w:sz w:val="21"/>
              </w:rPr>
              <w:t>2、中标方须提供满足工作需求的车辆保障，配置</w:t>
            </w:r>
            <w:r>
              <w:rPr>
                <w:sz w:val="21"/>
              </w:rPr>
              <w:t>10</w:t>
            </w:r>
            <w:r>
              <w:rPr>
                <w:sz w:val="21"/>
              </w:rPr>
              <w:t>辆工作用车，车的类型主要是小轿车，车况良好，车辆的使用、燃油（充电）、维修保养、保险、停车及安全责任等均由中标方负责。</w:t>
            </w:r>
          </w:p>
          <w:p>
            <w:pPr>
              <w:ind w:firstLine="420"/>
              <w:jc w:val="both"/>
            </w:pPr>
            <w:r>
              <w:rPr>
                <w:sz w:val="21"/>
              </w:rPr>
              <w:t>3、为保障工作要求，每2名工作人员配备1台办公电脑（含台式电脑、手提电脑和平板电脑），共</w:t>
            </w:r>
            <w:r>
              <w:rPr>
                <w:sz w:val="21"/>
              </w:rPr>
              <w:t>20</w:t>
            </w:r>
            <w:r>
              <w:rPr>
                <w:sz w:val="21"/>
              </w:rPr>
              <w:t>台。事务管理组和技术性服务</w:t>
            </w:r>
            <w:r>
              <w:rPr>
                <w:sz w:val="21"/>
              </w:rPr>
              <w:t>人员组</w:t>
            </w:r>
            <w:r>
              <w:rPr>
                <w:sz w:val="21"/>
              </w:rPr>
              <w:t>配备</w:t>
            </w:r>
            <w:r>
              <w:rPr>
                <w:sz w:val="21"/>
              </w:rPr>
              <w:t>1台多功能打印机，共</w:t>
            </w:r>
            <w:r>
              <w:rPr>
                <w:sz w:val="21"/>
              </w:rPr>
              <w:t>2</w:t>
            </w:r>
            <w:r>
              <w:rPr>
                <w:sz w:val="21"/>
              </w:rPr>
              <w:t>台；除事务管理组外，每</w:t>
            </w:r>
            <w:r>
              <w:rPr>
                <w:sz w:val="21"/>
              </w:rPr>
              <w:t>2名工作人员配备1套移动执法仪，共</w:t>
            </w:r>
            <w:r>
              <w:rPr>
                <w:sz w:val="21"/>
              </w:rPr>
              <w:t>18</w:t>
            </w:r>
            <w:r>
              <w:rPr>
                <w:sz w:val="21"/>
              </w:rPr>
              <w:t>台，相应配备数据采集终端和服务器，数据采集终端</w:t>
            </w:r>
            <w:r>
              <w:rPr>
                <w:sz w:val="21"/>
              </w:rPr>
              <w:t>需</w:t>
            </w:r>
            <w:r>
              <w:rPr>
                <w:sz w:val="21"/>
              </w:rPr>
              <w:t>配</w:t>
            </w:r>
            <w:r>
              <w:rPr>
                <w:sz w:val="21"/>
              </w:rPr>
              <w:t>备</w:t>
            </w:r>
            <w:r>
              <w:rPr>
                <w:sz w:val="21"/>
              </w:rPr>
              <w:t>一个服务器（包含应用服务器、管理服务器及电子证据管理软件）四个，所有电子设备必须接受采购方的管理，采购方要求采取的保密措施，中标方应当执行。</w:t>
            </w:r>
          </w:p>
          <w:p>
            <w:pPr>
              <w:ind w:firstLine="420"/>
              <w:jc w:val="both"/>
            </w:pPr>
            <w:r>
              <w:rPr>
                <w:sz w:val="21"/>
              </w:rPr>
              <w:t>移动执法仪仅限本项目工作使用，本项目所有数据及信息归属采购人所有。未经采购人允许，执法记录及数据不得用于其它商业用途，以及不得以其他方式给任何第三方提供本项目的相关信息或数据。参数要求如下：</w:t>
            </w:r>
          </w:p>
          <w:p>
            <w:pPr>
              <w:jc w:val="center"/>
            </w:pPr>
            <w:r>
              <w:rPr>
                <w:b/>
                <w:sz w:val="21"/>
              </w:rPr>
              <w:t>4G执法仪及相关设备参数要求</w:t>
            </w:r>
          </w:p>
          <w:tbl>
            <w:tblPr>
              <w:tblBorders>
                <w:top w:val="none" w:color="000000" w:sz="4"/>
                <w:left w:val="none" w:color="000000" w:sz="4"/>
                <w:bottom w:val="none" w:color="000000" w:sz="4"/>
                <w:right w:val="none" w:color="000000" w:sz="4"/>
                <w:insideH w:val="none"/>
                <w:insideV w:val="none"/>
              </w:tblBorders>
            </w:tblPr>
            <w:tblGrid>
              <w:gridCol w:w="321"/>
              <w:gridCol w:w="492"/>
              <w:gridCol w:w="4785"/>
            </w:tblGrid>
            <w:tr>
              <w:tc>
                <w:tcPr>
                  <w:tcW w:type="dxa" w:w="32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92"/>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4785"/>
                  <w:tcBorders>
                    <w:top w:val="single" w:color="000000" w:sz="4"/>
                    <w:left w:val="single" w:color="000000" w:sz="4"/>
                    <w:bottom w:val="single" w:color="000000" w:sz="4"/>
                    <w:right w:val="single" w:color="000000" w:sz="4"/>
                  </w:tcBorders>
                  <w:vAlign w:val="top"/>
                </w:tcPr>
                <w:p>
                  <w:pPr>
                    <w:jc w:val="center"/>
                  </w:pPr>
                  <w:r>
                    <w:rPr>
                      <w:sz w:val="21"/>
                    </w:rPr>
                    <w:t>技术参数要求</w:t>
                  </w:r>
                </w:p>
              </w:tc>
            </w:tr>
            <w:tr>
              <w:tc>
                <w:tcPr>
                  <w:tcW w:type="dxa" w:w="3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92"/>
                  <w:tcBorders>
                    <w:top w:val="none" w:color="000000" w:sz="4"/>
                    <w:left w:val="single" w:color="000000" w:sz="4"/>
                    <w:bottom w:val="single" w:color="000000" w:sz="4"/>
                    <w:right w:val="single" w:color="000000" w:sz="4"/>
                  </w:tcBorders>
                  <w:vAlign w:val="top"/>
                </w:tcPr>
                <w:p>
                  <w:pPr>
                    <w:jc w:val="center"/>
                  </w:pPr>
                  <w:r>
                    <w:rPr>
                      <w:sz w:val="21"/>
                    </w:rPr>
                    <w:t>执法记录仪</w:t>
                  </w:r>
                </w:p>
              </w:tc>
              <w:tc>
                <w:tcPr>
                  <w:tcW w:type="dxa" w:w="4785"/>
                  <w:tcBorders>
                    <w:top w:val="none" w:color="000000" w:sz="4"/>
                    <w:left w:val="single" w:color="000000" w:sz="4"/>
                    <w:bottom w:val="single" w:color="000000" w:sz="4"/>
                    <w:right w:val="single" w:color="000000" w:sz="4"/>
                  </w:tcBorders>
                  <w:vAlign w:val="top"/>
                </w:tcPr>
                <w:p>
                  <w:pPr>
                    <w:jc w:val="both"/>
                  </w:pPr>
                  <w:r>
                    <w:rPr>
                      <w:sz w:val="21"/>
                    </w:rPr>
                    <w:t>1.4G传输:可接入移动、联通和电信 4G SIM卡，实现无线传输功能;</w:t>
                  </w:r>
                </w:p>
                <w:p>
                  <w:pPr>
                    <w:jc w:val="both"/>
                  </w:pPr>
                  <w:r>
                    <w:rPr>
                      <w:sz w:val="21"/>
                    </w:rPr>
                    <w:t>2.结构:采用可更换电池设计，在更换一次电池的情况下满足 A级标准(连续摄录时间≥8h);</w:t>
                  </w:r>
                </w:p>
                <w:p>
                  <w:pPr>
                    <w:jc w:val="both"/>
                  </w:pPr>
                  <w:r>
                    <w:rPr>
                      <w:sz w:val="21"/>
                    </w:rPr>
                    <w:t>3.卫星定位:内置定位模块，可接收卫星数据并提供定位信息;</w:t>
                  </w:r>
                </w:p>
                <w:p>
                  <w:pPr>
                    <w:jc w:val="both"/>
                  </w:pPr>
                  <w:r>
                    <w:rPr>
                      <w:sz w:val="21"/>
                    </w:rPr>
                    <w:t>4.抗跌落:执法记录仪(工作状态)在 2000mm高度，承受水泥地面任意 6个面各跌落次数≥5次;</w:t>
                  </w:r>
                </w:p>
                <w:p>
                  <w:pPr>
                    <w:jc w:val="both"/>
                  </w:pPr>
                  <w:r>
                    <w:rPr>
                      <w:sz w:val="21"/>
                    </w:rPr>
                    <w:t>5.夜视效果:开启夜视功能后，在 3m距离处红外补光范围可覆盖摄录画面 70%以上面积;</w:t>
                  </w:r>
                </w:p>
                <w:p>
                  <w:pPr>
                    <w:jc w:val="both"/>
                  </w:pPr>
                  <w:r>
                    <w:rPr>
                      <w:sz w:val="21"/>
                    </w:rPr>
                    <w:t>6.视频分辨力:在视频分辨率 1920×1080时，视频分辨力≥800线;</w:t>
                  </w:r>
                </w:p>
                <w:p>
                  <w:pPr>
                    <w:jc w:val="both"/>
                  </w:pPr>
                  <w:r>
                    <w:rPr>
                      <w:sz w:val="21"/>
                    </w:rPr>
                    <w:t>7.照片分辨力:最大照片分辨率≥8000×4500，最大照片分辨力≥1100线;</w:t>
                  </w:r>
                </w:p>
                <w:p>
                  <w:pPr>
                    <w:jc w:val="both"/>
                  </w:pPr>
                  <w:r>
                    <w:rPr>
                      <w:sz w:val="21"/>
                    </w:rPr>
                    <w:t>8.语音播报:在开机、录像、录音、重点文件标记时进行语音播报，具有摄录时长播报及整点报时功能;</w:t>
                  </w:r>
                </w:p>
                <w:p>
                  <w:pPr>
                    <w:jc w:val="both"/>
                  </w:pPr>
                  <w:r>
                    <w:rPr>
                      <w:sz w:val="21"/>
                    </w:rPr>
                    <w:t>9.数据安全:紧急或复杂执法情况下，设备在拍摄摄录过程中发生撞击，可自动保存录像文件并重新进入摄录模式，在待机状态下发生撞击，可自动进入摄录模式;</w:t>
                  </w:r>
                </w:p>
                <w:p>
                  <w:pPr>
                    <w:jc w:val="both"/>
                  </w:pPr>
                  <w:r>
                    <w:rPr>
                      <w:sz w:val="21"/>
                    </w:rPr>
                    <w:t>10.数据完整:录像过程中更换电池，5min内设备不断电数据不丢失;</w:t>
                  </w:r>
                </w:p>
                <w:p>
                  <w:pPr>
                    <w:jc w:val="both"/>
                  </w:pPr>
                  <w:r>
                    <w:rPr>
                      <w:sz w:val="21"/>
                    </w:rPr>
                    <w:t>11.存储:≥32G。</w:t>
                  </w:r>
                </w:p>
              </w:tc>
            </w:tr>
            <w:tr>
              <w:tc>
                <w:tcPr>
                  <w:tcW w:type="dxa" w:w="32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92"/>
                  <w:tcBorders>
                    <w:top w:val="none" w:color="000000" w:sz="4"/>
                    <w:left w:val="single" w:color="000000" w:sz="4"/>
                    <w:bottom w:val="single" w:color="000000" w:sz="4"/>
                    <w:right w:val="single" w:color="000000" w:sz="4"/>
                  </w:tcBorders>
                  <w:vAlign w:val="top"/>
                </w:tcPr>
                <w:p>
                  <w:pPr>
                    <w:jc w:val="center"/>
                  </w:pPr>
                  <w:r>
                    <w:rPr>
                      <w:sz w:val="21"/>
                    </w:rPr>
                    <w:t>数据采集终端</w:t>
                  </w:r>
                </w:p>
              </w:tc>
              <w:tc>
                <w:tcPr>
                  <w:tcW w:type="dxa" w:w="4785"/>
                  <w:tcBorders>
                    <w:top w:val="none" w:color="000000" w:sz="4"/>
                    <w:left w:val="single" w:color="000000" w:sz="4"/>
                    <w:bottom w:val="single" w:color="000000" w:sz="4"/>
                    <w:right w:val="single" w:color="000000" w:sz="4"/>
                  </w:tcBorders>
                  <w:vAlign w:val="top"/>
                </w:tcPr>
                <w:p>
                  <w:pPr>
                    <w:jc w:val="both"/>
                  </w:pPr>
                  <w:r>
                    <w:rPr>
                      <w:sz w:val="21"/>
                    </w:rPr>
                    <w:t>1.数据采集：执法数据采集设备可自动采集已注册的执法记录仪的视音频、音频、照片和日志等数据，应能验证执法数据采集设备采集到的数据与执法记录仪存储的原始数据的一致性，并保证采集的数据应能正常浏览；</w:t>
                  </w:r>
                </w:p>
                <w:p>
                  <w:pPr>
                    <w:jc w:val="both"/>
                  </w:pPr>
                  <w:r>
                    <w:rPr>
                      <w:sz w:val="21"/>
                    </w:rPr>
                    <w:t>2.数据检索：执法数据采集设备应能对已采集的视音频、音频、照片和日志等数据依据执法记录仪产品序号、警号、时间、文件类型及执法记录仪重点标记文件等一种或多种条件进行查询；</w:t>
                  </w:r>
                </w:p>
                <w:p>
                  <w:pPr>
                    <w:jc w:val="both"/>
                  </w:pPr>
                  <w:r>
                    <w:rPr>
                      <w:sz w:val="21"/>
                    </w:rPr>
                    <w:t>3. 数据存储：执法数据可通过采集设备自动或手动上传视音频、视频、照片、日志或索引等数据到管理服务器，或可存储在采集设备本地，若数据存储在数据采集终端，须保证数据至少保留180天；</w:t>
                  </w:r>
                </w:p>
                <w:p>
                  <w:pPr>
                    <w:jc w:val="both"/>
                  </w:pPr>
                  <w:r>
                    <w:rPr>
                      <w:sz w:val="21"/>
                    </w:rPr>
                    <w:t>4.执法记录仪数据清空：执法数据采集设备应能自动或手动清空已完成数据上传的执法记录仪内部数据。</w:t>
                  </w:r>
                </w:p>
                <w:p>
                  <w:pPr>
                    <w:jc w:val="both"/>
                  </w:pPr>
                  <w:r>
                    <w:rPr>
                      <w:sz w:val="21"/>
                    </w:rPr>
                    <w:t>5.充电：执法数据采集设备应能对接入的执法记录仪进行自动充电并显示充电状态，并应能同时对多个接入的执法记录仪进行充电；</w:t>
                  </w:r>
                </w:p>
                <w:p>
                  <w:pPr>
                    <w:jc w:val="both"/>
                  </w:pPr>
                  <w:r>
                    <w:rPr>
                      <w:sz w:val="21"/>
                    </w:rPr>
                    <w:t>6.用户权限管理功能：执法数据采集设备应能设置操作权限，未经授权的用户不可对执法数据采集设备进行操作，经授权的用户的操作权限应有分级管理机制；</w:t>
                  </w:r>
                </w:p>
                <w:p>
                  <w:pPr>
                    <w:jc w:val="both"/>
                  </w:pPr>
                  <w:r>
                    <w:rPr>
                      <w:sz w:val="21"/>
                    </w:rPr>
                    <w:t>7.USB外设管控：数据采集设备应具有对使用USB接口的移动硬盘、U盘、移动光驱等外部接入的存储设备的启用或禁用功能</w:t>
                  </w:r>
                </w:p>
                <w:p>
                  <w:pPr>
                    <w:jc w:val="both"/>
                  </w:pPr>
                  <w:r>
                    <w:rPr>
                      <w:sz w:val="21"/>
                    </w:rPr>
                    <w:t>8.文件操作管控：应对移动存储介质（移动硬盘、移动光驱、U盘）等的文件数据拷贝操作包括拷入和拷出进行监控和审计，并形成审计日志；</w:t>
                  </w:r>
                </w:p>
              </w:tc>
            </w:tr>
            <w:tr>
              <w:tc>
                <w:tcPr>
                  <w:tcW w:type="dxa" w:w="3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92"/>
                  <w:tcBorders>
                    <w:top w:val="none" w:color="000000" w:sz="4"/>
                    <w:left w:val="single" w:color="000000" w:sz="4"/>
                    <w:bottom w:val="single" w:color="000000" w:sz="4"/>
                    <w:right w:val="single" w:color="000000" w:sz="4"/>
                  </w:tcBorders>
                  <w:vAlign w:val="top"/>
                </w:tcPr>
                <w:p>
                  <w:pPr>
                    <w:jc w:val="center"/>
                  </w:pPr>
                  <w:r>
                    <w:rPr>
                      <w:sz w:val="21"/>
                    </w:rPr>
                    <w:t>数据服务器</w:t>
                  </w:r>
                </w:p>
              </w:tc>
              <w:tc>
                <w:tcPr>
                  <w:tcW w:type="dxa" w:w="4785"/>
                  <w:tcBorders>
                    <w:top w:val="none" w:color="000000" w:sz="4"/>
                    <w:left w:val="single" w:color="000000" w:sz="4"/>
                    <w:bottom w:val="single" w:color="000000" w:sz="4"/>
                    <w:right w:val="single" w:color="000000" w:sz="4"/>
                  </w:tcBorders>
                  <w:vAlign w:val="top"/>
                </w:tcPr>
                <w:p>
                  <w:pPr>
                    <w:jc w:val="both"/>
                  </w:pPr>
                  <w:r>
                    <w:rPr>
                      <w:sz w:val="21"/>
                    </w:rPr>
                    <w:t>外观：塔式、架式，若为架式须配置安装轨道</w:t>
                  </w:r>
                </w:p>
                <w:p>
                  <w:pPr>
                    <w:jc w:val="both"/>
                  </w:pPr>
                  <w:r>
                    <w:rPr>
                      <w:sz w:val="21"/>
                    </w:rPr>
                    <w:t>处理器：根据应用进行配置，应不低于</w:t>
                  </w:r>
                  <w:r>
                    <w:rPr>
                      <w:sz w:val="21"/>
                    </w:rPr>
                    <w:t>4核，主频不低于1.7GHz</w:t>
                  </w:r>
                </w:p>
                <w:p>
                  <w:pPr>
                    <w:jc w:val="both"/>
                  </w:pPr>
                  <w:r>
                    <w:rPr>
                      <w:sz w:val="21"/>
                    </w:rPr>
                    <w:t>内存：提供</w:t>
                  </w:r>
                  <w:r>
                    <w:rPr>
                      <w:sz w:val="21"/>
                    </w:rPr>
                    <w:t>DIMM插槽，不低于16GB</w:t>
                  </w:r>
                </w:p>
                <w:p>
                  <w:pPr>
                    <w:jc w:val="both"/>
                  </w:pPr>
                  <w:r>
                    <w:rPr>
                      <w:sz w:val="21"/>
                    </w:rPr>
                    <w:t>硬盘位扩展：支持</w:t>
                  </w:r>
                  <w:r>
                    <w:rPr>
                      <w:sz w:val="21"/>
                    </w:rPr>
                    <w:t>SATA/SAS/SSD硬盘添加，若数据存储在服务器，须保证数据至少保留180天</w:t>
                  </w:r>
                </w:p>
                <w:p>
                  <w:pPr>
                    <w:jc w:val="both"/>
                  </w:pPr>
                  <w:r>
                    <w:rPr>
                      <w:sz w:val="21"/>
                    </w:rPr>
                    <w:t>配置电源：不低于</w:t>
                  </w:r>
                  <w:r>
                    <w:rPr>
                      <w:sz w:val="21"/>
                    </w:rPr>
                    <w:t>350W专用电源</w:t>
                  </w:r>
                </w:p>
              </w:tc>
            </w:tr>
          </w:tbl>
          <w:p>
            <w:pPr>
              <w:ind w:firstLine="630"/>
              <w:jc w:val="both"/>
            </w:pPr>
            <w:r>
              <w:rPr>
                <w:sz w:val="21"/>
              </w:rPr>
              <w:t>此外，要求配备与执法仪相配套的存储器、服务器及软件管理平台。要求建立调度平台，同时开放管理端口给采购人，实现指挥平台调度。</w:t>
            </w:r>
          </w:p>
          <w:p>
            <w:pPr>
              <w:ind w:firstLine="420"/>
              <w:jc w:val="both"/>
            </w:pPr>
            <w:r>
              <w:rPr>
                <w:sz w:val="21"/>
              </w:rPr>
              <w:t>4、每名工作人员配备4件工作服、工作证及安全防护设备，购买人身意外险。日常办公经费包括多功能打印机、纸张、笔、文件袋、油墨、快递、饮用水等办公用品费用。</w:t>
            </w:r>
            <w:r>
              <w:rPr>
                <w:sz w:val="21"/>
              </w:rPr>
              <w:t>中标人</w:t>
            </w:r>
            <w:r>
              <w:rPr>
                <w:sz w:val="21"/>
              </w:rPr>
              <w:t>所成立的项目部办公场所由</w:t>
            </w:r>
            <w:r>
              <w:rPr>
                <w:sz w:val="21"/>
              </w:rPr>
              <w:t>中标人</w:t>
            </w:r>
            <w:r>
              <w:rPr>
                <w:sz w:val="21"/>
              </w:rPr>
              <w:t>自行解决。</w:t>
            </w:r>
          </w:p>
          <w:p>
            <w:pPr>
              <w:ind w:firstLine="420"/>
              <w:jc w:val="both"/>
            </w:pPr>
            <w:r>
              <w:rPr>
                <w:sz w:val="21"/>
              </w:rPr>
              <w:t>5、配置的车辆及满足工作需要的日常办公设备，</w:t>
            </w:r>
            <w:r>
              <w:rPr>
                <w:sz w:val="21"/>
              </w:rPr>
              <w:t>中标人</w:t>
            </w:r>
            <w:r>
              <w:rPr>
                <w:sz w:val="21"/>
              </w:rPr>
              <w:t>应在合同签订后的</w:t>
            </w:r>
            <w:r>
              <w:rPr>
                <w:sz w:val="21"/>
              </w:rPr>
              <w:t>20日内全部设备到位。合同期内，以上设备的使用及维护费用由</w:t>
            </w:r>
            <w:r>
              <w:rPr>
                <w:sz w:val="21"/>
              </w:rPr>
              <w:t>中标人</w:t>
            </w:r>
            <w:r>
              <w:rPr>
                <w:sz w:val="21"/>
              </w:rPr>
              <w:t>负责。</w:t>
            </w:r>
          </w:p>
          <w:p>
            <w:pPr>
              <w:ind w:firstLine="420"/>
              <w:jc w:val="both"/>
            </w:pPr>
            <w:r>
              <w:rPr>
                <w:sz w:val="21"/>
              </w:rPr>
              <w:t>6、合同履行过程中，采购方提出的各项需求，</w:t>
            </w:r>
            <w:r>
              <w:rPr>
                <w:sz w:val="21"/>
              </w:rPr>
              <w:t>中标人</w:t>
            </w:r>
            <w:r>
              <w:rPr>
                <w:sz w:val="21"/>
              </w:rPr>
              <w:t>应当执行，否则采购方有权中止支付费用，或者解除合同。</w:t>
            </w:r>
          </w:p>
          <w:p>
            <w:r>
              <w:rPr>
                <w:b/>
                <w:sz w:val="24"/>
              </w:rPr>
              <w:t>四</w:t>
            </w:r>
            <w:r>
              <w:rPr>
                <w:b/>
                <w:sz w:val="24"/>
              </w:rPr>
              <w:t>、项目服务要求</w:t>
            </w:r>
          </w:p>
          <w:p>
            <w:pPr>
              <w:ind w:firstLine="420"/>
            </w:pPr>
            <w:r>
              <w:rPr>
                <w:sz w:val="21"/>
              </w:rPr>
              <w:t>1、</w:t>
            </w:r>
            <w:r>
              <w:rPr>
                <w:sz w:val="21"/>
              </w:rPr>
              <w:t>中标人</w:t>
            </w:r>
            <w:r>
              <w:rPr>
                <w:sz w:val="21"/>
              </w:rPr>
              <w:t>须根据采购方提出的工作需求及时派遣人员到岗工作。根据项目情况和人员安排制定工作方案、巡查方案、应急方案以及日常业务培训、廉政警示教育、定期量化考评、离职辞退补岗等管理制度，签订合同后</w:t>
            </w:r>
            <w:r>
              <w:rPr>
                <w:sz w:val="21"/>
              </w:rPr>
              <w:t>20个工作日内提交以上方案和制度。</w:t>
            </w:r>
          </w:p>
          <w:p>
            <w:pPr>
              <w:ind w:firstLine="420"/>
            </w:pPr>
            <w:r>
              <w:rPr>
                <w:sz w:val="21"/>
              </w:rPr>
              <w:t>2、</w:t>
            </w:r>
            <w:r>
              <w:rPr>
                <w:sz w:val="21"/>
              </w:rPr>
              <w:t>中标人</w:t>
            </w:r>
            <w:r>
              <w:rPr>
                <w:sz w:val="21"/>
              </w:rPr>
              <w:t>不定期对工作人员进行业务能力提升教育培训，及时了解行业污染治理要求、标准及规范，不断增强工作人员环保专业素养与工作技能。</w:t>
            </w:r>
          </w:p>
          <w:p>
            <w:pPr>
              <w:ind w:firstLine="420"/>
              <w:jc w:val="both"/>
            </w:pPr>
            <w:r>
              <w:rPr>
                <w:sz w:val="21"/>
              </w:rPr>
              <w:t>3、</w:t>
            </w:r>
            <w:r>
              <w:rPr>
                <w:sz w:val="21"/>
              </w:rPr>
              <w:t>中标人</w:t>
            </w:r>
            <w:r>
              <w:rPr>
                <w:sz w:val="21"/>
              </w:rPr>
              <w:t>负责所有派驻工作人员建立劳动合同关系，做好人事、劳资、公积金、社会保险、计生等人事劳资管理工作，并提供为派驻工作人员办理劳动用工手续、结算发放工资、管理人事档案、食宿等方面的管理服务；负责为全体派驻工作人员办理公积金社会保险、补充工伤保险及意外险的购买，办理社会保险和工伤保险及意外险的理赔手续和发放保险补助金；承担与派驻工作人员的劳动合同所涉及节日费、经济补偿金及国家的法律法规规定应予以保障的其他一切工资福利待遇；教育派驻工作人员遵守东莞市生态环境局塘厦分局规章制度要求和服从工作安排；负责处理合同服务期内所有劳资纠纷和调解管理纠纷；按照东莞市生态环境局塘厦分局的要求，及时更换不能胜任工作的派驻工作人员；落实东莞市生态环境局塘厦分局根据规章制度和工作需要提出的管理要求。</w:t>
            </w:r>
          </w:p>
          <w:p>
            <w:pPr>
              <w:ind w:firstLine="420"/>
              <w:jc w:val="both"/>
            </w:pPr>
            <w:r>
              <w:rPr>
                <w:sz w:val="21"/>
              </w:rPr>
              <w:t>4、专管员队伍所需的办公场所，配套桌椅、空调及基本的办公条件由采购人负责，办公所需的网络通讯费用、水电费、餐费、住宿费等其他费用由</w:t>
            </w:r>
            <w:r>
              <w:rPr>
                <w:sz w:val="21"/>
              </w:rPr>
              <w:t>中标人</w:t>
            </w:r>
            <w:r>
              <w:rPr>
                <w:sz w:val="21"/>
              </w:rPr>
              <w:t>负责。</w:t>
            </w:r>
          </w:p>
          <w:p>
            <w:pPr>
              <w:ind w:firstLine="420"/>
              <w:jc w:val="both"/>
            </w:pPr>
            <w:r>
              <w:rPr>
                <w:sz w:val="21"/>
              </w:rPr>
              <w:t>5、提交服务成果，包括但不限于工作任务的核查记录（资质文件、图片、影像、表格等）、核查报告以及人员培训证明材料。每季度首月15日前提交上一季度的服务成果，每年7月提交当年上半年工作总结，每年1月提交上一年度工作总结。</w:t>
            </w:r>
          </w:p>
          <w:p>
            <w:pPr>
              <w:ind w:firstLine="420"/>
              <w:jc w:val="both"/>
            </w:pPr>
            <w:r>
              <w:rPr>
                <w:sz w:val="21"/>
              </w:rPr>
              <w:t>6、东莞市生态环境局塘厦分局制定考核办法，对本项目服务情况进行全面综合考核，考核结果与项目费用支付挂钩。</w:t>
            </w:r>
          </w:p>
          <w:p>
            <w:pPr>
              <w:ind w:firstLine="420"/>
              <w:jc w:val="both"/>
            </w:pPr>
            <w:r>
              <w:rPr>
                <w:sz w:val="21"/>
              </w:rPr>
              <w:t>7、由于</w:t>
            </w:r>
            <w:r>
              <w:rPr>
                <w:sz w:val="21"/>
              </w:rPr>
              <w:t>中标人</w:t>
            </w:r>
            <w:r>
              <w:rPr>
                <w:sz w:val="21"/>
              </w:rPr>
              <w:t>工作失误的原因造成工作人员经济损失的，所产生的损失及后果由</w:t>
            </w:r>
            <w:r>
              <w:rPr>
                <w:sz w:val="21"/>
              </w:rPr>
              <w:t>中标人</w:t>
            </w:r>
            <w:r>
              <w:rPr>
                <w:sz w:val="21"/>
              </w:rPr>
              <w:t>承担。因工作人员蓄意破坏设备设施、违反规程等，而造成严重问题、重大事故、重大社会负面影响等，一经查实，则视为</w:t>
            </w:r>
            <w:r>
              <w:rPr>
                <w:sz w:val="21"/>
              </w:rPr>
              <w:t>中标人</w:t>
            </w:r>
            <w:r>
              <w:rPr>
                <w:sz w:val="21"/>
              </w:rPr>
              <w:t>严重违约，采购人有权终止合同。</w:t>
            </w:r>
          </w:p>
          <w:p>
            <w:pPr>
              <w:ind w:firstLine="420"/>
              <w:jc w:val="both"/>
            </w:pPr>
            <w:r>
              <w:rPr>
                <w:sz w:val="21"/>
              </w:rPr>
              <w:t>8、合同履行过程中，采购方提出的各项需求，</w:t>
            </w:r>
            <w:r>
              <w:rPr>
                <w:sz w:val="21"/>
              </w:rPr>
              <w:t>中标人</w:t>
            </w:r>
            <w:r>
              <w:rPr>
                <w:sz w:val="21"/>
              </w:rPr>
              <w:t>应当执行，否则采购方有权中止支付费用，或者解除合同。</w:t>
            </w:r>
          </w:p>
          <w:p>
            <w:r>
              <w:rPr>
                <w:b/>
                <w:sz w:val="24"/>
              </w:rPr>
              <w:t>五、承诺事项</w:t>
            </w:r>
          </w:p>
          <w:p>
            <w:pPr>
              <w:ind w:firstLine="420"/>
              <w:jc w:val="both"/>
            </w:pPr>
            <w:r>
              <w:rPr>
                <w:sz w:val="21"/>
              </w:rPr>
              <w:t>投标人须在投标文件中对以下事项做出承诺：</w:t>
            </w:r>
          </w:p>
          <w:p>
            <w:pPr>
              <w:ind w:firstLine="420"/>
              <w:jc w:val="both"/>
            </w:pPr>
            <w:r>
              <w:rPr>
                <w:sz w:val="21"/>
              </w:rPr>
              <w:t>1、负责员工意外伤害的处理，承担所有经济和法律责任。</w:t>
            </w:r>
          </w:p>
          <w:p>
            <w:pPr>
              <w:ind w:firstLine="420"/>
              <w:jc w:val="both"/>
            </w:pPr>
            <w:r>
              <w:rPr>
                <w:sz w:val="21"/>
              </w:rPr>
              <w:t>2、承诺不转包、分包，如有发现转包或分包的，采购人可终止合同，并收取合同总额的10%作为违约金，用以弥补另外招标和停工所造成的损失补偿，投标人应退还已支付的全部合同款项。</w:t>
            </w:r>
          </w:p>
          <w:p>
            <w:pPr>
              <w:ind w:firstLine="420"/>
              <w:jc w:val="both"/>
            </w:pPr>
            <w:r>
              <w:rPr>
                <w:sz w:val="21"/>
              </w:rPr>
              <w:t>3、承诺承担服务期间派遣员工（非）工伤、疾病死亡所产生的所有经济赔偿责任（法律规定范畴内）。</w:t>
            </w:r>
          </w:p>
          <w:p>
            <w:pPr>
              <w:ind w:firstLine="420"/>
            </w:pPr>
            <w:r>
              <w:rPr>
                <w:sz w:val="21"/>
              </w:rPr>
              <w:t>4、成为本项目的</w:t>
            </w:r>
            <w:r>
              <w:rPr>
                <w:sz w:val="21"/>
              </w:rPr>
              <w:t>中标人</w:t>
            </w:r>
            <w:r>
              <w:rPr>
                <w:sz w:val="21"/>
              </w:rPr>
              <w:t>，须承诺对</w:t>
            </w:r>
            <w:r>
              <w:rPr>
                <w:sz w:val="21"/>
              </w:rPr>
              <w:t>塘厦镇</w:t>
            </w:r>
            <w:r>
              <w:rPr>
                <w:sz w:val="21"/>
              </w:rPr>
              <w:t>范围内与本项目存在利害关系的环保治污设施项目的设计、建设、运营等环节进行回避，即不能再承担</w:t>
            </w:r>
            <w:r>
              <w:rPr>
                <w:sz w:val="21"/>
              </w:rPr>
              <w:t>塘厦镇</w:t>
            </w:r>
            <w:r>
              <w:rPr>
                <w:sz w:val="21"/>
              </w:rPr>
              <w:t>范围内与本项目存在利害关系的环保治污设施项目。</w:t>
            </w:r>
          </w:p>
          <w:p>
            <w:pPr>
              <w:ind w:firstLine="420"/>
            </w:pPr>
            <w:r>
              <w:rPr>
                <w:sz w:val="21"/>
              </w:rPr>
              <w:t>5、法律法规规定的</w:t>
            </w:r>
            <w:r>
              <w:rPr>
                <w:sz w:val="21"/>
              </w:rPr>
              <w:t>中标人</w:t>
            </w:r>
            <w:r>
              <w:rPr>
                <w:sz w:val="21"/>
              </w:rPr>
              <w:t>应当具备的条件、义务以及应当承担的责任，</w:t>
            </w:r>
            <w:r>
              <w:rPr>
                <w:sz w:val="21"/>
              </w:rPr>
              <w:t>中标人</w:t>
            </w:r>
            <w:r>
              <w:rPr>
                <w:sz w:val="21"/>
              </w:rPr>
              <w:t>承诺遵守。</w:t>
            </w:r>
          </w:p>
          <w:p>
            <w:r>
              <w:rPr>
                <w:b/>
                <w:sz w:val="24"/>
              </w:rPr>
              <w:t>六</w:t>
            </w:r>
            <w:r>
              <w:rPr>
                <w:b/>
                <w:sz w:val="24"/>
              </w:rPr>
              <w:t>、服务考核</w:t>
            </w:r>
          </w:p>
          <w:p>
            <w:pPr>
              <w:ind w:firstLine="420"/>
            </w:pPr>
            <w:r>
              <w:rPr>
                <w:sz w:val="21"/>
              </w:rPr>
              <w:t>1、由采购人对</w:t>
            </w:r>
            <w:r>
              <w:rPr>
                <w:sz w:val="21"/>
              </w:rPr>
              <w:t>中标人</w:t>
            </w:r>
            <w:r>
              <w:rPr>
                <w:sz w:val="21"/>
              </w:rPr>
              <w:t>进行考核，</w:t>
            </w:r>
            <w:r>
              <w:rPr>
                <w:b/>
                <w:sz w:val="21"/>
              </w:rPr>
              <w:t>考核办法在签署合同前公布</w:t>
            </w:r>
            <w:r>
              <w:rPr>
                <w:sz w:val="21"/>
              </w:rPr>
              <w:t>，服务费支付与考核结果挂钩。</w:t>
            </w:r>
          </w:p>
          <w:p>
            <w:pPr>
              <w:ind w:firstLine="420"/>
            </w:pPr>
            <w:r>
              <w:rPr>
                <w:sz w:val="21"/>
              </w:rPr>
              <w:t>2、服务期内，第一次考核不合格的，按当季度服务费结算金额的5%予以扣除，第二次考核不合格的，按当季度服务费结算金额的10%予以扣除，第三次考核不合格的，按当季度服务费结算金额的15%予以扣除；服务期内累计三次考核不合格的，采购人有权中止甚至解除服务合同，由此带来的一切责任及损失由</w:t>
            </w:r>
            <w:r>
              <w:rPr>
                <w:sz w:val="21"/>
              </w:rPr>
              <w:t>中标人</w:t>
            </w:r>
            <w:r>
              <w:rPr>
                <w:sz w:val="21"/>
              </w:rPr>
              <w:t>承担。</w:t>
            </w:r>
          </w:p>
          <w:p>
            <w:r>
              <w:rPr>
                <w:sz w:val="21"/>
              </w:rPr>
              <w:t>3、</w:t>
            </w:r>
            <w:r>
              <w:rPr>
                <w:sz w:val="21"/>
              </w:rPr>
              <w:t>中标人</w:t>
            </w:r>
            <w:r>
              <w:rPr>
                <w:sz w:val="21"/>
              </w:rPr>
              <w:t>被催告后不履行合同义务或经考核不合格的，采购人可立即聘请第三方执行合同内容，由此产生的一切费用由</w:t>
            </w:r>
            <w:r>
              <w:rPr>
                <w:sz w:val="21"/>
              </w:rPr>
              <w:t>中标人</w:t>
            </w:r>
            <w:r>
              <w:rPr>
                <w:sz w:val="21"/>
              </w:rPr>
              <w:t>承担，且采购人可要求</w:t>
            </w:r>
            <w:r>
              <w:rPr>
                <w:sz w:val="21"/>
              </w:rPr>
              <w:t>中标人</w:t>
            </w:r>
            <w:r>
              <w:rPr>
                <w:sz w:val="21"/>
              </w:rPr>
              <w:t>承担违约责任，同时采购人可用</w:t>
            </w:r>
            <w:r>
              <w:rPr>
                <w:sz w:val="21"/>
              </w:rPr>
              <w:t>中标人</w:t>
            </w:r>
            <w:r>
              <w:rPr>
                <w:sz w:val="21"/>
              </w:rPr>
              <w:t>应取得的合同款支付前述费用。</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东莞市生态环境局塘厦分局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采购包1：保证金人民币：130,000.00元整。</w:t>
            </w:r>
          </w:p>
          <w:p>
            <w:r>
              <w:rPr/>
              <w:t>开户单位：</w:t>
            </w:r>
            <w:r>
              <w:rPr/>
              <w:t>广东政通招标有限公司</w:t>
            </w:r>
          </w:p>
          <w:p>
            <w:r>
              <w:rPr/>
              <w:t>开户账号：</w:t>
            </w:r>
            <w:r>
              <w:rPr/>
              <w:t>6232590699050055316</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1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塘厦镇常态化实施生态环境专管员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本项目整体专门面向中小企业采购。投标人须符合本项目采购标的对应行业（本项目行业为：租赁和商务服务业）的政策划分标准。监狱企业、残疾人福利单位视同小型、微型企业。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技术部分75.0分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服务需求调研 (15.0分)</w:t>
            </w:r>
            <w:r>
              <w:rPr/>
              <w:t>，（等次分值选择：</w:t>
            </w:r>
            <w:r>
              <w:rPr/>
              <w:t>0.0;</w:t>
            </w:r>
            <w:r>
              <w:rPr/>
              <w:t>1.0;</w:t>
            </w:r>
            <w:r>
              <w:rPr/>
              <w:t>5.0;</w:t>
            </w:r>
            <w:r>
              <w:rPr/>
              <w:t>10.0;</w:t>
            </w:r>
            <w:r>
              <w:rPr/>
              <w:t>15.0;</w:t>
            </w:r>
            <w:r>
              <w:rPr/>
              <w:t>）</w:t>
            </w:r>
          </w:p>
        </w:tc>
        <w:tc>
          <w:tcPr>
            <w:tcW w:type="dxa" w:w="5076"/>
          </w:tcPr>
          <w:p>
            <w:pPr>
              <w:jc w:val="left"/>
            </w:pPr>
            <w:r>
              <w:rPr/>
              <w:t>根据投标人对本项目用户需求的理解程度、重点难点的分析进行评审：  对污染源监管理工作理解透彻，重点难点的理解十分到位，整体把握高，优于或完全满足招标需求的，得15分；  对污染源监管理工作理解比较透彻，符合项目实际情况，重点难点的理解分析比较到位，整体把握较高，满足招标需求的，得10分； 对污染源监管理工作理解基本符合项目实际情况，重点难点的理解分析基本到位，整体把握一般，基本符合招标需求的，得5分； 对污染源监管理工作理解一般，重点难点的理解分析不到位，对项目整体把握不到位，不能满足用户需求，得1分； 未提供相应方案的不得分。</w:t>
            </w:r>
          </w:p>
        </w:tc>
      </w:tr>
      <w:tr>
        <w:tc>
          <w:tcPr>
            <w:tcW w:type="dxa" w:w="922"/>
            <w:gridSpan w:val="2"/>
            <w:vMerge/>
          </w:tcPr>
          <w:p/>
        </w:tc>
        <w:tc>
          <w:tcPr>
            <w:tcW w:type="dxa" w:w="2307"/>
          </w:tcPr>
          <w:p>
            <w:pPr>
              <w:jc w:val="left"/>
            </w:pPr>
            <w:r>
              <w:rPr/>
              <w:t>日常服务方案 (15.0分)</w:t>
            </w:r>
            <w:r>
              <w:rPr/>
              <w:t>，（等次分值选择：</w:t>
            </w:r>
            <w:r>
              <w:rPr/>
              <w:t>0.0;</w:t>
            </w:r>
            <w:r>
              <w:rPr/>
              <w:t>1.0;</w:t>
            </w:r>
            <w:r>
              <w:rPr/>
              <w:t>5.0;</w:t>
            </w:r>
            <w:r>
              <w:rPr/>
              <w:t>10.0;</w:t>
            </w:r>
            <w:r>
              <w:rPr/>
              <w:t>15.0;</w:t>
            </w:r>
            <w:r>
              <w:rPr/>
              <w:t>）</w:t>
            </w:r>
          </w:p>
        </w:tc>
        <w:tc>
          <w:tcPr>
            <w:tcW w:type="dxa" w:w="5076"/>
          </w:tcPr>
          <w:p>
            <w:pPr>
              <w:jc w:val="left"/>
            </w:pPr>
            <w:r>
              <w:rPr/>
              <w:t>根据投标人所提供的服务内容、服务流程、管理服务架构、方法等方案（包含排污许可企业证后监管、“散乱污”企业巡查核查监管、监控数据异常现场核查、配合开展环保执法行动等方案）进行评审： 方案非常符合实际、非常具体详细，可行性、科学性非常高，对项目研究的工作思路、方法非常清晰，得15分； 方案较符合实际、较具体详细，可行性、科学性较高，对项目研究的工作思路、方法较清晰，得10分；  方案基本符合实际、具体详细，可行性、科学性一般，对项目研究的工作思路、方法清晰，得5分； 方案不太符合实际、不太具体详细，可行性、科学性较低，对项目研究的工作思路、方法较笼统，得1分；  未提供相应方案的，不得分。</w:t>
            </w:r>
          </w:p>
        </w:tc>
      </w:tr>
      <w:tr>
        <w:tc>
          <w:tcPr>
            <w:tcW w:type="dxa" w:w="922"/>
            <w:gridSpan w:val="2"/>
            <w:vMerge/>
          </w:tcPr>
          <w:p/>
        </w:tc>
        <w:tc>
          <w:tcPr>
            <w:tcW w:type="dxa" w:w="2307"/>
          </w:tcPr>
          <w:p>
            <w:pPr>
              <w:jc w:val="left"/>
            </w:pPr>
            <w:r>
              <w:rPr/>
              <w:t>人员管理方案 (15.0分)</w:t>
            </w:r>
            <w:r>
              <w:rPr/>
              <w:t>，（等次分值选择：</w:t>
            </w:r>
            <w:r>
              <w:rPr/>
              <w:t>0.0;</w:t>
            </w:r>
            <w:r>
              <w:rPr/>
              <w:t>1.0;</w:t>
            </w:r>
            <w:r>
              <w:rPr/>
              <w:t>5.0;</w:t>
            </w:r>
            <w:r>
              <w:rPr/>
              <w:t>10.0;</w:t>
            </w:r>
            <w:r>
              <w:rPr/>
              <w:t>15.0;</w:t>
            </w:r>
            <w:r>
              <w:rPr/>
              <w:t>）</w:t>
            </w:r>
          </w:p>
        </w:tc>
        <w:tc>
          <w:tcPr>
            <w:tcW w:type="dxa" w:w="5076"/>
          </w:tcPr>
          <w:p>
            <w:pPr>
              <w:jc w:val="left"/>
            </w:pPr>
            <w:r>
              <w:rPr/>
              <w:t>根据投标人制定的人员管理方案（含人员招聘、培训、调配、人员档案制度等方面）进行评审：  方案完整合理、可行性强，完全满足并优于招标文件要求，得15分；  方案完整、可行性较强，符合招标文件要求，得10分；  方案基本完整、可行性一般，未完全符合招标文件要求，5分；  方案不完整、可行性差，不符合招标文件要求，得1分。  未提供相应方案的不得分。</w:t>
            </w:r>
          </w:p>
        </w:tc>
      </w:tr>
      <w:tr>
        <w:tc>
          <w:tcPr>
            <w:tcW w:type="dxa" w:w="922"/>
            <w:gridSpan w:val="2"/>
            <w:vMerge/>
          </w:tcPr>
          <w:p/>
        </w:tc>
        <w:tc>
          <w:tcPr>
            <w:tcW w:type="dxa" w:w="2307"/>
          </w:tcPr>
          <w:p>
            <w:pPr>
              <w:jc w:val="left"/>
            </w:pPr>
            <w:r>
              <w:rPr/>
              <w:t>培训方案 (15.0分)</w:t>
            </w:r>
            <w:r>
              <w:rPr/>
              <w:t>，（等次分值选择：</w:t>
            </w:r>
            <w:r>
              <w:rPr/>
              <w:t>0.0;</w:t>
            </w:r>
            <w:r>
              <w:rPr/>
              <w:t>1.0;</w:t>
            </w:r>
            <w:r>
              <w:rPr/>
              <w:t>5.0;</w:t>
            </w:r>
            <w:r>
              <w:rPr/>
              <w:t>10.0;</w:t>
            </w:r>
            <w:r>
              <w:rPr/>
              <w:t>15.0;</w:t>
            </w:r>
            <w:r>
              <w:rPr/>
              <w:t>）</w:t>
            </w:r>
          </w:p>
        </w:tc>
        <w:tc>
          <w:tcPr>
            <w:tcW w:type="dxa" w:w="5076"/>
          </w:tcPr>
          <w:p>
            <w:pPr>
              <w:jc w:val="left"/>
            </w:pPr>
            <w:r>
              <w:rPr/>
              <w:t>根据投标人对本项目服务培训方案进行评审：  有完整可行具体的服务培训方案，能为本项目提供良好的人员培训，具有自有（或签约）培训场地，服务便利性强，得15分；  有完整可行的服务培训方案，具有自有（或签约）培训场地，人员培训质量一般，对项目服务便利性强，得10分；  有基本可行的服务培训方案，未有自有（或签约）培训场地，人员培训质量一般，对项目服务便利性一般，得5分；  服务培训方案可行性差，未自有（或签约）培训场地，对项目服务便利性差，得1分；  未提供相应方案的不得分。</w:t>
            </w:r>
          </w:p>
        </w:tc>
      </w:tr>
      <w:tr>
        <w:tc>
          <w:tcPr>
            <w:tcW w:type="dxa" w:w="922"/>
            <w:gridSpan w:val="2"/>
            <w:vMerge/>
          </w:tcPr>
          <w:p/>
        </w:tc>
        <w:tc>
          <w:tcPr>
            <w:tcW w:type="dxa" w:w="2307"/>
          </w:tcPr>
          <w:p>
            <w:pPr>
              <w:jc w:val="left"/>
            </w:pPr>
            <w:r>
              <w:rPr/>
              <w:t>质量保证及应急处置方案 (15.0分)</w:t>
            </w:r>
            <w:r>
              <w:rPr/>
              <w:t>，（等次分值选择：</w:t>
            </w:r>
            <w:r>
              <w:rPr/>
              <w:t>0.0;</w:t>
            </w:r>
            <w:r>
              <w:rPr/>
              <w:t>1.0;</w:t>
            </w:r>
            <w:r>
              <w:rPr/>
              <w:t>5.0;</w:t>
            </w:r>
            <w:r>
              <w:rPr/>
              <w:t>10.0;</w:t>
            </w:r>
            <w:r>
              <w:rPr/>
              <w:t>15.0;</w:t>
            </w:r>
            <w:r>
              <w:rPr/>
              <w:t>）</w:t>
            </w:r>
          </w:p>
        </w:tc>
        <w:tc>
          <w:tcPr>
            <w:tcW w:type="dxa" w:w="5076"/>
          </w:tcPr>
          <w:p>
            <w:pPr>
              <w:jc w:val="left"/>
            </w:pPr>
            <w:r>
              <w:rPr/>
              <w:t>根据投标人管理服务各项质量指标的承诺、目标、自律承诺、违约责任承诺以及突发应急保障措施等（1、人员到位保障；2、人员素质保障；3、人员培训保障4、设备到位保障；5、应急预案）进行审：  措施完整合理、可行性强，完全满足并优于招标文件要求，得15分；  措施较完整、可行性较强，满足符合招标文件要求，得10分；  措施基本完整、可行性较差，基本符合招标文件要求，得5分；  措施不完整、可行性差，不符合招标文件要求，得1分；  未提供对应方案不得分。</w:t>
            </w:r>
          </w:p>
        </w:tc>
      </w:tr>
      <w:tr>
        <w:tc>
          <w:tcPr>
            <w:tcW w:type="dxa" w:w="922"/>
            <w:gridSpan w:val="2"/>
            <w:vMerge w:val="restart"/>
          </w:tcPr>
          <w:p>
            <w:pPr>
              <w:jc w:val="center"/>
            </w:pPr>
            <w:r>
              <w:rPr/>
              <w:t>商务部分</w:t>
            </w:r>
          </w:p>
        </w:tc>
        <w:tc>
          <w:tcPr>
            <w:tcW w:type="dxa" w:w="2307"/>
          </w:tcPr>
          <w:p>
            <w:pPr>
              <w:jc w:val="left"/>
            </w:pPr>
            <w:r>
              <w:rPr/>
              <w:t>拟投入本项目人员 (10.0分)</w:t>
            </w:r>
          </w:p>
        </w:tc>
        <w:tc>
          <w:tcPr>
            <w:tcW w:type="dxa" w:w="5076"/>
          </w:tcPr>
          <w:p>
            <w:pPr>
              <w:jc w:val="left"/>
            </w:pPr>
            <w:r>
              <w:rPr/>
              <w:t>根据投标人针对本项目承诺招聘的生态环境专管员具备的专业素质进行评审： 投标人承诺招聘的生态环境专管员满足本项目用户需求书中基本条件要求的，得5分； 投标人承诺招聘的生态环境专管员优于本项目用户需求书要求的，得10分； 其它情况不得分； 本项最高得10分。 注：须提供承诺书并加盖投标人公章，否则不得分。（承诺书格式自拟）</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根据投标人提供的服务承诺响应时间进行评审： 承诺在接到采购人通知后1小时（含）内到现场，得5分； 承诺在接到采购人通知后2小时（含）内到现场，得3分； 承诺在接到采购人通知后4小时（含）内到现场，得1分； 其它情况不得分。 注：须提供承诺书并加盖投标人公章，否则不得分。（承诺书格式自拟）</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441900024-2023-00035</w:t>
      </w:r>
    </w:p>
    <w:p>
      <w:pPr>
        <w:jc w:val="center"/>
      </w:pPr>
      <w:r>
        <w:rPr>
          <w:b/>
          <w:sz w:val="24"/>
        </w:rPr>
        <w:t>采购项目编号：</w:t>
      </w:r>
      <w:r>
        <w:rPr>
          <w:b/>
          <w:sz w:val="24"/>
        </w:rPr>
        <w:t>441900024-2023-00035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塘厦镇常态化实施生态环境专管员采购项目</w:t>
      </w:r>
      <w:r>
        <w:rPr>
          <w:u w:val="single"/>
        </w:rPr>
        <w:t>”</w:t>
      </w:r>
      <w:r>
        <w:rPr/>
        <w:t>项目的招标[采购项目编号为：</w:t>
      </w:r>
      <w:r>
        <w:rPr>
          <w:u w:val="single"/>
        </w:rPr>
        <w:t>441900024-2023-00035</w:t>
      </w:r>
      <w:r>
        <w:rPr/>
        <w:t>]，我方愿参与投标。</w:t>
      </w:r>
    </w:p>
    <w:p>
      <w:pPr>
        <w:ind w:firstLine="480"/>
      </w:pPr>
      <w:r>
        <w:rPr/>
        <w:t>我方确认收到贵方提供的</w:t>
      </w:r>
      <w:r>
        <w:rPr>
          <w:u w:val="single"/>
        </w:rPr>
        <w:t>“</w:t>
      </w:r>
      <w:r>
        <w:rPr>
          <w:u w:val="single"/>
        </w:rPr>
        <w:t>塘厦镇常态化实施生态环境专管员采购项目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塘厦镇常态化实施生态环境专管员采购项目</w:t>
      </w:r>
      <w:r>
        <w:rPr/>
        <w:t>”项目采购[采购项目编号为</w:t>
      </w:r>
      <w:r>
        <w:rPr/>
        <w:t>441900024-2023-00035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东莞市生态环境局塘厦分局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塘厦镇常态化实施生态环境专管员采购项目</w:t>
      </w:r>
      <w:r>
        <w:rPr/>
        <w:t>招标中获中标（采购项目编号：</w:t>
      </w:r>
      <w:r>
        <w:rPr/>
        <w:t>441900024-2023-00035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塘厦镇常态化实施生态环境专管员采购项目</w:t>
      </w:r>
      <w:r>
        <w:rPr/>
        <w:t>”项目（采购项目编号：</w:t>
      </w:r>
      <w:r>
        <w:rPr/>
        <w:t>441900024-2023-00035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