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pStyle w:val="8"/>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3"/>
        <w:rPr>
          <w:rFonts w:hint="eastAsia" w:ascii="黑体" w:eastAsia="黑体"/>
          <w:color w:val="auto"/>
          <w:szCs w:val="21"/>
          <w:highlight w:val="none"/>
          <w:lang w:eastAsia="zh-CN"/>
        </w:rPr>
      </w:pPr>
    </w:p>
    <w:p>
      <w:pPr>
        <w:pStyle w:val="23"/>
        <w:ind w:left="0" w:leftChars="0" w:firstLine="0" w:firstLineChars="0"/>
        <w:rPr>
          <w:rFonts w:hint="eastAsia" w:ascii="黑体" w:eastAsia="黑体"/>
          <w:color w:val="auto"/>
          <w:szCs w:val="21"/>
          <w:highlight w:val="none"/>
          <w:lang w:eastAsia="zh-CN"/>
        </w:rPr>
      </w:pPr>
    </w:p>
    <w:p>
      <w:pPr>
        <w:pStyle w:val="23"/>
        <w:ind w:left="0" w:leftChars="0" w:firstLine="0" w:firstLineChars="0"/>
        <w:rPr>
          <w:rFonts w:hint="eastAsia" w:ascii="黑体" w:eastAsia="黑体"/>
          <w:color w:val="auto"/>
          <w:szCs w:val="21"/>
          <w:highlight w:val="none"/>
          <w:lang w:eastAsia="zh-CN"/>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GDZT2023101A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东莞市横沥资产经营管理有限公司、东莞市横沥镇招投标服务所办公用房及食堂空调设备采购项目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东莞市横沥资产经营管理有限公司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1"/>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请各投标供应商缴纳投标保证金前务必核对正确的缴纳账户，由于错缴、误缴而导致未按项目缴纳投标保证金的情况将由投标供应商自行负责。</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投标保证金必须于投标文件递交截止时间前到达</w:t>
      </w:r>
      <w:r>
        <w:rPr>
          <w:rFonts w:hint="eastAsia" w:ascii="宋体" w:hAnsi="宋体" w:eastAsia="宋体" w:cs="宋体"/>
          <w:b/>
          <w:bCs w:val="0"/>
          <w:color w:val="auto"/>
          <w:sz w:val="21"/>
          <w:szCs w:val="21"/>
          <w:highlight w:val="none"/>
          <w:u w:val="none"/>
          <w:lang w:val="zh-CN"/>
        </w:rPr>
        <w:t>广东政通招标有限公司</w:t>
      </w:r>
      <w:r>
        <w:rPr>
          <w:rFonts w:hint="eastAsia" w:ascii="宋体" w:hAnsi="宋体" w:eastAsia="宋体" w:cs="宋体"/>
          <w:b/>
          <w:bCs w:val="0"/>
          <w:color w:val="auto"/>
          <w:sz w:val="21"/>
          <w:szCs w:val="21"/>
          <w:highlight w:val="none"/>
          <w:u w:val="none"/>
        </w:rPr>
        <w:t>账户</w:t>
      </w:r>
      <w:r>
        <w:rPr>
          <w:rFonts w:hint="eastAsia" w:ascii="宋体" w:hAnsi="宋体" w:eastAsia="宋体" w:cs="宋体"/>
          <w:b/>
          <w:bCs w:val="0"/>
          <w:color w:val="auto"/>
          <w:sz w:val="21"/>
          <w:szCs w:val="21"/>
          <w:highlight w:val="none"/>
          <w:u w:val="none"/>
          <w:lang w:eastAsia="zh-CN"/>
        </w:rPr>
        <w:t>，</w:t>
      </w:r>
      <w:r>
        <w:rPr>
          <w:rFonts w:hint="eastAsia" w:ascii="宋体" w:hAnsi="宋体" w:eastAsia="宋体" w:cs="宋体"/>
          <w:b/>
          <w:bCs w:val="0"/>
          <w:color w:val="auto"/>
          <w:sz w:val="21"/>
          <w:szCs w:val="21"/>
          <w:highlight w:val="none"/>
          <w:u w:val="none"/>
          <w:lang w:val="en-US" w:eastAsia="zh-CN"/>
        </w:rPr>
        <w:t>账户详见招标文件</w:t>
      </w:r>
      <w:r>
        <w:rPr>
          <w:rFonts w:hint="eastAsia" w:ascii="宋体" w:hAnsi="宋体" w:eastAsia="宋体" w:cs="宋体"/>
          <w:b/>
          <w:bCs w:val="0"/>
          <w:color w:val="auto"/>
          <w:sz w:val="21"/>
          <w:szCs w:val="21"/>
          <w:highlight w:val="none"/>
          <w:u w:val="none"/>
        </w:rPr>
        <w:t>。由于转账当天不能确保实时到账，为避免因投标保证金未到账而导致投标被拒绝，建议提前2个工作日转账。</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10</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11、公司位置：</w:t>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4"/>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5"/>
        <w:spacing w:before="0" w:after="0" w:line="360" w:lineRule="auto"/>
        <w:jc w:val="center"/>
        <w:rPr>
          <w:rFonts w:ascii="宋体" w:hAnsi="宋体" w:eastAsia="宋体" w:cs="宋体"/>
          <w:color w:val="auto"/>
          <w:highlight w:val="none"/>
        </w:rPr>
      </w:pPr>
      <w:bookmarkStart w:id="2" w:name="_Toc8850"/>
      <w:bookmarkStart w:id="3" w:name="_Toc1420"/>
      <w:bookmarkStart w:id="4" w:name="_Toc7123"/>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eastAsia="宋体"/>
          <w:b/>
          <w:bCs/>
          <w:color w:val="auto"/>
          <w:sz w:val="21"/>
          <w:szCs w:val="21"/>
          <w:highlight w:val="none"/>
          <w:u w:val="single"/>
        </w:rPr>
        <w:t>东莞市横沥资产经营管理有限公司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东莞市横沥资产经营管理有限公司、东莞市横沥镇招投标服务所办公用房及食堂空调设备采购项目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编号：GDZT2023101A；</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东莞市横沥资产经营管理有限公司、东莞市横沥镇招投标服务所办公用房及食堂空调设备采购项目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7"/>
        <w:gridCol w:w="5701"/>
        <w:gridCol w:w="554"/>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5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341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33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896"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5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341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b/>
                <w:color w:val="auto"/>
                <w:sz w:val="21"/>
                <w:szCs w:val="21"/>
                <w:highlight w:val="none"/>
                <w:u w:val="single"/>
                <w:lang w:eastAsia="zh-CN"/>
              </w:rPr>
              <w:t>东莞市横沥资产经营管理有限公司、东莞市横沥镇招投标服务所办公用房及食堂空调设备采购项目</w:t>
            </w:r>
          </w:p>
        </w:tc>
        <w:tc>
          <w:tcPr>
            <w:tcW w:w="33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w:t>
            </w:r>
          </w:p>
        </w:tc>
        <w:tc>
          <w:tcPr>
            <w:tcW w:w="896"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800,000.00</w:t>
            </w:r>
            <w:r>
              <w:rPr>
                <w:rFonts w:hint="eastAsia" w:ascii="宋体" w:hAnsi="宋体" w:eastAsia="宋体"/>
                <w:color w:val="auto"/>
                <w:sz w:val="21"/>
                <w:szCs w:val="21"/>
                <w:highlight w:val="none"/>
              </w:rPr>
              <w:t>元</w:t>
            </w:r>
          </w:p>
        </w:tc>
      </w:tr>
    </w:tbl>
    <w:p>
      <w:pPr>
        <w:pStyle w:val="8"/>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8"/>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17</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24</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17</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24</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w:t>
      </w:r>
      <w:r>
        <w:rPr>
          <w:rFonts w:hint="eastAsia" w:ascii="宋体" w:hAnsi="宋体"/>
          <w:color w:val="auto"/>
          <w:sz w:val="21"/>
          <w:szCs w:val="21"/>
          <w:highlight w:val="none"/>
          <w:lang w:val="en-US" w:eastAsia="zh-CN"/>
        </w:rPr>
        <w:t>建议</w:t>
      </w:r>
      <w:r>
        <w:rPr>
          <w:rFonts w:hint="eastAsia" w:ascii="宋体" w:hAnsi="宋体" w:eastAsia="宋体"/>
          <w:color w:val="auto"/>
          <w:sz w:val="21"/>
          <w:szCs w:val="21"/>
          <w:highlight w:val="none"/>
        </w:rPr>
        <w:t>提供如下证明材料：《营业执照》复印件或《事业单位法人证书》复印件或其他主体证书复印件，自然人参加投标须提供自然人的身份证明材料</w:t>
      </w:r>
      <w:r>
        <w:rPr>
          <w:rFonts w:hint="eastAsia" w:ascii="宋体" w:hAnsi="宋体" w:eastAsia="宋体"/>
          <w:color w:val="auto"/>
          <w:sz w:val="21"/>
          <w:szCs w:val="21"/>
          <w:highlight w:val="none"/>
          <w:lang w:eastAsia="zh-CN"/>
        </w:rPr>
        <w:t>。</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0</w:t>
      </w:r>
      <w:r>
        <w:rPr>
          <w:rFonts w:hint="eastAsia" w:ascii="宋体" w:hAnsi="宋体"/>
          <w:bCs/>
          <w:color w:val="auto"/>
          <w:sz w:val="21"/>
          <w:szCs w:val="21"/>
          <w:highlight w:val="none"/>
          <w:lang w:val="en-US" w:eastAsia="zh-CN"/>
        </w:rPr>
        <w:t>3</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日上午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3</w:t>
      </w:r>
      <w:r>
        <w:rPr>
          <w:rFonts w:hint="eastAsia" w:ascii="宋体" w:hAnsi="宋体" w:eastAsia="宋体"/>
          <w:bCs/>
          <w:color w:val="auto"/>
          <w:sz w:val="21"/>
          <w:szCs w:val="21"/>
          <w:highlight w:val="none"/>
        </w:rPr>
        <w:t>0～</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w:t>
      </w:r>
      <w:bookmarkStart w:id="321" w:name="_GoBack"/>
      <w:bookmarkEnd w:id="321"/>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0</w:t>
      </w:r>
      <w:r>
        <w:rPr>
          <w:rFonts w:hint="eastAsia" w:ascii="宋体" w:hAnsi="宋体"/>
          <w:bCs/>
          <w:color w:val="auto"/>
          <w:sz w:val="21"/>
          <w:szCs w:val="21"/>
          <w:highlight w:val="none"/>
          <w:lang w:val="en-US" w:eastAsia="zh-CN"/>
        </w:rPr>
        <w:t>3</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日上午</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0分</w:t>
      </w:r>
      <w:r>
        <w:rPr>
          <w:rFonts w:hint="eastAsia" w:ascii="宋体" w:hAnsi="宋体" w:eastAsia="宋体"/>
          <w:color w:val="auto"/>
          <w:sz w:val="21"/>
          <w:szCs w:val="21"/>
          <w:highlight w:val="none"/>
        </w:rPr>
        <w:t>（北京时间）</w:t>
      </w:r>
      <w:r>
        <w:rPr>
          <w:rFonts w:hint="eastAsia" w:ascii="宋体" w:hAnsi="宋体" w:eastAsia="宋体"/>
          <w:bCs/>
          <w:color w:val="auto"/>
          <w:sz w:val="21"/>
          <w:szCs w:val="21"/>
          <w:highlight w:val="none"/>
        </w:rPr>
        <w:t>。</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采购人联系人：张工</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地址：东莞市横沥镇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联系电话：0769-83717636</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2023年</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月</w:t>
      </w:r>
    </w:p>
    <w:p>
      <w:pPr>
        <w:pStyle w:val="4"/>
        <w:spacing w:before="0" w:after="0" w:line="240" w:lineRule="auto"/>
        <w:rPr>
          <w:rFonts w:hint="eastAsia"/>
          <w:color w:val="auto"/>
          <w:sz w:val="28"/>
          <w:szCs w:val="28"/>
          <w:highlight w:val="none"/>
          <w:lang w:val="en-US" w:eastAsia="zh-CN"/>
        </w:rPr>
      </w:pPr>
      <w:bookmarkStart w:id="5" w:name="_Toc28550"/>
      <w:bookmarkStart w:id="6" w:name="_Toc24505"/>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2</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自筹</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4</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5</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6</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7</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投标保证金</w:t>
            </w:r>
            <w:r>
              <w:rPr>
                <w:rFonts w:hint="eastAsia" w:ascii="宋体" w:hAnsi="宋体"/>
                <w:b/>
                <w:color w:val="auto"/>
                <w:sz w:val="21"/>
                <w:szCs w:val="21"/>
                <w:highlight w:val="none"/>
                <w:lang w:val="en-US" w:eastAsia="zh-CN"/>
              </w:rPr>
              <w:t>:</w:t>
            </w:r>
            <w:r>
              <w:rPr>
                <w:rFonts w:hint="eastAsia" w:ascii="宋体" w:hAnsi="宋体"/>
                <w:b/>
                <w:color w:val="auto"/>
                <w:szCs w:val="21"/>
                <w:highlight w:val="none"/>
              </w:rPr>
              <w:t>本项目不需提供</w:t>
            </w:r>
            <w:r>
              <w:rPr>
                <w:rFonts w:hint="eastAsia" w:ascii="宋体" w:hAnsi="宋体"/>
                <w:b/>
                <w:color w:val="auto"/>
                <w:szCs w:val="21"/>
                <w:highlight w:val="none"/>
                <w:lang w:val="en-US" w:eastAsia="zh-CN"/>
              </w:rPr>
              <w:t>投标</w:t>
            </w:r>
            <w:r>
              <w:rPr>
                <w:rFonts w:hint="eastAsia" w:ascii="宋体" w:hAnsi="宋体"/>
                <w:b/>
                <w:color w:val="auto"/>
                <w:szCs w:val="21"/>
                <w:highlight w:val="none"/>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11</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12</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13</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14</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15</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16</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w:t>
            </w:r>
            <w:r>
              <w:rPr>
                <w:rFonts w:hint="eastAsia" w:ascii="宋体" w:hAnsi="宋体" w:eastAsia="宋体"/>
                <w:color w:val="auto"/>
                <w:sz w:val="21"/>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5749"/>
      <w:bookmarkStart w:id="9" w:name="_Toc13473"/>
      <w:bookmarkStart w:id="10" w:name="_Hlk55300595"/>
      <w:bookmarkStart w:id="11" w:name="_Toc9572"/>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color w:val="auto"/>
          <w:sz w:val="24"/>
          <w:szCs w:val="24"/>
          <w:highlight w:val="none"/>
        </w:rPr>
      </w:pPr>
      <w:bookmarkStart w:id="15" w:name="_Toc21613"/>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商务评审（15分）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690"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rPr>
              <w:t>业绩</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12</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投标人具有空调</w:t>
            </w:r>
            <w:r>
              <w:rPr>
                <w:rFonts w:hint="eastAsia" w:ascii="宋体" w:hAnsi="宋体" w:cs="宋体"/>
                <w:bCs/>
                <w:color w:val="auto"/>
                <w:kern w:val="2"/>
                <w:sz w:val="21"/>
                <w:szCs w:val="21"/>
                <w:highlight w:val="none"/>
                <w:lang w:val="en-US" w:eastAsia="zh-CN"/>
              </w:rPr>
              <w:t>销售（或安装）</w:t>
            </w:r>
            <w:r>
              <w:rPr>
                <w:rFonts w:hint="eastAsia" w:ascii="宋体" w:hAnsi="宋体" w:eastAsia="宋体" w:cs="宋体"/>
                <w:bCs/>
                <w:color w:val="auto"/>
                <w:kern w:val="2"/>
                <w:sz w:val="21"/>
                <w:szCs w:val="21"/>
                <w:highlight w:val="none"/>
              </w:rPr>
              <w:t>类项目业绩的，每提供一个得4分，本项最高得12分。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color w:val="auto"/>
                <w:sz w:val="21"/>
                <w:szCs w:val="21"/>
                <w:highlight w:val="none"/>
              </w:rPr>
              <w:t>注：须提供合同复印件加盖投标人公章，否则不得分。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服务便利性</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3</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根据投标人提供的服务响应时间承诺进行评分。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（1）投标人承诺在接到采购人通知后</w:t>
            </w:r>
            <w:r>
              <w:rPr>
                <w:rFonts w:hint="eastAsia" w:ascii="宋体" w:hAnsi="宋体" w:eastAsia="宋体" w:cs="宋体"/>
                <w:bCs/>
                <w:color w:val="auto"/>
                <w:kern w:val="2"/>
                <w:sz w:val="21"/>
                <w:szCs w:val="21"/>
                <w:highlight w:val="none"/>
              </w:rPr>
              <w:t>1</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rPr>
              <w:t>3</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（2）投标人承诺在接到采购人通知后</w:t>
            </w:r>
            <w:r>
              <w:rPr>
                <w:rFonts w:hint="eastAsia" w:ascii="宋体" w:hAnsi="宋体" w:eastAsia="宋体" w:cs="宋体"/>
                <w:bCs/>
                <w:color w:val="auto"/>
                <w:kern w:val="2"/>
                <w:sz w:val="21"/>
                <w:szCs w:val="21"/>
                <w:highlight w:val="none"/>
              </w:rPr>
              <w:t>2</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rPr>
              <w:t>2</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（3）投标人承诺在接到采购人通知后</w:t>
            </w:r>
            <w:r>
              <w:rPr>
                <w:rFonts w:hint="eastAsia" w:ascii="宋体" w:hAnsi="宋体" w:eastAsia="宋体" w:cs="宋体"/>
                <w:bCs/>
                <w:color w:val="auto"/>
                <w:kern w:val="2"/>
                <w:sz w:val="21"/>
                <w:szCs w:val="21"/>
                <w:highlight w:val="none"/>
              </w:rPr>
              <w:t>3</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rPr>
              <w:t>1</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（4）投标人未承诺或承诺在接到采购人通知后超过</w:t>
            </w:r>
            <w:r>
              <w:rPr>
                <w:rFonts w:hint="eastAsia" w:ascii="宋体" w:hAnsi="宋体" w:eastAsia="宋体" w:cs="宋体"/>
                <w:bCs/>
                <w:color w:val="auto"/>
                <w:kern w:val="2"/>
                <w:sz w:val="21"/>
                <w:szCs w:val="21"/>
                <w:highlight w:val="none"/>
              </w:rPr>
              <w:t>3</w:t>
            </w:r>
            <w:r>
              <w:rPr>
                <w:rFonts w:hint="eastAsia" w:ascii="宋体" w:hAnsi="宋体" w:eastAsia="宋体" w:cs="宋体"/>
                <w:bCs/>
                <w:color w:val="auto"/>
                <w:kern w:val="2"/>
                <w:sz w:val="21"/>
                <w:szCs w:val="21"/>
                <w:highlight w:val="none"/>
                <w:lang w:val="zh-CN"/>
              </w:rPr>
              <w:t>小时到现场，不得分。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注：须提供服务承诺书并加盖投标人公章，否则不得分。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技术评审（55分）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对项目的理解</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根据投标人对本项目现场的熟悉程度、理解及项目重点和难点的分析，以及项目重点和难点所采取的措施等进行综合评审：</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对项目有充分的理解，能够对项目的重点难点提出具有针对性的措施，得</w:t>
            </w:r>
            <w:r>
              <w:rPr>
                <w:rFonts w:hint="eastAsia" w:ascii="宋体" w:hAnsi="宋体" w:eastAsia="宋体" w:cs="宋体"/>
                <w:color w:val="auto"/>
                <w:sz w:val="21"/>
                <w:szCs w:val="21"/>
                <w:highlight w:val="none"/>
              </w:rPr>
              <w:t>8分。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对项目有基本的理解，能够对项目的重点难点提出相应的措施，得4分。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对项目的理解不够深刻，不能对项目的重点难点提出相应的措施，得1分。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无提供对项目的理解，得0分。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根据投标人提供的项目实施方案（包括但不限于空调机组的改造、安装、调试等内容）的完整性、合理性、可行性等情况进行综合评审：</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方案完整、合理、可行，得15分。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方案较完整、较合理、较可行，得10分。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方案基本完整、基本合理、基本可行，得5分。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方案简单，可行性差，得1分。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无提供供货方案，得0分。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根据投标人的质量保证承诺及服务方案详细完善程度进行综合评审：</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质量保证承诺优于招标文件要求，服务方案详细完整，可行性强，得12分。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质量保证承诺满足招标文件要求，服务方案较完整，可行性较强，得8分。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质量保证承诺基本满足招标文件要求，服务方案基本完整，可行性一般，得4分。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质量保证承诺不能满足招标文件要求，服务方案不完整，可行性差，得1分。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无提供质量保证承诺或服务方案，得0分。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规章管理制度</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10</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根据投标人的规章管理制度进行综合评审：</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制度详细完整，可行性强，得10分。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制度较完整，可行性较强，得6分。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制度基本完整，可行性一般，得3分。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制度不完整，可行性较差，得1分。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无提供规章管理制度吗，得0分。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607"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snapToGrid w:val="0"/>
                <w:color w:val="auto"/>
                <w:kern w:val="2"/>
                <w:sz w:val="21"/>
                <w:szCs w:val="21"/>
                <w:highlight w:val="none"/>
              </w:rPr>
            </w:pPr>
            <w:r>
              <w:rPr>
                <w:rFonts w:hint="eastAsia" w:ascii="宋体" w:hAnsi="宋体" w:eastAsia="宋体" w:cs="宋体"/>
                <w:color w:val="auto"/>
                <w:sz w:val="21"/>
                <w:szCs w:val="21"/>
                <w:highlight w:val="none"/>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10</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根据售后服务方案、售后服务承诺、售后点技术力量等以及对用户单位提出的维护要求响应情况，出现紧急情况时的服务措施等进行综合评审：</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售后服务方案科学完整，售后服务承诺优于招标文件要求，可操作性强，得10分。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售后服务方案较完整，售后服务承诺满足招标文件要求，可操作性较强，得6分。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售后服务方案基本完整，售后服务承诺基本满足招标文件要求，可操作性一般，得3分。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售后服务方案不完整，售后服务承诺不满足招标文件要求，可操作性差，得1分。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无提供售后服务方案或售后服务承诺，得0分。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（1）除特殊说明外，以上评审项，同一证明文件不重复计分。</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（2）投标人根据以上评分要求提供的投标材料因模糊不清导致评标委员会无法清晰辨认进行评审的，视为无效材料。</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（3）若因疫情原因暂缓统一托收或阶段性减免社会保险费而导致无法打印社保缴费证明的需提供书面说明并加盖投标人公章。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价格评审（30分）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投标报价得分=(评标基准价／投标报价)×价格权值</w:t>
            </w:r>
          </w:p>
        </w:tc>
      </w:tr>
    </w:tbl>
    <w:p>
      <w:pPr>
        <w:bidi w:val="0"/>
        <w:rPr>
          <w:rFonts w:hint="eastAsia"/>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2479"/>
      <w:bookmarkStart w:id="18" w:name="_Toc29685"/>
      <w:bookmarkStart w:id="19" w:name="_Toc30638"/>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5"/>
        <w:numPr>
          <w:ilvl w:val="0"/>
          <w:numId w:val="0"/>
        </w:numPr>
        <w:spacing w:before="0" w:after="0" w:line="480" w:lineRule="auto"/>
        <w:ind w:leftChars="0"/>
        <w:jc w:val="center"/>
        <w:rPr>
          <w:rFonts w:ascii="宋体" w:hAnsi="宋体" w:eastAsia="宋体"/>
          <w:color w:val="auto"/>
          <w:highlight w:val="none"/>
        </w:rPr>
      </w:pPr>
      <w:bookmarkStart w:id="21" w:name="_Toc3095"/>
      <w:bookmarkStart w:id="22" w:name="_Toc19746"/>
      <w:bookmarkStart w:id="23" w:name="_Toc11105"/>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6"/>
        <w:widowControl w:val="0"/>
        <w:overflowPunct w:val="0"/>
        <w:spacing w:before="0" w:after="0" w:line="240" w:lineRule="auto"/>
        <w:rPr>
          <w:rFonts w:ascii="宋体" w:hAnsi="宋体" w:eastAsia="宋体"/>
          <w:color w:val="auto"/>
          <w:sz w:val="21"/>
          <w:szCs w:val="21"/>
          <w:highlight w:val="none"/>
        </w:rPr>
      </w:pPr>
      <w:bookmarkStart w:id="24" w:name="_Toc22803"/>
      <w:bookmarkStart w:id="25" w:name="_Toc22847"/>
      <w:bookmarkStart w:id="26" w:name="_Toc18488"/>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7" w:name="_Toc16848"/>
      <w:bookmarkStart w:id="28" w:name="_Toc21002"/>
      <w:bookmarkStart w:id="29" w:name="_Toc13400"/>
      <w:r>
        <w:rPr>
          <w:rFonts w:hint="eastAsia" w:ascii="宋体" w:hAnsi="宋体" w:eastAsia="宋体"/>
          <w:color w:val="auto"/>
          <w:sz w:val="21"/>
          <w:szCs w:val="21"/>
          <w:highlight w:val="none"/>
        </w:rPr>
        <w:t>2.</w:t>
      </w:r>
      <w:bookmarkStart w:id="30" w:name="_Toc303084246"/>
      <w:bookmarkStart w:id="31" w:name="_Toc298847174"/>
      <w:bookmarkStart w:id="32" w:name="_Toc382049092"/>
      <w:bookmarkStart w:id="33" w:name="_Toc1530"/>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w:t>
      </w:r>
      <w:r>
        <w:rPr>
          <w:rFonts w:hint="eastAsia" w:ascii="宋体" w:hAnsi="宋体" w:eastAsia="宋体"/>
          <w:color w:val="auto"/>
          <w:sz w:val="21"/>
          <w:szCs w:val="21"/>
          <w:highlight w:val="none"/>
        </w:rPr>
        <w:t>东莞市横沥资产经营管理有限公司。</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w:t>
      </w:r>
      <w:r>
        <w:rPr>
          <w:rFonts w:hint="eastAsia" w:ascii="宋体" w:hAnsi="宋体"/>
          <w:color w:val="auto"/>
          <w:szCs w:val="21"/>
          <w:highlight w:val="none"/>
        </w:rPr>
        <w:t>评标委员会是依据相关规定组建的专门负责本次招标其评标工作的临时性机构。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4" w:name="_Toc9710"/>
      <w:bookmarkStart w:id="35" w:name="_Toc2996"/>
      <w:bookmarkStart w:id="36" w:name="_Toc3780"/>
      <w:r>
        <w:rPr>
          <w:rFonts w:hint="eastAsia" w:ascii="宋体" w:hAnsi="宋体" w:eastAsia="宋体"/>
          <w:color w:val="auto"/>
          <w:sz w:val="21"/>
          <w:szCs w:val="21"/>
          <w:highlight w:val="none"/>
        </w:rPr>
        <w:t>3.货物和服务</w:t>
      </w:r>
      <w:bookmarkEnd w:id="34"/>
      <w:bookmarkEnd w:id="35"/>
      <w:bookmarkEnd w:id="36"/>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除货物和工程以外的其他采购对象</w:t>
      </w:r>
      <w:r>
        <w:rPr>
          <w:rFonts w:hint="eastAsia" w:ascii="宋体" w:hAnsi="宋体" w:eastAsia="宋体"/>
          <w:color w:val="auto"/>
          <w:sz w:val="21"/>
          <w:szCs w:val="21"/>
          <w:highlight w:val="none"/>
        </w:rPr>
        <w:t>。</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7" w:name="_Toc13909"/>
      <w:bookmarkStart w:id="38" w:name="_Toc15945"/>
      <w:bookmarkStart w:id="39" w:name="_Toc12536"/>
      <w:r>
        <w:rPr>
          <w:rFonts w:hint="eastAsia" w:ascii="宋体" w:hAnsi="宋体" w:eastAsia="宋体"/>
          <w:color w:val="auto"/>
          <w:sz w:val="21"/>
          <w:szCs w:val="21"/>
          <w:highlight w:val="none"/>
        </w:rPr>
        <w:t>4.投标费用</w:t>
      </w:r>
      <w:bookmarkEnd w:id="37"/>
      <w:bookmarkEnd w:id="38"/>
      <w:bookmarkEnd w:id="39"/>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0" w:name="_Toc25040"/>
      <w:bookmarkStart w:id="41" w:name="_Toc19532"/>
      <w:bookmarkStart w:id="42" w:name="_Toc19094"/>
      <w:r>
        <w:rPr>
          <w:rFonts w:hint="eastAsia" w:ascii="宋体" w:hAnsi="宋体" w:eastAsia="宋体"/>
          <w:color w:val="auto"/>
          <w:sz w:val="21"/>
          <w:szCs w:val="21"/>
          <w:highlight w:val="none"/>
        </w:rPr>
        <w:t>5.知识产权</w:t>
      </w:r>
      <w:bookmarkEnd w:id="40"/>
      <w:bookmarkEnd w:id="41"/>
      <w:bookmarkEnd w:id="42"/>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3" w:name="_Toc8432"/>
      <w:bookmarkStart w:id="44" w:name="_Toc31885"/>
      <w:bookmarkStart w:id="45" w:name="_Toc21930"/>
      <w:r>
        <w:rPr>
          <w:rFonts w:hint="eastAsia" w:ascii="宋体" w:hAnsi="宋体" w:eastAsia="宋体"/>
          <w:color w:val="auto"/>
          <w:sz w:val="21"/>
          <w:szCs w:val="21"/>
          <w:highlight w:val="none"/>
        </w:rPr>
        <w:t>6.关于联合体投标</w:t>
      </w:r>
      <w:bookmarkEnd w:id="43"/>
      <w:bookmarkEnd w:id="44"/>
      <w:bookmarkEnd w:id="45"/>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w:t>
      </w:r>
      <w:r>
        <w:rPr>
          <w:rFonts w:hint="eastAsia" w:ascii="宋体" w:hAnsi="宋体"/>
          <w:color w:val="auto"/>
          <w:szCs w:val="21"/>
          <w:highlight w:val="none"/>
        </w:rPr>
        <w:t>应具有独立承担民事责任能力的法人或其他组织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6" w:name="_Toc32331"/>
      <w:bookmarkStart w:id="47" w:name="_Toc13811"/>
      <w:bookmarkStart w:id="48" w:name="_Toc1657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1" w:name="_Toc18115"/>
      <w:bookmarkStart w:id="52" w:name="_Toc2704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6"/>
        <w:widowControl w:val="0"/>
        <w:overflowPunct w:val="0"/>
        <w:spacing w:before="0" w:after="0" w:line="240" w:lineRule="auto"/>
        <w:rPr>
          <w:rFonts w:ascii="宋体" w:hAnsi="宋体" w:eastAsia="宋体"/>
          <w:color w:val="auto"/>
          <w:sz w:val="21"/>
          <w:szCs w:val="21"/>
          <w:highlight w:val="none"/>
        </w:rPr>
      </w:pPr>
      <w:bookmarkStart w:id="53" w:name="_Toc13494"/>
      <w:bookmarkStart w:id="54" w:name="_Toc21771"/>
      <w:bookmarkStart w:id="55" w:name="_Toc1423"/>
      <w:r>
        <w:rPr>
          <w:rFonts w:hint="eastAsia" w:ascii="宋体" w:hAnsi="宋体" w:eastAsia="宋体"/>
          <w:color w:val="auto"/>
          <w:sz w:val="21"/>
          <w:szCs w:val="21"/>
          <w:highlight w:val="none"/>
        </w:rPr>
        <w:t>8.招标文件的组成</w:t>
      </w:r>
      <w:bookmarkEnd w:id="53"/>
      <w:bookmarkEnd w:id="54"/>
      <w:bookmarkEnd w:id="55"/>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7997"/>
      <w:bookmarkStart w:id="57" w:name="_Toc17274"/>
      <w:bookmarkStart w:id="58" w:name="_Toc14217"/>
      <w:r>
        <w:rPr>
          <w:rFonts w:hint="eastAsia" w:ascii="宋体" w:hAnsi="宋体" w:eastAsia="宋体"/>
          <w:color w:val="auto"/>
          <w:sz w:val="21"/>
          <w:szCs w:val="21"/>
          <w:highlight w:val="none"/>
        </w:rPr>
        <w:t>9.招标文件的澄清或修改</w:t>
      </w:r>
      <w:bookmarkEnd w:id="56"/>
      <w:bookmarkEnd w:id="57"/>
      <w:bookmarkEnd w:id="58"/>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9" w:name="_Toc23726"/>
      <w:bookmarkStart w:id="60" w:name="_Toc16712"/>
      <w:bookmarkStart w:id="61" w:name="_Toc4773"/>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0623"/>
      <w:bookmarkStart w:id="63" w:name="_Toc28092"/>
      <w:bookmarkStart w:id="64" w:name="_Toc7434"/>
      <w:r>
        <w:rPr>
          <w:rFonts w:hint="eastAsia" w:ascii="宋体" w:hAnsi="宋体" w:eastAsia="宋体"/>
          <w:color w:val="auto"/>
          <w:sz w:val="21"/>
          <w:szCs w:val="21"/>
          <w:highlight w:val="none"/>
        </w:rPr>
        <w:t>10.投标文件的语言及度量衡单位</w:t>
      </w:r>
      <w:bookmarkEnd w:id="62"/>
      <w:bookmarkEnd w:id="63"/>
      <w:bookmarkEnd w:id="64"/>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18999"/>
      <w:bookmarkStart w:id="66" w:name="_Toc307934854"/>
      <w:bookmarkStart w:id="67" w:name="_Toc28866"/>
      <w:bookmarkStart w:id="68" w:name="_Toc12145"/>
      <w:bookmarkStart w:id="69" w:name="_Toc7728"/>
      <w:bookmarkStart w:id="70" w:name="_Toc303084256"/>
      <w:bookmarkStart w:id="71" w:name="_Toc382049103"/>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882"/>
      <w:bookmarkStart w:id="73" w:name="_Toc21747"/>
      <w:bookmarkStart w:id="74" w:name="_Toc30189"/>
      <w:r>
        <w:rPr>
          <w:rFonts w:hint="eastAsia" w:ascii="宋体" w:hAnsi="宋体" w:eastAsia="宋体"/>
          <w:color w:val="auto"/>
          <w:sz w:val="21"/>
          <w:szCs w:val="21"/>
          <w:highlight w:val="none"/>
        </w:rPr>
        <w:t>12.投标文件编制</w:t>
      </w:r>
      <w:bookmarkEnd w:id="72"/>
      <w:bookmarkEnd w:id="73"/>
      <w:bookmarkEnd w:id="74"/>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4"/>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4"/>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17188"/>
      <w:bookmarkStart w:id="77" w:name="_Toc259"/>
      <w:bookmarkStart w:id="78" w:name="_Toc7847"/>
      <w:r>
        <w:rPr>
          <w:rFonts w:hint="eastAsia" w:ascii="宋体" w:hAnsi="宋体" w:eastAsia="宋体"/>
          <w:color w:val="auto"/>
          <w:sz w:val="21"/>
          <w:szCs w:val="21"/>
          <w:highlight w:val="none"/>
        </w:rPr>
        <w:t>13.投标报价说明</w:t>
      </w:r>
      <w:bookmarkEnd w:id="76"/>
      <w:bookmarkEnd w:id="77"/>
      <w:bookmarkEnd w:id="78"/>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16535"/>
      <w:bookmarkStart w:id="80" w:name="_Toc18911"/>
      <w:bookmarkStart w:id="81" w:name="_Toc27724"/>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38"/>
      <w:bookmarkEnd w:id="82"/>
      <w:bookmarkStart w:id="83" w:name="_Hlt10792566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22169"/>
      <w:bookmarkStart w:id="85" w:name="_Toc30815"/>
      <w:bookmarkStart w:id="86" w:name="_Toc19520"/>
      <w:r>
        <w:rPr>
          <w:rFonts w:hint="eastAsia" w:ascii="宋体" w:hAnsi="宋体" w:eastAsia="宋体"/>
          <w:color w:val="auto"/>
          <w:sz w:val="21"/>
          <w:szCs w:val="21"/>
          <w:highlight w:val="none"/>
        </w:rPr>
        <w:t>15.★投标有效期</w:t>
      </w:r>
      <w:bookmarkEnd w:id="84"/>
      <w:bookmarkEnd w:id="85"/>
      <w:bookmarkEnd w:id="86"/>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7" w:name="_Toc30257"/>
      <w:bookmarkStart w:id="88" w:name="_Toc12456"/>
      <w:bookmarkStart w:id="89" w:name="_Toc25817"/>
      <w:r>
        <w:rPr>
          <w:rFonts w:hint="eastAsia" w:ascii="宋体" w:hAnsi="宋体" w:eastAsia="宋体"/>
          <w:color w:val="auto"/>
          <w:sz w:val="21"/>
          <w:szCs w:val="21"/>
          <w:highlight w:val="none"/>
        </w:rPr>
        <w:t>16.投标保证金</w:t>
      </w:r>
      <w:bookmarkEnd w:id="87"/>
      <w:bookmarkEnd w:id="88"/>
      <w:bookmarkEnd w:id="89"/>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91" w:name="_Toc24109"/>
      <w:bookmarkStart w:id="92" w:name="_Toc31124"/>
      <w:bookmarkStart w:id="93" w:name="_Toc3200"/>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23678"/>
      <w:bookmarkStart w:id="95" w:name="_Toc303084264"/>
      <w:bookmarkStart w:id="96" w:name="_Toc473"/>
      <w:bookmarkStart w:id="97" w:name="_Toc29590"/>
      <w:bookmarkStart w:id="98" w:name="_Toc24997"/>
      <w:bookmarkStart w:id="99" w:name="_Toc382049111"/>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7473"/>
      <w:bookmarkStart w:id="101" w:name="_Toc8628"/>
      <w:bookmarkStart w:id="102" w:name="_Toc17417"/>
      <w:r>
        <w:rPr>
          <w:rFonts w:hint="eastAsia" w:ascii="宋体" w:hAnsi="宋体" w:eastAsia="宋体"/>
          <w:color w:val="auto"/>
          <w:sz w:val="21"/>
          <w:szCs w:val="21"/>
          <w:highlight w:val="none"/>
        </w:rPr>
        <w:t>18.迟交的投标文件</w:t>
      </w:r>
      <w:bookmarkEnd w:id="100"/>
      <w:bookmarkEnd w:id="101"/>
      <w:bookmarkEnd w:id="102"/>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19649"/>
      <w:bookmarkStart w:id="104" w:name="_Toc13212"/>
      <w:bookmarkStart w:id="105" w:name="_Toc8526"/>
      <w:r>
        <w:rPr>
          <w:rFonts w:hint="eastAsia" w:ascii="宋体" w:hAnsi="宋体" w:eastAsia="宋体"/>
          <w:color w:val="auto"/>
          <w:sz w:val="21"/>
          <w:szCs w:val="21"/>
          <w:highlight w:val="none"/>
        </w:rPr>
        <w:t>19.投标样品（如需提交）</w:t>
      </w:r>
      <w:bookmarkEnd w:id="103"/>
      <w:bookmarkEnd w:id="104"/>
      <w:bookmarkEnd w:id="105"/>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5900"/>
      <w:bookmarkStart w:id="107" w:name="_Toc9777"/>
      <w:bookmarkStart w:id="108" w:name="_Toc303084265"/>
      <w:bookmarkStart w:id="109" w:name="_Toc382049112"/>
      <w:bookmarkStart w:id="110" w:name="_Toc23477"/>
      <w:bookmarkStart w:id="111" w:name="_Toc7689"/>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5569"/>
      <w:bookmarkStart w:id="113" w:name="_Toc6003"/>
      <w:bookmarkStart w:id="114" w:name="_Toc11133"/>
      <w:r>
        <w:rPr>
          <w:rFonts w:hint="eastAsia" w:ascii="宋体" w:hAnsi="宋体" w:eastAsia="宋体"/>
          <w:color w:val="auto"/>
          <w:sz w:val="21"/>
          <w:szCs w:val="21"/>
          <w:highlight w:val="none"/>
        </w:rPr>
        <w:t>21.投标文件的补充、修改与撤回</w:t>
      </w:r>
      <w:bookmarkEnd w:id="112"/>
      <w:bookmarkEnd w:id="113"/>
      <w:bookmarkEnd w:id="114"/>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8"/>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15" w:name="_Toc23466"/>
      <w:bookmarkStart w:id="116" w:name="_Toc29574"/>
      <w:bookmarkStart w:id="117" w:name="_Toc5049"/>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7700"/>
      <w:bookmarkStart w:id="119" w:name="_Toc28458"/>
      <w:bookmarkStart w:id="120" w:name="_Toc24251"/>
      <w:r>
        <w:rPr>
          <w:rFonts w:hint="eastAsia" w:ascii="宋体" w:hAnsi="宋体" w:eastAsia="宋体"/>
          <w:color w:val="auto"/>
          <w:sz w:val="21"/>
          <w:szCs w:val="21"/>
          <w:highlight w:val="none"/>
        </w:rPr>
        <w:t>22.开标</w:t>
      </w:r>
      <w:bookmarkEnd w:id="118"/>
      <w:bookmarkEnd w:id="119"/>
      <w:bookmarkEnd w:id="120"/>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524"/>
      <w:bookmarkStart w:id="122" w:name="_Toc5974"/>
      <w:bookmarkStart w:id="123" w:name="_Toc4921"/>
      <w:r>
        <w:rPr>
          <w:rFonts w:hint="eastAsia" w:ascii="宋体" w:hAnsi="宋体" w:eastAsia="宋体"/>
          <w:color w:val="auto"/>
          <w:sz w:val="21"/>
          <w:szCs w:val="21"/>
          <w:highlight w:val="none"/>
        </w:rPr>
        <w:t>23.评标委员会及评标方法</w:t>
      </w:r>
      <w:bookmarkEnd w:id="121"/>
      <w:bookmarkEnd w:id="122"/>
      <w:bookmarkEnd w:id="123"/>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32730"/>
      <w:bookmarkStart w:id="125" w:name="_Toc15231"/>
      <w:bookmarkStart w:id="126" w:name="_Toc26402"/>
      <w:r>
        <w:rPr>
          <w:rFonts w:hint="eastAsia" w:ascii="宋体" w:hAnsi="宋体" w:eastAsia="宋体"/>
          <w:color w:val="auto"/>
          <w:sz w:val="21"/>
          <w:szCs w:val="21"/>
          <w:highlight w:val="none"/>
        </w:rPr>
        <w:t>24.评审原则及评标过程的保密</w:t>
      </w:r>
      <w:bookmarkEnd w:id="124"/>
      <w:bookmarkEnd w:id="125"/>
      <w:bookmarkEnd w:id="126"/>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w:t>
      </w:r>
      <w:r>
        <w:rPr>
          <w:rFonts w:hint="eastAsia" w:ascii="宋体" w:hAnsi="宋体"/>
          <w:color w:val="auto"/>
          <w:szCs w:val="21"/>
          <w:highlight w:val="none"/>
        </w:rPr>
        <w:t>评标委员会将依据招标文件的规定，遵循“公开、公平、公正、择优、信用”的原则进行评审工作。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16745"/>
      <w:bookmarkStart w:id="128" w:name="_Toc3762"/>
      <w:bookmarkStart w:id="129" w:name="_Toc18436"/>
      <w:r>
        <w:rPr>
          <w:rFonts w:hint="eastAsia" w:ascii="宋体" w:hAnsi="宋体" w:eastAsia="宋体"/>
          <w:color w:val="auto"/>
          <w:sz w:val="21"/>
          <w:szCs w:val="21"/>
          <w:highlight w:val="none"/>
        </w:rPr>
        <w:t>25.投标文件的初审</w:t>
      </w:r>
      <w:bookmarkEnd w:id="127"/>
      <w:bookmarkEnd w:id="128"/>
      <w:bookmarkEnd w:id="129"/>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7673"/>
      <w:bookmarkStart w:id="131" w:name="_Toc21742"/>
      <w:bookmarkStart w:id="132" w:name="_Toc29184"/>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ageBreakBefore w:val="0"/>
        <w:widowControl w:val="0"/>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316375620"/>
      <w:bookmarkStart w:id="134" w:name="_Toc31141"/>
      <w:bookmarkStart w:id="135" w:name="_Toc20328"/>
      <w:bookmarkStart w:id="136" w:name="_Toc12115"/>
      <w:bookmarkStart w:id="137" w:name="_Toc382049120"/>
      <w:bookmarkStart w:id="138" w:name="_Toc22591"/>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.纪律和</w:t>
      </w:r>
      <w:r>
        <w:rPr>
          <w:rFonts w:ascii="宋体" w:hAnsi="宋体" w:eastAsia="宋体"/>
          <w:color w:val="auto"/>
          <w:sz w:val="21"/>
          <w:szCs w:val="21"/>
          <w:highlight w:val="none"/>
        </w:rPr>
        <w:t>保密</w:t>
      </w:r>
      <w:bookmarkEnd w:id="133"/>
      <w:r>
        <w:rPr>
          <w:rFonts w:hint="eastAsia" w:ascii="宋体" w:hAnsi="宋体" w:eastAsia="宋体"/>
          <w:color w:val="auto"/>
          <w:sz w:val="21"/>
          <w:szCs w:val="21"/>
          <w:highlight w:val="none"/>
        </w:rPr>
        <w:t>事项</w:t>
      </w:r>
      <w:bookmarkEnd w:id="134"/>
      <w:bookmarkEnd w:id="135"/>
      <w:bookmarkEnd w:id="136"/>
      <w:bookmarkEnd w:id="137"/>
      <w:bookmarkEnd w:id="138"/>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39" w:name="_Toc12251"/>
      <w:bookmarkStart w:id="140" w:name="_Toc29310"/>
      <w:bookmarkStart w:id="141" w:name="_Toc5528"/>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39"/>
      <w:bookmarkEnd w:id="140"/>
      <w:bookmarkEnd w:id="14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2" w:name="_Toc508284011"/>
      <w:bookmarkStart w:id="143" w:name="_Toc27817"/>
      <w:bookmarkStart w:id="144" w:name="_Toc17778"/>
      <w:bookmarkStart w:id="145" w:name="_Toc6696"/>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w:t>
      </w:r>
      <w:r>
        <w:rPr>
          <w:rFonts w:ascii="宋体" w:hAnsi="宋体" w:eastAsia="宋体"/>
          <w:color w:val="auto"/>
          <w:sz w:val="21"/>
          <w:szCs w:val="21"/>
          <w:highlight w:val="none"/>
        </w:rPr>
        <w:t>合同授予标准</w:t>
      </w:r>
      <w:bookmarkEnd w:id="142"/>
      <w:bookmarkEnd w:id="143"/>
      <w:bookmarkEnd w:id="144"/>
      <w:bookmarkEnd w:id="145"/>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6" w:name="_Toc12440"/>
      <w:bookmarkStart w:id="147" w:name="_Toc508284013"/>
      <w:bookmarkStart w:id="148" w:name="_Toc23136"/>
      <w:bookmarkStart w:id="149" w:name="_Toc29283"/>
      <w:r>
        <w:rPr>
          <w:rFonts w:hint="eastAsia" w:ascii="宋体" w:hAnsi="宋体" w:eastAsia="宋体"/>
          <w:color w:val="auto"/>
          <w:sz w:val="21"/>
          <w:szCs w:val="21"/>
          <w:highlight w:val="none"/>
          <w:lang w:val="en-US" w:eastAsia="zh-CN"/>
        </w:rPr>
        <w:t>29</w:t>
      </w:r>
      <w:r>
        <w:rPr>
          <w:rFonts w:hint="eastAsia" w:ascii="宋体" w:hAnsi="宋体" w:eastAsia="宋体"/>
          <w:color w:val="auto"/>
          <w:sz w:val="21"/>
          <w:szCs w:val="21"/>
          <w:highlight w:val="none"/>
        </w:rPr>
        <w:t>.发布采购结果</w:t>
      </w:r>
      <w:bookmarkEnd w:id="146"/>
      <w:bookmarkEnd w:id="147"/>
      <w:bookmarkEnd w:id="148"/>
      <w:bookmarkEnd w:id="149"/>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0" w:name="_Toc27279"/>
      <w:bookmarkStart w:id="151" w:name="_Toc22262"/>
      <w:bookmarkStart w:id="152" w:name="_Toc22451"/>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0</w:t>
      </w:r>
      <w:r>
        <w:rPr>
          <w:rFonts w:hint="eastAsia" w:ascii="宋体" w:hAnsi="宋体" w:eastAsia="宋体"/>
          <w:color w:val="auto"/>
          <w:sz w:val="21"/>
          <w:szCs w:val="21"/>
          <w:highlight w:val="none"/>
        </w:rPr>
        <w:t>.合同的签订与履行</w:t>
      </w:r>
      <w:bookmarkEnd w:id="150"/>
      <w:bookmarkEnd w:id="151"/>
      <w:bookmarkEnd w:id="152"/>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中标人拒绝与采购人签订合同的，采购人可以按照评审报告推荐的中标候选人名单排序，确定下一候选人为中标人，也可以重新开展采购活动。</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744"/>
      <w:bookmarkStart w:id="154" w:name="_Toc25756"/>
      <w:bookmarkStart w:id="155" w:name="_Toc7405"/>
      <w:bookmarkStart w:id="156" w:name="_Toc303084277"/>
      <w:bookmarkStart w:id="157" w:name="_Toc29009"/>
      <w:bookmarkStart w:id="158" w:name="_Toc382049124"/>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3"/>
      <w:bookmarkEnd w:id="154"/>
      <w:bookmarkEnd w:id="155"/>
      <w:bookmarkEnd w:id="156"/>
      <w:bookmarkEnd w:id="157"/>
      <w:bookmarkEnd w:id="158"/>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59" w:name="_Toc13694"/>
      <w:bookmarkStart w:id="160" w:name="_Toc7360"/>
      <w:bookmarkStart w:id="161" w:name="_Toc20699"/>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59"/>
      <w:bookmarkEnd w:id="160"/>
      <w:bookmarkEnd w:id="16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2" w:name="_Toc17974"/>
      <w:bookmarkStart w:id="163" w:name="_Toc25498"/>
      <w:bookmarkStart w:id="164" w:name="_Toc22900"/>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.询问</w:t>
      </w:r>
      <w:bookmarkEnd w:id="162"/>
      <w:bookmarkEnd w:id="163"/>
      <w:bookmarkEnd w:id="164"/>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11264"/>
      <w:bookmarkStart w:id="166" w:name="_Toc2767"/>
      <w:bookmarkStart w:id="167" w:name="_Toc8234"/>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.质疑</w:t>
      </w:r>
      <w:bookmarkEnd w:id="165"/>
      <w:bookmarkEnd w:id="166"/>
      <w:bookmarkEnd w:id="167"/>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以联合体形式参加采购活动的，其质疑应当由组成联合体的所有投标人共同提出。</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68" w:name="_Toc8919"/>
      <w:bookmarkStart w:id="169" w:name="_Toc5690"/>
      <w:bookmarkStart w:id="170" w:name="_Toc24383"/>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68"/>
      <w:bookmarkEnd w:id="169"/>
      <w:bookmarkEnd w:id="170"/>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1" w:name="_Toc6548"/>
      <w:bookmarkStart w:id="172" w:name="_Toc10082"/>
      <w:bookmarkStart w:id="173" w:name="_Toc21187"/>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.招标文件的解释权</w:t>
      </w:r>
      <w:bookmarkEnd w:id="171"/>
      <w:bookmarkEnd w:id="172"/>
      <w:bookmarkEnd w:id="173"/>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w:t>
      </w:r>
      <w:r>
        <w:rPr>
          <w:rFonts w:hint="eastAsia" w:ascii="宋体" w:hAnsi="宋体"/>
          <w:color w:val="auto"/>
          <w:sz w:val="21"/>
          <w:szCs w:val="21"/>
          <w:highlight w:val="none"/>
          <w:lang w:val="en-US" w:eastAsia="zh-CN"/>
        </w:rPr>
        <w:t>220406</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rFonts w:hint="eastAsia"/>
          <w:color w:val="auto"/>
          <w:sz w:val="28"/>
          <w:szCs w:val="28"/>
          <w:highlight w:val="none"/>
        </w:rPr>
      </w:pPr>
      <w:bookmarkStart w:id="174" w:name="_Toc382"/>
      <w:bookmarkStart w:id="175" w:name="_Toc31854"/>
      <w:bookmarkStart w:id="176"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4"/>
      <w:bookmarkEnd w:id="175"/>
      <w:bookmarkEnd w:id="176"/>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77" w:name="_Toc1593"/>
      <w:bookmarkStart w:id="178" w:name="_Toc13112"/>
      <w:bookmarkStart w:id="179" w:name="_Toc31278"/>
      <w:bookmarkStart w:id="180" w:name="_Toc14462"/>
      <w:bookmarkStart w:id="181" w:name="_Toc24679"/>
      <w:r>
        <w:rPr>
          <w:rFonts w:hint="eastAsia" w:ascii="宋体" w:hAnsi="宋体"/>
          <w:color w:val="auto"/>
          <w:highlight w:val="none"/>
          <w:lang w:val="en-US" w:eastAsia="zh-CN"/>
        </w:rPr>
        <w:t>第一章 商务需求书</w:t>
      </w:r>
      <w:bookmarkEnd w:id="177"/>
    </w:p>
    <w:tbl>
      <w:tblPr>
        <w:tblStyle w:val="24"/>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4"/>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交货期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合同签订后30天内完成供货、安装、调试、交付使用。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1、合同签订后10个工作日内，由采购人向中标人支付合同总价的30%作为第一期款项；</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在主要设备到场后，经双方项目负责人确认无误后，在10个工作日内由采购人向中标人支付合同总价的40%作为第二期款项；</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货物安装调试完毕，经采购</w:t>
            </w:r>
            <w:r>
              <w:rPr>
                <w:rFonts w:hint="eastAsia" w:ascii="宋体" w:hAnsi="宋体" w:cs="宋体"/>
                <w:color w:val="auto"/>
                <w:sz w:val="21"/>
                <w:szCs w:val="21"/>
                <w:highlight w:val="none"/>
                <w:lang w:val="en-US" w:eastAsia="zh-CN"/>
              </w:rPr>
              <w:t>人</w:t>
            </w:r>
            <w:r>
              <w:rPr>
                <w:rFonts w:hint="eastAsia" w:ascii="宋体" w:hAnsi="宋体" w:eastAsia="宋体" w:cs="宋体"/>
                <w:color w:val="auto"/>
                <w:sz w:val="21"/>
                <w:szCs w:val="21"/>
                <w:highlight w:val="none"/>
                <w:lang w:eastAsia="zh-CN"/>
              </w:rPr>
              <w:t>组织项目验收，在项目验收合格后，由采购人向中标人支付剩余合同总价的30%给中标人。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w:t>
            </w:r>
            <w:r>
              <w:rPr>
                <w:rFonts w:hint="eastAsia" w:ascii="宋体" w:hAnsi="宋体" w:eastAsia="宋体" w:cs="宋体"/>
                <w:color w:val="auto"/>
                <w:highlight w:val="none"/>
              </w:rPr>
              <w:t>全部设备的技术设计、运输、安装调试、人员培训、售后服务、含税等费用</w:t>
            </w:r>
            <w:r>
              <w:rPr>
                <w:rFonts w:hint="eastAsia" w:ascii="宋体" w:hAnsi="宋体" w:eastAsia="宋体" w:cs="宋体"/>
                <w:color w:val="auto"/>
                <w:sz w:val="21"/>
                <w:szCs w:val="21"/>
                <w:highlight w:val="none"/>
              </w:rPr>
              <w:t>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售后服务</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1、所有设备保修期均为原厂整机免费(人工</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配件)上门保修一年。</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2、在各设备或配件的保修期内发生故障,由中标人负责联系厂家进行维修或更换。</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所有设备保修服务方式均为原厂家派员到用户设备使用现场维修。由此产生的一切费用均由中标供应商承担,保修期向用户所购设备各部件发生非人为故障,中标人应免费上门更换同种品牌不低于原规格型号的新部件。对于不能明确是否是硬件出现故障时,中标人应尽力配能在上述响应时间内到达现场协助排除问题</w:t>
            </w:r>
            <w:r>
              <w:rPr>
                <w:rFonts w:hint="eastAsia" w:ascii="宋体" w:hAnsi="宋体" w:cs="宋体"/>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4、保修期内,同一硬件一个月内连续2次出现同一故障,供应商须无偿更换不低于同一档次机器。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5、中标人负责对采购人受训人员进行操作、维修培训,直至采购人受训人员能熟练操作为止。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color w:val="auto"/>
          <w:highlight w:val="none"/>
          <w:lang w:val="en-US" w:eastAsia="zh-CN"/>
        </w:rPr>
      </w:pP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bookmarkStart w:id="182" w:name="_Toc19316"/>
      <w:r>
        <w:rPr>
          <w:rFonts w:hint="eastAsia" w:ascii="宋体" w:hAnsi="宋体"/>
          <w:color w:val="auto"/>
          <w:highlight w:val="none"/>
          <w:lang w:val="en-US" w:eastAsia="zh-CN"/>
        </w:rPr>
        <w:t>第二章 技术需求书</w:t>
      </w:r>
      <w:bookmarkEnd w:id="182"/>
    </w:p>
    <w:p>
      <w:pPr>
        <w:pStyle w:val="6"/>
        <w:bidi w:val="0"/>
        <w:rPr>
          <w:rFonts w:hint="eastAsia"/>
          <w:color w:val="auto"/>
          <w:highlight w:val="none"/>
        </w:rPr>
      </w:pPr>
      <w:r>
        <w:rPr>
          <w:rFonts w:hint="eastAsia"/>
          <w:color w:val="auto"/>
          <w:highlight w:val="none"/>
          <w:lang w:eastAsia="zh-CN"/>
        </w:rPr>
        <w:t>一、</w:t>
      </w:r>
      <w:r>
        <w:rPr>
          <w:rFonts w:hint="eastAsia"/>
          <w:color w:val="auto"/>
          <w:highlight w:val="none"/>
        </w:rPr>
        <w:t>项目总体要求</w:t>
      </w:r>
    </w:p>
    <w:p>
      <w:pPr>
        <w:bidi w:val="0"/>
        <w:spacing w:line="360" w:lineRule="auto"/>
        <w:ind w:firstLine="420" w:firstLineChars="200"/>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lang w:val="en-US" w:eastAsia="zh-CN"/>
        </w:rPr>
        <w:t>供应商必须对所有设备、备品备件、专用工具和件随服务投标。</w:t>
      </w:r>
    </w:p>
    <w:p>
      <w:pPr>
        <w:bidi w:val="0"/>
        <w:spacing w:line="360" w:lineRule="auto"/>
        <w:ind w:firstLine="420" w:firstLineChars="200"/>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lang w:val="en-US" w:eastAsia="zh-CN"/>
        </w:rPr>
        <w:t>供应商所投设备及材料应是原厂原装、全新的产品,并符合下列要求:国家标准,行业标准以及该产品的出厂标准。</w:t>
      </w:r>
    </w:p>
    <w:p>
      <w:pPr>
        <w:bidi w:val="0"/>
        <w:spacing w:line="360" w:lineRule="auto"/>
        <w:ind w:firstLine="420" w:firstLineChars="200"/>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3、</w:t>
      </w:r>
      <w:r>
        <w:rPr>
          <w:rFonts w:hint="eastAsia" w:ascii="宋体" w:hAnsi="宋体" w:eastAsia="宋体" w:cs="宋体"/>
          <w:b w:val="0"/>
          <w:bCs w:val="0"/>
          <w:color w:val="auto"/>
          <w:highlight w:val="none"/>
          <w:lang w:val="en-US" w:eastAsia="zh-CN"/>
        </w:rPr>
        <w:t>供应商应对投标设备列明其品牌、型号、制造商名称、产地、技术参数、功能介绍和使用说明。</w:t>
      </w:r>
    </w:p>
    <w:p>
      <w:pPr>
        <w:bidi w:val="0"/>
        <w:spacing w:line="360" w:lineRule="auto"/>
        <w:ind w:firstLine="420" w:firstLineChars="200"/>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4、</w:t>
      </w:r>
      <w:r>
        <w:rPr>
          <w:rFonts w:hint="eastAsia" w:ascii="宋体" w:hAnsi="宋体" w:eastAsia="宋体" w:cs="宋体"/>
          <w:b w:val="0"/>
          <w:bCs w:val="0"/>
          <w:color w:val="auto"/>
          <w:highlight w:val="none"/>
          <w:lang w:val="en-US" w:eastAsia="zh-CN"/>
        </w:rPr>
        <w:t>投标设备的包装均应有良好的防湿、防锈、防潮、防雨、防腐及防碰撞的措施。</w:t>
      </w:r>
    </w:p>
    <w:p>
      <w:pPr>
        <w:bidi w:val="0"/>
        <w:spacing w:line="360" w:lineRule="auto"/>
        <w:ind w:firstLine="420" w:firstLineChars="200"/>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5、</w:t>
      </w:r>
      <w:r>
        <w:rPr>
          <w:rFonts w:hint="eastAsia" w:ascii="宋体" w:hAnsi="宋体" w:eastAsia="宋体" w:cs="宋体"/>
          <w:b w:val="0"/>
          <w:bCs w:val="0"/>
          <w:color w:val="auto"/>
          <w:highlight w:val="none"/>
          <w:lang w:val="en-US" w:eastAsia="zh-CN"/>
        </w:rPr>
        <w:t>投标人须对其对所投产品的生产厂家、品牌、型号应予以核实,必须与实际供货产品铭牌上所标识的完全一致,否则将无法验收,由此导致的包括合同违约等一切后果将由供应商承担。</w:t>
      </w:r>
    </w:p>
    <w:p>
      <w:pPr>
        <w:bidi w:val="0"/>
        <w:spacing w:line="360" w:lineRule="auto"/>
        <w:ind w:firstLine="420" w:firstLineChars="200"/>
        <w:rPr>
          <w:rFonts w:hint="eastAsia"/>
          <w:color w:val="auto"/>
          <w:sz w:val="21"/>
          <w:szCs w:val="21"/>
          <w:highlight w:val="none"/>
          <w:lang w:val="en-US"/>
        </w:rPr>
      </w:pPr>
      <w:r>
        <w:rPr>
          <w:rFonts w:hint="eastAsia" w:ascii="宋体" w:hAnsi="宋体" w:cs="宋体"/>
          <w:b w:val="0"/>
          <w:bCs w:val="0"/>
          <w:color w:val="auto"/>
          <w:highlight w:val="none"/>
          <w:lang w:val="en-US" w:eastAsia="zh-CN"/>
        </w:rPr>
        <w:t>6、</w:t>
      </w:r>
      <w:r>
        <w:rPr>
          <w:rFonts w:hint="eastAsia"/>
          <w:color w:val="auto"/>
          <w:sz w:val="21"/>
          <w:szCs w:val="21"/>
          <w:highlight w:val="none"/>
          <w:lang w:val="en-US"/>
        </w:rPr>
        <w:t>本项目产品技术参数及功能要求仅供投标人参考，涉及具体品牌、型号、产地的产品，仅作为项目质量水平与配置的参考，在不低于此基准的前提下，投标人可以选用同档次或更优的同类产品替代。</w:t>
      </w:r>
    </w:p>
    <w:p>
      <w:pPr>
        <w:bidi w:val="0"/>
        <w:spacing w:line="360" w:lineRule="auto"/>
        <w:ind w:firstLine="420" w:firstLineChars="200"/>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7、</w:t>
      </w:r>
      <w:r>
        <w:rPr>
          <w:rFonts w:hint="eastAsia" w:ascii="宋体" w:hAnsi="宋体" w:eastAsia="宋体" w:cs="宋体"/>
          <w:b w:val="0"/>
          <w:bCs w:val="0"/>
          <w:color w:val="auto"/>
          <w:highlight w:val="none"/>
          <w:lang w:val="en-US" w:eastAsia="zh-CN"/>
        </w:rPr>
        <w:t>如果评标委员会认为投标人的报价明显低过符合性审查投标人的报价,有可能影响产品质量或者不能诚信履约的,将要求其在评标现场合理的时间内提供书面说明,必要时提交相关证明材料;投标人不能证明其报价合理性的，评标委员会应当将其作为无效投标处理。</w:t>
      </w:r>
    </w:p>
    <w:p>
      <w:pPr>
        <w:bidi w:val="0"/>
        <w:spacing w:line="360" w:lineRule="auto"/>
        <w:ind w:firstLine="420" w:firstLineChars="200"/>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8、</w:t>
      </w:r>
      <w:r>
        <w:rPr>
          <w:rFonts w:hint="eastAsia"/>
          <w:color w:val="auto"/>
          <w:sz w:val="21"/>
          <w:szCs w:val="21"/>
          <w:highlight w:val="none"/>
          <w:lang w:val="en-US"/>
        </w:rPr>
        <w:t>合同期间，中标人如不具备项目实施过程中的</w:t>
      </w:r>
      <w:r>
        <w:rPr>
          <w:rFonts w:hint="eastAsia"/>
          <w:color w:val="auto"/>
          <w:sz w:val="21"/>
          <w:szCs w:val="21"/>
          <w:highlight w:val="none"/>
          <w:lang w:val="en-US" w:eastAsia="zh-CN"/>
        </w:rPr>
        <w:t>施工（或安装）</w:t>
      </w:r>
      <w:r>
        <w:rPr>
          <w:rFonts w:hint="eastAsia"/>
          <w:color w:val="auto"/>
          <w:sz w:val="21"/>
          <w:szCs w:val="21"/>
          <w:highlight w:val="none"/>
          <w:lang w:val="en-US"/>
        </w:rPr>
        <w:t>类资质</w:t>
      </w:r>
      <w:r>
        <w:rPr>
          <w:rFonts w:hint="eastAsia"/>
          <w:color w:val="auto"/>
          <w:sz w:val="21"/>
          <w:szCs w:val="21"/>
          <w:highlight w:val="none"/>
          <w:lang w:val="en-US" w:eastAsia="zh-CN"/>
        </w:rPr>
        <w:t>的</w:t>
      </w:r>
      <w:r>
        <w:rPr>
          <w:rFonts w:hint="eastAsia"/>
          <w:color w:val="auto"/>
          <w:sz w:val="21"/>
          <w:szCs w:val="21"/>
          <w:highlight w:val="none"/>
          <w:lang w:val="en-US"/>
        </w:rPr>
        <w:t>，可与采购人协商，经采购人同意后委托符合资质的企业承接本项目的非关键性工作，进行专业分包，</w:t>
      </w:r>
      <w:r>
        <w:rPr>
          <w:rFonts w:hint="eastAsia"/>
          <w:color w:val="auto"/>
          <w:sz w:val="21"/>
          <w:szCs w:val="21"/>
          <w:highlight w:val="none"/>
          <w:lang w:val="en-US" w:eastAsia="zh-CN"/>
        </w:rPr>
        <w:t>相关</w:t>
      </w:r>
      <w:r>
        <w:rPr>
          <w:rFonts w:hint="eastAsia"/>
          <w:color w:val="auto"/>
          <w:sz w:val="21"/>
          <w:szCs w:val="21"/>
          <w:highlight w:val="none"/>
          <w:lang w:val="en-US"/>
        </w:rPr>
        <w:t>费用由</w:t>
      </w:r>
      <w:r>
        <w:rPr>
          <w:rFonts w:hint="eastAsia"/>
          <w:color w:val="auto"/>
          <w:sz w:val="21"/>
          <w:szCs w:val="21"/>
          <w:highlight w:val="none"/>
          <w:lang w:val="en-US" w:eastAsia="zh-CN"/>
        </w:rPr>
        <w:t>中标人</w:t>
      </w:r>
      <w:r>
        <w:rPr>
          <w:rFonts w:hint="eastAsia"/>
          <w:color w:val="auto"/>
          <w:sz w:val="21"/>
          <w:szCs w:val="21"/>
          <w:highlight w:val="none"/>
          <w:lang w:val="en-US"/>
        </w:rPr>
        <w:t>自行解决</w:t>
      </w:r>
      <w:r>
        <w:rPr>
          <w:rFonts w:hint="eastAsia"/>
          <w:color w:val="auto"/>
          <w:sz w:val="21"/>
          <w:szCs w:val="21"/>
          <w:highlight w:val="none"/>
          <w:lang w:val="en-US" w:eastAsia="zh-CN"/>
        </w:rPr>
        <w:t>，并</w:t>
      </w:r>
      <w:r>
        <w:rPr>
          <w:rFonts w:hint="eastAsia"/>
          <w:color w:val="auto"/>
          <w:sz w:val="21"/>
          <w:szCs w:val="21"/>
          <w:highlight w:val="none"/>
          <w:lang w:val="en-US"/>
        </w:rPr>
        <w:t>对该部分施工承担连带责任。</w:t>
      </w:r>
    </w:p>
    <w:p>
      <w:pPr>
        <w:bidi w:val="0"/>
        <w:spacing w:line="360" w:lineRule="auto"/>
        <w:ind w:firstLine="420" w:firstLineChars="200"/>
        <w:rPr>
          <w:rFonts w:hint="eastAsia" w:ascii="宋体" w:hAnsi="宋体" w:eastAsia="宋体" w:cs="宋体"/>
          <w:b w:val="0"/>
          <w:bCs w:val="0"/>
          <w:color w:val="auto"/>
          <w:highlight w:val="none"/>
          <w:lang w:val="en-US" w:eastAsia="zh-CN"/>
        </w:rPr>
      </w:pPr>
    </w:p>
    <w:p>
      <w:pPr>
        <w:pStyle w:val="6"/>
        <w:bidi w:val="0"/>
        <w:rPr>
          <w:color w:val="auto"/>
          <w:highlight w:val="none"/>
        </w:rPr>
      </w:pPr>
      <w:r>
        <w:rPr>
          <w:rFonts w:hint="eastAsia"/>
          <w:color w:val="auto"/>
          <w:highlight w:val="none"/>
          <w:lang w:val="en-US" w:eastAsia="zh-CN"/>
        </w:rPr>
        <w:t>二</w:t>
      </w:r>
      <w:r>
        <w:rPr>
          <w:rFonts w:hint="eastAsia"/>
          <w:color w:val="auto"/>
          <w:highlight w:val="none"/>
          <w:lang w:eastAsia="zh-CN"/>
        </w:rPr>
        <w:t>、</w:t>
      </w:r>
      <w:r>
        <w:rPr>
          <w:rFonts w:hint="eastAsia"/>
          <w:color w:val="auto"/>
          <w:highlight w:val="none"/>
        </w:rPr>
        <w:t>项目</w:t>
      </w:r>
      <w:r>
        <w:rPr>
          <w:rFonts w:hint="eastAsia"/>
          <w:color w:val="auto"/>
          <w:highlight w:val="none"/>
          <w:lang w:val="en-US" w:eastAsia="zh-CN"/>
        </w:rPr>
        <w:t>清单</w:t>
      </w:r>
    </w:p>
    <w:p>
      <w:pPr>
        <w:spacing w:after="0" w:line="360" w:lineRule="auto"/>
        <w:ind w:firstLine="422" w:firstLineChars="200"/>
        <w:rPr>
          <w:rFonts w:hint="eastAsia" w:ascii="宋体" w:hAnsi="宋体" w:cs="Times New Roman"/>
          <w:b/>
          <w:bCs/>
          <w:color w:val="auto"/>
          <w:sz w:val="21"/>
          <w:szCs w:val="21"/>
          <w:highlight w:val="none"/>
          <w:lang w:val="en-US" w:eastAsia="zh-CN"/>
        </w:rPr>
      </w:pPr>
      <w:r>
        <w:rPr>
          <w:rFonts w:hint="eastAsia" w:ascii="宋体" w:hAnsi="宋体" w:cs="Times New Roman"/>
          <w:b/>
          <w:bCs/>
          <w:color w:val="auto"/>
          <w:sz w:val="21"/>
          <w:szCs w:val="21"/>
          <w:highlight w:val="none"/>
          <w:lang w:val="en-US" w:eastAsia="zh-CN"/>
        </w:rPr>
        <w:t>1、空调设备</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6"/>
        <w:gridCol w:w="1931"/>
        <w:gridCol w:w="1200"/>
        <w:gridCol w:w="1020"/>
        <w:gridCol w:w="1515"/>
        <w:gridCol w:w="1005"/>
        <w:gridCol w:w="10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位置</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面积</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规格</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34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办公大楼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董事长室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总经理室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3匹变频风管机</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接待室1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92</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3匹变频风管机</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会议室1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90</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3匹变频风管机</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行政</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90㎡</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3匹变频风管机</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市政</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90㎡</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3匹变频风管机</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物业</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92㎡</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副所室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所长室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接待室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43</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3匹变频风管机</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办公室</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104</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评标室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38</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3匹变频风管机</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投标书1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103</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档案室1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190㎡</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3匹变频风管机</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财务</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94</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3匹变频风管机</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房产</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94㎡</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3匹变频风管机</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发展</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94㎡</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3匹变频风管机</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投资</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94㎡</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副总1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副总2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副总3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副总4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副总5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投标室2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328</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档案室2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150</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会议室2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69</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接待室2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洽谈室2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洽谈室1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1匹变频挂机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配电房1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1匹变频挂机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1匹变频挂机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配电房2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1匹变频挂机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入门大厅</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350</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34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餐厅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33</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1匹变频挂机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电房</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1匹变频挂机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1.5匹变频挂机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卫生房</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1.5匹变频挂机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备餐间</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1.5匹变频</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36</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●5匹风管机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包厢</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112</w:t>
            </w:r>
            <w:r>
              <w:rPr>
                <w:rStyle w:val="60"/>
                <w:rFonts w:hint="eastAsia" w:ascii="宋体" w:hAnsi="宋体" w:eastAsia="宋体" w:cs="宋体"/>
                <w:sz w:val="21"/>
                <w:szCs w:val="21"/>
                <w:highlight w:val="none"/>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5匹</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r>
    </w:tbl>
    <w:p>
      <w:pPr>
        <w:spacing w:after="0" w:line="360" w:lineRule="auto"/>
        <w:ind w:firstLine="422" w:firstLineChars="200"/>
        <w:rPr>
          <w:rFonts w:hint="eastAsia" w:ascii="宋体" w:hAnsi="宋体" w:eastAsia="宋体" w:cs="Times New Roman"/>
          <w:b/>
          <w:bCs/>
          <w:color w:val="auto"/>
          <w:sz w:val="21"/>
          <w:szCs w:val="21"/>
          <w:highlight w:val="none"/>
          <w:lang w:val="en-US" w:eastAsia="zh-CN"/>
        </w:rPr>
      </w:pPr>
    </w:p>
    <w:p>
      <w:pPr>
        <w:spacing w:after="0" w:line="360" w:lineRule="auto"/>
        <w:ind w:firstLine="422" w:firstLineChars="200"/>
        <w:rPr>
          <w:rFonts w:hint="eastAsia" w:ascii="宋体" w:hAnsi="宋体" w:eastAsia="宋体" w:cs="Times New Roman"/>
          <w:b/>
          <w:bCs/>
          <w:color w:val="auto"/>
          <w:sz w:val="21"/>
          <w:szCs w:val="21"/>
          <w:highlight w:val="none"/>
          <w:lang w:val="en-US" w:eastAsia="zh-CN"/>
        </w:rPr>
      </w:pPr>
      <w:r>
        <w:rPr>
          <w:rFonts w:hint="eastAsia" w:ascii="宋体" w:hAnsi="宋体" w:eastAsia="宋体" w:cs="Times New Roman"/>
          <w:b/>
          <w:bCs/>
          <w:color w:val="auto"/>
          <w:sz w:val="21"/>
          <w:szCs w:val="21"/>
          <w:highlight w:val="none"/>
          <w:lang w:val="en-US" w:eastAsia="zh-CN"/>
        </w:rPr>
        <w:t>2、安装材料</w:t>
      </w:r>
    </w:p>
    <w:tbl>
      <w:tblPr>
        <w:tblStyle w:val="24"/>
        <w:tblW w:w="838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005"/>
        <w:gridCol w:w="1035"/>
        <w:gridCol w:w="1186"/>
        <w:gridCol w:w="2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00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103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1186"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216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38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办公大楼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PVC排水管25</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550 </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PVC排水管32</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165 </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PVC排水管40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430 </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楼面打孔防水补漏</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1.5匹风管出风、软管及风咀</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3匹风管出风、软管及风咀</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 </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5匹风管出风、软管及风咀</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 </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1.5匹铜管</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 </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3匹铜管</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169 </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5匹铜管</w:t>
            </w:r>
          </w:p>
        </w:tc>
        <w:tc>
          <w:tcPr>
            <w:tcW w:w="103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18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505 </w:t>
            </w:r>
          </w:p>
        </w:tc>
        <w:tc>
          <w:tcPr>
            <w:tcW w:w="2160" w:type="dxa"/>
            <w:tcBorders>
              <w:top w:val="nil"/>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1匹-1.5匹不锈钢地架</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 </w:t>
            </w:r>
          </w:p>
        </w:tc>
        <w:tc>
          <w:tcPr>
            <w:tcW w:w="216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auto"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3匹不锈钢地架</w:t>
            </w:r>
          </w:p>
        </w:tc>
        <w:tc>
          <w:tcPr>
            <w:tcW w:w="1035" w:type="dxa"/>
            <w:tcBorders>
              <w:top w:val="single" w:color="auto"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86" w:type="dxa"/>
            <w:tcBorders>
              <w:top w:val="single" w:color="auto"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 </w:t>
            </w:r>
          </w:p>
        </w:tc>
        <w:tc>
          <w:tcPr>
            <w:tcW w:w="216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5匹不锈钢地架</w:t>
            </w:r>
          </w:p>
        </w:tc>
        <w:tc>
          <w:tcPr>
            <w:tcW w:w="103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86"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 </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38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餐厅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安装5匹旧机</w:t>
            </w:r>
          </w:p>
        </w:tc>
        <w:tc>
          <w:tcPr>
            <w:tcW w:w="1035"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8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5匹铜管</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329</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1匹铜管</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1匹-1.5匹不锈钢架</w:t>
            </w:r>
          </w:p>
        </w:tc>
        <w:tc>
          <w:tcPr>
            <w:tcW w:w="103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86"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 </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排水管32管</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排水管25管</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钻墙孔</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5匹不锈钢主机架</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5匹不锈钢内机架</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21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u w:val="none"/>
              </w:rPr>
            </w:pPr>
          </w:p>
        </w:tc>
      </w:tr>
    </w:tbl>
    <w:p>
      <w:pPr>
        <w:pStyle w:val="2"/>
        <w:rPr>
          <w:rFonts w:hint="default"/>
          <w:color w:val="auto"/>
          <w:highlight w:val="none"/>
          <w:lang w:val="en-US" w:eastAsia="zh-CN"/>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178"/>
      <w:bookmarkEnd w:id="179"/>
      <w:bookmarkEnd w:id="180"/>
      <w:bookmarkEnd w:id="181"/>
      <w:bookmarkStart w:id="183" w:name="_Toc12485"/>
      <w:bookmarkStart w:id="184" w:name="_Toc21448"/>
    </w:p>
    <w:p>
      <w:pPr>
        <w:bidi w:val="0"/>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4"/>
        <w:spacing w:before="0" w:after="0" w:line="240" w:lineRule="auto"/>
        <w:rPr>
          <w:color w:val="auto"/>
          <w:sz w:val="28"/>
          <w:szCs w:val="28"/>
          <w:highlight w:val="none"/>
        </w:rPr>
      </w:pPr>
      <w:bookmarkStart w:id="185" w:name="_Toc12014"/>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3"/>
      <w:bookmarkEnd w:id="184"/>
      <w:bookmarkEnd w:id="185"/>
      <w:bookmarkStart w:id="186" w:name="_Toc1534"/>
      <w:bookmarkStart w:id="187" w:name="_Toc21155"/>
      <w:bookmarkStart w:id="188" w:name="_Toc13430"/>
    </w:p>
    <w:p>
      <w:pPr>
        <w:pStyle w:val="5"/>
        <w:spacing w:before="0" w:after="0" w:line="240" w:lineRule="auto"/>
        <w:jc w:val="center"/>
        <w:rPr>
          <w:rFonts w:ascii="宋体" w:hAnsi="宋体" w:eastAsia="宋体" w:cs="宋体"/>
          <w:color w:val="auto"/>
          <w:highlight w:val="none"/>
        </w:rPr>
      </w:pPr>
      <w:bookmarkStart w:id="189" w:name="_Toc16730"/>
      <w:bookmarkStart w:id="190" w:name="_Toc8880"/>
      <w:bookmarkStart w:id="191" w:name="_Toc19575"/>
      <w:r>
        <w:rPr>
          <w:rFonts w:hint="eastAsia" w:ascii="宋体" w:hAnsi="宋体" w:eastAsia="宋体" w:cs="宋体"/>
          <w:color w:val="auto"/>
          <w:highlight w:val="none"/>
        </w:rPr>
        <w:t>合同格式</w:t>
      </w:r>
      <w:bookmarkEnd w:id="186"/>
      <w:bookmarkEnd w:id="187"/>
      <w:bookmarkEnd w:id="188"/>
      <w:bookmarkEnd w:id="189"/>
      <w:bookmarkEnd w:id="190"/>
      <w:bookmarkEnd w:id="191"/>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w:t>
      </w:r>
      <w:r>
        <w:rPr>
          <w:rFonts w:hint="eastAsia" w:ascii="宋体" w:hAnsi="宋体"/>
          <w:color w:val="auto"/>
          <w:sz w:val="21"/>
          <w:szCs w:val="21"/>
          <w:highlight w:val="none"/>
          <w:lang w:val="en-US" w:eastAsia="zh-CN"/>
        </w:rPr>
        <w:t>相关采购法律法规</w:t>
      </w:r>
      <w:r>
        <w:rPr>
          <w:rFonts w:hint="eastAsia" w:ascii="宋体" w:hAnsi="宋体" w:eastAsia="宋体"/>
          <w:color w:val="auto"/>
          <w:sz w:val="21"/>
          <w:szCs w:val="21"/>
          <w:highlight w:val="none"/>
        </w:rPr>
        <w:t>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2"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2"/>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2"/>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w:t>
      </w:r>
      <w:r>
        <w:rPr>
          <w:rFonts w:hint="eastAsia" w:ascii="宋体" w:hAnsi="宋体"/>
          <w:color w:val="auto"/>
          <w:sz w:val="21"/>
          <w:szCs w:val="21"/>
          <w:highlight w:val="none"/>
          <w:lang w:val="en-US" w:eastAsia="zh-CN"/>
        </w:rPr>
        <w:t>甲方</w:t>
      </w:r>
      <w:r>
        <w:rPr>
          <w:rFonts w:hint="eastAsia" w:ascii="宋体" w:hAnsi="宋体"/>
          <w:color w:val="auto"/>
          <w:sz w:val="21"/>
          <w:szCs w:val="21"/>
          <w:highlight w:val="none"/>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1、根据现行税法对甲方征收的与本合同有关的一切税费均应由甲方承担。</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2、根据现行税法规定对乙方或其雇员征收的与本合同有关的一切税费应由乙方承担。</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2"/>
    <w:p>
      <w:pPr>
        <w:spacing w:after="0" w:line="360" w:lineRule="auto"/>
        <w:ind w:firstLine="422" w:firstLineChars="200"/>
        <w:rPr>
          <w:rFonts w:ascii="宋体" w:hAnsi="宋体" w:eastAsia="宋体"/>
          <w:b/>
          <w:color w:val="auto"/>
          <w:sz w:val="21"/>
          <w:szCs w:val="21"/>
          <w:highlight w:val="none"/>
        </w:rPr>
      </w:pPr>
      <w:bookmarkStart w:id="193"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194" w:name="_Toc86481569"/>
      <w:r>
        <w:rPr>
          <w:rFonts w:hint="eastAsia" w:ascii="宋体" w:hAnsi="宋体" w:eastAsia="宋体"/>
          <w:b/>
          <w:color w:val="auto"/>
          <w:sz w:val="21"/>
          <w:szCs w:val="21"/>
          <w:highlight w:val="none"/>
        </w:rPr>
        <w:t>第十二条 合同生效</w:t>
      </w:r>
      <w:bookmarkEnd w:id="19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93"/>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4"/>
        <w:spacing w:before="0" w:after="0" w:line="240" w:lineRule="auto"/>
        <w:rPr>
          <w:color w:val="auto"/>
          <w:sz w:val="28"/>
          <w:szCs w:val="28"/>
          <w:highlight w:val="none"/>
        </w:rPr>
      </w:pPr>
      <w:bookmarkStart w:id="195" w:name="_Toc1478"/>
      <w:bookmarkStart w:id="196" w:name="_Toc23749"/>
      <w:bookmarkStart w:id="197"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195"/>
      <w:bookmarkEnd w:id="196"/>
      <w:bookmarkEnd w:id="197"/>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198" w:name="_Toc6790"/>
      <w:bookmarkStart w:id="199" w:name="_Toc5794"/>
      <w:bookmarkStart w:id="200" w:name="_Toc26830"/>
      <w:r>
        <w:rPr>
          <w:rFonts w:hint="eastAsia"/>
          <w:color w:val="auto"/>
          <w:highlight w:val="none"/>
        </w:rPr>
        <w:t>投标文件目录</w:t>
      </w:r>
      <w:bookmarkEnd w:id="198"/>
      <w:bookmarkEnd w:id="199"/>
      <w:bookmarkEnd w:id="200"/>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1" w:name="_Toc25502"/>
      <w:bookmarkStart w:id="202" w:name="_Toc18893"/>
      <w:bookmarkStart w:id="203" w:name="_Toc5670"/>
      <w:r>
        <w:rPr>
          <w:rFonts w:hint="eastAsia"/>
          <w:color w:val="auto"/>
          <w:highlight w:val="none"/>
        </w:rPr>
        <w:t>评分标准索引表</w:t>
      </w:r>
      <w:bookmarkEnd w:id="201"/>
      <w:bookmarkEnd w:id="202"/>
      <w:bookmarkEnd w:id="203"/>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1"/>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7"/>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8"/>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8"/>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4" w:name="_Toc8194"/>
      <w:bookmarkStart w:id="205" w:name="_Toc22080"/>
      <w:bookmarkStart w:id="206" w:name="_Toc30640"/>
      <w:r>
        <w:rPr>
          <w:rFonts w:hint="eastAsia"/>
          <w:color w:val="auto"/>
          <w:highlight w:val="none"/>
          <w:lang w:val="en-US" w:eastAsia="zh-CN"/>
        </w:rPr>
        <w:t>第一章价格文件</w:t>
      </w:r>
      <w:bookmarkEnd w:id="204"/>
      <w:bookmarkEnd w:id="205"/>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07" w:name="_Toc19750"/>
      <w:bookmarkStart w:id="208" w:name="_Toc4168"/>
      <w:r>
        <w:rPr>
          <w:rFonts w:hint="eastAsia"/>
          <w:color w:val="auto"/>
          <w:highlight w:val="none"/>
          <w:lang w:val="en-US" w:eastAsia="zh-CN"/>
        </w:rPr>
        <w:t>一、唱标一览表</w:t>
      </w:r>
      <w:bookmarkEnd w:id="207"/>
      <w:bookmarkEnd w:id="208"/>
    </w:p>
    <w:p>
      <w:pPr>
        <w:spacing w:line="360" w:lineRule="auto"/>
        <w:rPr>
          <w:color w:val="auto"/>
          <w:highlight w:val="none"/>
        </w:rPr>
      </w:pPr>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8"/>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8"/>
        <w:rPr>
          <w:color w:val="auto"/>
          <w:highlight w:val="none"/>
        </w:rPr>
      </w:pPr>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09" w:name="_Toc31172"/>
      <w:bookmarkStart w:id="210" w:name="_Toc31062"/>
      <w:r>
        <w:rPr>
          <w:rFonts w:hint="eastAsia"/>
          <w:color w:val="auto"/>
          <w:highlight w:val="none"/>
          <w:lang w:val="en-US" w:eastAsia="zh-CN"/>
        </w:rPr>
        <w:t>二、报价明细表</w:t>
      </w:r>
      <w:bookmarkEnd w:id="209"/>
      <w:bookmarkEnd w:id="210"/>
    </w:p>
    <w:p>
      <w:pPr>
        <w:pStyle w:val="31"/>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1"/>
        <w:rPr>
          <w:rFonts w:ascii="黑体" w:eastAsia="黑体"/>
          <w:color w:val="auto"/>
          <w:sz w:val="32"/>
          <w:szCs w:val="32"/>
          <w:highlight w:val="none"/>
        </w:rPr>
      </w:pPr>
    </w:p>
    <w:p>
      <w:pPr>
        <w:pStyle w:val="31"/>
        <w:rPr>
          <w:rFonts w:ascii="黑体" w:eastAsia="黑体"/>
          <w:color w:val="auto"/>
          <w:sz w:val="32"/>
          <w:szCs w:val="32"/>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11" w:name="_Toc23948"/>
      <w:bookmarkStart w:id="212" w:name="_Toc6471"/>
      <w:r>
        <w:rPr>
          <w:rFonts w:hint="eastAsia"/>
          <w:color w:val="auto"/>
          <w:highlight w:val="none"/>
          <w:lang w:val="en-US" w:eastAsia="zh-CN"/>
        </w:rPr>
        <w:t>第二章商务文件</w:t>
      </w:r>
      <w:bookmarkEnd w:id="211"/>
      <w:bookmarkEnd w:id="212"/>
    </w:p>
    <w:bookmarkEnd w:id="206"/>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3" w:name="_Toc23787"/>
      <w:bookmarkStart w:id="214" w:name="_Toc1952"/>
      <w:r>
        <w:rPr>
          <w:rFonts w:hint="eastAsia"/>
          <w:color w:val="auto"/>
          <w:highlight w:val="none"/>
          <w:lang w:val="en-US" w:eastAsia="zh-CN"/>
        </w:rPr>
        <w:t>一、投标函</w:t>
      </w:r>
      <w:bookmarkEnd w:id="213"/>
      <w:bookmarkEnd w:id="214"/>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5" w:name="_Toc28616"/>
      <w:bookmarkStart w:id="216" w:name="_Toc15719"/>
      <w:r>
        <w:rPr>
          <w:rFonts w:hint="eastAsia"/>
          <w:color w:val="auto"/>
          <w:highlight w:val="none"/>
          <w:lang w:val="en-US" w:eastAsia="zh-CN"/>
        </w:rPr>
        <w:t>二、资格申明函</w:t>
      </w:r>
      <w:bookmarkEnd w:id="215"/>
      <w:bookmarkEnd w:id="216"/>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ascii="宋体" w:hAnsi="宋体"/>
          <w:color w:val="auto"/>
          <w:szCs w:val="21"/>
          <w:highlight w:val="none"/>
        </w:rPr>
        <w:t>我方依法注册，在法律上、财务上和运作上完全独立于（甲方名称）（甲方）及</w:t>
      </w:r>
      <w:r>
        <w:rPr>
          <w:rFonts w:hint="eastAsia" w:ascii="宋体" w:hAnsi="宋体"/>
          <w:color w:val="auto"/>
          <w:szCs w:val="21"/>
          <w:highlight w:val="none"/>
        </w:rPr>
        <w:t>广东政通招标有限公司</w:t>
      </w:r>
      <w:r>
        <w:rPr>
          <w:rFonts w:ascii="宋体" w:hAnsi="宋体"/>
          <w:color w:val="auto"/>
          <w:szCs w:val="21"/>
          <w:highlight w:val="none"/>
        </w:rPr>
        <w:t>（采购代理机构）</w:t>
      </w:r>
      <w:r>
        <w:rPr>
          <w:rFonts w:hint="eastAsia" w:ascii="宋体" w:hAnsi="宋体"/>
          <w:color w:val="auto"/>
          <w:szCs w:val="21"/>
          <w:highlight w:val="none"/>
        </w:rPr>
        <w:t>。</w:t>
      </w:r>
    </w:p>
    <w:p>
      <w:pPr>
        <w:pStyle w:val="37"/>
        <w:spacing w:line="500" w:lineRule="atLeast"/>
        <w:ind w:firstLine="3517" w:firstLineChars="1675"/>
        <w:rPr>
          <w:rFonts w:ascii="宋体" w:eastAsia="宋体"/>
          <w:color w:val="auto"/>
          <w:sz w:val="21"/>
          <w:szCs w:val="21"/>
          <w:highlight w:val="none"/>
        </w:rPr>
      </w:pPr>
    </w:p>
    <w:p>
      <w:pPr>
        <w:pStyle w:val="37"/>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8"/>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8"/>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8"/>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8"/>
        <w:rPr>
          <w:color w:val="auto"/>
          <w:highlight w:val="none"/>
        </w:rPr>
      </w:pPr>
    </w:p>
    <w:p>
      <w:pPr>
        <w:pStyle w:val="23"/>
        <w:rPr>
          <w:color w:val="auto"/>
          <w:highlight w:val="none"/>
        </w:rPr>
      </w:pPr>
    </w:p>
    <w:p>
      <w:pPr>
        <w:pStyle w:val="20"/>
        <w:rPr>
          <w:color w:val="auto"/>
          <w:highlight w:val="none"/>
        </w:rPr>
      </w:pPr>
    </w:p>
    <w:p>
      <w:pPr>
        <w:rPr>
          <w:color w:val="auto"/>
          <w:highlight w:val="none"/>
        </w:rPr>
      </w:pPr>
    </w:p>
    <w:p>
      <w:pPr>
        <w:pStyle w:val="8"/>
        <w:rPr>
          <w:color w:val="auto"/>
          <w:highlight w:val="none"/>
        </w:rPr>
      </w:pPr>
    </w:p>
    <w:p>
      <w:pPr>
        <w:rPr>
          <w:color w:val="auto"/>
          <w:highlight w:val="none"/>
        </w:rPr>
      </w:pPr>
      <w:bookmarkStart w:id="217"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32742"/>
      <w:bookmarkStart w:id="219" w:name="_Toc21273"/>
      <w:r>
        <w:rPr>
          <w:rFonts w:hint="eastAsia"/>
          <w:color w:val="auto"/>
          <w:highlight w:val="none"/>
          <w:lang w:val="en-US" w:eastAsia="zh-CN"/>
        </w:rPr>
        <w:t>三、在参与采购活动前三年未有重大违法记录、没有不良信用记录的声明函</w:t>
      </w:r>
      <w:bookmarkEnd w:id="218"/>
      <w:bookmarkEnd w:id="219"/>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17"/>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0" w:name="_Toc3894"/>
      <w:bookmarkStart w:id="221" w:name="_Toc13243"/>
      <w:r>
        <w:rPr>
          <w:rFonts w:hint="eastAsia"/>
          <w:color w:val="auto"/>
          <w:highlight w:val="none"/>
          <w:lang w:val="en-US" w:eastAsia="zh-CN"/>
        </w:rPr>
        <w:t>四、法定代表人证明书</w:t>
      </w:r>
      <w:bookmarkEnd w:id="220"/>
      <w:bookmarkEnd w:id="221"/>
    </w:p>
    <w:p>
      <w:pPr>
        <w:pStyle w:val="3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7"/>
        <w:spacing w:line="420" w:lineRule="atLeast"/>
        <w:ind w:firstLine="433"/>
        <w:rPr>
          <w:rFonts w:ascii="宋体" w:eastAsia="宋体"/>
          <w:color w:val="auto"/>
          <w:sz w:val="21"/>
          <w:szCs w:val="21"/>
          <w:highlight w:val="none"/>
        </w:rPr>
      </w:pPr>
    </w:p>
    <w:p>
      <w:pPr>
        <w:pStyle w:val="37"/>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7"/>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2" w:name="_Toc5918"/>
      <w:bookmarkStart w:id="223" w:name="_Toc5626"/>
      <w:r>
        <w:rPr>
          <w:rFonts w:hint="eastAsia"/>
          <w:color w:val="auto"/>
          <w:highlight w:val="none"/>
          <w:lang w:val="en-US" w:eastAsia="zh-CN"/>
        </w:rPr>
        <w:t>五、法定代表人授权书</w:t>
      </w:r>
      <w:bookmarkEnd w:id="222"/>
      <w:bookmarkEnd w:id="223"/>
    </w:p>
    <w:p>
      <w:pPr>
        <w:pStyle w:val="3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7"/>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7"/>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7"/>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24"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25" w:name="_Toc18562"/>
      <w:bookmarkStart w:id="226" w:name="_Toc24013"/>
      <w:r>
        <w:rPr>
          <w:rFonts w:hint="eastAsia"/>
          <w:color w:val="auto"/>
          <w:highlight w:val="none"/>
          <w:lang w:val="en-US" w:eastAsia="zh-CN"/>
        </w:rPr>
        <w:t>六、投标人基本情况说明</w:t>
      </w:r>
      <w:bookmarkEnd w:id="225"/>
      <w:bookmarkEnd w:id="226"/>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27" w:name="_Toc5919"/>
      <w:bookmarkStart w:id="228" w:name="_Toc24210"/>
      <w:bookmarkStart w:id="229" w:name="_Toc28067"/>
      <w:bookmarkStart w:id="230" w:name="_Toc4926"/>
      <w:bookmarkStart w:id="231" w:name="_Toc1511"/>
      <w:bookmarkStart w:id="232" w:name="_Toc17470"/>
      <w:bookmarkStart w:id="233" w:name="_Toc29995"/>
      <w:r>
        <w:rPr>
          <w:rFonts w:hint="eastAsia"/>
          <w:color w:val="auto"/>
          <w:highlight w:val="none"/>
          <w:lang w:val="en-US" w:eastAsia="zh-CN"/>
        </w:rPr>
        <w:t>七、</w:t>
      </w:r>
      <w:r>
        <w:rPr>
          <w:rFonts w:hint="eastAsia"/>
          <w:color w:val="auto"/>
          <w:highlight w:val="none"/>
        </w:rPr>
        <w:t>营业执照</w:t>
      </w:r>
      <w:bookmarkEnd w:id="227"/>
      <w:bookmarkEnd w:id="228"/>
      <w:bookmarkEnd w:id="229"/>
      <w:bookmarkEnd w:id="230"/>
      <w:bookmarkEnd w:id="231"/>
      <w:bookmarkEnd w:id="232"/>
      <w:bookmarkEnd w:id="233"/>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24"/>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4" w:name="_Toc21638"/>
      <w:bookmarkStart w:id="235" w:name="_Toc29439"/>
      <w:r>
        <w:rPr>
          <w:rFonts w:hint="eastAsia"/>
          <w:color w:val="auto"/>
          <w:highlight w:val="none"/>
          <w:lang w:val="en-US" w:eastAsia="zh-CN"/>
        </w:rPr>
        <w:t>八、</w:t>
      </w:r>
      <w:r>
        <w:rPr>
          <w:rFonts w:hint="eastAsia"/>
          <w:color w:val="auto"/>
          <w:highlight w:val="none"/>
        </w:rPr>
        <w:t>特殊资格要求证明文件</w:t>
      </w:r>
      <w:bookmarkEnd w:id="234"/>
      <w:bookmarkEnd w:id="23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6" w:name="_Toc14263"/>
      <w:bookmarkStart w:id="237" w:name="_Toc23341"/>
      <w:r>
        <w:rPr>
          <w:rFonts w:hint="eastAsia"/>
          <w:color w:val="auto"/>
          <w:highlight w:val="none"/>
          <w:lang w:val="en-US" w:eastAsia="zh-CN"/>
        </w:rPr>
        <w:t>九、</w:t>
      </w:r>
      <w:r>
        <w:rPr>
          <w:rFonts w:hint="eastAsia"/>
          <w:color w:val="auto"/>
          <w:highlight w:val="none"/>
        </w:rPr>
        <w:t>承诺书</w:t>
      </w:r>
      <w:bookmarkEnd w:id="236"/>
      <w:bookmarkEnd w:id="237"/>
    </w:p>
    <w:p>
      <w:pPr>
        <w:pStyle w:val="37"/>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7"/>
        <w:spacing w:line="420" w:lineRule="exact"/>
        <w:ind w:firstLine="455"/>
        <w:rPr>
          <w:rFonts w:hint="eastAsia" w:ascii="宋体" w:hAnsi="宋体" w:eastAsia="宋体" w:cs="宋体"/>
          <w:b w:val="0"/>
          <w:bCs w:val="0"/>
          <w:color w:val="auto"/>
          <w:sz w:val="21"/>
          <w:szCs w:val="21"/>
          <w:highlight w:val="none"/>
        </w:rPr>
      </w:pPr>
      <w:bookmarkStart w:id="238"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38"/>
      <w:r>
        <w:rPr>
          <w:rFonts w:hint="eastAsia" w:ascii="宋体" w:hAnsi="宋体" w:eastAsia="宋体" w:cs="宋体"/>
          <w:b w:val="0"/>
          <w:bCs w:val="0"/>
          <w:color w:val="auto"/>
          <w:sz w:val="21"/>
          <w:szCs w:val="21"/>
          <w:highlight w:val="none"/>
        </w:rPr>
        <w:cr/>
      </w:r>
    </w:p>
    <w:p>
      <w:pPr>
        <w:pStyle w:val="37"/>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8"/>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8"/>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8"/>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8"/>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8"/>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8"/>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8"/>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8"/>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9" w:name="_Toc13955"/>
      <w:bookmarkStart w:id="240" w:name="_Toc13653"/>
      <w:r>
        <w:rPr>
          <w:rFonts w:hint="eastAsia"/>
          <w:color w:val="auto"/>
          <w:highlight w:val="none"/>
          <w:lang w:val="en-US" w:eastAsia="zh-CN"/>
        </w:rPr>
        <w:t>十、招标代理服务费承诺书</w:t>
      </w:r>
      <w:bookmarkEnd w:id="239"/>
      <w:bookmarkEnd w:id="240"/>
    </w:p>
    <w:p>
      <w:pPr>
        <w:pStyle w:val="37"/>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1" w:name="_Toc12598"/>
      <w:bookmarkStart w:id="242" w:name="_Toc1975"/>
      <w:r>
        <w:rPr>
          <w:rFonts w:hint="eastAsia"/>
          <w:color w:val="auto"/>
          <w:highlight w:val="none"/>
          <w:lang w:val="en-US" w:eastAsia="zh-CN"/>
        </w:rPr>
        <w:t>十一、</w:t>
      </w:r>
      <w:r>
        <w:rPr>
          <w:rFonts w:hint="eastAsia"/>
          <w:color w:val="auto"/>
          <w:highlight w:val="none"/>
        </w:rPr>
        <w:t>商务条款偏离表</w:t>
      </w:r>
      <w:bookmarkEnd w:id="241"/>
      <w:bookmarkEnd w:id="242"/>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243"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4" w:name="_Toc19276"/>
      <w:bookmarkStart w:id="245" w:name="_Toc25391"/>
      <w:r>
        <w:rPr>
          <w:rFonts w:hint="eastAsia"/>
          <w:color w:val="auto"/>
          <w:highlight w:val="none"/>
          <w:lang w:val="en-US" w:eastAsia="zh-CN"/>
        </w:rPr>
        <w:t>十二、</w:t>
      </w:r>
      <w:r>
        <w:rPr>
          <w:rFonts w:hint="eastAsia"/>
          <w:color w:val="auto"/>
          <w:highlight w:val="none"/>
        </w:rPr>
        <w:t>业绩表</w:t>
      </w:r>
      <w:bookmarkEnd w:id="244"/>
      <w:bookmarkEnd w:id="245"/>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4"/>
        <w:spacing w:after="0"/>
        <w:rPr>
          <w:rFonts w:ascii="宋体" w:hAnsi="宋体" w:eastAsia="宋体"/>
          <w:color w:val="auto"/>
          <w:sz w:val="21"/>
          <w:szCs w:val="21"/>
          <w:highlight w:val="none"/>
        </w:rPr>
      </w:pPr>
    </w:p>
    <w:p>
      <w:pPr>
        <w:pStyle w:val="34"/>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8"/>
        <w:rPr>
          <w:rFonts w:hint="eastAsia"/>
          <w:color w:val="auto"/>
          <w:highlight w:val="none"/>
        </w:rPr>
      </w:pPr>
    </w:p>
    <w:p>
      <w:pPr>
        <w:pStyle w:val="8"/>
        <w:ind w:left="0" w:leftChars="0" w:firstLine="0" w:firstLineChars="0"/>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246" w:name="_Toc20520"/>
      <w:bookmarkStart w:id="247" w:name="_Toc14688"/>
      <w:r>
        <w:rPr>
          <w:rFonts w:hint="eastAsia"/>
          <w:color w:val="auto"/>
          <w:highlight w:val="none"/>
          <w:lang w:val="en-US" w:eastAsia="zh-CN"/>
        </w:rPr>
        <w:t>第三章技术文件</w:t>
      </w:r>
      <w:bookmarkEnd w:id="243"/>
      <w:bookmarkEnd w:id="246"/>
      <w:bookmarkEnd w:id="247"/>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8" w:name="_Toc7092"/>
      <w:bookmarkStart w:id="249" w:name="_Toc13097"/>
      <w:r>
        <w:rPr>
          <w:rFonts w:hint="eastAsia"/>
          <w:color w:val="auto"/>
          <w:highlight w:val="none"/>
          <w:lang w:val="en-US" w:eastAsia="zh-CN"/>
        </w:rPr>
        <w:t>一、</w:t>
      </w:r>
      <w:r>
        <w:rPr>
          <w:rFonts w:hint="eastAsia"/>
          <w:color w:val="auto"/>
          <w:highlight w:val="none"/>
        </w:rPr>
        <w:t>技术规格偏离表</w:t>
      </w:r>
      <w:bookmarkEnd w:id="248"/>
      <w:bookmarkEnd w:id="249"/>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250" w:name="_Toc17691"/>
      <w:r>
        <w:rPr>
          <w:rFonts w:hint="eastAsia" w:ascii="宋体" w:hAnsi="宋体" w:eastAsia="宋体"/>
          <w:color w:val="auto"/>
          <w:sz w:val="21"/>
          <w:szCs w:val="21"/>
          <w:highlight w:val="none"/>
        </w:rPr>
        <w:br w:type="page"/>
      </w:r>
      <w:bookmarkEnd w:id="250"/>
      <w:bookmarkStart w:id="251" w:name="_Toc1274"/>
      <w:bookmarkStart w:id="252" w:name="_Toc26078"/>
      <w:bookmarkStart w:id="253" w:name="_Toc18668"/>
      <w:bookmarkStart w:id="254" w:name="_Toc6080"/>
      <w:bookmarkStart w:id="255" w:name="_Toc4464"/>
      <w:bookmarkStart w:id="256" w:name="_Toc4827"/>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7" w:name="_Toc13461"/>
      <w:bookmarkStart w:id="258" w:name="_Toc10734"/>
      <w:r>
        <w:rPr>
          <w:rFonts w:hint="eastAsia"/>
          <w:color w:val="auto"/>
          <w:highlight w:val="none"/>
          <w:lang w:val="en-US" w:eastAsia="zh-CN"/>
        </w:rPr>
        <w:t>二、</w:t>
      </w:r>
      <w:r>
        <w:rPr>
          <w:rFonts w:hint="eastAsia"/>
          <w:color w:val="auto"/>
          <w:highlight w:val="none"/>
        </w:rPr>
        <w:t>重要技术参数（▲）响应表</w:t>
      </w:r>
      <w:bookmarkEnd w:id="251"/>
      <w:bookmarkEnd w:id="252"/>
      <w:bookmarkEnd w:id="253"/>
      <w:bookmarkEnd w:id="254"/>
      <w:bookmarkEnd w:id="255"/>
      <w:bookmarkEnd w:id="256"/>
      <w:bookmarkEnd w:id="257"/>
      <w:bookmarkEnd w:id="258"/>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59" w:name="_Toc29642"/>
            <w:bookmarkStart w:id="260" w:name="_Toc27079"/>
            <w:bookmarkStart w:id="261" w:name="_Toc29560"/>
            <w:r>
              <w:rPr>
                <w:rFonts w:hint="eastAsia" w:ascii="宋体" w:hAnsi="宋体" w:eastAsia="宋体" w:cs="宋体"/>
                <w:b w:val="0"/>
                <w:bCs w:val="0"/>
                <w:color w:val="auto"/>
                <w:sz w:val="21"/>
                <w:szCs w:val="21"/>
                <w:highlight w:val="none"/>
                <w:lang w:val="en-US" w:eastAsia="zh-CN"/>
              </w:rPr>
              <w:t>序号</w:t>
            </w:r>
            <w:bookmarkEnd w:id="259"/>
            <w:bookmarkEnd w:id="260"/>
            <w:bookmarkEnd w:id="261"/>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62" w:name="_Toc15903"/>
            <w:bookmarkStart w:id="263" w:name="_Toc27090"/>
            <w:bookmarkStart w:id="264" w:name="_Toc14815"/>
            <w:bookmarkStart w:id="265" w:name="_Toc16872"/>
            <w:bookmarkStart w:id="266" w:name="_Toc10045"/>
            <w:bookmarkStart w:id="267" w:name="_Toc21739"/>
            <w:bookmarkStart w:id="268" w:name="_Toc26124"/>
            <w:bookmarkStart w:id="269" w:name="_Toc22448"/>
            <w:bookmarkStart w:id="270" w:name="_Toc4304"/>
            <w:bookmarkStart w:id="271" w:name="_Toc15368"/>
            <w:bookmarkStart w:id="272" w:name="_Toc2700"/>
            <w:bookmarkStart w:id="273" w:name="_Toc12049"/>
            <w:bookmarkStart w:id="274" w:name="_Toc1016"/>
            <w:bookmarkStart w:id="275" w:name="_Toc32531"/>
            <w:bookmarkStart w:id="276" w:name="_Toc19251"/>
            <w:bookmarkStart w:id="277" w:name="_Toc21809"/>
            <w:bookmarkStart w:id="278" w:name="_Toc8312"/>
            <w:bookmarkStart w:id="279" w:name="_Toc27442"/>
            <w:bookmarkStart w:id="280" w:name="_Toc22917"/>
            <w:bookmarkStart w:id="281" w:name="_Toc8490"/>
            <w:bookmarkStart w:id="282" w:name="_Toc7333"/>
            <w:bookmarkStart w:id="283" w:name="_Toc24662"/>
            <w:bookmarkStart w:id="284" w:name="_Toc22879"/>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262"/>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85" w:name="_Toc10122"/>
            <w:bookmarkStart w:id="286" w:name="_Toc22153"/>
            <w:bookmarkStart w:id="287" w:name="_Toc2408"/>
            <w:r>
              <w:rPr>
                <w:rFonts w:hint="eastAsia" w:ascii="宋体" w:hAnsi="宋体" w:eastAsia="宋体" w:cs="宋体"/>
                <w:b w:val="0"/>
                <w:bCs w:val="0"/>
                <w:color w:val="auto"/>
                <w:kern w:val="0"/>
                <w:sz w:val="21"/>
                <w:szCs w:val="21"/>
                <w:highlight w:val="none"/>
              </w:rPr>
              <w:t>投标文件响应内容</w:t>
            </w:r>
            <w:bookmarkEnd w:id="285"/>
            <w:bookmarkEnd w:id="286"/>
            <w:bookmarkEnd w:id="287"/>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88" w:name="_Toc27285"/>
            <w:bookmarkStart w:id="289" w:name="_Toc16003"/>
            <w:bookmarkStart w:id="290" w:name="_Toc29838"/>
            <w:bookmarkStart w:id="291" w:name="_Toc1330"/>
            <w:bookmarkStart w:id="292" w:name="_Toc27185"/>
            <w:bookmarkStart w:id="293" w:name="_Toc1912"/>
            <w:bookmarkStart w:id="294" w:name="_Toc20139"/>
            <w:bookmarkStart w:id="295" w:name="_Toc5563"/>
            <w:bookmarkStart w:id="296" w:name="_Toc3701"/>
            <w:bookmarkStart w:id="297" w:name="_Toc17642"/>
            <w:bookmarkStart w:id="298" w:name="_Toc20820"/>
            <w:bookmarkStart w:id="299" w:name="_Toc17296"/>
            <w:bookmarkStart w:id="300" w:name="_Toc5992"/>
            <w:r>
              <w:rPr>
                <w:rFonts w:hint="eastAsia" w:ascii="宋体" w:hAnsi="宋体" w:eastAsia="宋体" w:cs="宋体"/>
                <w:b w:val="0"/>
                <w:bCs w:val="0"/>
                <w:color w:val="auto"/>
                <w:sz w:val="21"/>
                <w:szCs w:val="21"/>
                <w:highlight w:val="none"/>
                <w:lang w:val="en-US" w:eastAsia="zh-CN"/>
              </w:rPr>
              <w:t>说明</w:t>
            </w:r>
            <w:bookmarkEnd w:id="288"/>
            <w:bookmarkEnd w:id="289"/>
            <w:bookmarkEnd w:id="290"/>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01" w:name="_Toc857"/>
            <w:bookmarkStart w:id="302" w:name="_Toc19105"/>
            <w:bookmarkStart w:id="303" w:name="_Toc3520"/>
            <w:r>
              <w:rPr>
                <w:rFonts w:hint="eastAsia" w:ascii="宋体" w:hAnsi="宋体" w:eastAsia="宋体" w:cs="宋体"/>
                <w:b w:val="0"/>
                <w:bCs w:val="0"/>
                <w:color w:val="auto"/>
                <w:sz w:val="21"/>
                <w:szCs w:val="21"/>
                <w:highlight w:val="none"/>
              </w:rPr>
              <w:t>页码范围</w:t>
            </w:r>
            <w:bookmarkEnd w:id="291"/>
            <w:bookmarkEnd w:id="292"/>
            <w:bookmarkEnd w:id="293"/>
            <w:bookmarkEnd w:id="294"/>
            <w:bookmarkEnd w:id="295"/>
            <w:bookmarkEnd w:id="296"/>
            <w:bookmarkEnd w:id="297"/>
            <w:bookmarkEnd w:id="298"/>
            <w:bookmarkEnd w:id="299"/>
            <w:bookmarkEnd w:id="300"/>
            <w:bookmarkEnd w:id="301"/>
            <w:bookmarkEnd w:id="302"/>
            <w:bookmarkEnd w:id="3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4"/>
        <w:spacing w:after="0" w:line="360" w:lineRule="auto"/>
        <w:rPr>
          <w:rFonts w:ascii="宋体" w:hAnsi="宋体" w:eastAsia="宋体"/>
          <w:color w:val="auto"/>
          <w:sz w:val="21"/>
          <w:szCs w:val="21"/>
          <w:highlight w:val="none"/>
        </w:rPr>
      </w:pPr>
    </w:p>
    <w:p>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4"/>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4"/>
        <w:spacing w:after="0" w:line="360" w:lineRule="auto"/>
        <w:rPr>
          <w:rFonts w:ascii="宋体" w:hAnsi="宋体" w:eastAsia="宋体"/>
          <w:color w:val="auto"/>
          <w:sz w:val="21"/>
          <w:szCs w:val="21"/>
          <w:highlight w:val="none"/>
        </w:rPr>
      </w:pPr>
    </w:p>
    <w:p>
      <w:pPr>
        <w:pStyle w:val="34"/>
        <w:numPr>
          <w:ilvl w:val="0"/>
          <w:numId w:val="10"/>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27139"/>
      <w:bookmarkStart w:id="305" w:name="_Toc19349"/>
      <w:r>
        <w:rPr>
          <w:rFonts w:hint="eastAsia"/>
          <w:color w:val="auto"/>
          <w:highlight w:val="none"/>
          <w:lang w:val="en-US" w:eastAsia="zh-CN"/>
        </w:rPr>
        <w:t>三、</w:t>
      </w:r>
      <w:r>
        <w:rPr>
          <w:rFonts w:hint="eastAsia"/>
          <w:color w:val="auto"/>
          <w:highlight w:val="none"/>
        </w:rPr>
        <w:t>实质性条款（标记★）投标响应表</w:t>
      </w:r>
      <w:bookmarkEnd w:id="304"/>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6"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05"/>
      <w:bookmarkEnd w:id="306"/>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7" w:name="_Toc16328"/>
      <w:bookmarkStart w:id="308" w:name="_Toc26880"/>
      <w:r>
        <w:rPr>
          <w:rFonts w:hint="eastAsia"/>
          <w:color w:val="auto"/>
          <w:highlight w:val="none"/>
          <w:lang w:val="en-US" w:eastAsia="zh-CN"/>
        </w:rPr>
        <w:t>五、项目负责人及团队成员资料表</w:t>
      </w:r>
      <w:bookmarkEnd w:id="307"/>
      <w:bookmarkEnd w:id="308"/>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8"/>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09" w:name="_Toc26980"/>
      <w:bookmarkStart w:id="310" w:name="_Toc15431"/>
      <w:r>
        <w:rPr>
          <w:rFonts w:hint="eastAsia"/>
          <w:color w:val="auto"/>
          <w:highlight w:val="none"/>
          <w:lang w:val="en-US" w:eastAsia="zh-CN"/>
        </w:rPr>
        <w:t>六、投标货物明细一览表</w:t>
      </w:r>
      <w:bookmarkEnd w:id="309"/>
      <w:bookmarkEnd w:id="310"/>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1" w:name="_Toc21541"/>
      <w:bookmarkStart w:id="312" w:name="_Toc16710"/>
      <w:r>
        <w:rPr>
          <w:rFonts w:hint="eastAsia"/>
          <w:color w:val="auto"/>
          <w:highlight w:val="none"/>
          <w:lang w:val="en-US" w:eastAsia="zh-CN"/>
        </w:rPr>
        <w:t>七、投标保证金汇入情况说明</w:t>
      </w:r>
      <w:bookmarkEnd w:id="311"/>
      <w:bookmarkEnd w:id="312"/>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）的招标文件要求，于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4"/>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此表既要装订在投标文件中，又要按投标人须知的规定与</w:t>
      </w:r>
      <w:r>
        <w:rPr>
          <w:rFonts w:hint="eastAsia" w:ascii="宋体" w:hAnsi="宋体" w:eastAsia="宋体"/>
          <w:b/>
          <w:bCs/>
          <w:color w:val="auto"/>
          <w:sz w:val="21"/>
          <w:szCs w:val="21"/>
          <w:highlight w:val="none"/>
          <w:lang w:eastAsia="zh-CN"/>
        </w:rPr>
        <w:t>唱标一览表</w:t>
      </w:r>
      <w:r>
        <w:rPr>
          <w:rFonts w:hint="eastAsia" w:ascii="宋体" w:hAnsi="宋体" w:eastAsia="宋体"/>
          <w:b/>
          <w:bCs/>
          <w:color w:val="auto"/>
          <w:sz w:val="21"/>
          <w:szCs w:val="21"/>
          <w:highlight w:val="none"/>
        </w:rPr>
        <w:t>、投标保证金汇款底单复印件及授权委托书一同密封装入</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3" w:name="_Toc24545"/>
      <w:bookmarkStart w:id="314" w:name="_Toc26855"/>
      <w:r>
        <w:rPr>
          <w:rFonts w:hint="eastAsia"/>
          <w:color w:val="auto"/>
          <w:highlight w:val="none"/>
          <w:lang w:val="en-US" w:eastAsia="zh-CN"/>
        </w:rPr>
        <w:t>八、采购投标担保函</w:t>
      </w:r>
      <w:bookmarkEnd w:id="313"/>
      <w:bookmarkEnd w:id="314"/>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（2）若投标人以投标担保函形式提交投标保证金，则应将投标担保函原件交予采购代理机构。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5" w:name="_Toc6961"/>
      <w:r>
        <w:rPr>
          <w:rFonts w:hint="eastAsia"/>
          <w:color w:val="auto"/>
          <w:highlight w:val="none"/>
          <w:lang w:val="en-US" w:eastAsia="zh-CN"/>
        </w:rPr>
        <w:t>九、采购履约担保函</w:t>
      </w:r>
      <w:bookmarkEnd w:id="31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8"/>
        <w:rPr>
          <w:color w:val="auto"/>
          <w:highlight w:val="none"/>
        </w:rPr>
      </w:pPr>
    </w:p>
    <w:p>
      <w:pPr>
        <w:bidi w:val="0"/>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6" w:name="_Toc26772"/>
      <w:bookmarkStart w:id="317" w:name="_Toc26782"/>
      <w:r>
        <w:rPr>
          <w:rFonts w:hint="eastAsia"/>
          <w:color w:val="auto"/>
          <w:highlight w:val="none"/>
          <w:lang w:val="en-US" w:eastAsia="zh-CN"/>
        </w:rPr>
        <w:t>第四章唱标信封（单独封装）</w:t>
      </w:r>
      <w:bookmarkEnd w:id="316"/>
      <w:bookmarkEnd w:id="31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）投标保证金汇入情况说明</w:t>
      </w:r>
      <w:r>
        <w:rPr>
          <w:rFonts w:hint="eastAsia"/>
          <w:color w:val="auto"/>
          <w:highlight w:val="none"/>
          <w:lang w:val="en-US" w:eastAsia="zh-CN"/>
        </w:rPr>
        <w:t>及</w:t>
      </w:r>
      <w:r>
        <w:rPr>
          <w:rFonts w:hint="eastAsia"/>
          <w:color w:val="auto"/>
          <w:highlight w:val="none"/>
        </w:rPr>
        <w:t>投标保证金汇款底单（复印件加盖公章）</w:t>
      </w:r>
      <w:r>
        <w:rPr>
          <w:rFonts w:hint="eastAsia"/>
          <w:color w:val="auto"/>
          <w:highlight w:val="none"/>
          <w:lang w:eastAsia="zh-CN"/>
        </w:rPr>
        <w:t>，</w:t>
      </w:r>
      <w:r>
        <w:rPr>
          <w:rFonts w:hint="eastAsia"/>
          <w:color w:val="auto"/>
          <w:highlight w:val="none"/>
          <w:lang w:val="en-US" w:eastAsia="zh-CN"/>
        </w:rPr>
        <w:t>或《采购投标担保函》复印件。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18"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9" w:name="_Toc2710"/>
      <w:bookmarkStart w:id="320" w:name="_Toc22736"/>
      <w:r>
        <w:rPr>
          <w:rFonts w:hint="eastAsia"/>
          <w:color w:val="auto"/>
          <w:highlight w:val="none"/>
          <w:lang w:val="en-US" w:eastAsia="zh-CN"/>
        </w:rPr>
        <w:t>第五章联合体共同投标协议书（如有需要）</w:t>
      </w:r>
      <w:bookmarkEnd w:id="319"/>
      <w:bookmarkEnd w:id="32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18"/>
    <w:p>
      <w:pPr>
        <w:pStyle w:val="8"/>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8"/>
        <w:rPr>
          <w:color w:val="auto"/>
          <w:highlight w:val="none"/>
        </w:rPr>
      </w:pPr>
    </w:p>
    <w:p>
      <w:pPr>
        <w:spacing w:after="0" w:line="360" w:lineRule="auto"/>
        <w:rPr>
          <w:color w:val="auto"/>
          <w:highlight w:val="none"/>
        </w:rPr>
      </w:pPr>
    </w:p>
    <w:p>
      <w:pPr>
        <w:pStyle w:val="8"/>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4"/>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3"/>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F73DC5D7"/>
    <w:multiLevelType w:val="singleLevel"/>
    <w:tmpl w:val="F73DC5D7"/>
    <w:lvl w:ilvl="0" w:tentative="0">
      <w:start w:val="1"/>
      <w:numFmt w:val="decimal"/>
      <w:suff w:val="nothing"/>
      <w:lvlText w:val="（%1）"/>
      <w:lvlJc w:val="left"/>
    </w:lvl>
  </w:abstractNum>
  <w:abstractNum w:abstractNumId="4">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206CABF7"/>
    <w:multiLevelType w:val="singleLevel"/>
    <w:tmpl w:val="206CABF7"/>
    <w:lvl w:ilvl="0" w:tentative="0">
      <w:start w:val="1"/>
      <w:numFmt w:val="decimal"/>
      <w:suff w:val="nothing"/>
      <w:lvlText w:val="（%1）"/>
      <w:lvlJc w:val="left"/>
    </w:lvl>
  </w:abstractNum>
  <w:abstractNum w:abstractNumId="7">
    <w:nsid w:val="316010E5"/>
    <w:multiLevelType w:val="singleLevel"/>
    <w:tmpl w:val="316010E5"/>
    <w:lvl w:ilvl="0" w:tentative="0">
      <w:start w:val="1"/>
      <w:numFmt w:val="decimal"/>
      <w:suff w:val="nothing"/>
      <w:lvlText w:val="%1．"/>
      <w:lvlJc w:val="left"/>
    </w:lvl>
  </w:abstractNum>
  <w:abstractNum w:abstractNumId="8">
    <w:nsid w:val="3B1B8417"/>
    <w:multiLevelType w:val="singleLevel"/>
    <w:tmpl w:val="3B1B8417"/>
    <w:lvl w:ilvl="0" w:tentative="0">
      <w:start w:val="1"/>
      <w:numFmt w:val="decimal"/>
      <w:suff w:val="nothing"/>
      <w:lvlText w:val="%1、"/>
      <w:lvlJc w:val="left"/>
    </w:lvl>
  </w:abstractNum>
  <w:abstractNum w:abstractNumId="9">
    <w:nsid w:val="3F88662E"/>
    <w:multiLevelType w:val="singleLevel"/>
    <w:tmpl w:val="3F88662E"/>
    <w:lvl w:ilvl="0" w:tentative="0">
      <w:start w:val="1"/>
      <w:numFmt w:val="decimal"/>
      <w:suff w:val="space"/>
      <w:lvlText w:val="%1)"/>
      <w:lvlJc w:val="left"/>
    </w:lvl>
  </w:abstractNum>
  <w:abstractNum w:abstractNumId="10">
    <w:nsid w:val="6E5CE7BD"/>
    <w:multiLevelType w:val="singleLevel"/>
    <w:tmpl w:val="6E5CE7BD"/>
    <w:lvl w:ilvl="0" w:tentative="0">
      <w:start w:val="1"/>
      <w:numFmt w:val="chineseCounting"/>
      <w:suff w:val="nothing"/>
      <w:lvlText w:val="%1、"/>
      <w:lvlJc w:val="left"/>
      <w:rPr>
        <w:rFonts w:hint="eastAsia"/>
      </w:rPr>
    </w:lvl>
  </w:abstractNum>
  <w:num w:numId="1">
    <w:abstractNumId w:val="10"/>
  </w:num>
  <w:num w:numId="2">
    <w:abstractNumId w:val="8"/>
  </w:num>
  <w:num w:numId="3">
    <w:abstractNumId w:val="5"/>
  </w:num>
  <w:num w:numId="4">
    <w:abstractNumId w:val="9"/>
  </w:num>
  <w:num w:numId="5">
    <w:abstractNumId w:val="6"/>
  </w:num>
  <w:num w:numId="6">
    <w:abstractNumId w:val="3"/>
  </w:num>
  <w:num w:numId="7">
    <w:abstractNumId w:val="1"/>
  </w:num>
  <w:num w:numId="8">
    <w:abstractNumId w:val="2"/>
  </w:num>
  <w:num w:numId="9">
    <w:abstractNumId w:val="4"/>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651C"/>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94604F"/>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4846FF"/>
    <w:rsid w:val="0B797387"/>
    <w:rsid w:val="0B8B2381"/>
    <w:rsid w:val="0BA03F05"/>
    <w:rsid w:val="0BC044BE"/>
    <w:rsid w:val="0BDF26F7"/>
    <w:rsid w:val="0C264099"/>
    <w:rsid w:val="0C2B4952"/>
    <w:rsid w:val="0C7B2220"/>
    <w:rsid w:val="0D890E47"/>
    <w:rsid w:val="0DC64A00"/>
    <w:rsid w:val="0DE809AA"/>
    <w:rsid w:val="0DFC60BA"/>
    <w:rsid w:val="0E4249F1"/>
    <w:rsid w:val="0E7B4FF1"/>
    <w:rsid w:val="0F6C5A53"/>
    <w:rsid w:val="0F7C5FF6"/>
    <w:rsid w:val="0FC63FBD"/>
    <w:rsid w:val="106C564D"/>
    <w:rsid w:val="107B7B8F"/>
    <w:rsid w:val="107C67CE"/>
    <w:rsid w:val="1080523F"/>
    <w:rsid w:val="108F06C9"/>
    <w:rsid w:val="109D68CB"/>
    <w:rsid w:val="10A949B8"/>
    <w:rsid w:val="10C54639"/>
    <w:rsid w:val="11200D07"/>
    <w:rsid w:val="11DA73AF"/>
    <w:rsid w:val="1285542E"/>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460CF5"/>
    <w:rsid w:val="1A7F297D"/>
    <w:rsid w:val="1AB16AC1"/>
    <w:rsid w:val="1B034A52"/>
    <w:rsid w:val="1B1F34AD"/>
    <w:rsid w:val="1B8D5DC6"/>
    <w:rsid w:val="1BFE1D3B"/>
    <w:rsid w:val="1C2775EC"/>
    <w:rsid w:val="1C750ECE"/>
    <w:rsid w:val="1CA22168"/>
    <w:rsid w:val="1D0836D7"/>
    <w:rsid w:val="1D196139"/>
    <w:rsid w:val="1DB85900"/>
    <w:rsid w:val="1DF051AF"/>
    <w:rsid w:val="1E010AF7"/>
    <w:rsid w:val="1E0178EB"/>
    <w:rsid w:val="1E301173"/>
    <w:rsid w:val="1E38333E"/>
    <w:rsid w:val="1E5C7612"/>
    <w:rsid w:val="1EA40BB4"/>
    <w:rsid w:val="1F43381C"/>
    <w:rsid w:val="1F691E82"/>
    <w:rsid w:val="1FA4148D"/>
    <w:rsid w:val="20121621"/>
    <w:rsid w:val="20177EEF"/>
    <w:rsid w:val="201A421D"/>
    <w:rsid w:val="20341172"/>
    <w:rsid w:val="204E554F"/>
    <w:rsid w:val="20590035"/>
    <w:rsid w:val="20C35213"/>
    <w:rsid w:val="20FC799E"/>
    <w:rsid w:val="219B07AF"/>
    <w:rsid w:val="219D62EB"/>
    <w:rsid w:val="22154DDD"/>
    <w:rsid w:val="22213E42"/>
    <w:rsid w:val="22336873"/>
    <w:rsid w:val="23175889"/>
    <w:rsid w:val="238C2182"/>
    <w:rsid w:val="239015D1"/>
    <w:rsid w:val="23BB4E7D"/>
    <w:rsid w:val="23C172D6"/>
    <w:rsid w:val="23F04F64"/>
    <w:rsid w:val="247051F5"/>
    <w:rsid w:val="24814CBE"/>
    <w:rsid w:val="24AC168B"/>
    <w:rsid w:val="258C3BEC"/>
    <w:rsid w:val="25E576CC"/>
    <w:rsid w:val="260E3862"/>
    <w:rsid w:val="262569FC"/>
    <w:rsid w:val="26344C98"/>
    <w:rsid w:val="26F56CE2"/>
    <w:rsid w:val="27295937"/>
    <w:rsid w:val="27435D49"/>
    <w:rsid w:val="27A34F71"/>
    <w:rsid w:val="27B36A67"/>
    <w:rsid w:val="27EB0D9B"/>
    <w:rsid w:val="286602C8"/>
    <w:rsid w:val="28665C95"/>
    <w:rsid w:val="28A64522"/>
    <w:rsid w:val="28CC5B40"/>
    <w:rsid w:val="290B3EB9"/>
    <w:rsid w:val="291418C2"/>
    <w:rsid w:val="2950768C"/>
    <w:rsid w:val="296543A4"/>
    <w:rsid w:val="29794227"/>
    <w:rsid w:val="297A5FC4"/>
    <w:rsid w:val="2A1113BC"/>
    <w:rsid w:val="2A8D4F8F"/>
    <w:rsid w:val="2A911082"/>
    <w:rsid w:val="2A917B34"/>
    <w:rsid w:val="2AE3766F"/>
    <w:rsid w:val="2B10433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A038C"/>
    <w:rsid w:val="308C7755"/>
    <w:rsid w:val="30B05092"/>
    <w:rsid w:val="30FF27D2"/>
    <w:rsid w:val="31170995"/>
    <w:rsid w:val="31264A30"/>
    <w:rsid w:val="31372D40"/>
    <w:rsid w:val="31550894"/>
    <w:rsid w:val="31884E67"/>
    <w:rsid w:val="31A0275E"/>
    <w:rsid w:val="31B7357A"/>
    <w:rsid w:val="31ED6B08"/>
    <w:rsid w:val="31F915C9"/>
    <w:rsid w:val="321449A9"/>
    <w:rsid w:val="32610CE6"/>
    <w:rsid w:val="32631A32"/>
    <w:rsid w:val="328464CE"/>
    <w:rsid w:val="32AB70C5"/>
    <w:rsid w:val="32DC33E0"/>
    <w:rsid w:val="335D0AF5"/>
    <w:rsid w:val="3370088C"/>
    <w:rsid w:val="33A3154A"/>
    <w:rsid w:val="33DC2F78"/>
    <w:rsid w:val="3428227C"/>
    <w:rsid w:val="35260F83"/>
    <w:rsid w:val="35602226"/>
    <w:rsid w:val="356B72E7"/>
    <w:rsid w:val="3572424F"/>
    <w:rsid w:val="35FC3844"/>
    <w:rsid w:val="366061FD"/>
    <w:rsid w:val="36794DEF"/>
    <w:rsid w:val="36AD519D"/>
    <w:rsid w:val="36B57705"/>
    <w:rsid w:val="374F1A0B"/>
    <w:rsid w:val="37A103ED"/>
    <w:rsid w:val="37EA5E6E"/>
    <w:rsid w:val="37F77C8B"/>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BF267D2"/>
    <w:rsid w:val="3C414142"/>
    <w:rsid w:val="3CE114D9"/>
    <w:rsid w:val="3CF737A2"/>
    <w:rsid w:val="3CF7509A"/>
    <w:rsid w:val="3D10295A"/>
    <w:rsid w:val="3E0572FD"/>
    <w:rsid w:val="3E1A5292"/>
    <w:rsid w:val="3E58363C"/>
    <w:rsid w:val="3E5A7FE7"/>
    <w:rsid w:val="3EC8179E"/>
    <w:rsid w:val="3EF66B2E"/>
    <w:rsid w:val="3F217914"/>
    <w:rsid w:val="3F824D49"/>
    <w:rsid w:val="3F942B76"/>
    <w:rsid w:val="3FD70BB0"/>
    <w:rsid w:val="3FFB55AC"/>
    <w:rsid w:val="401C5F9D"/>
    <w:rsid w:val="401C690C"/>
    <w:rsid w:val="401D7195"/>
    <w:rsid w:val="40557A6C"/>
    <w:rsid w:val="405F1BE4"/>
    <w:rsid w:val="40A51286"/>
    <w:rsid w:val="40CE3DC0"/>
    <w:rsid w:val="40D7455A"/>
    <w:rsid w:val="40E743E5"/>
    <w:rsid w:val="4110038E"/>
    <w:rsid w:val="41734CBA"/>
    <w:rsid w:val="41B51F6B"/>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B35566"/>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C525AA"/>
    <w:rsid w:val="48F303D7"/>
    <w:rsid w:val="492837FF"/>
    <w:rsid w:val="492E6A57"/>
    <w:rsid w:val="49385671"/>
    <w:rsid w:val="49B86103"/>
    <w:rsid w:val="4A0030EE"/>
    <w:rsid w:val="4AC36065"/>
    <w:rsid w:val="4B1926BD"/>
    <w:rsid w:val="4B560086"/>
    <w:rsid w:val="4B7501F5"/>
    <w:rsid w:val="4B8C2DEB"/>
    <w:rsid w:val="4BFA3C9F"/>
    <w:rsid w:val="4C0E3379"/>
    <w:rsid w:val="4C107F48"/>
    <w:rsid w:val="4C3277BC"/>
    <w:rsid w:val="4C686851"/>
    <w:rsid w:val="4CB25875"/>
    <w:rsid w:val="4CC353EB"/>
    <w:rsid w:val="4CF36F3C"/>
    <w:rsid w:val="4D4F67BA"/>
    <w:rsid w:val="4D603399"/>
    <w:rsid w:val="4D867EE1"/>
    <w:rsid w:val="4DBC4C65"/>
    <w:rsid w:val="4DF6568D"/>
    <w:rsid w:val="4E2E1A80"/>
    <w:rsid w:val="4E550010"/>
    <w:rsid w:val="4E5F14CB"/>
    <w:rsid w:val="4F3705F8"/>
    <w:rsid w:val="4F651D09"/>
    <w:rsid w:val="4FAC3540"/>
    <w:rsid w:val="4FBB12F4"/>
    <w:rsid w:val="4FCF1583"/>
    <w:rsid w:val="4FFA7625"/>
    <w:rsid w:val="501B0BF9"/>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9A6BFA"/>
    <w:rsid w:val="549E5F97"/>
    <w:rsid w:val="54E72921"/>
    <w:rsid w:val="554A7084"/>
    <w:rsid w:val="55806F07"/>
    <w:rsid w:val="55FA2961"/>
    <w:rsid w:val="565E3E0E"/>
    <w:rsid w:val="565E7F4F"/>
    <w:rsid w:val="5661182E"/>
    <w:rsid w:val="56775789"/>
    <w:rsid w:val="56857D06"/>
    <w:rsid w:val="56914056"/>
    <w:rsid w:val="569F0E63"/>
    <w:rsid w:val="56DB613D"/>
    <w:rsid w:val="56F5149D"/>
    <w:rsid w:val="573810DA"/>
    <w:rsid w:val="57FC2169"/>
    <w:rsid w:val="58096275"/>
    <w:rsid w:val="580E4560"/>
    <w:rsid w:val="581C04F1"/>
    <w:rsid w:val="582E6EF7"/>
    <w:rsid w:val="58434392"/>
    <w:rsid w:val="584E30E6"/>
    <w:rsid w:val="58DA3E9C"/>
    <w:rsid w:val="59014D02"/>
    <w:rsid w:val="595E73E4"/>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876980"/>
    <w:rsid w:val="5CB23AE6"/>
    <w:rsid w:val="5CF55792"/>
    <w:rsid w:val="5CFD533A"/>
    <w:rsid w:val="5D893B14"/>
    <w:rsid w:val="5D9F3D30"/>
    <w:rsid w:val="5E2810D5"/>
    <w:rsid w:val="5E2B7D62"/>
    <w:rsid w:val="5E71411E"/>
    <w:rsid w:val="5EA06921"/>
    <w:rsid w:val="5ED5006A"/>
    <w:rsid w:val="5F576E4B"/>
    <w:rsid w:val="5F5D4EDE"/>
    <w:rsid w:val="5F7A2C30"/>
    <w:rsid w:val="5FBE370A"/>
    <w:rsid w:val="6001007D"/>
    <w:rsid w:val="60292845"/>
    <w:rsid w:val="61027308"/>
    <w:rsid w:val="612E1A5D"/>
    <w:rsid w:val="61816046"/>
    <w:rsid w:val="62182687"/>
    <w:rsid w:val="62357209"/>
    <w:rsid w:val="62391564"/>
    <w:rsid w:val="62816669"/>
    <w:rsid w:val="62BA0953"/>
    <w:rsid w:val="62D03A7C"/>
    <w:rsid w:val="62F16BCB"/>
    <w:rsid w:val="62F648FE"/>
    <w:rsid w:val="63341DB1"/>
    <w:rsid w:val="63447612"/>
    <w:rsid w:val="63907004"/>
    <w:rsid w:val="63A10995"/>
    <w:rsid w:val="63C23EFA"/>
    <w:rsid w:val="643A070A"/>
    <w:rsid w:val="644C573D"/>
    <w:rsid w:val="648667A7"/>
    <w:rsid w:val="64DB383A"/>
    <w:rsid w:val="65023820"/>
    <w:rsid w:val="65032F85"/>
    <w:rsid w:val="65136B50"/>
    <w:rsid w:val="657E2A35"/>
    <w:rsid w:val="65A94E9D"/>
    <w:rsid w:val="65C60A92"/>
    <w:rsid w:val="662203DD"/>
    <w:rsid w:val="666B723B"/>
    <w:rsid w:val="6678045A"/>
    <w:rsid w:val="66DD6702"/>
    <w:rsid w:val="679406CB"/>
    <w:rsid w:val="67AB52F1"/>
    <w:rsid w:val="67C35C0B"/>
    <w:rsid w:val="681233D2"/>
    <w:rsid w:val="681D5EE5"/>
    <w:rsid w:val="685A100C"/>
    <w:rsid w:val="68652AB3"/>
    <w:rsid w:val="6895578E"/>
    <w:rsid w:val="689F1926"/>
    <w:rsid w:val="68AD17BB"/>
    <w:rsid w:val="68CA6C52"/>
    <w:rsid w:val="68D94D22"/>
    <w:rsid w:val="692B2E4A"/>
    <w:rsid w:val="694303FB"/>
    <w:rsid w:val="696A0B34"/>
    <w:rsid w:val="698D6A17"/>
    <w:rsid w:val="69A233E7"/>
    <w:rsid w:val="69EE3535"/>
    <w:rsid w:val="69F954C1"/>
    <w:rsid w:val="6A2031B6"/>
    <w:rsid w:val="6A440C53"/>
    <w:rsid w:val="6AC61F6F"/>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D7B7F"/>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4556B4"/>
    <w:rsid w:val="715B60E9"/>
    <w:rsid w:val="7179229F"/>
    <w:rsid w:val="71E96309"/>
    <w:rsid w:val="71EA1FED"/>
    <w:rsid w:val="72284A0C"/>
    <w:rsid w:val="72C16204"/>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6E5849"/>
    <w:rsid w:val="75784473"/>
    <w:rsid w:val="757E044C"/>
    <w:rsid w:val="75977BC3"/>
    <w:rsid w:val="759C54AC"/>
    <w:rsid w:val="75B161B3"/>
    <w:rsid w:val="75E470E3"/>
    <w:rsid w:val="76736B32"/>
    <w:rsid w:val="76E3765E"/>
    <w:rsid w:val="76FC2AFA"/>
    <w:rsid w:val="773F0836"/>
    <w:rsid w:val="77653671"/>
    <w:rsid w:val="778546CC"/>
    <w:rsid w:val="77B56730"/>
    <w:rsid w:val="77C04A8B"/>
    <w:rsid w:val="77D85DB3"/>
    <w:rsid w:val="780252A0"/>
    <w:rsid w:val="78027772"/>
    <w:rsid w:val="787D288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5E03C9"/>
    <w:rsid w:val="7C8E3CCF"/>
    <w:rsid w:val="7CA54112"/>
    <w:rsid w:val="7CE50CE4"/>
    <w:rsid w:val="7D2177E3"/>
    <w:rsid w:val="7D2E5ABF"/>
    <w:rsid w:val="7D5F25FA"/>
    <w:rsid w:val="7D8C55EE"/>
    <w:rsid w:val="7E2142A2"/>
    <w:rsid w:val="7E4F5384"/>
    <w:rsid w:val="7E5A6DFA"/>
    <w:rsid w:val="7E7B0BF2"/>
    <w:rsid w:val="7E7C7A78"/>
    <w:rsid w:val="7E8D75B6"/>
    <w:rsid w:val="7EA6506C"/>
    <w:rsid w:val="7EB2417D"/>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5"/>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paragraph" w:styleId="7">
    <w:name w:val="annotation text"/>
    <w:basedOn w:val="1"/>
    <w:semiHidden/>
    <w:unhideWhenUsed/>
    <w:qFormat/>
    <w:uiPriority w:val="99"/>
  </w:style>
  <w:style w:type="paragraph" w:styleId="8">
    <w:name w:val="Body Text"/>
    <w:basedOn w:val="1"/>
    <w:next w:val="1"/>
    <w:qFormat/>
    <w:uiPriority w:val="1"/>
    <w:pPr>
      <w:spacing w:before="161"/>
      <w:ind w:left="120"/>
    </w:pPr>
    <w:rPr>
      <w:rFonts w:ascii="宋体" w:hAnsi="宋体" w:eastAsia="宋体" w:cs="宋体"/>
      <w:sz w:val="24"/>
      <w:lang w:val="zh-CN" w:bidi="zh-CN"/>
    </w:rPr>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8"/>
    <w:semiHidden/>
    <w:unhideWhenUsed/>
    <w:qFormat/>
    <w:uiPriority w:val="99"/>
    <w:pPr>
      <w:spacing w:after="0"/>
    </w:pPr>
    <w:rPr>
      <w:sz w:val="18"/>
      <w:szCs w:val="18"/>
    </w:rPr>
  </w:style>
  <w:style w:type="paragraph" w:styleId="13">
    <w:name w:val="footer"/>
    <w:basedOn w:val="1"/>
    <w:link w:val="47"/>
    <w:unhideWhenUsed/>
    <w:qFormat/>
    <w:uiPriority w:val="99"/>
    <w:pPr>
      <w:tabs>
        <w:tab w:val="center" w:pos="4153"/>
        <w:tab w:val="right" w:pos="8306"/>
      </w:tabs>
    </w:pPr>
    <w:rPr>
      <w:sz w:val="18"/>
      <w:szCs w:val="18"/>
    </w:rPr>
  </w:style>
  <w:style w:type="paragraph" w:styleId="14">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pPr>
      <w:snapToGrid w:val="0"/>
      <w:jc w:val="left"/>
    </w:pPr>
    <w:rPr>
      <w:sz w:val="18"/>
    </w:rPr>
  </w:style>
  <w:style w:type="paragraph" w:styleId="20">
    <w:name w:val="toc 6"/>
    <w:basedOn w:val="1"/>
    <w:next w:val="1"/>
    <w:qFormat/>
    <w:uiPriority w:val="0"/>
    <w:pPr>
      <w:ind w:left="1200"/>
    </w:pPr>
    <w:rPr>
      <w:rFonts w:ascii="Calibri" w:cs="Calibri"/>
      <w:sz w:val="18"/>
      <w:szCs w:val="18"/>
    </w:rPr>
  </w:style>
  <w:style w:type="paragraph" w:styleId="21">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2">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paragraph" w:styleId="23">
    <w:name w:val="Body Text First Indent"/>
    <w:basedOn w:val="8"/>
    <w:next w:val="20"/>
    <w:unhideWhenUsed/>
    <w:qFormat/>
    <w:uiPriority w:val="99"/>
    <w:pPr>
      <w:ind w:firstLine="420" w:firstLineChars="100"/>
    </w:pPr>
    <w:rPr>
      <w:rFonts w:ascii="Times New Roman" w:hAnsi="Times New Roman" w:cs="Times New Roman"/>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autoSpaceDE/>
      <w:autoSpaceDN/>
      <w:adjustRightInd/>
      <w:spacing w:before="25" w:after="25"/>
    </w:pPr>
    <w:rPr>
      <w:rFonts w:ascii="Times New Roman"/>
      <w:bCs/>
      <w:spacing w:val="10"/>
      <w:szCs w:val="20"/>
    </w:rPr>
  </w:style>
  <w:style w:type="character" w:customStyle="1" w:styleId="32">
    <w:name w:val="标题 2 Char"/>
    <w:basedOn w:val="26"/>
    <w:link w:val="4"/>
    <w:qFormat/>
    <w:uiPriority w:val="9"/>
    <w:rPr>
      <w:rFonts w:asciiTheme="majorHAnsi" w:hAnsiTheme="majorHAnsi" w:eastAsiaTheme="majorEastAsia" w:cstheme="majorBidi"/>
      <w:b/>
      <w:bCs/>
      <w:sz w:val="32"/>
      <w:szCs w:val="32"/>
    </w:rPr>
  </w:style>
  <w:style w:type="character" w:customStyle="1" w:styleId="33">
    <w:name w:val="标题 3 Char"/>
    <w:basedOn w:val="26"/>
    <w:link w:val="5"/>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Char"/>
    <w:basedOn w:val="26"/>
    <w:link w:val="6"/>
    <w:qFormat/>
    <w:uiPriority w:val="9"/>
    <w:rPr>
      <w:rFonts w:eastAsia="宋体" w:asciiTheme="majorAscii" w:hAnsiTheme="majorAsci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next w:val="1"/>
    <w:link w:val="36"/>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5"/>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6"/>
    <w:link w:val="10"/>
    <w:semiHidden/>
    <w:qFormat/>
    <w:uiPriority w:val="99"/>
    <w:rPr>
      <w:rFonts w:ascii="宋体" w:hAnsi="Courier New" w:eastAsia="宋体" w:cs="Courier New"/>
      <w:sz w:val="21"/>
      <w:szCs w:val="21"/>
    </w:rPr>
  </w:style>
  <w:style w:type="character" w:customStyle="1" w:styleId="46">
    <w:name w:val="页眉 Char"/>
    <w:basedOn w:val="26"/>
    <w:link w:val="14"/>
    <w:qFormat/>
    <w:uiPriority w:val="99"/>
    <w:rPr>
      <w:rFonts w:ascii="Tahoma" w:hAnsi="Tahoma"/>
      <w:sz w:val="18"/>
      <w:szCs w:val="18"/>
    </w:rPr>
  </w:style>
  <w:style w:type="character" w:customStyle="1" w:styleId="47">
    <w:name w:val="页脚 Char"/>
    <w:basedOn w:val="26"/>
    <w:link w:val="13"/>
    <w:qFormat/>
    <w:uiPriority w:val="99"/>
    <w:rPr>
      <w:rFonts w:ascii="Tahoma" w:hAnsi="Tahoma"/>
      <w:sz w:val="18"/>
      <w:szCs w:val="18"/>
    </w:rPr>
  </w:style>
  <w:style w:type="character" w:customStyle="1" w:styleId="48">
    <w:name w:val="批注框文本 Char"/>
    <w:basedOn w:val="26"/>
    <w:link w:val="12"/>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2"/>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7"/>
    <w:qFormat/>
    <w:uiPriority w:val="0"/>
    <w:pPr>
      <w:ind w:firstLine="0" w:firstLineChars="0"/>
    </w:pPr>
  </w:style>
  <w:style w:type="paragraph" w:customStyle="1" w:styleId="55">
    <w:name w:val="一级条标题"/>
    <w:basedOn w:val="56"/>
    <w:next w:val="57"/>
    <w:qFormat/>
    <w:uiPriority w:val="0"/>
    <w:pPr>
      <w:tabs>
        <w:tab w:val="left" w:pos="720"/>
      </w:tabs>
      <w:spacing w:beforeLines="0" w:afterLines="0"/>
      <w:outlineLvl w:val="2"/>
    </w:pPr>
  </w:style>
  <w:style w:type="paragraph" w:customStyle="1" w:styleId="56">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8">
    <w:name w:val="font31"/>
    <w:basedOn w:val="26"/>
    <w:qFormat/>
    <w:uiPriority w:val="0"/>
    <w:rPr>
      <w:rFonts w:hint="eastAsia" w:ascii="宋体" w:hAnsi="宋体" w:eastAsia="宋体" w:cs="宋体"/>
      <w:color w:val="000000"/>
      <w:sz w:val="24"/>
      <w:szCs w:val="24"/>
      <w:u w:val="none"/>
    </w:rPr>
  </w:style>
  <w:style w:type="character" w:customStyle="1" w:styleId="59">
    <w:name w:val="font01"/>
    <w:basedOn w:val="26"/>
    <w:qFormat/>
    <w:uiPriority w:val="0"/>
    <w:rPr>
      <w:rFonts w:ascii="宋体" w:hAnsi="宋体" w:eastAsia="宋体" w:cs="宋体"/>
      <w:color w:val="000000"/>
      <w:sz w:val="24"/>
      <w:szCs w:val="24"/>
      <w:u w:val="none"/>
    </w:rPr>
  </w:style>
  <w:style w:type="character" w:customStyle="1" w:styleId="60">
    <w:name w:val="font41"/>
    <w:basedOn w:val="26"/>
    <w:uiPriority w:val="0"/>
    <w:rPr>
      <w:rFonts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74</Pages>
  <Words>28925</Words>
  <Characters>29704</Characters>
  <Lines>264</Lines>
  <Paragraphs>74</Paragraphs>
  <TotalTime>0</TotalTime>
  <ScaleCrop>false</ScaleCrop>
  <LinksUpToDate>false</LinksUpToDate>
  <CharactersWithSpaces>32931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七月！</cp:lastModifiedBy>
  <cp:lastPrinted>2021-04-23T09:50:00Z</cp:lastPrinted>
  <dcterms:modified xsi:type="dcterms:W3CDTF">2023-02-17T07:58:15Z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1E8F605ABE51450EB7CF96012D2476D1</vt:lpwstr>
  </property>
</Properties>
</file>