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441900011-2023-00021</w:t>
      </w:r>
    </w:p>
    <w:p>
      <w:pPr>
        <w:jc w:val="center"/>
      </w:pPr>
      <w:r>
        <w:rPr>
          <w:b/>
          <w:sz w:val="24"/>
        </w:rPr>
        <w:t>采购项目编号：</w:t>
      </w:r>
      <w:r>
        <w:rPr>
          <w:b/>
          <w:sz w:val="24"/>
        </w:rPr>
        <w:t>441900011-2023-00021</w:t>
      </w:r>
    </w:p>
    <w:p>
      <w:pPr>
        <w:jc w:val="center"/>
      </w:pPr>
      <w:r>
        <w:rPr>
          <w:b/>
          <w:sz w:val="24"/>
        </w:rPr>
        <w:t>项目名称：</w:t>
      </w:r>
      <w:r>
        <w:rPr>
          <w:b/>
          <w:sz w:val="24"/>
        </w:rPr>
        <w:t>东莞滨海湾新区政务服务中心人力资源服务项目</w:t>
      </w:r>
    </w:p>
    <w:p>
      <w:pPr>
        <w:jc w:val="center"/>
      </w:pPr>
      <w:r>
        <w:rPr>
          <w:b/>
          <w:sz w:val="24"/>
        </w:rPr>
        <w:t>采购人：</w:t>
      </w:r>
      <w:r>
        <w:rPr>
          <w:b/>
          <w:sz w:val="24"/>
        </w:rPr>
        <w:t>东莞滨海湾新区管理委员会</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东莞滨海湾新区管理委员会</w:t>
      </w:r>
      <w:r>
        <w:rPr/>
        <w:t>的委托，采用</w:t>
      </w:r>
      <w:r>
        <w:rPr/>
        <w:t>公开招标</w:t>
      </w:r>
      <w:r>
        <w:rPr/>
        <w:t>方式组织采购</w:t>
      </w:r>
      <w:r>
        <w:rPr/>
        <w:t>东莞滨海湾新区政务服务中心人力资源服务项目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东莞滨海湾新区政务服务中心人力资源服务项目</w:t>
      </w:r>
    </w:p>
    <w:p>
      <w:pPr>
        <w:ind w:firstLine="480"/>
      </w:pPr>
      <w:r>
        <w:rPr/>
        <w:t>采购计划编号：</w:t>
      </w:r>
      <w:r>
        <w:rPr/>
        <w:t>441900011-2023-00021</w:t>
      </w:r>
    </w:p>
    <w:p>
      <w:pPr>
        <w:ind w:firstLine="480"/>
      </w:pPr>
      <w:r>
        <w:rPr/>
        <w:t>采购项目编号：</w:t>
      </w:r>
      <w:r>
        <w:rPr/>
        <w:t>441900011-2023-00021</w:t>
      </w:r>
    </w:p>
    <w:p>
      <w:pPr>
        <w:ind w:firstLine="480"/>
      </w:pPr>
      <w:r>
        <w:rPr/>
        <w:t>采购方式：</w:t>
      </w:r>
      <w:r>
        <w:rPr/>
        <w:t>公开招标</w:t>
      </w:r>
    </w:p>
    <w:p>
      <w:pPr>
        <w:ind w:firstLine="480"/>
      </w:pPr>
      <w:r>
        <w:rPr/>
        <w:t>预算金额：</w:t>
      </w:r>
      <w:r>
        <w:rPr/>
        <w:t>2,150,500.00</w:t>
      </w:r>
      <w:r>
        <w:rPr/>
        <w:t>元</w:t>
      </w:r>
    </w:p>
    <w:p>
      <w:r>
        <w:rPr>
          <w:b/>
          <w:sz w:val="24"/>
        </w:rPr>
        <w:t>2.项目内容及需求情况（采购项目技术规格、参数及要求）</w:t>
      </w:r>
    </w:p>
    <w:p>
      <w:pPr>
        <w:ind w:firstLine="480"/>
      </w:pPr>
    </w:p>
    <w:p/>
    <w:p>
      <w:r>
        <w:rPr/>
        <w:t>采购包1(东莞滨海湾新区政务服务中心人力资源服务项目):</w:t>
      </w:r>
    </w:p>
    <w:p>
      <w:r>
        <w:rPr/>
        <w:t>采购包预算金额：2,150,500.00元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东莞滨海湾新区政务服务中心人力资源服务项目</w:t>
            </w:r>
          </w:p>
        </w:tc>
        <w:tc>
          <w:tcPr>
            <w:tcW w:type="dxa" w:w="977"/>
          </w:tcPr>
          <w:p>
            <w:r>
              <w:rPr/>
              <w:t>1.0000(项)</w:t>
            </w:r>
          </w:p>
        </w:tc>
        <w:tc>
          <w:tcPr>
            <w:tcW w:type="dxa" w:w="977"/>
          </w:tcPr>
          <w:p>
            <w:r>
              <w:rPr/>
              <w:t>详见第二章</w:t>
            </w:r>
          </w:p>
        </w:tc>
        <w:tc>
          <w:tcPr>
            <w:tcW w:type="dxa" w:w="977"/>
          </w:tcPr>
          <w:p>
            <w:r>
              <w:rPr/>
              <w:t>2,150,500.00</w:t>
            </w:r>
          </w:p>
        </w:tc>
        <w:tc>
          <w:tcPr>
            <w:tcW w:type="dxa" w:w="977"/>
          </w:tcPr>
          <w:p>
            <w:r>
              <w:rPr/>
              <w:t>否</w:t>
            </w:r>
          </w:p>
        </w:tc>
      </w:tr>
    </w:tbl>
    <w:p/>
    <w:p>
      <w:r>
        <w:rPr/>
        <w:t>本采购包不接受联合体投标</w:t>
      </w:r>
    </w:p>
    <w:p/>
    <w:p>
      <w:r>
        <w:rPr/>
        <w:t>合同履行期限：自2023年3月至2024年2月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采购包1（东莞滨海湾新区政务服务中心人力资源服务项目）：</w:t>
      </w:r>
      <w:r>
        <w:rPr/>
        <w:t>投标人须符合本项目采购标的对应行业（本项目行业为：租赁和商务服务业）的政策划分标准。监狱企业、残疾人福利单位视同小型、微型企业。注：中小企业以供应商填写的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采购包1（东莞滨海湾新区政务服务中心人力资源服务项目）：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东莞滨海湾新区管理委员会</w:t>
      </w:r>
    </w:p>
    <w:p>
      <w:pPr>
        <w:ind w:firstLine="480"/>
      </w:pPr>
      <w:r>
        <w:rPr/>
        <w:t>地址：</w:t>
      </w:r>
      <w:r>
        <w:rPr/>
        <w:t>东莞滨海湾新区湾区1号</w:t>
      </w:r>
    </w:p>
    <w:p>
      <w:pPr>
        <w:ind w:firstLine="480"/>
      </w:pPr>
      <w:r>
        <w:rPr/>
        <w:t>联系方式：</w:t>
      </w:r>
      <w:r>
        <w:rPr/>
        <w:t>0769-26889252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东莞滨海湾新区管理委员会通过</w:t>
      </w:r>
      <w:r>
        <w:rPr>
          <w:sz w:val="21"/>
        </w:rPr>
        <w:t>购买人力资源服务方式，以合理的人力资源服务方案设计及服务实施，综合东莞滨海湾新区政务服务中心的服务需求，</w:t>
      </w:r>
      <w:r>
        <w:rPr>
          <w:sz w:val="21"/>
        </w:rPr>
        <w:t>提供东莞滨海湾新区政务服务中心</w:t>
      </w:r>
      <w:r>
        <w:rPr>
          <w:sz w:val="21"/>
        </w:rPr>
        <w:t>17人岗位人力资源服务，满足东莞滨海湾新区政务服务中心正常运行。</w:t>
      </w:r>
      <w:r>
        <w:rPr>
          <w:sz w:val="21"/>
        </w:rPr>
        <w:t>中标人</w:t>
      </w:r>
      <w:r>
        <w:rPr>
          <w:sz w:val="21"/>
        </w:rPr>
        <w:t>通过招录服务人员派驻</w:t>
      </w:r>
      <w:r>
        <w:rPr>
          <w:sz w:val="21"/>
        </w:rPr>
        <w:t>东莞滨海湾新区</w:t>
      </w:r>
      <w:r>
        <w:rPr>
          <w:sz w:val="21"/>
        </w:rPr>
        <w:t>政务服务中心，完成大厅群众预约核验服务、政务服务事项的咨询解答、导办、收件、资料审核、物料流转、发证等各项工作；通过</w:t>
      </w:r>
      <w:r>
        <w:rPr>
          <w:sz w:val="21"/>
        </w:rPr>
        <w:t>公共</w:t>
      </w:r>
      <w:r>
        <w:rPr>
          <w:sz w:val="21"/>
        </w:rPr>
        <w:t>培训、日常管理、薪酬设计、考核、离职补充等</w:t>
      </w:r>
      <w:r>
        <w:rPr>
          <w:sz w:val="21"/>
        </w:rPr>
        <w:t>人力资源</w:t>
      </w:r>
      <w:r>
        <w:rPr>
          <w:sz w:val="21"/>
        </w:rPr>
        <w:t>服务确保项目正常运营；协助采购人进行大厅其他运营服务支撑工作。</w:t>
      </w:r>
    </w:p>
    <w:p>
      <w:pPr>
        <w:ind w:firstLine="420"/>
        <w:jc w:val="both"/>
      </w:pPr>
      <w:r>
        <w:rPr>
          <w:sz w:val="21"/>
        </w:rPr>
        <w:t>人力资源服务内容如下：</w:t>
      </w:r>
    </w:p>
    <w:p>
      <w:pPr>
        <w:ind w:firstLine="420"/>
        <w:jc w:val="both"/>
      </w:pPr>
      <w:r>
        <w:rPr>
          <w:sz w:val="21"/>
        </w:rPr>
        <w:t>1、</w:t>
      </w:r>
      <w:r>
        <w:rPr>
          <w:sz w:val="21"/>
        </w:rPr>
        <w:t>中标人</w:t>
      </w:r>
      <w:r>
        <w:rPr>
          <w:sz w:val="21"/>
        </w:rPr>
        <w:t>按照采购人要求招聘</w:t>
      </w:r>
      <w:r>
        <w:rPr>
          <w:sz w:val="21"/>
        </w:rPr>
        <w:t>/录用服务人员，派驻服务人员到政务服务中心负责以下主要工作：</w:t>
      </w:r>
    </w:p>
    <w:p>
      <w:pPr>
        <w:ind w:firstLine="420"/>
        <w:jc w:val="both"/>
      </w:pPr>
      <w:r>
        <w:rPr>
          <w:sz w:val="21"/>
        </w:rPr>
        <w:t>（</w:t>
      </w:r>
      <w:r>
        <w:rPr>
          <w:sz w:val="21"/>
        </w:rPr>
        <w:t>1）预约核验服务。负责对进入政务服务中心的市民身份进行预约信息的核验，确认市民业务资料齐全，并进行取号、指引等服务。</w:t>
      </w:r>
    </w:p>
    <w:p>
      <w:pPr>
        <w:ind w:firstLine="420"/>
        <w:jc w:val="both"/>
      </w:pPr>
      <w:r>
        <w:rPr>
          <w:sz w:val="21"/>
        </w:rPr>
        <w:t>（</w:t>
      </w:r>
      <w:r>
        <w:rPr>
          <w:sz w:val="21"/>
        </w:rPr>
        <w:t>2）业务导办服务。负责对进入政务服务中心的市民进行资料填写和设备使用指导，根据市民的办事需求进行业务引导；耐心解答市民的咨询，为市民提供业务资料打印、复印、扫描等服务。</w:t>
      </w:r>
    </w:p>
    <w:p>
      <w:pPr>
        <w:ind w:firstLine="420"/>
        <w:jc w:val="both"/>
      </w:pPr>
      <w:r>
        <w:rPr>
          <w:sz w:val="21"/>
        </w:rPr>
        <w:t>（</w:t>
      </w:r>
      <w:r>
        <w:rPr>
          <w:sz w:val="21"/>
        </w:rPr>
        <w:t>3）窗口经办服务。通过设置办事窗口岗位，面向市民或企业，提供大厅政务服务事项的业务收件、出件（证）、经办、咨询等工作。</w:t>
      </w:r>
    </w:p>
    <w:p>
      <w:pPr>
        <w:ind w:firstLine="420"/>
        <w:jc w:val="both"/>
      </w:pPr>
      <w:r>
        <w:rPr>
          <w:sz w:val="21"/>
        </w:rPr>
        <w:t>（</w:t>
      </w:r>
      <w:r>
        <w:rPr>
          <w:sz w:val="21"/>
        </w:rPr>
        <w:t>4</w:t>
      </w:r>
      <w:r>
        <w:rPr>
          <w:sz w:val="21"/>
        </w:rPr>
        <w:t>）材料</w:t>
      </w:r>
      <w:r>
        <w:rPr>
          <w:sz w:val="21"/>
        </w:rPr>
        <w:t>内审</w:t>
      </w:r>
      <w:r>
        <w:rPr>
          <w:sz w:val="21"/>
        </w:rPr>
        <w:t>服务</w:t>
      </w:r>
      <w:r>
        <w:rPr>
          <w:sz w:val="21"/>
        </w:rPr>
        <w:t>。</w:t>
      </w:r>
      <w:r>
        <w:rPr>
          <w:sz w:val="21"/>
        </w:rPr>
        <w:t>通过设置材料内审岗位，与办事窗口、职能部门建立业务协同机制，按政务服务标准要求，做好</w:t>
      </w:r>
      <w:r>
        <w:rPr>
          <w:sz w:val="21"/>
        </w:rPr>
        <w:t>材料内审等工作</w:t>
      </w:r>
      <w:r>
        <w:rPr>
          <w:sz w:val="21"/>
        </w:rPr>
        <w:t>，按要求与业务主管职能部门做好资料存、取、阅等衔接，确保各类材料的严谨性、真实性及完整性，确保窗口、内审、审批及经办结果全流程的无缝衔接。</w:t>
      </w:r>
    </w:p>
    <w:p>
      <w:pPr>
        <w:ind w:firstLine="420"/>
        <w:jc w:val="both"/>
      </w:pPr>
      <w:r>
        <w:rPr>
          <w:sz w:val="21"/>
        </w:rPr>
        <w:t>（</w:t>
      </w:r>
      <w:r>
        <w:rPr>
          <w:sz w:val="21"/>
        </w:rPr>
        <w:t>5</w:t>
      </w:r>
      <w:r>
        <w:rPr>
          <w:sz w:val="21"/>
        </w:rPr>
        <w:t>）物料流转服务</w:t>
      </w:r>
      <w:r>
        <w:rPr>
          <w:sz w:val="21"/>
        </w:rPr>
        <w:t>。</w:t>
      </w:r>
      <w:r>
        <w:rPr>
          <w:sz w:val="21"/>
        </w:rPr>
        <w:t>通过设置物料流转岗位，与物流部门建立高效衔接机制，做好</w:t>
      </w:r>
      <w:r>
        <w:rPr>
          <w:sz w:val="21"/>
        </w:rPr>
        <w:t>指定</w:t>
      </w:r>
      <w:r>
        <w:rPr>
          <w:sz w:val="21"/>
        </w:rPr>
        <w:t>政务服务事项的物料</w:t>
      </w:r>
      <w:r>
        <w:rPr>
          <w:sz w:val="21"/>
        </w:rPr>
        <w:t>归档、</w:t>
      </w:r>
      <w:r>
        <w:rPr>
          <w:sz w:val="21"/>
        </w:rPr>
        <w:t>流转等工作。</w:t>
      </w:r>
    </w:p>
    <w:p>
      <w:pPr>
        <w:ind w:firstLine="420"/>
        <w:jc w:val="both"/>
      </w:pPr>
      <w:r>
        <w:rPr>
          <w:sz w:val="21"/>
        </w:rPr>
        <w:t>（</w:t>
      </w:r>
      <w:r>
        <w:rPr>
          <w:sz w:val="21"/>
        </w:rPr>
        <w:t>6</w:t>
      </w:r>
      <w:r>
        <w:rPr>
          <w:sz w:val="21"/>
        </w:rPr>
        <w:t>）大厅日常管理。通过设置大厅管理岗位，负责大厅工作人员的日常行为规范管理、考勤管理等；负责做好大厅突发情况和投诉事件处理及预防；负责业务满意度调研、业务管理、数据分析等协助工作。</w:t>
      </w:r>
    </w:p>
    <w:p>
      <w:pPr>
        <w:ind w:firstLine="420"/>
        <w:jc w:val="both"/>
      </w:pPr>
      <w:r>
        <w:rPr>
          <w:sz w:val="21"/>
        </w:rPr>
        <w:t>（</w:t>
      </w:r>
      <w:r>
        <w:rPr>
          <w:sz w:val="21"/>
        </w:rPr>
        <w:t>7</w:t>
      </w:r>
      <w:r>
        <w:rPr>
          <w:sz w:val="21"/>
        </w:rPr>
        <w:t>）</w:t>
      </w:r>
      <w:r>
        <w:rPr>
          <w:sz w:val="21"/>
        </w:rPr>
        <w:t>中心资产管理。实时掌握中心资产情况，并定期开展资产盘点，实时了解中心物资使用情况及采购需求，配合上级采购、验收、管理中心物资。</w:t>
      </w:r>
    </w:p>
    <w:p>
      <w:pPr>
        <w:ind w:firstLine="420"/>
        <w:jc w:val="both"/>
      </w:pPr>
      <w:r>
        <w:rPr>
          <w:sz w:val="21"/>
        </w:rPr>
        <w:t>（</w:t>
      </w:r>
      <w:r>
        <w:rPr>
          <w:sz w:val="21"/>
        </w:rPr>
        <w:t>8</w:t>
      </w:r>
      <w:r>
        <w:rPr>
          <w:sz w:val="21"/>
        </w:rPr>
        <w:t>）</w:t>
      </w:r>
      <w:r>
        <w:rPr>
          <w:sz w:val="21"/>
        </w:rPr>
        <w:t>东莞</w:t>
      </w:r>
      <w:r>
        <w:rPr>
          <w:sz w:val="21"/>
        </w:rPr>
        <w:t>滨海湾新区管委会交办的与窗口业务、派驻服务人员有关的其他工作。</w:t>
      </w:r>
    </w:p>
    <w:p>
      <w:pPr>
        <w:ind w:firstLine="420"/>
        <w:jc w:val="both"/>
      </w:pPr>
      <w:r>
        <w:rPr>
          <w:sz w:val="21"/>
        </w:rPr>
        <w:t>2、</w:t>
      </w:r>
      <w:r>
        <w:rPr>
          <w:sz w:val="21"/>
        </w:rPr>
        <w:t>中标人</w:t>
      </w:r>
      <w:r>
        <w:rPr>
          <w:sz w:val="21"/>
        </w:rPr>
        <w:t>需按东莞滨海湾新区管理委员会要求的岗位需求，按人力资源专业流程做好人员招聘</w:t>
      </w:r>
      <w:r>
        <w:rPr>
          <w:sz w:val="21"/>
        </w:rPr>
        <w:t>/录用配置工作。</w:t>
      </w:r>
    </w:p>
    <w:p>
      <w:pPr>
        <w:ind w:firstLine="420"/>
        <w:jc w:val="both"/>
      </w:pPr>
      <w:r>
        <w:rPr>
          <w:sz w:val="21"/>
        </w:rPr>
        <w:t>3、</w:t>
      </w:r>
      <w:r>
        <w:rPr>
          <w:sz w:val="21"/>
        </w:rPr>
        <w:t>中标人</w:t>
      </w:r>
      <w:r>
        <w:rPr>
          <w:sz w:val="21"/>
        </w:rPr>
        <w:t>需负责服务人员职业能力提升建设，持续跟进服务人员工作动态，包括演练、</w:t>
      </w:r>
      <w:r>
        <w:rPr>
          <w:sz w:val="21"/>
        </w:rPr>
        <w:t xml:space="preserve"> </w:t>
      </w:r>
      <w:r>
        <w:rPr>
          <w:sz w:val="21"/>
        </w:rPr>
        <w:t>入离职管理、培训管理、薪酬管理、绩效管理、服务表现跟踪、突发事件处理情况等，配合</w:t>
      </w:r>
      <w:r>
        <w:rPr>
          <w:sz w:val="21"/>
        </w:rPr>
        <w:t>东莞</w:t>
      </w:r>
      <w:r>
        <w:rPr>
          <w:sz w:val="21"/>
        </w:rPr>
        <w:t>滨海湾新区管委会做好政务服务事项专业培训等。</w:t>
      </w:r>
    </w:p>
    <w:p>
      <w:pPr>
        <w:ind w:firstLine="420"/>
        <w:jc w:val="both"/>
      </w:pPr>
      <w:r>
        <w:rPr>
          <w:sz w:val="21"/>
        </w:rPr>
        <w:t>4、服务人员派驻到政务服务中心前，</w:t>
      </w:r>
      <w:r>
        <w:rPr>
          <w:sz w:val="21"/>
        </w:rPr>
        <w:t>中标人</w:t>
      </w:r>
      <w:r>
        <w:rPr>
          <w:sz w:val="21"/>
        </w:rPr>
        <w:t>组织服务人员开展职业素养培训和公共职业培训，并组织服务人员参与采购人开展的业务知识培训；定期组织服务人员开展技能提升培训或活动。</w:t>
      </w:r>
    </w:p>
    <w:p>
      <w:pPr>
        <w:ind w:firstLine="420"/>
        <w:jc w:val="both"/>
      </w:pPr>
      <w:r>
        <w:rPr>
          <w:sz w:val="21"/>
        </w:rPr>
        <w:t>5、</w:t>
      </w:r>
      <w:r>
        <w:rPr>
          <w:sz w:val="21"/>
        </w:rPr>
        <w:t>中标人</w:t>
      </w:r>
      <w:r>
        <w:rPr>
          <w:sz w:val="21"/>
        </w:rPr>
        <w:t>提供完善的支撑服务，对服务人员建立科学合理的薪酬设计、激励机制、绩效考核机制、激励机制、退出机制等。主要如下：</w:t>
      </w:r>
    </w:p>
    <w:p>
      <w:pPr>
        <w:ind w:firstLine="420"/>
        <w:jc w:val="both"/>
      </w:pPr>
      <w:r>
        <w:rPr>
          <w:sz w:val="21"/>
        </w:rPr>
        <w:t>（</w:t>
      </w:r>
      <w:r>
        <w:rPr>
          <w:sz w:val="21"/>
        </w:rPr>
        <w:t>1）薪酬设计及激励机制制定。根据岗位性质，合理设计完善的薪酬方案及激励机制。</w:t>
      </w:r>
    </w:p>
    <w:p>
      <w:pPr>
        <w:ind w:firstLine="420"/>
        <w:jc w:val="both"/>
      </w:pPr>
      <w:r>
        <w:rPr>
          <w:sz w:val="21"/>
        </w:rPr>
        <w:t>（</w:t>
      </w:r>
      <w:r>
        <w:rPr>
          <w:sz w:val="21"/>
        </w:rPr>
        <w:t>2）绩效考核机制。根据服务人员岗位职责及要求，结合采购人服务要求，制定绩效考核机制，由</w:t>
      </w:r>
      <w:r>
        <w:rPr>
          <w:sz w:val="21"/>
        </w:rPr>
        <w:t>中标人</w:t>
      </w:r>
      <w:r>
        <w:rPr>
          <w:sz w:val="21"/>
        </w:rPr>
        <w:t>主导，采购人参与。</w:t>
      </w:r>
    </w:p>
    <w:p>
      <w:pPr>
        <w:ind w:firstLine="420"/>
        <w:jc w:val="both"/>
      </w:pPr>
      <w:r>
        <w:rPr>
          <w:sz w:val="21"/>
        </w:rPr>
        <w:t>（</w:t>
      </w:r>
      <w:r>
        <w:rPr>
          <w:sz w:val="21"/>
        </w:rPr>
        <w:t>3）退出机制。服务人员主动离职，</w:t>
      </w:r>
      <w:r>
        <w:rPr>
          <w:sz w:val="21"/>
        </w:rPr>
        <w:t>中标人</w:t>
      </w:r>
      <w:r>
        <w:rPr>
          <w:sz w:val="21"/>
        </w:rPr>
        <w:t>需提前通知采购人，并按规定补充人员；因服务不达标、市民严重投诉、违法相关规章制度等，采购人有权退回</w:t>
      </w:r>
      <w:r>
        <w:rPr>
          <w:sz w:val="21"/>
        </w:rPr>
        <w:t>中标人</w:t>
      </w:r>
      <w:r>
        <w:rPr>
          <w:sz w:val="21"/>
        </w:rPr>
        <w:t>，由</w:t>
      </w:r>
      <w:r>
        <w:rPr>
          <w:sz w:val="21"/>
        </w:rPr>
        <w:t>中标人</w:t>
      </w:r>
      <w:r>
        <w:rPr>
          <w:sz w:val="21"/>
        </w:rPr>
        <w:t>按规定时间替换人员。</w:t>
      </w:r>
    </w:p>
    <w:p>
      <w:pPr>
        <w:jc w:val="both"/>
      </w:pPr>
      <w:r>
        <w:rPr>
          <w:sz w:val="21"/>
        </w:rPr>
        <w:t>6、</w:t>
      </w:r>
      <w:r>
        <w:rPr>
          <w:sz w:val="21"/>
        </w:rPr>
        <w:t>中标人</w:t>
      </w:r>
      <w:r>
        <w:rPr>
          <w:sz w:val="21"/>
        </w:rPr>
        <w:t>协助采购人的关于大厅运营、服务支撑等其他工作。</w:t>
      </w:r>
    </w:p>
    <w:p/>
    <w:p>
      <w:pPr>
        <w:ind w:firstLine="480"/>
      </w:pPr>
    </w:p>
    <w:p/>
    <w:p>
      <w:r>
        <w:rPr/>
        <w:t>采购包1（东莞滨海湾新区政务服务中心人力资源服务项目）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自2023年3月至2024年2月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1期：支付比例100%,1、付款依据：项目款分为人力资源运营成本（含人员薪资福利、单位需承担的社保和公积金费用、工服费用等）和服务费两部分： ①服务期内的人力资源运营成本和服务费按实结算； ②人力资源运营成本每三个月首月预付合同应付年人力资源运营成本的25%；服务费部分每半年度首月预付合同应付服务费的40%，剩余应付服务费的20%分上下半年两次（即每半年各占服务费的10%）以半年度考核评分表中半年度考核系数*应付服务费用作为结算依据进行结算支付。 2、为保证项目服务质量及员工薪酬待遇，合理控制运作成本，服务费须≤人力资源运营成本（不含工服费用）*8%，服务费含人员招聘、公共培训、经济赔付等项目运营费用。  3、根据付款依据，由采购人在合同签订后并且中标人提交发票等请款资料后30个工作日内向中标人支付第一笔项目款，其余款项支付进度按合同约定；如遇中标人拖欠工资、处于经营情况发生重大变化的特殊情况下，采购人有权暂停付款。</w:t>
            </w:r>
          </w:p>
        </w:tc>
      </w:tr>
      <w:tr>
        <w:tc>
          <w:tcPr>
            <w:tcW w:type="dxa" w:w="4153"/>
          </w:tcPr>
          <w:p>
            <w:r>
              <w:rPr/>
              <w:t>验收要求</w:t>
            </w:r>
          </w:p>
        </w:tc>
        <w:tc>
          <w:tcPr>
            <w:tcW w:type="dxa" w:w="4153"/>
          </w:tcPr>
          <w:p/>
          <w:p/>
          <w:p/>
          <w:p>
            <w:r>
              <w:rPr/>
              <w:t>1期：按采购需求及中标人服务情况进行考核。</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1、报价要求，报价应包括本次招标所有服务内容的费用，包括人工、材料、措施费、税费以及合同实施过程中等全部费用。</w:t>
            </w:r>
          </w:p>
          <w:p/>
          <w:p>
            <w:r>
              <w:rPr/>
              <w:t>2、合同条款，投标人实质响应合同各条款。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东莞滨海湾新区政务服务中心人力资源服务项目</w:t>
            </w:r>
          </w:p>
        </w:tc>
        <w:tc>
          <w:tcPr>
            <w:tcW w:type="dxa" w:w="933"/>
          </w:tcPr>
          <w:p>
            <w:pPr>
              <w:jc w:val="left"/>
            </w:pPr>
            <w:r>
              <w:rPr/>
              <w:t>项</w:t>
            </w:r>
          </w:p>
        </w:tc>
        <w:tc>
          <w:tcPr>
            <w:tcW w:type="dxa" w:w="933"/>
          </w:tcPr>
          <w:p>
            <w:pPr>
              <w:jc w:val="right"/>
            </w:pPr>
            <w:r>
              <w:rPr/>
              <w:t>1.00</w:t>
            </w:r>
          </w:p>
        </w:tc>
        <w:tc>
          <w:tcPr>
            <w:tcW w:type="dxa" w:w="933"/>
          </w:tcPr>
          <w:p>
            <w:pPr>
              <w:jc w:val="right"/>
            </w:pPr>
            <w:r>
              <w:rPr/>
              <w:t>2,150,500.00</w:t>
            </w:r>
          </w:p>
        </w:tc>
        <w:tc>
          <w:tcPr>
            <w:tcW w:type="dxa" w:w="933"/>
          </w:tcPr>
          <w:p>
            <w:pPr>
              <w:jc w:val="right"/>
            </w:pPr>
            <w:r>
              <w:rPr/>
              <w:t>2,150,500.00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东莞滨海湾新区政务服务中心人力资源服务项目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一、项目要求</w:t>
            </w:r>
          </w:p>
          <w:p>
            <w:pPr>
              <w:ind w:firstLine="420"/>
              <w:jc w:val="both"/>
            </w:pPr>
            <w:r>
              <w:rPr>
                <w:sz w:val="21"/>
              </w:rPr>
              <w:t>（一）</w:t>
            </w:r>
            <w:r>
              <w:rPr>
                <w:sz w:val="21"/>
              </w:rPr>
              <w:t>中标人</w:t>
            </w:r>
            <w:r>
              <w:rPr>
                <w:sz w:val="21"/>
              </w:rPr>
              <w:t>服务能力要求</w:t>
            </w:r>
          </w:p>
          <w:p>
            <w:pPr>
              <w:ind w:firstLine="420"/>
              <w:jc w:val="both"/>
            </w:pPr>
            <w:r>
              <w:rPr>
                <w:sz w:val="21"/>
              </w:rPr>
              <w:t>1、招聘能力。中标人必须具备专业招聘能力，需按《滨海湾新区管委会政务服务中心岗位外包服务采购项目岗位需求表》中17个岗位，将符合要求的服务人员在合同签订之日起15日内全部招聘配置到位。在服务期间，如有人员发生变动时。应提前通报采购人，且保证人员流失后5个工作日内补充完毕。为了确保人员质量，采购人需对中标人派驻的服务人员的执业能力进行复核。</w:t>
            </w:r>
          </w:p>
          <w:p>
            <w:pPr>
              <w:ind w:firstLine="420"/>
              <w:jc w:val="both"/>
            </w:pPr>
            <w:r>
              <w:rPr>
                <w:sz w:val="21"/>
              </w:rPr>
              <w:t>2、管理能力。中标人须具备服务人员管理能力；中标人须指定项目管理人员，负责服务人员的日常管理和监督。</w:t>
            </w:r>
          </w:p>
          <w:p>
            <w:pPr>
              <w:ind w:firstLine="420"/>
              <w:jc w:val="both"/>
            </w:pPr>
            <w:r>
              <w:rPr>
                <w:sz w:val="21"/>
              </w:rPr>
              <w:t>3、劳动保障能力。中标人须为服务人员办理完备的劳动关系手续，包括但不限于与服务人员签订劳动合同、办理社会保险、住房公积金及残保金缴纳、办理工伤理赔相关手续、薪酬福利的发放及个人所得税代缴、服务人员人事档案的保管，并为服务人员提供党员挂靠、党建活动等。如因此产生的劳动纠纷由中标人全权负责，与采购人无关。</w:t>
            </w:r>
          </w:p>
          <w:p>
            <w:pPr>
              <w:ind w:firstLine="420"/>
              <w:jc w:val="both"/>
            </w:pPr>
            <w:r>
              <w:rPr>
                <w:sz w:val="21"/>
              </w:rPr>
              <w:t>4、培训能力。中标人必须负责服务人员到岗前的职业素养培训和公共培训；服务人员在职期间组织每年不少于4次的公共培训或活动。</w:t>
            </w:r>
          </w:p>
          <w:p>
            <w:pPr>
              <w:ind w:firstLine="420"/>
              <w:jc w:val="both"/>
            </w:pPr>
            <w:r>
              <w:rPr>
                <w:sz w:val="21"/>
              </w:rPr>
              <w:t>5、应急处理能力。中标人需提供对突发事件的应急预案，并为服务人员进行培训演练。</w:t>
            </w:r>
          </w:p>
          <w:p>
            <w:pPr>
              <w:ind w:firstLine="420"/>
              <w:jc w:val="both"/>
            </w:pPr>
            <w:r>
              <w:rPr>
                <w:sz w:val="21"/>
              </w:rPr>
              <w:t>6、支撑服务。成交服务商必须提供完善的人力资源服务。对服务人员建立科学合理的薪酬设计方案、绩效考核机制、激励机制、退出机制等。</w:t>
            </w:r>
          </w:p>
          <w:p>
            <w:pPr>
              <w:ind w:firstLine="420"/>
              <w:jc w:val="both"/>
            </w:pPr>
            <w:r>
              <w:rPr>
                <w:sz w:val="21"/>
              </w:rPr>
              <w:t>（二）服务人员要求</w:t>
            </w:r>
          </w:p>
          <w:p>
            <w:pPr>
              <w:ind w:firstLine="420"/>
              <w:jc w:val="both"/>
            </w:pPr>
            <w:r>
              <w:rPr>
                <w:sz w:val="21"/>
              </w:rPr>
              <w:t>1、服务团队必须保持稳定，服务期内每月服务人员变更率必须低于10%（采购人主动提出更换及当月新增人员计入变更率）；对每次非采购人意愿的人员替换或者人员流动比例超限，将根据考核采取相应的处罚措施，以保证服务人员的稳定性。</w:t>
            </w:r>
          </w:p>
          <w:p>
            <w:pPr>
              <w:ind w:firstLine="420"/>
              <w:jc w:val="both"/>
            </w:pPr>
            <w:r>
              <w:rPr>
                <w:sz w:val="21"/>
              </w:rPr>
              <w:t>2、对中标人拟派服务人员的基本要求：</w:t>
            </w:r>
          </w:p>
          <w:p>
            <w:pPr>
              <w:ind w:firstLine="420"/>
              <w:jc w:val="both"/>
            </w:pPr>
            <w:r>
              <w:rPr>
                <w:sz w:val="21"/>
              </w:rPr>
              <w:t>（</w:t>
            </w:r>
            <w:r>
              <w:rPr>
                <w:sz w:val="21"/>
              </w:rPr>
              <w:t>1）拥有真实合法的身份证明，良好的道德品质，具有良好的服务意识；</w:t>
            </w:r>
          </w:p>
          <w:p>
            <w:pPr>
              <w:ind w:firstLine="420"/>
              <w:jc w:val="both"/>
            </w:pPr>
            <w:r>
              <w:rPr>
                <w:sz w:val="21"/>
              </w:rPr>
              <w:t>（</w:t>
            </w:r>
            <w:r>
              <w:rPr>
                <w:sz w:val="21"/>
              </w:rPr>
              <w:t>2）身份健康、心理成熟、品行端正，无违法犯罪记录；</w:t>
            </w:r>
          </w:p>
          <w:p>
            <w:pPr>
              <w:ind w:firstLine="420"/>
              <w:jc w:val="both"/>
            </w:pPr>
            <w:r>
              <w:rPr>
                <w:sz w:val="21"/>
              </w:rPr>
              <w:t>（</w:t>
            </w:r>
            <w:r>
              <w:rPr>
                <w:sz w:val="21"/>
              </w:rPr>
              <w:t>3）年龄为原则上30周岁以下（管理岗位原则上35周岁以下）；</w:t>
            </w:r>
          </w:p>
          <w:p>
            <w:pPr>
              <w:ind w:firstLine="420"/>
              <w:jc w:val="both"/>
            </w:pPr>
            <w:r>
              <w:rPr>
                <w:sz w:val="21"/>
              </w:rPr>
              <w:t>（</w:t>
            </w:r>
            <w:r>
              <w:rPr>
                <w:sz w:val="21"/>
              </w:rPr>
              <w:t>4）全日制本科及以上学历(于报名首日前取得毕业证书)；</w:t>
            </w:r>
          </w:p>
          <w:p>
            <w:pPr>
              <w:ind w:firstLine="420"/>
              <w:jc w:val="both"/>
            </w:pPr>
            <w:r>
              <w:rPr>
                <w:sz w:val="21"/>
              </w:rPr>
              <w:t>（</w:t>
            </w:r>
            <w:r>
              <w:rPr>
                <w:sz w:val="21"/>
              </w:rPr>
              <w:t>5）使用文明规范用语、吐字清晰，普通话标准，具备良好的沟通和交流能力，热爱公众服务工作。</w:t>
            </w:r>
          </w:p>
          <w:p>
            <w:pPr>
              <w:ind w:firstLine="420"/>
              <w:jc w:val="both"/>
            </w:pPr>
            <w:r>
              <w:rPr>
                <w:sz w:val="21"/>
              </w:rPr>
              <w:t>3、设立大厅组长一名，负责与采购人直接沟通日常管理事项，负责对服务人员团队直接管理，并向采购人汇报工作情况。大厅组长除需具备服务人员的基本要求外，大厅组长需具备两年或以上团队管理经验，有政务窗口服务经验，且要求细心，责任心强，具备良好的沟通协调能力及应变处理能力，有团队合作精神；计算机能力良好，能熟练使用word、excel等软件。</w:t>
            </w:r>
          </w:p>
          <w:p>
            <w:pPr>
              <w:ind w:firstLine="420"/>
              <w:jc w:val="both"/>
            </w:pPr>
            <w:r>
              <w:rPr>
                <w:sz w:val="21"/>
              </w:rPr>
              <w:t>4、全部服务人员统一着装。工作服标准要求参考《关于市民服务中心办事大厅开办经费的审核意见》（东财函〔 2018 〕2135号），工服包含冬季大衣、西装外套、冬装西裤、夏装西裤、长袖衬衫、短袖衬衫、领带及丝巾、工牌、皮鞋等，服务人员工作不足一年的，需按照（12个月-服务月份）/12个月的比例承担工服的费用；服务人员着装前工服需熨平整，保证穿戴整洁。</w:t>
            </w:r>
          </w:p>
          <w:p>
            <w:pPr>
              <w:ind w:firstLine="420"/>
              <w:jc w:val="both"/>
            </w:pPr>
            <w:r>
              <w:rPr>
                <w:sz w:val="21"/>
              </w:rPr>
              <w:t>5、服务人员须遵守用人单位的各项管理制度，不得擅自脱岗、迟到早退。</w:t>
            </w:r>
          </w:p>
          <w:p>
            <w:pPr>
              <w:ind w:firstLine="420"/>
              <w:jc w:val="both"/>
            </w:pPr>
            <w:r>
              <w:rPr>
                <w:sz w:val="21"/>
              </w:rPr>
              <w:t>6、服务人员需要驻点办公，由采购人指定办公场地及坐席。</w:t>
            </w:r>
          </w:p>
          <w:p>
            <w:pPr>
              <w:jc w:val="both"/>
            </w:pPr>
            <w:r>
              <w:rPr>
                <w:b/>
                <w:sz w:val="24"/>
              </w:rPr>
              <w:t>二、服务要求</w:t>
            </w:r>
          </w:p>
          <w:p>
            <w:pPr>
              <w:ind w:firstLine="420"/>
              <w:jc w:val="both"/>
            </w:pPr>
            <w:r>
              <w:rPr>
                <w:sz w:val="21"/>
              </w:rPr>
              <w:t>1、在《成交通知书》发出之日起三十天内，中标人应安排法定代表人或授权代表与采购人按照采购文件确定的事项签订采购合同；中标人配备专门的项目管理人员，全面负责项目各项服务执行和服务人员的日常事管理，协调处理服务人员与采购人之间的关系，向采购人提供政策法规方面的咨询；在项目实施过程中，应安排项目管理人员每月一次与采购人沟通、汇报项目进度；项目管理人员应具备一定的稳定性，如项目管理人员发生变动时，应提前通报采购人，并保持项目内容连贯性。</w:t>
            </w:r>
          </w:p>
          <w:p>
            <w:pPr>
              <w:ind w:firstLine="420"/>
              <w:jc w:val="both"/>
            </w:pPr>
            <w:r>
              <w:rPr>
                <w:sz w:val="21"/>
              </w:rPr>
              <w:t>2、中标人根据采购人的要求招聘/录用服务人员，由中标人进行招聘后，将拟录用人员提供给采购人复核确认；本项目服务费包括招聘费，采购人不再另行支付招聘费用。</w:t>
            </w:r>
          </w:p>
          <w:p>
            <w:pPr>
              <w:ind w:firstLine="420"/>
              <w:jc w:val="both"/>
            </w:pPr>
            <w:r>
              <w:rPr>
                <w:sz w:val="21"/>
              </w:rPr>
              <w:t>3、中标人负责服务人员的入离职手续办理、薪酬管理、福利发放、社会保险缴纳和住房公积金缴存及个税代扣代缴；按照有关法律法规与服务人员订立书面劳动合同，并根据服务人员考勤、考核、培训情况、奖惩等资料情况建立服务人员人事信息档案，并负责服务人员的档案管理、计生关系管理等；提供包括但不限于服务人员档案表、花名册、身份证及学历证复印件等供采购人备案。</w:t>
            </w:r>
          </w:p>
          <w:p>
            <w:pPr>
              <w:ind w:firstLine="420"/>
              <w:jc w:val="both"/>
            </w:pPr>
            <w:r>
              <w:rPr>
                <w:sz w:val="21"/>
              </w:rPr>
              <w:t>4、中标人根据采购人要求，制定专项费用的薪酬福利方案，根据服务人员服务标准及服务考核表现设置不同薪酬级别，中标人负责制定，采购人负责确定薪酬福利方案及各服务人员的薪酬级别；未经采购人同意，中标人不得修改服务人员薪酬级别。</w:t>
            </w:r>
          </w:p>
          <w:p>
            <w:pPr>
              <w:ind w:firstLine="420"/>
              <w:jc w:val="both"/>
            </w:pPr>
            <w:r>
              <w:rPr>
                <w:sz w:val="21"/>
              </w:rPr>
              <w:t>5、中标人按采购人要求，教育服务人员严格遵守采购人的规章制度和管理规范规程，忠于职守、文明礼貌、严格遵守劳动纪律，服从和执行采购人做出的工作安排和调度。</w:t>
            </w:r>
          </w:p>
          <w:p>
            <w:pPr>
              <w:ind w:firstLine="420"/>
              <w:jc w:val="both"/>
            </w:pPr>
            <w:r>
              <w:rPr>
                <w:sz w:val="21"/>
              </w:rPr>
              <w:t>6、中标人定期与采购人共同对服务人员进行考核，由采购人现场监督服务人员工作，并委托采购人进行服务人员工作考核，相关考核、考勤和奖惩资料由采购人提供，中标人根据采购人提供资料及时足额给服务人员发放工资福利。</w:t>
            </w:r>
          </w:p>
          <w:p>
            <w:pPr>
              <w:ind w:firstLine="420"/>
              <w:jc w:val="both"/>
            </w:pPr>
            <w:r>
              <w:rPr>
                <w:sz w:val="21"/>
              </w:rPr>
              <w:t>7、中标人设置服务人员淘汰机制，对服务人员进行考核，服务人员考核以双方商定制定的考核方案为准，对于考核不合格的人员，中标人应经采购人同意后更换符合要求及标准的服务人员。</w:t>
            </w:r>
          </w:p>
          <w:p>
            <w:pPr>
              <w:ind w:firstLine="420"/>
              <w:jc w:val="both"/>
            </w:pPr>
            <w:r>
              <w:rPr>
                <w:sz w:val="21"/>
              </w:rPr>
              <w:t>8、中标人负责处理服务人员提出的劳动仲裁、诉讼等事宜；负责服务人员经济赔偿的手续办理；服务人员如发生工伤，由中标人以雇主身份进行调查及处理，并为服务人员进行工伤鉴定申请、工伤待遇申报；服务人员如发生重大疾病、非因工死亡等事故，由中标人依照法律法规进行调查处理。</w:t>
            </w:r>
          </w:p>
          <w:p>
            <w:pPr>
              <w:ind w:firstLine="420"/>
              <w:jc w:val="both"/>
            </w:pPr>
            <w:r>
              <w:rPr>
                <w:sz w:val="21"/>
              </w:rPr>
              <w:t>9、中标人应及时掌握国家和省有关劳动标准、劳动条件、工资福利、社会保险等方面的最新政策动态并知会采购人，积极配合采购人对新政策规定的组织实施。</w:t>
            </w:r>
          </w:p>
          <w:p>
            <w:pPr>
              <w:ind w:firstLine="420"/>
              <w:jc w:val="both"/>
            </w:pPr>
            <w:r>
              <w:rPr>
                <w:sz w:val="21"/>
              </w:rPr>
              <w:t>10、采购人将对中标人实行动态管理，对中标人的服务承诺、服务态度等进行每半年考核和不定期监督考核，一旦发现中标人违反招标文件要求及其承诺，将要求其期限整改，整改期间整改项目暂时按最低得分计算考核分数，整改完成后达到要求则恢复正常考核，否则采购人有权取消其服务资格。</w:t>
            </w:r>
          </w:p>
          <w:p>
            <w:pPr>
              <w:jc w:val="both"/>
            </w:pPr>
            <w:r>
              <w:rPr>
                <w:b/>
                <w:sz w:val="24"/>
              </w:rPr>
              <w:t>三、违约责任</w:t>
            </w:r>
          </w:p>
          <w:p>
            <w:pPr>
              <w:ind w:firstLine="420"/>
              <w:jc w:val="both"/>
            </w:pPr>
            <w:r>
              <w:rPr>
                <w:sz w:val="21"/>
              </w:rPr>
              <w:t>1、未经采购人同意，中标人不得将承包项目发包或转包，否则，视为中标人违约，采购人可以上报监督管理部门后解除服务合同，造成重大影响的，采购人将依法追究中标人责任。</w:t>
            </w:r>
          </w:p>
          <w:p>
            <w:pPr>
              <w:ind w:firstLine="420"/>
              <w:jc w:val="both"/>
            </w:pPr>
            <w:r>
              <w:rPr>
                <w:sz w:val="21"/>
              </w:rPr>
              <w:t>2、未经采购人同意，中标人不得随意更换服务人员，否则，视为中标人违约，采购人可以上报监督管理部门后解除服务合同。</w:t>
            </w:r>
          </w:p>
          <w:p>
            <w:pPr>
              <w:ind w:firstLine="420"/>
              <w:jc w:val="both"/>
            </w:pPr>
            <w:r>
              <w:rPr>
                <w:sz w:val="21"/>
              </w:rPr>
              <w:t>3、由于中标人工作失误的原因，造成服务人员的经济损失，所产生的的损失及后果由中标人承担。</w:t>
            </w:r>
          </w:p>
          <w:p>
            <w:pPr>
              <w:ind w:firstLine="420"/>
              <w:jc w:val="both"/>
            </w:pPr>
            <w:r>
              <w:rPr>
                <w:sz w:val="21"/>
              </w:rPr>
              <w:t>4、服务期内，如采购人发生机构改革或财政拨款无法到位等政策原因无法继续使用服务人员，造成服务合同不能完全履行，采购人和中标人双方互不追究责任。</w:t>
            </w:r>
          </w:p>
          <w:p>
            <w:pPr>
              <w:ind w:firstLine="420"/>
              <w:jc w:val="both"/>
            </w:pPr>
            <w:r>
              <w:rPr>
                <w:sz w:val="21"/>
              </w:rPr>
              <w:t>5、中标人在服务期内因经营不善或其它原因导致无法继续正常向采购人提供服务并支付服务人员相关费用，采购人及相关服务人员将通过法律途径追究中标人责任。</w:t>
            </w:r>
          </w:p>
          <w:p>
            <w:pPr>
              <w:ind w:firstLine="420"/>
              <w:jc w:val="both"/>
            </w:pPr>
            <w:r>
              <w:rPr>
                <w:sz w:val="21"/>
              </w:rPr>
              <w:t>6、若中标人在签订合同并生效后15天内未能按采购人需求配齐人员，则视为中标人主动违约，采购人有权终止合同。</w:t>
            </w:r>
          </w:p>
          <w:p>
            <w:pPr>
              <w:ind w:firstLine="420"/>
              <w:jc w:val="both"/>
            </w:pPr>
            <w:r>
              <w:rPr>
                <w:sz w:val="21"/>
              </w:rPr>
              <w:t>7、服务人员的考核工作，由中标人按照相关制度进行，采购人提供协助，奖惩由中标人落实。考核不合格者，中标人应更换员工。在服务期间，服务人员因为调走、辞职或被中标人辞退等原因导致服务外包人员不足的，而中标人未能在5个工作日内及时补齐符合项目要求的服务外包人员时，则视为中标人主动违约，造成采购人的经济损失，所产生的损失或后果由中标人承担。</w:t>
            </w:r>
          </w:p>
          <w:p>
            <w:pPr>
              <w:ind w:firstLine="420"/>
              <w:jc w:val="both"/>
            </w:pPr>
            <w:r>
              <w:rPr>
                <w:sz w:val="21"/>
              </w:rPr>
              <w:t>8、半年度考核评分表、服务费计算系数表（详见附件1）、</w:t>
            </w:r>
            <w:r>
              <w:rPr>
                <w:sz w:val="21"/>
              </w:rPr>
              <w:t>东莞滨海湾新区政务服务中心人力资源服务项目</w:t>
            </w:r>
            <w:r>
              <w:rPr>
                <w:sz w:val="21"/>
              </w:rPr>
              <w:t>岗位需求表（附件</w:t>
            </w:r>
            <w:r>
              <w:rPr>
                <w:sz w:val="21"/>
              </w:rPr>
              <w:t>2）</w:t>
            </w:r>
          </w:p>
          <w:p>
            <w:pPr>
              <w:ind w:firstLine="420"/>
              <w:jc w:val="both"/>
            </w:pPr>
          </w:p>
          <w:p>
            <w:pPr>
              <w:ind w:firstLine="420"/>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附件</w:t>
            </w:r>
            <w:r>
              <w:rPr>
                <w:sz w:val="21"/>
              </w:rPr>
              <w:t>1：半年度考核评分表、服务费计算系数表</w:t>
            </w:r>
          </w:p>
          <w:p>
            <w:pPr>
              <w:ind w:firstLine="420"/>
              <w:jc w:val="both"/>
            </w:pPr>
            <w:r>
              <w:rPr>
                <w:sz w:val="21"/>
              </w:rPr>
              <w:t>1、半年度考核评分表</w:t>
            </w:r>
          </w:p>
          <w:tbl>
            <w:tblPr>
              <w:tblBorders>
                <w:top w:val="none" w:color="000000" w:sz="4"/>
                <w:left w:val="none" w:color="000000" w:sz="4"/>
                <w:bottom w:val="none" w:color="000000" w:sz="4"/>
                <w:right w:val="none" w:color="000000" w:sz="4"/>
                <w:insideH w:val="none"/>
                <w:insideV w:val="none"/>
              </w:tblBorders>
            </w:tblPr>
            <w:tblGrid>
              <w:gridCol w:w="737"/>
              <w:gridCol w:w="4456"/>
              <w:gridCol w:w="404"/>
            </w:tblGrid>
            <w:tr>
              <w:tc>
                <w:tcPr>
                  <w:tcW w:type="dxa" w:w="737"/>
                  <w:tcBorders>
                    <w:top w:val="single" w:color="000000" w:sz="4"/>
                    <w:left w:val="single" w:color="000000" w:sz="4"/>
                    <w:bottom w:val="single" w:color="000000" w:sz="4"/>
                    <w:right w:val="single" w:color="000000" w:sz="4"/>
                  </w:tcBorders>
                  <w:vAlign w:val="top"/>
                </w:tcPr>
                <w:p>
                  <w:pPr>
                    <w:jc w:val="center"/>
                  </w:pPr>
                  <w:r>
                    <w:rPr>
                      <w:sz w:val="21"/>
                    </w:rPr>
                    <w:t>考核事项</w:t>
                  </w:r>
                </w:p>
              </w:tc>
              <w:tc>
                <w:tcPr>
                  <w:tcW w:type="dxa" w:w="4456"/>
                  <w:tcBorders>
                    <w:top w:val="single" w:color="000000" w:sz="4"/>
                    <w:left w:val="single" w:color="000000" w:sz="4"/>
                    <w:bottom w:val="single" w:color="000000" w:sz="4"/>
                    <w:right w:val="single" w:color="000000" w:sz="4"/>
                  </w:tcBorders>
                  <w:vAlign w:val="top"/>
                </w:tcPr>
                <w:p>
                  <w:pPr>
                    <w:jc w:val="center"/>
                  </w:pPr>
                  <w:r>
                    <w:rPr>
                      <w:sz w:val="21"/>
                    </w:rPr>
                    <w:t>考核指标</w:t>
                  </w:r>
                </w:p>
              </w:tc>
              <w:tc>
                <w:tcPr>
                  <w:tcW w:type="dxa" w:w="404"/>
                  <w:tcBorders>
                    <w:top w:val="single" w:color="000000" w:sz="4"/>
                    <w:left w:val="single" w:color="000000" w:sz="4"/>
                    <w:bottom w:val="single" w:color="000000" w:sz="4"/>
                    <w:right w:val="single" w:color="000000" w:sz="4"/>
                  </w:tcBorders>
                  <w:vAlign w:val="top"/>
                </w:tcPr>
                <w:p>
                  <w:pPr>
                    <w:jc w:val="center"/>
                  </w:pPr>
                  <w:r>
                    <w:rPr>
                      <w:sz w:val="21"/>
                    </w:rPr>
                    <w:t>分值</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平均岗位满编率</w:t>
                  </w:r>
                </w:p>
              </w:tc>
              <w:tc>
                <w:tcPr>
                  <w:tcW w:type="dxa" w:w="4456"/>
                  <w:tcBorders>
                    <w:top w:val="none" w:color="000000" w:sz="4"/>
                    <w:left w:val="single" w:color="000000" w:sz="4"/>
                    <w:bottom w:val="single" w:color="000000" w:sz="4"/>
                    <w:right w:val="single" w:color="000000" w:sz="4"/>
                  </w:tcBorders>
                  <w:vAlign w:val="top"/>
                </w:tcPr>
                <w:p>
                  <w:pPr>
                    <w:ind w:firstLine="420"/>
                    <w:jc w:val="both"/>
                  </w:pPr>
                  <w:r>
                    <w:rPr>
                      <w:sz w:val="21"/>
                    </w:rPr>
                    <w:t>月度平均岗位满编率高于等于</w:t>
                  </w:r>
                  <w:r>
                    <w:rPr>
                      <w:sz w:val="21"/>
                    </w:rPr>
                    <w:t>90%，得满分，每低一个百分点，扣2分，扣完为止。</w:t>
                  </w:r>
                </w:p>
                <w:p>
                  <w:pPr>
                    <w:ind w:firstLine="420"/>
                    <w:jc w:val="both"/>
                  </w:pPr>
                  <w:r>
                    <w:rPr>
                      <w:sz w:val="21"/>
                    </w:rPr>
                    <w:t>合同签署之后</w:t>
                  </w:r>
                  <w:r>
                    <w:rPr>
                      <w:sz w:val="21"/>
                    </w:rPr>
                    <w:t>15天招聘到岗率低于90%的，每低一个百分点，扣1分，扣完为止。</w:t>
                  </w:r>
                </w:p>
                <w:p>
                  <w:pPr>
                    <w:ind w:firstLine="420"/>
                    <w:jc w:val="both"/>
                  </w:pPr>
                  <w:r>
                    <w:rPr>
                      <w:sz w:val="21"/>
                    </w:rPr>
                    <w:t>出现人员到岗严重不足</w:t>
                  </w:r>
                  <w:r>
                    <w:rPr>
                      <w:sz w:val="21"/>
                    </w:rPr>
                    <w:t>(低于总人数的比例80%)影响大厅正常运行的，滨海湾新区管委会可更换供应商。</w:t>
                  </w:r>
                </w:p>
              </w:tc>
              <w:tc>
                <w:tcPr>
                  <w:tcW w:type="dxa" w:w="404"/>
                  <w:tcBorders>
                    <w:top w:val="none" w:color="000000" w:sz="4"/>
                    <w:left w:val="single" w:color="000000" w:sz="4"/>
                    <w:bottom w:val="single" w:color="000000" w:sz="4"/>
                    <w:right w:val="single" w:color="000000" w:sz="4"/>
                  </w:tcBorders>
                  <w:vAlign w:val="top"/>
                </w:tcPr>
                <w:p>
                  <w:pPr>
                    <w:jc w:val="center"/>
                  </w:pPr>
                  <w:r>
                    <w:rPr>
                      <w:sz w:val="21"/>
                    </w:rPr>
                    <w:t>30分</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人员离职率</w:t>
                  </w:r>
                </w:p>
              </w:tc>
              <w:tc>
                <w:tcPr>
                  <w:tcW w:type="dxa" w:w="4456"/>
                  <w:tcBorders>
                    <w:top w:val="none" w:color="000000" w:sz="4"/>
                    <w:left w:val="single" w:color="000000" w:sz="4"/>
                    <w:bottom w:val="single" w:color="000000" w:sz="4"/>
                    <w:right w:val="single" w:color="000000" w:sz="4"/>
                  </w:tcBorders>
                  <w:vAlign w:val="top"/>
                </w:tcPr>
                <w:p>
                  <w:pPr>
                    <w:ind w:firstLine="420"/>
                    <w:jc w:val="both"/>
                  </w:pPr>
                  <w:r>
                    <w:rPr>
                      <w:sz w:val="21"/>
                    </w:rPr>
                    <w:t>月度平均离职率低于</w:t>
                  </w:r>
                  <w:r>
                    <w:rPr>
                      <w:sz w:val="21"/>
                    </w:rPr>
                    <w:t>10%，得满分，每高一个百分点，扣5分，扣完为止。</w:t>
                  </w:r>
                </w:p>
              </w:tc>
              <w:tc>
                <w:tcPr>
                  <w:tcW w:type="dxa" w:w="404"/>
                  <w:tcBorders>
                    <w:top w:val="none" w:color="000000" w:sz="4"/>
                    <w:left w:val="single" w:color="000000" w:sz="4"/>
                    <w:bottom w:val="single" w:color="000000" w:sz="4"/>
                    <w:right w:val="single" w:color="000000" w:sz="4"/>
                  </w:tcBorders>
                  <w:vAlign w:val="top"/>
                </w:tcPr>
                <w:p>
                  <w:pPr>
                    <w:jc w:val="center"/>
                  </w:pPr>
                  <w:r>
                    <w:rPr>
                      <w:sz w:val="21"/>
                    </w:rPr>
                    <w:t>20分</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薪酬社保项</w:t>
                  </w:r>
                </w:p>
              </w:tc>
              <w:tc>
                <w:tcPr>
                  <w:tcW w:type="dxa" w:w="4456"/>
                  <w:tcBorders>
                    <w:top w:val="none" w:color="000000" w:sz="4"/>
                    <w:left w:val="single" w:color="000000" w:sz="4"/>
                    <w:bottom w:val="single" w:color="000000" w:sz="4"/>
                    <w:right w:val="single" w:color="000000" w:sz="4"/>
                  </w:tcBorders>
                  <w:vAlign w:val="top"/>
                </w:tcPr>
                <w:p>
                  <w:pPr>
                    <w:ind w:firstLine="420"/>
                    <w:jc w:val="both"/>
                  </w:pPr>
                  <w:r>
                    <w:rPr>
                      <w:sz w:val="21"/>
                    </w:rPr>
                    <w:t>每月</w:t>
                  </w:r>
                  <w:r>
                    <w:rPr>
                      <w:sz w:val="21"/>
                    </w:rPr>
                    <w:t>13日前发放工资，每拖延一天扣2分；（法定节假日顺延发放工资除外）</w:t>
                  </w:r>
                </w:p>
                <w:p>
                  <w:pPr>
                    <w:ind w:firstLine="420"/>
                    <w:jc w:val="both"/>
                  </w:pPr>
                  <w:r>
                    <w:rPr>
                      <w:sz w:val="21"/>
                    </w:rPr>
                    <w:t>工资发放出现少发的，根据主观性判断扣分，非有意截留的，每出现</w:t>
                  </w:r>
                  <w:r>
                    <w:rPr>
                      <w:sz w:val="21"/>
                    </w:rPr>
                    <w:t>1例扣1分，扣完为止。如果是有意截留工资的，当 月总评分为0分。</w:t>
                  </w:r>
                </w:p>
                <w:p>
                  <w:pPr>
                    <w:ind w:firstLine="420"/>
                    <w:jc w:val="both"/>
                  </w:pPr>
                  <w:r>
                    <w:rPr>
                      <w:sz w:val="21"/>
                    </w:rPr>
                    <w:t>中标人应提交相关证明</w:t>
                  </w:r>
                  <w:r>
                    <w:rPr>
                      <w:sz w:val="21"/>
                    </w:rPr>
                    <w:t>(已按时发放工资证明文件资料) 随时供采购人核对。</w:t>
                  </w:r>
                </w:p>
                <w:p>
                  <w:pPr>
                    <w:ind w:firstLine="420"/>
                    <w:jc w:val="both"/>
                  </w:pPr>
                  <w:r>
                    <w:rPr>
                      <w:sz w:val="21"/>
                    </w:rPr>
                    <w:t>社保公积金出现漏缴错缴的，每</w:t>
                  </w:r>
                  <w:r>
                    <w:rPr>
                      <w:sz w:val="21"/>
                    </w:rPr>
                    <w:t>1例扣1分，扣完为止。</w:t>
                  </w:r>
                </w:p>
              </w:tc>
              <w:tc>
                <w:tcPr>
                  <w:tcW w:type="dxa" w:w="404"/>
                  <w:tcBorders>
                    <w:top w:val="none" w:color="000000" w:sz="4"/>
                    <w:left w:val="single" w:color="000000" w:sz="4"/>
                    <w:bottom w:val="single" w:color="000000" w:sz="4"/>
                    <w:right w:val="single" w:color="000000" w:sz="4"/>
                  </w:tcBorders>
                  <w:vAlign w:val="top"/>
                </w:tcPr>
                <w:p>
                  <w:pPr>
                    <w:jc w:val="center"/>
                  </w:pPr>
                  <w:r>
                    <w:rPr>
                      <w:sz w:val="21"/>
                    </w:rPr>
                    <w:t>20分</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人员管理</w:t>
                  </w:r>
                </w:p>
              </w:tc>
              <w:tc>
                <w:tcPr>
                  <w:tcW w:type="dxa" w:w="4456"/>
                  <w:tcBorders>
                    <w:top w:val="none" w:color="000000" w:sz="4"/>
                    <w:left w:val="single" w:color="000000" w:sz="4"/>
                    <w:bottom w:val="single" w:color="000000" w:sz="4"/>
                    <w:right w:val="single" w:color="000000" w:sz="4"/>
                  </w:tcBorders>
                  <w:vAlign w:val="top"/>
                </w:tcPr>
                <w:p>
                  <w:pPr>
                    <w:ind w:firstLine="420"/>
                    <w:jc w:val="both"/>
                  </w:pPr>
                  <w:r>
                    <w:rPr>
                      <w:sz w:val="21"/>
                    </w:rPr>
                    <w:t>服务人员工作失误造成影响的，根据情况扣分，最低</w:t>
                  </w:r>
                  <w:r>
                    <w:rPr>
                      <w:sz w:val="21"/>
                    </w:rPr>
                    <w:t>1 分，扣完为止。</w:t>
                  </w:r>
                </w:p>
                <w:p>
                  <w:pPr>
                    <w:ind w:firstLine="420"/>
                    <w:jc w:val="both"/>
                  </w:pPr>
                  <w:r>
                    <w:rPr>
                      <w:sz w:val="21"/>
                    </w:rPr>
                    <w:t>服务人员在服务期间受到市民投诉或差评（除恶意评价外），每</w:t>
                  </w:r>
                  <w:r>
                    <w:rPr>
                      <w:sz w:val="21"/>
                    </w:rPr>
                    <w:t>1例扣1分，扣完为止。</w:t>
                  </w:r>
                </w:p>
              </w:tc>
              <w:tc>
                <w:tcPr>
                  <w:tcW w:type="dxa" w:w="404"/>
                  <w:tcBorders>
                    <w:top w:val="none" w:color="000000" w:sz="4"/>
                    <w:left w:val="single" w:color="000000" w:sz="4"/>
                    <w:bottom w:val="single" w:color="000000" w:sz="4"/>
                    <w:right w:val="single" w:color="000000" w:sz="4"/>
                  </w:tcBorders>
                  <w:vAlign w:val="top"/>
                </w:tcPr>
                <w:p>
                  <w:pPr>
                    <w:jc w:val="center"/>
                  </w:pPr>
                  <w:r>
                    <w:rPr>
                      <w:sz w:val="21"/>
                    </w:rPr>
                    <w:t>10分</w:t>
                  </w:r>
                </w:p>
              </w:tc>
            </w:tr>
            <w:tr>
              <w:tc>
                <w:tcPr>
                  <w:tcW w:type="dxa" w:w="737"/>
                  <w:tcBorders>
                    <w:top w:val="none" w:color="000000" w:sz="4"/>
                    <w:left w:val="single" w:color="000000" w:sz="4"/>
                    <w:bottom w:val="single" w:color="000000" w:sz="4"/>
                    <w:right w:val="single" w:color="000000" w:sz="4"/>
                  </w:tcBorders>
                  <w:vAlign w:val="top"/>
                </w:tcPr>
                <w:p>
                  <w:pPr>
                    <w:jc w:val="center"/>
                  </w:pPr>
                  <w:r>
                    <w:rPr>
                      <w:sz w:val="21"/>
                    </w:rPr>
                    <w:t>其他管理</w:t>
                  </w:r>
                </w:p>
              </w:tc>
              <w:tc>
                <w:tcPr>
                  <w:tcW w:type="dxa" w:w="4456"/>
                  <w:tcBorders>
                    <w:top w:val="none" w:color="000000" w:sz="4"/>
                    <w:left w:val="single" w:color="000000" w:sz="4"/>
                    <w:bottom w:val="single" w:color="000000" w:sz="4"/>
                    <w:right w:val="single" w:color="000000" w:sz="4"/>
                  </w:tcBorders>
                  <w:vAlign w:val="top"/>
                </w:tcPr>
                <w:p>
                  <w:pPr>
                    <w:ind w:firstLine="420"/>
                    <w:jc w:val="both"/>
                  </w:pPr>
                  <w:r>
                    <w:rPr>
                      <w:sz w:val="21"/>
                    </w:rPr>
                    <w:t>东莞滨海湾新区管理委员会根据日常运营需求，对中标人的提出的要求，根据供应商配合，进行评分。</w:t>
                  </w:r>
                </w:p>
              </w:tc>
              <w:tc>
                <w:tcPr>
                  <w:tcW w:type="dxa" w:w="404"/>
                  <w:tcBorders>
                    <w:top w:val="none" w:color="000000" w:sz="4"/>
                    <w:left w:val="single" w:color="000000" w:sz="4"/>
                    <w:bottom w:val="single" w:color="000000" w:sz="4"/>
                    <w:right w:val="single" w:color="000000" w:sz="4"/>
                  </w:tcBorders>
                  <w:vAlign w:val="top"/>
                </w:tcPr>
                <w:p>
                  <w:pPr>
                    <w:jc w:val="center"/>
                  </w:pPr>
                  <w:r>
                    <w:rPr>
                      <w:sz w:val="21"/>
                    </w:rPr>
                    <w:t>20分</w:t>
                  </w:r>
                </w:p>
              </w:tc>
            </w:tr>
          </w:tbl>
          <w:p>
            <w:pPr>
              <w:ind w:firstLine="420"/>
              <w:jc w:val="both"/>
            </w:pPr>
            <w:r>
              <w:rPr>
                <w:sz w:val="21"/>
              </w:rPr>
              <w:t>2、服务费计算系数表</w:t>
            </w:r>
          </w:p>
          <w:p>
            <w:pPr>
              <w:ind w:firstLine="420"/>
              <w:jc w:val="both"/>
            </w:pPr>
            <w:r>
              <w:rPr>
                <w:sz w:val="21"/>
              </w:rPr>
              <w:t>根据半年度的考核评分结果，按照下表对应的考核系数，剩余每半年应付服务费的</w:t>
            </w:r>
            <w:r>
              <w:rPr>
                <w:sz w:val="21"/>
              </w:rPr>
              <w:t>10%以半年度考核评分表中半年度考核系数*每半年度的应付服务费用作为结算依据进行结算支付。</w:t>
            </w:r>
          </w:p>
          <w:tbl>
            <w:tblPr>
              <w:tblBorders>
                <w:top w:val="none" w:color="000000" w:sz="4"/>
                <w:left w:val="none" w:color="000000" w:sz="4"/>
                <w:bottom w:val="none" w:color="000000" w:sz="4"/>
                <w:right w:val="none" w:color="000000" w:sz="4"/>
                <w:insideH w:val="none"/>
                <w:insideV w:val="none"/>
              </w:tblBorders>
            </w:tblPr>
            <w:tblGrid>
              <w:gridCol w:w="2798"/>
              <w:gridCol w:w="2798"/>
            </w:tblGrid>
            <w:tr>
              <w:tc>
                <w:tcPr>
                  <w:tcW w:type="dxa" w:w="2798"/>
                  <w:tcBorders>
                    <w:top w:val="single" w:color="000000" w:sz="4"/>
                    <w:left w:val="single" w:color="000000" w:sz="4"/>
                    <w:bottom w:val="single" w:color="000000" w:sz="4"/>
                    <w:right w:val="single" w:color="000000" w:sz="4"/>
                  </w:tcBorders>
                  <w:vAlign w:val="top"/>
                </w:tcPr>
                <w:p>
                  <w:pPr>
                    <w:jc w:val="center"/>
                  </w:pPr>
                  <w:r>
                    <w:rPr>
                      <w:sz w:val="21"/>
                    </w:rPr>
                    <w:t>考核得分</w:t>
                  </w:r>
                </w:p>
              </w:tc>
              <w:tc>
                <w:tcPr>
                  <w:tcW w:type="dxa" w:w="2798"/>
                  <w:tcBorders>
                    <w:top w:val="single" w:color="000000" w:sz="4"/>
                    <w:left w:val="single" w:color="000000" w:sz="4"/>
                    <w:bottom w:val="single" w:color="000000" w:sz="4"/>
                    <w:right w:val="single" w:color="000000" w:sz="4"/>
                  </w:tcBorders>
                  <w:vAlign w:val="top"/>
                </w:tcPr>
                <w:p>
                  <w:pPr>
                    <w:jc w:val="center"/>
                  </w:pPr>
                  <w:r>
                    <w:rPr>
                      <w:sz w:val="21"/>
                    </w:rPr>
                    <w:t>考核系数</w:t>
                  </w:r>
                </w:p>
              </w:tc>
            </w:tr>
            <w:tr>
              <w:tc>
                <w:tcPr>
                  <w:tcW w:type="dxa" w:w="2798"/>
                  <w:tcBorders>
                    <w:top w:val="none" w:color="000000" w:sz="4"/>
                    <w:left w:val="single" w:color="000000" w:sz="4"/>
                    <w:bottom w:val="single" w:color="000000" w:sz="4"/>
                    <w:right w:val="single" w:color="000000" w:sz="4"/>
                  </w:tcBorders>
                  <w:vAlign w:val="top"/>
                </w:tcPr>
                <w:p>
                  <w:pPr>
                    <w:jc w:val="center"/>
                  </w:pPr>
                  <w:r>
                    <w:rPr>
                      <w:sz w:val="21"/>
                    </w:rPr>
                    <w:t>大于等于</w:t>
                  </w:r>
                  <w:r>
                    <w:rPr>
                      <w:sz w:val="21"/>
                    </w:rPr>
                    <w:t>95分</w:t>
                  </w:r>
                </w:p>
              </w:tc>
              <w:tc>
                <w:tcPr>
                  <w:tcW w:type="dxa" w:w="2798"/>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2798"/>
                  <w:tcBorders>
                    <w:top w:val="none" w:color="000000" w:sz="4"/>
                    <w:left w:val="single" w:color="000000" w:sz="4"/>
                    <w:bottom w:val="single" w:color="000000" w:sz="4"/>
                    <w:right w:val="single" w:color="000000" w:sz="4"/>
                  </w:tcBorders>
                  <w:vAlign w:val="top"/>
                </w:tcPr>
                <w:p>
                  <w:pPr>
                    <w:jc w:val="center"/>
                  </w:pPr>
                  <w:r>
                    <w:rPr>
                      <w:sz w:val="21"/>
                    </w:rPr>
                    <w:t>95分至90分</w:t>
                  </w:r>
                </w:p>
              </w:tc>
              <w:tc>
                <w:tcPr>
                  <w:tcW w:type="dxa" w:w="2798"/>
                  <w:tcBorders>
                    <w:top w:val="none" w:color="000000" w:sz="4"/>
                    <w:left w:val="single" w:color="000000" w:sz="4"/>
                    <w:bottom w:val="single" w:color="000000" w:sz="4"/>
                    <w:right w:val="single" w:color="000000" w:sz="4"/>
                  </w:tcBorders>
                  <w:vAlign w:val="top"/>
                </w:tcPr>
                <w:p>
                  <w:pPr>
                    <w:jc w:val="center"/>
                  </w:pPr>
                  <w:r>
                    <w:rPr>
                      <w:sz w:val="21"/>
                    </w:rPr>
                    <w:t>90%</w:t>
                  </w:r>
                </w:p>
              </w:tc>
            </w:tr>
            <w:tr>
              <w:tc>
                <w:tcPr>
                  <w:tcW w:type="dxa" w:w="2798"/>
                  <w:tcBorders>
                    <w:top w:val="none" w:color="000000" w:sz="4"/>
                    <w:left w:val="single" w:color="000000" w:sz="4"/>
                    <w:bottom w:val="single" w:color="000000" w:sz="4"/>
                    <w:right w:val="single" w:color="000000" w:sz="4"/>
                  </w:tcBorders>
                  <w:vAlign w:val="top"/>
                </w:tcPr>
                <w:p>
                  <w:pPr>
                    <w:jc w:val="center"/>
                  </w:pPr>
                  <w:r>
                    <w:rPr>
                      <w:sz w:val="21"/>
                    </w:rPr>
                    <w:t>80分至89分</w:t>
                  </w:r>
                </w:p>
              </w:tc>
              <w:tc>
                <w:tcPr>
                  <w:tcW w:type="dxa" w:w="2798"/>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2798"/>
                  <w:tcBorders>
                    <w:top w:val="none" w:color="000000" w:sz="4"/>
                    <w:left w:val="single" w:color="000000" w:sz="4"/>
                    <w:bottom w:val="single" w:color="000000" w:sz="4"/>
                    <w:right w:val="single" w:color="000000" w:sz="4"/>
                  </w:tcBorders>
                  <w:vAlign w:val="top"/>
                </w:tcPr>
                <w:p>
                  <w:pPr>
                    <w:jc w:val="center"/>
                  </w:pPr>
                  <w:r>
                    <w:rPr>
                      <w:sz w:val="21"/>
                    </w:rPr>
                    <w:t>低于</w:t>
                  </w:r>
                  <w:r>
                    <w:rPr>
                      <w:sz w:val="21"/>
                    </w:rPr>
                    <w:t>80分</w:t>
                  </w:r>
                </w:p>
              </w:tc>
              <w:tc>
                <w:tcPr>
                  <w:tcW w:type="dxa" w:w="2798"/>
                  <w:tcBorders>
                    <w:top w:val="none" w:color="000000" w:sz="4"/>
                    <w:left w:val="single" w:color="000000" w:sz="4"/>
                    <w:bottom w:val="single" w:color="000000" w:sz="4"/>
                    <w:right w:val="single" w:color="000000" w:sz="4"/>
                  </w:tcBorders>
                  <w:vAlign w:val="top"/>
                </w:tcPr>
                <w:p>
                  <w:pPr>
                    <w:jc w:val="center"/>
                  </w:pPr>
                  <w:r>
                    <w:rPr>
                      <w:sz w:val="21"/>
                    </w:rPr>
                    <w:t>0</w:t>
                  </w:r>
                </w:p>
              </w:tc>
            </w:tr>
          </w:tbl>
          <w:p>
            <w:pPr>
              <w:jc w:val="both"/>
            </w:pPr>
          </w:p>
          <w:p>
            <w:pPr>
              <w:jc w:val="both"/>
            </w:pPr>
          </w:p>
          <w:p>
            <w:pPr>
              <w:jc w:val="left"/>
            </w:pPr>
          </w:p>
          <w:p>
            <w:pPr>
              <w:jc w:val="left"/>
            </w:pPr>
          </w:p>
          <w:p>
            <w:pPr>
              <w:jc w:val="left"/>
            </w:pPr>
            <w:r>
              <w:rPr>
                <w:sz w:val="21"/>
              </w:rPr>
              <w:t>附表</w:t>
            </w:r>
            <w:r>
              <w:rPr>
                <w:sz w:val="21"/>
              </w:rPr>
              <w:t>2：东莞滨海湾新区政务服务中心人力资源服务项目岗位需求表</w:t>
            </w:r>
          </w:p>
          <w:tbl>
            <w:tblPr>
              <w:tblBorders>
                <w:top w:val="none" w:color="000000" w:sz="4"/>
                <w:left w:val="none" w:color="000000" w:sz="4"/>
                <w:bottom w:val="none" w:color="000000" w:sz="4"/>
                <w:right w:val="none" w:color="000000" w:sz="4"/>
                <w:insideH w:val="none"/>
                <w:insideV w:val="none"/>
              </w:tblBorders>
            </w:tblPr>
            <w:tblGrid>
              <w:gridCol w:w="361"/>
              <w:gridCol w:w="615"/>
              <w:gridCol w:w="468"/>
              <w:gridCol w:w="2364"/>
              <w:gridCol w:w="1748"/>
            </w:tblGrid>
            <w:tr>
              <w:tc>
                <w:tcPr>
                  <w:tcW w:type="dxa" w:w="36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15"/>
                  <w:tcBorders>
                    <w:top w:val="single" w:color="000000" w:sz="4"/>
                    <w:left w:val="single" w:color="000000" w:sz="4"/>
                    <w:bottom w:val="single" w:color="000000" w:sz="4"/>
                    <w:right w:val="single" w:color="000000" w:sz="4"/>
                  </w:tcBorders>
                  <w:vAlign w:val="top"/>
                </w:tcPr>
                <w:p>
                  <w:pPr>
                    <w:jc w:val="center"/>
                  </w:pPr>
                  <w:r>
                    <w:rPr>
                      <w:sz w:val="21"/>
                    </w:rPr>
                    <w:t>岗位名称</w:t>
                  </w:r>
                </w:p>
              </w:tc>
              <w:tc>
                <w:tcPr>
                  <w:tcW w:type="dxa" w:w="468"/>
                  <w:tcBorders>
                    <w:top w:val="single" w:color="000000" w:sz="4"/>
                    <w:left w:val="single" w:color="000000" w:sz="4"/>
                    <w:bottom w:val="single" w:color="000000" w:sz="4"/>
                    <w:right w:val="single" w:color="000000" w:sz="4"/>
                  </w:tcBorders>
                  <w:vAlign w:val="top"/>
                </w:tcPr>
                <w:p>
                  <w:pPr>
                    <w:jc w:val="center"/>
                  </w:pPr>
                  <w:r>
                    <w:rPr>
                      <w:sz w:val="21"/>
                    </w:rPr>
                    <w:t>人数</w:t>
                  </w:r>
                </w:p>
              </w:tc>
              <w:tc>
                <w:tcPr>
                  <w:tcW w:type="dxa" w:w="2364"/>
                  <w:tcBorders>
                    <w:top w:val="single" w:color="000000" w:sz="4"/>
                    <w:left w:val="single" w:color="000000" w:sz="4"/>
                    <w:bottom w:val="single" w:color="000000" w:sz="4"/>
                    <w:right w:val="single" w:color="000000" w:sz="4"/>
                  </w:tcBorders>
                  <w:vAlign w:val="top"/>
                </w:tcPr>
                <w:p>
                  <w:pPr>
                    <w:jc w:val="center"/>
                  </w:pPr>
                  <w:r>
                    <w:rPr>
                      <w:sz w:val="21"/>
                    </w:rPr>
                    <w:t>岗位职责</w:t>
                  </w:r>
                </w:p>
              </w:tc>
              <w:tc>
                <w:tcPr>
                  <w:tcW w:type="dxa" w:w="1748"/>
                  <w:tcBorders>
                    <w:top w:val="single" w:color="000000" w:sz="4"/>
                    <w:left w:val="single" w:color="000000" w:sz="4"/>
                    <w:bottom w:val="single" w:color="000000" w:sz="4"/>
                    <w:right w:val="single" w:color="000000" w:sz="4"/>
                  </w:tcBorders>
                  <w:vAlign w:val="top"/>
                </w:tcPr>
                <w:p>
                  <w:pPr>
                    <w:jc w:val="center"/>
                  </w:pPr>
                  <w:r>
                    <w:rPr>
                      <w:sz w:val="21"/>
                    </w:rPr>
                    <w:t>岗位要求</w:t>
                  </w: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5"/>
                  <w:tcBorders>
                    <w:top w:val="none" w:color="000000" w:sz="4"/>
                    <w:left w:val="single" w:color="000000" w:sz="4"/>
                    <w:bottom w:val="single" w:color="000000" w:sz="4"/>
                    <w:right w:val="single" w:color="000000" w:sz="4"/>
                  </w:tcBorders>
                  <w:vAlign w:val="top"/>
                </w:tcPr>
                <w:p>
                  <w:pPr>
                    <w:jc w:val="center"/>
                  </w:pPr>
                  <w:r>
                    <w:rPr>
                      <w:sz w:val="21"/>
                    </w:rPr>
                    <w:t>管理岗</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64"/>
                  <w:tcBorders>
                    <w:top w:val="none" w:color="000000" w:sz="4"/>
                    <w:left w:val="single" w:color="000000" w:sz="4"/>
                    <w:bottom w:val="single" w:color="000000" w:sz="4"/>
                    <w:right w:val="single" w:color="000000" w:sz="4"/>
                  </w:tcBorders>
                  <w:vAlign w:val="top"/>
                </w:tcPr>
                <w:p>
                  <w:pPr>
                    <w:jc w:val="both"/>
                  </w:pPr>
                  <w:r>
                    <w:rPr>
                      <w:sz w:val="21"/>
                    </w:rPr>
                    <w:t>（</w:t>
                  </w:r>
                  <w:r>
                    <w:rPr>
                      <w:sz w:val="21"/>
                    </w:rPr>
                    <w:t>1）负责受理市民对中心的信息公开、办事指南、投诉和建议类事项的服务、咨询、解答；</w:t>
                  </w:r>
                </w:p>
                <w:p>
                  <w:pPr>
                    <w:jc w:val="both"/>
                  </w:pPr>
                  <w:r>
                    <w:rPr>
                      <w:sz w:val="21"/>
                    </w:rPr>
                    <w:t>（</w:t>
                  </w:r>
                  <w:r>
                    <w:rPr>
                      <w:sz w:val="21"/>
                    </w:rPr>
                    <w:t>2）负责窗口人员统筹、上岗监督、现场管理、团队建设等工作，负责政务服务中心办公场所各类资源的分配和管理；</w:t>
                  </w:r>
                </w:p>
                <w:p>
                  <w:pPr>
                    <w:jc w:val="both"/>
                  </w:pPr>
                  <w:r>
                    <w:rPr>
                      <w:sz w:val="21"/>
                    </w:rPr>
                    <w:t>（</w:t>
                  </w:r>
                  <w:r>
                    <w:rPr>
                      <w:sz w:val="21"/>
                    </w:rPr>
                    <w:t>3）负责规范政务服务中心日常运作及管理，现场处理中心突发应急事件，维持好中心的整体形象和工作秩序，对于当场不能解决的，及时向上级报告；</w:t>
                  </w:r>
                </w:p>
                <w:p>
                  <w:pPr>
                    <w:jc w:val="both"/>
                  </w:pPr>
                  <w:r>
                    <w:rPr>
                      <w:sz w:val="21"/>
                    </w:rPr>
                    <w:t>（</w:t>
                  </w:r>
                  <w:r>
                    <w:rPr>
                      <w:sz w:val="21"/>
                    </w:rPr>
                    <w:t>4）不断优化完善中心的办事环境和服务设施；</w:t>
                  </w:r>
                </w:p>
                <w:p>
                  <w:pPr>
                    <w:jc w:val="both"/>
                  </w:pPr>
                  <w:r>
                    <w:rPr>
                      <w:sz w:val="21"/>
                    </w:rPr>
                    <w:t>（</w:t>
                  </w:r>
                  <w:r>
                    <w:rPr>
                      <w:sz w:val="21"/>
                    </w:rPr>
                    <w:t>5）负责指导进驻单位开展业务创新、机制创新和实施标准化服务；</w:t>
                  </w:r>
                </w:p>
                <w:p>
                  <w:pPr>
                    <w:jc w:val="both"/>
                  </w:pPr>
                  <w:r>
                    <w:rPr>
                      <w:sz w:val="21"/>
                    </w:rPr>
                    <w:t>（</w:t>
                  </w:r>
                  <w:r>
                    <w:rPr>
                      <w:sz w:val="21"/>
                    </w:rPr>
                    <w:t>6）合理设置窗口岗位，规范办事流程，审查受理材料，检查督促办理事项；</w:t>
                  </w:r>
                </w:p>
                <w:p>
                  <w:pPr>
                    <w:jc w:val="both"/>
                  </w:pPr>
                  <w:r>
                    <w:rPr>
                      <w:sz w:val="21"/>
                    </w:rPr>
                    <w:t>（</w:t>
                  </w:r>
                  <w:r>
                    <w:rPr>
                      <w:sz w:val="21"/>
                    </w:rPr>
                    <w:t>7）负责对外联系、宣传、接待和协调工作，为前来中心视察、参观、采访、学习的领导和客人提供解说、导引等服务；</w:t>
                  </w:r>
                </w:p>
                <w:p>
                  <w:pPr>
                    <w:jc w:val="both"/>
                  </w:pPr>
                  <w:r>
                    <w:rPr>
                      <w:sz w:val="21"/>
                    </w:rPr>
                    <w:t>（</w:t>
                  </w:r>
                  <w:r>
                    <w:rPr>
                      <w:sz w:val="21"/>
                    </w:rPr>
                    <w:t>8）负责东莞滨海湾新区管理委员会及用人单位交办的其他工作。</w:t>
                  </w:r>
                </w:p>
              </w:tc>
              <w:tc>
                <w:tcPr>
                  <w:tcW w:type="dxa" w:w="1748"/>
                  <w:tcBorders>
                    <w:top w:val="none" w:color="000000" w:sz="4"/>
                    <w:left w:val="single" w:color="000000" w:sz="4"/>
                    <w:bottom w:val="single" w:color="000000" w:sz="4"/>
                    <w:right w:val="single" w:color="000000" w:sz="4"/>
                  </w:tcBorders>
                  <w:vAlign w:val="top"/>
                </w:tcPr>
                <w:p>
                  <w:pPr>
                    <w:jc w:val="both"/>
                  </w:pPr>
                  <w:r>
                    <w:rPr>
                      <w:sz w:val="21"/>
                    </w:rPr>
                    <w:t>（</w:t>
                  </w:r>
                  <w:r>
                    <w:rPr>
                      <w:sz w:val="21"/>
                    </w:rPr>
                    <w:t>1）拥护中国共产党领导，遵纪守法，品行端正、责任心强；</w:t>
                  </w:r>
                </w:p>
                <w:p>
                  <w:pPr>
                    <w:jc w:val="both"/>
                  </w:pPr>
                  <w:r>
                    <w:rPr>
                      <w:sz w:val="21"/>
                    </w:rPr>
                    <w:t>（</w:t>
                  </w:r>
                  <w:r>
                    <w:rPr>
                      <w:sz w:val="21"/>
                    </w:rPr>
                    <w:t>2）自愿从事政府服务工作，自觉遵守工作纪律、履行工作职责，无犯罪及其他不良记录；</w:t>
                  </w:r>
                </w:p>
                <w:p>
                  <w:pPr>
                    <w:jc w:val="both"/>
                  </w:pPr>
                  <w:r>
                    <w:rPr>
                      <w:sz w:val="21"/>
                    </w:rPr>
                    <w:t>（</w:t>
                  </w:r>
                  <w:r>
                    <w:rPr>
                      <w:sz w:val="21"/>
                    </w:rPr>
                    <w:t>3）本科及以上学历学位，年龄原则上35周岁以内，男女不限；</w:t>
                  </w:r>
                </w:p>
                <w:p>
                  <w:pPr>
                    <w:jc w:val="both"/>
                  </w:pPr>
                  <w:r>
                    <w:rPr>
                      <w:sz w:val="21"/>
                    </w:rPr>
                    <w:t>（</w:t>
                  </w:r>
                  <w:r>
                    <w:rPr>
                      <w:sz w:val="21"/>
                    </w:rPr>
                    <w:t>4）普通话标准，形象佳，谈吐清晰，身体健康；</w:t>
                  </w:r>
                </w:p>
                <w:p>
                  <w:pPr>
                    <w:jc w:val="both"/>
                  </w:pPr>
                  <w:r>
                    <w:rPr>
                      <w:sz w:val="21"/>
                    </w:rPr>
                    <w:t>（</w:t>
                  </w:r>
                  <w:r>
                    <w:rPr>
                      <w:sz w:val="21"/>
                    </w:rPr>
                    <w:t>5）熟悉基本的电脑操作和办公软件；</w:t>
                  </w:r>
                </w:p>
                <w:p>
                  <w:pPr>
                    <w:jc w:val="both"/>
                  </w:pPr>
                  <w:r>
                    <w:rPr>
                      <w:sz w:val="21"/>
                    </w:rPr>
                    <w:t>（</w:t>
                  </w:r>
                  <w:r>
                    <w:rPr>
                      <w:sz w:val="21"/>
                    </w:rPr>
                    <w:t>6）具备良好的沟通能力，服务意识、亲和力强；</w:t>
                  </w:r>
                </w:p>
                <w:p>
                  <w:pPr>
                    <w:jc w:val="both"/>
                  </w:pPr>
                  <w:r>
                    <w:rPr>
                      <w:sz w:val="21"/>
                    </w:rPr>
                    <w:t>（</w:t>
                  </w:r>
                  <w:r>
                    <w:rPr>
                      <w:sz w:val="21"/>
                    </w:rPr>
                    <w:t>7）思路清晰、逻辑性强，具有较强的原则性。</w:t>
                  </w:r>
                </w:p>
                <w:p>
                  <w:pPr>
                    <w:jc w:val="both"/>
                  </w:pPr>
                  <w:r>
                    <w:rPr>
                      <w:sz w:val="21"/>
                    </w:rPr>
                    <w:t>（</w:t>
                  </w:r>
                  <w:r>
                    <w:rPr>
                      <w:sz w:val="21"/>
                    </w:rPr>
                    <w:t>8）计算机能力良好，能熟练使用word、excel等软件，文案写作能力强；</w:t>
                  </w:r>
                </w:p>
                <w:p>
                  <w:pPr>
                    <w:jc w:val="both"/>
                  </w:pPr>
                  <w:r>
                    <w:rPr>
                      <w:sz w:val="21"/>
                    </w:rPr>
                    <w:t>（</w:t>
                  </w:r>
                  <w:r>
                    <w:rPr>
                      <w:sz w:val="21"/>
                    </w:rPr>
                    <w:t>9）具备两年</w:t>
                  </w:r>
                  <w:r>
                    <w:rPr>
                      <w:sz w:val="21"/>
                    </w:rPr>
                    <w:t>或</w:t>
                  </w:r>
                  <w:r>
                    <w:rPr>
                      <w:sz w:val="21"/>
                    </w:rPr>
                    <w:t>以上团队管理经验，有政务窗口服务经验。</w:t>
                  </w: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15"/>
                  <w:tcBorders>
                    <w:top w:val="none" w:color="000000" w:sz="4"/>
                    <w:left w:val="single" w:color="000000" w:sz="4"/>
                    <w:bottom w:val="single" w:color="000000" w:sz="4"/>
                    <w:right w:val="single" w:color="000000" w:sz="4"/>
                  </w:tcBorders>
                  <w:vAlign w:val="top"/>
                </w:tcPr>
                <w:p>
                  <w:pPr>
                    <w:jc w:val="left"/>
                  </w:pPr>
                  <w:r>
                    <w:rPr>
                      <w:sz w:val="21"/>
                    </w:rPr>
                    <w:t>综合服务岗（含导办、综合窗口、税务窗口）</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364"/>
                  <w:tcBorders>
                    <w:top w:val="none" w:color="000000" w:sz="4"/>
                    <w:left w:val="single" w:color="000000" w:sz="4"/>
                    <w:bottom w:val="single" w:color="000000" w:sz="4"/>
                    <w:right w:val="single" w:color="000000" w:sz="4"/>
                  </w:tcBorders>
                  <w:vAlign w:val="top"/>
                </w:tcPr>
                <w:p>
                  <w:pPr>
                    <w:jc w:val="both"/>
                  </w:pPr>
                  <w:r>
                    <w:rPr>
                      <w:sz w:val="21"/>
                    </w:rPr>
                    <w:t>（</w:t>
                  </w:r>
                  <w:r>
                    <w:rPr>
                      <w:sz w:val="21"/>
                    </w:rPr>
                    <w:t>1）综合业务受理服务。负责按标准初审、收取材料并将材料内容准确录入相关系统。</w:t>
                  </w:r>
                </w:p>
                <w:p>
                  <w:pPr>
                    <w:jc w:val="both"/>
                  </w:pPr>
                  <w:r>
                    <w:rPr>
                      <w:sz w:val="21"/>
                    </w:rPr>
                    <w:t>（</w:t>
                  </w:r>
                  <w:r>
                    <w:rPr>
                      <w:sz w:val="21"/>
                    </w:rPr>
                    <w:t>2）综合出件服务。负责发放各事项办理结果。</w:t>
                  </w:r>
                </w:p>
                <w:p>
                  <w:pPr>
                    <w:jc w:val="both"/>
                  </w:pPr>
                  <w:r>
                    <w:rPr>
                      <w:sz w:val="21"/>
                    </w:rPr>
                    <w:t>（</w:t>
                  </w:r>
                  <w:r>
                    <w:rPr>
                      <w:sz w:val="21"/>
                    </w:rPr>
                    <w:t>3）取号及业务咨询解答服务。负责</w:t>
                  </w:r>
                  <w:r>
                    <w:rPr>
                      <w:sz w:val="21"/>
                    </w:rPr>
                    <w:t>对进入政务服务中心的市民进行取号、资料填写和</w:t>
                  </w:r>
                  <w:r>
                    <w:rPr>
                      <w:sz w:val="21"/>
                    </w:rPr>
                    <w:t>设备使用</w:t>
                  </w:r>
                  <w:r>
                    <w:rPr>
                      <w:sz w:val="21"/>
                    </w:rPr>
                    <w:t>指导</w:t>
                  </w:r>
                  <w:r>
                    <w:rPr>
                      <w:sz w:val="21"/>
                    </w:rPr>
                    <w:t>，耐心解答市民的咨询，为市民提供业务指引</w:t>
                  </w:r>
                  <w:r>
                    <w:rPr>
                      <w:sz w:val="21"/>
                    </w:rPr>
                    <w:t>，并</w:t>
                  </w:r>
                  <w:r>
                    <w:rPr>
                      <w:sz w:val="21"/>
                    </w:rPr>
                    <w:t>为市民提供业务资料打印、复印、扫描等服务</w:t>
                  </w:r>
                  <w:r>
                    <w:rPr>
                      <w:sz w:val="21"/>
                    </w:rPr>
                    <w:t>。</w:t>
                  </w:r>
                </w:p>
                <w:p>
                  <w:pPr>
                    <w:jc w:val="both"/>
                  </w:pPr>
                  <w:r>
                    <w:rPr>
                      <w:sz w:val="21"/>
                    </w:rPr>
                    <w:t>（</w:t>
                  </w:r>
                  <w:r>
                    <w:rPr>
                      <w:sz w:val="21"/>
                    </w:rPr>
                    <w:t>4）负责</w:t>
                  </w:r>
                  <w:r>
                    <w:rPr>
                      <w:sz w:val="21"/>
                    </w:rPr>
                    <w:t>12345政府热线话务接听、工单接派工作，并在规定时间内督促新区各部门工单联络员完成工单回复及回复内容审核工作 。</w:t>
                  </w:r>
                </w:p>
                <w:p>
                  <w:pPr>
                    <w:jc w:val="both"/>
                  </w:pPr>
                  <w:r>
                    <w:rPr>
                      <w:sz w:val="21"/>
                    </w:rPr>
                    <w:t>（</w:t>
                  </w:r>
                  <w:r>
                    <w:rPr>
                      <w:sz w:val="21"/>
                    </w:rPr>
                    <w:t>5）负责东莞滨海湾新区管理委员会及用人单位交办的其他工作。</w:t>
                  </w:r>
                </w:p>
                <w:p>
                  <w:pPr>
                    <w:jc w:val="both"/>
                  </w:pPr>
                </w:p>
              </w:tc>
              <w:tc>
                <w:tcPr>
                  <w:tcW w:type="dxa" w:w="1748"/>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）拥护中国共产党领导，遵纪守法，品行端正、责任心强；</w:t>
                  </w:r>
                </w:p>
                <w:p>
                  <w:pPr>
                    <w:jc w:val="both"/>
                  </w:pPr>
                  <w:r>
                    <w:rPr>
                      <w:sz w:val="21"/>
                    </w:rPr>
                    <w:t>（</w:t>
                  </w:r>
                  <w:r>
                    <w:rPr>
                      <w:sz w:val="21"/>
                    </w:rPr>
                    <w:t>2</w:t>
                  </w:r>
                  <w:r>
                    <w:rPr>
                      <w:sz w:val="21"/>
                    </w:rPr>
                    <w:t>）自愿从事政府服务工作，自觉遵守工作纪律、履行工作职责，无犯罪及其他不良记录；</w:t>
                  </w:r>
                </w:p>
                <w:p>
                  <w:pPr>
                    <w:jc w:val="both"/>
                  </w:pPr>
                  <w:r>
                    <w:rPr>
                      <w:sz w:val="21"/>
                    </w:rPr>
                    <w:t>（</w:t>
                  </w:r>
                  <w:r>
                    <w:rPr>
                      <w:sz w:val="21"/>
                    </w:rPr>
                    <w:t>3</w:t>
                  </w:r>
                  <w:r>
                    <w:rPr>
                      <w:sz w:val="21"/>
                    </w:rPr>
                    <w:t>）本科及以上学历学位，年龄原则上</w:t>
                  </w:r>
                  <w:r>
                    <w:rPr>
                      <w:sz w:val="21"/>
                    </w:rPr>
                    <w:t>30</w:t>
                  </w:r>
                  <w:r>
                    <w:rPr>
                      <w:sz w:val="21"/>
                    </w:rPr>
                    <w:t>周岁以内，男女不限；</w:t>
                  </w:r>
                </w:p>
                <w:p>
                  <w:pPr>
                    <w:jc w:val="both"/>
                  </w:pPr>
                  <w:r>
                    <w:rPr>
                      <w:sz w:val="21"/>
                    </w:rPr>
                    <w:t>（</w:t>
                  </w:r>
                  <w:r>
                    <w:rPr>
                      <w:sz w:val="21"/>
                    </w:rPr>
                    <w:t>4</w:t>
                  </w:r>
                  <w:r>
                    <w:rPr>
                      <w:sz w:val="21"/>
                    </w:rPr>
                    <w:t>）普通话标准，形象佳，谈吐清晰，身体健康；</w:t>
                  </w:r>
                </w:p>
                <w:p>
                  <w:pPr>
                    <w:jc w:val="both"/>
                  </w:pPr>
                  <w:r>
                    <w:rPr>
                      <w:sz w:val="21"/>
                    </w:rPr>
                    <w:t>（</w:t>
                  </w:r>
                  <w:r>
                    <w:rPr>
                      <w:sz w:val="21"/>
                    </w:rPr>
                    <w:t>5</w:t>
                  </w:r>
                  <w:r>
                    <w:rPr>
                      <w:sz w:val="21"/>
                    </w:rPr>
                    <w:t>）熟悉基本的电脑操作和办公软件；</w:t>
                  </w:r>
                </w:p>
                <w:p>
                  <w:pPr>
                    <w:jc w:val="both"/>
                  </w:pPr>
                  <w:r>
                    <w:rPr>
                      <w:sz w:val="21"/>
                    </w:rPr>
                    <w:t>（</w:t>
                  </w:r>
                  <w:r>
                    <w:rPr>
                      <w:sz w:val="21"/>
                    </w:rPr>
                    <w:t>6</w:t>
                  </w:r>
                  <w:r>
                    <w:rPr>
                      <w:sz w:val="21"/>
                    </w:rPr>
                    <w:t>）具备良好的沟通能力，服务意识、亲和力强；</w:t>
                  </w:r>
                </w:p>
                <w:p>
                  <w:pPr>
                    <w:jc w:val="both"/>
                  </w:pPr>
                  <w:r>
                    <w:rPr>
                      <w:sz w:val="21"/>
                    </w:rPr>
                    <w:t>（</w:t>
                  </w:r>
                  <w:r>
                    <w:rPr>
                      <w:sz w:val="21"/>
                    </w:rPr>
                    <w:t>7</w:t>
                  </w:r>
                  <w:r>
                    <w:rPr>
                      <w:sz w:val="21"/>
                    </w:rPr>
                    <w:t>）思路清晰、逻辑性强，具有较强的原则性。</w:t>
                  </w:r>
                </w:p>
                <w:p>
                  <w:pPr>
                    <w:jc w:val="both"/>
                  </w:pPr>
                  <w:r>
                    <w:rPr>
                      <w:sz w:val="21"/>
                    </w:rPr>
                    <w:t>（</w:t>
                  </w:r>
                  <w:r>
                    <w:rPr>
                      <w:sz w:val="21"/>
                    </w:rPr>
                    <w:t>8）财会类、计算机类、统计类相关专业或持有相关资格证书的优先（仅限税务窗口）；</w:t>
                  </w:r>
                </w:p>
                <w:p>
                  <w:pPr>
                    <w:jc w:val="both"/>
                  </w:pPr>
                  <w:r>
                    <w:rPr>
                      <w:sz w:val="21"/>
                    </w:rPr>
                    <w:t>（</w:t>
                  </w:r>
                  <w:r>
                    <w:rPr>
                      <w:sz w:val="21"/>
                    </w:rPr>
                    <w:t>9）有税收工作经验者可适当放宽录用条件（仅限税务窗口）。</w:t>
                  </w: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15"/>
                  <w:tcBorders>
                    <w:top w:val="none" w:color="000000" w:sz="4"/>
                    <w:left w:val="single" w:color="000000" w:sz="4"/>
                    <w:bottom w:val="single" w:color="000000" w:sz="4"/>
                    <w:right w:val="single" w:color="000000" w:sz="4"/>
                  </w:tcBorders>
                  <w:vAlign w:val="top"/>
                </w:tcPr>
                <w:p>
                  <w:pPr>
                    <w:jc w:val="center"/>
                  </w:pPr>
                  <w:r>
                    <w:rPr>
                      <w:sz w:val="21"/>
                    </w:rPr>
                    <w:t>物料流转岗</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64"/>
                  <w:tcBorders>
                    <w:top w:val="none" w:color="000000" w:sz="4"/>
                    <w:left w:val="single" w:color="000000" w:sz="4"/>
                    <w:bottom w:val="single" w:color="000000" w:sz="4"/>
                    <w:right w:val="single" w:color="000000" w:sz="4"/>
                  </w:tcBorders>
                  <w:vAlign w:val="top"/>
                </w:tcPr>
                <w:p>
                  <w:pPr>
                    <w:jc w:val="left"/>
                  </w:pPr>
                  <w:r>
                    <w:rPr>
                      <w:sz w:val="21"/>
                    </w:rPr>
                    <w:t>（</w:t>
                  </w:r>
                  <w:r>
                    <w:rPr>
                      <w:sz w:val="21"/>
                    </w:rPr>
                    <w:t>1）负责中心的物料流转。按要求与业务主管职能部门做好资料存、取、阅等衔接，确保各类材料的严谨性、真实性及完整性，确保窗口、内审、审批及经办结果全流程的无缝衔接；</w:t>
                  </w:r>
                </w:p>
                <w:p>
                  <w:pPr>
                    <w:jc w:val="left"/>
                  </w:pPr>
                  <w:r>
                    <w:rPr>
                      <w:sz w:val="21"/>
                    </w:rPr>
                    <w:t>（</w:t>
                  </w:r>
                  <w:r>
                    <w:rPr>
                      <w:sz w:val="21"/>
                    </w:rPr>
                    <w:t>2</w:t>
                  </w:r>
                  <w:r>
                    <w:rPr>
                      <w:sz w:val="21"/>
                    </w:rPr>
                    <w:t>）负责寄递业务的寄递、收取工作。按要求与寄递公司对接，完成业务材料的打包、收取、备案及交接工作。</w:t>
                  </w:r>
                </w:p>
                <w:p>
                  <w:pPr>
                    <w:jc w:val="left"/>
                  </w:pPr>
                  <w:r>
                    <w:rPr>
                      <w:sz w:val="21"/>
                    </w:rPr>
                    <w:t>（</w:t>
                  </w:r>
                  <w:r>
                    <w:rPr>
                      <w:sz w:val="21"/>
                    </w:rPr>
                    <w:t>3</w:t>
                  </w:r>
                  <w:r>
                    <w:rPr>
                      <w:sz w:val="21"/>
                    </w:rPr>
                    <w:t>）负责中心资产管理工作。实时掌握中心资产情况，并定期开展资产盘点工作。实时了解中心物资使用情况及采购需求，配合中心管理层采购、验收、管理中心物资。</w:t>
                  </w:r>
                </w:p>
                <w:p>
                  <w:pPr>
                    <w:jc w:val="left"/>
                  </w:pPr>
                  <w:r>
                    <w:rPr>
                      <w:sz w:val="21"/>
                    </w:rPr>
                    <w:t>（</w:t>
                  </w:r>
                  <w:r>
                    <w:rPr>
                      <w:sz w:val="21"/>
                    </w:rPr>
                    <w:t>4</w:t>
                  </w:r>
                  <w:r>
                    <w:rPr>
                      <w:sz w:val="21"/>
                    </w:rPr>
                    <w:t>）负责业务资料的归档、存档工作。</w:t>
                  </w:r>
                </w:p>
                <w:p>
                  <w:pPr>
                    <w:jc w:val="left"/>
                  </w:pPr>
                  <w:r>
                    <w:rPr>
                      <w:sz w:val="21"/>
                    </w:rPr>
                    <w:t>（</w:t>
                  </w:r>
                  <w:r>
                    <w:rPr>
                      <w:sz w:val="21"/>
                    </w:rPr>
                    <w:t>5）负责东莞滨海湾新区管理委员会及用人单位交办的其他工作。</w:t>
                  </w:r>
                </w:p>
              </w:tc>
              <w:tc>
                <w:tcPr>
                  <w:tcW w:type="dxa" w:w="1748"/>
                  <w:tcBorders>
                    <w:top w:val="none" w:color="000000" w:sz="4"/>
                    <w:left w:val="single" w:color="000000" w:sz="4"/>
                    <w:bottom w:val="single" w:color="000000" w:sz="4"/>
                    <w:right w:val="single" w:color="000000" w:sz="4"/>
                  </w:tcBorders>
                  <w:vAlign w:val="top"/>
                </w:tcPr>
                <w:p>
                  <w:pPr>
                    <w:jc w:val="both"/>
                  </w:pPr>
                  <w:r>
                    <w:rPr>
                      <w:sz w:val="21"/>
                    </w:rPr>
                    <w:t>（</w:t>
                  </w:r>
                  <w:r>
                    <w:rPr>
                      <w:sz w:val="21"/>
                    </w:rPr>
                    <w:t>1）拥护中国共产党领导，遵纪守法，品行端正、责任心强；</w:t>
                  </w:r>
                </w:p>
                <w:p>
                  <w:pPr>
                    <w:jc w:val="both"/>
                  </w:pPr>
                  <w:r>
                    <w:rPr>
                      <w:sz w:val="21"/>
                    </w:rPr>
                    <w:t>（</w:t>
                  </w:r>
                  <w:r>
                    <w:rPr>
                      <w:sz w:val="21"/>
                    </w:rPr>
                    <w:t>2）自愿从事政府服务工作，自觉遵守工作纪律、履行工作职责，无犯罪及其他不良记录；</w:t>
                  </w:r>
                </w:p>
                <w:p>
                  <w:pPr>
                    <w:jc w:val="both"/>
                  </w:pPr>
                  <w:r>
                    <w:rPr>
                      <w:sz w:val="21"/>
                    </w:rPr>
                    <w:t>（</w:t>
                  </w:r>
                  <w:r>
                    <w:rPr>
                      <w:sz w:val="21"/>
                    </w:rPr>
                    <w:t>3）本科及以上学历学位，年龄原则上30周岁以内，男女不限；</w:t>
                  </w:r>
                </w:p>
                <w:p>
                  <w:pPr>
                    <w:jc w:val="both"/>
                  </w:pPr>
                  <w:r>
                    <w:rPr>
                      <w:sz w:val="21"/>
                    </w:rPr>
                    <w:t>（</w:t>
                  </w:r>
                  <w:r>
                    <w:rPr>
                      <w:sz w:val="21"/>
                    </w:rPr>
                    <w:t>4）普通话标准，形象佳，谈吐清晰，身体健康；</w:t>
                  </w:r>
                </w:p>
                <w:p>
                  <w:pPr>
                    <w:jc w:val="both"/>
                  </w:pPr>
                  <w:r>
                    <w:rPr>
                      <w:sz w:val="21"/>
                    </w:rPr>
                    <w:t>（</w:t>
                  </w:r>
                  <w:r>
                    <w:rPr>
                      <w:sz w:val="21"/>
                    </w:rPr>
                    <w:t>5）熟悉基本的电脑操作和办公软件；</w:t>
                  </w:r>
                </w:p>
                <w:p>
                  <w:pPr>
                    <w:jc w:val="both"/>
                  </w:pPr>
                  <w:r>
                    <w:rPr>
                      <w:sz w:val="21"/>
                    </w:rPr>
                    <w:t>（</w:t>
                  </w:r>
                  <w:r>
                    <w:rPr>
                      <w:sz w:val="21"/>
                    </w:rPr>
                    <w:t>6）具备良好的沟通能力，服务意识、亲和力强；</w:t>
                  </w:r>
                </w:p>
                <w:p>
                  <w:pPr>
                    <w:jc w:val="both"/>
                  </w:pPr>
                  <w:r>
                    <w:rPr>
                      <w:sz w:val="21"/>
                    </w:rPr>
                    <w:t>（</w:t>
                  </w:r>
                  <w:r>
                    <w:rPr>
                      <w:sz w:val="21"/>
                    </w:rPr>
                    <w:t>7）思路清晰、逻辑性强，具有较强的原则性。</w:t>
                  </w:r>
                </w:p>
                <w:p>
                  <w:pPr>
                    <w:jc w:val="both"/>
                  </w:pPr>
                </w:p>
              </w:tc>
            </w:tr>
            <w:tr>
              <w:tc>
                <w:tcPr>
                  <w:tcW w:type="dxa" w:w="976"/>
                  <w:gridSpan w:val="2"/>
                  <w:tcBorders>
                    <w:top w:val="none" w:color="000000" w:sz="4"/>
                    <w:left w:val="single" w:color="000000" w:sz="4"/>
                    <w:bottom w:val="single" w:color="000000" w:sz="4"/>
                    <w:right w:val="single" w:color="000000" w:sz="4"/>
                  </w:tcBorders>
                  <w:vAlign w:val="top"/>
                </w:tcPr>
                <w:p>
                  <w:pPr>
                    <w:jc w:val="center"/>
                  </w:pPr>
                  <w:r>
                    <w:rPr>
                      <w:sz w:val="21"/>
                    </w:rPr>
                    <w:t>小计</w:t>
                  </w:r>
                </w:p>
              </w:tc>
              <w:tc>
                <w:tcPr>
                  <w:tcW w:type="dxa" w:w="46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364"/>
                  <w:tcBorders>
                    <w:top w:val="none" w:color="000000" w:sz="4"/>
                    <w:left w:val="single" w:color="000000" w:sz="4"/>
                    <w:bottom w:val="single" w:color="000000" w:sz="4"/>
                    <w:right w:val="single" w:color="000000" w:sz="4"/>
                  </w:tcBorders>
                  <w:vAlign w:val="top"/>
                </w:tcPr>
                <w:p>
                  <w:pPr>
                    <w:jc w:val="both"/>
                  </w:pPr>
                </w:p>
              </w:tc>
              <w:tc>
                <w:tcPr>
                  <w:tcW w:type="dxa" w:w="1748"/>
                  <w:tcBorders>
                    <w:top w:val="none" w:color="000000" w:sz="4"/>
                    <w:left w:val="single" w:color="000000" w:sz="4"/>
                    <w:bottom w:val="single" w:color="000000" w:sz="4"/>
                    <w:right w:val="single" w:color="000000" w:sz="4"/>
                  </w:tcBorders>
                  <w:vAlign w:val="top"/>
                </w:tcPr>
                <w:p>
                  <w:pPr>
                    <w:jc w:val="both"/>
                  </w:pPr>
                </w:p>
              </w:tc>
            </w:tr>
          </w:tbl>
          <w:p>
            <w:pPr>
              <w:jc w:val="both"/>
            </w:pPr>
          </w:p>
          <w:p>
            <w:pPr>
              <w:jc w:val="both"/>
            </w:pPr>
          </w:p>
          <w:p>
            <w:pPr>
              <w:jc w:val="both"/>
            </w:pPr>
          </w:p>
          <w:p>
            <w:pPr>
              <w:jc w:val="both"/>
            </w:pP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1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广东省东莞市南城街道广东省东莞市南城街道鸿福路199号410、411室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滨海湾新区政务服务中心人力资源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采购包1（东莞滨海湾新区政务服务中心人力资源服务项目）：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采购包1（东莞滨海湾新区政务服务中心人力资源服务项目）：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投标人须符合本项目采购标的对应行业（本项目行业为：租赁和商务服务业）的政策划分标准。监狱企业、残疾人福利单位视同小型、微型企业。注：中小企业以供应商填写的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采购包1（东莞滨海湾新区政务服务中心人力资源服务项目）：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采购包1东莞滨海湾新区政务服务中心人力资源服务项目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项目总体服务方案 (8.0分)</w:t>
            </w:r>
            <w:r>
              <w:rPr/>
              <w:t>，（等次分值选择：</w:t>
            </w:r>
            <w:r>
              <w:rPr/>
              <w:t>0.0;</w:t>
            </w:r>
            <w:r>
              <w:rPr/>
              <w:t>1.0;</w:t>
            </w:r>
            <w:r>
              <w:rPr/>
              <w:t>3.0;</w:t>
            </w:r>
            <w:r>
              <w:rPr/>
              <w:t>5.0;</w:t>
            </w:r>
            <w:r>
              <w:rPr/>
              <w:t>8.0;</w:t>
            </w:r>
            <w:r>
              <w:rPr/>
              <w:t>）</w:t>
            </w:r>
          </w:p>
        </w:tc>
        <w:tc>
          <w:tcPr>
            <w:tcW w:type="dxa" w:w="5076"/>
          </w:tcPr>
          <w:p>
            <w:pPr>
              <w:jc w:val="left"/>
            </w:pPr>
            <w:r>
              <w:rPr/>
              <w:t>根据投标人提供的项目总体服务方案（包括不限于服务内容、服务流程等）进行综合评审： ① 方案内容非常具体详细，服务流程非常全面、可行，对项目研究的工作思路、方法非常清晰的，得8分； ② 方案内容比较具体详细，服务流程比较全面、可行，对项目研究的工作思路、方法比较清晰的，得5分； ③ 方案内容基本具体详细，服务流程基本全面、可行，对项目研究的工作思路、方法基本清晰的，得3分； ④ 方案内容、服务流程简单，对项目研究的工作思路、方法一般的，得1分； ⑤未提供不得分。</w:t>
            </w:r>
          </w:p>
        </w:tc>
      </w:tr>
      <w:tr>
        <w:tc>
          <w:tcPr>
            <w:tcW w:type="dxa" w:w="922"/>
            <w:gridSpan w:val="2"/>
            <w:vMerge/>
          </w:tcPr>
          <w:p/>
        </w:tc>
        <w:tc>
          <w:tcPr>
            <w:tcW w:type="dxa" w:w="2307"/>
          </w:tcPr>
          <w:p>
            <w:pPr>
              <w:jc w:val="left"/>
            </w:pPr>
            <w:r>
              <w:rPr/>
              <w:t>响应程度 (8.0分)</w:t>
            </w:r>
            <w:r>
              <w:rPr/>
              <w:t>，（等次分值选择：</w:t>
            </w:r>
            <w:r>
              <w:rPr/>
              <w:t>0.0;</w:t>
            </w:r>
            <w:r>
              <w:rPr/>
              <w:t>1.0;</w:t>
            </w:r>
            <w:r>
              <w:rPr/>
              <w:t>3.0;</w:t>
            </w:r>
            <w:r>
              <w:rPr/>
              <w:t>5.0;</w:t>
            </w:r>
            <w:r>
              <w:rPr/>
              <w:t>8.0;</w:t>
            </w:r>
            <w:r>
              <w:rPr/>
              <w:t>）</w:t>
            </w:r>
          </w:p>
        </w:tc>
        <w:tc>
          <w:tcPr>
            <w:tcW w:type="dxa" w:w="5076"/>
          </w:tcPr>
          <w:p>
            <w:pPr>
              <w:jc w:val="left"/>
            </w:pPr>
            <w:r>
              <w:rPr/>
              <w:t>根据投标人对采购需求书的响应程度，以及投标人额外承诺的保密性承诺、服务承诺等进行评审：  ① 投标文件对采购需求书的响应程度完全响应，额外的保密性承诺和服务承诺详细、合理、可操作性强的得8分； ②投标文件对用户需求书的响应程度基本响应，额外的保密性承诺和服务承诺较详细、合理的得5分； ③投标文件对用户需求书的响应程度响应一般，额外的保密性承诺和服务承诺一般的，得3分； ④投标文件对用户需求书的响应程度响应差，没有额外的保密性承诺和服务承诺的，得1分； ④未提供不得分。</w:t>
            </w:r>
          </w:p>
        </w:tc>
      </w:tr>
      <w:tr>
        <w:tc>
          <w:tcPr>
            <w:tcW w:type="dxa" w:w="922"/>
            <w:gridSpan w:val="2"/>
            <w:vMerge/>
          </w:tcPr>
          <w:p/>
        </w:tc>
        <w:tc>
          <w:tcPr>
            <w:tcW w:type="dxa" w:w="2307"/>
          </w:tcPr>
          <w:p>
            <w:pPr>
              <w:jc w:val="left"/>
            </w:pPr>
            <w:r>
              <w:rPr/>
              <w:t>管理方案 (10.0分)</w:t>
            </w:r>
            <w:r>
              <w:rPr/>
              <w:t>，（等次分值选择：</w:t>
            </w:r>
            <w:r>
              <w:rPr/>
              <w:t>0.0;</w:t>
            </w:r>
            <w:r>
              <w:rPr/>
              <w:t>1.0;</w:t>
            </w:r>
            <w:r>
              <w:rPr/>
              <w:t>3.0;</w:t>
            </w:r>
            <w:r>
              <w:rPr/>
              <w:t>6.0;</w:t>
            </w:r>
            <w:r>
              <w:rPr/>
              <w:t>10.0;</w:t>
            </w:r>
            <w:r>
              <w:rPr/>
              <w:t>）</w:t>
            </w:r>
          </w:p>
        </w:tc>
        <w:tc>
          <w:tcPr>
            <w:tcW w:type="dxa" w:w="5076"/>
          </w:tcPr>
          <w:p>
            <w:pPr>
              <w:jc w:val="left"/>
            </w:pPr>
            <w:r>
              <w:rPr/>
              <w:t>根据投标人所提供的管理方案(包括不限于培训、管理服务架构、管理办法等)进行评审： ① 方案非常明确、详尽，人员培训内容非常合理，管理服务框架、管理办法非常具体可行的，得10分； ② 方案比较明确、详尽，人员培训内容比较合理，管理服务框架、管理办法比较具体可行的，得6分； ③ 方案基本明确、详尽，人员培训内容基本合理，管理服务框架、管理办法基本具体可行的，得3分； ④ 方案一般，人员培训、管理服务框架、管理办法简单的，得1分； ⑤ 未提供不得分。</w:t>
            </w:r>
          </w:p>
        </w:tc>
      </w:tr>
      <w:tr>
        <w:tc>
          <w:tcPr>
            <w:tcW w:type="dxa" w:w="922"/>
            <w:gridSpan w:val="2"/>
            <w:vMerge/>
          </w:tcPr>
          <w:p/>
        </w:tc>
        <w:tc>
          <w:tcPr>
            <w:tcW w:type="dxa" w:w="2307"/>
          </w:tcPr>
          <w:p>
            <w:pPr>
              <w:jc w:val="left"/>
            </w:pPr>
            <w:r>
              <w:rPr/>
              <w:t>内部管理制度 (8.0分)</w:t>
            </w:r>
            <w:r>
              <w:rPr/>
              <w:t>，（等次分值选择：</w:t>
            </w:r>
            <w:r>
              <w:rPr/>
              <w:t>0.0;</w:t>
            </w:r>
            <w:r>
              <w:rPr/>
              <w:t>1.0;</w:t>
            </w:r>
            <w:r>
              <w:rPr/>
              <w:t>3.0;</w:t>
            </w:r>
            <w:r>
              <w:rPr/>
              <w:t>5.0;</w:t>
            </w:r>
            <w:r>
              <w:rPr/>
              <w:t>8.0;</w:t>
            </w:r>
            <w:r>
              <w:rPr/>
              <w:t>）</w:t>
            </w:r>
          </w:p>
        </w:tc>
        <w:tc>
          <w:tcPr>
            <w:tcW w:type="dxa" w:w="5076"/>
          </w:tcPr>
          <w:p>
            <w:pPr>
              <w:jc w:val="left"/>
            </w:pPr>
            <w:r>
              <w:rPr/>
              <w:t>根据投标人提供的公司内部管理制度的合理性、科学性、全面性以及是否适用进行综合评审： ① 制度非常完整合理，科学性、全面性、可行性非常强的，得8分； ② 制度完整，科学性、全面性、可行性强的，得5分； ③ 制度完整，科学性、全面性、可行性一般，得3分； ④ 制度不完整，不合理、不具有可行性，得1分； ④ 未提供不得分。</w:t>
            </w:r>
          </w:p>
        </w:tc>
      </w:tr>
      <w:tr>
        <w:tc>
          <w:tcPr>
            <w:tcW w:type="dxa" w:w="922"/>
            <w:gridSpan w:val="2"/>
            <w:vMerge/>
          </w:tcPr>
          <w:p/>
        </w:tc>
        <w:tc>
          <w:tcPr>
            <w:tcW w:type="dxa" w:w="2307"/>
          </w:tcPr>
          <w:p>
            <w:pPr>
              <w:jc w:val="left"/>
            </w:pPr>
            <w:r>
              <w:rPr/>
              <w:t>客户服务及关系维护方案 (10.0分)</w:t>
            </w:r>
            <w:r>
              <w:rPr/>
              <w:t>，（等次分值选择：</w:t>
            </w:r>
            <w:r>
              <w:rPr/>
              <w:t>0.0;</w:t>
            </w:r>
            <w:r>
              <w:rPr/>
              <w:t>1.0;</w:t>
            </w:r>
            <w:r>
              <w:rPr/>
              <w:t>3.0;</w:t>
            </w:r>
            <w:r>
              <w:rPr/>
              <w:t>6.0;</w:t>
            </w:r>
            <w:r>
              <w:rPr/>
              <w:t>10.0;</w:t>
            </w:r>
            <w:r>
              <w:rPr/>
              <w:t>）</w:t>
            </w:r>
          </w:p>
        </w:tc>
        <w:tc>
          <w:tcPr>
            <w:tcW w:type="dxa" w:w="5076"/>
          </w:tcPr>
          <w:p>
            <w:pPr>
              <w:jc w:val="left"/>
            </w:pPr>
            <w:r>
              <w:rPr/>
              <w:t>根据投标人所提供客户服务及关系维护方案（含劳动争议处理流程及相关措施、风险防范等）进行综合评审： ① 客户服务及关系维护方案非常严谨合理、明确，针对性非常强，可行性、有效性非常高的，得10分； ② 客户服务及关系维护方案较严谨合理、明确，针对性强，可行性、有效性高的，得6分； ③ 客户服务及关系维护方案严谨合理、明确，针对性较强，可行性、有效性较高的，得3分； ④ 客户服务及关系维护方案不太严谨合理、明确，针对性一般，可行性、有效性一般的，得1分； ⑤ 未提供不得分。</w:t>
            </w:r>
          </w:p>
        </w:tc>
      </w:tr>
      <w:tr>
        <w:tc>
          <w:tcPr>
            <w:tcW w:type="dxa" w:w="922"/>
            <w:gridSpan w:val="2"/>
            <w:vMerge/>
          </w:tcPr>
          <w:p/>
        </w:tc>
        <w:tc>
          <w:tcPr>
            <w:tcW w:type="dxa" w:w="2307"/>
          </w:tcPr>
          <w:p>
            <w:pPr>
              <w:jc w:val="left"/>
            </w:pPr>
            <w:r>
              <w:rPr/>
              <w:t>应急方案 (8.0分)</w:t>
            </w:r>
            <w:r>
              <w:rPr/>
              <w:t>，（等次分值选择：</w:t>
            </w:r>
            <w:r>
              <w:rPr/>
              <w:t>0.0;</w:t>
            </w:r>
            <w:r>
              <w:rPr/>
              <w:t>1.0;</w:t>
            </w:r>
            <w:r>
              <w:rPr/>
              <w:t>3.0;</w:t>
            </w:r>
            <w:r>
              <w:rPr/>
              <w:t>5.0;</w:t>
            </w:r>
            <w:r>
              <w:rPr/>
              <w:t>8.0;</w:t>
            </w:r>
            <w:r>
              <w:rPr/>
              <w:t>）</w:t>
            </w:r>
          </w:p>
        </w:tc>
        <w:tc>
          <w:tcPr>
            <w:tcW w:type="dxa" w:w="5076"/>
          </w:tcPr>
          <w:p>
            <w:pPr>
              <w:jc w:val="left"/>
            </w:pPr>
            <w:r>
              <w:rPr/>
              <w:t>根据投标人所提供应急措施预案及增值服务方案方案进行综合评审： ① 方案非常明确、详尽、合理，对紧急情况分析非常全面，可操作性强，增值方案有利于项目实施的，得8分；  ② 方案比较明确、详尽、合理，对紧急情况分析较全面，可操作性较强，增值方案较有利于项目实施的，得5分； ③ 方案基本合理明确，对紧急情况分析基本合理，增值方案基本合理的，得3分； ④ 方案一般，对紧急情况分析简单，增值方案不够合理可行的，得1分； ⑤ 未提供不得分。</w:t>
            </w:r>
          </w:p>
        </w:tc>
      </w:tr>
      <w:tr>
        <w:tc>
          <w:tcPr>
            <w:tcW w:type="dxa" w:w="922"/>
            <w:gridSpan w:val="2"/>
            <w:vMerge/>
          </w:tcPr>
          <w:p/>
        </w:tc>
        <w:tc>
          <w:tcPr>
            <w:tcW w:type="dxa" w:w="2307"/>
          </w:tcPr>
          <w:p>
            <w:pPr>
              <w:jc w:val="left"/>
            </w:pPr>
            <w:r>
              <w:rPr/>
              <w:t>人员配置情况1 (2.0分)</w:t>
            </w:r>
          </w:p>
        </w:tc>
        <w:tc>
          <w:tcPr>
            <w:tcW w:type="dxa" w:w="5076"/>
          </w:tcPr>
          <w:p>
            <w:pPr>
              <w:jc w:val="left"/>
            </w:pPr>
            <w:r>
              <w:rPr/>
              <w:t>1、根据投标人拟投入本项目的项目负责人（仅一人）进行评审：  具有人力资源和社会保障部门颁发的二级（或以上）客户服务管理师证书的得2分，本项最高得2分。 注：须提供证书及投标人为其缴纳的距开标时间前六个月（不含开标当月）内任意一个月的社保证明复印件加盖投标人公章，否则不得分。</w:t>
            </w:r>
          </w:p>
        </w:tc>
      </w:tr>
      <w:tr>
        <w:tc>
          <w:tcPr>
            <w:tcW w:type="dxa" w:w="922"/>
            <w:gridSpan w:val="2"/>
            <w:vMerge/>
          </w:tcPr>
          <w:p/>
        </w:tc>
        <w:tc>
          <w:tcPr>
            <w:tcW w:type="dxa" w:w="2307"/>
          </w:tcPr>
          <w:p>
            <w:pPr>
              <w:jc w:val="left"/>
            </w:pPr>
            <w:r>
              <w:rPr/>
              <w:t>人员配置情况2 (6.0分)</w:t>
            </w:r>
          </w:p>
        </w:tc>
        <w:tc>
          <w:tcPr>
            <w:tcW w:type="dxa" w:w="5076"/>
          </w:tcPr>
          <w:p>
            <w:pPr>
              <w:jc w:val="left"/>
            </w:pPr>
            <w:r>
              <w:rPr/>
              <w:t>2、根据投标人拟投入本项目的人员（除项目负责人外）进行评审：  ①具有由人力资源和社会保障部门颁发的档案馆员（或以上）职称证书的得2分；本项最高得2分。 ②具有由人力资源和社会保障部门颁发的会计专业技术资格中级（或以上）证书的得2分；本项最高得2分。 ③具有高级人力资源法务师培训证书的得2分；具有中级人力资源法务师培训证书的得1分；本项最高得2分。 注：①同一人员具有不同证书的，不重复得分。②须提供证书及投标人为其缴纳的距开标时间前六个月（不含开标当月）内任意一个月的社保证明复印件加盖投标人公章，否则不得分。</w:t>
            </w:r>
          </w:p>
        </w:tc>
      </w:tr>
      <w:tr>
        <w:tc>
          <w:tcPr>
            <w:tcW w:type="dxa" w:w="922"/>
            <w:gridSpan w:val="2"/>
            <w:vMerge w:val="restart"/>
          </w:tcPr>
          <w:p>
            <w:pPr>
              <w:jc w:val="center"/>
            </w:pPr>
            <w:r>
              <w:rPr/>
              <w:t>商务部分</w:t>
            </w:r>
          </w:p>
        </w:tc>
        <w:tc>
          <w:tcPr>
            <w:tcW w:type="dxa" w:w="2307"/>
          </w:tcPr>
          <w:p>
            <w:pPr>
              <w:jc w:val="left"/>
            </w:pPr>
            <w:r>
              <w:rPr/>
              <w:t>业绩情况 (18.0分)</w:t>
            </w:r>
          </w:p>
        </w:tc>
        <w:tc>
          <w:tcPr>
            <w:tcW w:type="dxa" w:w="5076"/>
          </w:tcPr>
          <w:p>
            <w:pPr>
              <w:jc w:val="left"/>
            </w:pPr>
            <w:r>
              <w:rPr/>
              <w:t>根据供应商具有劳务派遣或劳务外包项目业绩进行评审，每提供一个有效业绩得1分，满分18分。 注：须提供合同关键页复印件加盖投标人公章（关键页包括合同名称、合同时间、签字盖章页），否则不得分。</w:t>
            </w:r>
          </w:p>
        </w:tc>
      </w:tr>
      <w:tr>
        <w:tc>
          <w:tcPr>
            <w:tcW w:type="dxa" w:w="922"/>
            <w:gridSpan w:val="2"/>
            <w:vMerge/>
          </w:tcPr>
          <w:p/>
        </w:tc>
        <w:tc>
          <w:tcPr>
            <w:tcW w:type="dxa" w:w="2307"/>
          </w:tcPr>
          <w:p>
            <w:pPr>
              <w:jc w:val="left"/>
            </w:pPr>
            <w:r>
              <w:rPr/>
              <w:t>体系认证 (12.0分)</w:t>
            </w:r>
          </w:p>
        </w:tc>
        <w:tc>
          <w:tcPr>
            <w:tcW w:type="dxa" w:w="5076"/>
          </w:tcPr>
          <w:p>
            <w:pPr>
              <w:jc w:val="left"/>
            </w:pPr>
            <w:r>
              <w:rPr/>
              <w:t>投标人具有由国家认监委批准设立的认证机构颁发并在有效期内的以下证书进行评审： ① 具有质量管理体系认证证书的，得2分；   ② 具有职业健康安全管理体系认证证书的，得2分； ③ 具有环境管理体系认证证书的，得2 分； ④ 具有信息安全管理体系认证证书的，得2分； ⑤ 具有企业诚信管理体系认证证书的，得2分； ⑥ 具有社会责任管理体系认证证书的，得2分。 注：须提供有效证书复印件并加盖投标人公章，不符合以上要求的不得分。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center"/>
      </w:pPr>
      <w:r>
        <w:rPr>
          <w:sz w:val="21"/>
        </w:rPr>
        <w:t xml:space="preserve"> </w:t>
      </w:r>
    </w:p>
    <w:p>
      <w:pPr>
        <w:ind w:firstLine="480"/>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p>
    <w:p>
      <w:pPr>
        <w:jc w:val="both"/>
      </w:pPr>
    </w:p>
    <w:p>
      <w:pPr>
        <w:jc w:val="both"/>
      </w:pPr>
    </w:p>
    <w:p>
      <w:pPr>
        <w:jc w:val="both"/>
      </w:pPr>
    </w:p>
    <w:p>
      <w:pPr>
        <w:jc w:val="both"/>
      </w:pPr>
    </w:p>
    <w:p>
      <w:pPr>
        <w:jc w:val="both"/>
      </w:pPr>
    </w:p>
    <w:p>
      <w:pPr>
        <w:jc w:val="both"/>
      </w:pPr>
    </w:p>
    <w:p>
      <w:pPr>
        <w:jc w:val="both"/>
      </w:pPr>
    </w:p>
    <w:p>
      <w:pPr>
        <w:jc w:val="center"/>
      </w:pPr>
      <w:r>
        <w:rPr>
          <w:sz w:val="21"/>
        </w:rPr>
        <w:t xml:space="preserve"> </w:t>
      </w:r>
    </w:p>
    <w:p>
      <w:pPr>
        <w:jc w:val="center"/>
      </w:pP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8"/>
        </w:rPr>
        <w:t>东莞滨海湾新区政务服务中心人力资源服务项目</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p>
    <w:p>
      <w:pPr>
        <w:jc w:val="both"/>
      </w:pPr>
      <w:r>
        <w:rPr>
          <w:sz w:val="21"/>
        </w:rPr>
        <w:t xml:space="preserve"> </w:t>
      </w:r>
    </w:p>
    <w:p>
      <w:pPr>
        <w:jc w:val="both"/>
      </w:pPr>
      <w:r>
        <w:rPr>
          <w:b/>
          <w:sz w:val="21"/>
        </w:rPr>
        <w:t>甲方：东莞滨海湾新区管理委员会</w:t>
      </w:r>
      <w:r>
        <w:rPr>
          <w:b/>
          <w:sz w:val="21"/>
        </w:rPr>
        <w:t xml:space="preserve"> </w:t>
      </w:r>
    </w:p>
    <w:p>
      <w:pPr>
        <w:jc w:val="both"/>
      </w:pPr>
      <w:r>
        <w:rPr>
          <w:sz w:val="21"/>
        </w:rPr>
        <w:t>电话：</w:t>
      </w:r>
      <w:r>
        <w:rPr>
          <w:b/>
          <w:sz w:val="21"/>
        </w:rPr>
        <w:t xml:space="preserve"> </w:t>
      </w:r>
      <w:r>
        <w:rPr>
          <w:sz w:val="21"/>
        </w:rPr>
        <w:t>传真</w:t>
      </w:r>
      <w:r>
        <w:rPr>
          <w:sz w:val="21"/>
        </w:rPr>
        <w:t>：</w:t>
      </w:r>
      <w:r>
        <w:rPr>
          <w:b/>
          <w:sz w:val="21"/>
        </w:rPr>
        <w:t xml:space="preserve"> </w:t>
      </w:r>
      <w:r>
        <w:rPr>
          <w:sz w:val="21"/>
        </w:rPr>
        <w:t>地址：</w:t>
      </w:r>
      <w:r>
        <w:rPr>
          <w:b/>
          <w:sz w:val="21"/>
        </w:rPr>
        <w:t xml:space="preserve">  </w:t>
      </w:r>
    </w:p>
    <w:p>
      <w:pPr>
        <w:jc w:val="both"/>
      </w:pPr>
      <w:r>
        <w:rPr>
          <w:b/>
          <w:sz w:val="21"/>
        </w:rPr>
        <w:t>乙方：</w:t>
      </w:r>
      <w:r>
        <w:rPr>
          <w:b/>
          <w:sz w:val="21"/>
        </w:rPr>
        <w:t xml:space="preserve"> </w:t>
      </w:r>
    </w:p>
    <w:p>
      <w:pPr>
        <w:jc w:val="both"/>
      </w:pPr>
      <w:r>
        <w:rPr>
          <w:sz w:val="21"/>
        </w:rPr>
        <w:t>电话：</w:t>
      </w:r>
      <w:r>
        <w:rPr>
          <w:b/>
          <w:sz w:val="21"/>
        </w:rPr>
        <w:t xml:space="preserve">  </w:t>
      </w:r>
      <w:r>
        <w:rPr>
          <w:sz w:val="21"/>
        </w:rPr>
        <w:t>传真：</w:t>
      </w:r>
      <w:r>
        <w:rPr>
          <w:b/>
          <w:sz w:val="21"/>
        </w:rPr>
        <w:t xml:space="preserve">  </w:t>
      </w:r>
      <w:r>
        <w:rPr>
          <w:sz w:val="21"/>
        </w:rPr>
        <w:t>地址：</w:t>
      </w:r>
      <w:r>
        <w:rPr>
          <w:b/>
          <w:sz w:val="21"/>
        </w:rPr>
        <w:t xml:space="preserve">  </w:t>
      </w:r>
    </w:p>
    <w:p>
      <w:pPr>
        <w:jc w:val="both"/>
      </w:pPr>
      <w:r>
        <w:rPr>
          <w:sz w:val="21"/>
        </w:rPr>
        <w:t xml:space="preserve"> </w:t>
      </w:r>
    </w:p>
    <w:p>
      <w:pPr>
        <w:jc w:val="both"/>
      </w:pPr>
      <w:r>
        <w:rPr>
          <w:sz w:val="21"/>
        </w:rPr>
        <w:t xml:space="preserve">  </w:t>
      </w:r>
      <w:r>
        <w:rPr>
          <w:sz w:val="21"/>
        </w:rPr>
        <w:t>根据</w:t>
      </w:r>
      <w:r>
        <w:rPr>
          <w:sz w:val="21"/>
          <w:u w:val="single"/>
        </w:rPr>
        <w:t>东莞滨海湾新区政务服务中心人力资源服务项目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4"/>
        </w:rPr>
        <w:t>一、合同金额</w:t>
      </w:r>
    </w:p>
    <w:p>
      <w:pPr>
        <w:jc w:val="both"/>
      </w:pPr>
      <w:r>
        <w:rPr>
          <w:sz w:val="21"/>
        </w:rPr>
        <w:t>　　合同金额为（大写）：</w:t>
      </w:r>
      <w:r>
        <w:rPr>
          <w:sz w:val="21"/>
        </w:rPr>
        <w:t>_____________元（￥_________元）人民币。</w:t>
      </w:r>
      <w:r>
        <w:rPr>
          <w:sz w:val="21"/>
        </w:rPr>
        <w:t>该金额</w:t>
      </w:r>
      <w:r>
        <w:rPr>
          <w:sz w:val="21"/>
        </w:rPr>
        <w:t>包括本次招标所有服务内容的费用，包括人工、材料、措施费、税费以及合同实施过程中等全部费用。</w:t>
      </w:r>
    </w:p>
    <w:p>
      <w:pPr>
        <w:jc w:val="both"/>
      </w:pPr>
      <w:r>
        <w:rPr>
          <w:b/>
          <w:sz w:val="24"/>
        </w:rPr>
        <w:t>二、服务范围</w:t>
      </w:r>
    </w:p>
    <w:p>
      <w:pPr>
        <w:ind w:firstLine="420"/>
        <w:jc w:val="both"/>
      </w:pPr>
      <w:r>
        <w:rPr>
          <w:sz w:val="21"/>
        </w:rPr>
        <w:t>东莞滨海湾新区管理委员会通过</w:t>
      </w:r>
      <w:r>
        <w:rPr>
          <w:sz w:val="21"/>
        </w:rPr>
        <w:t>购买人力资源服务方式，以合理的人力资源服务方案设计及服务实施，综合东莞滨海湾新区政务服务中心的服务需求，</w:t>
      </w:r>
      <w:r>
        <w:rPr>
          <w:sz w:val="21"/>
        </w:rPr>
        <w:t>提供东莞滨海湾新区政务服务中心</w:t>
      </w:r>
      <w:r>
        <w:rPr>
          <w:sz w:val="21"/>
        </w:rPr>
        <w:t>17人岗位人力资源服务，满足东莞滨海湾新区政务服务中心正常运行。</w:t>
      </w:r>
      <w:r>
        <w:rPr>
          <w:sz w:val="21"/>
        </w:rPr>
        <w:t>乙方</w:t>
      </w:r>
      <w:r>
        <w:rPr>
          <w:sz w:val="21"/>
        </w:rPr>
        <w:t>通过招录服务人员派驻</w:t>
      </w:r>
      <w:r>
        <w:rPr>
          <w:sz w:val="21"/>
        </w:rPr>
        <w:t>东莞滨海湾新区</w:t>
      </w:r>
      <w:r>
        <w:rPr>
          <w:sz w:val="21"/>
        </w:rPr>
        <w:t>政务服务中心，完成大厅群众预约核验服务、政务服务事项的咨询解答、导办、收件、资料审核、物料流转、发证等各项工作；通过</w:t>
      </w:r>
      <w:r>
        <w:rPr>
          <w:sz w:val="21"/>
        </w:rPr>
        <w:t>公共</w:t>
      </w:r>
      <w:r>
        <w:rPr>
          <w:sz w:val="21"/>
        </w:rPr>
        <w:t>培训、日常管理、薪酬设计、考核、离职补充等</w:t>
      </w:r>
      <w:r>
        <w:rPr>
          <w:sz w:val="21"/>
        </w:rPr>
        <w:t>人力资源</w:t>
      </w:r>
      <w:r>
        <w:rPr>
          <w:sz w:val="21"/>
        </w:rPr>
        <w:t>服务确保项目正常运营；协助</w:t>
      </w:r>
      <w:r>
        <w:rPr>
          <w:sz w:val="21"/>
        </w:rPr>
        <w:t>甲方</w:t>
      </w:r>
      <w:r>
        <w:rPr>
          <w:sz w:val="21"/>
        </w:rPr>
        <w:t>进行大厅其他运营服务支撑工作。</w:t>
      </w:r>
    </w:p>
    <w:p>
      <w:pPr>
        <w:ind w:firstLine="420"/>
        <w:jc w:val="both"/>
      </w:pPr>
      <w:r>
        <w:rPr>
          <w:sz w:val="21"/>
        </w:rPr>
        <w:t>人力资源服务内容如下：</w:t>
      </w:r>
    </w:p>
    <w:p>
      <w:pPr>
        <w:ind w:firstLine="420"/>
        <w:jc w:val="both"/>
      </w:pPr>
      <w:r>
        <w:rPr>
          <w:sz w:val="21"/>
        </w:rPr>
        <w:t>1、</w:t>
      </w:r>
      <w:r>
        <w:rPr>
          <w:sz w:val="21"/>
        </w:rPr>
        <w:t>乙方</w:t>
      </w:r>
      <w:r>
        <w:rPr>
          <w:sz w:val="21"/>
        </w:rPr>
        <w:t>按照</w:t>
      </w:r>
      <w:r>
        <w:rPr>
          <w:sz w:val="21"/>
        </w:rPr>
        <w:t>甲方</w:t>
      </w:r>
      <w:r>
        <w:rPr>
          <w:sz w:val="21"/>
        </w:rPr>
        <w:t>要求招聘</w:t>
      </w:r>
      <w:r>
        <w:rPr>
          <w:sz w:val="21"/>
        </w:rPr>
        <w:t>/录用服务人员，派驻服务人员到政务服务中心负责以下主要工作：</w:t>
      </w:r>
    </w:p>
    <w:p>
      <w:pPr>
        <w:ind w:firstLine="420"/>
        <w:jc w:val="both"/>
      </w:pPr>
      <w:r>
        <w:rPr>
          <w:sz w:val="21"/>
        </w:rPr>
        <w:t>（</w:t>
      </w:r>
      <w:r>
        <w:rPr>
          <w:sz w:val="21"/>
        </w:rPr>
        <w:t>1）预约核验服务。负责对进入政务服务中心的市民身份进行预约信息的核验，确认市民业务资料齐全，并进行取号、指引等服务。</w:t>
      </w:r>
    </w:p>
    <w:p>
      <w:pPr>
        <w:ind w:firstLine="420"/>
        <w:jc w:val="both"/>
      </w:pPr>
      <w:r>
        <w:rPr>
          <w:sz w:val="21"/>
        </w:rPr>
        <w:t>（</w:t>
      </w:r>
      <w:r>
        <w:rPr>
          <w:sz w:val="21"/>
        </w:rPr>
        <w:t>2）业务导办服务。负责对进入政务服务中心的市民进行资料填写和设备使用指导，根据市民的办事需求进行业务引导；耐心解答市民的咨询，为市民提供业务资料打印、复印、扫描等服务。</w:t>
      </w:r>
    </w:p>
    <w:p>
      <w:pPr>
        <w:ind w:firstLine="420"/>
        <w:jc w:val="both"/>
      </w:pPr>
      <w:r>
        <w:rPr>
          <w:sz w:val="21"/>
        </w:rPr>
        <w:t>（</w:t>
      </w:r>
      <w:r>
        <w:rPr>
          <w:sz w:val="21"/>
        </w:rPr>
        <w:t>3）窗口经办服务。通过设置办事窗口岗位，面向市民或企业，提供大厅政务服务事项的业务收件、出件（证）、经办、咨询等工作。</w:t>
      </w:r>
    </w:p>
    <w:p>
      <w:pPr>
        <w:ind w:firstLine="420"/>
        <w:jc w:val="both"/>
      </w:pPr>
      <w:r>
        <w:rPr>
          <w:sz w:val="21"/>
        </w:rPr>
        <w:t>（</w:t>
      </w:r>
      <w:r>
        <w:rPr>
          <w:sz w:val="21"/>
        </w:rPr>
        <w:t>4</w:t>
      </w:r>
      <w:r>
        <w:rPr>
          <w:sz w:val="21"/>
        </w:rPr>
        <w:t>）材料</w:t>
      </w:r>
      <w:r>
        <w:rPr>
          <w:sz w:val="21"/>
        </w:rPr>
        <w:t>内审</w:t>
      </w:r>
      <w:r>
        <w:rPr>
          <w:sz w:val="21"/>
        </w:rPr>
        <w:t>服务</w:t>
      </w:r>
      <w:r>
        <w:rPr>
          <w:sz w:val="21"/>
        </w:rPr>
        <w:t>。</w:t>
      </w:r>
      <w:r>
        <w:rPr>
          <w:sz w:val="21"/>
        </w:rPr>
        <w:t>通过设置材料内审岗位，与办事窗口、职能部门建立业务协同机制，按政务服务标准要求，做好</w:t>
      </w:r>
      <w:r>
        <w:rPr>
          <w:sz w:val="21"/>
        </w:rPr>
        <w:t>材料内审等工作</w:t>
      </w:r>
      <w:r>
        <w:rPr>
          <w:sz w:val="21"/>
        </w:rPr>
        <w:t>，按要求与业务主管职能部门做好资料存、取、阅等衔接，确保各类材料的严谨性、真实性及完整性，确保窗口、内审、审批及经办结果全流程的无缝衔接。</w:t>
      </w:r>
    </w:p>
    <w:p>
      <w:pPr>
        <w:ind w:firstLine="420"/>
        <w:jc w:val="both"/>
      </w:pPr>
      <w:r>
        <w:rPr>
          <w:sz w:val="21"/>
        </w:rPr>
        <w:t>（</w:t>
      </w:r>
      <w:r>
        <w:rPr>
          <w:sz w:val="21"/>
        </w:rPr>
        <w:t>5</w:t>
      </w:r>
      <w:r>
        <w:rPr>
          <w:sz w:val="21"/>
        </w:rPr>
        <w:t>）物料流转服务</w:t>
      </w:r>
      <w:r>
        <w:rPr>
          <w:sz w:val="21"/>
        </w:rPr>
        <w:t>。</w:t>
      </w:r>
      <w:r>
        <w:rPr>
          <w:sz w:val="21"/>
        </w:rPr>
        <w:t>通过设置物料流转岗位，与物流部门建立高效衔接机制，做好</w:t>
      </w:r>
      <w:r>
        <w:rPr>
          <w:sz w:val="21"/>
        </w:rPr>
        <w:t>指定</w:t>
      </w:r>
      <w:r>
        <w:rPr>
          <w:sz w:val="21"/>
        </w:rPr>
        <w:t>政务服务事项的物料</w:t>
      </w:r>
      <w:r>
        <w:rPr>
          <w:sz w:val="21"/>
        </w:rPr>
        <w:t>归档、</w:t>
      </w:r>
      <w:r>
        <w:rPr>
          <w:sz w:val="21"/>
        </w:rPr>
        <w:t>流转等工作。</w:t>
      </w:r>
    </w:p>
    <w:p>
      <w:pPr>
        <w:ind w:firstLine="420"/>
        <w:jc w:val="both"/>
      </w:pPr>
      <w:r>
        <w:rPr>
          <w:sz w:val="21"/>
        </w:rPr>
        <w:t>（</w:t>
      </w:r>
      <w:r>
        <w:rPr>
          <w:sz w:val="21"/>
        </w:rPr>
        <w:t>6</w:t>
      </w:r>
      <w:r>
        <w:rPr>
          <w:sz w:val="21"/>
        </w:rPr>
        <w:t>）大厅日常管理。通过设置大厅管理岗位，负责大厅工作人员的日常行为规范管理、考勤管理等；负责做好大厅突发情况和投诉事件处理及预防；负责业务满意度调研、业务管理、数据分析等协助工作。</w:t>
      </w:r>
    </w:p>
    <w:p>
      <w:pPr>
        <w:ind w:firstLine="420"/>
        <w:jc w:val="both"/>
      </w:pPr>
      <w:r>
        <w:rPr>
          <w:sz w:val="21"/>
        </w:rPr>
        <w:t>（</w:t>
      </w:r>
      <w:r>
        <w:rPr>
          <w:sz w:val="21"/>
        </w:rPr>
        <w:t>7</w:t>
      </w:r>
      <w:r>
        <w:rPr>
          <w:sz w:val="21"/>
        </w:rPr>
        <w:t>）</w:t>
      </w:r>
      <w:r>
        <w:rPr>
          <w:sz w:val="21"/>
        </w:rPr>
        <w:t>中心资产管理。实时掌握中心资产情况，并定期开展资产盘点，实时了解中心物资使用情况及采购需求，配合中心管理层采购、验收、管理中心物资。</w:t>
      </w:r>
    </w:p>
    <w:p>
      <w:pPr>
        <w:ind w:firstLine="420"/>
        <w:jc w:val="both"/>
      </w:pPr>
      <w:r>
        <w:rPr>
          <w:sz w:val="21"/>
        </w:rPr>
        <w:t>（</w:t>
      </w:r>
      <w:r>
        <w:rPr>
          <w:sz w:val="21"/>
        </w:rPr>
        <w:t>8</w:t>
      </w:r>
      <w:r>
        <w:rPr>
          <w:sz w:val="21"/>
        </w:rPr>
        <w:t>）</w:t>
      </w:r>
      <w:r>
        <w:rPr>
          <w:sz w:val="21"/>
        </w:rPr>
        <w:t>东莞</w:t>
      </w:r>
      <w:r>
        <w:rPr>
          <w:sz w:val="21"/>
        </w:rPr>
        <w:t>滨海湾新区管委会交办的与窗口业务、派驻服务人员有关的其他工作。</w:t>
      </w:r>
    </w:p>
    <w:p>
      <w:pPr>
        <w:ind w:firstLine="420"/>
        <w:jc w:val="both"/>
      </w:pPr>
      <w:r>
        <w:rPr>
          <w:sz w:val="21"/>
        </w:rPr>
        <w:t>2、</w:t>
      </w:r>
      <w:r>
        <w:rPr>
          <w:sz w:val="21"/>
        </w:rPr>
        <w:t>乙方</w:t>
      </w:r>
      <w:r>
        <w:rPr>
          <w:sz w:val="21"/>
        </w:rPr>
        <w:t>需按东莞滨海湾新区管理委员会要求的岗位需求，按人力资源专业流程做好人员招聘</w:t>
      </w:r>
      <w:r>
        <w:rPr>
          <w:sz w:val="21"/>
        </w:rPr>
        <w:t>/录用配置工作。</w:t>
      </w:r>
    </w:p>
    <w:p>
      <w:pPr>
        <w:ind w:firstLine="420"/>
        <w:jc w:val="both"/>
      </w:pPr>
      <w:r>
        <w:rPr>
          <w:sz w:val="21"/>
        </w:rPr>
        <w:t>3、</w:t>
      </w:r>
      <w:r>
        <w:rPr>
          <w:sz w:val="21"/>
        </w:rPr>
        <w:t>乙方</w:t>
      </w:r>
      <w:r>
        <w:rPr>
          <w:sz w:val="21"/>
        </w:rPr>
        <w:t>需负责服务人员职业能力提升建设，持续跟进服务人员工作动态，包括演练、</w:t>
      </w:r>
      <w:r>
        <w:rPr>
          <w:sz w:val="21"/>
        </w:rPr>
        <w:t xml:space="preserve"> </w:t>
      </w:r>
      <w:r>
        <w:rPr>
          <w:sz w:val="21"/>
        </w:rPr>
        <w:t>入离职管理、培训管理、薪酬管理、绩效管理、服务表现跟踪、突发事件处理情况等，配合</w:t>
      </w:r>
      <w:r>
        <w:rPr>
          <w:sz w:val="21"/>
        </w:rPr>
        <w:t>东莞</w:t>
      </w:r>
      <w:r>
        <w:rPr>
          <w:sz w:val="21"/>
        </w:rPr>
        <w:t>滨海湾新区管委会做好政务服务事项专业培训等。</w:t>
      </w:r>
    </w:p>
    <w:p>
      <w:pPr>
        <w:ind w:firstLine="420"/>
        <w:jc w:val="both"/>
      </w:pPr>
      <w:r>
        <w:rPr>
          <w:sz w:val="21"/>
        </w:rPr>
        <w:t>4、服务人员派驻到政务服务中心前，</w:t>
      </w:r>
      <w:r>
        <w:rPr>
          <w:sz w:val="21"/>
        </w:rPr>
        <w:t>乙方</w:t>
      </w:r>
      <w:r>
        <w:rPr>
          <w:sz w:val="21"/>
        </w:rPr>
        <w:t>组织服务人员开展职业素养培训和公共职业培训，并组织服务人员参与</w:t>
      </w:r>
      <w:r>
        <w:rPr>
          <w:sz w:val="21"/>
        </w:rPr>
        <w:t>甲方</w:t>
      </w:r>
      <w:r>
        <w:rPr>
          <w:sz w:val="21"/>
        </w:rPr>
        <w:t>开展的业务知识培训；定期组织服务人员开展技能提升培训或活动。</w:t>
      </w:r>
    </w:p>
    <w:p>
      <w:pPr>
        <w:ind w:firstLine="420"/>
        <w:jc w:val="both"/>
      </w:pPr>
      <w:r>
        <w:rPr>
          <w:sz w:val="21"/>
        </w:rPr>
        <w:t>5、</w:t>
      </w:r>
      <w:r>
        <w:rPr>
          <w:sz w:val="21"/>
        </w:rPr>
        <w:t>乙方</w:t>
      </w:r>
      <w:r>
        <w:rPr>
          <w:sz w:val="21"/>
        </w:rPr>
        <w:t>提供完善的支撑服务，对服务人员建立科学合理的薪酬设计、激励机制、绩效考核机制、激励机制、退出机制等。主要如下：</w:t>
      </w:r>
    </w:p>
    <w:p>
      <w:pPr>
        <w:ind w:firstLine="420"/>
        <w:jc w:val="both"/>
      </w:pPr>
      <w:r>
        <w:rPr>
          <w:sz w:val="21"/>
        </w:rPr>
        <w:t>（</w:t>
      </w:r>
      <w:r>
        <w:rPr>
          <w:sz w:val="21"/>
        </w:rPr>
        <w:t>1）薪酬设计及激励机制制定。根据岗位性质，合理设计完善的薪酬方案及激励机制。</w:t>
      </w:r>
    </w:p>
    <w:p>
      <w:pPr>
        <w:ind w:firstLine="420"/>
        <w:jc w:val="both"/>
      </w:pPr>
      <w:r>
        <w:rPr>
          <w:sz w:val="21"/>
        </w:rPr>
        <w:t>（</w:t>
      </w:r>
      <w:r>
        <w:rPr>
          <w:sz w:val="21"/>
        </w:rPr>
        <w:t>2）绩效考核机制。根据服务人员岗位职责及要求，结合</w:t>
      </w:r>
      <w:r>
        <w:rPr>
          <w:sz w:val="21"/>
        </w:rPr>
        <w:t>甲方</w:t>
      </w:r>
      <w:r>
        <w:rPr>
          <w:sz w:val="21"/>
        </w:rPr>
        <w:t>服务要求，制定绩效考核机制，由</w:t>
      </w:r>
      <w:r>
        <w:rPr>
          <w:sz w:val="21"/>
        </w:rPr>
        <w:t>乙方</w:t>
      </w:r>
      <w:r>
        <w:rPr>
          <w:sz w:val="21"/>
        </w:rPr>
        <w:t>主导，</w:t>
      </w:r>
      <w:r>
        <w:rPr>
          <w:sz w:val="21"/>
        </w:rPr>
        <w:t>甲方</w:t>
      </w:r>
      <w:r>
        <w:rPr>
          <w:sz w:val="21"/>
        </w:rPr>
        <w:t>参与。</w:t>
      </w:r>
    </w:p>
    <w:p>
      <w:pPr>
        <w:ind w:firstLine="420"/>
        <w:jc w:val="both"/>
      </w:pPr>
      <w:r>
        <w:rPr>
          <w:sz w:val="21"/>
        </w:rPr>
        <w:t>（</w:t>
      </w:r>
      <w:r>
        <w:rPr>
          <w:sz w:val="21"/>
        </w:rPr>
        <w:t>3）退出机制。服务人员主动离职，</w:t>
      </w:r>
      <w:r>
        <w:rPr>
          <w:sz w:val="21"/>
        </w:rPr>
        <w:t>乙方</w:t>
      </w:r>
      <w:r>
        <w:rPr>
          <w:sz w:val="21"/>
        </w:rPr>
        <w:t>需提前通知</w:t>
      </w:r>
      <w:r>
        <w:rPr>
          <w:sz w:val="21"/>
        </w:rPr>
        <w:t>甲方</w:t>
      </w:r>
      <w:r>
        <w:rPr>
          <w:sz w:val="21"/>
        </w:rPr>
        <w:t>，并按规定补充人员；因服务不达标、市民严重投诉、违法相关规章制度等，</w:t>
      </w:r>
      <w:r>
        <w:rPr>
          <w:sz w:val="21"/>
        </w:rPr>
        <w:t>甲方</w:t>
      </w:r>
      <w:r>
        <w:rPr>
          <w:sz w:val="21"/>
        </w:rPr>
        <w:t>有权退回</w:t>
      </w:r>
      <w:r>
        <w:rPr>
          <w:sz w:val="21"/>
        </w:rPr>
        <w:t>乙方</w:t>
      </w:r>
      <w:r>
        <w:rPr>
          <w:sz w:val="21"/>
        </w:rPr>
        <w:t>，由</w:t>
      </w:r>
      <w:r>
        <w:rPr>
          <w:sz w:val="21"/>
        </w:rPr>
        <w:t>乙方</w:t>
      </w:r>
      <w:r>
        <w:rPr>
          <w:sz w:val="21"/>
        </w:rPr>
        <w:t>按规定时间替换人员。</w:t>
      </w:r>
    </w:p>
    <w:p>
      <w:pPr>
        <w:ind w:firstLine="420"/>
        <w:jc w:val="both"/>
      </w:pPr>
      <w:r>
        <w:rPr>
          <w:sz w:val="21"/>
        </w:rPr>
        <w:t>6、</w:t>
      </w:r>
      <w:r>
        <w:rPr>
          <w:sz w:val="21"/>
        </w:rPr>
        <w:t>乙方</w:t>
      </w:r>
      <w:r>
        <w:rPr>
          <w:sz w:val="21"/>
        </w:rPr>
        <w:t>协助</w:t>
      </w:r>
      <w:r>
        <w:rPr>
          <w:sz w:val="21"/>
        </w:rPr>
        <w:t>甲方</w:t>
      </w:r>
      <w:r>
        <w:rPr>
          <w:sz w:val="21"/>
        </w:rPr>
        <w:t>的关于大厅运营、服务支撑等其他工作。</w:t>
      </w:r>
    </w:p>
    <w:p>
      <w:pPr>
        <w:jc w:val="both"/>
      </w:pPr>
      <w:r>
        <w:rPr>
          <w:b/>
          <w:sz w:val="24"/>
        </w:rPr>
        <w:t>三</w:t>
      </w:r>
      <w:r>
        <w:rPr>
          <w:b/>
          <w:sz w:val="24"/>
        </w:rPr>
        <w:t>、项目要求</w:t>
      </w:r>
    </w:p>
    <w:p>
      <w:pPr>
        <w:ind w:firstLine="420"/>
        <w:jc w:val="both"/>
      </w:pPr>
      <w:r>
        <w:rPr>
          <w:sz w:val="21"/>
        </w:rPr>
        <w:t>（一）</w:t>
      </w:r>
      <w:r>
        <w:rPr>
          <w:sz w:val="21"/>
        </w:rPr>
        <w:t>乙方</w:t>
      </w:r>
      <w:r>
        <w:rPr>
          <w:sz w:val="21"/>
        </w:rPr>
        <w:t>服务能力要求</w:t>
      </w:r>
    </w:p>
    <w:p>
      <w:pPr>
        <w:ind w:firstLine="420"/>
        <w:jc w:val="both"/>
      </w:pPr>
      <w:r>
        <w:rPr>
          <w:sz w:val="21"/>
        </w:rPr>
        <w:t>1、招聘能力。乙方必须具备专业招聘能力，需按《滨海湾新区管委会政务服务中心岗位外包服务采购项目岗位需求表》中17个岗位，将符合要求的服务人员在合同签订之日起15日内全部招聘配置到位。在服务期间，如有人员发生变动时。应提前通报甲方，且保证人员流失后5个工作日内补充完毕。为了确保人员质量，甲方需对乙方派驻的服务人员的执业能力进行复核。</w:t>
      </w:r>
    </w:p>
    <w:p>
      <w:pPr>
        <w:ind w:firstLine="420"/>
        <w:jc w:val="both"/>
      </w:pPr>
      <w:r>
        <w:rPr>
          <w:sz w:val="21"/>
        </w:rPr>
        <w:t>2、管理能力。乙方须具备服务人员管理能力；乙方须指定项目管理人员，负责服务人员的日常管理和监督。</w:t>
      </w:r>
    </w:p>
    <w:p>
      <w:pPr>
        <w:ind w:firstLine="420"/>
        <w:jc w:val="both"/>
      </w:pPr>
      <w:r>
        <w:rPr>
          <w:sz w:val="21"/>
        </w:rPr>
        <w:t>3、劳动保障能力。乙方须为服务人员办理完备的劳动关系手续，包括但不限于与服务人员签订劳动合同、办理社会保险、住房公积金及残保金缴纳、办理工伤理赔相关手续、薪酬福利的发放及个人所得税代缴、服务人员人事档案的保管，并为服务人员提供党员挂靠、党建活动等。如因此产生的劳动纠纷由乙方全权负责，与甲方无关。</w:t>
      </w:r>
    </w:p>
    <w:p>
      <w:pPr>
        <w:ind w:firstLine="420"/>
        <w:jc w:val="both"/>
      </w:pPr>
      <w:r>
        <w:rPr>
          <w:sz w:val="21"/>
        </w:rPr>
        <w:t>4、培训能力。乙方必须负责服务人员到岗前的职业素养培训和公共培训；服务人员在职期间组织每年不少于4次的公共培训或活动。</w:t>
      </w:r>
    </w:p>
    <w:p>
      <w:pPr>
        <w:ind w:firstLine="420"/>
        <w:jc w:val="both"/>
      </w:pPr>
      <w:r>
        <w:rPr>
          <w:sz w:val="21"/>
        </w:rPr>
        <w:t>5、应急处理能力。乙方需提供对突发事件的应急预案，并为服务人员进行培训演练。</w:t>
      </w:r>
    </w:p>
    <w:p>
      <w:pPr>
        <w:ind w:firstLine="420"/>
        <w:jc w:val="both"/>
      </w:pPr>
      <w:r>
        <w:rPr>
          <w:sz w:val="21"/>
        </w:rPr>
        <w:t>6、支撑服务。成交服务商必须提供完善的人力资源服务。对服务人员建立科学合理的薪酬设计方案、绩效考核机制、激励机制、退出机制等。</w:t>
      </w:r>
    </w:p>
    <w:p>
      <w:pPr>
        <w:ind w:firstLine="420"/>
        <w:jc w:val="both"/>
      </w:pPr>
      <w:r>
        <w:rPr>
          <w:sz w:val="21"/>
        </w:rPr>
        <w:t>（二）服务人员要求</w:t>
      </w:r>
    </w:p>
    <w:p>
      <w:pPr>
        <w:ind w:firstLine="420"/>
        <w:jc w:val="both"/>
      </w:pPr>
      <w:r>
        <w:rPr>
          <w:sz w:val="21"/>
        </w:rPr>
        <w:t>1、服务团队必须保持稳定，服务期内每月服务人员变更率必须低于10%（甲方主动提出更换及当月新增人员计入变更率）；对每次非甲方意愿的人员替换或者人员流动比例超限，将根据考核采取相应的处罚措施，以保证服务人员的稳定性。</w:t>
      </w:r>
    </w:p>
    <w:p>
      <w:pPr>
        <w:ind w:firstLine="420"/>
        <w:jc w:val="both"/>
      </w:pPr>
      <w:r>
        <w:rPr>
          <w:sz w:val="21"/>
        </w:rPr>
        <w:t>2、对乙方拟派服务人员的基本要求：</w:t>
      </w:r>
    </w:p>
    <w:p>
      <w:pPr>
        <w:ind w:firstLine="420"/>
        <w:jc w:val="both"/>
      </w:pPr>
      <w:r>
        <w:rPr>
          <w:sz w:val="21"/>
        </w:rPr>
        <w:t>（</w:t>
      </w:r>
      <w:r>
        <w:rPr>
          <w:sz w:val="21"/>
        </w:rPr>
        <w:t>1）拥有真实合法的身份证明，良好的道德品质，具有良好的服务意识；</w:t>
      </w:r>
    </w:p>
    <w:p>
      <w:pPr>
        <w:ind w:firstLine="420"/>
        <w:jc w:val="both"/>
      </w:pPr>
      <w:r>
        <w:rPr>
          <w:sz w:val="21"/>
        </w:rPr>
        <w:t>（</w:t>
      </w:r>
      <w:r>
        <w:rPr>
          <w:sz w:val="21"/>
        </w:rPr>
        <w:t>2）身份健康、心理成熟、品行端正，无违法犯罪记录；</w:t>
      </w:r>
    </w:p>
    <w:p>
      <w:pPr>
        <w:ind w:firstLine="420"/>
        <w:jc w:val="both"/>
      </w:pPr>
      <w:r>
        <w:rPr>
          <w:sz w:val="21"/>
        </w:rPr>
        <w:t>（</w:t>
      </w:r>
      <w:r>
        <w:rPr>
          <w:sz w:val="21"/>
        </w:rPr>
        <w:t>3）年龄原则上为30周岁以下（管理岗位原则上35周岁以下）；</w:t>
      </w:r>
    </w:p>
    <w:p>
      <w:pPr>
        <w:ind w:firstLine="420"/>
        <w:jc w:val="both"/>
      </w:pPr>
      <w:r>
        <w:rPr>
          <w:sz w:val="21"/>
        </w:rPr>
        <w:t>（</w:t>
      </w:r>
      <w:r>
        <w:rPr>
          <w:sz w:val="21"/>
        </w:rPr>
        <w:t>4）全日制本科及以上学历(于报名首日前取得毕业证书)；</w:t>
      </w:r>
    </w:p>
    <w:p>
      <w:pPr>
        <w:ind w:firstLine="420"/>
        <w:jc w:val="both"/>
      </w:pPr>
      <w:r>
        <w:rPr>
          <w:sz w:val="21"/>
        </w:rPr>
        <w:t>（</w:t>
      </w:r>
      <w:r>
        <w:rPr>
          <w:sz w:val="21"/>
        </w:rPr>
        <w:t>5）使用文明规范用语、吐字清晰，普通话标准，具备良好的沟通和交流能力，热爱公众服  务工作。</w:t>
      </w:r>
    </w:p>
    <w:p>
      <w:pPr>
        <w:ind w:firstLine="420"/>
        <w:jc w:val="both"/>
      </w:pPr>
      <w:r>
        <w:rPr>
          <w:sz w:val="21"/>
        </w:rPr>
        <w:t>3、设立大厅组长一名，负责与甲方直接沟通日常管理事项，负责对服务人员团队直接管理，并向甲方汇报工作情况。大厅组长除需具备服务人员的基本要求外，大厅组长需具备两年或以上团队管理经验，有政务窗口服务经验，且要求细心，责任心强，具备良好的沟通协调能力及应变处理能力，有团队合作精神；计算机能力良好，能熟练使用word、excel等软件。</w:t>
      </w:r>
    </w:p>
    <w:p>
      <w:pPr>
        <w:ind w:firstLine="420"/>
        <w:jc w:val="both"/>
      </w:pPr>
      <w:r>
        <w:rPr>
          <w:sz w:val="21"/>
        </w:rPr>
        <w:t>4、全部服务人员统一着装。工作服标准要求参考</w:t>
      </w:r>
      <w:r>
        <w:rPr>
          <w:sz w:val="21"/>
        </w:rPr>
        <w:t>《关于市民服务中心办事大厅开办经费的审核意见》（东财函〔</w:t>
      </w:r>
      <w:r>
        <w:rPr>
          <w:sz w:val="21"/>
        </w:rPr>
        <w:t>2018〕2135号）</w:t>
      </w:r>
      <w:r>
        <w:rPr>
          <w:sz w:val="21"/>
        </w:rPr>
        <w:t>，工服包含冬季大衣、西装外套、冬装西裤、夏装西裤、长袖衬衫、短袖衬衫、领带及丝巾、工牌、皮鞋等，服务人员工作不足一年的，需按照（</w:t>
      </w:r>
      <w:r>
        <w:rPr>
          <w:sz w:val="21"/>
        </w:rPr>
        <w:t>12个月-服务月份）/12个月的比例承担工服的费用；服务人员着装前工服需熨平整，保证穿戴整洁。</w:t>
      </w:r>
    </w:p>
    <w:p>
      <w:pPr>
        <w:ind w:firstLine="420"/>
        <w:jc w:val="both"/>
      </w:pPr>
      <w:r>
        <w:rPr>
          <w:sz w:val="21"/>
        </w:rPr>
        <w:t>5、服务人员须遵守用人单位的各项管理制度，不得擅自脱岗、迟到早退。</w:t>
      </w:r>
    </w:p>
    <w:p>
      <w:pPr>
        <w:ind w:firstLine="420"/>
        <w:jc w:val="both"/>
      </w:pPr>
      <w:r>
        <w:rPr>
          <w:sz w:val="21"/>
        </w:rPr>
        <w:t>6、服务人员需要驻点办公，由甲方指定的办公场地及坐席。</w:t>
      </w:r>
    </w:p>
    <w:p>
      <w:pPr>
        <w:jc w:val="both"/>
      </w:pPr>
      <w:r>
        <w:rPr>
          <w:b/>
          <w:sz w:val="24"/>
        </w:rPr>
        <w:t>四、服务要求</w:t>
      </w:r>
    </w:p>
    <w:p>
      <w:pPr>
        <w:ind w:firstLine="420"/>
        <w:jc w:val="both"/>
      </w:pPr>
      <w:r>
        <w:rPr>
          <w:sz w:val="21"/>
        </w:rPr>
        <w:t>1、在《成交通知书》发出之日起三十天内，乙方应安排法定代表人或授权代表与甲方按照采购文件确定的事项签订采购合同；乙方配备专门的项目管理人员，全面负责项目各项服务执行和服务人员的日常事管理，协调处理服务人员与甲方之间的关系，向甲方提供政策法规方面的咨询；在项目实施过程中，应安排项目管理人员每月一次与甲方沟通、汇报项目进度；项目管理人员应具备一定的稳定性，如项目管理人员发生变动时，应提前通报甲方，并保持项目内容连贯性。</w:t>
      </w:r>
    </w:p>
    <w:p>
      <w:pPr>
        <w:ind w:firstLine="420"/>
        <w:jc w:val="both"/>
      </w:pPr>
      <w:r>
        <w:rPr>
          <w:sz w:val="21"/>
        </w:rPr>
        <w:t>2、乙方根据甲方的要求招聘/录用服务人员，由乙方进行招聘后，将拟录用人员提供给甲方复核确认；本项目服务费包括招聘费，甲方不再另行支付招聘费用。</w:t>
      </w:r>
    </w:p>
    <w:p>
      <w:pPr>
        <w:ind w:firstLine="420"/>
        <w:jc w:val="both"/>
      </w:pPr>
      <w:r>
        <w:rPr>
          <w:sz w:val="21"/>
        </w:rPr>
        <w:t>3、乙方负责服务人员的入离职手续办理、薪酬管理、福利发放、社会保险缴纳和住房公积金缴存及个税代扣代缴；按照有关法律法规与服务人员订立书面劳动合同，并根据服务人员考勤、考核、培训情况、奖惩等资料情况建立服务人员人事信息档案，并负责服务人员的档案管理、计生关系管理等；提供包括但不限于服务人员档案表、花名册、身份证及学历证复印件等供甲方备案。</w:t>
      </w:r>
    </w:p>
    <w:p>
      <w:pPr>
        <w:ind w:firstLine="420"/>
        <w:jc w:val="both"/>
      </w:pPr>
      <w:r>
        <w:rPr>
          <w:sz w:val="21"/>
        </w:rPr>
        <w:t>4、乙方根据甲方要求，制定专项费用的薪酬福利方案，根据服务人员服务标准及服务考核表现设置不同薪酬级别，乙方负责制定，甲方负责确定薪酬福利方案及各服务人员的薪酬级别；未经甲方同意，乙方不得修改服务人员薪酬级别。</w:t>
      </w:r>
    </w:p>
    <w:p>
      <w:pPr>
        <w:ind w:firstLine="420"/>
        <w:jc w:val="both"/>
      </w:pPr>
      <w:r>
        <w:rPr>
          <w:sz w:val="21"/>
        </w:rPr>
        <w:t>5、乙方按甲方要求，教育服务人员严格遵守甲方的规章制度和管理规范规程，忠于职守、文明礼貌、严格遵守劳动纪律，服从和执行甲方做出的工作安排和调度。</w:t>
      </w:r>
    </w:p>
    <w:p>
      <w:pPr>
        <w:ind w:firstLine="420"/>
        <w:jc w:val="both"/>
      </w:pPr>
      <w:r>
        <w:rPr>
          <w:sz w:val="21"/>
        </w:rPr>
        <w:t>6、乙方定期与甲方共同对服务人员进行考核，由甲方现场监督服务人员工作，并委托甲方进行服务人员工作考核，相关考核、考勤和奖惩资料由甲方提供，乙方根据甲方提供资料及时足额给服务人员发放工资福利。</w:t>
      </w:r>
    </w:p>
    <w:p>
      <w:pPr>
        <w:ind w:firstLine="420"/>
        <w:jc w:val="both"/>
      </w:pPr>
      <w:r>
        <w:rPr>
          <w:sz w:val="21"/>
        </w:rPr>
        <w:t>7、乙方设置服务人员淘汰机制，对服务人员进行考核，服务人员考核以双方商定制定的考核方案为准，对于考核不合格的人员，乙方应经甲方同意后更换符合要求及标准的服务人员。</w:t>
      </w:r>
    </w:p>
    <w:p>
      <w:pPr>
        <w:ind w:firstLine="420"/>
        <w:jc w:val="both"/>
      </w:pPr>
      <w:r>
        <w:rPr>
          <w:sz w:val="21"/>
        </w:rPr>
        <w:t>8、乙方负责处理服务人员提出的劳动仲裁、诉讼等事宜；负责服务人员经济赔偿的手续办理；服务人员如发生工伤，由乙方以雇主身份进行调查及处理，并为服务人员进行工伤鉴定申请、工伤待遇申报；服务人员如发生重大疾病、非因工死亡等事故，由乙方依照法律法规进行调查处理。</w:t>
      </w:r>
    </w:p>
    <w:p>
      <w:pPr>
        <w:ind w:firstLine="420"/>
        <w:jc w:val="both"/>
      </w:pPr>
      <w:r>
        <w:rPr>
          <w:sz w:val="21"/>
        </w:rPr>
        <w:t>9、乙方应及时掌握国家和省有关劳动标准、劳动条件、工资福利、社会保险等方面的最新政策动态并知会甲方，积极配合甲方对新政策规定的组织实施。</w:t>
      </w:r>
    </w:p>
    <w:p>
      <w:pPr>
        <w:ind w:firstLine="420"/>
        <w:jc w:val="both"/>
      </w:pPr>
      <w:r>
        <w:rPr>
          <w:sz w:val="21"/>
        </w:rPr>
        <w:t>10、甲方将对乙方实行动态管理，对乙方的服务承诺、服务态度等进行每半年考核和不定期监督考核，一旦发现乙方违反招标文件要求及其承诺，将要求其期限整改，整改期间整改项目暂时按最低得分计算考核分数，整改完成后达到要求则恢复正常考核，否则甲方有权取消其服务资格。</w:t>
      </w:r>
    </w:p>
    <w:p>
      <w:pPr>
        <w:jc w:val="both"/>
      </w:pPr>
      <w:r>
        <w:rPr>
          <w:b/>
          <w:sz w:val="24"/>
        </w:rPr>
        <w:t>五、违约责任</w:t>
      </w:r>
    </w:p>
    <w:p>
      <w:pPr>
        <w:ind w:firstLine="420"/>
        <w:jc w:val="both"/>
      </w:pPr>
      <w:r>
        <w:rPr>
          <w:sz w:val="21"/>
        </w:rPr>
        <w:t>1、未经甲方同意，乙方不得将承包项目发包或转包，否则，视为乙方违约，甲方可以上报监督管理部门后解除服务合同，造成重大影响的，甲方将依法追究乙方责任。</w:t>
      </w:r>
    </w:p>
    <w:p>
      <w:pPr>
        <w:ind w:firstLine="420"/>
        <w:jc w:val="both"/>
      </w:pPr>
      <w:r>
        <w:rPr>
          <w:sz w:val="21"/>
        </w:rPr>
        <w:t>2、未经甲方同意，乙方不得随意更换服务人员，否则，视为乙方违约，甲方可以上报监督管理部门后解除服务合同。</w:t>
      </w:r>
    </w:p>
    <w:p>
      <w:pPr>
        <w:ind w:firstLine="420"/>
        <w:jc w:val="both"/>
      </w:pPr>
      <w:r>
        <w:rPr>
          <w:sz w:val="21"/>
        </w:rPr>
        <w:t>3、由于乙方工作失误的原因，造成服务人员的经济损失，所产生的的损失及后果由乙方承担。</w:t>
      </w:r>
    </w:p>
    <w:p>
      <w:pPr>
        <w:ind w:firstLine="420"/>
        <w:jc w:val="both"/>
      </w:pPr>
      <w:r>
        <w:rPr>
          <w:sz w:val="21"/>
        </w:rPr>
        <w:t>4、服务期内，如甲方发生机构改革或财政拨款无法到位等政策原因无法继续使用服务人员，造成服务合同不能完全履行，甲方和乙方双方互不追究责任。</w:t>
      </w:r>
    </w:p>
    <w:p>
      <w:pPr>
        <w:ind w:firstLine="420"/>
        <w:jc w:val="both"/>
      </w:pPr>
      <w:r>
        <w:rPr>
          <w:sz w:val="21"/>
        </w:rPr>
        <w:t>5、乙方在服务期内因经营不善或其它原因导致无法继续正常向甲方提供服务并支付服务人员相关费用，甲方及相关服务人员将通过法律途径追究乙方责任。</w:t>
      </w:r>
    </w:p>
    <w:p>
      <w:pPr>
        <w:ind w:firstLine="420"/>
        <w:jc w:val="both"/>
      </w:pPr>
      <w:r>
        <w:rPr>
          <w:sz w:val="21"/>
        </w:rPr>
        <w:t>6、若乙方在签订合同并生效后15天内未能按甲方需求配齐人员，则视为乙方主动违约，甲方有权终止合同。</w:t>
      </w:r>
    </w:p>
    <w:p>
      <w:pPr>
        <w:ind w:firstLine="420"/>
        <w:jc w:val="both"/>
      </w:pPr>
      <w:r>
        <w:rPr>
          <w:sz w:val="21"/>
        </w:rPr>
        <w:t>7、服务人员的考核工作，由乙方按照相关制度进行，甲方提供协助，奖惩由乙方落实。考核不合格者，乙方应更换员工。在服务期间，服务人员因为调走、辞职或被乙方辞退等原因导致服务外包人员不足的，而乙方未能在5个工作日内及时补齐符合项目要求的服务外包人员时，则视为乙方主动违约，造成甲方的经济损失，所产生的损失或后果由乙方承担。</w:t>
      </w:r>
    </w:p>
    <w:p>
      <w:pPr>
        <w:ind w:firstLine="420"/>
        <w:jc w:val="both"/>
      </w:pPr>
      <w:r>
        <w:rPr>
          <w:sz w:val="21"/>
        </w:rPr>
        <w:t>8、半年度考核评分表、服务费计算系数表（详见附件1）、东莞滨海湾新区政务服务中心人力资源服务项目岗位需求表（附件2）</w:t>
      </w:r>
    </w:p>
    <w:p>
      <w:pPr>
        <w:jc w:val="both"/>
      </w:pPr>
    </w:p>
    <w:p>
      <w:pPr>
        <w:jc w:val="both"/>
      </w:pPr>
      <w:r>
        <w:rPr>
          <w:b/>
          <w:sz w:val="24"/>
        </w:rPr>
        <w:t>六、服务期</w:t>
      </w:r>
    </w:p>
    <w:p>
      <w:pPr>
        <w:ind w:firstLine="420"/>
        <w:jc w:val="both"/>
      </w:pPr>
      <w:r>
        <w:rPr>
          <w:sz w:val="21"/>
        </w:rPr>
        <w:t>2023年3月-2024年2月。</w:t>
      </w:r>
    </w:p>
    <w:p>
      <w:pPr>
        <w:jc w:val="both"/>
      </w:pPr>
      <w:r>
        <w:rPr>
          <w:b/>
          <w:sz w:val="24"/>
        </w:rPr>
        <w:t>七、付款方式</w:t>
      </w:r>
    </w:p>
    <w:p>
      <w:pPr>
        <w:ind w:firstLine="420"/>
        <w:jc w:val="both"/>
      </w:pPr>
      <w:r>
        <w:rPr>
          <w:sz w:val="21"/>
        </w:rPr>
        <w:t>1、付款依据：项目款分为人力资源运营成本（含人员薪资福利、单位需承担的社保和公积金费用、工服费用等）和服务费两部分： ①服务期内的人力资源运营成本和服务费按实结算； ②人力资源运营成本每三个月首月预付合同应付年人力资源运营成本的25%；服务费部分每半年度首月预付合同应付服务费的40%，剩余应付服务费的20%分上下半年两次（即每半年各占服务费的10%）以半年度考核评分表中半年度考核系数*应付服务费用作为结算依据进行结算支付。</w:t>
      </w:r>
    </w:p>
    <w:p>
      <w:pPr>
        <w:ind w:firstLine="420"/>
        <w:jc w:val="both"/>
      </w:pPr>
      <w:r>
        <w:rPr>
          <w:sz w:val="21"/>
        </w:rPr>
        <w:t>2、为保证项目服务质量及员工薪酬待遇，合理控制运作成本，服务费须≤人力资源运营成本（不含工服费用）*8%，服务费含人员招聘、公共培训、经济赔付等项目运营费用。</w:t>
      </w:r>
    </w:p>
    <w:p>
      <w:pPr>
        <w:ind w:firstLine="420"/>
        <w:jc w:val="both"/>
      </w:pPr>
      <w:r>
        <w:rPr>
          <w:sz w:val="21"/>
        </w:rPr>
        <w:t>3、根据付款依据，由甲方在合同签订后并且乙方提交发票等请款资料后30个工作日内向乙方支付第一笔项目款，其余款项支付进度按合同约定；如遇乙方拖欠工资、处于经营情况发生重大变化的特殊情况下，甲方有权暂停付款。</w:t>
      </w:r>
    </w:p>
    <w:p>
      <w:pPr>
        <w:jc w:val="both"/>
      </w:pPr>
      <w:r>
        <w:rPr>
          <w:b/>
          <w:sz w:val="24"/>
        </w:rPr>
        <w:t>八、验收要求</w:t>
      </w:r>
    </w:p>
    <w:p>
      <w:pPr>
        <w:ind w:firstLine="420"/>
        <w:jc w:val="both"/>
      </w:pPr>
      <w:r>
        <w:rPr>
          <w:sz w:val="21"/>
        </w:rPr>
        <w:t>按采购需求及乙方服务情况进行考核。</w:t>
      </w:r>
    </w:p>
    <w:p>
      <w:pPr>
        <w:jc w:val="both"/>
      </w:pPr>
      <w:r>
        <w:rPr>
          <w:b/>
          <w:sz w:val="24"/>
        </w:rPr>
        <w:t>九、知识产权归属</w:t>
      </w:r>
    </w:p>
    <w:p>
      <w:pPr>
        <w:ind w:firstLine="420"/>
        <w:jc w:val="both"/>
      </w:pPr>
      <w:r>
        <w:rPr>
          <w:sz w:val="21"/>
        </w:rPr>
        <w:t>服务成果知识产权归属</w:t>
      </w:r>
      <w:r>
        <w:rPr>
          <w:sz w:val="21"/>
        </w:rPr>
        <w:t>：本项目项下所有服务成果（包括</w:t>
      </w:r>
      <w:r>
        <w:rPr>
          <w:sz w:val="21"/>
        </w:rPr>
        <w:t>乙方</w:t>
      </w:r>
      <w:r>
        <w:rPr>
          <w:sz w:val="21"/>
        </w:rPr>
        <w:t>在合同履行过程中形成的阶段性服务成果及最终交付的服务成果）的知识产权和所有权全部归属</w:t>
      </w:r>
      <w:r>
        <w:rPr>
          <w:sz w:val="21"/>
        </w:rPr>
        <w:t>甲方</w:t>
      </w:r>
      <w:r>
        <w:rPr>
          <w:sz w:val="21"/>
        </w:rPr>
        <w:t>。未经</w:t>
      </w:r>
      <w:r>
        <w:rPr>
          <w:sz w:val="21"/>
        </w:rPr>
        <w:t>甲方</w:t>
      </w:r>
      <w:r>
        <w:rPr>
          <w:sz w:val="21"/>
        </w:rPr>
        <w:t>书面同意，</w:t>
      </w:r>
      <w:r>
        <w:rPr>
          <w:sz w:val="21"/>
        </w:rPr>
        <w:t>乙方</w:t>
      </w:r>
      <w:r>
        <w:rPr>
          <w:sz w:val="21"/>
        </w:rPr>
        <w:t>不得擅自将前述服务成果以及与之相关的任何资料用于本合同之外的任何场合或者向任何第三方转让、泄露；否则，由</w:t>
      </w:r>
      <w:r>
        <w:rPr>
          <w:sz w:val="21"/>
        </w:rPr>
        <w:t>乙方</w:t>
      </w:r>
      <w:r>
        <w:rPr>
          <w:sz w:val="21"/>
        </w:rPr>
        <w:t>承担全部的赔偿责任。</w:t>
      </w:r>
    </w:p>
    <w:p>
      <w:pPr>
        <w:ind w:firstLine="420"/>
        <w:jc w:val="both"/>
      </w:pPr>
      <w:r>
        <w:rPr>
          <w:sz w:val="21"/>
        </w:rPr>
        <w:t>乙方保证，甲方在中华人民共和国境内使用乙方提供的本合同内货物、资料、技术、服务或其任何一部分时，享有不受限制的无偿使用权，不会产生因第三方提出侵犯其专利权、商标权或其它知识产权而引起的法律或经济纠纷。如乙方不拥有相应的知识产权，则应由乙方负责获得并提供给甲方使用，合同总价中必须包括合法获取该知识产权的一切相关费用，如乙方没有单独列出的，视为已包含在合同总价中。一旦使用乙方提供的产品或服务，甲方不再承担第三方提出侵犯其专利权、商标权或其它知识产权而引起的法律或经济纠纷。因乙方违约而给甲方造成损失的，由乙方承担赔偿责任。</w:t>
      </w:r>
    </w:p>
    <w:p>
      <w:pPr>
        <w:jc w:val="both"/>
      </w:pPr>
      <w:r>
        <w:rPr>
          <w:b/>
          <w:sz w:val="24"/>
        </w:rPr>
        <w:t>十、保密</w:t>
      </w:r>
    </w:p>
    <w:p>
      <w:pPr>
        <w:ind w:firstLine="420"/>
        <w:jc w:val="both"/>
      </w:pPr>
      <w:r>
        <w:rPr>
          <w:sz w:val="21"/>
        </w:rPr>
        <w:t>1.乙方对在合同履行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2.甲方向乙方提供的任何资料、文件和信息，在乙方服务结束后，乙方均应及时归还甲方，电子文档的应从自己的电脑等存储设备上予永久删除。</w:t>
      </w:r>
    </w:p>
    <w:p>
      <w:pPr>
        <w:ind w:firstLine="420"/>
        <w:jc w:val="both"/>
      </w:pPr>
      <w:r>
        <w:rPr>
          <w:sz w:val="21"/>
        </w:rPr>
        <w:t>3.乙方人员违反上述保密规定时间，乙方应承担相应法律责任。</w:t>
      </w:r>
    </w:p>
    <w:p>
      <w:pPr>
        <w:jc w:val="both"/>
      </w:pPr>
      <w:r>
        <w:rPr>
          <w:b/>
          <w:sz w:val="24"/>
        </w:rPr>
        <w:t>十一、争议的解决</w:t>
      </w:r>
    </w:p>
    <w:p>
      <w:pPr>
        <w:ind w:firstLine="420"/>
        <w:jc w:val="both"/>
      </w:pPr>
      <w:r>
        <w:rPr>
          <w:sz w:val="21"/>
        </w:rPr>
        <w:t>合同执行过程中发生的任何争议，如双方不能通过友好协商解决，可向甲方所在地有管辖权的人民法院提起诉讼。</w:t>
      </w:r>
      <w:r>
        <w:rPr>
          <w:sz w:val="21"/>
        </w:rPr>
        <w:t xml:space="preserve">    </w:t>
      </w:r>
    </w:p>
    <w:p>
      <w:pPr>
        <w:jc w:val="both"/>
      </w:pPr>
      <w:r>
        <w:rPr>
          <w:b/>
          <w:sz w:val="24"/>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十三、税费</w:t>
      </w:r>
    </w:p>
    <w:p>
      <w:pPr>
        <w:ind w:firstLine="420"/>
        <w:jc w:val="both"/>
      </w:pPr>
      <w:r>
        <w:rPr>
          <w:sz w:val="21"/>
        </w:rPr>
        <w:t>在中国境内、外发生的与本合同执行有关的一切税费均由乙方负担。</w:t>
      </w:r>
    </w:p>
    <w:p>
      <w:pPr>
        <w:jc w:val="both"/>
      </w:pPr>
      <w:r>
        <w:rPr>
          <w:b/>
          <w:sz w:val="24"/>
        </w:rPr>
        <w:t>十四、其它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4"/>
        </w:rPr>
        <w:t>十五、合同生效</w:t>
      </w:r>
    </w:p>
    <w:p>
      <w:pPr>
        <w:ind w:firstLine="420"/>
        <w:jc w:val="both"/>
      </w:pPr>
      <w:r>
        <w:rPr>
          <w:sz w:val="21"/>
        </w:rPr>
        <w:t>1.本合同在甲乙双方法人代表或其授权代表签字盖章后生效。</w:t>
      </w:r>
    </w:p>
    <w:p>
      <w:pPr>
        <w:ind w:firstLine="420"/>
        <w:jc w:val="both"/>
      </w:pPr>
      <w:r>
        <w:rPr>
          <w:sz w:val="21"/>
        </w:rPr>
        <w:t>2.合同一式    份。</w:t>
      </w:r>
    </w:p>
    <w:p>
      <w:pPr>
        <w:jc w:val="both"/>
      </w:pPr>
    </w:p>
    <w:p>
      <w:pPr>
        <w:ind w:firstLine="420"/>
        <w:jc w:val="both"/>
      </w:pPr>
    </w:p>
    <w:p>
      <w:pPr>
        <w:ind w:firstLine="420"/>
        <w:jc w:val="both"/>
      </w:pPr>
    </w:p>
    <w:p>
      <w:pPr>
        <w:ind w:firstLine="420"/>
        <w:jc w:val="both"/>
      </w:pPr>
    </w:p>
    <w:p>
      <w:pPr>
        <w:ind w:firstLine="420"/>
        <w:jc w:val="both"/>
      </w:pPr>
    </w:p>
    <w:p>
      <w:pPr>
        <w:ind w:firstLine="420"/>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w:t>
            </w:r>
          </w:p>
          <w:p>
            <w:pPr>
              <w:jc w:val="both"/>
            </w:pPr>
          </w:p>
          <w:p>
            <w:pPr>
              <w:ind w:firstLine="420"/>
              <w:jc w:val="both"/>
            </w:pPr>
          </w:p>
        </w:tc>
        <w:tc>
          <w:tcPr>
            <w:tcW w:type="dxa" w:w="4153"/>
            <w:tcBorders>
              <w:top w:val="none" w:color="000000" w:sz="4"/>
              <w:left w:val="none" w:color="000000" w:sz="4"/>
              <w:bottom w:val="none" w:color="000000" w:sz="4"/>
              <w:right w:val="none" w:color="000000" w:sz="4"/>
            </w:tcBorders>
            <w:vAlign w:val="top"/>
          </w:tcPr>
          <w:p>
            <w:pPr>
              <w:jc w:val="both"/>
            </w:pPr>
            <w:r>
              <w:rPr>
                <w:sz w:val="22"/>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法定代表</w:t>
            </w:r>
            <w:r>
              <w:rPr>
                <w:sz w:val="22"/>
              </w:rPr>
              <w:t>(签字)：</w:t>
            </w:r>
          </w:p>
        </w:tc>
        <w:tc>
          <w:tcPr>
            <w:tcW w:type="dxa" w:w="4153"/>
            <w:tcBorders>
              <w:top w:val="none" w:color="000000" w:sz="4"/>
              <w:left w:val="none" w:color="000000" w:sz="4"/>
              <w:bottom w:val="none" w:color="000000" w:sz="4"/>
              <w:right w:val="none" w:color="000000" w:sz="4"/>
            </w:tcBorders>
            <w:vAlign w:val="top"/>
          </w:tcPr>
          <w:p>
            <w:pPr>
              <w:jc w:val="both"/>
            </w:pPr>
            <w:r>
              <w:rPr>
                <w:sz w:val="22"/>
              </w:rPr>
              <w:t>法定代表</w:t>
            </w:r>
            <w:r>
              <w:rPr>
                <w:sz w:val="22"/>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地址：</w:t>
            </w:r>
          </w:p>
        </w:tc>
        <w:tc>
          <w:tcPr>
            <w:tcW w:type="dxa" w:w="4153"/>
            <w:tcBorders>
              <w:top w:val="none" w:color="000000" w:sz="4"/>
              <w:left w:val="none" w:color="000000" w:sz="4"/>
              <w:bottom w:val="none" w:color="000000" w:sz="4"/>
              <w:right w:val="none" w:color="000000" w:sz="4"/>
            </w:tcBorders>
            <w:vAlign w:val="top"/>
          </w:tcPr>
          <w:p>
            <w:pPr>
              <w:jc w:val="both"/>
            </w:pPr>
            <w:r>
              <w:rPr>
                <w:sz w:val="22"/>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电话：</w:t>
            </w:r>
          </w:p>
        </w:tc>
        <w:tc>
          <w:tcPr>
            <w:tcW w:type="dxa" w:w="4153"/>
            <w:tcBorders>
              <w:top w:val="none" w:color="000000" w:sz="4"/>
              <w:left w:val="none" w:color="000000" w:sz="4"/>
              <w:bottom w:val="none" w:color="000000" w:sz="4"/>
              <w:right w:val="none" w:color="000000" w:sz="4"/>
            </w:tcBorders>
            <w:vAlign w:val="top"/>
          </w:tcPr>
          <w:p>
            <w:pPr>
              <w:jc w:val="both"/>
            </w:pPr>
            <w:r>
              <w:rPr>
                <w:sz w:val="22"/>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传真：</w:t>
            </w:r>
          </w:p>
        </w:tc>
        <w:tc>
          <w:tcPr>
            <w:tcW w:type="dxa" w:w="4153"/>
            <w:tcBorders>
              <w:top w:val="none" w:color="000000" w:sz="4"/>
              <w:left w:val="none" w:color="000000" w:sz="4"/>
              <w:bottom w:val="none" w:color="000000" w:sz="4"/>
              <w:right w:val="none" w:color="000000" w:sz="4"/>
            </w:tcBorders>
            <w:vAlign w:val="top"/>
          </w:tcPr>
          <w:p>
            <w:pPr>
              <w:jc w:val="both"/>
            </w:pPr>
            <w:r>
              <w:rPr>
                <w:sz w:val="22"/>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2"/>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账号：</w:t>
            </w:r>
          </w:p>
        </w:tc>
        <w:tc>
          <w:tcPr>
            <w:tcW w:type="dxa" w:w="4153"/>
            <w:tcBorders>
              <w:top w:val="none" w:color="000000" w:sz="4"/>
              <w:left w:val="none" w:color="000000" w:sz="4"/>
              <w:bottom w:val="none" w:color="000000" w:sz="4"/>
              <w:right w:val="none" w:color="000000" w:sz="4"/>
            </w:tcBorders>
            <w:vAlign w:val="top"/>
          </w:tcPr>
          <w:p>
            <w:pPr>
              <w:jc w:val="both"/>
            </w:pPr>
            <w:r>
              <w:rPr>
                <w:sz w:val="22"/>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2"/>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2"/>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Pr>
        <w:jc w:val="both"/>
      </w:pPr>
      <w:r>
        <w:rPr>
          <w:sz w:val="21"/>
        </w:rPr>
        <w:t>附件</w:t>
      </w:r>
      <w:r>
        <w:rPr>
          <w:sz w:val="21"/>
        </w:rPr>
        <w:t>1：半年度考核评分表、服务费计算系数表</w:t>
      </w:r>
    </w:p>
    <w:p>
      <w:pPr>
        <w:ind w:firstLine="420"/>
        <w:jc w:val="both"/>
      </w:pPr>
      <w:r>
        <w:rPr>
          <w:sz w:val="21"/>
        </w:rPr>
        <w:t>1、半年度考核评分表</w:t>
      </w:r>
    </w:p>
    <w:tbl>
      <w:tblPr>
        <w:tblW w:w="0" w:type="auto"/>
        <w:tblBorders>
          <w:top w:val="none" w:color="000000" w:sz="4"/>
          <w:left w:val="none" w:color="000000" w:sz="4"/>
          <w:bottom w:val="none" w:color="000000" w:sz="4"/>
          <w:right w:val="none" w:color="000000" w:sz="4"/>
          <w:insideH w:val="none"/>
          <w:insideV w:val="none"/>
        </w:tblBorders>
      </w:tblPr>
      <w:tblGrid>
        <w:gridCol w:w="1094"/>
        <w:gridCol w:w="6611"/>
        <w:gridCol w:w="600"/>
      </w:tblGrid>
      <w:tr>
        <w:tc>
          <w:tcPr>
            <w:tcW w:type="dxa" w:w="1094"/>
            <w:tcBorders>
              <w:top w:val="single" w:color="000000" w:sz="4"/>
              <w:left w:val="single" w:color="000000" w:sz="4"/>
              <w:bottom w:val="single" w:color="000000" w:sz="4"/>
              <w:right w:val="single" w:color="000000" w:sz="4"/>
            </w:tcBorders>
            <w:vAlign w:val="top"/>
          </w:tcPr>
          <w:p>
            <w:pPr>
              <w:jc w:val="center"/>
            </w:pPr>
            <w:r>
              <w:rPr>
                <w:sz w:val="21"/>
              </w:rPr>
              <w:t>考核事项</w:t>
            </w:r>
          </w:p>
        </w:tc>
        <w:tc>
          <w:tcPr>
            <w:tcW w:type="dxa" w:w="6611"/>
            <w:tcBorders>
              <w:top w:val="single" w:color="000000" w:sz="4"/>
              <w:left w:val="single" w:color="000000" w:sz="4"/>
              <w:bottom w:val="single" w:color="000000" w:sz="4"/>
              <w:right w:val="single" w:color="000000" w:sz="4"/>
            </w:tcBorders>
            <w:vAlign w:val="top"/>
          </w:tcPr>
          <w:p>
            <w:pPr>
              <w:jc w:val="center"/>
            </w:pPr>
            <w:r>
              <w:rPr>
                <w:sz w:val="21"/>
              </w:rPr>
              <w:t>考核指标</w:t>
            </w:r>
          </w:p>
        </w:tc>
        <w:tc>
          <w:tcPr>
            <w:tcW w:type="dxa" w:w="600"/>
            <w:tcBorders>
              <w:top w:val="single" w:color="000000" w:sz="4"/>
              <w:left w:val="single" w:color="000000" w:sz="4"/>
              <w:bottom w:val="single" w:color="000000" w:sz="4"/>
              <w:right w:val="single" w:color="000000" w:sz="4"/>
            </w:tcBorders>
            <w:vAlign w:val="top"/>
          </w:tcPr>
          <w:p>
            <w:pPr>
              <w:jc w:val="center"/>
            </w:pPr>
            <w:r>
              <w:rPr>
                <w:sz w:val="21"/>
              </w:rPr>
              <w:t>分值</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平均岗位满编率</w:t>
            </w:r>
          </w:p>
        </w:tc>
        <w:tc>
          <w:tcPr>
            <w:tcW w:type="dxa" w:w="6611"/>
            <w:tcBorders>
              <w:top w:val="none" w:color="000000" w:sz="4"/>
              <w:left w:val="single" w:color="000000" w:sz="4"/>
              <w:bottom w:val="single" w:color="000000" w:sz="4"/>
              <w:right w:val="single" w:color="000000" w:sz="4"/>
            </w:tcBorders>
            <w:vAlign w:val="top"/>
          </w:tcPr>
          <w:p>
            <w:pPr>
              <w:ind w:firstLine="420"/>
              <w:jc w:val="both"/>
            </w:pPr>
            <w:r>
              <w:rPr>
                <w:sz w:val="21"/>
              </w:rPr>
              <w:t>月度平均岗位满编率高于等于</w:t>
            </w:r>
            <w:r>
              <w:rPr>
                <w:sz w:val="21"/>
              </w:rPr>
              <w:t>90%，得满分，每低一个百分点，扣2分，扣完为止。</w:t>
            </w:r>
          </w:p>
          <w:p>
            <w:pPr>
              <w:ind w:firstLine="420"/>
              <w:jc w:val="both"/>
            </w:pPr>
            <w:r>
              <w:rPr>
                <w:sz w:val="21"/>
              </w:rPr>
              <w:t>合同签署之后</w:t>
            </w:r>
            <w:r>
              <w:rPr>
                <w:sz w:val="21"/>
              </w:rPr>
              <w:t>15天招聘到岗率低于90%的，每低一个百分点，扣1分，扣完为止。</w:t>
            </w:r>
          </w:p>
          <w:p>
            <w:pPr>
              <w:ind w:firstLine="420"/>
              <w:jc w:val="both"/>
            </w:pPr>
            <w:r>
              <w:rPr>
                <w:sz w:val="21"/>
              </w:rPr>
              <w:t>出现人员到岗严重不足</w:t>
            </w:r>
            <w:r>
              <w:rPr>
                <w:sz w:val="21"/>
              </w:rPr>
              <w:t>(低于总人数的比例80%)影响大厅正常运行的，滨海湾新区管委会可更换乙方。</w:t>
            </w:r>
          </w:p>
        </w:tc>
        <w:tc>
          <w:tcPr>
            <w:tcW w:type="dxa" w:w="600"/>
            <w:tcBorders>
              <w:top w:val="none" w:color="000000" w:sz="4"/>
              <w:left w:val="single" w:color="000000" w:sz="4"/>
              <w:bottom w:val="single" w:color="000000" w:sz="4"/>
              <w:right w:val="single" w:color="000000" w:sz="4"/>
            </w:tcBorders>
            <w:vAlign w:val="top"/>
          </w:tcPr>
          <w:p>
            <w:pPr>
              <w:jc w:val="center"/>
            </w:pPr>
            <w:r>
              <w:rPr>
                <w:sz w:val="21"/>
              </w:rPr>
              <w:t>30分</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人员离职率</w:t>
            </w:r>
          </w:p>
        </w:tc>
        <w:tc>
          <w:tcPr>
            <w:tcW w:type="dxa" w:w="6611"/>
            <w:tcBorders>
              <w:top w:val="none" w:color="000000" w:sz="4"/>
              <w:left w:val="single" w:color="000000" w:sz="4"/>
              <w:bottom w:val="single" w:color="000000" w:sz="4"/>
              <w:right w:val="single" w:color="000000" w:sz="4"/>
            </w:tcBorders>
            <w:vAlign w:val="top"/>
          </w:tcPr>
          <w:p>
            <w:pPr>
              <w:ind w:firstLine="420"/>
              <w:jc w:val="both"/>
            </w:pPr>
            <w:r>
              <w:rPr>
                <w:sz w:val="21"/>
              </w:rPr>
              <w:t>月度平均离职率低于</w:t>
            </w:r>
            <w:r>
              <w:rPr>
                <w:sz w:val="21"/>
              </w:rPr>
              <w:t>10%，得满分，每高一个百分点，扣5分，扣完为止。</w:t>
            </w:r>
          </w:p>
        </w:tc>
        <w:tc>
          <w:tcPr>
            <w:tcW w:type="dxa" w:w="600"/>
            <w:tcBorders>
              <w:top w:val="none" w:color="000000" w:sz="4"/>
              <w:left w:val="single" w:color="000000" w:sz="4"/>
              <w:bottom w:val="single" w:color="000000" w:sz="4"/>
              <w:right w:val="single" w:color="000000" w:sz="4"/>
            </w:tcBorders>
            <w:vAlign w:val="top"/>
          </w:tcPr>
          <w:p>
            <w:pPr>
              <w:jc w:val="center"/>
            </w:pPr>
            <w:r>
              <w:rPr>
                <w:sz w:val="21"/>
              </w:rPr>
              <w:t>20分</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薪酬社保项</w:t>
            </w:r>
          </w:p>
        </w:tc>
        <w:tc>
          <w:tcPr>
            <w:tcW w:type="dxa" w:w="6611"/>
            <w:tcBorders>
              <w:top w:val="none" w:color="000000" w:sz="4"/>
              <w:left w:val="single" w:color="000000" w:sz="4"/>
              <w:bottom w:val="single" w:color="000000" w:sz="4"/>
              <w:right w:val="single" w:color="000000" w:sz="4"/>
            </w:tcBorders>
            <w:vAlign w:val="top"/>
          </w:tcPr>
          <w:p>
            <w:pPr>
              <w:ind w:firstLine="420"/>
              <w:jc w:val="both"/>
            </w:pPr>
            <w:r>
              <w:rPr>
                <w:sz w:val="21"/>
              </w:rPr>
              <w:t>每月</w:t>
            </w:r>
            <w:r>
              <w:rPr>
                <w:sz w:val="21"/>
              </w:rPr>
              <w:t>13日前发放工资，每拖延一天扣2分；（法定节假日顺延发放工资除外）</w:t>
            </w:r>
          </w:p>
          <w:p>
            <w:pPr>
              <w:ind w:firstLine="420"/>
              <w:jc w:val="both"/>
            </w:pPr>
            <w:r>
              <w:rPr>
                <w:sz w:val="21"/>
              </w:rPr>
              <w:t>工资发放出现少发的，根据主观性判断扣分，非有意截留的，每出现</w:t>
            </w:r>
            <w:r>
              <w:rPr>
                <w:sz w:val="21"/>
              </w:rPr>
              <w:t>1例扣1分，扣完为止。如果是有意截留工资的，当月总评分为0分。</w:t>
            </w:r>
          </w:p>
          <w:p>
            <w:pPr>
              <w:ind w:firstLine="420"/>
              <w:jc w:val="both"/>
            </w:pPr>
            <w:r>
              <w:rPr>
                <w:sz w:val="21"/>
              </w:rPr>
              <w:t>乙方应提交相关证明</w:t>
            </w:r>
            <w:r>
              <w:rPr>
                <w:sz w:val="21"/>
              </w:rPr>
              <w:t>(已按时发放工资证明文件资料) 随时供甲方核对。</w:t>
            </w:r>
          </w:p>
          <w:p>
            <w:pPr>
              <w:ind w:firstLine="420"/>
              <w:jc w:val="both"/>
            </w:pPr>
            <w:r>
              <w:rPr>
                <w:sz w:val="21"/>
              </w:rPr>
              <w:t>社保公积金出现漏缴错缴的，每</w:t>
            </w:r>
            <w:r>
              <w:rPr>
                <w:sz w:val="21"/>
              </w:rPr>
              <w:t>1例扣1分，扣完为止。</w:t>
            </w:r>
          </w:p>
        </w:tc>
        <w:tc>
          <w:tcPr>
            <w:tcW w:type="dxa" w:w="600"/>
            <w:tcBorders>
              <w:top w:val="none" w:color="000000" w:sz="4"/>
              <w:left w:val="single" w:color="000000" w:sz="4"/>
              <w:bottom w:val="single" w:color="000000" w:sz="4"/>
              <w:right w:val="single" w:color="000000" w:sz="4"/>
            </w:tcBorders>
            <w:vAlign w:val="top"/>
          </w:tcPr>
          <w:p>
            <w:pPr>
              <w:jc w:val="center"/>
            </w:pPr>
            <w:r>
              <w:rPr>
                <w:sz w:val="21"/>
              </w:rPr>
              <w:t>20分</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人员管理</w:t>
            </w:r>
          </w:p>
        </w:tc>
        <w:tc>
          <w:tcPr>
            <w:tcW w:type="dxa" w:w="6611"/>
            <w:tcBorders>
              <w:top w:val="none" w:color="000000" w:sz="4"/>
              <w:left w:val="single" w:color="000000" w:sz="4"/>
              <w:bottom w:val="single" w:color="000000" w:sz="4"/>
              <w:right w:val="single" w:color="000000" w:sz="4"/>
            </w:tcBorders>
            <w:vAlign w:val="top"/>
          </w:tcPr>
          <w:p>
            <w:pPr>
              <w:ind w:firstLine="420"/>
              <w:jc w:val="both"/>
            </w:pPr>
            <w:r>
              <w:rPr>
                <w:sz w:val="21"/>
              </w:rPr>
              <w:t>服务人员工作失误造成影响的，根据情况扣分，最低</w:t>
            </w:r>
            <w:r>
              <w:rPr>
                <w:sz w:val="21"/>
              </w:rPr>
              <w:t>1分，扣完为止。</w:t>
            </w:r>
          </w:p>
          <w:p>
            <w:pPr>
              <w:ind w:firstLine="420"/>
              <w:jc w:val="both"/>
            </w:pPr>
            <w:r>
              <w:rPr>
                <w:sz w:val="21"/>
              </w:rPr>
              <w:t>服务人员在服务期间受到市民投诉或差评（除恶意评价外），每</w:t>
            </w:r>
            <w:r>
              <w:rPr>
                <w:sz w:val="21"/>
              </w:rPr>
              <w:t>1例扣1分，扣完为止。</w:t>
            </w:r>
          </w:p>
        </w:tc>
        <w:tc>
          <w:tcPr>
            <w:tcW w:type="dxa" w:w="600"/>
            <w:tcBorders>
              <w:top w:val="none" w:color="000000" w:sz="4"/>
              <w:left w:val="single" w:color="000000" w:sz="4"/>
              <w:bottom w:val="single" w:color="000000" w:sz="4"/>
              <w:right w:val="single" w:color="000000" w:sz="4"/>
            </w:tcBorders>
            <w:vAlign w:val="top"/>
          </w:tcPr>
          <w:p>
            <w:pPr>
              <w:jc w:val="center"/>
            </w:pPr>
            <w:r>
              <w:rPr>
                <w:sz w:val="21"/>
              </w:rPr>
              <w:t>10分</w:t>
            </w:r>
          </w:p>
        </w:tc>
      </w:tr>
      <w:tr>
        <w:tc>
          <w:tcPr>
            <w:tcW w:type="dxa" w:w="1094"/>
            <w:tcBorders>
              <w:top w:val="none" w:color="000000" w:sz="4"/>
              <w:left w:val="single" w:color="000000" w:sz="4"/>
              <w:bottom w:val="single" w:color="000000" w:sz="4"/>
              <w:right w:val="single" w:color="000000" w:sz="4"/>
            </w:tcBorders>
            <w:vAlign w:val="top"/>
          </w:tcPr>
          <w:p>
            <w:pPr>
              <w:jc w:val="center"/>
            </w:pPr>
            <w:r>
              <w:rPr>
                <w:sz w:val="21"/>
              </w:rPr>
              <w:t>其他管理</w:t>
            </w:r>
          </w:p>
        </w:tc>
        <w:tc>
          <w:tcPr>
            <w:tcW w:type="dxa" w:w="6611"/>
            <w:tcBorders>
              <w:top w:val="none" w:color="000000" w:sz="4"/>
              <w:left w:val="single" w:color="000000" w:sz="4"/>
              <w:bottom w:val="single" w:color="000000" w:sz="4"/>
              <w:right w:val="single" w:color="000000" w:sz="4"/>
            </w:tcBorders>
            <w:vAlign w:val="top"/>
          </w:tcPr>
          <w:p>
            <w:pPr>
              <w:ind w:firstLine="420"/>
              <w:jc w:val="both"/>
            </w:pPr>
            <w:r>
              <w:rPr>
                <w:sz w:val="21"/>
              </w:rPr>
              <w:t>东莞滨海湾新区管理委员会根据日常运营需求，对乙方的提出的要求，根据乙方配合，进行评分。</w:t>
            </w:r>
          </w:p>
        </w:tc>
        <w:tc>
          <w:tcPr>
            <w:tcW w:type="dxa" w:w="600"/>
            <w:tcBorders>
              <w:top w:val="none" w:color="000000" w:sz="4"/>
              <w:left w:val="single" w:color="000000" w:sz="4"/>
              <w:bottom w:val="single" w:color="000000" w:sz="4"/>
              <w:right w:val="single" w:color="000000" w:sz="4"/>
            </w:tcBorders>
            <w:vAlign w:val="top"/>
          </w:tcPr>
          <w:p>
            <w:pPr>
              <w:jc w:val="center"/>
            </w:pPr>
            <w:r>
              <w:rPr>
                <w:sz w:val="21"/>
              </w:rPr>
              <w:t>20分</w:t>
            </w:r>
          </w:p>
        </w:tc>
      </w:tr>
    </w:tbl>
    <w:p>
      <w:pPr>
        <w:ind w:firstLine="420"/>
        <w:jc w:val="both"/>
      </w:pPr>
      <w:r>
        <w:rPr>
          <w:sz w:val="21"/>
        </w:rPr>
        <w:t>2、服务费计算系数表</w:t>
      </w:r>
    </w:p>
    <w:p>
      <w:pPr>
        <w:ind w:firstLine="420"/>
        <w:jc w:val="both"/>
      </w:pPr>
      <w:r>
        <w:rPr>
          <w:sz w:val="21"/>
        </w:rPr>
        <w:t>根据半年度的考核评分结果，按照下表对应的考核系数，剩余每半年应付服务费的</w:t>
      </w:r>
      <w:r>
        <w:rPr>
          <w:sz w:val="21"/>
        </w:rPr>
        <w:t>10%以半年度考核评分表中半年度考核系数*每半年应付服务费用作为结算依据进行结算支付。</w:t>
      </w:r>
    </w:p>
    <w:tbl>
      <w:tblPr>
        <w:tblW w:w="0" w:type="auto"/>
        <w:tblBorders>
          <w:top w:val="none" w:color="000000" w:sz="4"/>
          <w:left w:val="none" w:color="000000" w:sz="4"/>
          <w:bottom w:val="none" w:color="000000" w:sz="4"/>
          <w:right w:val="none" w:color="000000" w:sz="4"/>
          <w:insideH w:val="none"/>
          <w:insideV w:val="none"/>
        </w:tblBorders>
      </w:tblPr>
      <w:tblGrid>
        <w:gridCol w:w="3630"/>
        <w:gridCol w:w="3630"/>
      </w:tblGrid>
      <w:tr>
        <w:tc>
          <w:tcPr>
            <w:tcW w:type="dxa" w:w="3630"/>
            <w:tcBorders>
              <w:top w:val="single" w:color="000000" w:sz="4"/>
              <w:left w:val="single" w:color="000000" w:sz="4"/>
              <w:bottom w:val="single" w:color="000000" w:sz="4"/>
              <w:right w:val="single" w:color="000000" w:sz="4"/>
            </w:tcBorders>
            <w:vAlign w:val="top"/>
          </w:tcPr>
          <w:p>
            <w:pPr>
              <w:jc w:val="center"/>
            </w:pPr>
            <w:r>
              <w:rPr>
                <w:sz w:val="21"/>
              </w:rPr>
              <w:t>考核得分</w:t>
            </w:r>
          </w:p>
        </w:tc>
        <w:tc>
          <w:tcPr>
            <w:tcW w:type="dxa" w:w="3630"/>
            <w:tcBorders>
              <w:top w:val="single" w:color="000000" w:sz="4"/>
              <w:left w:val="single" w:color="000000" w:sz="4"/>
              <w:bottom w:val="single" w:color="000000" w:sz="4"/>
              <w:right w:val="single" w:color="000000" w:sz="4"/>
            </w:tcBorders>
            <w:vAlign w:val="top"/>
          </w:tcPr>
          <w:p>
            <w:pPr>
              <w:jc w:val="center"/>
            </w:pPr>
            <w:r>
              <w:rPr>
                <w:sz w:val="21"/>
              </w:rPr>
              <w:t>考核系数</w:t>
            </w:r>
          </w:p>
        </w:tc>
      </w:tr>
      <w:tr>
        <w:tc>
          <w:tcPr>
            <w:tcW w:type="dxa" w:w="3630"/>
            <w:tcBorders>
              <w:top w:val="none" w:color="000000" w:sz="4"/>
              <w:left w:val="single" w:color="000000" w:sz="4"/>
              <w:bottom w:val="single" w:color="000000" w:sz="4"/>
              <w:right w:val="single" w:color="000000" w:sz="4"/>
            </w:tcBorders>
            <w:vAlign w:val="top"/>
          </w:tcPr>
          <w:p>
            <w:pPr>
              <w:jc w:val="center"/>
            </w:pPr>
            <w:r>
              <w:rPr>
                <w:sz w:val="21"/>
              </w:rPr>
              <w:t>大于等于</w:t>
            </w:r>
            <w:r>
              <w:rPr>
                <w:sz w:val="21"/>
              </w:rPr>
              <w:t>95分</w:t>
            </w:r>
          </w:p>
        </w:tc>
        <w:tc>
          <w:tcPr>
            <w:tcW w:type="dxa" w:w="3630"/>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3630"/>
            <w:tcBorders>
              <w:top w:val="none" w:color="000000" w:sz="4"/>
              <w:left w:val="single" w:color="000000" w:sz="4"/>
              <w:bottom w:val="single" w:color="000000" w:sz="4"/>
              <w:right w:val="single" w:color="000000" w:sz="4"/>
            </w:tcBorders>
            <w:vAlign w:val="top"/>
          </w:tcPr>
          <w:p>
            <w:pPr>
              <w:jc w:val="center"/>
            </w:pPr>
            <w:r>
              <w:rPr>
                <w:sz w:val="21"/>
              </w:rPr>
              <w:t>95分至90分</w:t>
            </w:r>
          </w:p>
        </w:tc>
        <w:tc>
          <w:tcPr>
            <w:tcW w:type="dxa" w:w="3630"/>
            <w:tcBorders>
              <w:top w:val="none" w:color="000000" w:sz="4"/>
              <w:left w:val="single" w:color="000000" w:sz="4"/>
              <w:bottom w:val="single" w:color="000000" w:sz="4"/>
              <w:right w:val="single" w:color="000000" w:sz="4"/>
            </w:tcBorders>
            <w:vAlign w:val="top"/>
          </w:tcPr>
          <w:p>
            <w:pPr>
              <w:jc w:val="center"/>
            </w:pPr>
            <w:r>
              <w:rPr>
                <w:sz w:val="21"/>
              </w:rPr>
              <w:t>90%</w:t>
            </w:r>
          </w:p>
        </w:tc>
      </w:tr>
      <w:tr>
        <w:tc>
          <w:tcPr>
            <w:tcW w:type="dxa" w:w="3630"/>
            <w:tcBorders>
              <w:top w:val="none" w:color="000000" w:sz="4"/>
              <w:left w:val="single" w:color="000000" w:sz="4"/>
              <w:bottom w:val="single" w:color="000000" w:sz="4"/>
              <w:right w:val="single" w:color="000000" w:sz="4"/>
            </w:tcBorders>
            <w:vAlign w:val="top"/>
          </w:tcPr>
          <w:p>
            <w:pPr>
              <w:jc w:val="center"/>
            </w:pPr>
            <w:r>
              <w:rPr>
                <w:sz w:val="21"/>
              </w:rPr>
              <w:t>80分至89分</w:t>
            </w:r>
          </w:p>
        </w:tc>
        <w:tc>
          <w:tcPr>
            <w:tcW w:type="dxa" w:w="3630"/>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3630"/>
            <w:tcBorders>
              <w:top w:val="none" w:color="000000" w:sz="4"/>
              <w:left w:val="single" w:color="000000" w:sz="4"/>
              <w:bottom w:val="single" w:color="000000" w:sz="4"/>
              <w:right w:val="single" w:color="000000" w:sz="4"/>
            </w:tcBorders>
            <w:vAlign w:val="top"/>
          </w:tcPr>
          <w:p>
            <w:pPr>
              <w:jc w:val="center"/>
            </w:pPr>
            <w:r>
              <w:rPr>
                <w:sz w:val="21"/>
              </w:rPr>
              <w:t>低于</w:t>
            </w:r>
            <w:r>
              <w:rPr>
                <w:sz w:val="21"/>
              </w:rPr>
              <w:t>80分</w:t>
            </w:r>
          </w:p>
        </w:tc>
        <w:tc>
          <w:tcPr>
            <w:tcW w:type="dxa" w:w="3630"/>
            <w:tcBorders>
              <w:top w:val="none" w:color="000000" w:sz="4"/>
              <w:left w:val="single" w:color="000000" w:sz="4"/>
              <w:bottom w:val="single" w:color="000000" w:sz="4"/>
              <w:right w:val="single" w:color="000000" w:sz="4"/>
            </w:tcBorders>
            <w:vAlign w:val="top"/>
          </w:tcPr>
          <w:p>
            <w:pPr>
              <w:jc w:val="center"/>
            </w:pPr>
            <w:r>
              <w:rPr>
                <w:sz w:val="21"/>
              </w:rPr>
              <w:t>0</w:t>
            </w:r>
          </w:p>
        </w:tc>
      </w:tr>
    </w:tbl>
    <w:p>
      <w:pPr>
        <w:jc w:val="both"/>
      </w:pPr>
    </w:p>
    <w:p>
      <w:pPr>
        <w:jc w:val="both"/>
      </w:pPr>
    </w:p>
    <w:p>
      <w:pPr>
        <w:ind w:firstLine="420"/>
        <w:jc w:val="left"/>
      </w:pPr>
    </w:p>
    <w:p>
      <w:pPr>
        <w:jc w:val="both"/>
      </w:pPr>
    </w:p>
    <w:p>
      <w:pPr>
        <w:ind w:firstLine="420"/>
        <w:jc w:val="both"/>
      </w:pPr>
    </w:p>
    <w:p>
      <w:pPr>
        <w:jc w:val="left"/>
      </w:pPr>
      <w:r>
        <w:rPr>
          <w:sz w:val="21"/>
        </w:rPr>
        <w:t>附表</w:t>
      </w:r>
      <w:r>
        <w:rPr>
          <w:sz w:val="21"/>
        </w:rPr>
        <w:t>2：东莞滨海湾新区政务服务中心人力资源服务项目岗位需求表</w:t>
      </w:r>
    </w:p>
    <w:tbl>
      <w:tblPr>
        <w:tblW w:w="0" w:type="auto"/>
        <w:tblBorders>
          <w:top w:val="none" w:color="000000" w:sz="4"/>
          <w:left w:val="none" w:color="000000" w:sz="4"/>
          <w:bottom w:val="none" w:color="000000" w:sz="4"/>
          <w:right w:val="none" w:color="000000" w:sz="4"/>
          <w:insideH w:val="none"/>
          <w:insideV w:val="none"/>
        </w:tblBorders>
      </w:tblPr>
      <w:tblGrid>
        <w:gridCol w:w="536"/>
        <w:gridCol w:w="913"/>
        <w:gridCol w:w="695"/>
        <w:gridCol w:w="3507"/>
        <w:gridCol w:w="2594"/>
      </w:tblGrid>
      <w:tr>
        <w:tc>
          <w:tcPr>
            <w:tcW w:type="dxa" w:w="53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13"/>
            <w:tcBorders>
              <w:top w:val="single" w:color="000000" w:sz="4"/>
              <w:left w:val="single" w:color="000000" w:sz="4"/>
              <w:bottom w:val="single" w:color="000000" w:sz="4"/>
              <w:right w:val="single" w:color="000000" w:sz="4"/>
            </w:tcBorders>
            <w:vAlign w:val="top"/>
          </w:tcPr>
          <w:p>
            <w:pPr>
              <w:jc w:val="center"/>
            </w:pPr>
            <w:r>
              <w:rPr>
                <w:sz w:val="21"/>
              </w:rPr>
              <w:t>岗位名称</w:t>
            </w:r>
          </w:p>
        </w:tc>
        <w:tc>
          <w:tcPr>
            <w:tcW w:type="dxa" w:w="695"/>
            <w:tcBorders>
              <w:top w:val="single" w:color="000000" w:sz="4"/>
              <w:left w:val="single" w:color="000000" w:sz="4"/>
              <w:bottom w:val="single" w:color="000000" w:sz="4"/>
              <w:right w:val="single" w:color="000000" w:sz="4"/>
            </w:tcBorders>
            <w:vAlign w:val="top"/>
          </w:tcPr>
          <w:p>
            <w:pPr>
              <w:jc w:val="center"/>
            </w:pPr>
            <w:r>
              <w:rPr>
                <w:sz w:val="21"/>
              </w:rPr>
              <w:t>人数</w:t>
            </w:r>
          </w:p>
        </w:tc>
        <w:tc>
          <w:tcPr>
            <w:tcW w:type="dxa" w:w="3507"/>
            <w:tcBorders>
              <w:top w:val="single" w:color="000000" w:sz="4"/>
              <w:left w:val="single" w:color="000000" w:sz="4"/>
              <w:bottom w:val="single" w:color="000000" w:sz="4"/>
              <w:right w:val="single" w:color="000000" w:sz="4"/>
            </w:tcBorders>
            <w:vAlign w:val="top"/>
          </w:tcPr>
          <w:p>
            <w:pPr>
              <w:jc w:val="center"/>
            </w:pPr>
            <w:r>
              <w:rPr>
                <w:sz w:val="21"/>
              </w:rPr>
              <w:t>岗位职责</w:t>
            </w:r>
          </w:p>
        </w:tc>
        <w:tc>
          <w:tcPr>
            <w:tcW w:type="dxa" w:w="2594"/>
            <w:tcBorders>
              <w:top w:val="single" w:color="000000" w:sz="4"/>
              <w:left w:val="single" w:color="000000" w:sz="4"/>
              <w:bottom w:val="single" w:color="000000" w:sz="4"/>
              <w:right w:val="single" w:color="000000" w:sz="4"/>
            </w:tcBorders>
            <w:vAlign w:val="top"/>
          </w:tcPr>
          <w:p>
            <w:pPr>
              <w:jc w:val="center"/>
            </w:pPr>
            <w:r>
              <w:rPr>
                <w:sz w:val="21"/>
              </w:rPr>
              <w:t>岗位要求</w:t>
            </w:r>
          </w:p>
        </w:tc>
      </w:tr>
      <w:tr>
        <w:tc>
          <w:tcPr>
            <w:tcW w:type="dxa" w:w="5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13"/>
            <w:tcBorders>
              <w:top w:val="none" w:color="000000" w:sz="4"/>
              <w:left w:val="single" w:color="000000" w:sz="4"/>
              <w:bottom w:val="single" w:color="000000" w:sz="4"/>
              <w:right w:val="single" w:color="000000" w:sz="4"/>
            </w:tcBorders>
            <w:vAlign w:val="top"/>
          </w:tcPr>
          <w:p>
            <w:pPr>
              <w:jc w:val="center"/>
            </w:pPr>
            <w:r>
              <w:rPr>
                <w:sz w:val="21"/>
              </w:rPr>
              <w:t>管理岗</w:t>
            </w:r>
          </w:p>
        </w:tc>
        <w:tc>
          <w:tcPr>
            <w:tcW w:type="dxa" w:w="6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07"/>
            <w:tcBorders>
              <w:top w:val="none" w:color="000000" w:sz="4"/>
              <w:left w:val="single" w:color="000000" w:sz="4"/>
              <w:bottom w:val="single" w:color="000000" w:sz="4"/>
              <w:right w:val="single" w:color="000000" w:sz="4"/>
            </w:tcBorders>
            <w:vAlign w:val="top"/>
          </w:tcPr>
          <w:p>
            <w:pPr>
              <w:jc w:val="both"/>
            </w:pPr>
            <w:r>
              <w:rPr>
                <w:sz w:val="21"/>
              </w:rPr>
              <w:t>（</w:t>
            </w:r>
            <w:r>
              <w:rPr>
                <w:sz w:val="21"/>
              </w:rPr>
              <w:t>1）负责受理市民对中心信息公开、办事指南、投诉和建议类事项的服务、咨询、解答；</w:t>
            </w:r>
          </w:p>
          <w:p>
            <w:pPr>
              <w:jc w:val="both"/>
            </w:pPr>
            <w:r>
              <w:rPr>
                <w:sz w:val="21"/>
              </w:rPr>
              <w:t>（</w:t>
            </w:r>
            <w:r>
              <w:rPr>
                <w:sz w:val="21"/>
              </w:rPr>
              <w:t>2）负责窗口人员统筹、上岗监督、现场管理、团队建设等工作，负责政务服务中心办公场所各类资源的分配和管理；</w:t>
            </w:r>
          </w:p>
          <w:p>
            <w:pPr>
              <w:jc w:val="both"/>
            </w:pPr>
            <w:r>
              <w:rPr>
                <w:sz w:val="21"/>
              </w:rPr>
              <w:t>（</w:t>
            </w:r>
            <w:r>
              <w:rPr>
                <w:sz w:val="21"/>
              </w:rPr>
              <w:t>3）负责规范政务服务中心日常运作及管理，现场处理中心突发应急事件，维持好中心的整体形象和工作秩序，对于当场不能解决的，及时向上级报告；</w:t>
            </w:r>
          </w:p>
          <w:p>
            <w:pPr>
              <w:jc w:val="both"/>
            </w:pPr>
            <w:r>
              <w:rPr>
                <w:sz w:val="21"/>
              </w:rPr>
              <w:t>（</w:t>
            </w:r>
            <w:r>
              <w:rPr>
                <w:sz w:val="21"/>
              </w:rPr>
              <w:t>4）不断优化完善中心的办事环境和服务设施；</w:t>
            </w:r>
          </w:p>
          <w:p>
            <w:pPr>
              <w:jc w:val="both"/>
            </w:pPr>
            <w:r>
              <w:rPr>
                <w:sz w:val="21"/>
              </w:rPr>
              <w:t>（</w:t>
            </w:r>
            <w:r>
              <w:rPr>
                <w:sz w:val="21"/>
              </w:rPr>
              <w:t>5）负责指导进驻单位开展业务创新、机制创新和实施标准化服务；</w:t>
            </w:r>
          </w:p>
          <w:p>
            <w:pPr>
              <w:jc w:val="both"/>
            </w:pPr>
            <w:r>
              <w:rPr>
                <w:sz w:val="21"/>
              </w:rPr>
              <w:t>（</w:t>
            </w:r>
            <w:r>
              <w:rPr>
                <w:sz w:val="21"/>
              </w:rPr>
              <w:t>6）合理设置窗口岗位，规范办事流程，审查受理材料，检查督促办理事项；</w:t>
            </w:r>
          </w:p>
          <w:p>
            <w:pPr>
              <w:jc w:val="both"/>
            </w:pPr>
            <w:r>
              <w:rPr>
                <w:sz w:val="21"/>
              </w:rPr>
              <w:t>（</w:t>
            </w:r>
            <w:r>
              <w:rPr>
                <w:sz w:val="21"/>
              </w:rPr>
              <w:t>7）负责对外联系、宣传、接待和协调工作，为前来中心视察、参观、采访、学习的领导和客人提供解说、导引等服务；</w:t>
            </w:r>
          </w:p>
          <w:p>
            <w:pPr>
              <w:jc w:val="both"/>
            </w:pPr>
            <w:r>
              <w:rPr>
                <w:sz w:val="21"/>
              </w:rPr>
              <w:t>（</w:t>
            </w:r>
            <w:r>
              <w:rPr>
                <w:sz w:val="21"/>
              </w:rPr>
              <w:t>8）负责东莞滨海湾新区管理委员会及用人单位交办的其他工作。</w:t>
            </w:r>
          </w:p>
        </w:tc>
        <w:tc>
          <w:tcPr>
            <w:tcW w:type="dxa" w:w="2594"/>
            <w:tcBorders>
              <w:top w:val="none" w:color="000000" w:sz="4"/>
              <w:left w:val="single" w:color="000000" w:sz="4"/>
              <w:bottom w:val="single" w:color="000000" w:sz="4"/>
              <w:right w:val="single" w:color="000000" w:sz="4"/>
            </w:tcBorders>
            <w:vAlign w:val="top"/>
          </w:tcPr>
          <w:p>
            <w:pPr>
              <w:jc w:val="left"/>
            </w:pPr>
            <w:r>
              <w:rPr>
                <w:sz w:val="21"/>
              </w:rPr>
              <w:t>（</w:t>
            </w:r>
            <w:r>
              <w:rPr>
                <w:sz w:val="21"/>
              </w:rPr>
              <w:t>1）拥护中国共产党领导，遵纪守法，品行端正、责任心强；</w:t>
            </w:r>
          </w:p>
          <w:p>
            <w:pPr>
              <w:jc w:val="left"/>
            </w:pPr>
            <w:r>
              <w:rPr>
                <w:sz w:val="21"/>
              </w:rPr>
              <w:t>（</w:t>
            </w:r>
            <w:r>
              <w:rPr>
                <w:sz w:val="21"/>
              </w:rPr>
              <w:t>2）自愿从事政府服务工作，自觉遵守工作纪律、履行工作职责，无犯罪及其他不良记录；</w:t>
            </w:r>
          </w:p>
          <w:p>
            <w:pPr>
              <w:jc w:val="left"/>
            </w:pPr>
            <w:r>
              <w:rPr>
                <w:sz w:val="21"/>
              </w:rPr>
              <w:t>（</w:t>
            </w:r>
            <w:r>
              <w:rPr>
                <w:sz w:val="21"/>
              </w:rPr>
              <w:t>3）本科及以上学历学位，年龄原则上35周岁以内，男女不限；</w:t>
            </w:r>
          </w:p>
          <w:p>
            <w:pPr>
              <w:jc w:val="left"/>
            </w:pPr>
            <w:r>
              <w:rPr>
                <w:sz w:val="21"/>
              </w:rPr>
              <w:t>（</w:t>
            </w:r>
            <w:r>
              <w:rPr>
                <w:sz w:val="21"/>
              </w:rPr>
              <w:t>4）普通话标准，形象佳，谈吐清晰，身体健康；</w:t>
            </w:r>
          </w:p>
          <w:p>
            <w:pPr>
              <w:jc w:val="left"/>
            </w:pPr>
            <w:r>
              <w:rPr>
                <w:sz w:val="21"/>
              </w:rPr>
              <w:t>（</w:t>
            </w:r>
            <w:r>
              <w:rPr>
                <w:sz w:val="21"/>
              </w:rPr>
              <w:t>5）熟悉基本的电脑操作和办公软件；</w:t>
            </w:r>
          </w:p>
          <w:p>
            <w:pPr>
              <w:jc w:val="left"/>
            </w:pPr>
            <w:r>
              <w:rPr>
                <w:sz w:val="21"/>
              </w:rPr>
              <w:t>（</w:t>
            </w:r>
            <w:r>
              <w:rPr>
                <w:sz w:val="21"/>
              </w:rPr>
              <w:t>6）具备良好的沟通能力，服务意识、亲和力强；</w:t>
            </w:r>
          </w:p>
          <w:p>
            <w:pPr>
              <w:jc w:val="left"/>
            </w:pPr>
            <w:r>
              <w:rPr>
                <w:sz w:val="21"/>
              </w:rPr>
              <w:t>（</w:t>
            </w:r>
            <w:r>
              <w:rPr>
                <w:sz w:val="21"/>
              </w:rPr>
              <w:t>7）思路清晰、逻辑性强，具有较强的原则性。</w:t>
            </w:r>
          </w:p>
          <w:p>
            <w:pPr>
              <w:jc w:val="left"/>
            </w:pPr>
            <w:r>
              <w:rPr>
                <w:sz w:val="21"/>
              </w:rPr>
              <w:t>（</w:t>
            </w:r>
            <w:r>
              <w:rPr>
                <w:sz w:val="21"/>
              </w:rPr>
              <w:t>8）计算机能力良好，能熟练使用word、excel等软件，文案写作能力强；</w:t>
            </w:r>
          </w:p>
          <w:p>
            <w:pPr>
              <w:jc w:val="left"/>
            </w:pPr>
            <w:r>
              <w:rPr>
                <w:sz w:val="21"/>
              </w:rPr>
              <w:t>（</w:t>
            </w:r>
            <w:r>
              <w:rPr>
                <w:sz w:val="21"/>
              </w:rPr>
              <w:t>9）具备两年</w:t>
            </w:r>
            <w:r>
              <w:rPr>
                <w:sz w:val="21"/>
              </w:rPr>
              <w:t>或</w:t>
            </w:r>
            <w:r>
              <w:rPr>
                <w:sz w:val="21"/>
              </w:rPr>
              <w:t>以上团队管理经验，有政务窗口服务经验。</w:t>
            </w:r>
          </w:p>
        </w:tc>
      </w:tr>
      <w:tr>
        <w:tc>
          <w:tcPr>
            <w:tcW w:type="dxa" w:w="5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13"/>
            <w:tcBorders>
              <w:top w:val="none" w:color="000000" w:sz="4"/>
              <w:left w:val="single" w:color="000000" w:sz="4"/>
              <w:bottom w:val="single" w:color="000000" w:sz="4"/>
              <w:right w:val="single" w:color="000000" w:sz="4"/>
            </w:tcBorders>
            <w:vAlign w:val="top"/>
          </w:tcPr>
          <w:p>
            <w:pPr>
              <w:jc w:val="left"/>
            </w:pPr>
            <w:r>
              <w:rPr>
                <w:sz w:val="21"/>
              </w:rPr>
              <w:t>综合服务岗（含导办、综合窗口、税务窗口）</w:t>
            </w:r>
          </w:p>
        </w:tc>
        <w:tc>
          <w:tcPr>
            <w:tcW w:type="dxa" w:w="69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507"/>
            <w:tcBorders>
              <w:top w:val="none" w:color="000000" w:sz="4"/>
              <w:left w:val="single" w:color="000000" w:sz="4"/>
              <w:bottom w:val="single" w:color="000000" w:sz="4"/>
              <w:right w:val="single" w:color="000000" w:sz="4"/>
            </w:tcBorders>
            <w:vAlign w:val="top"/>
          </w:tcPr>
          <w:p>
            <w:pPr>
              <w:jc w:val="both"/>
            </w:pPr>
            <w:r>
              <w:rPr>
                <w:sz w:val="21"/>
              </w:rPr>
              <w:t>（</w:t>
            </w:r>
            <w:r>
              <w:rPr>
                <w:sz w:val="21"/>
              </w:rPr>
              <w:t>1）综合业务受理服务。负责按标准</w:t>
            </w:r>
            <w:r>
              <w:rPr>
                <w:sz w:val="21"/>
              </w:rPr>
              <w:t>初审、</w:t>
            </w:r>
            <w:r>
              <w:rPr>
                <w:sz w:val="21"/>
              </w:rPr>
              <w:t>收取材料并将材料内容准确录入相关系统。</w:t>
            </w:r>
          </w:p>
          <w:p>
            <w:pPr>
              <w:jc w:val="both"/>
            </w:pPr>
            <w:r>
              <w:rPr>
                <w:sz w:val="21"/>
              </w:rPr>
              <w:t>（</w:t>
            </w:r>
            <w:r>
              <w:rPr>
                <w:sz w:val="21"/>
              </w:rPr>
              <w:t>2）综合出件服务。负责发放各事项办理结果。</w:t>
            </w:r>
          </w:p>
          <w:p>
            <w:pPr>
              <w:jc w:val="both"/>
            </w:pPr>
            <w:r>
              <w:rPr>
                <w:sz w:val="21"/>
              </w:rPr>
              <w:t>（</w:t>
            </w:r>
            <w:r>
              <w:rPr>
                <w:sz w:val="21"/>
              </w:rPr>
              <w:t>3）</w:t>
            </w:r>
            <w:r>
              <w:rPr>
                <w:sz w:val="21"/>
              </w:rPr>
              <w:t>取号及</w:t>
            </w:r>
            <w:r>
              <w:rPr>
                <w:sz w:val="21"/>
              </w:rPr>
              <w:t>业务咨询解答服务。负责</w:t>
            </w:r>
            <w:r>
              <w:rPr>
                <w:sz w:val="21"/>
              </w:rPr>
              <w:t>对进入政务服务中心的市民进行取号、</w:t>
            </w:r>
            <w:r>
              <w:rPr>
                <w:sz w:val="21"/>
              </w:rPr>
              <w:t>资料填写和设备使用</w:t>
            </w:r>
            <w:r>
              <w:rPr>
                <w:sz w:val="21"/>
              </w:rPr>
              <w:t>指导</w:t>
            </w:r>
            <w:r>
              <w:rPr>
                <w:sz w:val="21"/>
              </w:rPr>
              <w:t>，耐心解答市民的咨询，为市民提供业务指引</w:t>
            </w:r>
            <w:r>
              <w:rPr>
                <w:sz w:val="21"/>
              </w:rPr>
              <w:t>，并</w:t>
            </w:r>
            <w:r>
              <w:rPr>
                <w:sz w:val="21"/>
              </w:rPr>
              <w:t>为市民提供业务资料打印、复印、扫描等服务</w:t>
            </w:r>
            <w:r>
              <w:rPr>
                <w:sz w:val="21"/>
              </w:rPr>
              <w:t>。</w:t>
            </w:r>
          </w:p>
          <w:p>
            <w:pPr>
              <w:jc w:val="both"/>
            </w:pPr>
            <w:r>
              <w:rPr>
                <w:sz w:val="21"/>
              </w:rPr>
              <w:t>（</w:t>
            </w:r>
            <w:r>
              <w:rPr>
                <w:sz w:val="21"/>
              </w:rPr>
              <w:t>4）负责</w:t>
            </w:r>
            <w:r>
              <w:rPr>
                <w:sz w:val="21"/>
              </w:rPr>
              <w:t>12345政府热线话务接听、工单接派工作，并在规定时间内督促新区各部门工单联络员完成工单回复及回复内容审核工作 。</w:t>
            </w:r>
          </w:p>
          <w:p>
            <w:pPr>
              <w:jc w:val="both"/>
            </w:pPr>
            <w:r>
              <w:rPr>
                <w:sz w:val="21"/>
              </w:rPr>
              <w:t>（</w:t>
            </w:r>
            <w:r>
              <w:rPr>
                <w:sz w:val="21"/>
              </w:rPr>
              <w:t>5）负责东莞滨海湾新区管理委员会及用人单位交办的其他工作。</w:t>
            </w:r>
          </w:p>
          <w:p>
            <w:pPr>
              <w:jc w:val="both"/>
            </w:pPr>
          </w:p>
        </w:tc>
        <w:tc>
          <w:tcPr>
            <w:tcW w:type="dxa" w:w="2594"/>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）拥护中国共产党领导，遵纪守法，品行端正、责任心强；</w:t>
            </w:r>
          </w:p>
          <w:p>
            <w:pPr>
              <w:jc w:val="both"/>
            </w:pPr>
            <w:r>
              <w:rPr>
                <w:sz w:val="21"/>
              </w:rPr>
              <w:t>（</w:t>
            </w:r>
            <w:r>
              <w:rPr>
                <w:sz w:val="21"/>
              </w:rPr>
              <w:t>2</w:t>
            </w:r>
            <w:r>
              <w:rPr>
                <w:sz w:val="21"/>
              </w:rPr>
              <w:t>）自愿从事政府服务工作，自觉遵守工作纪律、履行工作职责，无犯罪及其他不良记录；</w:t>
            </w:r>
          </w:p>
          <w:p>
            <w:pPr>
              <w:jc w:val="both"/>
            </w:pPr>
            <w:r>
              <w:rPr>
                <w:sz w:val="21"/>
              </w:rPr>
              <w:t>（</w:t>
            </w:r>
            <w:r>
              <w:rPr>
                <w:sz w:val="21"/>
              </w:rPr>
              <w:t>3</w:t>
            </w:r>
            <w:r>
              <w:rPr>
                <w:sz w:val="21"/>
              </w:rPr>
              <w:t>）本科及以上学历学位，年龄原则上</w:t>
            </w:r>
            <w:r>
              <w:rPr>
                <w:sz w:val="21"/>
              </w:rPr>
              <w:t>30</w:t>
            </w:r>
            <w:r>
              <w:rPr>
                <w:sz w:val="21"/>
              </w:rPr>
              <w:t>周岁以内，男女不限；</w:t>
            </w:r>
          </w:p>
          <w:p>
            <w:pPr>
              <w:jc w:val="both"/>
            </w:pPr>
            <w:r>
              <w:rPr>
                <w:sz w:val="21"/>
              </w:rPr>
              <w:t>（</w:t>
            </w:r>
            <w:r>
              <w:rPr>
                <w:sz w:val="21"/>
              </w:rPr>
              <w:t>4</w:t>
            </w:r>
            <w:r>
              <w:rPr>
                <w:sz w:val="21"/>
              </w:rPr>
              <w:t>）普通话标准，形象佳，谈吐清晰，身体健康；</w:t>
            </w:r>
          </w:p>
          <w:p>
            <w:pPr>
              <w:jc w:val="both"/>
            </w:pPr>
            <w:r>
              <w:rPr>
                <w:sz w:val="21"/>
              </w:rPr>
              <w:t>（</w:t>
            </w:r>
            <w:r>
              <w:rPr>
                <w:sz w:val="21"/>
              </w:rPr>
              <w:t>5</w:t>
            </w:r>
            <w:r>
              <w:rPr>
                <w:sz w:val="21"/>
              </w:rPr>
              <w:t>）熟悉基本的电脑操作和办公软件；</w:t>
            </w:r>
          </w:p>
          <w:p>
            <w:pPr>
              <w:jc w:val="both"/>
            </w:pPr>
            <w:r>
              <w:rPr>
                <w:sz w:val="21"/>
              </w:rPr>
              <w:t>（</w:t>
            </w:r>
            <w:r>
              <w:rPr>
                <w:sz w:val="21"/>
              </w:rPr>
              <w:t>6</w:t>
            </w:r>
            <w:r>
              <w:rPr>
                <w:sz w:val="21"/>
              </w:rPr>
              <w:t>）具备良好的沟通能力，服务意识、亲和力强；</w:t>
            </w:r>
          </w:p>
          <w:p>
            <w:pPr>
              <w:jc w:val="both"/>
            </w:pPr>
            <w:r>
              <w:rPr>
                <w:sz w:val="21"/>
              </w:rPr>
              <w:t>（</w:t>
            </w:r>
            <w:r>
              <w:rPr>
                <w:sz w:val="21"/>
              </w:rPr>
              <w:t>7</w:t>
            </w:r>
            <w:r>
              <w:rPr>
                <w:sz w:val="21"/>
              </w:rPr>
              <w:t>）思路清晰、逻辑性强，具有较强的原则性。</w:t>
            </w:r>
          </w:p>
          <w:p>
            <w:pPr>
              <w:jc w:val="both"/>
            </w:pPr>
            <w:r>
              <w:rPr>
                <w:sz w:val="21"/>
              </w:rPr>
              <w:t>（</w:t>
            </w:r>
            <w:r>
              <w:rPr>
                <w:sz w:val="21"/>
              </w:rPr>
              <w:t>8）财会类、计算机类、统计类相关专业或持有相关资格证书的优先（仅限税务窗口）；</w:t>
            </w:r>
          </w:p>
          <w:p>
            <w:pPr>
              <w:jc w:val="both"/>
            </w:pPr>
            <w:r>
              <w:rPr>
                <w:sz w:val="21"/>
              </w:rPr>
              <w:t>（</w:t>
            </w:r>
            <w:r>
              <w:rPr>
                <w:sz w:val="21"/>
              </w:rPr>
              <w:t>9）有税收工作经验者可适当放宽录用条件（仅限税务窗口）。</w:t>
            </w:r>
          </w:p>
        </w:tc>
      </w:tr>
      <w:tr>
        <w:tc>
          <w:tcPr>
            <w:tcW w:type="dxa" w:w="53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13"/>
            <w:tcBorders>
              <w:top w:val="none" w:color="000000" w:sz="4"/>
              <w:left w:val="single" w:color="000000" w:sz="4"/>
              <w:bottom w:val="single" w:color="000000" w:sz="4"/>
              <w:right w:val="single" w:color="000000" w:sz="4"/>
            </w:tcBorders>
            <w:vAlign w:val="top"/>
          </w:tcPr>
          <w:p>
            <w:pPr>
              <w:jc w:val="both"/>
            </w:pPr>
          </w:p>
          <w:p>
            <w:pPr>
              <w:jc w:val="center"/>
            </w:pPr>
            <w:r>
              <w:rPr>
                <w:sz w:val="21"/>
              </w:rPr>
              <w:t>物料流转岗</w:t>
            </w:r>
          </w:p>
        </w:tc>
        <w:tc>
          <w:tcPr>
            <w:tcW w:type="dxa" w:w="6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07"/>
            <w:tcBorders>
              <w:top w:val="none" w:color="000000" w:sz="4"/>
              <w:left w:val="single" w:color="000000" w:sz="4"/>
              <w:bottom w:val="single" w:color="000000" w:sz="4"/>
              <w:right w:val="single" w:color="000000" w:sz="4"/>
            </w:tcBorders>
            <w:vAlign w:val="top"/>
          </w:tcPr>
          <w:p>
            <w:pPr>
              <w:jc w:val="left"/>
            </w:pPr>
            <w:r>
              <w:rPr>
                <w:sz w:val="21"/>
              </w:rPr>
              <w:t>（</w:t>
            </w:r>
            <w:r>
              <w:rPr>
                <w:sz w:val="21"/>
              </w:rPr>
              <w:t>1）负责中心的物料流转。按要求与业务主管职能部门做好资料存、取、阅等衔接，确保各类材料的严谨性、真实性及完整性，确保窗口、内审、审批及经办结果全流程的无缝衔接；</w:t>
            </w:r>
          </w:p>
          <w:p>
            <w:pPr>
              <w:jc w:val="left"/>
            </w:pPr>
            <w:r>
              <w:rPr>
                <w:sz w:val="21"/>
              </w:rPr>
              <w:t>（</w:t>
            </w:r>
            <w:r>
              <w:rPr>
                <w:sz w:val="21"/>
              </w:rPr>
              <w:t>2</w:t>
            </w:r>
            <w:r>
              <w:rPr>
                <w:sz w:val="21"/>
              </w:rPr>
              <w:t>）负责寄递业务的寄递、收取工作。按要求与寄递公司对接，完成业务材料的打包、收取、备案及交接工作。</w:t>
            </w:r>
          </w:p>
          <w:p>
            <w:pPr>
              <w:jc w:val="left"/>
            </w:pPr>
            <w:r>
              <w:rPr>
                <w:sz w:val="21"/>
              </w:rPr>
              <w:t>（</w:t>
            </w:r>
            <w:r>
              <w:rPr>
                <w:sz w:val="21"/>
              </w:rPr>
              <w:t>3</w:t>
            </w:r>
            <w:r>
              <w:rPr>
                <w:sz w:val="21"/>
              </w:rPr>
              <w:t>）负责中心资产管理工作。实时掌握中心资产情况，并定期开展资产盘点工作。实时了解中心物资使用情况及采购需求，配合中心管理层采购、验收、管理中心物资。</w:t>
            </w:r>
          </w:p>
          <w:p>
            <w:pPr>
              <w:jc w:val="left"/>
            </w:pPr>
            <w:r>
              <w:rPr>
                <w:sz w:val="21"/>
              </w:rPr>
              <w:t>（</w:t>
            </w:r>
            <w:r>
              <w:rPr>
                <w:sz w:val="21"/>
              </w:rPr>
              <w:t>4</w:t>
            </w:r>
            <w:r>
              <w:rPr>
                <w:sz w:val="21"/>
              </w:rPr>
              <w:t>）负责业务资料的归档、存档工作。</w:t>
            </w:r>
          </w:p>
          <w:p>
            <w:pPr>
              <w:jc w:val="both"/>
            </w:pPr>
            <w:r>
              <w:rPr>
                <w:sz w:val="21"/>
              </w:rPr>
              <w:t>（</w:t>
            </w:r>
            <w:r>
              <w:rPr>
                <w:sz w:val="21"/>
              </w:rPr>
              <w:t>5）负责东莞滨海湾新区管理委员会及用人单位交办的其他工作。</w:t>
            </w:r>
          </w:p>
          <w:p>
            <w:pPr>
              <w:jc w:val="both"/>
            </w:pPr>
          </w:p>
          <w:p>
            <w:pPr>
              <w:jc w:val="both"/>
            </w:pPr>
          </w:p>
          <w:p>
            <w:pPr>
              <w:jc w:val="both"/>
            </w:pPr>
          </w:p>
          <w:p>
            <w:pPr>
              <w:jc w:val="both"/>
            </w:pPr>
          </w:p>
          <w:p>
            <w:pPr>
              <w:jc w:val="left"/>
            </w:pPr>
          </w:p>
        </w:tc>
        <w:tc>
          <w:tcPr>
            <w:tcW w:type="dxa" w:w="2594"/>
            <w:tcBorders>
              <w:top w:val="none" w:color="000000" w:sz="4"/>
              <w:left w:val="single" w:color="000000" w:sz="4"/>
              <w:bottom w:val="single" w:color="000000" w:sz="4"/>
              <w:right w:val="single" w:color="000000" w:sz="4"/>
            </w:tcBorders>
            <w:vAlign w:val="top"/>
          </w:tcPr>
          <w:p>
            <w:pPr>
              <w:jc w:val="both"/>
            </w:pPr>
            <w:r>
              <w:rPr>
                <w:sz w:val="21"/>
              </w:rPr>
              <w:t>（</w:t>
            </w:r>
            <w:r>
              <w:rPr>
                <w:sz w:val="21"/>
              </w:rPr>
              <w:t>1）拥护中国共产党领导，遵纪守法，品行端正、责任心强；</w:t>
            </w:r>
          </w:p>
          <w:p>
            <w:pPr>
              <w:jc w:val="both"/>
            </w:pPr>
            <w:r>
              <w:rPr>
                <w:sz w:val="21"/>
              </w:rPr>
              <w:t>（</w:t>
            </w:r>
            <w:r>
              <w:rPr>
                <w:sz w:val="21"/>
              </w:rPr>
              <w:t>2）自愿从事政府服务工作，自觉遵守工作纪律、履行工作职责，无犯罪及其他不良记录；</w:t>
            </w:r>
          </w:p>
          <w:p>
            <w:pPr>
              <w:jc w:val="both"/>
            </w:pPr>
            <w:r>
              <w:rPr>
                <w:sz w:val="21"/>
              </w:rPr>
              <w:t>（</w:t>
            </w:r>
            <w:r>
              <w:rPr>
                <w:sz w:val="21"/>
              </w:rPr>
              <w:t>3）本科及以上学历学位，年龄原则上30周岁以内，男女不限；</w:t>
            </w:r>
          </w:p>
          <w:p>
            <w:pPr>
              <w:jc w:val="both"/>
            </w:pPr>
            <w:r>
              <w:rPr>
                <w:sz w:val="21"/>
              </w:rPr>
              <w:t>（</w:t>
            </w:r>
            <w:r>
              <w:rPr>
                <w:sz w:val="21"/>
              </w:rPr>
              <w:t>4）普通话标准，形象佳，谈吐清晰，身体健康；</w:t>
            </w:r>
          </w:p>
          <w:p>
            <w:pPr>
              <w:jc w:val="both"/>
            </w:pPr>
            <w:r>
              <w:rPr>
                <w:sz w:val="21"/>
              </w:rPr>
              <w:t>（</w:t>
            </w:r>
            <w:r>
              <w:rPr>
                <w:sz w:val="21"/>
              </w:rPr>
              <w:t>5）熟悉基本的电脑操作和办公软件；</w:t>
            </w:r>
          </w:p>
          <w:p>
            <w:pPr>
              <w:jc w:val="both"/>
            </w:pPr>
            <w:r>
              <w:rPr>
                <w:sz w:val="21"/>
              </w:rPr>
              <w:t>（</w:t>
            </w:r>
            <w:r>
              <w:rPr>
                <w:sz w:val="21"/>
              </w:rPr>
              <w:t>6）具备良好的沟通能力，服务意识、亲和力强；</w:t>
            </w:r>
          </w:p>
          <w:p>
            <w:pPr>
              <w:jc w:val="both"/>
            </w:pPr>
            <w:r>
              <w:rPr>
                <w:sz w:val="21"/>
              </w:rPr>
              <w:t>（</w:t>
            </w:r>
            <w:r>
              <w:rPr>
                <w:sz w:val="21"/>
              </w:rPr>
              <w:t>7）思路清晰、逻辑性强，具有较强的原则性。</w:t>
            </w:r>
          </w:p>
          <w:p>
            <w:pPr>
              <w:jc w:val="both"/>
            </w:pPr>
          </w:p>
        </w:tc>
      </w:tr>
      <w:tr>
        <w:tc>
          <w:tcPr>
            <w:tcW w:type="dxa" w:w="1449"/>
            <w:gridSpan w:val="2"/>
            <w:tcBorders>
              <w:top w:val="none" w:color="000000" w:sz="4"/>
              <w:left w:val="single" w:color="000000" w:sz="4"/>
              <w:bottom w:val="single" w:color="000000" w:sz="4"/>
              <w:right w:val="single" w:color="000000" w:sz="4"/>
            </w:tcBorders>
            <w:vAlign w:val="top"/>
          </w:tcPr>
          <w:p>
            <w:pPr>
              <w:jc w:val="center"/>
            </w:pPr>
            <w:r>
              <w:rPr>
                <w:sz w:val="21"/>
              </w:rPr>
              <w:t>小计</w:t>
            </w:r>
          </w:p>
        </w:tc>
        <w:tc>
          <w:tcPr>
            <w:tcW w:type="dxa" w:w="69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507"/>
            <w:tcBorders>
              <w:top w:val="none" w:color="000000" w:sz="4"/>
              <w:left w:val="single" w:color="000000" w:sz="4"/>
              <w:bottom w:val="single" w:color="000000" w:sz="4"/>
              <w:right w:val="single" w:color="000000" w:sz="4"/>
            </w:tcBorders>
            <w:vAlign w:val="top"/>
          </w:tcPr>
          <w:p>
            <w:pPr>
              <w:jc w:val="both"/>
            </w:pPr>
          </w:p>
        </w:tc>
        <w:tc>
          <w:tcPr>
            <w:tcW w:type="dxa" w:w="2594"/>
            <w:tcBorders>
              <w:top w:val="none" w:color="000000" w:sz="4"/>
              <w:left w:val="single" w:color="000000" w:sz="4"/>
              <w:bottom w:val="single" w:color="000000" w:sz="4"/>
              <w:right w:val="singl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441900011-2023-00021</w:t>
      </w:r>
    </w:p>
    <w:p>
      <w:pPr>
        <w:jc w:val="center"/>
      </w:pPr>
      <w:r>
        <w:rPr>
          <w:b/>
          <w:sz w:val="24"/>
        </w:rPr>
        <w:t>采购项目编号：</w:t>
      </w:r>
      <w:r>
        <w:rPr>
          <w:b/>
          <w:sz w:val="24"/>
        </w:rPr>
        <w:t>441900011-2023-00021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东莞滨海湾新区政务服务中心人力资源服务项目</w:t>
      </w:r>
      <w:r>
        <w:rPr>
          <w:u w:val="single"/>
        </w:rPr>
        <w:t>”</w:t>
      </w:r>
      <w:r>
        <w:rPr/>
        <w:t>项目的招标[采购项目编号为：</w:t>
      </w:r>
      <w:r>
        <w:rPr>
          <w:u w:val="single"/>
        </w:rPr>
        <w:t>441900011-2023-00021</w:t>
      </w:r>
      <w:r>
        <w:rPr/>
        <w:t>]，我方愿参与投标。</w:t>
      </w:r>
    </w:p>
    <w:p>
      <w:pPr>
        <w:ind w:firstLine="480"/>
      </w:pPr>
      <w:r>
        <w:rPr/>
        <w:t>我方确认收到贵方提供的</w:t>
      </w:r>
      <w:r>
        <w:rPr>
          <w:u w:val="single"/>
        </w:rPr>
        <w:t>“</w:t>
      </w:r>
      <w:r>
        <w:rPr>
          <w:u w:val="single"/>
        </w:rPr>
        <w:t>东莞滨海湾新区政务服务中心人力资源服务项目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东莞滨海湾新区政务服务中心人力资源服务项目</w:t>
      </w:r>
      <w:r>
        <w:rPr/>
        <w:t>”项目采购[采购项目编号为</w:t>
      </w:r>
      <w:r>
        <w:rPr/>
        <w:t>441900011-2023-00021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东莞滨海湾新区管理委员会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东莞滨海湾新区政务服务中心人力资源服务项目</w:t>
      </w:r>
      <w:r>
        <w:rPr/>
        <w:t>招标中获中标（采购项目编号：</w:t>
      </w:r>
      <w:r>
        <w:rPr/>
        <w:t>441900011-2023-00021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东莞滨海湾新区政务服务中心人力资源服务项目</w:t>
      </w:r>
      <w:r>
        <w:rPr/>
        <w:t>”项目（采购项目编号：</w:t>
      </w:r>
      <w:r>
        <w:rPr/>
        <w:t>441900011-2023-00021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