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rFonts w:ascii="黑体" w:hAnsi="黑体" w:eastAsia="黑体" w:cs="黑体"/>
          <w:bCs/>
          <w:color w:val="auto"/>
          <w:spacing w:val="57"/>
          <w:sz w:val="72"/>
          <w:szCs w:val="72"/>
          <w:highlight w:val="none"/>
        </w:rPr>
      </w:pPr>
      <w:r>
        <w:rPr>
          <w:rFonts w:hint="eastAsia" w:ascii="黑体" w:hAnsi="黑体" w:eastAsia="黑体" w:cs="黑体"/>
          <w:bCs/>
          <w:color w:val="auto"/>
          <w:spacing w:val="57"/>
          <w:sz w:val="72"/>
          <w:szCs w:val="72"/>
          <w:highlight w:val="none"/>
        </w:rPr>
        <w:t>竞争性磋商文件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2"/>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cstate="print"/>
                    <a:srcRect l="6233" t="18358" r="67326" b="19339"/>
                    <a:stretch>
                      <a:fillRect/>
                    </a:stretch>
                  </pic:blipFill>
                  <pic:spPr>
                    <a:xfrm>
                      <a:off x="0" y="0"/>
                      <a:ext cx="2129790" cy="2035175"/>
                    </a:xfrm>
                    <a:prstGeom prst="rect">
                      <a:avLst/>
                    </a:prstGeom>
                  </pic:spPr>
                </pic:pic>
              </a:graphicData>
            </a:graphic>
          </wp:inline>
        </w:drawing>
      </w:r>
    </w:p>
    <w:p>
      <w:pPr>
        <w:pStyle w:val="3"/>
        <w:ind w:firstLine="240"/>
        <w:rPr>
          <w:rFonts w:ascii="黑体" w:eastAsia="黑体"/>
          <w:color w:val="auto"/>
          <w:szCs w:val="21"/>
          <w:highlight w:val="none"/>
        </w:rPr>
      </w:pPr>
    </w:p>
    <w:p>
      <w:pPr>
        <w:pStyle w:val="3"/>
        <w:ind w:left="0" w:firstLine="0" w:firstLineChars="0"/>
        <w:rPr>
          <w:rFonts w:ascii="黑体" w:eastAsia="黑体"/>
          <w:color w:val="auto"/>
          <w:szCs w:val="21"/>
          <w:highlight w:val="none"/>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GDZT2022157B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eastAsia="zh-CN"/>
              </w:rPr>
              <w:t>环莞快速路三期工程东段横沥段建筑物拆除工程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东莞市横沥镇规划管理所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0"/>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（本提示内容非磋商文件的组成部分，仅起提醒作用；如有不一致，以磋商文件为准）</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1、请各供应商在制作响应文件时认真阅读本磋商文件的内容。</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2、建议供应商将响应文件正本、副本、报价信封分别密封包装，并按照磋商文件“第四部分 供应商须知 第四章响应文件的递交”中相关要求进行提交，避免因密封包装不符合要求而导致响应文件被退回。</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3、请正确填写《报价一览表》。多包项目请仔细检查包组号，包组号跟包组名称必须一致。</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4、响应文件应编制目录及按顺序编制页码。</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5、请仔细检查响应文件是否已按磋商文件盖章、签名(或盖私章)、签署日期。</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6、加★号条款必须完全响应，不响应或负偏离将导致响应文件无效。</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7、为避免因迟到而无法按时递交响应文件，供应商应自行计算路途可能出现塞车的时间，建议在响应文件递交截止时间之前30分钟内到达开标地点，响应截止时间一到，本公司不接收任何响应文件。</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磋商文件而决定不参加本项目的供应商，在响应文件递交截止时间的2日前，按《磋商邀请函》中的联系方式，以书面形式告知采购代理机构。对您的支持与配合，谨此致谢。</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0"/>
        <w:ind w:left="0" w:leftChars="0"/>
        <w:rPr>
          <w:color w:val="auto"/>
          <w:sz w:val="40"/>
          <w:szCs w:val="40"/>
          <w:highlight w:val="none"/>
        </w:rPr>
      </w:pPr>
      <w:r>
        <w:rPr>
          <w:rFonts w:hint="eastAsia"/>
          <w:color w:val="auto"/>
          <w:sz w:val="40"/>
          <w:szCs w:val="40"/>
          <w:highlight w:val="none"/>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cstate="print"/>
                    <a:stretch>
                      <a:fillRect/>
                    </a:stretch>
                  </pic:blipFill>
                  <pic:spPr>
                    <a:xfrm>
                      <a:off x="0" y="0"/>
                      <a:ext cx="5266690" cy="2573655"/>
                    </a:xfrm>
                    <a:prstGeom prst="rect">
                      <a:avLst/>
                    </a:prstGeom>
                  </pic:spPr>
                </pic:pic>
              </a:graphicData>
            </a:graphic>
          </wp:inline>
        </w:drawing>
      </w:r>
    </w:p>
    <w:p>
      <w:pPr>
        <w:rPr>
          <w:color w:val="auto"/>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20"/>
        <w:ind w:left="0" w:leftChars="0"/>
        <w:rPr>
          <w:color w:val="auto"/>
          <w:sz w:val="40"/>
          <w:szCs w:val="40"/>
          <w:highlight w:val="none"/>
        </w:rPr>
      </w:pPr>
      <w:r>
        <w:rPr>
          <w:rFonts w:hint="eastAsia"/>
          <w:color w:val="auto"/>
          <w:sz w:val="40"/>
          <w:szCs w:val="40"/>
          <w:highlight w:val="none"/>
        </w:rPr>
        <w:t>目录</w:t>
      </w:r>
    </w:p>
    <w:p>
      <w:pPr>
        <w:pStyle w:val="20"/>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"_Toc14033" </w:instrText>
      </w:r>
      <w:r>
        <w:rPr>
          <w:color w:val="auto"/>
          <w:highlight w:val="none"/>
        </w:rPr>
        <w:fldChar w:fldCharType="separate"/>
      </w:r>
      <w:r>
        <w:rPr>
          <w:rFonts w:hint="eastAsia" w:cs="宋体"/>
          <w:color w:val="auto"/>
          <w:sz w:val="21"/>
          <w:szCs w:val="21"/>
          <w:highlight w:val="none"/>
        </w:rPr>
        <w:t>第一部分 磋商邀请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_Toc14033 \h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"_Toc7988" </w:instrText>
      </w:r>
      <w:r>
        <w:rPr>
          <w:color w:val="auto"/>
          <w:highlight w:val="none"/>
        </w:rPr>
        <w:fldChar w:fldCharType="separate"/>
      </w:r>
      <w:r>
        <w:rPr>
          <w:rFonts w:hint="eastAsia" w:ascii="宋体" w:hAnsi="宋体" w:cs="宋体"/>
          <w:color w:val="auto"/>
          <w:highlight w:val="none"/>
        </w:rPr>
        <w:t>磋商邀请书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_Toc7988 \h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"_Toc31060" </w:instrText>
      </w:r>
      <w:r>
        <w:rPr>
          <w:color w:val="auto"/>
          <w:highlight w:val="none"/>
        </w:rPr>
        <w:fldChar w:fldCharType="separate"/>
      </w:r>
      <w:r>
        <w:rPr>
          <w:rFonts w:hint="eastAsia" w:cs="宋体"/>
          <w:color w:val="auto"/>
          <w:sz w:val="21"/>
          <w:szCs w:val="21"/>
          <w:highlight w:val="none"/>
        </w:rPr>
        <w:t>第二部分 磋商资料表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_Toc31060 \h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"_Toc4043"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_Toc4043 \h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"_Toc462"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_Toc462 \h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"_Toc24511" </w:instrText>
      </w:r>
      <w:r>
        <w:rPr>
          <w:color w:val="auto"/>
          <w:highlight w:val="none"/>
        </w:rPr>
        <w:fldChar w:fldCharType="separate"/>
      </w:r>
      <w:r>
        <w:rPr>
          <w:rFonts w:hint="eastAsia" w:cs="宋体"/>
          <w:color w:val="auto"/>
          <w:sz w:val="21"/>
          <w:szCs w:val="21"/>
          <w:highlight w:val="none"/>
        </w:rPr>
        <w:t>第四部分 供应商须知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_Toc24511 \h </w:instrText>
      </w:r>
      <w:r>
        <w:rPr>
          <w:rFonts w:hint="eastAsia" w:cs="宋体"/>
          <w:color w:val="auto"/>
          <w:sz w:val="21"/>
          <w:szCs w:val="21"/>
          <w:highlight w:val="none"/>
        </w:rPr>
        <w:fldChar w:fldCharType="separate"/>
      </w:r>
      <w:r>
        <w:rPr>
          <w:rFonts w:hint="eastAsia" w:cs="宋体"/>
          <w:color w:val="auto"/>
          <w:sz w:val="21"/>
          <w:szCs w:val="21"/>
          <w:highlight w:val="none"/>
        </w:rPr>
        <w:t>15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"_Toc28014" </w:instrText>
      </w:r>
      <w:r>
        <w:rPr>
          <w:color w:val="auto"/>
          <w:highlight w:val="none"/>
        </w:rPr>
        <w:fldChar w:fldCharType="separate"/>
      </w:r>
      <w:r>
        <w:rPr>
          <w:rFonts w:hint="eastAsia" w:cs="宋体"/>
          <w:color w:val="auto"/>
          <w:sz w:val="21"/>
          <w:szCs w:val="21"/>
          <w:highlight w:val="none"/>
        </w:rPr>
        <w:t>第一章说  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_Toc28014 \h </w:instrText>
      </w:r>
      <w:r>
        <w:rPr>
          <w:rFonts w:hint="eastAsia" w:cs="宋体"/>
          <w:color w:val="auto"/>
          <w:sz w:val="21"/>
          <w:szCs w:val="21"/>
          <w:highlight w:val="none"/>
        </w:rPr>
        <w:fldChar w:fldCharType="separate"/>
      </w:r>
      <w:r>
        <w:rPr>
          <w:rFonts w:hint="eastAsia" w:cs="宋体"/>
          <w:color w:val="auto"/>
          <w:sz w:val="21"/>
          <w:szCs w:val="21"/>
          <w:highlight w:val="none"/>
        </w:rPr>
        <w:t>15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"_Toc17291" </w:instrText>
      </w:r>
      <w:r>
        <w:rPr>
          <w:color w:val="auto"/>
          <w:highlight w:val="none"/>
        </w:rPr>
        <w:fldChar w:fldCharType="separate"/>
      </w:r>
      <w:r>
        <w:rPr>
          <w:rFonts w:hint="eastAsia" w:ascii="宋体" w:hAnsi="宋体" w:cs="宋体"/>
          <w:color w:val="auto"/>
          <w:highlight w:val="none"/>
        </w:rPr>
        <w:t>1. 适用范围</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_Toc17291 \h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"_Toc8868" </w:instrText>
      </w:r>
      <w:r>
        <w:rPr>
          <w:color w:val="auto"/>
          <w:highlight w:val="none"/>
        </w:rPr>
        <w:fldChar w:fldCharType="separate"/>
      </w:r>
      <w:r>
        <w:rPr>
          <w:rFonts w:hint="eastAsia" w:ascii="宋体" w:hAnsi="宋体" w:cs="宋体"/>
          <w:color w:val="auto"/>
          <w:highlight w:val="none"/>
        </w:rPr>
        <w:t>2. 定义</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_Toc8868 \h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"_Toc1083" </w:instrText>
      </w:r>
      <w:r>
        <w:rPr>
          <w:color w:val="auto"/>
          <w:highlight w:val="none"/>
        </w:rPr>
        <w:fldChar w:fldCharType="separate"/>
      </w:r>
      <w:r>
        <w:rPr>
          <w:rFonts w:hint="eastAsia" w:ascii="宋体" w:hAnsi="宋体" w:cs="宋体"/>
          <w:color w:val="auto"/>
          <w:highlight w:val="none"/>
        </w:rPr>
        <w:t>3. 适用法律</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_Toc1083 \h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"_Toc18833" </w:instrText>
      </w:r>
      <w:r>
        <w:rPr>
          <w:color w:val="auto"/>
          <w:highlight w:val="none"/>
        </w:rPr>
        <w:fldChar w:fldCharType="separate"/>
      </w:r>
      <w:r>
        <w:rPr>
          <w:rFonts w:hint="eastAsia" w:ascii="宋体" w:hAnsi="宋体" w:cs="宋体"/>
          <w:color w:val="auto"/>
          <w:highlight w:val="none"/>
        </w:rPr>
        <w:t>4. 知识产权</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_Toc18833 \h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"_Toc5242" </w:instrText>
      </w:r>
      <w:r>
        <w:rPr>
          <w:color w:val="auto"/>
          <w:highlight w:val="none"/>
        </w:rPr>
        <w:fldChar w:fldCharType="separate"/>
      </w:r>
      <w:r>
        <w:rPr>
          <w:rFonts w:hint="eastAsia" w:ascii="宋体" w:hAnsi="宋体" w:cs="宋体"/>
          <w:color w:val="auto"/>
          <w:highlight w:val="none"/>
        </w:rPr>
        <w:t>5. 关于联合体报价</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_Toc5242 \h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"_Toc25157" </w:instrText>
      </w:r>
      <w:r>
        <w:rPr>
          <w:color w:val="auto"/>
          <w:highlight w:val="none"/>
        </w:rPr>
        <w:fldChar w:fldCharType="separate"/>
      </w:r>
      <w:r>
        <w:rPr>
          <w:rFonts w:hint="eastAsia" w:ascii="宋体" w:hAnsi="宋体" w:cs="宋体"/>
          <w:color w:val="auto"/>
          <w:highlight w:val="none"/>
        </w:rPr>
        <w:t>6. 关于分支机构报价</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_Toc25157 \h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"_Toc18108" </w:instrText>
      </w:r>
      <w:r>
        <w:rPr>
          <w:color w:val="auto"/>
          <w:highlight w:val="none"/>
        </w:rPr>
        <w:fldChar w:fldCharType="separate"/>
      </w:r>
      <w:r>
        <w:rPr>
          <w:rFonts w:hint="eastAsia" w:ascii="宋体" w:hAnsi="宋体" w:cs="宋体"/>
          <w:color w:val="auto"/>
          <w:highlight w:val="none"/>
        </w:rPr>
        <w:t>7. 保密及其它注意事项</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_Toc18108 \h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"_Toc25468" </w:instrText>
      </w:r>
      <w:r>
        <w:rPr>
          <w:color w:val="auto"/>
          <w:highlight w:val="none"/>
        </w:rPr>
        <w:fldChar w:fldCharType="separate"/>
      </w:r>
      <w:r>
        <w:rPr>
          <w:rFonts w:hint="eastAsia" w:cs="宋体"/>
          <w:color w:val="auto"/>
          <w:sz w:val="21"/>
          <w:szCs w:val="21"/>
          <w:highlight w:val="none"/>
        </w:rPr>
        <w:t>第二章磋商文件说明</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_Toc25468 \h </w:instrText>
      </w:r>
      <w:r>
        <w:rPr>
          <w:rFonts w:hint="eastAsia" w:cs="宋体"/>
          <w:color w:val="auto"/>
          <w:sz w:val="21"/>
          <w:szCs w:val="21"/>
          <w:highlight w:val="none"/>
        </w:rPr>
        <w:fldChar w:fldCharType="separate"/>
      </w:r>
      <w:r>
        <w:rPr>
          <w:rFonts w:hint="eastAsia" w:cs="宋体"/>
          <w:color w:val="auto"/>
          <w:sz w:val="21"/>
          <w:szCs w:val="21"/>
          <w:highlight w:val="none"/>
        </w:rPr>
        <w:t>17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"_Toc21439" </w:instrText>
      </w:r>
      <w:r>
        <w:rPr>
          <w:color w:val="auto"/>
          <w:highlight w:val="none"/>
        </w:rPr>
        <w:fldChar w:fldCharType="separate"/>
      </w:r>
      <w:r>
        <w:rPr>
          <w:rFonts w:hint="eastAsia" w:ascii="宋体" w:hAnsi="宋体" w:cs="宋体"/>
          <w:color w:val="auto"/>
          <w:highlight w:val="none"/>
        </w:rPr>
        <w:t>8. 采购文件构成</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_Toc21439 \h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"_Toc158" </w:instrText>
      </w:r>
      <w:r>
        <w:rPr>
          <w:color w:val="auto"/>
          <w:highlight w:val="none"/>
        </w:rPr>
        <w:fldChar w:fldCharType="separate"/>
      </w:r>
      <w:r>
        <w:rPr>
          <w:rFonts w:hint="eastAsia" w:cs="宋体"/>
          <w:color w:val="auto"/>
          <w:sz w:val="21"/>
          <w:szCs w:val="21"/>
          <w:highlight w:val="none"/>
        </w:rPr>
        <w:t>第三章响应文件的编制</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_Toc158 \h </w:instrText>
      </w:r>
      <w:r>
        <w:rPr>
          <w:rFonts w:hint="eastAsia" w:cs="宋体"/>
          <w:color w:val="auto"/>
          <w:sz w:val="21"/>
          <w:szCs w:val="21"/>
          <w:highlight w:val="none"/>
        </w:rPr>
        <w:fldChar w:fldCharType="separate"/>
      </w:r>
      <w:r>
        <w:rPr>
          <w:rFonts w:hint="eastAsia" w:cs="宋体"/>
          <w:color w:val="auto"/>
          <w:sz w:val="21"/>
          <w:szCs w:val="21"/>
          <w:highlight w:val="none"/>
        </w:rPr>
        <w:t>18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"_Toc19833" </w:instrText>
      </w:r>
      <w:r>
        <w:rPr>
          <w:color w:val="auto"/>
          <w:highlight w:val="none"/>
        </w:rPr>
        <w:fldChar w:fldCharType="separate"/>
      </w:r>
      <w:r>
        <w:rPr>
          <w:rFonts w:hint="eastAsia" w:ascii="宋体" w:hAnsi="宋体" w:cs="宋体"/>
          <w:color w:val="auto"/>
          <w:highlight w:val="none"/>
        </w:rPr>
        <w:t>9. 响应文件的语言及度量衡单位</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_Toc19833 \h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"_Toc18228" </w:instrText>
      </w:r>
      <w:r>
        <w:rPr>
          <w:color w:val="auto"/>
          <w:highlight w:val="none"/>
        </w:rPr>
        <w:fldChar w:fldCharType="separate"/>
      </w:r>
      <w:r>
        <w:rPr>
          <w:rFonts w:hint="eastAsia" w:ascii="宋体" w:hAnsi="宋体" w:cs="宋体"/>
          <w:color w:val="auto"/>
          <w:highlight w:val="none"/>
        </w:rPr>
        <w:t>10. 响应文件编制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_Toc18228 \h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"_Toc26897" </w:instrText>
      </w:r>
      <w:r>
        <w:rPr>
          <w:color w:val="auto"/>
          <w:highlight w:val="none"/>
        </w:rPr>
        <w:fldChar w:fldCharType="separate"/>
      </w:r>
      <w:r>
        <w:rPr>
          <w:rFonts w:hint="eastAsia" w:ascii="宋体" w:hAnsi="宋体" w:cs="宋体"/>
          <w:color w:val="auto"/>
          <w:highlight w:val="none"/>
        </w:rPr>
        <w:t>11. 响应文件的内容</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_Toc26897 \h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"_Toc1662" </w:instrText>
      </w:r>
      <w:r>
        <w:rPr>
          <w:color w:val="auto"/>
          <w:highlight w:val="none"/>
        </w:rPr>
        <w:fldChar w:fldCharType="separate"/>
      </w:r>
      <w:r>
        <w:rPr>
          <w:rFonts w:hint="eastAsia" w:ascii="宋体" w:hAnsi="宋体" w:cs="宋体"/>
          <w:color w:val="auto"/>
          <w:highlight w:val="none"/>
        </w:rPr>
        <w:t>12. 响应文件格式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_Toc1662 \h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"_Toc21656" </w:instrText>
      </w:r>
      <w:r>
        <w:rPr>
          <w:color w:val="auto"/>
          <w:highlight w:val="none"/>
        </w:rPr>
        <w:fldChar w:fldCharType="separate"/>
      </w:r>
      <w:r>
        <w:rPr>
          <w:rFonts w:hint="eastAsia" w:ascii="宋体" w:hAnsi="宋体" w:cs="宋体"/>
          <w:color w:val="auto"/>
          <w:highlight w:val="none"/>
        </w:rPr>
        <w:t>13. 磋商保证金（本项目不需提供磋商保证金）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_Toc21656 \h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"_Toc10456" </w:instrText>
      </w:r>
      <w:r>
        <w:rPr>
          <w:color w:val="auto"/>
          <w:highlight w:val="none"/>
        </w:rPr>
        <w:fldChar w:fldCharType="separate"/>
      </w:r>
      <w:r>
        <w:rPr>
          <w:rFonts w:hint="eastAsia" w:ascii="宋体" w:hAnsi="宋体" w:cs="宋体"/>
          <w:color w:val="auto"/>
          <w:highlight w:val="none"/>
        </w:rPr>
        <w:t>14. ★报价（响应文件）有效期</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_Toc10456 \h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"_Toc7006" </w:instrText>
      </w:r>
      <w:r>
        <w:rPr>
          <w:color w:val="auto"/>
          <w:highlight w:val="none"/>
        </w:rPr>
        <w:fldChar w:fldCharType="separate"/>
      </w:r>
      <w:r>
        <w:rPr>
          <w:rFonts w:hint="eastAsia" w:cs="宋体"/>
          <w:color w:val="auto"/>
          <w:sz w:val="21"/>
          <w:szCs w:val="21"/>
          <w:highlight w:val="none"/>
        </w:rPr>
        <w:t>第四章响应文件的递交</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_Toc7006 \h </w:instrText>
      </w:r>
      <w:r>
        <w:rPr>
          <w:rFonts w:hint="eastAsia" w:cs="宋体"/>
          <w:color w:val="auto"/>
          <w:sz w:val="21"/>
          <w:szCs w:val="21"/>
          <w:highlight w:val="none"/>
        </w:rPr>
        <w:fldChar w:fldCharType="separate"/>
      </w:r>
      <w:r>
        <w:rPr>
          <w:rFonts w:hint="eastAsia" w:cs="宋体"/>
          <w:color w:val="auto"/>
          <w:sz w:val="21"/>
          <w:szCs w:val="21"/>
          <w:highlight w:val="none"/>
        </w:rPr>
        <w:t>20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"_Toc13611" </w:instrText>
      </w:r>
      <w:r>
        <w:rPr>
          <w:color w:val="auto"/>
          <w:highlight w:val="none"/>
        </w:rPr>
        <w:fldChar w:fldCharType="separate"/>
      </w:r>
      <w:r>
        <w:rPr>
          <w:rFonts w:hint="eastAsia" w:ascii="宋体" w:hAnsi="宋体" w:cs="宋体"/>
          <w:color w:val="auto"/>
          <w:highlight w:val="none"/>
        </w:rPr>
        <w:t>15. 响应文件的密封和标记</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_Toc13611 \h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"_Toc5658" </w:instrText>
      </w:r>
      <w:r>
        <w:rPr>
          <w:color w:val="auto"/>
          <w:highlight w:val="none"/>
        </w:rPr>
        <w:fldChar w:fldCharType="separate"/>
      </w:r>
      <w:r>
        <w:rPr>
          <w:rFonts w:hint="eastAsia" w:ascii="宋体" w:hAnsi="宋体" w:cs="宋体"/>
          <w:color w:val="auto"/>
          <w:highlight w:val="none"/>
        </w:rPr>
        <w:t>16. 响应文件的递交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_Toc5658 \h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"_Toc8440" </w:instrText>
      </w:r>
      <w:r>
        <w:rPr>
          <w:color w:val="auto"/>
          <w:highlight w:val="none"/>
        </w:rPr>
        <w:fldChar w:fldCharType="separate"/>
      </w:r>
      <w:r>
        <w:rPr>
          <w:rFonts w:hint="eastAsia" w:ascii="宋体" w:hAnsi="宋体" w:cs="宋体"/>
          <w:color w:val="auto"/>
          <w:highlight w:val="none"/>
        </w:rPr>
        <w:t>17. 样品（如需提交）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_Toc8440 \h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"_Toc3401" </w:instrText>
      </w:r>
      <w:r>
        <w:rPr>
          <w:color w:val="auto"/>
          <w:highlight w:val="none"/>
        </w:rPr>
        <w:fldChar w:fldCharType="separate"/>
      </w:r>
      <w:r>
        <w:rPr>
          <w:rFonts w:hint="eastAsia" w:cs="宋体"/>
          <w:color w:val="auto"/>
          <w:sz w:val="21"/>
          <w:szCs w:val="21"/>
          <w:highlight w:val="none"/>
        </w:rPr>
        <w:t>第五章磋商、评审</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_Toc3401 \h </w:instrText>
      </w:r>
      <w:r>
        <w:rPr>
          <w:rFonts w:hint="eastAsia" w:cs="宋体"/>
          <w:color w:val="auto"/>
          <w:sz w:val="21"/>
          <w:szCs w:val="21"/>
          <w:highlight w:val="none"/>
        </w:rPr>
        <w:fldChar w:fldCharType="separate"/>
      </w:r>
      <w:r>
        <w:rPr>
          <w:rFonts w:hint="eastAsia" w:cs="宋体"/>
          <w:color w:val="auto"/>
          <w:sz w:val="21"/>
          <w:szCs w:val="21"/>
          <w:highlight w:val="none"/>
        </w:rPr>
        <w:t>22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"_Toc8137" </w:instrText>
      </w:r>
      <w:r>
        <w:rPr>
          <w:color w:val="auto"/>
          <w:highlight w:val="none"/>
        </w:rPr>
        <w:fldChar w:fldCharType="separate"/>
      </w:r>
      <w:r>
        <w:rPr>
          <w:rFonts w:hint="eastAsia" w:ascii="宋体" w:hAnsi="宋体" w:cs="宋体"/>
          <w:color w:val="auto"/>
          <w:highlight w:val="none"/>
        </w:rPr>
        <w:t>18. 签到及评审方法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_Toc8137 \h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"_Toc10080" </w:instrText>
      </w:r>
      <w:r>
        <w:rPr>
          <w:color w:val="auto"/>
          <w:highlight w:val="none"/>
        </w:rPr>
        <w:fldChar w:fldCharType="separate"/>
      </w:r>
      <w:r>
        <w:rPr>
          <w:rFonts w:hint="eastAsia" w:ascii="宋体" w:hAnsi="宋体" w:cs="宋体"/>
          <w:color w:val="auto"/>
          <w:highlight w:val="none"/>
        </w:rPr>
        <w:t>19. 磋商小组</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_Toc10080 \h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"_Toc17157" </w:instrText>
      </w:r>
      <w:r>
        <w:rPr>
          <w:color w:val="auto"/>
          <w:highlight w:val="none"/>
        </w:rPr>
        <w:fldChar w:fldCharType="separate"/>
      </w:r>
      <w:r>
        <w:rPr>
          <w:rFonts w:hint="eastAsia" w:ascii="宋体" w:hAnsi="宋体" w:cs="宋体"/>
          <w:color w:val="auto"/>
          <w:highlight w:val="none"/>
        </w:rPr>
        <w:t>20. 对响应文件的初审</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_Toc17157 \h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"_Toc18895" </w:instrText>
      </w:r>
      <w:r>
        <w:rPr>
          <w:color w:val="auto"/>
          <w:highlight w:val="none"/>
        </w:rPr>
        <w:fldChar w:fldCharType="separate"/>
      </w:r>
      <w:r>
        <w:rPr>
          <w:rFonts w:hint="eastAsia" w:ascii="宋体" w:hAnsi="宋体" w:cs="宋体"/>
          <w:color w:val="auto"/>
          <w:highlight w:val="none"/>
        </w:rPr>
        <w:t>21. 技术商务磋商</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_Toc18895 \h </w:instrText>
      </w:r>
      <w:r>
        <w:rPr>
          <w:rFonts w:hint="eastAsia" w:ascii="宋体" w:hAnsi="宋体" w:cs="宋体"/>
          <w:color w:val="auto"/>
          <w:highlight w:val="none"/>
        </w:rPr>
        <w:fldChar w:fldCharType="separate"/>
      </w:r>
      <w:r>
        <w:rPr>
          <w:rFonts w:hint="eastAsia" w:ascii="宋体" w:hAnsi="宋体" w:cs="宋体"/>
          <w:color w:val="auto"/>
          <w:highlight w:val="none"/>
        </w:rPr>
        <w:t>24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"_Toc5492" </w:instrText>
      </w:r>
      <w:r>
        <w:rPr>
          <w:color w:val="auto"/>
          <w:highlight w:val="none"/>
        </w:rPr>
        <w:fldChar w:fldCharType="separate"/>
      </w:r>
      <w:r>
        <w:rPr>
          <w:rFonts w:hint="eastAsia" w:ascii="宋体" w:hAnsi="宋体" w:cs="宋体"/>
          <w:color w:val="auto"/>
          <w:highlight w:val="none"/>
        </w:rPr>
        <w:t>22. 最终报价</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_Toc5492 \h </w:instrText>
      </w:r>
      <w:r>
        <w:rPr>
          <w:rFonts w:hint="eastAsia" w:ascii="宋体" w:hAnsi="宋体" w:cs="宋体"/>
          <w:color w:val="auto"/>
          <w:highlight w:val="none"/>
        </w:rPr>
        <w:fldChar w:fldCharType="separate"/>
      </w:r>
      <w:r>
        <w:rPr>
          <w:rFonts w:hint="eastAsia" w:ascii="宋体" w:hAnsi="宋体" w:cs="宋体"/>
          <w:color w:val="auto"/>
          <w:highlight w:val="none"/>
        </w:rPr>
        <w:t>25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"_Toc2794" </w:instrText>
      </w:r>
      <w:r>
        <w:rPr>
          <w:color w:val="auto"/>
          <w:highlight w:val="none"/>
        </w:rPr>
        <w:fldChar w:fldCharType="separate"/>
      </w:r>
      <w:r>
        <w:rPr>
          <w:rFonts w:hint="eastAsia" w:ascii="宋体" w:hAnsi="宋体" w:cs="宋体"/>
          <w:color w:val="auto"/>
          <w:highlight w:val="none"/>
        </w:rPr>
        <w:t>23. 综合评分</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_Toc2794 \h </w:instrText>
      </w:r>
      <w:r>
        <w:rPr>
          <w:rFonts w:hint="eastAsia" w:ascii="宋体" w:hAnsi="宋体" w:cs="宋体"/>
          <w:color w:val="auto"/>
          <w:highlight w:val="none"/>
        </w:rPr>
        <w:fldChar w:fldCharType="separate"/>
      </w:r>
      <w:r>
        <w:rPr>
          <w:rFonts w:hint="eastAsia" w:ascii="宋体" w:hAnsi="宋体" w:cs="宋体"/>
          <w:color w:val="auto"/>
          <w:highlight w:val="none"/>
        </w:rPr>
        <w:t>25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"_Toc30725" </w:instrText>
      </w:r>
      <w:r>
        <w:rPr>
          <w:color w:val="auto"/>
          <w:highlight w:val="none"/>
        </w:rPr>
        <w:fldChar w:fldCharType="separate"/>
      </w:r>
      <w:r>
        <w:rPr>
          <w:rFonts w:hint="eastAsia" w:ascii="宋体" w:hAnsi="宋体" w:cs="宋体"/>
          <w:color w:val="auto"/>
          <w:highlight w:val="none"/>
        </w:rPr>
        <w:t>24. 优惠政策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_Toc30725 \h </w:instrText>
      </w:r>
      <w:r>
        <w:rPr>
          <w:rFonts w:hint="eastAsia" w:ascii="宋体" w:hAnsi="宋体" w:cs="宋体"/>
          <w:color w:val="auto"/>
          <w:highlight w:val="none"/>
        </w:rPr>
        <w:fldChar w:fldCharType="separate"/>
      </w:r>
      <w:r>
        <w:rPr>
          <w:rFonts w:hint="eastAsia" w:ascii="宋体" w:hAnsi="宋体" w:cs="宋体"/>
          <w:color w:val="auto"/>
          <w:highlight w:val="none"/>
        </w:rPr>
        <w:t>26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"_Toc1066" </w:instrText>
      </w:r>
      <w:r>
        <w:rPr>
          <w:color w:val="auto"/>
          <w:highlight w:val="none"/>
        </w:rPr>
        <w:fldChar w:fldCharType="separate"/>
      </w:r>
      <w:r>
        <w:rPr>
          <w:rFonts w:hint="eastAsia" w:cs="宋体"/>
          <w:color w:val="auto"/>
          <w:sz w:val="21"/>
          <w:szCs w:val="21"/>
          <w:highlight w:val="none"/>
        </w:rPr>
        <w:t>第六章确定成交供应商</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_Toc1066 \h </w:instrText>
      </w:r>
      <w:r>
        <w:rPr>
          <w:rFonts w:hint="eastAsia" w:cs="宋体"/>
          <w:color w:val="auto"/>
          <w:sz w:val="21"/>
          <w:szCs w:val="21"/>
          <w:highlight w:val="none"/>
        </w:rPr>
        <w:fldChar w:fldCharType="separate"/>
      </w:r>
      <w:r>
        <w:rPr>
          <w:rFonts w:hint="eastAsia" w:cs="宋体"/>
          <w:color w:val="auto"/>
          <w:sz w:val="21"/>
          <w:szCs w:val="21"/>
          <w:highlight w:val="none"/>
        </w:rPr>
        <w:t>28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"_Toc29068" </w:instrText>
      </w:r>
      <w:r>
        <w:rPr>
          <w:color w:val="auto"/>
          <w:highlight w:val="none"/>
        </w:rPr>
        <w:fldChar w:fldCharType="separate"/>
      </w:r>
      <w:r>
        <w:rPr>
          <w:rFonts w:hint="eastAsia" w:ascii="宋体" w:hAnsi="宋体" w:cs="宋体"/>
          <w:color w:val="auto"/>
          <w:highlight w:val="none"/>
        </w:rPr>
        <w:t>25. 确定成交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_Toc29068 \h </w:instrText>
      </w:r>
      <w:r>
        <w:rPr>
          <w:rFonts w:hint="eastAsia" w:ascii="宋体" w:hAnsi="宋体" w:cs="宋体"/>
          <w:color w:val="auto"/>
          <w:highlight w:val="none"/>
        </w:rPr>
        <w:fldChar w:fldCharType="separate"/>
      </w:r>
      <w:r>
        <w:rPr>
          <w:rFonts w:hint="eastAsia" w:ascii="宋体" w:hAnsi="宋体" w:cs="宋体"/>
          <w:color w:val="auto"/>
          <w:highlight w:val="none"/>
        </w:rPr>
        <w:t>28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"_Toc3941" </w:instrText>
      </w:r>
      <w:r>
        <w:rPr>
          <w:color w:val="auto"/>
          <w:highlight w:val="none"/>
        </w:rPr>
        <w:fldChar w:fldCharType="separate"/>
      </w:r>
      <w:r>
        <w:rPr>
          <w:rFonts w:hint="eastAsia" w:ascii="宋体" w:hAnsi="宋体" w:cs="宋体"/>
          <w:color w:val="auto"/>
          <w:highlight w:val="none"/>
        </w:rPr>
        <w:t>26. 发布采购结果</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_Toc3941 \h </w:instrText>
      </w:r>
      <w:r>
        <w:rPr>
          <w:rFonts w:hint="eastAsia" w:ascii="宋体" w:hAnsi="宋体" w:cs="宋体"/>
          <w:color w:val="auto"/>
          <w:highlight w:val="none"/>
        </w:rPr>
        <w:fldChar w:fldCharType="separate"/>
      </w:r>
      <w:r>
        <w:rPr>
          <w:rFonts w:hint="eastAsia" w:ascii="宋体" w:hAnsi="宋体" w:cs="宋体"/>
          <w:color w:val="auto"/>
          <w:highlight w:val="none"/>
        </w:rPr>
        <w:t>28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"_Toc29067" </w:instrText>
      </w:r>
      <w:r>
        <w:rPr>
          <w:color w:val="auto"/>
          <w:highlight w:val="none"/>
        </w:rPr>
        <w:fldChar w:fldCharType="separate"/>
      </w:r>
      <w:r>
        <w:rPr>
          <w:rFonts w:hint="eastAsia" w:ascii="宋体" w:hAnsi="宋体" w:cs="宋体"/>
          <w:color w:val="auto"/>
          <w:highlight w:val="none"/>
        </w:rPr>
        <w:t>27. 原件核查</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_Toc29067 \h </w:instrText>
      </w:r>
      <w:r>
        <w:rPr>
          <w:rFonts w:hint="eastAsia" w:ascii="宋体" w:hAnsi="宋体" w:cs="宋体"/>
          <w:color w:val="auto"/>
          <w:highlight w:val="none"/>
        </w:rPr>
        <w:fldChar w:fldCharType="separate"/>
      </w:r>
      <w:r>
        <w:rPr>
          <w:rFonts w:hint="eastAsia" w:ascii="宋体" w:hAnsi="宋体" w:cs="宋体"/>
          <w:color w:val="auto"/>
          <w:highlight w:val="none"/>
        </w:rPr>
        <w:t>28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"_Toc3829" </w:instrText>
      </w:r>
      <w:r>
        <w:rPr>
          <w:color w:val="auto"/>
          <w:highlight w:val="none"/>
        </w:rPr>
        <w:fldChar w:fldCharType="separate"/>
      </w:r>
      <w:r>
        <w:rPr>
          <w:rFonts w:hint="eastAsia" w:cs="宋体"/>
          <w:color w:val="auto"/>
          <w:sz w:val="21"/>
          <w:szCs w:val="21"/>
          <w:highlight w:val="none"/>
        </w:rPr>
        <w:t>第七章签订合同</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_Toc3829 \h </w:instrText>
      </w:r>
      <w:r>
        <w:rPr>
          <w:rFonts w:hint="eastAsia" w:cs="宋体"/>
          <w:color w:val="auto"/>
          <w:sz w:val="21"/>
          <w:szCs w:val="21"/>
          <w:highlight w:val="none"/>
        </w:rPr>
        <w:fldChar w:fldCharType="separate"/>
      </w:r>
      <w:r>
        <w:rPr>
          <w:rFonts w:hint="eastAsia" w:cs="宋体"/>
          <w:color w:val="auto"/>
          <w:sz w:val="21"/>
          <w:szCs w:val="21"/>
          <w:highlight w:val="none"/>
        </w:rPr>
        <w:t>29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"_Toc18000" </w:instrText>
      </w:r>
      <w:r>
        <w:rPr>
          <w:color w:val="auto"/>
          <w:highlight w:val="none"/>
        </w:rPr>
        <w:fldChar w:fldCharType="separate"/>
      </w:r>
      <w:r>
        <w:rPr>
          <w:rFonts w:hint="eastAsia" w:ascii="宋体" w:hAnsi="宋体" w:cs="宋体"/>
          <w:color w:val="auto"/>
          <w:highlight w:val="none"/>
        </w:rPr>
        <w:t>28. 签订合同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_Toc18000 \h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"_Toc8165" </w:instrText>
      </w:r>
      <w:r>
        <w:rPr>
          <w:color w:val="auto"/>
          <w:highlight w:val="none"/>
        </w:rPr>
        <w:fldChar w:fldCharType="separate"/>
      </w:r>
      <w:r>
        <w:rPr>
          <w:rFonts w:hint="eastAsia" w:cs="宋体"/>
          <w:color w:val="auto"/>
          <w:sz w:val="21"/>
          <w:szCs w:val="21"/>
          <w:highlight w:val="none"/>
        </w:rPr>
        <w:t>第八章询问或质疑</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_Toc8165 \h </w:instrText>
      </w:r>
      <w:r>
        <w:rPr>
          <w:rFonts w:hint="eastAsia" w:cs="宋体"/>
          <w:color w:val="auto"/>
          <w:sz w:val="21"/>
          <w:szCs w:val="21"/>
          <w:highlight w:val="none"/>
        </w:rPr>
        <w:fldChar w:fldCharType="separate"/>
      </w:r>
      <w:r>
        <w:rPr>
          <w:rFonts w:hint="eastAsia" w:cs="宋体"/>
          <w:color w:val="auto"/>
          <w:sz w:val="21"/>
          <w:szCs w:val="21"/>
          <w:highlight w:val="none"/>
        </w:rPr>
        <w:t>30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"_Toc18663" </w:instrText>
      </w:r>
      <w:r>
        <w:rPr>
          <w:color w:val="auto"/>
          <w:highlight w:val="none"/>
        </w:rPr>
        <w:fldChar w:fldCharType="separate"/>
      </w:r>
      <w:r>
        <w:rPr>
          <w:rFonts w:hint="eastAsia" w:ascii="宋体" w:hAnsi="宋体" w:cs="宋体"/>
          <w:color w:val="auto"/>
          <w:highlight w:val="none"/>
        </w:rPr>
        <w:t>29. 询问</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_Toc18663 \h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"_Toc20114" </w:instrText>
      </w:r>
      <w:r>
        <w:rPr>
          <w:color w:val="auto"/>
          <w:highlight w:val="none"/>
        </w:rPr>
        <w:fldChar w:fldCharType="separate"/>
      </w:r>
      <w:r>
        <w:rPr>
          <w:rFonts w:hint="eastAsia" w:ascii="宋体" w:hAnsi="宋体" w:cs="宋体"/>
          <w:color w:val="auto"/>
          <w:highlight w:val="none"/>
        </w:rPr>
        <w:t>30. 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_Toc20114 \h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"_Toc5551" </w:instrText>
      </w:r>
      <w:r>
        <w:rPr>
          <w:color w:val="auto"/>
          <w:highlight w:val="none"/>
        </w:rPr>
        <w:fldChar w:fldCharType="separate"/>
      </w:r>
      <w:r>
        <w:rPr>
          <w:rFonts w:hint="eastAsia" w:cs="宋体"/>
          <w:color w:val="auto"/>
          <w:sz w:val="21"/>
          <w:szCs w:val="21"/>
          <w:highlight w:val="none"/>
        </w:rPr>
        <w:t>第九章成交服务费</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_Toc5551 \h </w:instrText>
      </w:r>
      <w:r>
        <w:rPr>
          <w:rFonts w:hint="eastAsia" w:cs="宋体"/>
          <w:color w:val="auto"/>
          <w:sz w:val="21"/>
          <w:szCs w:val="21"/>
          <w:highlight w:val="none"/>
        </w:rPr>
        <w:fldChar w:fldCharType="separate"/>
      </w:r>
      <w:r>
        <w:rPr>
          <w:rFonts w:hint="eastAsia" w:cs="宋体"/>
          <w:color w:val="auto"/>
          <w:sz w:val="21"/>
          <w:szCs w:val="21"/>
          <w:highlight w:val="none"/>
        </w:rPr>
        <w:t>31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"_Toc26991" </w:instrText>
      </w:r>
      <w:r>
        <w:rPr>
          <w:color w:val="auto"/>
          <w:highlight w:val="none"/>
        </w:rPr>
        <w:fldChar w:fldCharType="separate"/>
      </w:r>
      <w:r>
        <w:rPr>
          <w:rFonts w:hint="eastAsia" w:ascii="宋体" w:hAnsi="宋体" w:cs="宋体"/>
          <w:color w:val="auto"/>
          <w:highlight w:val="none"/>
        </w:rPr>
        <w:t>31. 成交服务费</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_Toc26991 \h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"_Toc7834" </w:instrText>
      </w:r>
      <w:r>
        <w:rPr>
          <w:color w:val="auto"/>
          <w:highlight w:val="none"/>
        </w:rPr>
        <w:fldChar w:fldCharType="separate"/>
      </w:r>
      <w:r>
        <w:rPr>
          <w:rFonts w:hint="eastAsia" w:cs="宋体"/>
          <w:color w:val="auto"/>
          <w:sz w:val="21"/>
          <w:szCs w:val="21"/>
          <w:highlight w:val="none"/>
        </w:rPr>
        <w:t>第十章其他</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_Toc7834 \h </w:instrText>
      </w:r>
      <w:r>
        <w:rPr>
          <w:rFonts w:hint="eastAsia" w:cs="宋体"/>
          <w:color w:val="auto"/>
          <w:sz w:val="21"/>
          <w:szCs w:val="21"/>
          <w:highlight w:val="none"/>
        </w:rPr>
        <w:fldChar w:fldCharType="separate"/>
      </w:r>
      <w:r>
        <w:rPr>
          <w:rFonts w:hint="eastAsia" w:cs="宋体"/>
          <w:color w:val="auto"/>
          <w:sz w:val="21"/>
          <w:szCs w:val="21"/>
          <w:highlight w:val="none"/>
        </w:rPr>
        <w:t>31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"_Toc10953" </w:instrText>
      </w:r>
      <w:r>
        <w:rPr>
          <w:color w:val="auto"/>
          <w:highlight w:val="none"/>
        </w:rPr>
        <w:fldChar w:fldCharType="separate"/>
      </w:r>
      <w:r>
        <w:rPr>
          <w:rFonts w:hint="eastAsia" w:ascii="宋体" w:hAnsi="宋体" w:cs="宋体"/>
          <w:color w:val="auto"/>
          <w:highlight w:val="none"/>
        </w:rPr>
        <w:t>32. 磋商文件的解释权</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_Toc10953 \h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"_Toc3162"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_Toc3162 \h </w:instrText>
      </w:r>
      <w:r>
        <w:rPr>
          <w:rFonts w:hint="eastAsia" w:cs="宋体"/>
          <w:color w:val="auto"/>
          <w:sz w:val="21"/>
          <w:szCs w:val="21"/>
          <w:highlight w:val="none"/>
        </w:rPr>
        <w:fldChar w:fldCharType="separate"/>
      </w:r>
      <w:r>
        <w:rPr>
          <w:rFonts w:hint="eastAsia" w:cs="宋体"/>
          <w:color w:val="auto"/>
          <w:sz w:val="21"/>
          <w:szCs w:val="21"/>
          <w:highlight w:val="none"/>
        </w:rPr>
        <w:t>32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"_Toc31162"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_Toc31162 \h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"_Toc19981"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_Toc19981 \h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"_Toc17329"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_Toc17329 \h </w:instrText>
      </w:r>
      <w:r>
        <w:rPr>
          <w:rFonts w:hint="eastAsia" w:cs="宋体"/>
          <w:color w:val="auto"/>
          <w:sz w:val="21"/>
          <w:szCs w:val="21"/>
          <w:highlight w:val="none"/>
        </w:rPr>
        <w:fldChar w:fldCharType="separate"/>
      </w:r>
      <w:r>
        <w:rPr>
          <w:rFonts w:hint="eastAsia" w:cs="宋体"/>
          <w:color w:val="auto"/>
          <w:sz w:val="21"/>
          <w:szCs w:val="21"/>
          <w:highlight w:val="none"/>
        </w:rPr>
        <w:t>40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"_Toc29470"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_Toc29470 \h </w:instrText>
      </w:r>
      <w:r>
        <w:rPr>
          <w:rFonts w:hint="eastAsia" w:ascii="宋体" w:hAnsi="宋体" w:cs="宋体"/>
          <w:color w:val="auto"/>
          <w:highlight w:val="none"/>
        </w:rPr>
        <w:fldChar w:fldCharType="separate"/>
      </w:r>
      <w:r>
        <w:rPr>
          <w:rFonts w:hint="eastAsia" w:ascii="宋体" w:hAnsi="宋体" w:cs="宋体"/>
          <w:color w:val="auto"/>
          <w:highlight w:val="none"/>
        </w:rPr>
        <w:t>40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"_Toc15158" </w:instrText>
      </w:r>
      <w:r>
        <w:rPr>
          <w:color w:val="auto"/>
          <w:highlight w:val="none"/>
        </w:rPr>
        <w:fldChar w:fldCharType="separate"/>
      </w:r>
      <w:r>
        <w:rPr>
          <w:rFonts w:hint="eastAsia" w:cs="宋体"/>
          <w:color w:val="auto"/>
          <w:sz w:val="21"/>
          <w:szCs w:val="21"/>
          <w:highlight w:val="none"/>
        </w:rPr>
        <w:t>第七部分  响应文件格式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_Toc15158 \h </w:instrText>
      </w:r>
      <w:r>
        <w:rPr>
          <w:rFonts w:hint="eastAsia" w:cs="宋体"/>
          <w:color w:val="auto"/>
          <w:sz w:val="21"/>
          <w:szCs w:val="21"/>
          <w:highlight w:val="none"/>
        </w:rPr>
        <w:fldChar w:fldCharType="separate"/>
      </w:r>
      <w:r>
        <w:rPr>
          <w:rFonts w:hint="eastAsia" w:cs="宋体"/>
          <w:color w:val="auto"/>
          <w:sz w:val="21"/>
          <w:szCs w:val="21"/>
          <w:highlight w:val="none"/>
        </w:rPr>
        <w:t>44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"_Toc2434" </w:instrText>
      </w:r>
      <w:r>
        <w:rPr>
          <w:color w:val="auto"/>
          <w:highlight w:val="none"/>
        </w:rPr>
        <w:fldChar w:fldCharType="separate"/>
      </w:r>
      <w:r>
        <w:rPr>
          <w:rFonts w:hint="eastAsia" w:ascii="宋体" w:hAnsi="宋体" w:cs="宋体"/>
          <w:color w:val="auto"/>
          <w:highlight w:val="none"/>
        </w:rPr>
        <w:t>响应文件目录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_Toc2434 \h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"_Toc28116"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_Toc28116 \h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"_Toc19057"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_Toc19057 \h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"_Toc29262" </w:instrText>
      </w:r>
      <w:r>
        <w:rPr>
          <w:color w:val="auto"/>
          <w:highlight w:val="none"/>
        </w:rPr>
        <w:fldChar w:fldCharType="separate"/>
      </w:r>
      <w:r>
        <w:rPr>
          <w:rFonts w:hint="eastAsia" w:ascii="宋体" w:hAnsi="宋体" w:cs="宋体"/>
          <w:color w:val="auto"/>
          <w:highlight w:val="none"/>
        </w:rPr>
        <w:t>一、报价一览表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_Toc29262 \h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"_Toc29258"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_Toc29258 \h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"_Toc14734"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_Toc14734 \h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"_Toc17483"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_Toc17483 \h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"_Toc8170"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_Toc8170 \h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"_Toc312"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_Toc312 \h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"_Toc2486"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_Toc2486 \h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"_Toc4151" </w:instrText>
      </w:r>
      <w:r>
        <w:rPr>
          <w:color w:val="auto"/>
          <w:highlight w:val="none"/>
        </w:rPr>
        <w:fldChar w:fldCharType="separate"/>
      </w:r>
      <w:r>
        <w:rPr>
          <w:rFonts w:hint="eastAsia" w:ascii="宋体" w:hAnsi="宋体" w:cs="宋体"/>
          <w:color w:val="auto"/>
          <w:highlight w:val="none"/>
        </w:rPr>
        <w:t>一、响应函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_Toc4151 \h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"_Toc27961"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_Toc27961 \h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"_Toc21335"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_Toc21335 \h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"_Toc32128"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_Toc32128 \h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"_Toc11689"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_Toc11689 \h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"_Toc1197" </w:instrText>
      </w:r>
      <w:r>
        <w:rPr>
          <w:color w:val="auto"/>
          <w:highlight w:val="none"/>
        </w:rPr>
        <w:fldChar w:fldCharType="separate"/>
      </w:r>
      <w:r>
        <w:rPr>
          <w:rFonts w:hint="eastAsia" w:ascii="宋体" w:hAnsi="宋体" w:cs="宋体"/>
          <w:color w:val="auto"/>
          <w:highlight w:val="none"/>
        </w:rPr>
        <w:t>六、供应商基本情况说明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_Toc1197 \h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"_Toc11992"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_Toc11992 \h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"_Toc12706"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_Toc12706 \h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"_Toc14482"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_Toc14482 \h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"_Toc31815"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_Toc31815 \h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"_Toc21582"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_Toc21582 \h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"_Toc7350"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_Toc7350 \h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"_Toc25650"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_Toc25650 \h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"_Toc13588"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_Toc13588 \h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"_Toc28702"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_Toc28702 \h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"_Toc25570" </w:instrText>
      </w:r>
      <w:r>
        <w:rPr>
          <w:color w:val="auto"/>
          <w:highlight w:val="none"/>
        </w:rPr>
        <w:fldChar w:fldCharType="separate"/>
      </w:r>
      <w:r>
        <w:rPr>
          <w:rFonts w:hint="eastAsia" w:ascii="宋体" w:hAnsi="宋体" w:cs="宋体"/>
          <w:color w:val="auto"/>
          <w:highlight w:val="none"/>
        </w:rPr>
        <w:t>三、实质性条款（标记★）响应表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_Toc25570 \h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"_Toc14250"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_Toc14250 \h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"_Toc16875"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_Toc16875 \h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"_Toc27978" </w:instrText>
      </w:r>
      <w:r>
        <w:rPr>
          <w:color w:val="auto"/>
          <w:highlight w:val="none"/>
        </w:rPr>
        <w:fldChar w:fldCharType="separate"/>
      </w:r>
      <w:r>
        <w:rPr>
          <w:rFonts w:hint="eastAsia" w:ascii="宋体" w:hAnsi="宋体" w:cs="宋体"/>
          <w:color w:val="auto"/>
          <w:highlight w:val="none"/>
        </w:rPr>
        <w:t>六、响应货物明细一览表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_Toc27978 \h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"_Toc31841"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_Toc31841 \h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"_Toc17348" </w:instrText>
      </w:r>
      <w:r>
        <w:rPr>
          <w:color w:val="auto"/>
          <w:highlight w:val="none"/>
        </w:rPr>
        <w:fldChar w:fldCharType="separate"/>
      </w:r>
      <w:r>
        <w:rPr>
          <w:rFonts w:hint="eastAsia" w:ascii="宋体" w:hAnsi="宋体" w:cs="宋体"/>
          <w:color w:val="auto"/>
          <w:highlight w:val="none"/>
        </w:rPr>
        <w:t>第四章报价信封（单独封装）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_Toc17348 \h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"_Toc13881" </w:instrText>
      </w:r>
      <w:r>
        <w:rPr>
          <w:color w:val="auto"/>
          <w:highlight w:val="none"/>
        </w:rPr>
        <w:fldChar w:fldCharType="separate"/>
      </w:r>
      <w:r>
        <w:rPr>
          <w:rFonts w:hint="eastAsia" w:ascii="宋体" w:hAnsi="宋体" w:cs="宋体"/>
          <w:color w:val="auto"/>
          <w:highlight w:val="none"/>
        </w:rPr>
        <w:t>第五章联合体共同报价协议书（如有需要）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_Toc13881 \h </w:instrText>
      </w:r>
      <w:r>
        <w:rPr>
          <w:rFonts w:hint="eastAsia" w:ascii="宋体" w:hAnsi="宋体" w:cs="宋体"/>
          <w:color w:val="auto"/>
          <w:highlight w:val="none"/>
        </w:rPr>
        <w:fldChar w:fldCharType="separate"/>
      </w:r>
      <w:r>
        <w:rPr>
          <w:rFonts w:hint="eastAsia" w:ascii="宋体" w:hAnsi="宋体" w:cs="宋体"/>
          <w:color w:val="auto"/>
          <w:highlight w:val="none"/>
        </w:rPr>
        <w:t>79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5"/>
        <w:spacing w:before="0" w:after="0" w:line="240" w:lineRule="auto"/>
        <w:rPr>
          <w:color w:val="auto"/>
          <w:sz w:val="28"/>
          <w:szCs w:val="28"/>
          <w:highlight w:val="none"/>
        </w:rPr>
      </w:pPr>
      <w:bookmarkStart w:id="0" w:name="_Toc14033"/>
      <w:bookmarkStart w:id="1" w:name="_Toc17306"/>
      <w:r>
        <w:rPr>
          <w:rFonts w:hint="eastAsia"/>
          <w:color w:val="auto"/>
          <w:sz w:val="28"/>
          <w:szCs w:val="28"/>
          <w:highlight w:val="none"/>
        </w:rPr>
        <w:t>第一部分 磋商邀请</w:t>
      </w:r>
      <w:bookmarkEnd w:id="0"/>
      <w:bookmarkEnd w:id="1"/>
    </w:p>
    <w:p>
      <w:pPr>
        <w:pStyle w:val="6"/>
        <w:jc w:val="center"/>
        <w:rPr>
          <w:rFonts w:ascii="宋体" w:hAnsi="宋体" w:cs="宋体"/>
          <w:color w:val="auto"/>
          <w:highlight w:val="none"/>
        </w:rPr>
      </w:pPr>
      <w:bookmarkStart w:id="2" w:name="_Toc1420"/>
      <w:bookmarkStart w:id="3" w:name="_Toc8850"/>
      <w:bookmarkStart w:id="4" w:name="_Toc7988"/>
      <w:r>
        <w:rPr>
          <w:rFonts w:hint="eastAsia" w:ascii="宋体" w:hAnsi="宋体" w:cs="宋体"/>
          <w:color w:val="auto"/>
          <w:highlight w:val="none"/>
        </w:rPr>
        <w:t>磋商邀请书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color w:val="auto"/>
          <w:szCs w:val="21"/>
          <w:highlight w:val="none"/>
          <w:u w:val="single"/>
          <w:lang w:eastAsia="zh-CN"/>
        </w:rPr>
        <w:t>东莞市横沥镇规划管理所</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color w:val="auto"/>
          <w:szCs w:val="21"/>
          <w:highlight w:val="none"/>
          <w:u w:val="single"/>
          <w:lang w:eastAsia="zh-CN"/>
        </w:rPr>
        <w:t>环莞快速路三期工程东段横沥段建筑物拆除工程</w:t>
      </w:r>
      <w:r>
        <w:rPr>
          <w:rFonts w:hint="eastAsia" w:ascii="宋体" w:hAnsi="宋体" w:cs="Times New Roman"/>
          <w:color w:val="auto"/>
          <w:szCs w:val="21"/>
          <w:highlight w:val="none"/>
        </w:rPr>
        <w:t>进行国内竞争性磋商采购</w:t>
      </w:r>
      <w:r>
        <w:rPr>
          <w:rFonts w:hint="eastAsia" w:ascii="宋体" w:hAnsi="宋体"/>
          <w:color w:val="auto"/>
          <w:szCs w:val="21"/>
          <w:highlight w:val="none"/>
        </w:rPr>
        <w:t>，欢迎符合磋商文件要求的国内供应商参加</w:t>
      </w:r>
      <w:r>
        <w:rPr>
          <w:rFonts w:hint="eastAsia" w:hAnsi="宋体"/>
          <w:color w:val="auto"/>
          <w:szCs w:val="21"/>
          <w:highlight w:val="none"/>
        </w:rPr>
        <w:t>参与本次政府采购活动</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b/>
          <w:bCs/>
          <w:color w:val="auto"/>
          <w:szCs w:val="21"/>
          <w:highlight w:val="none"/>
          <w:u w:val="single"/>
          <w:lang w:eastAsia="zh-CN"/>
        </w:rPr>
        <w:t>GDZT2022157B</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b/>
          <w:bCs/>
          <w:color w:val="auto"/>
          <w:szCs w:val="21"/>
          <w:highlight w:val="none"/>
          <w:u w:val="single"/>
          <w:lang w:eastAsia="zh-CN"/>
        </w:rPr>
        <w:t>环莞快速路三期工程东段横沥段建筑物拆除工程</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68"/>
        <w:gridCol w:w="6288"/>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81" w:type="pct"/>
            <w:noWrap/>
            <w:tcMar>
              <w:top w:w="15" w:type="dxa"/>
              <w:left w:w="15" w:type="dxa"/>
              <w:right w:w="15" w:type="dxa"/>
            </w:tcMar>
            <w:vAlign w:val="center"/>
          </w:tcPr>
          <w:p>
            <w:pPr>
              <w:spacing w:line="240" w:lineRule="auto"/>
              <w:jc w:val="center"/>
              <w:rPr>
                <w:rFonts w:hint="eastAsia" w:ascii="宋体" w:hAnsi="宋体"/>
                <w:color w:val="auto"/>
                <w:szCs w:val="21"/>
                <w:highlight w:val="none"/>
              </w:rPr>
            </w:pPr>
            <w:r>
              <w:rPr>
                <w:rFonts w:hint="eastAsia" w:ascii="宋体" w:hAnsi="宋体"/>
                <w:color w:val="auto"/>
                <w:szCs w:val="21"/>
                <w:highlight w:val="none"/>
              </w:rPr>
              <w:t>序号</w:t>
            </w:r>
          </w:p>
        </w:tc>
        <w:tc>
          <w:tcPr>
            <w:tcW w:w="3772" w:type="pct"/>
            <w:noWrap/>
            <w:tcMar>
              <w:top w:w="15" w:type="dxa"/>
              <w:left w:w="15" w:type="dxa"/>
              <w:right w:w="15" w:type="dxa"/>
            </w:tcMar>
            <w:vAlign w:val="center"/>
          </w:tcPr>
          <w:p>
            <w:pPr>
              <w:spacing w:line="240" w:lineRule="auto"/>
              <w:jc w:val="center"/>
              <w:rPr>
                <w:rFonts w:hint="eastAsia" w:ascii="宋体" w:hAnsi="宋体"/>
                <w:color w:val="auto"/>
                <w:szCs w:val="21"/>
                <w:highlight w:val="none"/>
              </w:rPr>
            </w:pPr>
            <w:r>
              <w:rPr>
                <w:rFonts w:hint="eastAsia" w:ascii="宋体" w:hAnsi="宋体"/>
                <w:color w:val="auto"/>
                <w:szCs w:val="21"/>
                <w:highlight w:val="none"/>
              </w:rPr>
              <w:t>包组内容</w:t>
            </w:r>
          </w:p>
        </w:tc>
        <w:tc>
          <w:tcPr>
            <w:tcW w:w="646" w:type="pct"/>
            <w:noWrap/>
            <w:tcMar>
              <w:top w:w="15" w:type="dxa"/>
              <w:left w:w="15" w:type="dxa"/>
              <w:right w:w="15" w:type="dxa"/>
            </w:tcMar>
            <w:vAlign w:val="center"/>
          </w:tcPr>
          <w:p>
            <w:pPr>
              <w:spacing w:line="240" w:lineRule="auto"/>
              <w:jc w:val="center"/>
              <w:rPr>
                <w:rFonts w:hint="eastAsia" w:ascii="宋体" w:hAnsi="宋体"/>
                <w:color w:val="auto"/>
                <w:szCs w:val="21"/>
                <w:highlight w:val="none"/>
              </w:rPr>
            </w:pPr>
            <w:r>
              <w:rPr>
                <w:rFonts w:hint="eastAsia" w:ascii="宋体" w:hAnsi="宋体"/>
                <w:color w:val="auto"/>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81" w:type="pct"/>
            <w:noWrap/>
            <w:tcMar>
              <w:top w:w="15" w:type="dxa"/>
              <w:left w:w="15" w:type="dxa"/>
              <w:right w:w="15" w:type="dxa"/>
            </w:tcMar>
            <w:vAlign w:val="center"/>
          </w:tcPr>
          <w:p>
            <w:pPr>
              <w:spacing w:line="240" w:lineRule="auto"/>
              <w:jc w:val="center"/>
              <w:textAlignment w:val="center"/>
              <w:rPr>
                <w:rFonts w:ascii="宋体" w:hAnsi="宋体" w:cs="宋体"/>
                <w:color w:val="auto"/>
                <w:sz w:val="22"/>
                <w:highlight w:val="none"/>
              </w:rPr>
            </w:pPr>
            <w:r>
              <w:rPr>
                <w:rFonts w:hint="eastAsia" w:ascii="宋体" w:hAnsi="宋体"/>
                <w:color w:val="auto"/>
                <w:szCs w:val="21"/>
                <w:highlight w:val="none"/>
              </w:rPr>
              <w:t>1</w:t>
            </w:r>
          </w:p>
        </w:tc>
        <w:tc>
          <w:tcPr>
            <w:tcW w:w="3772"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 w:val="22"/>
                <w:highlight w:val="none"/>
                <w:lang w:eastAsia="zh-CN"/>
              </w:rPr>
            </w:pPr>
            <w:r>
              <w:rPr>
                <w:rFonts w:hint="eastAsia" w:ascii="宋体" w:hAnsi="宋体"/>
                <w:b/>
                <w:color w:val="auto"/>
                <w:szCs w:val="21"/>
                <w:highlight w:val="none"/>
                <w:u w:val="single"/>
                <w:lang w:eastAsia="zh-CN"/>
              </w:rPr>
              <w:t>环莞快速路三期工程东段横沥段建筑物拆除工程</w:t>
            </w:r>
          </w:p>
        </w:tc>
        <w:tc>
          <w:tcPr>
            <w:tcW w:w="646" w:type="pct"/>
            <w:noWrap/>
            <w:tcMar>
              <w:top w:w="15" w:type="dxa"/>
              <w:left w:w="15" w:type="dxa"/>
              <w:right w:w="15" w:type="dxa"/>
            </w:tcMar>
            <w:vAlign w:val="center"/>
          </w:tcPr>
          <w:p>
            <w:pPr>
              <w:spacing w:line="240" w:lineRule="auto"/>
              <w:jc w:val="center"/>
              <w:textAlignment w:val="center"/>
              <w:rPr>
                <w:rFonts w:ascii="宋体" w:hAnsi="宋体" w:cs="宋体"/>
                <w:color w:val="auto"/>
                <w:sz w:val="22"/>
                <w:highlight w:val="none"/>
              </w:rPr>
            </w:pPr>
            <w:r>
              <w:rPr>
                <w:rFonts w:hint="eastAsia" w:ascii="宋体" w:hAnsi="宋体"/>
                <w:color w:val="auto"/>
                <w:szCs w:val="21"/>
                <w:highlight w:val="none"/>
              </w:rPr>
              <w:t>1项</w:t>
            </w:r>
          </w:p>
        </w:tc>
      </w:tr>
    </w:tbl>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二、供应商资格要求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供应商的单位负责人为同一人或者存在直接控股、管理关系的不同供应商，不得参加同一合同项下的政府采购活动。为本项目提供整体设计、规范编制或者项目管理、监理、检测等服务的供应商，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响应截止日当天在“信用中国”网站及中国政府采购网查询结果为准，如相关失信记录已失效，供应商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pStyle w:val="2"/>
        <w:spacing w:before="0"/>
        <w:ind w:left="0"/>
        <w:rPr>
          <w:color w:val="auto"/>
          <w:sz w:val="21"/>
          <w:szCs w:val="21"/>
          <w:highlight w:val="none"/>
        </w:rPr>
      </w:pP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ind w:firstLine="411" w:firstLineChars="196"/>
        <w:rPr>
          <w:rFonts w:ascii="宋体" w:hAnsi="宋体"/>
          <w:color w:val="auto"/>
          <w:szCs w:val="21"/>
          <w:highlight w:val="none"/>
        </w:rPr>
      </w:pPr>
      <w:r>
        <w:rPr>
          <w:rFonts w:hint="eastAsia"/>
          <w:color w:val="auto"/>
          <w:highlight w:val="none"/>
        </w:rPr>
        <w:t>供应商须具有有效期内建筑施工总承包资质叁级（或以上）资质</w:t>
      </w:r>
      <w:r>
        <w:rPr>
          <w:rFonts w:hint="eastAsia" w:ascii="宋体" w:hAnsi="宋体" w:cs="Times New Roman"/>
          <w:color w:val="auto"/>
          <w:szCs w:val="21"/>
          <w:highlight w:val="none"/>
        </w:rPr>
        <w:t>。</w:t>
      </w:r>
    </w:p>
    <w:p>
      <w:pPr>
        <w:ind w:firstLine="411" w:firstLineChars="196"/>
        <w:rPr>
          <w:rFonts w:ascii="宋体" w:hAnsi="宋体"/>
          <w:color w:val="auto"/>
          <w:szCs w:val="21"/>
          <w:highlight w:val="none"/>
        </w:rPr>
      </w:pPr>
      <w:r>
        <w:rPr>
          <w:rFonts w:hint="eastAsia" w:ascii="宋体" w:hAnsi="宋体" w:cs="Times New Roman"/>
          <w:color w:val="auto"/>
          <w:szCs w:val="21"/>
          <w:highlight w:val="none"/>
        </w:rPr>
        <w:t>注：上述资质要求，依据住房和城乡建设部2020年11月30日关于印发《建设工程企业资质管理制度改革方案》的通知，在更换资质证书前有效期内适用于本项目资质证书的均为有效资格条件。</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三、项目公示时间、磋商文件领购时间、地点、方式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1、项目公示时间：2022年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22</w:t>
      </w:r>
      <w:r>
        <w:rPr>
          <w:rFonts w:hint="eastAsia" w:ascii="宋体" w:hAnsi="宋体"/>
          <w:color w:val="auto"/>
          <w:szCs w:val="21"/>
          <w:highlight w:val="none"/>
        </w:rPr>
        <w:t>日起至2022年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29</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2、磋商文件领购</w:t>
      </w:r>
      <w:r>
        <w:rPr>
          <w:rFonts w:ascii="宋体" w:hAnsi="宋体"/>
          <w:color w:val="auto"/>
          <w:szCs w:val="21"/>
          <w:highlight w:val="none"/>
        </w:rPr>
        <w:t>时间：</w:t>
      </w:r>
      <w:r>
        <w:rPr>
          <w:rFonts w:hint="eastAsia" w:ascii="宋体" w:hAnsi="宋体"/>
          <w:color w:val="auto"/>
          <w:szCs w:val="21"/>
          <w:highlight w:val="none"/>
        </w:rPr>
        <w:t>2022年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22</w:t>
      </w:r>
      <w:r>
        <w:rPr>
          <w:rFonts w:hint="eastAsia" w:ascii="宋体" w:hAnsi="宋体"/>
          <w:color w:val="auto"/>
          <w:szCs w:val="21"/>
          <w:highlight w:val="none"/>
        </w:rPr>
        <w:t>日起至2022年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29</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注：（1）供应商</w:t>
      </w:r>
      <w:r>
        <w:rPr>
          <w:rFonts w:hint="eastAsia" w:ascii="宋体" w:hAnsi="宋体"/>
          <w:szCs w:val="21"/>
          <w:highlight w:val="none"/>
        </w:rPr>
        <w:t>可自行打印</w:t>
      </w:r>
      <w:r>
        <w:rPr>
          <w:rFonts w:hint="eastAsia" w:ascii="宋体" w:hAnsi="宋体"/>
          <w:szCs w:val="21"/>
          <w:highlight w:val="none"/>
          <w:lang w:val="en-US" w:eastAsia="zh-CN"/>
        </w:rPr>
        <w:t>本</w:t>
      </w:r>
      <w:r>
        <w:rPr>
          <w:rFonts w:hint="eastAsia" w:ascii="宋体" w:hAnsi="宋体"/>
          <w:szCs w:val="21"/>
          <w:highlight w:val="none"/>
        </w:rPr>
        <w:t>文件最后1页中的“获取磋商文件登记表”进行填写并带到现场进行领购，并现场领取发票。（磋商文件领购价：人民币300元整）</w:t>
      </w:r>
    </w:p>
    <w:p>
      <w:pPr>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szCs w:val="21"/>
          <w:highlight w:val="none"/>
        </w:rPr>
        <w:t>现场支持现金支付、微信支付、支付宝支付等支付方式，请将相应表格交予我司简小姐</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（3）磋商文件电子版可在政通招标网（http://www.zttendering.com/）相关招标信息公告下自行下载。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3、磋商文件领购地点：东莞市南城街道鸿福路199号（市民服务中心）411室。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联系人：简海欣</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4、磋商文件领购方式：现场领购。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供应商在领购磋商文件时须提供如下证明材料：《营业执照》复印件（加盖公章）或《事业单位法人证书》复印件（加盖公章）或其他主体证书复印件（加盖公章），自然人参加报价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四、其他事项</w:t>
      </w:r>
    </w:p>
    <w:p>
      <w:pPr>
        <w:ind w:firstLine="420" w:firstLineChars="200"/>
        <w:rPr>
          <w:rFonts w:ascii="宋体" w:hAnsi="宋体"/>
          <w:color w:val="auto"/>
          <w:szCs w:val="21"/>
          <w:highlight w:val="none"/>
        </w:rPr>
      </w:pPr>
      <w:r>
        <w:rPr>
          <w:rFonts w:hint="eastAsia" w:ascii="宋体" w:hAnsi="宋体"/>
          <w:color w:val="auto"/>
          <w:szCs w:val="21"/>
          <w:highlight w:val="none"/>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五、响应截止时间、开标时间及地点</w:t>
      </w:r>
    </w:p>
    <w:p>
      <w:pPr>
        <w:ind w:firstLine="411" w:firstLineChars="196"/>
        <w:rPr>
          <w:rFonts w:ascii="宋体" w:hAnsi="宋体"/>
          <w:bCs/>
          <w:color w:val="auto"/>
          <w:szCs w:val="21"/>
          <w:highlight w:val="none"/>
        </w:rPr>
      </w:pPr>
      <w:r>
        <w:rPr>
          <w:rFonts w:hint="eastAsia" w:ascii="宋体" w:hAnsi="宋体"/>
          <w:bCs/>
          <w:color w:val="auto"/>
          <w:szCs w:val="21"/>
          <w:highlight w:val="none"/>
        </w:rPr>
        <w:t>1、递交响应文件时间：202</w:t>
      </w:r>
      <w:r>
        <w:rPr>
          <w:rFonts w:hint="eastAsia" w:ascii="宋体" w:hAnsi="宋体"/>
          <w:bCs/>
          <w:color w:val="auto"/>
          <w:szCs w:val="21"/>
          <w:highlight w:val="none"/>
          <w:lang w:val="en-US" w:eastAsia="zh-CN"/>
        </w:rPr>
        <w:t>3</w:t>
      </w:r>
      <w:r>
        <w:rPr>
          <w:rFonts w:hint="eastAsia" w:ascii="宋体" w:hAnsi="宋体"/>
          <w:bCs/>
          <w:color w:val="auto"/>
          <w:szCs w:val="21"/>
          <w:highlight w:val="none"/>
        </w:rPr>
        <w:t>年</w:t>
      </w:r>
      <w:r>
        <w:rPr>
          <w:rFonts w:hint="eastAsia" w:ascii="宋体" w:hAnsi="宋体"/>
          <w:color w:val="auto"/>
          <w:szCs w:val="21"/>
          <w:highlight w:val="none"/>
          <w:lang w:val="en-US" w:eastAsia="zh-CN"/>
        </w:rPr>
        <w:t>1</w:t>
      </w:r>
      <w:r>
        <w:rPr>
          <w:rFonts w:hint="eastAsia" w:ascii="宋体" w:hAnsi="宋体"/>
          <w:color w:val="auto"/>
          <w:szCs w:val="21"/>
          <w:highlight w:val="none"/>
        </w:rPr>
        <w:t>月</w:t>
      </w:r>
      <w:r>
        <w:rPr>
          <w:rFonts w:hint="eastAsia" w:ascii="宋体" w:hAnsi="宋体"/>
          <w:color w:val="auto"/>
          <w:szCs w:val="21"/>
          <w:highlight w:val="none"/>
          <w:lang w:val="en-US" w:eastAsia="zh-CN"/>
        </w:rPr>
        <w:t>3</w:t>
      </w:r>
      <w:r>
        <w:rPr>
          <w:rFonts w:hint="eastAsia" w:ascii="宋体" w:hAnsi="宋体"/>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w:t>
      </w:r>
      <w:r>
        <w:rPr>
          <w:rFonts w:hint="eastAsia" w:ascii="宋体" w:hAnsi="宋体"/>
          <w:bCs/>
          <w:color w:val="auto"/>
          <w:szCs w:val="21"/>
          <w:highlight w:val="none"/>
          <w:lang w:val="en-US" w:eastAsia="zh-CN"/>
        </w:rPr>
        <w:t>30</w:t>
      </w:r>
      <w:r>
        <w:rPr>
          <w:rFonts w:hint="eastAsia" w:ascii="宋体" w:hAnsi="宋体"/>
          <w:bCs/>
          <w:color w:val="auto"/>
          <w:szCs w:val="21"/>
          <w:highlight w:val="none"/>
        </w:rPr>
        <w:t>～</w:t>
      </w:r>
      <w:r>
        <w:rPr>
          <w:rFonts w:hint="eastAsia" w:ascii="宋体" w:hAnsi="宋体"/>
          <w:bCs/>
          <w:color w:val="auto"/>
          <w:szCs w:val="21"/>
          <w:highlight w:val="none"/>
          <w:lang w:val="en-US" w:eastAsia="zh-CN"/>
        </w:rPr>
        <w:t>15</w:t>
      </w:r>
      <w:r>
        <w:rPr>
          <w:rFonts w:hint="eastAsia" w:ascii="宋体" w:hAnsi="宋体"/>
          <w:bCs/>
          <w:color w:val="auto"/>
          <w:szCs w:val="21"/>
          <w:highlight w:val="none"/>
        </w:rPr>
        <w:t>：</w:t>
      </w:r>
      <w:r>
        <w:rPr>
          <w:rFonts w:hint="eastAsia" w:ascii="宋体" w:hAnsi="宋体"/>
          <w:bCs/>
          <w:color w:val="auto"/>
          <w:szCs w:val="21"/>
          <w:highlight w:val="none"/>
          <w:lang w:val="en-US" w:eastAsia="zh-CN"/>
        </w:rPr>
        <w:t>00</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r>
        <w:rPr>
          <w:rFonts w:hint="eastAsia" w:ascii="宋体" w:hAnsi="宋体"/>
          <w:bCs/>
          <w:color w:val="auto"/>
          <w:szCs w:val="21"/>
          <w:highlight w:val="none"/>
        </w:rPr>
        <w:t>2、响应截止及开标时间：202</w:t>
      </w:r>
      <w:r>
        <w:rPr>
          <w:rFonts w:hint="eastAsia" w:ascii="宋体" w:hAnsi="宋体"/>
          <w:bCs/>
          <w:color w:val="auto"/>
          <w:szCs w:val="21"/>
          <w:highlight w:val="none"/>
          <w:lang w:val="en-US" w:eastAsia="zh-CN"/>
        </w:rPr>
        <w:t>3</w:t>
      </w:r>
      <w:r>
        <w:rPr>
          <w:rFonts w:hint="eastAsia" w:ascii="宋体" w:hAnsi="宋体"/>
          <w:bCs/>
          <w:color w:val="auto"/>
          <w:szCs w:val="21"/>
          <w:highlight w:val="none"/>
        </w:rPr>
        <w:t>年</w:t>
      </w:r>
      <w:r>
        <w:rPr>
          <w:rFonts w:hint="eastAsia" w:ascii="宋体" w:hAnsi="宋体"/>
          <w:color w:val="auto"/>
          <w:szCs w:val="21"/>
          <w:highlight w:val="none"/>
          <w:lang w:val="en-US" w:eastAsia="zh-CN"/>
        </w:rPr>
        <w:t xml:space="preserve"> 1</w:t>
      </w:r>
      <w:r>
        <w:rPr>
          <w:rFonts w:hint="eastAsia" w:ascii="宋体" w:hAnsi="宋体"/>
          <w:color w:val="auto"/>
          <w:szCs w:val="21"/>
          <w:highlight w:val="none"/>
        </w:rPr>
        <w:t>月</w:t>
      </w:r>
      <w:r>
        <w:rPr>
          <w:rFonts w:hint="eastAsia" w:ascii="宋体" w:hAnsi="宋体"/>
          <w:color w:val="auto"/>
          <w:szCs w:val="21"/>
          <w:highlight w:val="none"/>
          <w:lang w:val="en-US" w:eastAsia="zh-CN"/>
        </w:rPr>
        <w:t>3</w:t>
      </w:r>
      <w:r>
        <w:rPr>
          <w:rFonts w:hint="eastAsia" w:ascii="宋体" w:hAnsi="宋体"/>
          <w:color w:val="auto"/>
          <w:szCs w:val="21"/>
          <w:highlight w:val="none"/>
        </w:rPr>
        <w:t>日</w:t>
      </w:r>
      <w:r>
        <w:rPr>
          <w:rFonts w:hint="eastAsia" w:ascii="宋体" w:hAnsi="宋体"/>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15</w:t>
      </w:r>
      <w:r>
        <w:rPr>
          <w:rFonts w:hint="eastAsia" w:ascii="宋体" w:hAnsi="宋体"/>
          <w:bCs/>
          <w:color w:val="auto"/>
          <w:szCs w:val="21"/>
          <w:highlight w:val="none"/>
        </w:rPr>
        <w:t>时</w:t>
      </w:r>
      <w:r>
        <w:rPr>
          <w:rFonts w:hint="eastAsia" w:ascii="宋体" w:hAnsi="宋体"/>
          <w:bCs/>
          <w:color w:val="auto"/>
          <w:szCs w:val="21"/>
          <w:highlight w:val="none"/>
          <w:lang w:val="en-US" w:eastAsia="zh-CN"/>
        </w:rPr>
        <w:t>00</w:t>
      </w:r>
      <w:r>
        <w:rPr>
          <w:rFonts w:hint="eastAsia" w:ascii="宋体" w:hAnsi="宋体"/>
          <w:bCs/>
          <w:color w:val="auto"/>
          <w:szCs w:val="21"/>
          <w:highlight w:val="none"/>
        </w:rPr>
        <w:t>分。</w:t>
      </w:r>
    </w:p>
    <w:p>
      <w:pPr>
        <w:ind w:firstLine="411" w:firstLineChars="196"/>
        <w:rPr>
          <w:rFonts w:ascii="宋体" w:hAnsi="宋体"/>
          <w:bCs/>
          <w:color w:val="auto"/>
          <w:szCs w:val="21"/>
          <w:highlight w:val="none"/>
        </w:rPr>
      </w:pPr>
      <w:r>
        <w:rPr>
          <w:rFonts w:hint="eastAsia" w:ascii="宋体" w:hAnsi="宋体"/>
          <w:bCs/>
          <w:color w:val="auto"/>
          <w:szCs w:val="21"/>
          <w:highlight w:val="none"/>
        </w:rPr>
        <w:t>3、接收响应文件地点：东莞市南城街道鸿福路199号（市民服务中心）411室。</w:t>
      </w:r>
    </w:p>
    <w:p>
      <w:pPr>
        <w:rPr>
          <w:color w:val="auto"/>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rPr>
        <w:t>六、采购人及采购代理机构的名称、地址和联系方法：</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 xml:space="preserve">梁工 </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东莞市横沥镇</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联系电话：0769-83711222</w:t>
      </w:r>
      <w:r>
        <w:rPr>
          <w:rFonts w:hint="eastAsia" w:ascii="宋体" w:hAnsi="宋体"/>
          <w:bCs/>
          <w:color w:val="auto"/>
          <w:szCs w:val="21"/>
          <w:highlight w:val="none"/>
          <w:lang w:val="en-US" w:eastAsia="zh-CN"/>
        </w:rPr>
        <w:t xml:space="preserve"> </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采购代理机构联系人：</w:t>
      </w:r>
      <w:r>
        <w:rPr>
          <w:rFonts w:hint="eastAsia" w:ascii="宋体" w:hAnsi="宋体"/>
          <w:color w:val="auto"/>
          <w:szCs w:val="21"/>
          <w:highlight w:val="none"/>
          <w:lang w:eastAsia="zh-CN"/>
        </w:rPr>
        <w:t>薛先生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hint="eastAsia" w:eastAsia="宋体"/>
          <w:color w:val="auto"/>
          <w:highlight w:val="none"/>
          <w:lang w:eastAsia="zh-CN"/>
        </w:rPr>
      </w:pPr>
      <w:r>
        <w:rPr>
          <w:rFonts w:hint="eastAsia" w:ascii="宋体" w:hAnsi="宋体"/>
          <w:color w:val="auto"/>
          <w:szCs w:val="21"/>
          <w:highlight w:val="none"/>
        </w:rPr>
        <w:t>E</w:t>
      </w:r>
      <w:r>
        <w:rPr>
          <w:rFonts w:hint="eastAsia" w:ascii="宋体" w:hAnsi="宋体"/>
          <w:color w:val="auto"/>
          <w:szCs w:val="21"/>
          <w:highlight w:val="none"/>
          <w:lang w:val="en-US" w:eastAsia="zh-CN"/>
        </w:rPr>
        <w:t>-</w:t>
      </w:r>
      <w:r>
        <w:rPr>
          <w:rFonts w:hint="eastAsia" w:ascii="宋体" w:hAnsi="宋体"/>
          <w:color w:val="auto"/>
          <w:szCs w:val="21"/>
          <w:highlight w:val="none"/>
        </w:rPr>
        <w:t xml:space="preserve"> mail：</w:t>
      </w:r>
      <w:r>
        <w:rPr>
          <w:rFonts w:hint="eastAsia" w:ascii="宋体" w:hAnsi="宋体"/>
          <w:color w:val="auto"/>
          <w:szCs w:val="21"/>
          <w:highlight w:val="none"/>
          <w:lang w:eastAsia="zh-CN"/>
        </w:rPr>
        <w:t>839460116@qq.com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olor w:val="auto"/>
          <w:szCs w:val="21"/>
          <w:highlight w:val="none"/>
        </w:rPr>
        <w:t>2022年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月</w:t>
      </w:r>
    </w:p>
    <w:p>
      <w:pPr>
        <w:pStyle w:val="2"/>
        <w:rPr>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left="0" w:firstLine="0" w:firstLineChars="0"/>
        <w:rPr>
          <w:rFonts w:ascii="宋体" w:hAnsi="宋体" w:cs="宋体"/>
          <w:color w:val="auto"/>
          <w:sz w:val="21"/>
          <w:szCs w:val="21"/>
          <w:highlight w:val="none"/>
        </w:rPr>
      </w:pPr>
    </w:p>
    <w:p>
      <w:pPr>
        <w:rPr>
          <w:color w:val="auto"/>
          <w:sz w:val="28"/>
          <w:szCs w:val="28"/>
          <w:highlight w:val="none"/>
        </w:rPr>
      </w:pPr>
      <w:bookmarkStart w:id="5" w:name="_Toc28550"/>
      <w:bookmarkStart w:id="6" w:name="_Toc31060"/>
      <w:r>
        <w:rPr>
          <w:rFonts w:hint="eastAsia"/>
          <w:color w:val="auto"/>
          <w:sz w:val="28"/>
          <w:szCs w:val="28"/>
          <w:highlight w:val="none"/>
        </w:rPr>
        <w:br w:type="page"/>
      </w:r>
    </w:p>
    <w:p>
      <w:pPr>
        <w:pStyle w:val="5"/>
        <w:spacing w:before="0" w:after="0" w:line="240" w:lineRule="auto"/>
        <w:rPr>
          <w:color w:val="auto"/>
          <w:sz w:val="28"/>
          <w:szCs w:val="28"/>
          <w:highlight w:val="none"/>
        </w:rPr>
      </w:pPr>
      <w:r>
        <w:rPr>
          <w:rFonts w:hint="eastAsia"/>
          <w:color w:val="auto"/>
          <w:sz w:val="28"/>
          <w:szCs w:val="28"/>
          <w:highlight w:val="none"/>
        </w:rPr>
        <w:t>第二部分</w:t>
      </w:r>
      <w:bookmarkStart w:id="7" w:name="_Toc20683"/>
      <w:r>
        <w:rPr>
          <w:rFonts w:hint="eastAsia"/>
          <w:color w:val="auto"/>
          <w:sz w:val="28"/>
          <w:szCs w:val="28"/>
          <w:highlight w:val="none"/>
        </w:rPr>
        <w:t xml:space="preserve"> 磋商资料表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Cs/>
                <w:color w:val="auto"/>
                <w:szCs w:val="21"/>
                <w:highlight w:val="none"/>
              </w:rPr>
              <w:t>所属行业：建筑业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lang w:val="en-US" w:eastAsia="zh-CN"/>
              </w:rPr>
              <w:t>财政</w:t>
            </w:r>
            <w:r>
              <w:rPr>
                <w:rFonts w:hint="eastAsia" w:ascii="宋体" w:hAnsi="宋体"/>
                <w:color w:val="auto"/>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项目限价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二、响应文件的编制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磋商语言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磋商报价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详见供应商须知。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磋商样品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磋商保证金：本项目不需提供磋商保证金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供应商应提交以下响应文件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响应文件类型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报价文件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响应文件正本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响应文件副本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小型或微型企业、监狱企业、残疾人福利性单位磋商价格折扣标准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s="宋体"/>
                <w:color w:val="auto"/>
                <w:kern w:val="2"/>
                <w:szCs w:val="21"/>
                <w:highlight w:val="none"/>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供应商符合须知“优惠政策”中联合体规定的响应价格折扣标准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供应商所投产品为获得节能产品认证或环境标志产品认证证书的价格折扣标准（相关规定详见供应商须知“优惠政策”）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lang w:eastAsia="zh-CN"/>
              </w:rPr>
              <w:t>中标（成交）</w:t>
            </w:r>
            <w:r>
              <w:rPr>
                <w:rFonts w:hint="eastAsia" w:ascii="宋体" w:hAnsi="宋体"/>
                <w:b/>
                <w:color w:val="auto"/>
                <w:szCs w:val="21"/>
                <w:highlight w:val="none"/>
              </w:rPr>
              <w:t>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（1）本项目固定收取</w:t>
            </w:r>
            <w:r>
              <w:rPr>
                <w:rFonts w:hint="eastAsia" w:ascii="宋体" w:hAnsi="宋体"/>
                <w:color w:val="auto"/>
                <w:szCs w:val="21"/>
                <w:highlight w:val="none"/>
                <w:lang w:eastAsia="zh-CN"/>
              </w:rPr>
              <w:t>中标（成交）</w:t>
            </w:r>
            <w:r>
              <w:rPr>
                <w:rFonts w:hint="eastAsia" w:ascii="宋体" w:hAnsi="宋体"/>
                <w:color w:val="auto"/>
                <w:szCs w:val="21"/>
                <w:highlight w:val="none"/>
              </w:rPr>
              <w:t>服务费金额为人民币</w:t>
            </w:r>
            <w:r>
              <w:rPr>
                <w:rFonts w:hint="eastAsia" w:ascii="宋体" w:hAnsi="宋体"/>
                <w:color w:val="auto"/>
                <w:szCs w:val="21"/>
                <w:highlight w:val="none"/>
                <w:lang w:val="en-US" w:eastAsia="zh-CN"/>
              </w:rPr>
              <w:t>壹万贰仟元整</w:t>
            </w:r>
            <w:r>
              <w:rPr>
                <w:rFonts w:hint="eastAsia" w:ascii="宋体" w:hAnsi="宋体"/>
                <w:color w:val="auto"/>
                <w:szCs w:val="21"/>
                <w:highlight w:val="none"/>
              </w:rPr>
              <w:t>（¥</w:t>
            </w:r>
            <w:r>
              <w:rPr>
                <w:rFonts w:hint="eastAsia" w:ascii="宋体" w:hAnsi="宋体"/>
                <w:color w:val="auto"/>
                <w:szCs w:val="21"/>
                <w:highlight w:val="none"/>
                <w:lang w:val="en-US" w:eastAsia="zh-CN"/>
              </w:rPr>
              <w:t>12</w:t>
            </w:r>
            <w:r>
              <w:rPr>
                <w:rFonts w:hint="eastAsia" w:ascii="宋体" w:hAnsi="宋体"/>
                <w:color w:val="auto"/>
                <w:szCs w:val="21"/>
                <w:highlight w:val="none"/>
              </w:rPr>
              <w:t>,000.00），向</w:t>
            </w:r>
            <w:r>
              <w:rPr>
                <w:rFonts w:hint="eastAsia" w:ascii="宋体" w:hAnsi="宋体"/>
                <w:color w:val="auto"/>
                <w:szCs w:val="21"/>
                <w:highlight w:val="none"/>
                <w:lang w:eastAsia="zh-CN"/>
              </w:rPr>
              <w:t>中标（成交）</w:t>
            </w:r>
            <w:r>
              <w:rPr>
                <w:rFonts w:hint="eastAsia" w:ascii="宋体" w:hAnsi="宋体"/>
                <w:color w:val="auto"/>
                <w:szCs w:val="21"/>
                <w:highlight w:val="none"/>
              </w:rPr>
              <w:t>单位收取。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eastAsia="zh-CN"/>
              </w:rPr>
              <w:t>中标（成交）</w:t>
            </w:r>
            <w:r>
              <w:rPr>
                <w:rFonts w:hint="eastAsia" w:ascii="宋体" w:hAnsi="宋体"/>
                <w:color w:val="auto"/>
                <w:szCs w:val="21"/>
                <w:highlight w:val="none"/>
              </w:rPr>
              <w:t>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注：本表关于要采购项目的具体资料，是对供应商须知的具体补充和修改，如有矛盾，应以本资料表为准。</w:t>
            </w:r>
          </w:p>
        </w:tc>
      </w:tr>
    </w:tbl>
    <w:p>
      <w:pPr>
        <w:rPr>
          <w:color w:val="auto"/>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left="0" w:firstLine="0" w:firstLineChars="0"/>
        <w:rPr>
          <w:rFonts w:ascii="宋体" w:hAnsi="宋体" w:cs="宋体"/>
          <w:color w:val="auto"/>
          <w:sz w:val="21"/>
          <w:szCs w:val="21"/>
          <w:highlight w:val="none"/>
        </w:rPr>
      </w:pPr>
    </w:p>
    <w:p>
      <w:pPr>
        <w:rPr>
          <w:color w:val="auto"/>
          <w:sz w:val="28"/>
          <w:szCs w:val="28"/>
          <w:highlight w:val="none"/>
        </w:rPr>
      </w:pPr>
      <w:bookmarkStart w:id="8" w:name="_Toc4043"/>
      <w:bookmarkStart w:id="9" w:name="_Toc13473"/>
      <w:bookmarkStart w:id="10" w:name="_Hlk55300595"/>
      <w:bookmarkStart w:id="11" w:name="_Toc9572"/>
      <w:r>
        <w:rPr>
          <w:rFonts w:hint="eastAsia"/>
          <w:color w:val="auto"/>
          <w:sz w:val="28"/>
          <w:szCs w:val="28"/>
          <w:highlight w:val="none"/>
        </w:rPr>
        <w:br w:type="page"/>
      </w:r>
    </w:p>
    <w:p>
      <w:pPr>
        <w:pStyle w:val="5"/>
        <w:spacing w:before="0" w:after="0" w:line="360" w:lineRule="auto"/>
        <w:rPr>
          <w:color w:val="auto"/>
          <w:highlight w:val="none"/>
        </w:rPr>
      </w:pPr>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6"/>
        <w:spacing w:line="240" w:lineRule="auto"/>
        <w:jc w:val="center"/>
        <w:rPr>
          <w:rFonts w:ascii="宋体" w:hAnsi="宋体" w:cs="宋体"/>
          <w:color w:val="auto"/>
          <w:sz w:val="24"/>
          <w:szCs w:val="24"/>
          <w:highlight w:val="none"/>
        </w:rPr>
      </w:pPr>
      <w:bookmarkStart w:id="15" w:name="_Toc462"/>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498"/>
        <w:gridCol w:w="5712"/>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序号</w:t>
            </w:r>
          </w:p>
        </w:tc>
        <w:tc>
          <w:tcPr>
            <w:tcW w:w="1498"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评审项目</w:t>
            </w:r>
          </w:p>
        </w:tc>
        <w:tc>
          <w:tcPr>
            <w:tcW w:w="5712"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spacing w:line="360" w:lineRule="auto"/>
              <w:ind w:firstLine="0" w:firstLineChars="0"/>
              <w:jc w:val="center"/>
              <w:rPr>
                <w:rFonts w:ascii="宋体" w:eastAsia="宋体" w:cs="宋体"/>
                <w:bCs/>
                <w:color w:val="auto"/>
                <w:sz w:val="21"/>
                <w:szCs w:val="21"/>
                <w:highlight w:val="none"/>
                <w:lang w:val="zh-CN"/>
              </w:rPr>
            </w:pPr>
            <w:r>
              <w:rPr>
                <w:rFonts w:hint="eastAsia" w:ascii="宋体" w:eastAsia="宋体" w:cs="宋体"/>
                <w:color w:val="auto"/>
                <w:sz w:val="21"/>
                <w:szCs w:val="21"/>
                <w:highlight w:val="none"/>
              </w:rPr>
              <w:t>价格评分（</w:t>
            </w:r>
            <w:r>
              <w:rPr>
                <w:rFonts w:hint="eastAsia" w:ascii="宋体" w:eastAsia="宋体" w:cs="宋体"/>
                <w:color w:val="auto"/>
                <w:sz w:val="21"/>
                <w:szCs w:val="21"/>
                <w:highlight w:val="none"/>
                <w:lang w:val="en-US" w:eastAsia="zh-CN"/>
              </w:rPr>
              <w:t>30</w:t>
            </w:r>
            <w:r>
              <w:rPr>
                <w:rFonts w:hint="eastAsia" w:ascii="宋体" w:eastAsia="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651" w:type="dxa"/>
            <w:tcBorders>
              <w:top w:val="single" w:color="auto" w:sz="4" w:space="0"/>
              <w:left w:val="single" w:color="auto" w:sz="4" w:space="0"/>
              <w:right w:val="single" w:color="auto" w:sz="4" w:space="0"/>
            </w:tcBorders>
            <w:vAlign w:val="center"/>
          </w:tcPr>
          <w:p>
            <w:pPr>
              <w:pStyle w:val="35"/>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498" w:type="dxa"/>
            <w:tcBorders>
              <w:top w:val="single" w:color="auto" w:sz="4" w:space="0"/>
              <w:left w:val="single" w:color="auto" w:sz="4" w:space="0"/>
              <w:right w:val="single" w:color="auto" w:sz="4" w:space="0"/>
            </w:tcBorders>
            <w:vAlign w:val="center"/>
          </w:tcPr>
          <w:p>
            <w:pPr>
              <w:adjustRightInd/>
              <w:snapToGrid/>
              <w:spacing w:line="360" w:lineRule="auto"/>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zh-CN"/>
              </w:rPr>
              <w:t>拆除费用</w:t>
            </w:r>
            <w:r>
              <w:rPr>
                <w:rFonts w:hint="eastAsia" w:ascii="宋体" w:hAnsi="宋体" w:cs="宋体"/>
                <w:bCs/>
                <w:color w:val="auto"/>
                <w:szCs w:val="21"/>
                <w:highlight w:val="none"/>
                <w:lang w:val="en-US" w:eastAsia="zh-CN"/>
              </w:rPr>
              <w:t>报价评分</w:t>
            </w:r>
          </w:p>
        </w:tc>
        <w:tc>
          <w:tcPr>
            <w:tcW w:w="5712" w:type="dxa"/>
            <w:tcBorders>
              <w:top w:val="single" w:color="auto" w:sz="4" w:space="0"/>
              <w:left w:val="single" w:color="auto" w:sz="4" w:space="0"/>
              <w:right w:val="single" w:color="auto" w:sz="4" w:space="0"/>
            </w:tcBorders>
            <w:vAlign w:val="center"/>
          </w:tcPr>
          <w:p>
            <w:pPr>
              <w:adjustRightInd/>
              <w:snapToGri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满足磋商文件要求且</w:t>
            </w:r>
            <w:r>
              <w:rPr>
                <w:rFonts w:hint="eastAsia" w:ascii="宋体" w:hAnsi="宋体" w:cs="宋体"/>
                <w:bCs/>
                <w:color w:val="auto"/>
                <w:szCs w:val="21"/>
                <w:highlight w:val="none"/>
                <w:lang w:val="zh-CN"/>
              </w:rPr>
              <w:t>拆除费用</w:t>
            </w:r>
            <w:r>
              <w:rPr>
                <w:rFonts w:hint="eastAsia" w:ascii="宋体" w:hAnsi="宋体" w:cs="宋体"/>
                <w:color w:val="auto"/>
                <w:szCs w:val="21"/>
                <w:highlight w:val="none"/>
              </w:rPr>
              <w:t>最</w:t>
            </w:r>
            <w:r>
              <w:rPr>
                <w:rFonts w:hint="eastAsia" w:ascii="宋体" w:hAnsi="宋体" w:cs="宋体"/>
                <w:color w:val="auto"/>
                <w:szCs w:val="21"/>
                <w:highlight w:val="none"/>
                <w:lang w:val="en-US" w:eastAsia="zh-CN"/>
              </w:rPr>
              <w:t>低</w:t>
            </w:r>
            <w:r>
              <w:rPr>
                <w:rFonts w:hint="eastAsia" w:ascii="宋体" w:hAnsi="宋体" w:cs="宋体"/>
                <w:color w:val="auto"/>
                <w:szCs w:val="21"/>
                <w:highlight w:val="none"/>
              </w:rPr>
              <w:t>的</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报价为评标基准价，其他</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的价格分统一按照下列公式计算：</w:t>
            </w:r>
          </w:p>
          <w:p>
            <w:pPr>
              <w:adjustRightInd/>
              <w:snapToGrid/>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响应报价得分=（评标基准价/</w:t>
            </w:r>
            <w:r>
              <w:rPr>
                <w:rFonts w:hint="eastAsia" w:ascii="宋体" w:hAnsi="宋体" w:cs="宋体"/>
                <w:bCs/>
                <w:color w:val="auto"/>
                <w:szCs w:val="21"/>
                <w:highlight w:val="none"/>
                <w:lang w:val="zh-CN"/>
              </w:rPr>
              <w:t>拆除费用</w:t>
            </w:r>
            <w:r>
              <w:rPr>
                <w:rFonts w:hint="eastAsia" w:ascii="宋体" w:hAnsi="宋体" w:cs="宋体"/>
                <w:bCs/>
                <w:color w:val="auto"/>
                <w:szCs w:val="21"/>
                <w:highlight w:val="none"/>
                <w:lang w:val="en-US" w:eastAsia="zh-CN"/>
              </w:rPr>
              <w:t>报价</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×100%</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651" w:type="dxa"/>
            <w:tcBorders>
              <w:top w:val="single" w:color="auto" w:sz="4" w:space="0"/>
              <w:left w:val="single" w:color="auto" w:sz="4" w:space="0"/>
              <w:right w:val="single" w:color="auto" w:sz="4" w:space="0"/>
            </w:tcBorders>
            <w:vAlign w:val="center"/>
          </w:tcPr>
          <w:p>
            <w:pPr>
              <w:pStyle w:val="35"/>
              <w:spacing w:line="360" w:lineRule="auto"/>
              <w:ind w:firstLine="0" w:firstLineChars="0"/>
              <w:jc w:val="center"/>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498" w:type="dxa"/>
            <w:tcBorders>
              <w:top w:val="single" w:color="auto" w:sz="4" w:space="0"/>
              <w:left w:val="single" w:color="auto" w:sz="4" w:space="0"/>
              <w:right w:val="single" w:color="auto" w:sz="4" w:space="0"/>
            </w:tcBorders>
            <w:vAlign w:val="center"/>
          </w:tcPr>
          <w:p>
            <w:pPr>
              <w:adjustRightInd/>
              <w:snapToGrid/>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回收价值</w:t>
            </w:r>
            <w:r>
              <w:rPr>
                <w:rFonts w:hint="eastAsia" w:ascii="宋体" w:hAnsi="宋体" w:cs="宋体"/>
                <w:bCs/>
                <w:color w:val="auto"/>
                <w:szCs w:val="21"/>
                <w:highlight w:val="none"/>
                <w:lang w:val="en-US" w:eastAsia="zh-CN"/>
              </w:rPr>
              <w:t>报价评分</w:t>
            </w:r>
          </w:p>
        </w:tc>
        <w:tc>
          <w:tcPr>
            <w:tcW w:w="5712" w:type="dxa"/>
            <w:tcBorders>
              <w:top w:val="single" w:color="auto" w:sz="4" w:space="0"/>
              <w:left w:val="single" w:color="auto" w:sz="4" w:space="0"/>
              <w:right w:val="single" w:color="auto" w:sz="4" w:space="0"/>
            </w:tcBorders>
            <w:vAlign w:val="center"/>
          </w:tcPr>
          <w:p>
            <w:pPr>
              <w:adjustRightInd/>
              <w:snapToGrid/>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满足磋商文件要求且</w:t>
            </w:r>
            <w:r>
              <w:rPr>
                <w:rFonts w:hint="eastAsia" w:ascii="宋体" w:hAnsi="宋体" w:cs="宋体"/>
                <w:bCs/>
                <w:color w:val="auto"/>
                <w:szCs w:val="21"/>
                <w:highlight w:val="none"/>
                <w:lang w:val="zh-CN"/>
              </w:rPr>
              <w:t>回收价值</w:t>
            </w:r>
            <w:r>
              <w:rPr>
                <w:rFonts w:hint="eastAsia" w:ascii="宋体" w:hAnsi="宋体" w:cs="宋体"/>
                <w:color w:val="auto"/>
                <w:szCs w:val="21"/>
                <w:highlight w:val="none"/>
              </w:rPr>
              <w:t>最高的</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报价为评标基准价，其他</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的价格分统一按照下列公式计算：</w:t>
            </w:r>
          </w:p>
          <w:p>
            <w:pPr>
              <w:adjustRightInd/>
              <w:snapToGrid/>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响应报价得分=（</w:t>
            </w:r>
            <w:r>
              <w:rPr>
                <w:rFonts w:hint="eastAsia" w:ascii="宋体" w:hAnsi="宋体" w:cs="宋体"/>
                <w:bCs/>
                <w:color w:val="auto"/>
                <w:szCs w:val="21"/>
                <w:highlight w:val="none"/>
                <w:lang w:val="zh-CN"/>
              </w:rPr>
              <w:t>回收价值</w:t>
            </w:r>
            <w:r>
              <w:rPr>
                <w:rFonts w:hint="eastAsia" w:ascii="宋体" w:hAnsi="宋体" w:cs="宋体"/>
                <w:bCs/>
                <w:color w:val="auto"/>
                <w:szCs w:val="21"/>
                <w:highlight w:val="none"/>
                <w:lang w:val="en-US" w:eastAsia="zh-CN"/>
              </w:rPr>
              <w:t>报价</w:t>
            </w:r>
            <w:r>
              <w:rPr>
                <w:rFonts w:hint="eastAsia" w:ascii="宋体" w:hAnsi="宋体" w:cs="宋体"/>
                <w:color w:val="auto"/>
                <w:szCs w:val="21"/>
                <w:highlight w:val="none"/>
              </w:rPr>
              <w:t>/评标基准价）×</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×100%</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spacing w:line="36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商务技术评分（</w:t>
            </w:r>
            <w:r>
              <w:rPr>
                <w:rFonts w:hint="eastAsia" w:ascii="宋体" w:eastAsia="宋体" w:cs="宋体"/>
                <w:bCs/>
                <w:color w:val="auto"/>
                <w:sz w:val="21"/>
                <w:szCs w:val="21"/>
                <w:highlight w:val="none"/>
                <w:lang w:val="en-US" w:eastAsia="zh-CN"/>
              </w:rPr>
              <w:t>7</w:t>
            </w:r>
            <w:r>
              <w:rPr>
                <w:rFonts w:hint="eastAsia" w:ascii="宋体" w:eastAsia="宋体" w:cs="宋体"/>
                <w:bCs/>
                <w:color w:val="auto"/>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651" w:type="dxa"/>
            <w:tcBorders>
              <w:top w:val="single" w:color="auto" w:sz="4" w:space="0"/>
              <w:left w:val="single" w:color="auto" w:sz="4" w:space="0"/>
              <w:right w:val="single" w:color="auto" w:sz="4" w:space="0"/>
            </w:tcBorders>
            <w:vAlign w:val="center"/>
          </w:tcPr>
          <w:p>
            <w:pPr>
              <w:pStyle w:val="35"/>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498" w:type="dxa"/>
            <w:tcBorders>
              <w:top w:val="single" w:color="auto" w:sz="4" w:space="0"/>
              <w:left w:val="single" w:color="auto" w:sz="4" w:space="0"/>
              <w:right w:val="single" w:color="auto" w:sz="4" w:space="0"/>
            </w:tcBorders>
            <w:vAlign w:val="center"/>
          </w:tcPr>
          <w:p>
            <w:pPr>
              <w:pStyle w:val="35"/>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业绩</w:t>
            </w:r>
          </w:p>
        </w:tc>
        <w:tc>
          <w:tcPr>
            <w:tcW w:w="5712"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420" w:firstLineChars="200"/>
              <w:rPr>
                <w:rFonts w:asci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供应商</w:t>
            </w:r>
            <w:r>
              <w:rPr>
                <w:rFonts w:hint="eastAsia" w:ascii="宋体" w:eastAsia="宋体" w:cs="宋体"/>
                <w:bCs/>
                <w:color w:val="auto"/>
                <w:sz w:val="21"/>
                <w:szCs w:val="21"/>
                <w:highlight w:val="none"/>
              </w:rPr>
              <w:t>具有建筑物拆除类</w:t>
            </w:r>
            <w:r>
              <w:rPr>
                <w:rFonts w:hint="eastAsia" w:ascii="宋体" w:eastAsia="宋体" w:cs="宋体"/>
                <w:bCs/>
                <w:color w:val="auto"/>
                <w:sz w:val="21"/>
                <w:szCs w:val="21"/>
                <w:highlight w:val="none"/>
                <w:lang w:val="zh-CN"/>
              </w:rPr>
              <w:t>项目业绩</w:t>
            </w:r>
            <w:r>
              <w:rPr>
                <w:rFonts w:hint="eastAsia" w:ascii="宋体" w:eastAsia="宋体" w:cs="宋体"/>
                <w:bCs/>
                <w:color w:val="auto"/>
                <w:sz w:val="21"/>
                <w:szCs w:val="21"/>
                <w:highlight w:val="none"/>
              </w:rPr>
              <w:t>的</w:t>
            </w:r>
            <w:r>
              <w:rPr>
                <w:rFonts w:hint="eastAsia" w:ascii="宋体" w:eastAsia="宋体" w:cs="宋体"/>
                <w:bCs/>
                <w:color w:val="auto"/>
                <w:sz w:val="21"/>
                <w:szCs w:val="21"/>
                <w:highlight w:val="none"/>
                <w:lang w:val="zh-CN"/>
              </w:rPr>
              <w:t>，每提供一个合同业绩得</w:t>
            </w:r>
            <w:r>
              <w:rPr>
                <w:rFonts w:hint="eastAsia" w:ascii="宋体" w:eastAsia="宋体" w:cs="宋体"/>
                <w:bCs/>
                <w:color w:val="auto"/>
                <w:sz w:val="21"/>
                <w:szCs w:val="21"/>
                <w:highlight w:val="none"/>
                <w:lang w:val="en-US" w:eastAsia="zh-CN"/>
              </w:rPr>
              <w:t>3</w:t>
            </w:r>
            <w:r>
              <w:rPr>
                <w:rFonts w:hint="eastAsia" w:asci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lang w:val="en-US" w:eastAsia="zh-CN"/>
              </w:rPr>
              <w:t>1</w:t>
            </w:r>
            <w:r>
              <w:rPr>
                <w:rFonts w:hint="eastAsia" w:ascii="宋体" w:eastAsia="宋体" w:cs="宋体"/>
                <w:bCs/>
                <w:color w:val="auto"/>
                <w:sz w:val="21"/>
                <w:szCs w:val="21"/>
                <w:highlight w:val="none"/>
              </w:rPr>
              <w:t>5</w:t>
            </w:r>
            <w:r>
              <w:rPr>
                <w:rFonts w:hint="eastAsia" w:ascii="宋体" w:eastAsia="宋体" w:cs="宋体"/>
                <w:bCs/>
                <w:color w:val="auto"/>
                <w:sz w:val="21"/>
                <w:szCs w:val="21"/>
                <w:highlight w:val="none"/>
                <w:lang w:val="zh-CN"/>
              </w:rPr>
              <w:t>分。</w:t>
            </w:r>
          </w:p>
          <w:p>
            <w:pPr>
              <w:pStyle w:val="35"/>
              <w:spacing w:line="360" w:lineRule="auto"/>
              <w:ind w:firstLine="420" w:firstLineChars="200"/>
              <w:rPr>
                <w:rFonts w:asci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注：须提供合同复印件并加盖供应商公章，</w:t>
            </w:r>
            <w:r>
              <w:rPr>
                <w:rFonts w:hint="eastAsia" w:ascii="宋体" w:eastAsia="宋体" w:cs="宋体"/>
                <w:bCs/>
                <w:color w:val="auto"/>
                <w:sz w:val="21"/>
                <w:szCs w:val="21"/>
                <w:highlight w:val="none"/>
              </w:rPr>
              <w:t>否则</w:t>
            </w:r>
            <w:r>
              <w:rPr>
                <w:rFonts w:hint="eastAsia" w:ascii="宋体" w:eastAsia="宋体" w:cs="宋体"/>
                <w:bCs/>
                <w:color w:val="auto"/>
                <w:sz w:val="21"/>
                <w:szCs w:val="21"/>
                <w:highlight w:val="none"/>
                <w:lang w:val="zh-CN"/>
              </w:rPr>
              <w:t>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lang w:val="en-US" w:eastAsia="zh-CN"/>
              </w:rPr>
              <w:t>1</w:t>
            </w:r>
            <w:r>
              <w:rPr>
                <w:rFonts w:hint="eastAsia" w:ascii="宋体" w:eastAsia="宋体" w:cs="宋体"/>
                <w:bCs/>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498"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项目的理解</w:t>
            </w:r>
          </w:p>
        </w:tc>
        <w:tc>
          <w:tcPr>
            <w:tcW w:w="571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根据供应商对本项目现场的熟悉程度、理解及项目重点和难点的分析，以及根据项目重点和难点所采取的措施等进行综合评价：</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现场的熟悉程度深入，重点和难点分析合理、所采取的应急计划和措施可行性强，得8分；</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现场的熟悉程度较深入，重点和难点分析较合理、所采取的应急计划和措施可行性较强，得5分；</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现场的熟悉程度一般，重点和难点分析基本合理、所采取的应急计划和措施可行性一般，得3分；</w:t>
            </w:r>
          </w:p>
          <w:p>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现场的熟悉程度肤浅，重点和难点分析基本合理、所采取的应急计划和措施可行性较差，得1分；</w:t>
            </w:r>
          </w:p>
          <w:p>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498"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项目实施</w:t>
            </w:r>
            <w:r>
              <w:rPr>
                <w:rFonts w:hint="eastAsia" w:ascii="宋体" w:eastAsia="宋体" w:cs="宋体"/>
                <w:color w:val="auto"/>
                <w:sz w:val="21"/>
                <w:szCs w:val="21"/>
                <w:highlight w:val="none"/>
                <w:lang w:val="zh-CN"/>
              </w:rPr>
              <w:t>方案</w:t>
            </w:r>
          </w:p>
        </w:tc>
        <w:tc>
          <w:tcPr>
            <w:tcW w:w="571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根据</w:t>
            </w:r>
            <w:r>
              <w:rPr>
                <w:rFonts w:hint="eastAsia" w:ascii="宋体" w:hAnsi="宋体" w:cs="宋体"/>
                <w:bCs/>
                <w:color w:val="auto"/>
                <w:szCs w:val="21"/>
                <w:highlight w:val="none"/>
              </w:rPr>
              <w:t>供应商提供的</w:t>
            </w:r>
            <w:r>
              <w:rPr>
                <w:rFonts w:hint="eastAsia" w:ascii="宋体" w:cs="宋体"/>
                <w:color w:val="auto"/>
                <w:szCs w:val="21"/>
                <w:highlight w:val="none"/>
              </w:rPr>
              <w:t>项目实施</w:t>
            </w:r>
            <w:r>
              <w:rPr>
                <w:rFonts w:hint="eastAsia" w:ascii="宋体" w:hAnsi="宋体" w:cs="宋体"/>
                <w:bCs/>
                <w:color w:val="auto"/>
                <w:szCs w:val="21"/>
                <w:highlight w:val="none"/>
                <w:lang w:val="zh-CN"/>
              </w:rPr>
              <w:t>方案的</w:t>
            </w:r>
            <w:r>
              <w:rPr>
                <w:rFonts w:hint="eastAsia" w:ascii="宋体" w:hAnsi="宋体" w:cs="宋体"/>
                <w:bCs/>
                <w:color w:val="auto"/>
                <w:szCs w:val="21"/>
                <w:highlight w:val="none"/>
              </w:rPr>
              <w:t>针对</w:t>
            </w:r>
            <w:r>
              <w:rPr>
                <w:rFonts w:hint="eastAsia" w:ascii="宋体" w:hAnsi="宋体" w:cs="宋体"/>
                <w:bCs/>
                <w:color w:val="auto"/>
                <w:szCs w:val="21"/>
                <w:highlight w:val="none"/>
                <w:lang w:val="zh-CN"/>
              </w:rPr>
              <w:t>性、</w:t>
            </w:r>
            <w:r>
              <w:rPr>
                <w:rFonts w:hint="eastAsia" w:ascii="宋体" w:hAnsi="宋体" w:cs="宋体"/>
                <w:bCs/>
                <w:color w:val="auto"/>
                <w:szCs w:val="21"/>
                <w:highlight w:val="none"/>
              </w:rPr>
              <w:t>合理</w:t>
            </w:r>
            <w:r>
              <w:rPr>
                <w:rFonts w:hint="eastAsia" w:ascii="宋体" w:hAnsi="宋体" w:cs="宋体"/>
                <w:bCs/>
                <w:color w:val="auto"/>
                <w:szCs w:val="21"/>
                <w:highlight w:val="none"/>
                <w:lang w:val="zh-CN"/>
              </w:rPr>
              <w:t>性、</w:t>
            </w:r>
            <w:r>
              <w:rPr>
                <w:rFonts w:hint="eastAsia" w:ascii="宋体" w:hAnsi="宋体" w:cs="宋体"/>
                <w:bCs/>
                <w:color w:val="auto"/>
                <w:szCs w:val="21"/>
                <w:highlight w:val="none"/>
              </w:rPr>
              <w:t>可行</w:t>
            </w:r>
            <w:r>
              <w:rPr>
                <w:rFonts w:hint="eastAsia" w:ascii="宋体" w:hAnsi="宋体" w:cs="宋体"/>
                <w:bCs/>
                <w:color w:val="auto"/>
                <w:szCs w:val="21"/>
                <w:highlight w:val="none"/>
                <w:lang w:val="zh-CN"/>
              </w:rPr>
              <w:t>性等进行综合评价：</w:t>
            </w:r>
          </w:p>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项目实施方案针对性强、合理、可行，得</w:t>
            </w:r>
            <w:r>
              <w:rPr>
                <w:rFonts w:hint="eastAsia" w:ascii="宋体" w:hAnsi="宋体" w:cs="宋体"/>
                <w:bCs/>
                <w:color w:val="auto"/>
                <w:szCs w:val="21"/>
                <w:highlight w:val="none"/>
              </w:rPr>
              <w:t>10</w:t>
            </w:r>
            <w:r>
              <w:rPr>
                <w:rFonts w:hint="eastAsia" w:ascii="宋体" w:hAnsi="宋体" w:cs="宋体"/>
                <w:bCs/>
                <w:color w:val="auto"/>
                <w:szCs w:val="21"/>
                <w:highlight w:val="none"/>
                <w:lang w:val="zh-CN"/>
              </w:rPr>
              <w:t>分；</w:t>
            </w:r>
          </w:p>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项目实施方案针对性</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强、</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合理、</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可行，得</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分；</w:t>
            </w:r>
          </w:p>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项目实施方案针对性一般、合理</w:t>
            </w:r>
            <w:r>
              <w:rPr>
                <w:rFonts w:hint="eastAsia" w:ascii="宋体" w:hAnsi="宋体" w:cs="宋体"/>
                <w:bCs/>
                <w:color w:val="auto"/>
                <w:szCs w:val="21"/>
                <w:highlight w:val="none"/>
              </w:rPr>
              <w:t>性一般</w:t>
            </w:r>
            <w:r>
              <w:rPr>
                <w:rFonts w:hint="eastAsia" w:ascii="宋体" w:hAnsi="宋体" w:cs="宋体"/>
                <w:bCs/>
                <w:color w:val="auto"/>
                <w:szCs w:val="21"/>
                <w:highlight w:val="none"/>
                <w:lang w:val="zh-CN"/>
              </w:rPr>
              <w:t>，得</w:t>
            </w:r>
            <w:r>
              <w:rPr>
                <w:rFonts w:hint="eastAsia" w:ascii="宋体" w:hAnsi="宋体" w:cs="宋体"/>
                <w:bCs/>
                <w:color w:val="auto"/>
                <w:szCs w:val="21"/>
                <w:highlight w:val="none"/>
              </w:rPr>
              <w:t>3</w:t>
            </w:r>
            <w:r>
              <w:rPr>
                <w:rFonts w:hint="eastAsia" w:ascii="宋体" w:hAnsi="宋体" w:cs="宋体"/>
                <w:bCs/>
                <w:color w:val="auto"/>
                <w:szCs w:val="21"/>
                <w:highlight w:val="none"/>
                <w:lang w:val="zh-CN"/>
              </w:rPr>
              <w:t>分；</w:t>
            </w:r>
          </w:p>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项目实施方案针对性差、不够合理，得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pPr>
              <w:spacing w:line="360" w:lineRule="auto"/>
              <w:ind w:firstLine="420" w:firstLineChars="200"/>
              <w:rPr>
                <w:rFonts w:ascii="宋体" w:hAnsi="宋体" w:cs="宋体"/>
                <w:color w:val="auto"/>
                <w:szCs w:val="21"/>
                <w:highlight w:val="none"/>
                <w:lang w:val="zh-CN"/>
              </w:rPr>
            </w:pPr>
            <w:r>
              <w:rPr>
                <w:rFonts w:hint="eastAsia" w:ascii="宋体" w:hAnsi="宋体" w:cs="宋体"/>
                <w:bCs/>
                <w:color w:val="auto"/>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4</w:t>
            </w:r>
          </w:p>
        </w:tc>
        <w:tc>
          <w:tcPr>
            <w:tcW w:w="1498"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color w:val="auto"/>
                <w:sz w:val="21"/>
                <w:szCs w:val="21"/>
                <w:highlight w:val="none"/>
              </w:rPr>
            </w:pPr>
            <w:r>
              <w:rPr>
                <w:rFonts w:hint="eastAsia" w:ascii="宋体" w:eastAsia="宋体" w:cs="宋体"/>
                <w:bCs/>
                <w:color w:val="auto"/>
                <w:sz w:val="21"/>
                <w:szCs w:val="21"/>
                <w:highlight w:val="none"/>
              </w:rPr>
              <w:t>安全文明方案</w:t>
            </w:r>
          </w:p>
        </w:tc>
        <w:tc>
          <w:tcPr>
            <w:tcW w:w="571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根据</w:t>
            </w:r>
            <w:r>
              <w:rPr>
                <w:rFonts w:hint="eastAsia" w:ascii="宋体" w:hAnsi="宋体" w:cs="宋体"/>
                <w:bCs/>
                <w:color w:val="auto"/>
                <w:szCs w:val="21"/>
                <w:highlight w:val="none"/>
              </w:rPr>
              <w:t>供应商</w:t>
            </w:r>
            <w:r>
              <w:rPr>
                <w:rFonts w:hint="eastAsia" w:ascii="宋体" w:hAnsi="宋体" w:cs="宋体"/>
                <w:bCs/>
                <w:color w:val="auto"/>
                <w:szCs w:val="21"/>
                <w:highlight w:val="none"/>
                <w:lang w:val="zh-CN"/>
              </w:rPr>
              <w:t>提供的安全文明措施、配套设备设施、达到的标准及承诺等进行综合评价:</w:t>
            </w:r>
          </w:p>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w:t>
            </w:r>
            <w:r>
              <w:rPr>
                <w:rFonts w:hint="eastAsia" w:ascii="宋体" w:hAnsi="宋体" w:cs="宋体"/>
                <w:bCs/>
                <w:color w:val="auto"/>
                <w:szCs w:val="21"/>
                <w:highlight w:val="none"/>
                <w:lang w:val="zh-CN"/>
              </w:rPr>
              <w:t>完整、可行性强，完全满足并优于采购文件要求，得</w:t>
            </w:r>
            <w:r>
              <w:rPr>
                <w:rFonts w:hint="eastAsia" w:ascii="宋体" w:hAnsi="宋体" w:cs="宋体"/>
                <w:bCs/>
                <w:color w:val="auto"/>
                <w:szCs w:val="21"/>
                <w:highlight w:val="none"/>
              </w:rPr>
              <w:t>10</w:t>
            </w:r>
            <w:r>
              <w:rPr>
                <w:rFonts w:hint="eastAsia" w:ascii="宋体" w:hAnsi="宋体" w:cs="宋体"/>
                <w:bCs/>
                <w:color w:val="auto"/>
                <w:szCs w:val="21"/>
                <w:highlight w:val="none"/>
                <w:lang w:val="zh-CN"/>
              </w:rPr>
              <w:t>分；</w:t>
            </w:r>
          </w:p>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方案较</w:t>
            </w:r>
            <w:r>
              <w:rPr>
                <w:rFonts w:hint="eastAsia" w:ascii="宋体" w:hAnsi="宋体" w:cs="宋体"/>
                <w:bCs/>
                <w:color w:val="auto"/>
                <w:szCs w:val="21"/>
                <w:highlight w:val="none"/>
                <w:lang w:val="zh-CN"/>
              </w:rPr>
              <w:t>完整、可行性</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强，满足采购文件要求，得</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分；</w:t>
            </w:r>
          </w:p>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方案基本</w:t>
            </w:r>
            <w:r>
              <w:rPr>
                <w:rFonts w:hint="eastAsia" w:ascii="宋体" w:hAnsi="宋体" w:cs="宋体"/>
                <w:bCs/>
                <w:color w:val="auto"/>
                <w:szCs w:val="21"/>
                <w:highlight w:val="none"/>
                <w:lang w:val="zh-CN"/>
              </w:rPr>
              <w:t>完整、可行性一般，符合采购文件要求，得</w:t>
            </w:r>
            <w:r>
              <w:rPr>
                <w:rFonts w:hint="eastAsia" w:ascii="宋体" w:hAnsi="宋体" w:cs="宋体"/>
                <w:bCs/>
                <w:color w:val="auto"/>
                <w:szCs w:val="21"/>
                <w:highlight w:val="none"/>
              </w:rPr>
              <w:t>3</w:t>
            </w:r>
            <w:r>
              <w:rPr>
                <w:rFonts w:hint="eastAsia" w:ascii="宋体" w:hAnsi="宋体" w:cs="宋体"/>
                <w:bCs/>
                <w:color w:val="auto"/>
                <w:szCs w:val="21"/>
                <w:highlight w:val="none"/>
                <w:lang w:val="zh-CN"/>
              </w:rPr>
              <w:t>分；</w:t>
            </w:r>
          </w:p>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w:t>
            </w:r>
            <w:r>
              <w:rPr>
                <w:rFonts w:hint="eastAsia" w:ascii="宋体" w:hAnsi="宋体" w:cs="宋体"/>
                <w:bCs/>
                <w:color w:val="auto"/>
                <w:szCs w:val="21"/>
                <w:highlight w:val="none"/>
                <w:lang w:val="zh-CN"/>
              </w:rPr>
              <w:t>基本完整、可行性较差，基本符合采购文件要求，得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pPr>
              <w:spacing w:line="360" w:lineRule="auto"/>
              <w:ind w:firstLine="420" w:firstLineChars="200"/>
              <w:rPr>
                <w:rFonts w:ascii="宋体" w:hAnsi="宋体" w:cs="宋体"/>
                <w:color w:val="auto"/>
                <w:szCs w:val="21"/>
                <w:highlight w:val="none"/>
                <w:lang w:val="zh-CN"/>
              </w:rPr>
            </w:pPr>
            <w:r>
              <w:rPr>
                <w:rFonts w:hint="eastAsia" w:ascii="宋体" w:hAnsi="宋体" w:cs="宋体"/>
                <w:bCs/>
                <w:color w:val="auto"/>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5</w:t>
            </w:r>
          </w:p>
        </w:tc>
        <w:tc>
          <w:tcPr>
            <w:tcW w:w="1498"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应急方案</w:t>
            </w:r>
          </w:p>
        </w:tc>
        <w:tc>
          <w:tcPr>
            <w:tcW w:w="571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根据供应商提供的应急方案（包括但不限于人员应急方案、现场施工应急方案、恶劣天气应急方案等）进行综合评</w:t>
            </w:r>
            <w:r>
              <w:rPr>
                <w:rFonts w:hint="eastAsia" w:ascii="宋体" w:hAnsi="宋体" w:cs="宋体"/>
                <w:bCs/>
                <w:color w:val="auto"/>
                <w:szCs w:val="21"/>
                <w:highlight w:val="none"/>
              </w:rPr>
              <w:t>价</w:t>
            </w:r>
            <w:r>
              <w:rPr>
                <w:rFonts w:hint="eastAsia" w:ascii="宋体" w:hAnsi="宋体" w:cs="宋体"/>
                <w:bCs/>
                <w:color w:val="auto"/>
                <w:szCs w:val="21"/>
                <w:highlight w:val="none"/>
                <w:lang w:val="zh-CN"/>
              </w:rPr>
              <w:t>：</w:t>
            </w:r>
          </w:p>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方案完整，可操作性强，可行性强，针对性强，得</w:t>
            </w:r>
            <w:r>
              <w:rPr>
                <w:rFonts w:hint="eastAsia" w:ascii="宋体" w:hAnsi="宋体" w:cs="宋体"/>
                <w:bCs/>
                <w:color w:val="auto"/>
                <w:szCs w:val="21"/>
                <w:highlight w:val="none"/>
              </w:rPr>
              <w:t>10</w:t>
            </w:r>
            <w:r>
              <w:rPr>
                <w:rFonts w:hint="eastAsia" w:ascii="宋体" w:hAnsi="宋体" w:cs="宋体"/>
                <w:bCs/>
                <w:color w:val="auto"/>
                <w:szCs w:val="21"/>
                <w:highlight w:val="none"/>
                <w:lang w:val="zh-CN"/>
              </w:rPr>
              <w:t>分；</w:t>
            </w:r>
          </w:p>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方案</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完整，可操作性</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强，可行性</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强，针对性</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强，得</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分；</w:t>
            </w:r>
          </w:p>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方案基本完整，可操作性一般，可行性一般，针对性一般，得</w:t>
            </w:r>
            <w:r>
              <w:rPr>
                <w:rFonts w:hint="eastAsia" w:ascii="宋体" w:hAnsi="宋体" w:cs="宋体"/>
                <w:bCs/>
                <w:color w:val="auto"/>
                <w:szCs w:val="21"/>
                <w:highlight w:val="none"/>
              </w:rPr>
              <w:t>3</w:t>
            </w:r>
            <w:r>
              <w:rPr>
                <w:rFonts w:hint="eastAsia" w:ascii="宋体" w:hAnsi="宋体" w:cs="宋体"/>
                <w:bCs/>
                <w:color w:val="auto"/>
                <w:szCs w:val="21"/>
                <w:highlight w:val="none"/>
                <w:lang w:val="zh-CN"/>
              </w:rPr>
              <w:t>分；</w:t>
            </w:r>
          </w:p>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方案不完整，可操作性差，可行性差，针对性差，得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pPr>
              <w:spacing w:line="360" w:lineRule="auto"/>
              <w:ind w:firstLine="420" w:firstLineChars="200"/>
              <w:rPr>
                <w:rFonts w:ascii="宋体" w:hAnsi="宋体" w:cs="宋体"/>
                <w:color w:val="auto"/>
                <w:szCs w:val="21"/>
                <w:highlight w:val="none"/>
                <w:lang w:val="zh-CN"/>
              </w:rPr>
            </w:pPr>
            <w:r>
              <w:rPr>
                <w:rFonts w:hint="eastAsia" w:ascii="宋体" w:hAnsi="宋体" w:cs="宋体"/>
                <w:bCs/>
                <w:color w:val="auto"/>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6</w:t>
            </w:r>
          </w:p>
        </w:tc>
        <w:tc>
          <w:tcPr>
            <w:tcW w:w="1498"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360" w:lineRule="auto"/>
              <w:jc w:val="center"/>
              <w:rPr>
                <w:rFonts w:ascii="宋体" w:hAnsi="宋体" w:cs="宋体"/>
                <w:color w:val="auto"/>
                <w:szCs w:val="21"/>
                <w:highlight w:val="none"/>
              </w:rPr>
            </w:pPr>
            <w:r>
              <w:rPr>
                <w:rFonts w:hint="eastAsia" w:ascii="宋体" w:hAnsi="宋体" w:cs="宋体"/>
                <w:bCs/>
                <w:color w:val="auto"/>
                <w:szCs w:val="21"/>
                <w:highlight w:val="none"/>
              </w:rPr>
              <w:t>验收方案</w:t>
            </w:r>
          </w:p>
        </w:tc>
        <w:tc>
          <w:tcPr>
            <w:tcW w:w="5712"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根据</w:t>
            </w:r>
            <w:r>
              <w:rPr>
                <w:rFonts w:hint="eastAsia" w:ascii="宋体" w:hAnsi="宋体" w:cs="宋体"/>
                <w:bCs/>
                <w:color w:val="auto"/>
                <w:szCs w:val="21"/>
                <w:highlight w:val="none"/>
              </w:rPr>
              <w:t>供应商提供的</w:t>
            </w:r>
            <w:r>
              <w:rPr>
                <w:rFonts w:hint="eastAsia" w:ascii="宋体" w:hAnsi="宋体" w:cs="宋体"/>
                <w:bCs/>
                <w:color w:val="auto"/>
                <w:szCs w:val="21"/>
                <w:highlight w:val="none"/>
                <w:lang w:val="zh-CN"/>
              </w:rPr>
              <w:t>验收方案、承诺验收达到标准、整改方案及标准等进行综合评价:</w:t>
            </w:r>
          </w:p>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w:t>
            </w:r>
            <w:r>
              <w:rPr>
                <w:rFonts w:hint="eastAsia" w:ascii="宋体" w:hAnsi="宋体" w:cs="宋体"/>
                <w:bCs/>
                <w:color w:val="auto"/>
                <w:szCs w:val="21"/>
                <w:highlight w:val="none"/>
                <w:lang w:val="zh-CN"/>
              </w:rPr>
              <w:t>完整、可行性强，完全满足并优于采购文件要求，得</w:t>
            </w:r>
            <w:r>
              <w:rPr>
                <w:rFonts w:hint="eastAsia" w:ascii="宋体" w:hAnsi="宋体" w:cs="宋体"/>
                <w:bCs/>
                <w:color w:val="auto"/>
                <w:szCs w:val="21"/>
                <w:highlight w:val="none"/>
              </w:rPr>
              <w:t>10</w:t>
            </w:r>
            <w:r>
              <w:rPr>
                <w:rFonts w:hint="eastAsia" w:ascii="宋体" w:hAnsi="宋体" w:cs="宋体"/>
                <w:bCs/>
                <w:color w:val="auto"/>
                <w:szCs w:val="21"/>
                <w:highlight w:val="none"/>
                <w:lang w:val="zh-CN"/>
              </w:rPr>
              <w:t>分；</w:t>
            </w:r>
          </w:p>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方案较</w:t>
            </w:r>
            <w:r>
              <w:rPr>
                <w:rFonts w:hint="eastAsia" w:ascii="宋体" w:hAnsi="宋体" w:cs="宋体"/>
                <w:bCs/>
                <w:color w:val="auto"/>
                <w:szCs w:val="21"/>
                <w:highlight w:val="none"/>
                <w:lang w:val="zh-CN"/>
              </w:rPr>
              <w:t>完整、可行性</w:t>
            </w:r>
            <w:r>
              <w:rPr>
                <w:rFonts w:hint="eastAsia" w:ascii="宋体" w:hAnsi="宋体" w:cs="宋体"/>
                <w:bCs/>
                <w:color w:val="auto"/>
                <w:szCs w:val="21"/>
                <w:highlight w:val="none"/>
              </w:rPr>
              <w:t>较</w:t>
            </w:r>
            <w:r>
              <w:rPr>
                <w:rFonts w:hint="eastAsia" w:ascii="宋体" w:hAnsi="宋体" w:cs="宋体"/>
                <w:bCs/>
                <w:color w:val="auto"/>
                <w:szCs w:val="21"/>
                <w:highlight w:val="none"/>
                <w:lang w:val="zh-CN"/>
              </w:rPr>
              <w:t>强，满足采购文件要求，得</w:t>
            </w:r>
            <w:r>
              <w:rPr>
                <w:rFonts w:hint="eastAsia" w:ascii="宋体" w:hAnsi="宋体" w:cs="宋体"/>
                <w:bCs/>
                <w:color w:val="auto"/>
                <w:szCs w:val="21"/>
                <w:highlight w:val="none"/>
              </w:rPr>
              <w:t>6</w:t>
            </w:r>
            <w:r>
              <w:rPr>
                <w:rFonts w:hint="eastAsia" w:ascii="宋体" w:hAnsi="宋体" w:cs="宋体"/>
                <w:bCs/>
                <w:color w:val="auto"/>
                <w:szCs w:val="21"/>
                <w:highlight w:val="none"/>
                <w:lang w:val="zh-CN"/>
              </w:rPr>
              <w:t>分；</w:t>
            </w:r>
          </w:p>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方案基本</w:t>
            </w:r>
            <w:r>
              <w:rPr>
                <w:rFonts w:hint="eastAsia" w:ascii="宋体" w:hAnsi="宋体" w:cs="宋体"/>
                <w:bCs/>
                <w:color w:val="auto"/>
                <w:szCs w:val="21"/>
                <w:highlight w:val="none"/>
                <w:lang w:val="zh-CN"/>
              </w:rPr>
              <w:t>完整、可行性一般，符合采购文件要求，得</w:t>
            </w:r>
            <w:r>
              <w:rPr>
                <w:rFonts w:hint="eastAsia" w:ascii="宋体" w:hAnsi="宋体" w:cs="宋体"/>
                <w:bCs/>
                <w:color w:val="auto"/>
                <w:szCs w:val="21"/>
                <w:highlight w:val="none"/>
              </w:rPr>
              <w:t>3</w:t>
            </w:r>
            <w:r>
              <w:rPr>
                <w:rFonts w:hint="eastAsia" w:ascii="宋体" w:hAnsi="宋体" w:cs="宋体"/>
                <w:bCs/>
                <w:color w:val="auto"/>
                <w:szCs w:val="21"/>
                <w:highlight w:val="none"/>
                <w:lang w:val="zh-CN"/>
              </w:rPr>
              <w:t>分；</w:t>
            </w:r>
          </w:p>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rPr>
              <w:t>方案</w:t>
            </w:r>
            <w:r>
              <w:rPr>
                <w:rFonts w:hint="eastAsia" w:ascii="宋体" w:hAnsi="宋体" w:cs="宋体"/>
                <w:bCs/>
                <w:color w:val="auto"/>
                <w:szCs w:val="21"/>
                <w:highlight w:val="none"/>
                <w:lang w:val="zh-CN"/>
              </w:rPr>
              <w:t>基本完整、可行性较差，基本符合采购文件要求，得</w:t>
            </w:r>
            <w:r>
              <w:rPr>
                <w:rFonts w:hint="eastAsia" w:ascii="宋体" w:hAnsi="宋体" w:cs="宋体"/>
                <w:bCs/>
                <w:color w:val="auto"/>
                <w:szCs w:val="21"/>
                <w:highlight w:val="none"/>
              </w:rPr>
              <w:t>1</w:t>
            </w:r>
            <w:r>
              <w:rPr>
                <w:rFonts w:hint="eastAsia" w:ascii="宋体" w:hAnsi="宋体" w:cs="宋体"/>
                <w:bCs/>
                <w:color w:val="auto"/>
                <w:szCs w:val="21"/>
                <w:highlight w:val="none"/>
                <w:lang w:val="zh-CN"/>
              </w:rPr>
              <w:t>分；</w:t>
            </w:r>
          </w:p>
          <w:p>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lang w:val="zh-CN"/>
              </w:rPr>
              <w:t>未提供方案，得0分。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7</w:t>
            </w:r>
          </w:p>
        </w:tc>
        <w:tc>
          <w:tcPr>
            <w:tcW w:w="1498"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规章制度</w:t>
            </w:r>
          </w:p>
        </w:tc>
        <w:tc>
          <w:tcPr>
            <w:tcW w:w="5712"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根据</w:t>
            </w:r>
            <w:r>
              <w:rPr>
                <w:rFonts w:hint="eastAsia" w:ascii="宋体" w:eastAsia="宋体" w:cs="宋体"/>
                <w:color w:val="auto"/>
                <w:sz w:val="21"/>
                <w:szCs w:val="21"/>
                <w:highlight w:val="none"/>
                <w:lang w:eastAsia="zh-CN"/>
              </w:rPr>
              <w:t>供应商</w:t>
            </w:r>
            <w:r>
              <w:rPr>
                <w:rFonts w:hint="eastAsia" w:ascii="宋体" w:eastAsia="宋体" w:cs="宋体"/>
                <w:color w:val="auto"/>
                <w:sz w:val="21"/>
                <w:szCs w:val="21"/>
                <w:highlight w:val="none"/>
              </w:rPr>
              <w:t>的规章管理制度进行综合评审：</w:t>
            </w:r>
          </w:p>
          <w:p>
            <w:pPr>
              <w:pStyle w:val="35"/>
              <w:spacing w:line="36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制度详细完整，可行性强，得7分。</w:t>
            </w:r>
          </w:p>
          <w:p>
            <w:pPr>
              <w:pStyle w:val="35"/>
              <w:spacing w:line="36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制度基本完整，可行性一般，得4分。</w:t>
            </w:r>
          </w:p>
          <w:p>
            <w:pPr>
              <w:pStyle w:val="35"/>
              <w:spacing w:line="36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制度不完整，可行性较差，得1分。</w:t>
            </w:r>
          </w:p>
          <w:p>
            <w:pPr>
              <w:spacing w:line="360" w:lineRule="auto"/>
              <w:ind w:firstLine="420" w:firstLineChars="200"/>
              <w:rPr>
                <w:rFonts w:ascii="宋体" w:hAnsi="宋体" w:cs="宋体"/>
                <w:bCs/>
                <w:color w:val="auto"/>
                <w:szCs w:val="21"/>
                <w:highlight w:val="none"/>
                <w:lang w:val="zh-CN"/>
              </w:rPr>
            </w:pPr>
            <w:r>
              <w:rPr>
                <w:rFonts w:hint="eastAsia" w:ascii="宋体" w:cs="宋体"/>
                <w:color w:val="auto"/>
                <w:szCs w:val="21"/>
                <w:highlight w:val="none"/>
              </w:rPr>
              <w:t>无提供规章管理制度，得0分。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tabs>
                <w:tab w:val="left" w:pos="907"/>
              </w:tabs>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注：</w:t>
            </w:r>
          </w:p>
          <w:p>
            <w:pPr>
              <w:tabs>
                <w:tab w:val="left" w:pos="907"/>
              </w:tabs>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（1）除特殊说明外，以上评审项，同一证明文件不重复计分。</w:t>
            </w:r>
          </w:p>
          <w:p>
            <w:pPr>
              <w:tabs>
                <w:tab w:val="left" w:pos="907"/>
              </w:tabs>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（2）供应商根据以上评分要求提供的响应材料因模糊不清导致评标委员会无法清晰辨认进行评审的，视为无效材料。</w:t>
            </w:r>
          </w:p>
          <w:p>
            <w:pPr>
              <w:pStyle w:val="35"/>
              <w:spacing w:line="360" w:lineRule="auto"/>
              <w:ind w:firstLine="0" w:firstLineChars="0"/>
              <w:jc w:val="left"/>
              <w:rPr>
                <w:rFonts w:ascii="宋体" w:eastAsia="宋体" w:cs="宋体"/>
                <w:bCs/>
                <w:color w:val="auto"/>
                <w:sz w:val="21"/>
                <w:szCs w:val="21"/>
                <w:highlight w:val="none"/>
              </w:rPr>
            </w:pPr>
            <w:r>
              <w:rPr>
                <w:rFonts w:hint="eastAsia" w:ascii="宋体" w:eastAsia="宋体" w:cs="宋体"/>
                <w:b/>
                <w:color w:val="auto"/>
                <w:sz w:val="21"/>
                <w:szCs w:val="21"/>
                <w:highlight w:val="none"/>
              </w:rPr>
              <w:t xml:space="preserve">   （3）若因疫情原因暂缓统一托收或阶段性减免社会保险费而导致无法打印社保缴费证明的需提供书面说明并加盖供应商公章，否则不得分。</w:t>
            </w:r>
          </w:p>
        </w:tc>
      </w:tr>
    </w:tbl>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rFonts w:hint="eastAsia"/>
          <w:color w:val="auto"/>
          <w:sz w:val="28"/>
          <w:szCs w:val="28"/>
          <w:highlight w:val="none"/>
        </w:rPr>
      </w:pPr>
      <w:bookmarkStart w:id="17" w:name="_Toc2479"/>
      <w:bookmarkStart w:id="18" w:name="_Toc29685"/>
      <w:bookmarkStart w:id="19" w:name="_Toc24511"/>
      <w:bookmarkStart w:id="20" w:name="_Toc14146"/>
      <w:r>
        <w:rPr>
          <w:rFonts w:hint="eastAsia"/>
          <w:color w:val="auto"/>
          <w:sz w:val="28"/>
          <w:szCs w:val="28"/>
          <w:highlight w:val="none"/>
        </w:rPr>
        <w:br w:type="page"/>
      </w:r>
    </w:p>
    <w:p>
      <w:pPr>
        <w:pStyle w:val="5"/>
        <w:spacing w:before="0" w:after="0" w:line="240" w:lineRule="auto"/>
        <w:rPr>
          <w:color w:val="auto"/>
          <w:sz w:val="24"/>
          <w:szCs w:val="24"/>
          <w:highlight w:val="none"/>
        </w:rPr>
      </w:pPr>
      <w:r>
        <w:rPr>
          <w:rFonts w:hint="eastAsia"/>
          <w:color w:val="auto"/>
          <w:sz w:val="28"/>
          <w:szCs w:val="28"/>
          <w:highlight w:val="none"/>
        </w:rPr>
        <w:t>第四部分 供应商须知</w:t>
      </w:r>
      <w:bookmarkEnd w:id="17"/>
      <w:bookmarkEnd w:id="18"/>
      <w:bookmarkEnd w:id="19"/>
    </w:p>
    <w:p>
      <w:pPr>
        <w:pStyle w:val="5"/>
        <w:keepNext w:val="0"/>
        <w:keepLines w:val="0"/>
        <w:spacing w:before="0" w:after="0" w:line="360" w:lineRule="auto"/>
        <w:jc w:val="center"/>
        <w:rPr>
          <w:rFonts w:ascii="宋体" w:hAnsi="宋体" w:eastAsia="宋体"/>
          <w:color w:val="auto"/>
          <w:sz w:val="24"/>
          <w:szCs w:val="21"/>
          <w:highlight w:val="none"/>
        </w:rPr>
      </w:pPr>
      <w:bookmarkStart w:id="21" w:name="_Toc466786434"/>
      <w:bookmarkStart w:id="22" w:name="_Toc6882675"/>
      <w:bookmarkStart w:id="23" w:name="_Toc507407359"/>
      <w:bookmarkStart w:id="24" w:name="_Toc28014"/>
      <w:bookmarkStart w:id="25" w:name="_Toc24057"/>
      <w:bookmarkStart w:id="26" w:name="_Toc102277756"/>
      <w:bookmarkStart w:id="27" w:name="_Toc6968687"/>
      <w:bookmarkStart w:id="28" w:name="_Toc468157520"/>
      <w:bookmarkStart w:id="29" w:name="_Toc467987807"/>
      <w:bookmarkStart w:id="30" w:name="_Toc480171863"/>
      <w:bookmarkStart w:id="31" w:name="_Toc479991566"/>
      <w:bookmarkStart w:id="32" w:name="_Toc468606013"/>
      <w:bookmarkStart w:id="33" w:name="_Toc480010692"/>
      <w:bookmarkStart w:id="34" w:name="_Toc458262599"/>
      <w:bookmarkStart w:id="35" w:name="_Toc48207756"/>
      <w:bookmarkStart w:id="36" w:name="_Toc480020241"/>
      <w:bookmarkStart w:id="37" w:name="_Toc467236724"/>
      <w:bookmarkStart w:id="38" w:name="_Toc480021037"/>
      <w:r>
        <w:rPr>
          <w:rFonts w:hint="eastAsia" w:ascii="宋体" w:hAnsi="宋体" w:eastAsia="宋体"/>
          <w:color w:val="auto"/>
          <w:sz w:val="24"/>
          <w:szCs w:val="21"/>
          <w:highlight w:val="none"/>
        </w:rPr>
        <w:t>第一章说  明</w:t>
      </w:r>
      <w:bookmarkEnd w:id="21"/>
      <w:bookmarkEnd w:id="22"/>
      <w:bookmarkEnd w:id="23"/>
      <w:bookmarkEnd w:id="24"/>
      <w:bookmarkEnd w:id="25"/>
      <w:bookmarkEnd w:id="26"/>
      <w:bookmarkEnd w:id="27"/>
    </w:p>
    <w:p>
      <w:pPr>
        <w:pStyle w:val="6"/>
        <w:keepNext w:val="0"/>
        <w:keepLines w:val="0"/>
        <w:numPr>
          <w:ilvl w:val="0"/>
          <w:numId w:val="3"/>
        </w:numPr>
        <w:adjustRightInd/>
        <w:rPr>
          <w:rFonts w:hAnsi="宋体"/>
          <w:color w:val="auto"/>
          <w:sz w:val="21"/>
          <w:szCs w:val="21"/>
          <w:highlight w:val="none"/>
        </w:rPr>
      </w:pPr>
      <w:bookmarkStart w:id="39" w:name="_Toc475249114"/>
      <w:bookmarkStart w:id="40" w:name="_Toc17291"/>
      <w:bookmarkStart w:id="41" w:name="_Toc10228"/>
      <w:r>
        <w:rPr>
          <w:rFonts w:hint="eastAsia" w:hAnsi="宋体"/>
          <w:color w:val="auto"/>
          <w:sz w:val="21"/>
          <w:szCs w:val="21"/>
          <w:highlight w:val="none"/>
        </w:rPr>
        <w:t>适用范围</w:t>
      </w:r>
      <w:bookmarkEnd w:id="39"/>
      <w:bookmarkEnd w:id="40"/>
      <w:bookmarkEnd w:id="41"/>
    </w:p>
    <w:p>
      <w:pPr>
        <w:numPr>
          <w:ilvl w:val="1"/>
          <w:numId w:val="4"/>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本磋商文件仅适用于本次采购邀请中所叙述的项目。</w:t>
      </w:r>
    </w:p>
    <w:p>
      <w:pPr>
        <w:rPr>
          <w:rFonts w:ascii="宋体" w:hAnsi="宋体" w:cs="宋体"/>
          <w:color w:val="auto"/>
          <w:szCs w:val="21"/>
          <w:highlight w:val="none"/>
        </w:rPr>
      </w:pPr>
      <w:bookmarkStart w:id="42" w:name="_Toc475249115"/>
    </w:p>
    <w:p>
      <w:pPr>
        <w:pStyle w:val="6"/>
        <w:keepNext w:val="0"/>
        <w:keepLines w:val="0"/>
        <w:numPr>
          <w:ilvl w:val="0"/>
          <w:numId w:val="3"/>
        </w:numPr>
        <w:adjustRightInd/>
        <w:rPr>
          <w:rFonts w:hAnsi="宋体"/>
          <w:color w:val="auto"/>
          <w:sz w:val="21"/>
          <w:szCs w:val="21"/>
          <w:highlight w:val="none"/>
        </w:rPr>
      </w:pPr>
      <w:bookmarkStart w:id="43" w:name="_Toc22176"/>
      <w:bookmarkStart w:id="44" w:name="_Toc8868"/>
      <w:r>
        <w:rPr>
          <w:rFonts w:hint="eastAsia" w:hAnsi="宋体"/>
          <w:color w:val="auto"/>
          <w:sz w:val="21"/>
          <w:szCs w:val="21"/>
          <w:highlight w:val="none"/>
        </w:rPr>
        <w:t>定义</w:t>
      </w:r>
      <w:bookmarkEnd w:id="42"/>
      <w:bookmarkEnd w:id="43"/>
      <w:bookmarkEnd w:id="44"/>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“采购代理机构”是指广东政通招标有限公司。</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“供应商”指根据磋商文件要求进行文件领购并向采购代理机构提交响应文件参与本项目的法人。</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“货物”是指</w:t>
      </w:r>
      <w:r>
        <w:rPr>
          <w:rFonts w:ascii="宋体" w:hAnsi="宋体"/>
          <w:color w:val="auto"/>
          <w:szCs w:val="21"/>
          <w:highlight w:val="none"/>
        </w:rPr>
        <w:t>各种形态和种类的物品，包括原材料、燃料、设备、产品等</w:t>
      </w:r>
      <w:r>
        <w:rPr>
          <w:rFonts w:hint="eastAsia" w:ascii="宋体" w:hAnsi="宋体"/>
          <w:color w:val="auto"/>
          <w:szCs w:val="21"/>
          <w:highlight w:val="none"/>
        </w:rPr>
        <w:t>。</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“工程”是指建设工程，包括建筑物和构筑物的新建、改建、扩建及其相关的装修、拆除、修缮等。</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“语言”是指采购文件的语言为简体中文。</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“日期”是指公历日。</w:t>
      </w:r>
    </w:p>
    <w:p>
      <w:pPr>
        <w:numPr>
          <w:ilvl w:val="1"/>
          <w:numId w:val="5"/>
        </w:numPr>
        <w:autoSpaceDE w:val="0"/>
        <w:autoSpaceDN w:val="0"/>
        <w:textAlignment w:val="baseline"/>
        <w:rPr>
          <w:rFonts w:ascii="宋体" w:hAnsi="宋体"/>
          <w:color w:val="auto"/>
          <w:szCs w:val="21"/>
          <w:highlight w:val="none"/>
        </w:rPr>
      </w:pPr>
      <w:r>
        <w:rPr>
          <w:rFonts w:hint="eastAsia" w:ascii="宋体" w:hAnsi="宋体"/>
          <w:color w:val="auto"/>
          <w:szCs w:val="21"/>
          <w:highlight w:val="none"/>
        </w:rPr>
        <w:t>“时间”是指北京时间。</w:t>
      </w:r>
    </w:p>
    <w:p>
      <w:pPr>
        <w:rPr>
          <w:rFonts w:ascii="宋体" w:hAnsi="宋体" w:cs="宋体"/>
          <w:color w:val="auto"/>
          <w:szCs w:val="21"/>
          <w:highlight w:val="none"/>
        </w:rPr>
      </w:pPr>
      <w:bookmarkStart w:id="45" w:name="_Toc110953831"/>
      <w:bookmarkStart w:id="46" w:name="_Toc507407360"/>
      <w:bookmarkStart w:id="47" w:name="_Toc466786435"/>
      <w:bookmarkStart w:id="48" w:name="_Toc6882676"/>
      <w:bookmarkStart w:id="49" w:name="_Toc102277757"/>
      <w:bookmarkStart w:id="50" w:name="_Toc6968688"/>
    </w:p>
    <w:p>
      <w:pPr>
        <w:pStyle w:val="6"/>
        <w:keepNext w:val="0"/>
        <w:keepLines w:val="0"/>
        <w:numPr>
          <w:ilvl w:val="0"/>
          <w:numId w:val="3"/>
        </w:numPr>
        <w:adjustRightInd/>
        <w:rPr>
          <w:rFonts w:hAnsi="宋体"/>
          <w:color w:val="auto"/>
          <w:sz w:val="21"/>
          <w:szCs w:val="21"/>
          <w:highlight w:val="none"/>
        </w:rPr>
      </w:pPr>
      <w:bookmarkStart w:id="51" w:name="_Toc1083"/>
      <w:bookmarkStart w:id="52" w:name="_Toc31412"/>
      <w:r>
        <w:rPr>
          <w:rFonts w:hint="eastAsia" w:hAnsi="宋体"/>
          <w:color w:val="auto"/>
          <w:sz w:val="21"/>
          <w:szCs w:val="21"/>
          <w:highlight w:val="none"/>
        </w:rPr>
        <w:t>适用法律</w:t>
      </w:r>
      <w:bookmarkEnd w:id="45"/>
      <w:bookmarkEnd w:id="51"/>
      <w:bookmarkEnd w:id="52"/>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highlight w:val="none"/>
        </w:rPr>
      </w:pPr>
      <w:bookmarkStart w:id="53" w:name="_Toc110953832"/>
    </w:p>
    <w:p>
      <w:pPr>
        <w:pStyle w:val="6"/>
        <w:keepNext w:val="0"/>
        <w:keepLines w:val="0"/>
        <w:numPr>
          <w:ilvl w:val="0"/>
          <w:numId w:val="3"/>
        </w:numPr>
        <w:adjustRightInd/>
        <w:rPr>
          <w:rFonts w:hAnsi="宋体"/>
          <w:color w:val="auto"/>
          <w:sz w:val="21"/>
          <w:szCs w:val="21"/>
          <w:highlight w:val="none"/>
        </w:rPr>
      </w:pPr>
      <w:bookmarkStart w:id="54" w:name="_Toc15452"/>
      <w:bookmarkStart w:id="55" w:name="_Toc18833"/>
      <w:r>
        <w:rPr>
          <w:rFonts w:hint="eastAsia" w:hAnsi="宋体"/>
          <w:color w:val="auto"/>
          <w:sz w:val="21"/>
          <w:szCs w:val="21"/>
          <w:highlight w:val="none"/>
        </w:rPr>
        <w:t>知识产权</w:t>
      </w:r>
      <w:bookmarkEnd w:id="53"/>
      <w:bookmarkEnd w:id="54"/>
      <w:bookmarkEnd w:id="55"/>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采购人享有本项目实施过程中产生的知识成果及知识产权。</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采购货物为计算机办公设备或含有计算机办公设备时，供应商提供的产品必须是预装正版操作系统软件的计算机产品。</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供应商提供的服务、货物经认定存在侵权行为的，其响应文件无效，并上报相关监管部门。</w:t>
      </w:r>
    </w:p>
    <w:p>
      <w:pPr>
        <w:rPr>
          <w:rFonts w:ascii="宋体" w:hAnsi="宋体" w:cs="宋体"/>
          <w:color w:val="auto"/>
          <w:szCs w:val="21"/>
          <w:highlight w:val="none"/>
        </w:rPr>
      </w:pPr>
    </w:p>
    <w:p>
      <w:pPr>
        <w:pStyle w:val="6"/>
        <w:keepNext w:val="0"/>
        <w:keepLines w:val="0"/>
        <w:numPr>
          <w:ilvl w:val="0"/>
          <w:numId w:val="3"/>
        </w:numPr>
        <w:adjustRightInd/>
        <w:rPr>
          <w:rFonts w:hAnsi="宋体"/>
          <w:color w:val="auto"/>
          <w:sz w:val="21"/>
          <w:szCs w:val="21"/>
          <w:highlight w:val="none"/>
        </w:rPr>
      </w:pPr>
      <w:bookmarkStart w:id="56" w:name="_Toc5242"/>
      <w:bookmarkStart w:id="57" w:name="_Toc29484"/>
      <w:bookmarkStart w:id="58" w:name="_Toc110953833"/>
      <w:r>
        <w:rPr>
          <w:rFonts w:hint="eastAsia" w:hAnsi="宋体"/>
          <w:color w:val="auto"/>
          <w:sz w:val="21"/>
          <w:szCs w:val="21"/>
          <w:highlight w:val="none"/>
        </w:rPr>
        <w:t>关于联合体报价</w:t>
      </w:r>
      <w:bookmarkEnd w:id="56"/>
      <w:bookmarkEnd w:id="57"/>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对接受联合体报价的项目：两个以上的自然人、法人或者其他组织可以组成一个联合体，以一个供应商的身份共同参加政府采购。</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以联合体形式参与项目的供应商在领购磋商文件时，应提供所有联合体组成成员的营业执照复印件，并加盖各联合体组成成员的公章。</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联合体各方均应当符合《政府采购法》第二十二条规定的条件。</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采购人根据采购项目的特殊要求规定供应商特定条件的，联合体各方中至少应当有一方符合采购人规定的特定条件。</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供应商为联合体的，可以由联合体中的任意一方交纳保证金，其交纳的保证金对联合体各方均具有约束力。</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联合体中有同类资质的供应商按照联合体分工承担相同工作的，应当按照资质等级较低的联合体成员确定资质等级。</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除联合体协议明确授权盖章单位外，联合体报价时响应文件中所有要求盖章的地方均须加盖联合体所有组成成员的公章，否则该处盖章无效。</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rPr>
          <w:color w:val="auto"/>
          <w:highlight w:val="none"/>
        </w:rPr>
      </w:pPr>
    </w:p>
    <w:bookmarkEnd w:id="58"/>
    <w:p>
      <w:pPr>
        <w:pStyle w:val="6"/>
        <w:keepNext w:val="0"/>
        <w:keepLines w:val="0"/>
        <w:numPr>
          <w:ilvl w:val="0"/>
          <w:numId w:val="3"/>
        </w:numPr>
        <w:adjustRightInd/>
        <w:rPr>
          <w:rFonts w:hAnsi="宋体"/>
          <w:color w:val="auto"/>
          <w:sz w:val="21"/>
          <w:szCs w:val="21"/>
          <w:highlight w:val="none"/>
        </w:rPr>
      </w:pPr>
      <w:bookmarkStart w:id="59" w:name="_Toc25157"/>
      <w:bookmarkStart w:id="60" w:name="_Toc2836"/>
      <w:r>
        <w:rPr>
          <w:rFonts w:hint="eastAsia" w:hAnsi="宋体"/>
          <w:color w:val="auto"/>
          <w:sz w:val="21"/>
          <w:szCs w:val="21"/>
          <w:highlight w:val="none"/>
        </w:rPr>
        <w:t>关于分支机构报价</w:t>
      </w:r>
      <w:bookmarkEnd w:id="59"/>
      <w:bookmarkEnd w:id="60"/>
    </w:p>
    <w:p>
      <w:pPr>
        <w:numPr>
          <w:ilvl w:val="1"/>
          <w:numId w:val="3"/>
        </w:numPr>
        <w:rPr>
          <w:rFonts w:ascii="宋体" w:hAnsi="宋体" w:cs="宋体"/>
          <w:color w:val="auto"/>
          <w:szCs w:val="21"/>
          <w:highlight w:val="none"/>
        </w:rPr>
      </w:pPr>
      <w:bookmarkStart w:id="61" w:name="_Toc98126220"/>
      <w:bookmarkStart w:id="62" w:name="_Toc98126295"/>
      <w:r>
        <w:rPr>
          <w:rFonts w:hint="eastAsia" w:ascii="宋体" w:hAnsi="宋体" w:cs="宋体"/>
          <w:color w:val="auto"/>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63" w:name="_Toc18108"/>
      <w:bookmarkStart w:id="64" w:name="_Toc16198"/>
      <w:bookmarkStart w:id="65" w:name="_Toc110953834"/>
      <w:r>
        <w:rPr>
          <w:rFonts w:hint="eastAsia" w:hAnsi="宋体"/>
          <w:color w:val="auto"/>
          <w:sz w:val="21"/>
          <w:szCs w:val="21"/>
          <w:highlight w:val="none"/>
        </w:rPr>
        <w:t>保密及其它注意事项</w:t>
      </w:r>
      <w:bookmarkEnd w:id="63"/>
      <w:bookmarkEnd w:id="64"/>
      <w:bookmarkEnd w:id="65"/>
    </w:p>
    <w:p>
      <w:pPr>
        <w:numPr>
          <w:ilvl w:val="1"/>
          <w:numId w:val="3"/>
        </w:numPr>
        <w:rPr>
          <w:rFonts w:ascii="宋体" w:hAnsi="宋体" w:cs="宋体"/>
          <w:color w:val="auto"/>
          <w:szCs w:val="21"/>
          <w:highlight w:val="none"/>
        </w:rPr>
      </w:pPr>
      <w:bookmarkStart w:id="66" w:name="_Toc98126222"/>
      <w:bookmarkStart w:id="67" w:name="_Toc98126297"/>
      <w:r>
        <w:rPr>
          <w:rFonts w:hint="eastAsia" w:ascii="宋体" w:hAnsi="宋体" w:cs="宋体"/>
          <w:color w:val="auto"/>
          <w:szCs w:val="21"/>
          <w:highlight w:val="none"/>
        </w:rPr>
        <w:t>凡参与采购工作的有关人员均应自觉接受有关主管部门的监督，不得向他人透露可能影响公平竞争的有关情况。</w:t>
      </w:r>
      <w:bookmarkEnd w:id="66"/>
      <w:bookmarkEnd w:id="67"/>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在评审期间，供应商不得向磋商小组成员询问评审情况，不得进行旨在影响评审结果的活动。</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供应商应承担所有与准备和参加报价有关的费用。不论报价的结果如何，采购代理机构和采购人均无义务和责任承担这些费用。</w:t>
      </w:r>
    </w:p>
    <w:p>
      <w:pPr>
        <w:ind w:firstLine="420" w:firstLineChars="200"/>
        <w:rPr>
          <w:rFonts w:ascii="宋体" w:hAnsi="宋体" w:cs="宋体"/>
          <w:color w:val="auto"/>
          <w:szCs w:val="21"/>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68" w:name="_Toc25468"/>
      <w:bookmarkStart w:id="69" w:name="_Toc23588"/>
      <w:r>
        <w:rPr>
          <w:rFonts w:hint="eastAsia" w:ascii="宋体" w:hAnsi="宋体" w:eastAsia="宋体"/>
          <w:color w:val="auto"/>
          <w:sz w:val="24"/>
          <w:szCs w:val="21"/>
          <w:highlight w:val="none"/>
        </w:rPr>
        <w:t>第二章磋商文件说明</w:t>
      </w:r>
      <w:bookmarkEnd w:id="46"/>
      <w:bookmarkEnd w:id="47"/>
      <w:bookmarkEnd w:id="48"/>
      <w:bookmarkEnd w:id="49"/>
      <w:bookmarkEnd w:id="50"/>
      <w:bookmarkEnd w:id="68"/>
      <w:bookmarkEnd w:id="69"/>
    </w:p>
    <w:p>
      <w:pPr>
        <w:pStyle w:val="6"/>
        <w:keepNext w:val="0"/>
        <w:keepLines w:val="0"/>
        <w:numPr>
          <w:ilvl w:val="0"/>
          <w:numId w:val="3"/>
        </w:numPr>
        <w:adjustRightInd/>
        <w:rPr>
          <w:rFonts w:hAnsi="宋体"/>
          <w:color w:val="auto"/>
          <w:sz w:val="21"/>
          <w:szCs w:val="21"/>
          <w:highlight w:val="none"/>
        </w:rPr>
      </w:pPr>
      <w:bookmarkStart w:id="70" w:name="_Toc21439"/>
      <w:bookmarkStart w:id="71" w:name="_Toc110953836"/>
      <w:bookmarkStart w:id="72" w:name="_Toc4511"/>
      <w:bookmarkStart w:id="73" w:name="_Toc6882677"/>
      <w:bookmarkStart w:id="74" w:name="_Toc6968689"/>
      <w:bookmarkStart w:id="75" w:name="_Toc507407361"/>
      <w:bookmarkStart w:id="76" w:name="_Toc102277758"/>
      <w:bookmarkStart w:id="77" w:name="_Toc466786436"/>
      <w:r>
        <w:rPr>
          <w:rFonts w:hint="eastAsia" w:hAnsi="宋体"/>
          <w:color w:val="auto"/>
          <w:sz w:val="21"/>
          <w:szCs w:val="21"/>
          <w:highlight w:val="none"/>
        </w:rPr>
        <w:t>采购文件构成</w:t>
      </w:r>
      <w:bookmarkEnd w:id="70"/>
      <w:bookmarkEnd w:id="71"/>
      <w:bookmarkEnd w:id="72"/>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采购文件由下列文件以及在采购过程中发出的澄清更正文件组成：</w:t>
      </w:r>
    </w:p>
    <w:p>
      <w:pPr>
        <w:pStyle w:val="2"/>
        <w:numPr>
          <w:ilvl w:val="0"/>
          <w:numId w:val="6"/>
        </w:numPr>
        <w:spacing w:before="0"/>
        <w:rPr>
          <w:color w:val="auto"/>
          <w:sz w:val="21"/>
          <w:szCs w:val="21"/>
          <w:highlight w:val="none"/>
        </w:rPr>
      </w:pPr>
      <w:r>
        <w:rPr>
          <w:rFonts w:hint="eastAsia"/>
          <w:color w:val="auto"/>
          <w:sz w:val="21"/>
          <w:szCs w:val="21"/>
          <w:highlight w:val="none"/>
        </w:rPr>
        <w:t>磋商邀请函；</w:t>
      </w:r>
    </w:p>
    <w:p>
      <w:pPr>
        <w:pStyle w:val="2"/>
        <w:numPr>
          <w:ilvl w:val="0"/>
          <w:numId w:val="6"/>
        </w:numPr>
        <w:spacing w:before="0"/>
        <w:rPr>
          <w:color w:val="auto"/>
          <w:sz w:val="21"/>
          <w:szCs w:val="21"/>
          <w:highlight w:val="none"/>
        </w:rPr>
      </w:pPr>
      <w:r>
        <w:rPr>
          <w:rFonts w:hint="eastAsia"/>
          <w:color w:val="auto"/>
          <w:sz w:val="21"/>
          <w:szCs w:val="21"/>
          <w:highlight w:val="none"/>
        </w:rPr>
        <w:t>磋商资料表；</w:t>
      </w:r>
    </w:p>
    <w:p>
      <w:pPr>
        <w:pStyle w:val="2"/>
        <w:numPr>
          <w:ilvl w:val="0"/>
          <w:numId w:val="6"/>
        </w:numPr>
        <w:spacing w:before="0"/>
        <w:rPr>
          <w:color w:val="auto"/>
          <w:sz w:val="21"/>
          <w:szCs w:val="21"/>
          <w:highlight w:val="none"/>
        </w:rPr>
      </w:pPr>
      <w:r>
        <w:rPr>
          <w:rFonts w:hint="eastAsia"/>
          <w:color w:val="auto"/>
          <w:sz w:val="21"/>
          <w:szCs w:val="21"/>
          <w:highlight w:val="none"/>
        </w:rPr>
        <w:t>供应商须知；</w:t>
      </w:r>
    </w:p>
    <w:p>
      <w:pPr>
        <w:pStyle w:val="2"/>
        <w:numPr>
          <w:ilvl w:val="0"/>
          <w:numId w:val="6"/>
        </w:numPr>
        <w:spacing w:before="0"/>
        <w:rPr>
          <w:color w:val="auto"/>
          <w:sz w:val="21"/>
          <w:szCs w:val="21"/>
          <w:highlight w:val="none"/>
        </w:rPr>
      </w:pPr>
      <w:r>
        <w:rPr>
          <w:rFonts w:hint="eastAsia"/>
          <w:color w:val="auto"/>
          <w:sz w:val="21"/>
          <w:szCs w:val="21"/>
          <w:highlight w:val="none"/>
        </w:rPr>
        <w:t>用户需求；</w:t>
      </w:r>
    </w:p>
    <w:p>
      <w:pPr>
        <w:pStyle w:val="2"/>
        <w:numPr>
          <w:ilvl w:val="0"/>
          <w:numId w:val="6"/>
        </w:numPr>
        <w:spacing w:before="0"/>
        <w:rPr>
          <w:color w:val="auto"/>
          <w:sz w:val="21"/>
          <w:szCs w:val="21"/>
          <w:highlight w:val="none"/>
        </w:rPr>
      </w:pPr>
      <w:r>
        <w:rPr>
          <w:rFonts w:hint="eastAsia"/>
          <w:color w:val="auto"/>
          <w:sz w:val="21"/>
          <w:szCs w:val="21"/>
          <w:highlight w:val="none"/>
        </w:rPr>
        <w:t>合同书格式；</w:t>
      </w:r>
    </w:p>
    <w:p>
      <w:pPr>
        <w:pStyle w:val="2"/>
        <w:numPr>
          <w:ilvl w:val="0"/>
          <w:numId w:val="6"/>
        </w:numPr>
        <w:spacing w:before="0"/>
        <w:rPr>
          <w:color w:val="auto"/>
          <w:sz w:val="21"/>
          <w:szCs w:val="21"/>
          <w:highlight w:val="none"/>
        </w:rPr>
      </w:pPr>
      <w:r>
        <w:rPr>
          <w:rFonts w:hint="eastAsia"/>
          <w:color w:val="auto"/>
          <w:sz w:val="21"/>
          <w:szCs w:val="21"/>
          <w:highlight w:val="none"/>
        </w:rPr>
        <w:t>响应文件格式；</w:t>
      </w:r>
    </w:p>
    <w:p>
      <w:pPr>
        <w:pStyle w:val="2"/>
        <w:numPr>
          <w:ilvl w:val="0"/>
          <w:numId w:val="6"/>
        </w:numPr>
        <w:spacing w:before="0"/>
        <w:rPr>
          <w:color w:val="auto"/>
          <w:sz w:val="21"/>
          <w:szCs w:val="21"/>
          <w:highlight w:val="none"/>
        </w:rPr>
      </w:pPr>
      <w:r>
        <w:rPr>
          <w:rFonts w:hint="eastAsia"/>
          <w:color w:val="auto"/>
          <w:sz w:val="21"/>
          <w:szCs w:val="21"/>
          <w:highlight w:val="none"/>
        </w:rPr>
        <w:t>在采购过程中由集中采购机构发出的澄清更正文件等。</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采购文件的澄清更正：</w:t>
      </w:r>
    </w:p>
    <w:p>
      <w:pPr>
        <w:numPr>
          <w:ilvl w:val="0"/>
          <w:numId w:val="7"/>
        </w:numPr>
        <w:rPr>
          <w:rFonts w:ascii="宋体" w:hAnsi="宋体" w:cs="宋体"/>
          <w:color w:val="auto"/>
          <w:szCs w:val="21"/>
          <w:highlight w:val="none"/>
        </w:rPr>
      </w:pPr>
      <w:r>
        <w:rPr>
          <w:rFonts w:hint="eastAsia" w:ascii="宋体" w:hAnsi="宋体" w:cs="宋体"/>
          <w:color w:val="auto"/>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rPr>
          <w:rFonts w:ascii="宋体" w:hAnsi="宋体" w:cs="宋体"/>
          <w:color w:val="auto"/>
          <w:szCs w:val="21"/>
          <w:highlight w:val="none"/>
        </w:rPr>
      </w:pPr>
      <w:r>
        <w:rPr>
          <w:rFonts w:hint="eastAsia" w:ascii="宋体" w:hAnsi="宋体" w:cs="宋体"/>
          <w:color w:val="auto"/>
          <w:szCs w:val="21"/>
          <w:highlight w:val="none"/>
        </w:rPr>
        <w:t>采购期间，供应商有义务上网查看，公告一经上网发布，即视为送达。因供应商未及时上网查看而造成的所有后果，由供应商自行承担。</w:t>
      </w:r>
    </w:p>
    <w:p>
      <w:pPr>
        <w:numPr>
          <w:ilvl w:val="0"/>
          <w:numId w:val="7"/>
        </w:numPr>
        <w:rPr>
          <w:rFonts w:ascii="宋体" w:hAnsi="宋体" w:cs="宋体"/>
          <w:color w:val="auto"/>
          <w:szCs w:val="21"/>
          <w:highlight w:val="none"/>
        </w:rPr>
      </w:pPr>
      <w:r>
        <w:rPr>
          <w:rFonts w:hint="eastAsia" w:ascii="宋体" w:hAnsi="宋体" w:cs="宋体"/>
          <w:color w:val="auto"/>
          <w:szCs w:val="21"/>
          <w:highlight w:val="none"/>
        </w:rPr>
        <w:t>根据采购的具体情况，采购代理机构可延长响应文件递交截止时间和磋商时间，并将变更时间在指定媒体上发布公告及通知所有报名及购买采购文件的供应商。</w:t>
      </w:r>
    </w:p>
    <w:p>
      <w:pPr>
        <w:pStyle w:val="2"/>
        <w:rPr>
          <w:color w:val="auto"/>
          <w:sz w:val="21"/>
          <w:szCs w:val="21"/>
          <w:highlight w:val="none"/>
        </w:rPr>
      </w:pPr>
    </w:p>
    <w:bookmarkEnd w:id="73"/>
    <w:bookmarkEnd w:id="74"/>
    <w:bookmarkEnd w:id="75"/>
    <w:bookmarkEnd w:id="76"/>
    <w:bookmarkEnd w:id="77"/>
    <w:p>
      <w:pPr>
        <w:pStyle w:val="5"/>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158"/>
      <w:bookmarkStart w:id="80" w:name="_Toc25500"/>
      <w:bookmarkStart w:id="81" w:name="_Toc466786437"/>
      <w:bookmarkStart w:id="82" w:name="_Toc102277759"/>
      <w:bookmarkStart w:id="83" w:name="_Toc507407362"/>
      <w:bookmarkStart w:id="84" w:name="_Toc6882678"/>
      <w:bookmarkStart w:id="85" w:name="_Toc6968690"/>
      <w:r>
        <w:rPr>
          <w:rFonts w:hint="eastAsia" w:ascii="宋体" w:hAnsi="宋体" w:eastAsia="宋体"/>
          <w:color w:val="auto"/>
          <w:sz w:val="24"/>
          <w:szCs w:val="21"/>
          <w:highlight w:val="none"/>
        </w:rPr>
        <w:t>第三章响应文件的</w:t>
      </w:r>
      <w:bookmarkEnd w:id="78"/>
      <w:r>
        <w:rPr>
          <w:rFonts w:hint="eastAsia" w:ascii="宋体" w:hAnsi="宋体" w:eastAsia="宋体"/>
          <w:color w:val="auto"/>
          <w:sz w:val="24"/>
          <w:szCs w:val="21"/>
          <w:highlight w:val="none"/>
        </w:rPr>
        <w:t>编制</w:t>
      </w:r>
      <w:bookmarkEnd w:id="79"/>
      <w:bookmarkEnd w:id="80"/>
    </w:p>
    <w:p>
      <w:pPr>
        <w:pStyle w:val="6"/>
        <w:keepNext w:val="0"/>
        <w:keepLines w:val="0"/>
        <w:numPr>
          <w:ilvl w:val="0"/>
          <w:numId w:val="3"/>
        </w:numPr>
        <w:adjustRightInd/>
        <w:rPr>
          <w:rFonts w:hAnsi="宋体"/>
          <w:color w:val="auto"/>
          <w:sz w:val="21"/>
          <w:szCs w:val="21"/>
          <w:highlight w:val="none"/>
        </w:rPr>
      </w:pPr>
      <w:bookmarkStart w:id="86" w:name="_Toc19833"/>
      <w:bookmarkStart w:id="87" w:name="_Toc4681"/>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color w:val="auto"/>
          <w:szCs w:val="21"/>
          <w:highlight w:val="none"/>
        </w:rPr>
        <w:t>（中文译本应由翻译机构盖章或者翻译人员签名确认，否则按无效处理）</w:t>
      </w:r>
      <w:r>
        <w:rPr>
          <w:rFonts w:hint="eastAsia" w:ascii="宋体" w:hAnsi="宋体"/>
          <w:bCs/>
          <w:color w:val="auto"/>
          <w:szCs w:val="21"/>
          <w:highlight w:val="none"/>
        </w:rPr>
        <w:t>。</w:t>
      </w:r>
    </w:p>
    <w:p>
      <w:pPr>
        <w:numPr>
          <w:ilvl w:val="1"/>
          <w:numId w:val="3"/>
        </w:numPr>
        <w:rPr>
          <w:rFonts w:ascii="宋体" w:hAnsi="宋体"/>
          <w:bCs/>
          <w:color w:val="auto"/>
          <w:szCs w:val="21"/>
          <w:highlight w:val="none"/>
        </w:rPr>
      </w:pPr>
      <w:r>
        <w:rPr>
          <w:rFonts w:hint="eastAsia" w:ascii="宋体" w:hAnsi="宋体"/>
          <w:bCs/>
          <w:color w:val="auto"/>
          <w:szCs w:val="21"/>
          <w:highlight w:val="none"/>
        </w:rPr>
        <w:t>除非采购文件在技术规格中另有规定，供应商在采购文件中及其与采购代理机构和采购人所有往来文件中的所有计量单位均应采用中华人民共和国法定计量单位。</w:t>
      </w:r>
    </w:p>
    <w:p>
      <w:pPr>
        <w:rPr>
          <w:color w:val="auto"/>
          <w:highlight w:val="none"/>
        </w:rPr>
      </w:pPr>
    </w:p>
    <w:bookmarkEnd w:id="88"/>
    <w:p>
      <w:pPr>
        <w:pStyle w:val="6"/>
        <w:keepNext w:val="0"/>
        <w:keepLines w:val="0"/>
        <w:numPr>
          <w:ilvl w:val="0"/>
          <w:numId w:val="3"/>
        </w:numPr>
        <w:adjustRightInd/>
        <w:rPr>
          <w:rFonts w:hAnsi="宋体"/>
          <w:color w:val="auto"/>
          <w:sz w:val="21"/>
          <w:szCs w:val="21"/>
          <w:highlight w:val="none"/>
        </w:rPr>
      </w:pPr>
      <w:bookmarkStart w:id="89" w:name="_Toc25730"/>
      <w:bookmarkStart w:id="90" w:name="_Toc18228"/>
      <w:r>
        <w:rPr>
          <w:rFonts w:hint="eastAsia" w:hAnsi="宋体"/>
          <w:color w:val="auto"/>
          <w:sz w:val="21"/>
          <w:szCs w:val="21"/>
          <w:highlight w:val="none"/>
        </w:rPr>
        <w:t>响应文件编制</w:t>
      </w:r>
      <w:bookmarkEnd w:id="89"/>
      <w:bookmarkEnd w:id="90"/>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供应商必须对响应文件所提供的全部资料的真实性承担法律责任，并无条件接受采购人或采购代理机构及政府采购监督管理部门等对其中任何资料进行核实的要求。</w:t>
      </w:r>
    </w:p>
    <w:p>
      <w:pPr>
        <w:numPr>
          <w:ilvl w:val="1"/>
          <w:numId w:val="3"/>
        </w:numPr>
        <w:rPr>
          <w:rFonts w:ascii="宋体" w:hAnsi="宋体"/>
          <w:bCs/>
          <w:color w:val="auto"/>
          <w:szCs w:val="21"/>
          <w:highlight w:val="none"/>
        </w:rPr>
      </w:pPr>
      <w:r>
        <w:rPr>
          <w:rFonts w:hint="eastAsia" w:ascii="宋体" w:hAnsi="宋体"/>
          <w:bCs/>
          <w:color w:val="auto"/>
          <w:szCs w:val="21"/>
          <w:highlight w:val="none"/>
        </w:rPr>
        <w:t>如果因为供应商响应文件填报的内容不详，或没有提供采购文件中所要求的全部资料及数据，由此造成的后果，其责任由供应商承担。</w:t>
      </w:r>
    </w:p>
    <w:p>
      <w:pPr>
        <w:numPr>
          <w:ilvl w:val="1"/>
          <w:numId w:val="3"/>
        </w:numPr>
        <w:rPr>
          <w:rFonts w:ascii="宋体" w:hAnsi="宋体"/>
          <w:bCs/>
          <w:color w:val="auto"/>
          <w:szCs w:val="21"/>
          <w:highlight w:val="none"/>
        </w:rPr>
      </w:pPr>
      <w:r>
        <w:rPr>
          <w:rFonts w:hint="eastAsia" w:ascii="宋体" w:hAnsi="宋体"/>
          <w:bCs/>
          <w:color w:val="auto"/>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3"/>
        </w:numPr>
        <w:rPr>
          <w:rFonts w:ascii="宋体" w:hAnsi="宋体"/>
          <w:bCs/>
          <w:color w:val="auto"/>
          <w:szCs w:val="21"/>
          <w:highlight w:val="none"/>
        </w:rPr>
      </w:pPr>
      <w:r>
        <w:rPr>
          <w:rFonts w:hint="eastAsia" w:ascii="宋体" w:hAnsi="宋体"/>
          <w:bCs/>
          <w:color w:val="auto"/>
          <w:szCs w:val="21"/>
          <w:highlight w:val="none"/>
        </w:rPr>
        <w:t>报价：</w:t>
      </w:r>
    </w:p>
    <w:p>
      <w:pPr>
        <w:numPr>
          <w:ilvl w:val="0"/>
          <w:numId w:val="8"/>
        </w:numPr>
        <w:rPr>
          <w:rFonts w:ascii="宋体" w:hAnsi="宋体"/>
          <w:bCs/>
          <w:color w:val="auto"/>
          <w:szCs w:val="21"/>
          <w:highlight w:val="none"/>
        </w:rPr>
      </w:pPr>
      <w:r>
        <w:rPr>
          <w:rFonts w:hint="eastAsia" w:ascii="宋体" w:hAnsi="宋体"/>
          <w:bCs/>
          <w:color w:val="auto"/>
          <w:szCs w:val="21"/>
          <w:highlight w:val="none"/>
        </w:rPr>
        <w:t>供应商应按响应文件的</w:t>
      </w:r>
      <w:r>
        <w:rPr>
          <w:rFonts w:hint="eastAsia" w:ascii="宋体" w:hAnsi="宋体"/>
          <w:color w:val="auto"/>
          <w:szCs w:val="21"/>
          <w:highlight w:val="none"/>
        </w:rPr>
        <w:t>用户需求中的要求进行一次报价</w:t>
      </w:r>
      <w:r>
        <w:rPr>
          <w:rFonts w:hint="eastAsia" w:ascii="宋体" w:hAnsi="宋体"/>
          <w:bCs/>
          <w:color w:val="auto"/>
          <w:szCs w:val="21"/>
          <w:highlight w:val="none"/>
        </w:rPr>
        <w:t>；</w:t>
      </w:r>
    </w:p>
    <w:p>
      <w:pPr>
        <w:numPr>
          <w:ilvl w:val="0"/>
          <w:numId w:val="8"/>
        </w:numPr>
        <w:rPr>
          <w:rFonts w:ascii="宋体" w:hAnsi="宋体"/>
          <w:bCs/>
          <w:color w:val="auto"/>
          <w:szCs w:val="21"/>
          <w:highlight w:val="none"/>
        </w:rPr>
      </w:pPr>
      <w:r>
        <w:rPr>
          <w:rFonts w:hint="eastAsia" w:ascii="宋体" w:hAnsi="宋体"/>
          <w:bCs/>
          <w:color w:val="auto"/>
          <w:szCs w:val="21"/>
          <w:highlight w:val="none"/>
        </w:rPr>
        <w:t>供应商所提供的货物和服务均应以人民币</w:t>
      </w:r>
      <w:r>
        <w:rPr>
          <w:rFonts w:hint="eastAsia" w:ascii="宋体" w:hAnsi="宋体"/>
          <w:color w:val="auto"/>
          <w:szCs w:val="21"/>
          <w:highlight w:val="none"/>
        </w:rPr>
        <w:t>（或相关费率）</w:t>
      </w:r>
      <w:r>
        <w:rPr>
          <w:rFonts w:hint="eastAsia" w:ascii="宋体" w:hAnsi="宋体"/>
          <w:bCs/>
          <w:color w:val="auto"/>
          <w:szCs w:val="21"/>
          <w:highlight w:val="none"/>
        </w:rPr>
        <w:t>报价（具体报价要求详见用户需求）；</w:t>
      </w:r>
    </w:p>
    <w:p>
      <w:pPr>
        <w:numPr>
          <w:ilvl w:val="0"/>
          <w:numId w:val="8"/>
        </w:numPr>
        <w:rPr>
          <w:rFonts w:ascii="宋体" w:hAnsi="宋体"/>
          <w:bCs/>
          <w:color w:val="auto"/>
          <w:szCs w:val="21"/>
          <w:highlight w:val="none"/>
        </w:rPr>
      </w:pPr>
      <w:r>
        <w:rPr>
          <w:rFonts w:hint="eastAsia" w:ascii="宋体" w:hAnsi="宋体"/>
          <w:bCs/>
          <w:color w:val="auto"/>
          <w:szCs w:val="21"/>
          <w:highlight w:val="none"/>
        </w:rPr>
        <w:t>报价应包含完成本次采购所有服务内容的费用，包含各种税务费及合同实施过程中的全部费用；</w:t>
      </w:r>
    </w:p>
    <w:p>
      <w:pPr>
        <w:numPr>
          <w:ilvl w:val="0"/>
          <w:numId w:val="8"/>
        </w:numPr>
        <w:rPr>
          <w:rFonts w:ascii="宋体" w:hAnsi="宋体"/>
          <w:bCs/>
          <w:color w:val="auto"/>
          <w:szCs w:val="21"/>
          <w:highlight w:val="none"/>
        </w:rPr>
      </w:pPr>
      <w:r>
        <w:rPr>
          <w:rFonts w:hint="eastAsia" w:ascii="宋体" w:hAnsi="宋体"/>
          <w:bCs/>
          <w:color w:val="auto"/>
          <w:szCs w:val="21"/>
          <w:highlight w:val="none"/>
        </w:rPr>
        <w:t>经磋商后，供应商所报的最后磋商报价在合同执行过程中是固定不变的，不得以任何理由予以变更；</w:t>
      </w:r>
    </w:p>
    <w:p>
      <w:pPr>
        <w:numPr>
          <w:ilvl w:val="0"/>
          <w:numId w:val="8"/>
        </w:numPr>
        <w:rPr>
          <w:rFonts w:ascii="宋体" w:hAnsi="宋体"/>
          <w:bCs/>
          <w:color w:val="auto"/>
          <w:szCs w:val="21"/>
          <w:highlight w:val="none"/>
        </w:rPr>
      </w:pPr>
      <w:r>
        <w:rPr>
          <w:rFonts w:hint="eastAsia" w:ascii="宋体" w:hAnsi="宋体"/>
          <w:bCs/>
          <w:color w:val="auto"/>
          <w:szCs w:val="21"/>
          <w:highlight w:val="none"/>
        </w:rPr>
        <w:t>供应商只能就单个项目提供唯一的方案和报价，不接受选择性的方案和报价，方案或报价不是唯一的响应文件作无效处理；</w:t>
      </w:r>
    </w:p>
    <w:p>
      <w:pPr>
        <w:numPr>
          <w:ilvl w:val="0"/>
          <w:numId w:val="8"/>
        </w:numPr>
        <w:rPr>
          <w:rFonts w:ascii="宋体" w:hAnsi="宋体"/>
          <w:bCs/>
          <w:color w:val="auto"/>
          <w:szCs w:val="21"/>
          <w:highlight w:val="none"/>
        </w:rPr>
      </w:pPr>
      <w:r>
        <w:rPr>
          <w:rFonts w:hint="eastAsia" w:ascii="宋体" w:hAnsi="宋体"/>
          <w:bCs/>
          <w:color w:val="auto"/>
          <w:szCs w:val="21"/>
          <w:highlight w:val="none"/>
        </w:rPr>
        <w:t>最终报价文件为供应商响应文件组成的一部分，其报价有效期应与响应文件有效期保持一致；</w:t>
      </w:r>
    </w:p>
    <w:p>
      <w:pPr>
        <w:numPr>
          <w:ilvl w:val="0"/>
          <w:numId w:val="8"/>
        </w:numPr>
        <w:rPr>
          <w:rFonts w:ascii="宋体" w:hAnsi="宋体"/>
          <w:bCs/>
          <w:color w:val="auto"/>
          <w:szCs w:val="21"/>
          <w:highlight w:val="none"/>
        </w:rPr>
      </w:pPr>
      <w:r>
        <w:rPr>
          <w:rFonts w:hint="eastAsia" w:ascii="宋体" w:hAnsi="宋体"/>
          <w:bCs/>
          <w:color w:val="auto"/>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rPr>
          <w:rFonts w:ascii="宋体" w:hAnsi="宋体"/>
          <w:color w:val="auto"/>
          <w:szCs w:val="21"/>
          <w:highlight w:val="none"/>
        </w:rPr>
      </w:pPr>
      <w:r>
        <w:rPr>
          <w:rFonts w:hint="eastAsia" w:ascii="宋体" w:hAnsi="宋体"/>
          <w:bCs/>
          <w:color w:val="auto"/>
          <w:szCs w:val="21"/>
          <w:highlight w:val="none"/>
        </w:rPr>
        <w:t>供应商名称与供应商公章不一致，若供应商名称已进行变更，应在响应文件中提供相应的证明材料并加盖公章，否则响应文件无效。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响应文件密封、标记及内容与本项目采购信息不符，导致无法分辨所参与项目为本项目的，响应文件无效。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响应文件的签署：未按采购文件要求或未按响应文件所要求格式对响应文件进行签署授权的，其报价无效。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电报、电话、传真、电子邮件形式的响应文件概不接受。</w:t>
      </w:r>
    </w:p>
    <w:p>
      <w:pPr>
        <w:rPr>
          <w:rFonts w:ascii="宋体" w:hAnsi="宋体"/>
          <w:bCs/>
          <w:color w:val="auto"/>
          <w:szCs w:val="21"/>
          <w:highlight w:val="none"/>
        </w:rPr>
      </w:pPr>
    </w:p>
    <w:p>
      <w:pPr>
        <w:pStyle w:val="6"/>
        <w:keepNext w:val="0"/>
        <w:keepLines w:val="0"/>
        <w:numPr>
          <w:ilvl w:val="0"/>
          <w:numId w:val="3"/>
        </w:numPr>
        <w:adjustRightInd/>
        <w:rPr>
          <w:rFonts w:hAnsi="宋体"/>
          <w:color w:val="auto"/>
          <w:sz w:val="21"/>
          <w:szCs w:val="21"/>
          <w:highlight w:val="none"/>
        </w:rPr>
      </w:pPr>
      <w:bookmarkStart w:id="91" w:name="_Toc26897"/>
      <w:bookmarkStart w:id="92" w:name="_Toc11910"/>
      <w:bookmarkStart w:id="93" w:name="_Toc110953840"/>
      <w:r>
        <w:rPr>
          <w:rFonts w:hint="eastAsia" w:hAnsi="宋体"/>
          <w:color w:val="auto"/>
          <w:sz w:val="21"/>
          <w:szCs w:val="21"/>
          <w:highlight w:val="none"/>
        </w:rPr>
        <w:t>响应文件的内容</w:t>
      </w:r>
      <w:bookmarkEnd w:id="91"/>
      <w:bookmarkEnd w:id="92"/>
      <w:bookmarkEnd w:id="93"/>
    </w:p>
    <w:p>
      <w:pPr>
        <w:numPr>
          <w:ilvl w:val="1"/>
          <w:numId w:val="3"/>
        </w:numPr>
        <w:rPr>
          <w:rFonts w:ascii="宋体" w:hAnsi="宋体"/>
          <w:bCs/>
          <w:color w:val="auto"/>
          <w:szCs w:val="21"/>
          <w:highlight w:val="none"/>
        </w:rPr>
      </w:pPr>
      <w:r>
        <w:rPr>
          <w:rFonts w:hint="eastAsia" w:ascii="宋体" w:hAnsi="宋体"/>
          <w:bCs/>
          <w:color w:val="auto"/>
          <w:szCs w:val="21"/>
          <w:highlight w:val="none"/>
        </w:rPr>
        <w:t>证明供应商合格和资格的文件。</w:t>
      </w:r>
    </w:p>
    <w:p>
      <w:pPr>
        <w:numPr>
          <w:ilvl w:val="1"/>
          <w:numId w:val="3"/>
        </w:numPr>
        <w:rPr>
          <w:rFonts w:ascii="宋体" w:hAnsi="宋体"/>
          <w:bCs/>
          <w:color w:val="auto"/>
          <w:szCs w:val="21"/>
          <w:highlight w:val="none"/>
        </w:rPr>
      </w:pPr>
      <w:r>
        <w:rPr>
          <w:rFonts w:hint="eastAsia" w:ascii="宋体" w:hAnsi="宋体"/>
          <w:bCs/>
          <w:color w:val="auto"/>
          <w:szCs w:val="21"/>
          <w:highlight w:val="none"/>
        </w:rPr>
        <w:t>响应文件格式中要求必须提供的表格。</w:t>
      </w:r>
    </w:p>
    <w:p>
      <w:pPr>
        <w:rPr>
          <w:rFonts w:ascii="宋体" w:hAnsi="宋体" w:cs="宋体"/>
          <w:color w:val="auto"/>
          <w:szCs w:val="21"/>
          <w:highlight w:val="none"/>
        </w:rPr>
      </w:pPr>
    </w:p>
    <w:p>
      <w:pPr>
        <w:pStyle w:val="6"/>
        <w:keepNext w:val="0"/>
        <w:keepLines w:val="0"/>
        <w:numPr>
          <w:ilvl w:val="0"/>
          <w:numId w:val="3"/>
        </w:numPr>
        <w:adjustRightInd/>
        <w:rPr>
          <w:rFonts w:hAnsi="宋体"/>
          <w:color w:val="auto"/>
          <w:sz w:val="21"/>
          <w:szCs w:val="21"/>
          <w:highlight w:val="none"/>
        </w:rPr>
      </w:pPr>
      <w:bookmarkStart w:id="94" w:name="_Toc1662"/>
      <w:bookmarkStart w:id="95" w:name="_Toc110953841"/>
      <w:bookmarkStart w:id="96" w:name="_Toc15387"/>
      <w:r>
        <w:rPr>
          <w:rFonts w:hint="eastAsia" w:hAnsi="宋体"/>
          <w:color w:val="auto"/>
          <w:sz w:val="21"/>
          <w:szCs w:val="21"/>
          <w:highlight w:val="none"/>
        </w:rPr>
        <w:t>响应文件格式</w:t>
      </w:r>
      <w:bookmarkEnd w:id="94"/>
      <w:bookmarkEnd w:id="95"/>
      <w:bookmarkEnd w:id="96"/>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cs="宋体"/>
          <w:color w:val="auto"/>
          <w:szCs w:val="21"/>
          <w:highlight w:val="none"/>
        </w:rPr>
      </w:pPr>
    </w:p>
    <w:p>
      <w:pPr>
        <w:pStyle w:val="6"/>
        <w:keepNext w:val="0"/>
        <w:keepLines w:val="0"/>
        <w:numPr>
          <w:ilvl w:val="0"/>
          <w:numId w:val="3"/>
        </w:numPr>
        <w:adjustRightInd/>
        <w:rPr>
          <w:rFonts w:hAnsi="宋体"/>
          <w:color w:val="auto"/>
          <w:sz w:val="21"/>
          <w:szCs w:val="21"/>
          <w:highlight w:val="none"/>
        </w:rPr>
      </w:pPr>
      <w:bookmarkStart w:id="97" w:name="_Toc1898"/>
      <w:bookmarkStart w:id="98" w:name="_Toc21656"/>
      <w:r>
        <w:rPr>
          <w:rFonts w:hint="eastAsia" w:hAnsi="宋体"/>
          <w:color w:val="auto"/>
          <w:sz w:val="21"/>
          <w:szCs w:val="21"/>
          <w:highlight w:val="none"/>
        </w:rPr>
        <w:t>磋商保证金</w:t>
      </w:r>
      <w:bookmarkEnd w:id="97"/>
      <w:bookmarkEnd w:id="98"/>
      <w:r>
        <w:rPr>
          <w:rFonts w:hint="eastAsia" w:hAnsi="宋体"/>
          <w:color w:val="auto"/>
          <w:sz w:val="21"/>
          <w:szCs w:val="21"/>
          <w:highlight w:val="none"/>
        </w:rPr>
        <w:t>（</w:t>
      </w:r>
      <w:r>
        <w:rPr>
          <w:rFonts w:hint="eastAsia" w:ascii="宋体" w:hAnsi="宋体"/>
          <w:color w:val="auto"/>
          <w:sz w:val="21"/>
          <w:szCs w:val="21"/>
          <w:highlight w:val="none"/>
        </w:rPr>
        <w:t>本项目不需提供</w:t>
      </w:r>
      <w:r>
        <w:rPr>
          <w:rFonts w:hint="eastAsia" w:hAnsi="宋体"/>
          <w:color w:val="auto"/>
          <w:sz w:val="21"/>
          <w:szCs w:val="21"/>
          <w:highlight w:val="none"/>
        </w:rPr>
        <w:t>磋商保证金）</w:t>
      </w:r>
    </w:p>
    <w:p>
      <w:pPr>
        <w:numPr>
          <w:ilvl w:val="1"/>
          <w:numId w:val="3"/>
        </w:numPr>
        <w:rPr>
          <w:rFonts w:ascii="宋体" w:hAnsi="宋体"/>
          <w:bCs/>
          <w:color w:val="auto"/>
          <w:szCs w:val="21"/>
          <w:highlight w:val="none"/>
        </w:rPr>
      </w:pPr>
      <w:r>
        <w:rPr>
          <w:rFonts w:hint="eastAsia" w:ascii="宋体" w:hAnsi="宋体"/>
          <w:color w:val="auto"/>
          <w:szCs w:val="21"/>
          <w:highlight w:val="none"/>
        </w:rPr>
        <w:t>磋商保证金金额与采购文件要求金额保持一致（详见磋商资料表）。</w:t>
      </w:r>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磋商保证金有效期与响应文件有效期保持一致。</w:t>
      </w:r>
    </w:p>
    <w:p>
      <w:pPr>
        <w:numPr>
          <w:ilvl w:val="1"/>
          <w:numId w:val="3"/>
        </w:numPr>
        <w:rPr>
          <w:rFonts w:ascii="宋体" w:hAnsi="宋体"/>
          <w:bCs/>
          <w:color w:val="auto"/>
          <w:szCs w:val="21"/>
          <w:highlight w:val="none"/>
        </w:rPr>
      </w:pPr>
      <w:r>
        <w:rPr>
          <w:rFonts w:hint="eastAsia" w:ascii="宋体" w:hAnsi="宋体"/>
          <w:bCs/>
          <w:color w:val="auto"/>
          <w:szCs w:val="21"/>
          <w:highlight w:val="none"/>
        </w:rPr>
        <w:t>缴纳磋商保证金的供应商与参与本项目的供应商名称必须一致，非参与本项目的供应商缴纳的磋商保证金无效。</w:t>
      </w:r>
    </w:p>
    <w:p>
      <w:pPr>
        <w:numPr>
          <w:ilvl w:val="1"/>
          <w:numId w:val="3"/>
        </w:numPr>
        <w:rPr>
          <w:rFonts w:ascii="宋体" w:hAnsi="宋体"/>
          <w:bCs/>
          <w:color w:val="auto"/>
          <w:szCs w:val="21"/>
          <w:highlight w:val="none"/>
        </w:rPr>
      </w:pPr>
      <w:r>
        <w:rPr>
          <w:rFonts w:hint="eastAsia" w:ascii="宋体" w:hAnsi="宋体"/>
          <w:bCs/>
          <w:color w:val="auto"/>
          <w:szCs w:val="21"/>
          <w:highlight w:val="none"/>
        </w:rPr>
        <w:t>采用银行转账、电汇方式提交的,付至采购代理机构指定账户上。 (详见磋商资料表)</w:t>
      </w:r>
    </w:p>
    <w:p>
      <w:pPr>
        <w:numPr>
          <w:ilvl w:val="1"/>
          <w:numId w:val="3"/>
        </w:numPr>
        <w:rPr>
          <w:rFonts w:ascii="宋体" w:hAnsi="宋体"/>
          <w:bCs/>
          <w:color w:val="auto"/>
          <w:szCs w:val="21"/>
          <w:highlight w:val="none"/>
        </w:rPr>
      </w:pPr>
      <w:r>
        <w:rPr>
          <w:rFonts w:hint="eastAsia" w:ascii="宋体" w:hAnsi="宋体"/>
          <w:bCs/>
          <w:color w:val="auto"/>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3"/>
        </w:numPr>
        <w:rPr>
          <w:rFonts w:ascii="宋体" w:hAnsi="宋体"/>
          <w:bCs/>
          <w:color w:val="auto"/>
          <w:szCs w:val="21"/>
          <w:highlight w:val="none"/>
        </w:rPr>
      </w:pPr>
      <w:r>
        <w:rPr>
          <w:rFonts w:hint="eastAsia" w:ascii="宋体" w:hAnsi="宋体"/>
          <w:bCs/>
          <w:color w:val="auto"/>
          <w:szCs w:val="21"/>
          <w:highlight w:val="none"/>
        </w:rPr>
        <w:t>采用担保函提交的，应符合下列规定：</w:t>
      </w:r>
    </w:p>
    <w:p>
      <w:pPr>
        <w:pStyle w:val="2"/>
        <w:numPr>
          <w:ilvl w:val="0"/>
          <w:numId w:val="9"/>
        </w:numPr>
        <w:spacing w:before="0"/>
        <w:rPr>
          <w:color w:val="auto"/>
          <w:sz w:val="21"/>
          <w:szCs w:val="21"/>
          <w:highlight w:val="none"/>
        </w:rPr>
      </w:pPr>
      <w:r>
        <w:rPr>
          <w:rFonts w:hint="eastAsia"/>
          <w:color w:val="auto"/>
          <w:sz w:val="21"/>
          <w:szCs w:val="21"/>
          <w:highlight w:val="none"/>
        </w:rPr>
        <w:t>担保函有效期应与响应文件有效期一致；</w:t>
      </w:r>
    </w:p>
    <w:p>
      <w:pPr>
        <w:pStyle w:val="2"/>
        <w:numPr>
          <w:ilvl w:val="0"/>
          <w:numId w:val="9"/>
        </w:numPr>
        <w:spacing w:before="0"/>
        <w:rPr>
          <w:color w:val="auto"/>
          <w:sz w:val="21"/>
          <w:szCs w:val="21"/>
          <w:highlight w:val="none"/>
        </w:rPr>
      </w:pPr>
      <w:r>
        <w:rPr>
          <w:rFonts w:hint="eastAsia"/>
          <w:color w:val="auto"/>
          <w:sz w:val="21"/>
          <w:szCs w:val="21"/>
          <w:highlight w:val="none"/>
        </w:rPr>
        <w:t>担保金额应与本项目的磋商保证金一致；</w:t>
      </w:r>
    </w:p>
    <w:p>
      <w:pPr>
        <w:numPr>
          <w:ilvl w:val="1"/>
          <w:numId w:val="3"/>
        </w:numPr>
        <w:rPr>
          <w:rFonts w:ascii="宋体" w:hAnsi="宋体"/>
          <w:bCs/>
          <w:color w:val="auto"/>
          <w:szCs w:val="21"/>
          <w:highlight w:val="none"/>
        </w:rPr>
      </w:pPr>
      <w:r>
        <w:rPr>
          <w:rFonts w:hint="eastAsia" w:ascii="宋体" w:hAnsi="宋体"/>
          <w:bCs/>
          <w:color w:val="auto"/>
          <w:szCs w:val="21"/>
          <w:highlight w:val="none"/>
        </w:rPr>
        <w:t>保证金不接受现金方式（包括以存现方式）提交，未按要求提交磋商保证金的供应商其响应文件作无效处理。</w:t>
      </w:r>
    </w:p>
    <w:p>
      <w:pPr>
        <w:numPr>
          <w:ilvl w:val="1"/>
          <w:numId w:val="3"/>
        </w:numPr>
        <w:rPr>
          <w:rFonts w:ascii="宋体" w:hAnsi="宋体"/>
          <w:bCs/>
          <w:color w:val="auto"/>
          <w:szCs w:val="21"/>
          <w:highlight w:val="none"/>
        </w:rPr>
      </w:pPr>
      <w:r>
        <w:rPr>
          <w:rFonts w:hint="eastAsia" w:ascii="宋体" w:hAnsi="宋体"/>
          <w:bCs/>
          <w:color w:val="auto"/>
          <w:szCs w:val="21"/>
          <w:highlight w:val="none"/>
        </w:rPr>
        <w:t>未成交的供应商保证金在采购结果公示发出后5个工作日内退还，成交供应商的保证金在采购合同签订后5个工作日内退还。</w:t>
      </w:r>
    </w:p>
    <w:p>
      <w:pPr>
        <w:numPr>
          <w:ilvl w:val="1"/>
          <w:numId w:val="3"/>
        </w:numPr>
        <w:rPr>
          <w:rFonts w:ascii="宋体" w:hAnsi="宋体"/>
          <w:bCs/>
          <w:color w:val="auto"/>
          <w:szCs w:val="21"/>
          <w:highlight w:val="none"/>
        </w:rPr>
      </w:pPr>
      <w:r>
        <w:rPr>
          <w:rFonts w:hint="eastAsia" w:ascii="宋体" w:hAnsi="宋体"/>
          <w:bCs/>
          <w:color w:val="auto"/>
          <w:szCs w:val="21"/>
          <w:highlight w:val="none"/>
        </w:rPr>
        <w:t>为方便退还未成交的供应商保证金，供应商应制作《磋商保证金汇入情况说明》随响应文件一并递交。</w:t>
      </w:r>
    </w:p>
    <w:p>
      <w:pPr>
        <w:numPr>
          <w:ilvl w:val="1"/>
          <w:numId w:val="3"/>
        </w:numPr>
        <w:rPr>
          <w:rFonts w:ascii="宋体" w:hAnsi="宋体"/>
          <w:bCs/>
          <w:color w:val="auto"/>
          <w:szCs w:val="21"/>
          <w:highlight w:val="none"/>
        </w:rPr>
      </w:pPr>
      <w:r>
        <w:rPr>
          <w:rFonts w:hint="eastAsia" w:ascii="宋体" w:hAnsi="宋体"/>
          <w:bCs/>
          <w:color w:val="auto"/>
          <w:szCs w:val="21"/>
          <w:highlight w:val="none"/>
        </w:rPr>
        <w:t>有下列情形之一的，磋商保证金不予退还：</w:t>
      </w:r>
    </w:p>
    <w:p>
      <w:pPr>
        <w:pStyle w:val="2"/>
        <w:numPr>
          <w:ilvl w:val="0"/>
          <w:numId w:val="10"/>
        </w:numPr>
        <w:spacing w:before="0"/>
        <w:rPr>
          <w:color w:val="auto"/>
          <w:sz w:val="21"/>
          <w:szCs w:val="21"/>
          <w:highlight w:val="none"/>
        </w:rPr>
      </w:pPr>
      <w:r>
        <w:rPr>
          <w:rFonts w:hint="eastAsia"/>
          <w:color w:val="auto"/>
          <w:sz w:val="21"/>
          <w:szCs w:val="21"/>
          <w:highlight w:val="none"/>
        </w:rPr>
        <w:t>供应商在提交响应文件截止时间后撤回响应文件的；</w:t>
      </w:r>
    </w:p>
    <w:p>
      <w:pPr>
        <w:pStyle w:val="2"/>
        <w:numPr>
          <w:ilvl w:val="0"/>
          <w:numId w:val="10"/>
        </w:numPr>
        <w:spacing w:before="0"/>
        <w:rPr>
          <w:color w:val="auto"/>
          <w:sz w:val="21"/>
          <w:szCs w:val="21"/>
          <w:highlight w:val="none"/>
        </w:rPr>
      </w:pPr>
      <w:r>
        <w:rPr>
          <w:rFonts w:hint="eastAsia"/>
          <w:color w:val="auto"/>
          <w:sz w:val="21"/>
          <w:szCs w:val="21"/>
          <w:highlight w:val="none"/>
        </w:rPr>
        <w:t>供应商在响应文件中提供虚假材料的；</w:t>
      </w:r>
    </w:p>
    <w:p>
      <w:pPr>
        <w:pStyle w:val="2"/>
        <w:numPr>
          <w:ilvl w:val="0"/>
          <w:numId w:val="10"/>
        </w:numPr>
        <w:spacing w:before="0"/>
        <w:rPr>
          <w:color w:val="auto"/>
          <w:sz w:val="21"/>
          <w:szCs w:val="21"/>
          <w:highlight w:val="none"/>
        </w:rPr>
      </w:pPr>
      <w:r>
        <w:rPr>
          <w:rFonts w:hint="eastAsia"/>
          <w:color w:val="auto"/>
          <w:sz w:val="21"/>
          <w:szCs w:val="21"/>
          <w:highlight w:val="none"/>
        </w:rPr>
        <w:t>除因不可抗力或磋商文件（本文件）、询价通知书（本文件）认可的情形以外，成交供应商不与采购人签订合同的；</w:t>
      </w:r>
    </w:p>
    <w:p>
      <w:pPr>
        <w:pStyle w:val="2"/>
        <w:numPr>
          <w:ilvl w:val="0"/>
          <w:numId w:val="10"/>
        </w:numPr>
        <w:spacing w:before="0"/>
        <w:rPr>
          <w:color w:val="auto"/>
          <w:sz w:val="21"/>
          <w:szCs w:val="21"/>
          <w:highlight w:val="none"/>
        </w:rPr>
      </w:pPr>
      <w:r>
        <w:rPr>
          <w:rFonts w:hint="eastAsia"/>
          <w:color w:val="auto"/>
          <w:sz w:val="21"/>
          <w:szCs w:val="21"/>
          <w:highlight w:val="none"/>
        </w:rPr>
        <w:t>供应商与采购人、其他供应商或者采购代理机构恶意串通的；</w:t>
      </w:r>
    </w:p>
    <w:p>
      <w:pPr>
        <w:pStyle w:val="2"/>
        <w:numPr>
          <w:ilvl w:val="0"/>
          <w:numId w:val="10"/>
        </w:numPr>
        <w:spacing w:before="0"/>
        <w:rPr>
          <w:color w:val="auto"/>
          <w:sz w:val="21"/>
          <w:szCs w:val="21"/>
          <w:highlight w:val="none"/>
        </w:rPr>
      </w:pPr>
      <w:r>
        <w:rPr>
          <w:rFonts w:hint="eastAsia"/>
          <w:color w:val="auto"/>
          <w:sz w:val="21"/>
          <w:szCs w:val="21"/>
          <w:highlight w:val="none"/>
        </w:rPr>
        <w:t>采购文件规定的其他情形。</w:t>
      </w:r>
    </w:p>
    <w:p>
      <w:pPr>
        <w:spacing w:line="480" w:lineRule="exact"/>
        <w:ind w:firstLine="480" w:firstLineChars="200"/>
        <w:rPr>
          <w:rFonts w:ascii="宋体" w:hAnsi="宋体"/>
          <w:color w:val="auto"/>
          <w:sz w:val="24"/>
          <w:szCs w:val="21"/>
          <w:highlight w:val="none"/>
        </w:rPr>
      </w:pPr>
    </w:p>
    <w:p>
      <w:pPr>
        <w:pStyle w:val="6"/>
        <w:keepNext w:val="0"/>
        <w:keepLines w:val="0"/>
        <w:numPr>
          <w:ilvl w:val="0"/>
          <w:numId w:val="3"/>
        </w:numPr>
        <w:adjustRightInd/>
        <w:rPr>
          <w:rFonts w:hAnsi="宋体"/>
          <w:color w:val="auto"/>
          <w:sz w:val="21"/>
          <w:szCs w:val="21"/>
          <w:highlight w:val="none"/>
        </w:rPr>
      </w:pPr>
      <w:bookmarkStart w:id="99" w:name="_Toc10456"/>
      <w:bookmarkStart w:id="100" w:name="_Toc454701382"/>
      <w:bookmarkStart w:id="101" w:name="_Toc467987824"/>
      <w:bookmarkStart w:id="102" w:name="_Toc468157537"/>
      <w:bookmarkStart w:id="103" w:name="_Toc503758471"/>
      <w:bookmarkStart w:id="104" w:name="_Toc25734"/>
      <w:bookmarkStart w:id="105" w:name="_Toc458262615"/>
      <w:bookmarkStart w:id="106" w:name="_Toc467236741"/>
      <w:bookmarkStart w:id="107" w:name="_Toc480021054"/>
      <w:bookmarkStart w:id="108" w:name="_Toc480010709"/>
      <w:bookmarkStart w:id="109" w:name="_Toc480171880"/>
      <w:bookmarkStart w:id="110" w:name="_Toc468606030"/>
      <w:bookmarkStart w:id="111" w:name="_Toc480020258"/>
      <w:bookmarkStart w:id="112" w:name="_Toc110953842"/>
      <w:bookmarkStart w:id="113" w:name="_Toc479991583"/>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rPr>
          <w:rFonts w:ascii="宋体" w:hAnsi="宋体"/>
          <w:bCs/>
          <w:color w:val="auto"/>
          <w:szCs w:val="21"/>
          <w:highlight w:val="none"/>
        </w:rPr>
      </w:pPr>
      <w:r>
        <w:rPr>
          <w:rFonts w:hint="eastAsia" w:ascii="宋体" w:hAnsi="宋体"/>
          <w:bCs/>
          <w:color w:val="auto"/>
          <w:szCs w:val="21"/>
          <w:highlight w:val="none"/>
        </w:rPr>
        <w:t>响应文件从开启响应文件之日起，报价（响应文件）有效期为90个日历日。</w:t>
      </w:r>
    </w:p>
    <w:p>
      <w:pPr>
        <w:numPr>
          <w:ilvl w:val="1"/>
          <w:numId w:val="3"/>
        </w:numPr>
        <w:rPr>
          <w:rFonts w:ascii="宋体" w:hAnsi="宋体"/>
          <w:bCs/>
          <w:color w:val="auto"/>
          <w:szCs w:val="21"/>
          <w:highlight w:val="none"/>
        </w:rPr>
      </w:pPr>
      <w:r>
        <w:rPr>
          <w:rFonts w:hint="eastAsia" w:ascii="宋体" w:hAnsi="宋体"/>
          <w:bCs/>
          <w:color w:val="auto"/>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2"/>
        <w:rPr>
          <w:color w:val="auto"/>
          <w:sz w:val="21"/>
          <w:szCs w:val="21"/>
          <w:highlight w:val="none"/>
        </w:rPr>
      </w:pPr>
    </w:p>
    <w:bookmarkEnd w:id="81"/>
    <w:bookmarkEnd w:id="82"/>
    <w:bookmarkEnd w:id="83"/>
    <w:bookmarkEnd w:id="84"/>
    <w:bookmarkEnd w:id="85"/>
    <w:p>
      <w:pPr>
        <w:pStyle w:val="5"/>
        <w:keepNext w:val="0"/>
        <w:keepLines w:val="0"/>
        <w:spacing w:before="0" w:after="0" w:line="360" w:lineRule="auto"/>
        <w:jc w:val="center"/>
        <w:rPr>
          <w:rFonts w:ascii="宋体" w:hAnsi="宋体" w:eastAsia="宋体"/>
          <w:color w:val="auto"/>
          <w:sz w:val="24"/>
          <w:szCs w:val="21"/>
          <w:highlight w:val="none"/>
        </w:rPr>
      </w:pPr>
      <w:bookmarkStart w:id="114" w:name="_Toc7006"/>
      <w:bookmarkStart w:id="115" w:name="_Toc32392"/>
      <w:bookmarkStart w:id="116" w:name="_Toc110953843"/>
      <w:bookmarkStart w:id="117" w:name="_Toc507407363"/>
      <w:bookmarkStart w:id="118" w:name="_Toc466786438"/>
      <w:bookmarkStart w:id="119" w:name="_Toc6882679"/>
      <w:bookmarkStart w:id="120" w:name="_Toc102277760"/>
      <w:bookmarkStart w:id="121" w:name="_Toc6968691"/>
      <w:r>
        <w:rPr>
          <w:rFonts w:hint="eastAsia" w:ascii="宋体" w:hAnsi="宋体" w:eastAsia="宋体"/>
          <w:color w:val="auto"/>
          <w:sz w:val="24"/>
          <w:szCs w:val="21"/>
          <w:highlight w:val="none"/>
        </w:rPr>
        <w:t>第四章响应文件的递交</w:t>
      </w:r>
      <w:bookmarkEnd w:id="114"/>
      <w:bookmarkEnd w:id="115"/>
      <w:bookmarkEnd w:id="116"/>
    </w:p>
    <w:p>
      <w:pPr>
        <w:pStyle w:val="6"/>
        <w:keepNext w:val="0"/>
        <w:keepLines w:val="0"/>
        <w:numPr>
          <w:ilvl w:val="0"/>
          <w:numId w:val="3"/>
        </w:numPr>
        <w:adjustRightInd/>
        <w:rPr>
          <w:rFonts w:hAnsi="宋体"/>
          <w:color w:val="auto"/>
          <w:sz w:val="21"/>
          <w:szCs w:val="21"/>
          <w:highlight w:val="none"/>
        </w:rPr>
      </w:pPr>
      <w:bookmarkStart w:id="122" w:name="_Toc13611"/>
      <w:bookmarkStart w:id="123" w:name="_Toc4400"/>
      <w:bookmarkStart w:id="124" w:name="_Toc110953844"/>
      <w:r>
        <w:rPr>
          <w:rFonts w:hint="eastAsia" w:hAnsi="宋体"/>
          <w:color w:val="auto"/>
          <w:sz w:val="21"/>
          <w:szCs w:val="21"/>
          <w:highlight w:val="none"/>
        </w:rPr>
        <w:t>响应文件的密封和标记</w:t>
      </w:r>
      <w:bookmarkEnd w:id="122"/>
      <w:bookmarkEnd w:id="123"/>
      <w:bookmarkEnd w:id="124"/>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供应商应当对响应文件进行装订，价格文件、商务文件、技术文件可合装订为一册，也可根据自身需要分册装订，对未经装订的响应文件可能发生的文件散落或缺损，由此产生的后果由供应商承担。</w:t>
      </w:r>
    </w:p>
    <w:p>
      <w:pPr>
        <w:numPr>
          <w:ilvl w:val="1"/>
          <w:numId w:val="3"/>
        </w:numPr>
        <w:rPr>
          <w:rFonts w:ascii="宋体" w:hAnsi="宋体"/>
          <w:bCs/>
          <w:color w:val="auto"/>
          <w:szCs w:val="21"/>
          <w:highlight w:val="none"/>
        </w:rPr>
      </w:pPr>
      <w:r>
        <w:rPr>
          <w:rFonts w:hint="eastAsia" w:ascii="宋体" w:hAnsi="宋体"/>
          <w:bCs/>
          <w:color w:val="auto"/>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rPr>
          <w:rFonts w:ascii="宋体" w:hAnsi="宋体"/>
          <w:bCs/>
          <w:color w:val="auto"/>
          <w:szCs w:val="21"/>
          <w:highlight w:val="none"/>
        </w:rPr>
      </w:pPr>
      <w:r>
        <w:rPr>
          <w:rFonts w:hint="eastAsia" w:ascii="宋体" w:hAnsi="宋体"/>
          <w:bCs/>
          <w:color w:val="auto"/>
          <w:szCs w:val="21"/>
          <w:highlight w:val="none"/>
        </w:rPr>
        <w:t>联合体响应文件的【正本】及【副本】的封面及骑缝均须加盖所有联合体组成成员的公章。（文件每页盖章等同于盖骑缝章）</w:t>
      </w:r>
    </w:p>
    <w:p>
      <w:pPr>
        <w:numPr>
          <w:ilvl w:val="1"/>
          <w:numId w:val="3"/>
        </w:numPr>
        <w:rPr>
          <w:rFonts w:ascii="宋体" w:hAnsi="宋体"/>
          <w:bCs/>
          <w:color w:val="auto"/>
          <w:szCs w:val="21"/>
          <w:highlight w:val="none"/>
        </w:rPr>
      </w:pPr>
      <w:r>
        <w:rPr>
          <w:rFonts w:hint="eastAsia" w:ascii="宋体" w:hAnsi="宋体"/>
          <w:bCs/>
          <w:color w:val="auto"/>
          <w:szCs w:val="21"/>
          <w:highlight w:val="none"/>
        </w:rPr>
        <w:t>供应商可将响应文件正本和所有的副本分开密封装在单独的信封中，且在信封上标明“正本”“副本”字样。然后再将所有信封封装在一个外层信封中。</w:t>
      </w:r>
    </w:p>
    <w:p>
      <w:pPr>
        <w:numPr>
          <w:ilvl w:val="1"/>
          <w:numId w:val="3"/>
        </w:numPr>
        <w:rPr>
          <w:rFonts w:ascii="宋体" w:hAnsi="宋体"/>
          <w:bCs/>
          <w:color w:val="auto"/>
          <w:szCs w:val="21"/>
          <w:highlight w:val="none"/>
        </w:rPr>
      </w:pPr>
      <w:r>
        <w:rPr>
          <w:rFonts w:hint="eastAsia" w:ascii="宋体" w:hAnsi="宋体"/>
          <w:bCs/>
          <w:color w:val="auto"/>
          <w:szCs w:val="21"/>
          <w:highlight w:val="none"/>
        </w:rPr>
        <w:t>电子文件内容包括：由供应商自行制作的与正本文件一致的所有文件。</w:t>
      </w:r>
      <w:r>
        <w:rPr>
          <w:rFonts w:ascii="宋体" w:hAnsi="宋体"/>
          <w:color w:val="auto"/>
          <w:szCs w:val="21"/>
          <w:highlight w:val="none"/>
        </w:rPr>
        <w:t>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，与正本密封包装，随正本提交。</w:t>
      </w:r>
      <w:r>
        <w:rPr>
          <w:rFonts w:hint="eastAsia" w:ascii="宋体" w:hAnsi="宋体"/>
          <w:bCs/>
          <w:color w:val="auto"/>
          <w:szCs w:val="21"/>
          <w:highlight w:val="none"/>
        </w:rPr>
        <w:t>电报、电话、传真、电子邮件形式的电子响应文件概不接受。</w:t>
      </w:r>
    </w:p>
    <w:p>
      <w:pPr>
        <w:numPr>
          <w:ilvl w:val="1"/>
          <w:numId w:val="3"/>
        </w:numPr>
        <w:rPr>
          <w:rFonts w:ascii="宋体" w:hAnsi="宋体"/>
          <w:bCs/>
          <w:color w:val="auto"/>
          <w:szCs w:val="21"/>
          <w:highlight w:val="none"/>
        </w:rPr>
      </w:pPr>
      <w:r>
        <w:rPr>
          <w:rFonts w:hint="eastAsia" w:ascii="宋体" w:hAnsi="宋体"/>
          <w:color w:val="auto"/>
          <w:szCs w:val="21"/>
          <w:highlight w:val="none"/>
        </w:rPr>
        <w:t>所有的信封均应注明：</w:t>
      </w:r>
    </w:p>
    <w:p>
      <w:pPr>
        <w:rPr>
          <w:rFonts w:ascii="宋体" w:hAnsi="宋体"/>
          <w:color w:val="auto"/>
          <w:szCs w:val="21"/>
          <w:highlight w:val="none"/>
        </w:rPr>
      </w:pPr>
      <w:r>
        <w:rPr>
          <w:rFonts w:hint="eastAsia" w:ascii="宋体" w:hAnsi="宋体"/>
          <w:color w:val="auto"/>
          <w:szCs w:val="21"/>
          <w:highlight w:val="none"/>
        </w:rPr>
        <w:t>收件人：广东政通招标有限公司</w:t>
      </w:r>
    </w:p>
    <w:p>
      <w:pPr>
        <w:rPr>
          <w:rFonts w:ascii="宋体" w:hAnsi="宋体"/>
          <w:color w:val="auto"/>
          <w:szCs w:val="21"/>
          <w:highlight w:val="none"/>
        </w:rPr>
      </w:pPr>
      <w:r>
        <w:rPr>
          <w:rFonts w:hint="eastAsia" w:ascii="宋体" w:hAnsi="宋体"/>
          <w:color w:val="auto"/>
          <w:szCs w:val="21"/>
          <w:highlight w:val="none"/>
        </w:rPr>
        <w:t>供应商名称：</w:t>
      </w:r>
    </w:p>
    <w:p>
      <w:pPr>
        <w:rPr>
          <w:rFonts w:ascii="宋体" w:hAnsi="宋体"/>
          <w:color w:val="auto"/>
          <w:szCs w:val="21"/>
          <w:highlight w:val="none"/>
        </w:rPr>
      </w:pPr>
      <w:r>
        <w:rPr>
          <w:rFonts w:hint="eastAsia" w:ascii="宋体" w:hAnsi="宋体"/>
          <w:color w:val="auto"/>
          <w:szCs w:val="21"/>
          <w:highlight w:val="none"/>
        </w:rPr>
        <w:t>项目名称：</w:t>
      </w:r>
    </w:p>
    <w:p>
      <w:pPr>
        <w:rPr>
          <w:rFonts w:ascii="宋体" w:hAnsi="宋体"/>
          <w:color w:val="auto"/>
          <w:szCs w:val="21"/>
          <w:highlight w:val="none"/>
        </w:rPr>
      </w:pPr>
      <w:r>
        <w:rPr>
          <w:rFonts w:hint="eastAsia" w:ascii="宋体" w:hAnsi="宋体"/>
          <w:color w:val="auto"/>
          <w:szCs w:val="21"/>
          <w:highlight w:val="none"/>
        </w:rPr>
        <w:t>采购项目编号：</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25" w:name="_Toc6425"/>
      <w:bookmarkStart w:id="126" w:name="_Toc5658"/>
      <w:bookmarkStart w:id="127" w:name="_Toc110953845"/>
      <w:r>
        <w:rPr>
          <w:rFonts w:hint="eastAsia" w:hAnsi="宋体"/>
          <w:color w:val="auto"/>
          <w:sz w:val="21"/>
          <w:szCs w:val="21"/>
          <w:highlight w:val="none"/>
        </w:rPr>
        <w:t>响应文件的递交</w:t>
      </w:r>
      <w:bookmarkEnd w:id="125"/>
      <w:bookmarkEnd w:id="126"/>
      <w:bookmarkEnd w:id="127"/>
    </w:p>
    <w:p>
      <w:pPr>
        <w:numPr>
          <w:ilvl w:val="1"/>
          <w:numId w:val="3"/>
        </w:numPr>
        <w:rPr>
          <w:rFonts w:ascii="宋体" w:hAnsi="宋体"/>
          <w:color w:val="auto"/>
          <w:szCs w:val="21"/>
          <w:highlight w:val="none"/>
        </w:rPr>
      </w:pPr>
      <w:r>
        <w:rPr>
          <w:rFonts w:hint="eastAsia" w:ascii="宋体" w:hAnsi="宋体"/>
          <w:color w:val="auto"/>
          <w:szCs w:val="21"/>
          <w:highlight w:val="none"/>
        </w:rPr>
        <w:t>所有经密封的响应文件及单独密封的报价文件都必须在响应截止时间之前送至采购代理机构。</w:t>
      </w:r>
    </w:p>
    <w:p>
      <w:pPr>
        <w:numPr>
          <w:ilvl w:val="1"/>
          <w:numId w:val="3"/>
        </w:numPr>
        <w:rPr>
          <w:rFonts w:ascii="宋体" w:hAnsi="宋体"/>
          <w:color w:val="auto"/>
          <w:szCs w:val="21"/>
          <w:highlight w:val="none"/>
        </w:rPr>
      </w:pPr>
      <w:r>
        <w:rPr>
          <w:rFonts w:hint="eastAsia" w:ascii="宋体" w:hAnsi="宋体"/>
          <w:color w:val="auto"/>
          <w:szCs w:val="21"/>
          <w:highlight w:val="none"/>
        </w:rPr>
        <w:t>报价文件作为响应文件组成的一部分，采购文件所规定的初审事项适用于报价文件。</w:t>
      </w:r>
    </w:p>
    <w:p>
      <w:pPr>
        <w:numPr>
          <w:ilvl w:val="1"/>
          <w:numId w:val="3"/>
        </w:numPr>
        <w:rPr>
          <w:rFonts w:ascii="宋体" w:hAnsi="宋体"/>
          <w:color w:val="auto"/>
          <w:szCs w:val="21"/>
          <w:highlight w:val="none"/>
        </w:rPr>
      </w:pPr>
      <w:r>
        <w:rPr>
          <w:rFonts w:hint="eastAsia" w:ascii="宋体" w:hAnsi="宋体"/>
          <w:color w:val="auto"/>
          <w:szCs w:val="21"/>
          <w:highlight w:val="none"/>
        </w:rPr>
        <w:t>采购代理机构将拒绝接收出现以下情况的响应文件：</w:t>
      </w:r>
    </w:p>
    <w:p>
      <w:pPr>
        <w:pStyle w:val="2"/>
        <w:numPr>
          <w:ilvl w:val="0"/>
          <w:numId w:val="11"/>
        </w:numPr>
        <w:spacing w:before="0"/>
        <w:rPr>
          <w:color w:val="auto"/>
          <w:sz w:val="21"/>
          <w:szCs w:val="21"/>
          <w:highlight w:val="none"/>
        </w:rPr>
      </w:pPr>
      <w:r>
        <w:rPr>
          <w:rFonts w:hint="eastAsia"/>
          <w:color w:val="auto"/>
          <w:sz w:val="21"/>
          <w:szCs w:val="21"/>
          <w:highlight w:val="none"/>
        </w:rPr>
        <w:t>采用透明包装进行密封或未进行密封的响应文件；</w:t>
      </w:r>
    </w:p>
    <w:p>
      <w:pPr>
        <w:pStyle w:val="2"/>
        <w:numPr>
          <w:ilvl w:val="0"/>
          <w:numId w:val="11"/>
        </w:numPr>
        <w:spacing w:before="0"/>
        <w:rPr>
          <w:color w:val="auto"/>
          <w:sz w:val="21"/>
          <w:szCs w:val="21"/>
          <w:highlight w:val="none"/>
        </w:rPr>
      </w:pPr>
      <w:r>
        <w:rPr>
          <w:rFonts w:hint="eastAsia"/>
          <w:color w:val="auto"/>
          <w:sz w:val="21"/>
          <w:szCs w:val="21"/>
          <w:highlight w:val="none"/>
        </w:rPr>
        <w:t>密封破损导致响应文件内容直接或间接泄露的响应文件；</w:t>
      </w:r>
    </w:p>
    <w:p>
      <w:pPr>
        <w:pStyle w:val="2"/>
        <w:numPr>
          <w:ilvl w:val="0"/>
          <w:numId w:val="11"/>
        </w:numPr>
        <w:spacing w:before="0"/>
        <w:rPr>
          <w:color w:val="auto"/>
          <w:sz w:val="21"/>
          <w:szCs w:val="21"/>
          <w:highlight w:val="none"/>
        </w:rPr>
      </w:pPr>
      <w:r>
        <w:rPr>
          <w:rFonts w:hint="eastAsia"/>
          <w:color w:val="auto"/>
          <w:sz w:val="21"/>
          <w:szCs w:val="21"/>
          <w:highlight w:val="none"/>
        </w:rPr>
        <w:t>密封信封上项目编号错误的响应文件；</w:t>
      </w:r>
    </w:p>
    <w:p>
      <w:pPr>
        <w:pStyle w:val="2"/>
        <w:numPr>
          <w:ilvl w:val="0"/>
          <w:numId w:val="11"/>
        </w:numPr>
        <w:spacing w:before="0"/>
        <w:rPr>
          <w:color w:val="auto"/>
          <w:sz w:val="21"/>
          <w:szCs w:val="21"/>
          <w:highlight w:val="none"/>
        </w:rPr>
      </w:pPr>
      <w:r>
        <w:rPr>
          <w:rFonts w:hint="eastAsia"/>
          <w:color w:val="auto"/>
          <w:sz w:val="21"/>
          <w:szCs w:val="21"/>
          <w:highlight w:val="none"/>
        </w:rPr>
        <w:t>未进行项目报名的供应商（以采购代理机构报名表及报名发票为准）递交的响应文件；</w:t>
      </w:r>
    </w:p>
    <w:p>
      <w:pPr>
        <w:pStyle w:val="2"/>
        <w:numPr>
          <w:ilvl w:val="0"/>
          <w:numId w:val="11"/>
        </w:numPr>
        <w:spacing w:before="0"/>
        <w:rPr>
          <w:color w:val="auto"/>
          <w:sz w:val="21"/>
          <w:szCs w:val="21"/>
          <w:highlight w:val="none"/>
        </w:rPr>
      </w:pPr>
      <w:r>
        <w:rPr>
          <w:rFonts w:hint="eastAsia"/>
          <w:color w:val="auto"/>
          <w:sz w:val="21"/>
          <w:szCs w:val="21"/>
          <w:highlight w:val="none"/>
        </w:rPr>
        <w:t>项目名称出现严重歧义或未标注所参与项目信息导致无法分辨所参与项目为本项目的响应文件；</w:t>
      </w:r>
    </w:p>
    <w:p>
      <w:pPr>
        <w:pStyle w:val="2"/>
        <w:numPr>
          <w:ilvl w:val="0"/>
          <w:numId w:val="11"/>
        </w:numPr>
        <w:spacing w:before="0"/>
        <w:rPr>
          <w:color w:val="auto"/>
          <w:sz w:val="21"/>
          <w:szCs w:val="21"/>
          <w:highlight w:val="none"/>
        </w:rPr>
      </w:pPr>
      <w:r>
        <w:rPr>
          <w:rFonts w:hint="eastAsia"/>
          <w:color w:val="auto"/>
          <w:sz w:val="21"/>
          <w:szCs w:val="21"/>
          <w:highlight w:val="none"/>
        </w:rPr>
        <w:t>未递交磋商保证金供应商递交的响应文件；</w:t>
      </w:r>
    </w:p>
    <w:p>
      <w:pPr>
        <w:pStyle w:val="2"/>
        <w:numPr>
          <w:ilvl w:val="0"/>
          <w:numId w:val="11"/>
        </w:numPr>
        <w:spacing w:before="0"/>
        <w:rPr>
          <w:color w:val="auto"/>
          <w:sz w:val="21"/>
          <w:szCs w:val="21"/>
          <w:highlight w:val="none"/>
        </w:rPr>
      </w:pPr>
      <w:r>
        <w:rPr>
          <w:rFonts w:hint="eastAsia"/>
          <w:color w:val="auto"/>
          <w:sz w:val="21"/>
          <w:szCs w:val="21"/>
          <w:highlight w:val="none"/>
        </w:rPr>
        <w:t>采用传真、电传的响应文件；</w:t>
      </w:r>
    </w:p>
    <w:p>
      <w:pPr>
        <w:pStyle w:val="2"/>
        <w:numPr>
          <w:ilvl w:val="0"/>
          <w:numId w:val="11"/>
        </w:numPr>
        <w:spacing w:before="0"/>
        <w:rPr>
          <w:color w:val="auto"/>
          <w:sz w:val="21"/>
          <w:szCs w:val="21"/>
          <w:highlight w:val="none"/>
        </w:rPr>
      </w:pPr>
      <w:r>
        <w:rPr>
          <w:rFonts w:hint="eastAsia"/>
          <w:color w:val="auto"/>
          <w:sz w:val="21"/>
          <w:szCs w:val="21"/>
          <w:highlight w:val="none"/>
        </w:rPr>
        <w:t>多个包号的一并密封的响应文件；</w:t>
      </w:r>
    </w:p>
    <w:p>
      <w:pPr>
        <w:pStyle w:val="2"/>
        <w:numPr>
          <w:ilvl w:val="0"/>
          <w:numId w:val="11"/>
        </w:numPr>
        <w:spacing w:before="0"/>
        <w:rPr>
          <w:color w:val="auto"/>
          <w:sz w:val="21"/>
          <w:szCs w:val="21"/>
          <w:highlight w:val="none"/>
        </w:rPr>
      </w:pPr>
      <w:r>
        <w:rPr>
          <w:rFonts w:hint="eastAsia"/>
          <w:color w:val="auto"/>
          <w:sz w:val="21"/>
          <w:szCs w:val="21"/>
          <w:highlight w:val="none"/>
        </w:rPr>
        <w:t>迟交的响应文件；</w:t>
      </w:r>
    </w:p>
    <w:p>
      <w:pPr>
        <w:pStyle w:val="2"/>
        <w:numPr>
          <w:ilvl w:val="0"/>
          <w:numId w:val="11"/>
        </w:numPr>
        <w:spacing w:before="0"/>
        <w:rPr>
          <w:color w:val="auto"/>
          <w:sz w:val="21"/>
          <w:szCs w:val="21"/>
          <w:highlight w:val="none"/>
        </w:rPr>
      </w:pPr>
      <w:r>
        <w:rPr>
          <w:rFonts w:hint="eastAsia"/>
          <w:color w:val="auto"/>
          <w:sz w:val="21"/>
          <w:szCs w:val="21"/>
          <w:highlight w:val="none"/>
        </w:rPr>
        <w:t>磋商文件规定的其他情形。</w:t>
      </w:r>
    </w:p>
    <w:p>
      <w:pPr>
        <w:numPr>
          <w:ilvl w:val="1"/>
          <w:numId w:val="3"/>
        </w:numPr>
        <w:rPr>
          <w:rFonts w:ascii="宋体" w:hAnsi="宋体"/>
          <w:color w:val="auto"/>
          <w:szCs w:val="21"/>
          <w:highlight w:val="none"/>
        </w:rPr>
      </w:pPr>
      <w:r>
        <w:rPr>
          <w:rFonts w:hint="eastAsia" w:ascii="宋体" w:hAnsi="宋体"/>
          <w:color w:val="auto"/>
          <w:szCs w:val="21"/>
          <w:highlight w:val="none"/>
        </w:rPr>
        <w:t>采购代理机构对所有响应文件的误投或提前启封概不负责。</w:t>
      </w:r>
    </w:p>
    <w:p>
      <w:pPr>
        <w:numPr>
          <w:ilvl w:val="1"/>
          <w:numId w:val="3"/>
        </w:numPr>
        <w:rPr>
          <w:rFonts w:ascii="宋体" w:hAnsi="宋体"/>
          <w:color w:val="auto"/>
          <w:szCs w:val="21"/>
          <w:highlight w:val="none"/>
        </w:rPr>
      </w:pPr>
      <w:r>
        <w:rPr>
          <w:rFonts w:hint="eastAsia" w:ascii="宋体" w:hAnsi="宋体"/>
          <w:color w:val="auto"/>
          <w:szCs w:val="21"/>
          <w:highlight w:val="none"/>
        </w:rPr>
        <w:t>供应商同时参加几个包磋商时必须按采购文件要求按包号分别制作响应文件，分别密封递交。</w:t>
      </w:r>
    </w:p>
    <w:p>
      <w:pPr>
        <w:numPr>
          <w:ilvl w:val="1"/>
          <w:numId w:val="3"/>
        </w:numPr>
        <w:rPr>
          <w:rFonts w:ascii="宋体" w:hAnsi="宋体"/>
          <w:color w:val="auto"/>
          <w:szCs w:val="21"/>
          <w:highlight w:val="none"/>
        </w:rPr>
      </w:pPr>
      <w:r>
        <w:rPr>
          <w:rFonts w:hint="eastAsia" w:ascii="宋体" w:hAnsi="宋体"/>
          <w:color w:val="auto"/>
          <w:szCs w:val="21"/>
          <w:highlight w:val="none"/>
        </w:rPr>
        <w:t>递交的响应文件中所提供的通讯方式应保持联络畅通，因联系不上而导致的所有后果由供应商自行承担。</w:t>
      </w:r>
    </w:p>
    <w:p>
      <w:pPr>
        <w:rPr>
          <w:color w:val="auto"/>
          <w:highlight w:val="none"/>
        </w:rPr>
      </w:pPr>
    </w:p>
    <w:p>
      <w:pPr>
        <w:pStyle w:val="6"/>
        <w:keepNext w:val="0"/>
        <w:keepLines w:val="0"/>
        <w:numPr>
          <w:ilvl w:val="0"/>
          <w:numId w:val="3"/>
        </w:numPr>
        <w:adjustRightInd/>
        <w:rPr>
          <w:rFonts w:hAnsi="宋体" w:cs="宋体"/>
          <w:color w:val="auto"/>
          <w:sz w:val="21"/>
          <w:szCs w:val="21"/>
          <w:highlight w:val="none"/>
        </w:rPr>
      </w:pPr>
      <w:bookmarkStart w:id="128" w:name="_Toc8440"/>
      <w:bookmarkStart w:id="129" w:name="_Toc23533"/>
      <w:r>
        <w:rPr>
          <w:rFonts w:hint="eastAsia" w:hAnsi="宋体"/>
          <w:color w:val="auto"/>
          <w:sz w:val="21"/>
          <w:szCs w:val="21"/>
          <w:highlight w:val="none"/>
        </w:rPr>
        <w:t>样品（如需提交）</w:t>
      </w:r>
      <w:bookmarkEnd w:id="128"/>
      <w:bookmarkEnd w:id="129"/>
    </w:p>
    <w:p>
      <w:pPr>
        <w:numPr>
          <w:ilvl w:val="1"/>
          <w:numId w:val="3"/>
        </w:numPr>
        <w:rPr>
          <w:rFonts w:ascii="宋体" w:hAnsi="宋体"/>
          <w:color w:val="auto"/>
          <w:szCs w:val="21"/>
          <w:highlight w:val="none"/>
        </w:rPr>
      </w:pPr>
      <w:r>
        <w:rPr>
          <w:rFonts w:hint="eastAsia" w:ascii="宋体" w:hAnsi="宋体"/>
          <w:color w:val="auto"/>
          <w:szCs w:val="21"/>
          <w:highlight w:val="none"/>
        </w:rPr>
        <w:t>如有必要，采购代理机构可以要求供应商提供本服务项目涉及的部分设备或产品样品，供应商在磋商时应提交《样品清单》。</w:t>
      </w:r>
    </w:p>
    <w:p>
      <w:pPr>
        <w:numPr>
          <w:ilvl w:val="1"/>
          <w:numId w:val="3"/>
        </w:numPr>
        <w:rPr>
          <w:rFonts w:ascii="宋体" w:hAnsi="宋体"/>
          <w:color w:val="auto"/>
          <w:szCs w:val="21"/>
          <w:highlight w:val="none"/>
        </w:rPr>
      </w:pPr>
      <w:r>
        <w:rPr>
          <w:rFonts w:hint="eastAsia" w:ascii="宋体" w:hAnsi="宋体"/>
          <w:color w:val="auto"/>
          <w:szCs w:val="21"/>
          <w:highlight w:val="none"/>
        </w:rPr>
        <w:t>为方便评审，供应商在提供样品时，应在所提供的样品表面显著位置标注供应商的名称、包号、样品名称、采购文件规定的服务或货物编号。</w:t>
      </w:r>
    </w:p>
    <w:p>
      <w:pPr>
        <w:numPr>
          <w:ilvl w:val="1"/>
          <w:numId w:val="3"/>
        </w:numPr>
        <w:rPr>
          <w:rFonts w:ascii="宋体" w:hAnsi="宋体"/>
          <w:color w:val="auto"/>
          <w:szCs w:val="21"/>
          <w:highlight w:val="none"/>
        </w:rPr>
      </w:pPr>
      <w:r>
        <w:rPr>
          <w:rFonts w:hint="eastAsia" w:ascii="宋体" w:hAnsi="宋体"/>
          <w:color w:val="auto"/>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rPr>
          <w:rFonts w:ascii="宋体" w:hAnsi="宋体" w:cs="宋体"/>
          <w:color w:val="auto"/>
          <w:szCs w:val="21"/>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30" w:name="_Toc3401"/>
      <w:bookmarkStart w:id="131" w:name="_Toc30009"/>
      <w:r>
        <w:rPr>
          <w:rFonts w:hint="eastAsia" w:ascii="宋体" w:hAnsi="宋体" w:eastAsia="宋体"/>
          <w:color w:val="auto"/>
          <w:sz w:val="24"/>
          <w:szCs w:val="21"/>
          <w:highlight w:val="none"/>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6"/>
        <w:keepNext w:val="0"/>
        <w:keepLines w:val="0"/>
        <w:numPr>
          <w:ilvl w:val="0"/>
          <w:numId w:val="3"/>
        </w:numPr>
        <w:adjustRightInd/>
        <w:rPr>
          <w:rFonts w:hAnsi="宋体"/>
          <w:color w:val="auto"/>
          <w:sz w:val="21"/>
          <w:szCs w:val="21"/>
          <w:highlight w:val="none"/>
        </w:rPr>
      </w:pPr>
      <w:bookmarkStart w:id="132" w:name="_Toc28590"/>
      <w:bookmarkStart w:id="133" w:name="_Toc8137"/>
      <w:r>
        <w:rPr>
          <w:rFonts w:hint="eastAsia" w:hAnsi="宋体"/>
          <w:color w:val="auto"/>
          <w:sz w:val="21"/>
          <w:szCs w:val="21"/>
          <w:highlight w:val="none"/>
        </w:rPr>
        <w:t>签到及评审方法</w:t>
      </w:r>
      <w:bookmarkEnd w:id="132"/>
      <w:bookmarkEnd w:id="133"/>
    </w:p>
    <w:p>
      <w:pPr>
        <w:numPr>
          <w:ilvl w:val="1"/>
          <w:numId w:val="3"/>
        </w:numPr>
        <w:rPr>
          <w:rFonts w:ascii="宋体" w:hAnsi="宋体"/>
          <w:color w:val="auto"/>
          <w:szCs w:val="21"/>
          <w:highlight w:val="none"/>
        </w:rPr>
      </w:pPr>
      <w:bookmarkStart w:id="134" w:name="_Toc475249135"/>
      <w:bookmarkStart w:id="135" w:name="_Toc475249138"/>
      <w:r>
        <w:rPr>
          <w:rFonts w:hint="eastAsia" w:ascii="宋体" w:hAnsi="宋体"/>
          <w:color w:val="auto"/>
          <w:szCs w:val="21"/>
          <w:highlight w:val="none"/>
        </w:rPr>
        <w:t>供应商应在《磋商邀请函》规定的日期、时间和地点递交响应文件并进行现场签到。</w:t>
      </w:r>
    </w:p>
    <w:p>
      <w:pPr>
        <w:numPr>
          <w:ilvl w:val="1"/>
          <w:numId w:val="3"/>
        </w:numPr>
        <w:rPr>
          <w:rFonts w:ascii="宋体" w:hAnsi="宋体"/>
          <w:color w:val="auto"/>
          <w:szCs w:val="21"/>
          <w:highlight w:val="none"/>
        </w:rPr>
      </w:pPr>
      <w:r>
        <w:rPr>
          <w:rFonts w:hint="eastAsia" w:ascii="宋体" w:hAnsi="宋体"/>
          <w:color w:val="auto"/>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rPr>
          <w:rFonts w:ascii="宋体" w:hAnsi="宋体"/>
          <w:color w:val="auto"/>
          <w:szCs w:val="21"/>
          <w:highlight w:val="none"/>
        </w:rPr>
      </w:pPr>
      <w:r>
        <w:rPr>
          <w:rFonts w:hint="eastAsia" w:ascii="宋体" w:hAnsi="宋体"/>
          <w:color w:val="auto"/>
          <w:szCs w:val="21"/>
          <w:highlight w:val="none"/>
        </w:rPr>
        <w:t>本项目采用综合评分法。</w:t>
      </w:r>
    </w:p>
    <w:p>
      <w:pPr>
        <w:numPr>
          <w:ilvl w:val="1"/>
          <w:numId w:val="3"/>
        </w:numPr>
        <w:rPr>
          <w:rFonts w:ascii="宋体" w:hAnsi="宋体"/>
          <w:color w:val="auto"/>
          <w:szCs w:val="21"/>
          <w:highlight w:val="none"/>
        </w:rPr>
      </w:pPr>
      <w:r>
        <w:rPr>
          <w:rFonts w:hint="eastAsia" w:ascii="宋体" w:hAnsi="宋体"/>
          <w:color w:val="auto"/>
          <w:szCs w:val="21"/>
          <w:highlight w:val="none"/>
        </w:rPr>
        <w:t>通过资格性和符合性审查的有效供应商方有资格提交最终报价及进入综合评审。</w:t>
      </w:r>
    </w:p>
    <w:p>
      <w:pPr>
        <w:numPr>
          <w:ilvl w:val="1"/>
          <w:numId w:val="3"/>
        </w:numPr>
        <w:rPr>
          <w:rFonts w:ascii="宋体" w:hAnsi="宋体"/>
          <w:color w:val="auto"/>
          <w:szCs w:val="21"/>
          <w:highlight w:val="none"/>
        </w:rPr>
      </w:pPr>
      <w:r>
        <w:rPr>
          <w:rFonts w:hint="eastAsia" w:ascii="宋体" w:hAnsi="宋体"/>
          <w:color w:val="auto"/>
          <w:szCs w:val="21"/>
          <w:highlight w:val="none"/>
        </w:rPr>
        <w:t>根据财库〔2015〕124 号，在采购过程中符合要求的供应商只有 2 家的，竞争性磋商采购活动继续进行。</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36" w:name="_Toc10800"/>
      <w:bookmarkStart w:id="137" w:name="_Toc10080"/>
      <w:r>
        <w:rPr>
          <w:rFonts w:hint="eastAsia" w:hAnsi="宋体"/>
          <w:color w:val="auto"/>
          <w:sz w:val="21"/>
          <w:szCs w:val="21"/>
          <w:highlight w:val="none"/>
        </w:rPr>
        <w:t>磋商小组</w:t>
      </w:r>
      <w:bookmarkEnd w:id="134"/>
      <w:bookmarkEnd w:id="136"/>
      <w:bookmarkEnd w:id="137"/>
    </w:p>
    <w:p>
      <w:pPr>
        <w:numPr>
          <w:ilvl w:val="1"/>
          <w:numId w:val="3"/>
        </w:numPr>
        <w:rPr>
          <w:rFonts w:ascii="宋体" w:hAnsi="宋体"/>
          <w:color w:val="auto"/>
          <w:szCs w:val="21"/>
          <w:highlight w:val="none"/>
        </w:rPr>
      </w:pPr>
      <w:r>
        <w:rPr>
          <w:rFonts w:hint="eastAsia" w:ascii="宋体" w:hAnsi="宋体"/>
          <w:color w:val="auto"/>
          <w:szCs w:val="21"/>
          <w:highlight w:val="none"/>
        </w:rPr>
        <w:t>本次采购依法组建磋商小组。</w:t>
      </w:r>
    </w:p>
    <w:p>
      <w:pPr>
        <w:numPr>
          <w:ilvl w:val="1"/>
          <w:numId w:val="3"/>
        </w:numPr>
        <w:rPr>
          <w:rFonts w:ascii="宋体" w:hAnsi="宋体"/>
          <w:color w:val="auto"/>
          <w:szCs w:val="21"/>
          <w:highlight w:val="none"/>
        </w:rPr>
      </w:pPr>
      <w:r>
        <w:rPr>
          <w:rFonts w:hint="eastAsia" w:ascii="宋体" w:hAnsi="宋体"/>
          <w:color w:val="auto"/>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rPr>
          <w:rFonts w:ascii="宋体" w:hAnsi="宋体"/>
          <w:color w:val="auto"/>
          <w:szCs w:val="21"/>
          <w:highlight w:val="none"/>
        </w:rPr>
      </w:pPr>
      <w:r>
        <w:rPr>
          <w:rFonts w:hint="eastAsia" w:ascii="宋体" w:hAnsi="宋体"/>
          <w:color w:val="auto"/>
          <w:szCs w:val="21"/>
          <w:highlight w:val="none"/>
        </w:rPr>
        <w:t>从递交响应文件截止到签订合同，凡与审查、澄清、评审和供应商响应文件有关的资料，均不得向任何供应商及与磋商无关的其他人透露。</w:t>
      </w:r>
    </w:p>
    <w:p>
      <w:pPr>
        <w:rPr>
          <w:rFonts w:ascii="宋体" w:hAnsi="宋体"/>
          <w:color w:val="auto"/>
          <w:szCs w:val="21"/>
          <w:highlight w:val="none"/>
        </w:rPr>
      </w:pPr>
    </w:p>
    <w:p>
      <w:pPr>
        <w:pStyle w:val="6"/>
        <w:keepNext w:val="0"/>
        <w:keepLines w:val="0"/>
        <w:numPr>
          <w:ilvl w:val="0"/>
          <w:numId w:val="3"/>
        </w:numPr>
        <w:adjustRightInd/>
        <w:rPr>
          <w:rFonts w:hAnsi="宋体"/>
          <w:color w:val="auto"/>
          <w:sz w:val="21"/>
          <w:szCs w:val="21"/>
          <w:highlight w:val="none"/>
        </w:rPr>
      </w:pPr>
      <w:bookmarkStart w:id="138" w:name="_Toc17157"/>
      <w:bookmarkStart w:id="139" w:name="_Toc535141844"/>
      <w:bookmarkStart w:id="140" w:name="_Toc17978"/>
      <w:bookmarkStart w:id="141" w:name="_Toc37121259"/>
      <w:r>
        <w:rPr>
          <w:rFonts w:hint="eastAsia" w:hAnsi="宋体"/>
          <w:color w:val="auto"/>
          <w:sz w:val="21"/>
          <w:szCs w:val="21"/>
          <w:highlight w:val="none"/>
        </w:rPr>
        <w:t>对响应文件的初审</w:t>
      </w:r>
      <w:bookmarkEnd w:id="138"/>
      <w:bookmarkEnd w:id="139"/>
      <w:bookmarkEnd w:id="140"/>
      <w:bookmarkEnd w:id="141"/>
    </w:p>
    <w:p>
      <w:pPr>
        <w:numPr>
          <w:ilvl w:val="1"/>
          <w:numId w:val="3"/>
        </w:numPr>
        <w:rPr>
          <w:rFonts w:ascii="宋体" w:hAnsi="宋体"/>
          <w:color w:val="auto"/>
          <w:szCs w:val="21"/>
          <w:highlight w:val="none"/>
        </w:rPr>
      </w:pPr>
      <w:r>
        <w:rPr>
          <w:rFonts w:hint="eastAsia" w:ascii="宋体" w:hAnsi="宋体"/>
          <w:color w:val="auto"/>
          <w:szCs w:val="21"/>
          <w:highlight w:val="none"/>
        </w:rPr>
        <w:t>开启响应文件后，采购代理机构将组织磋商小组对响应文件进行初审，初审包括资格性审查和符合性审查。</w:t>
      </w:r>
    </w:p>
    <w:p>
      <w:pPr>
        <w:numPr>
          <w:ilvl w:val="1"/>
          <w:numId w:val="3"/>
        </w:numPr>
        <w:rPr>
          <w:rFonts w:ascii="宋体" w:hAnsi="宋体"/>
          <w:color w:val="auto"/>
          <w:szCs w:val="21"/>
          <w:highlight w:val="none"/>
        </w:rPr>
      </w:pPr>
      <w:r>
        <w:rPr>
          <w:rFonts w:hint="eastAsia" w:ascii="宋体" w:hAnsi="宋体"/>
          <w:color w:val="auto"/>
          <w:szCs w:val="21"/>
          <w:highlight w:val="none"/>
        </w:rPr>
        <w:t>资格性审查是指依据法律规定和磋商文件的规定，对响应文件中的资格证明等进行审查，确定供应商是否具备响应资格。</w:t>
      </w:r>
      <w:r>
        <w:rPr>
          <w:rFonts w:hint="eastAsia" w:ascii="宋体" w:hAnsi="宋体"/>
          <w:b/>
          <w:color w:val="auto"/>
          <w:szCs w:val="21"/>
          <w:highlight w:val="none"/>
        </w:rPr>
        <w:t>资格性检查中发现下列情形之一的，其报价及响应文件作无效处理。</w:t>
      </w:r>
    </w:p>
    <w:p>
      <w:pPr>
        <w:numPr>
          <w:ilvl w:val="0"/>
          <w:numId w:val="12"/>
        </w:numPr>
        <w:rPr>
          <w:rFonts w:ascii="宋体" w:hAnsi="宋体"/>
          <w:color w:val="auto"/>
          <w:szCs w:val="21"/>
          <w:highlight w:val="none"/>
        </w:rPr>
      </w:pPr>
      <w:r>
        <w:rPr>
          <w:rFonts w:hint="eastAsia" w:ascii="宋体" w:hAnsi="宋体"/>
          <w:color w:val="auto"/>
          <w:szCs w:val="21"/>
          <w:highlight w:val="none"/>
        </w:rPr>
        <w:t>资格瑕疵</w:t>
      </w:r>
    </w:p>
    <w:p>
      <w:pPr>
        <w:ind w:firstLine="567"/>
        <w:rPr>
          <w:rFonts w:ascii="宋体" w:hAnsi="宋体"/>
          <w:color w:val="auto"/>
          <w:szCs w:val="21"/>
          <w:highlight w:val="none"/>
        </w:rPr>
      </w:pPr>
      <w:r>
        <w:rPr>
          <w:rFonts w:hint="eastAsia" w:ascii="宋体" w:hAnsi="宋体"/>
          <w:color w:val="auto"/>
          <w:szCs w:val="21"/>
          <w:highlight w:val="none"/>
        </w:rPr>
        <w:t>包括但不限于：①资格证明文件未提供或不符合采购文件要求的；</w:t>
      </w:r>
      <w:r>
        <w:rPr>
          <w:rFonts w:ascii="宋体" w:hAnsi="宋体"/>
          <w:color w:val="auto"/>
          <w:szCs w:val="21"/>
          <w:highlight w:val="none"/>
        </w:rPr>
        <w:t xml:space="preserve"> </w:t>
      </w:r>
      <w:r>
        <w:rPr>
          <w:rFonts w:hint="eastAsia" w:ascii="宋体" w:hAnsi="宋体"/>
          <w:color w:val="auto"/>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3"/>
        </w:numPr>
        <w:rPr>
          <w:rFonts w:ascii="宋体" w:hAnsi="宋体"/>
          <w:color w:val="auto"/>
          <w:szCs w:val="21"/>
          <w:highlight w:val="none"/>
        </w:rPr>
      </w:pPr>
      <w:r>
        <w:rPr>
          <w:rFonts w:hint="eastAsia" w:ascii="宋体" w:hAnsi="宋体"/>
          <w:color w:val="auto"/>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b/>
          <w:color w:val="auto"/>
          <w:szCs w:val="21"/>
          <w:highlight w:val="none"/>
        </w:rPr>
        <w:t>符合性检查中发现下列情形之一的，其报价及响应文件作无效处理。</w:t>
      </w:r>
    </w:p>
    <w:p>
      <w:pPr>
        <w:numPr>
          <w:ilvl w:val="0"/>
          <w:numId w:val="13"/>
        </w:numPr>
        <w:rPr>
          <w:rFonts w:ascii="宋体" w:hAnsi="宋体"/>
          <w:color w:val="auto"/>
          <w:szCs w:val="21"/>
          <w:highlight w:val="none"/>
        </w:rPr>
      </w:pPr>
      <w:r>
        <w:rPr>
          <w:rFonts w:hint="eastAsia" w:ascii="宋体" w:hAnsi="宋体"/>
          <w:color w:val="auto"/>
          <w:szCs w:val="21"/>
          <w:highlight w:val="none"/>
        </w:rPr>
        <w:t>响应文件的有效性、完整性瑕疵</w:t>
      </w:r>
    </w:p>
    <w:p>
      <w:pPr>
        <w:ind w:firstLine="567"/>
        <w:rPr>
          <w:rFonts w:ascii="宋体" w:hAnsi="宋体"/>
          <w:color w:val="auto"/>
          <w:szCs w:val="21"/>
          <w:highlight w:val="none"/>
        </w:rPr>
      </w:pPr>
      <w:r>
        <w:rPr>
          <w:rFonts w:hint="eastAsia" w:ascii="宋体" w:hAnsi="宋体"/>
          <w:color w:val="auto"/>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rPr>
          <w:rFonts w:ascii="宋体" w:hAnsi="宋体"/>
          <w:color w:val="auto"/>
          <w:szCs w:val="21"/>
          <w:highlight w:val="none"/>
        </w:rPr>
      </w:pPr>
      <w:r>
        <w:rPr>
          <w:rFonts w:hint="eastAsia" w:ascii="宋体" w:hAnsi="宋体"/>
          <w:color w:val="auto"/>
          <w:szCs w:val="21"/>
          <w:highlight w:val="none"/>
        </w:rPr>
        <w:t>技术响应瑕疵</w:t>
      </w:r>
    </w:p>
    <w:p>
      <w:pPr>
        <w:ind w:firstLine="567"/>
        <w:rPr>
          <w:rFonts w:ascii="宋体" w:hAnsi="宋体"/>
          <w:color w:val="auto"/>
          <w:szCs w:val="21"/>
          <w:highlight w:val="none"/>
        </w:rPr>
      </w:pPr>
      <w:r>
        <w:rPr>
          <w:rFonts w:hint="eastAsia" w:ascii="宋体" w:hAnsi="宋体"/>
          <w:color w:val="auto"/>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rPr>
          <w:rFonts w:ascii="宋体" w:hAnsi="宋体"/>
          <w:color w:val="auto"/>
          <w:szCs w:val="21"/>
          <w:highlight w:val="none"/>
        </w:rPr>
      </w:pPr>
      <w:r>
        <w:rPr>
          <w:rFonts w:hint="eastAsia" w:ascii="宋体" w:hAnsi="宋体"/>
          <w:color w:val="auto"/>
          <w:szCs w:val="21"/>
          <w:highlight w:val="none"/>
        </w:rPr>
        <w:t>商务响应瑕疵</w:t>
      </w:r>
    </w:p>
    <w:p>
      <w:pPr>
        <w:ind w:firstLine="567"/>
        <w:rPr>
          <w:rFonts w:ascii="宋体" w:hAnsi="宋体"/>
          <w:color w:val="auto"/>
          <w:szCs w:val="21"/>
          <w:highlight w:val="none"/>
        </w:rPr>
      </w:pPr>
      <w:r>
        <w:rPr>
          <w:rFonts w:hint="eastAsia" w:ascii="宋体" w:hAnsi="宋体"/>
          <w:color w:val="auto"/>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rPr>
          <w:rFonts w:ascii="宋体" w:hAnsi="宋体"/>
          <w:color w:val="auto"/>
          <w:szCs w:val="21"/>
          <w:highlight w:val="none"/>
        </w:rPr>
      </w:pPr>
      <w:r>
        <w:rPr>
          <w:rFonts w:hint="eastAsia" w:ascii="宋体" w:hAnsi="宋体"/>
          <w:color w:val="auto"/>
          <w:szCs w:val="21"/>
          <w:highlight w:val="none"/>
        </w:rPr>
        <w:t>报价瑕疵</w:t>
      </w:r>
    </w:p>
    <w:p>
      <w:pPr>
        <w:ind w:firstLine="567"/>
        <w:rPr>
          <w:rFonts w:ascii="宋体" w:hAnsi="宋体"/>
          <w:color w:val="auto"/>
          <w:szCs w:val="21"/>
          <w:highlight w:val="none"/>
        </w:rPr>
      </w:pPr>
      <w:r>
        <w:rPr>
          <w:rFonts w:hint="eastAsia" w:ascii="宋体" w:hAnsi="宋体"/>
          <w:color w:val="auto"/>
          <w:szCs w:val="21"/>
          <w:highlight w:val="none"/>
        </w:rPr>
        <w:t>包括但不限于：①一次报价或最终报价</w:t>
      </w:r>
      <w:r>
        <w:rPr>
          <w:rFonts w:hint="eastAsia" w:ascii="宋体" w:hAnsi="宋体"/>
          <w:color w:val="auto"/>
          <w:szCs w:val="21"/>
          <w:highlight w:val="none"/>
          <w:lang w:val="en-US" w:eastAsia="zh-CN"/>
        </w:rPr>
        <w:t>不满足</w:t>
      </w:r>
      <w:r>
        <w:rPr>
          <w:rFonts w:hint="eastAsia" w:ascii="宋体" w:hAnsi="宋体"/>
          <w:color w:val="auto"/>
          <w:szCs w:val="21"/>
          <w:highlight w:val="none"/>
        </w:rPr>
        <w:t>本采购文件明确的项目预算或文件明确的限价</w:t>
      </w:r>
      <w:r>
        <w:rPr>
          <w:rFonts w:hint="eastAsia" w:ascii="宋体" w:hAnsi="宋体"/>
          <w:color w:val="auto"/>
          <w:szCs w:val="21"/>
          <w:highlight w:val="none"/>
          <w:lang w:val="en-US" w:eastAsia="zh-CN"/>
        </w:rPr>
        <w:t>要求</w:t>
      </w:r>
      <w:r>
        <w:rPr>
          <w:rFonts w:hint="eastAsia" w:ascii="宋体" w:hAnsi="宋体"/>
          <w:color w:val="auto"/>
          <w:szCs w:val="21"/>
          <w:highlight w:val="none"/>
        </w:rPr>
        <w:t>；②未按采购文件要求进行报价的；③报价内容或报价格式不符合采购文件要求的；④报价有严重缺漏项的。</w:t>
      </w:r>
    </w:p>
    <w:p>
      <w:pPr>
        <w:numPr>
          <w:ilvl w:val="0"/>
          <w:numId w:val="13"/>
        </w:numPr>
        <w:rPr>
          <w:rFonts w:ascii="宋体" w:hAnsi="宋体"/>
          <w:color w:val="auto"/>
          <w:szCs w:val="21"/>
          <w:highlight w:val="none"/>
        </w:rPr>
      </w:pPr>
      <w:r>
        <w:rPr>
          <w:rFonts w:hint="eastAsia" w:ascii="宋体" w:hAnsi="宋体"/>
          <w:color w:val="auto"/>
          <w:szCs w:val="21"/>
          <w:highlight w:val="none"/>
        </w:rPr>
        <w:t>违规行为</w:t>
      </w:r>
    </w:p>
    <w:p>
      <w:pPr>
        <w:ind w:firstLine="567"/>
        <w:rPr>
          <w:rFonts w:ascii="宋体" w:hAnsi="宋体"/>
          <w:color w:val="auto"/>
          <w:szCs w:val="21"/>
          <w:highlight w:val="none"/>
        </w:rPr>
      </w:pPr>
      <w:r>
        <w:rPr>
          <w:rFonts w:hint="eastAsia" w:ascii="宋体" w:hAnsi="宋体"/>
          <w:color w:val="auto"/>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rPr>
          <w:rFonts w:ascii="宋体" w:hAnsi="宋体"/>
          <w:color w:val="auto"/>
          <w:szCs w:val="21"/>
          <w:highlight w:val="none"/>
        </w:rPr>
      </w:pPr>
      <w:r>
        <w:rPr>
          <w:rFonts w:hint="eastAsia" w:ascii="宋体" w:hAnsi="宋体"/>
          <w:color w:val="auto"/>
          <w:szCs w:val="21"/>
          <w:highlight w:val="none"/>
        </w:rPr>
        <w:t>法律法规及磋商文件中规定的其它情形</w:t>
      </w:r>
    </w:p>
    <w:p>
      <w:pPr>
        <w:ind w:firstLine="567"/>
        <w:rPr>
          <w:rFonts w:ascii="宋体" w:hAnsi="宋体"/>
          <w:color w:val="auto"/>
          <w:szCs w:val="21"/>
          <w:highlight w:val="none"/>
        </w:rPr>
      </w:pPr>
      <w:r>
        <w:rPr>
          <w:rFonts w:hint="eastAsia" w:ascii="宋体" w:hAnsi="宋体"/>
          <w:color w:val="auto"/>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rPr>
          <w:rFonts w:ascii="宋体" w:hAnsi="宋体"/>
          <w:color w:val="auto"/>
          <w:szCs w:val="21"/>
          <w:highlight w:val="none"/>
        </w:rPr>
      </w:pPr>
      <w:r>
        <w:rPr>
          <w:rFonts w:hint="eastAsia" w:ascii="宋体" w:hAnsi="宋体"/>
          <w:color w:val="auto"/>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rPr>
          <w:rFonts w:ascii="宋体" w:hAnsi="宋体"/>
          <w:color w:val="auto"/>
          <w:szCs w:val="21"/>
          <w:highlight w:val="none"/>
        </w:rPr>
      </w:pPr>
      <w:r>
        <w:rPr>
          <w:rFonts w:hint="eastAsia" w:ascii="宋体" w:hAnsi="宋体"/>
          <w:color w:val="auto"/>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rPr>
          <w:rFonts w:ascii="宋体" w:hAnsi="宋体"/>
          <w:color w:val="auto"/>
          <w:szCs w:val="21"/>
          <w:highlight w:val="none"/>
        </w:rPr>
      </w:pPr>
      <w:r>
        <w:rPr>
          <w:rFonts w:hint="eastAsia" w:ascii="宋体" w:hAnsi="宋体"/>
          <w:color w:val="auto"/>
          <w:szCs w:val="21"/>
          <w:highlight w:val="none"/>
        </w:rPr>
        <w:t>磋商小组确定响应文件的响应性，只根据响应文件本身的内容，而不寻找外部的证据。</w:t>
      </w:r>
    </w:p>
    <w:p>
      <w:pPr>
        <w:numPr>
          <w:ilvl w:val="1"/>
          <w:numId w:val="3"/>
        </w:numPr>
        <w:rPr>
          <w:rFonts w:ascii="宋体" w:hAnsi="宋体"/>
          <w:color w:val="auto"/>
          <w:szCs w:val="21"/>
          <w:highlight w:val="none"/>
        </w:rPr>
      </w:pPr>
      <w:r>
        <w:rPr>
          <w:rFonts w:hint="eastAsia" w:ascii="宋体" w:hAnsi="宋体"/>
          <w:color w:val="auto"/>
          <w:szCs w:val="21"/>
          <w:highlight w:val="none"/>
        </w:rPr>
        <w:t>实质上没有响应磋商文件要求的响应文件将被拒绝。供应商不得通过修正或撤销不合要求的偏离或保留从而使其响应成为实质上的响应。</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rPr>
          <w:rFonts w:ascii="宋体" w:hAnsi="宋体"/>
          <w:color w:val="auto"/>
          <w:szCs w:val="21"/>
          <w:highlight w:val="none"/>
        </w:rPr>
      </w:pPr>
      <w:r>
        <w:rPr>
          <w:rFonts w:hint="eastAsia" w:ascii="宋体" w:hAnsi="宋体"/>
          <w:color w:val="auto"/>
          <w:szCs w:val="21"/>
          <w:highlight w:val="none"/>
        </w:rPr>
        <w:t>磋商小组所有成员应当集中与单一供应商分别进行磋商，并给予所有参加磋商的供应商平等的磋商机会。其磋商顺序以供应商签到顺序为准。</w:t>
      </w:r>
    </w:p>
    <w:p>
      <w:pPr>
        <w:numPr>
          <w:ilvl w:val="1"/>
          <w:numId w:val="3"/>
        </w:numPr>
        <w:rPr>
          <w:rFonts w:ascii="宋体" w:hAnsi="宋体"/>
          <w:color w:val="auto"/>
          <w:szCs w:val="21"/>
          <w:highlight w:val="none"/>
        </w:rPr>
      </w:pPr>
      <w:r>
        <w:rPr>
          <w:rFonts w:hint="eastAsia" w:ascii="宋体" w:hAnsi="宋体"/>
          <w:color w:val="auto"/>
          <w:szCs w:val="21"/>
          <w:highlight w:val="none"/>
        </w:rPr>
        <w:t>磋商使用语言为中文。</w:t>
      </w:r>
    </w:p>
    <w:p>
      <w:pPr>
        <w:numPr>
          <w:ilvl w:val="1"/>
          <w:numId w:val="3"/>
        </w:numPr>
        <w:rPr>
          <w:rFonts w:ascii="宋体" w:hAnsi="宋体"/>
          <w:color w:val="auto"/>
          <w:szCs w:val="21"/>
          <w:highlight w:val="none"/>
        </w:rPr>
      </w:pPr>
      <w:r>
        <w:rPr>
          <w:rFonts w:hint="eastAsia" w:ascii="宋体" w:hAnsi="宋体"/>
          <w:color w:val="auto"/>
          <w:szCs w:val="21"/>
          <w:highlight w:val="none"/>
        </w:rPr>
        <w:t>磋商小组将拒绝与出现以下情况的供应商授权代表进行磋商：</w:t>
      </w:r>
    </w:p>
    <w:p>
      <w:pPr>
        <w:pStyle w:val="2"/>
        <w:numPr>
          <w:ilvl w:val="0"/>
          <w:numId w:val="14"/>
        </w:numPr>
        <w:spacing w:before="0"/>
        <w:rPr>
          <w:color w:val="auto"/>
          <w:sz w:val="21"/>
          <w:szCs w:val="21"/>
          <w:highlight w:val="none"/>
        </w:rPr>
      </w:pPr>
      <w:r>
        <w:rPr>
          <w:rFonts w:hint="eastAsia"/>
          <w:color w:val="auto"/>
          <w:sz w:val="21"/>
          <w:szCs w:val="21"/>
          <w:highlight w:val="none"/>
        </w:rPr>
        <w:t>供应商授权代表无有效授权的；</w:t>
      </w:r>
    </w:p>
    <w:p>
      <w:pPr>
        <w:pStyle w:val="2"/>
        <w:numPr>
          <w:ilvl w:val="0"/>
          <w:numId w:val="14"/>
        </w:numPr>
        <w:spacing w:before="0"/>
        <w:rPr>
          <w:color w:val="auto"/>
          <w:sz w:val="21"/>
          <w:szCs w:val="21"/>
          <w:highlight w:val="none"/>
        </w:rPr>
      </w:pPr>
      <w:r>
        <w:rPr>
          <w:rFonts w:hint="eastAsia"/>
          <w:color w:val="auto"/>
          <w:sz w:val="21"/>
          <w:szCs w:val="21"/>
          <w:highlight w:val="none"/>
        </w:rPr>
        <w:t>供应商响应文件中的授权代表与现场进行磋商的授权代表不一致的；</w:t>
      </w:r>
    </w:p>
    <w:p>
      <w:pPr>
        <w:pStyle w:val="2"/>
        <w:numPr>
          <w:ilvl w:val="0"/>
          <w:numId w:val="14"/>
        </w:numPr>
        <w:spacing w:before="0"/>
        <w:rPr>
          <w:color w:val="auto"/>
          <w:sz w:val="21"/>
          <w:szCs w:val="21"/>
          <w:highlight w:val="none"/>
        </w:rPr>
      </w:pPr>
      <w:r>
        <w:rPr>
          <w:rFonts w:hint="eastAsia"/>
          <w:color w:val="auto"/>
          <w:sz w:val="21"/>
          <w:szCs w:val="21"/>
          <w:highlight w:val="none"/>
        </w:rPr>
        <w:t>法人参加磋商但无法定代表人证明书的；</w:t>
      </w:r>
    </w:p>
    <w:p>
      <w:pPr>
        <w:pStyle w:val="2"/>
        <w:numPr>
          <w:ilvl w:val="0"/>
          <w:numId w:val="14"/>
        </w:numPr>
        <w:spacing w:before="0"/>
        <w:rPr>
          <w:color w:val="auto"/>
          <w:sz w:val="21"/>
          <w:szCs w:val="21"/>
          <w:highlight w:val="none"/>
        </w:rPr>
      </w:pPr>
      <w:r>
        <w:rPr>
          <w:rFonts w:hint="eastAsia"/>
          <w:color w:val="auto"/>
          <w:sz w:val="21"/>
          <w:szCs w:val="21"/>
          <w:highlight w:val="none"/>
        </w:rPr>
        <w:t>授权代表现场不能出具可证明其身份信息的证件或文件的；</w:t>
      </w:r>
    </w:p>
    <w:p>
      <w:pPr>
        <w:pStyle w:val="2"/>
        <w:numPr>
          <w:ilvl w:val="0"/>
          <w:numId w:val="14"/>
        </w:numPr>
        <w:spacing w:before="0"/>
        <w:rPr>
          <w:color w:val="auto"/>
          <w:sz w:val="21"/>
          <w:szCs w:val="21"/>
          <w:highlight w:val="none"/>
        </w:rPr>
      </w:pPr>
      <w:r>
        <w:rPr>
          <w:rFonts w:hint="eastAsia"/>
          <w:color w:val="auto"/>
          <w:sz w:val="21"/>
          <w:szCs w:val="21"/>
          <w:highlight w:val="none"/>
        </w:rPr>
        <w:t>供应商一次报价</w:t>
      </w:r>
      <w:r>
        <w:rPr>
          <w:rFonts w:hint="eastAsia"/>
          <w:color w:val="auto"/>
          <w:sz w:val="21"/>
          <w:szCs w:val="21"/>
          <w:highlight w:val="none"/>
          <w:lang w:val="en-US" w:eastAsia="zh-CN"/>
        </w:rPr>
        <w:t>不满足</w:t>
      </w:r>
      <w:r>
        <w:rPr>
          <w:rFonts w:hint="eastAsia"/>
          <w:color w:val="auto"/>
          <w:sz w:val="21"/>
          <w:szCs w:val="21"/>
          <w:highlight w:val="none"/>
        </w:rPr>
        <w:t>采购文件所规定的预算或限价</w:t>
      </w:r>
      <w:r>
        <w:rPr>
          <w:rFonts w:hint="eastAsia"/>
          <w:color w:val="auto"/>
          <w:sz w:val="21"/>
          <w:szCs w:val="21"/>
          <w:highlight w:val="none"/>
          <w:lang w:val="en-US" w:eastAsia="zh-CN"/>
        </w:rPr>
        <w:t>要求</w:t>
      </w:r>
      <w:r>
        <w:rPr>
          <w:rFonts w:hint="eastAsia"/>
          <w:color w:val="auto"/>
          <w:sz w:val="21"/>
          <w:szCs w:val="21"/>
          <w:highlight w:val="none"/>
        </w:rPr>
        <w:t>的；</w:t>
      </w:r>
    </w:p>
    <w:p>
      <w:pPr>
        <w:pStyle w:val="2"/>
        <w:numPr>
          <w:ilvl w:val="0"/>
          <w:numId w:val="14"/>
        </w:numPr>
        <w:spacing w:before="0"/>
        <w:rPr>
          <w:color w:val="auto"/>
          <w:sz w:val="21"/>
          <w:szCs w:val="21"/>
          <w:highlight w:val="none"/>
        </w:rPr>
      </w:pPr>
      <w:r>
        <w:rPr>
          <w:rFonts w:hint="eastAsia"/>
          <w:color w:val="auto"/>
          <w:sz w:val="21"/>
          <w:szCs w:val="21"/>
          <w:highlight w:val="none"/>
        </w:rPr>
        <w:t>扰乱磋商秩序，干扰采购工作正常进行的；</w:t>
      </w:r>
    </w:p>
    <w:p>
      <w:pPr>
        <w:pStyle w:val="2"/>
        <w:numPr>
          <w:ilvl w:val="0"/>
          <w:numId w:val="14"/>
        </w:numPr>
        <w:spacing w:before="0"/>
        <w:rPr>
          <w:color w:val="auto"/>
          <w:sz w:val="21"/>
          <w:szCs w:val="21"/>
          <w:highlight w:val="none"/>
        </w:rPr>
      </w:pPr>
      <w:r>
        <w:rPr>
          <w:rFonts w:hint="eastAsia"/>
          <w:color w:val="auto"/>
          <w:sz w:val="21"/>
          <w:szCs w:val="21"/>
          <w:highlight w:val="none"/>
        </w:rPr>
        <w:t>直接或间接影响其他供应商进行最终报价的；</w:t>
      </w:r>
    </w:p>
    <w:p>
      <w:pPr>
        <w:pStyle w:val="2"/>
        <w:numPr>
          <w:ilvl w:val="0"/>
          <w:numId w:val="14"/>
        </w:numPr>
        <w:spacing w:before="0"/>
        <w:rPr>
          <w:color w:val="auto"/>
          <w:sz w:val="21"/>
          <w:szCs w:val="21"/>
          <w:highlight w:val="none"/>
        </w:rPr>
      </w:pPr>
      <w:r>
        <w:rPr>
          <w:rFonts w:hint="eastAsia"/>
          <w:color w:val="auto"/>
          <w:sz w:val="21"/>
          <w:szCs w:val="21"/>
          <w:highlight w:val="none"/>
        </w:rPr>
        <w:t>磋商小组认定为违规的情况；</w:t>
      </w:r>
    </w:p>
    <w:p>
      <w:pPr>
        <w:pStyle w:val="2"/>
        <w:numPr>
          <w:ilvl w:val="0"/>
          <w:numId w:val="14"/>
        </w:numPr>
        <w:spacing w:before="0"/>
        <w:rPr>
          <w:color w:val="auto"/>
          <w:sz w:val="21"/>
          <w:szCs w:val="21"/>
          <w:highlight w:val="none"/>
        </w:rPr>
      </w:pPr>
      <w:r>
        <w:rPr>
          <w:rFonts w:hint="eastAsia"/>
          <w:color w:val="auto"/>
          <w:sz w:val="21"/>
          <w:szCs w:val="21"/>
          <w:highlight w:val="none"/>
        </w:rPr>
        <w:t>采购文件规定的其他情况。</w:t>
      </w:r>
    </w:p>
    <w:p>
      <w:pPr>
        <w:numPr>
          <w:ilvl w:val="1"/>
          <w:numId w:val="3"/>
        </w:numPr>
        <w:rPr>
          <w:rFonts w:ascii="宋体" w:hAnsi="宋体"/>
          <w:color w:val="auto"/>
          <w:szCs w:val="21"/>
          <w:highlight w:val="none"/>
        </w:rPr>
      </w:pPr>
      <w:r>
        <w:rPr>
          <w:rFonts w:hint="eastAsia" w:ascii="宋体" w:hAnsi="宋体"/>
          <w:color w:val="auto"/>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rPr>
          <w:rFonts w:ascii="宋体" w:hAnsi="宋体"/>
          <w:color w:val="auto"/>
          <w:szCs w:val="21"/>
          <w:highlight w:val="none"/>
        </w:rPr>
      </w:pPr>
      <w:r>
        <w:rPr>
          <w:rFonts w:hint="eastAsia" w:ascii="宋体" w:hAnsi="宋体"/>
          <w:color w:val="auto"/>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rPr>
          <w:rFonts w:ascii="宋体" w:hAnsi="宋体"/>
          <w:color w:val="auto"/>
          <w:szCs w:val="21"/>
          <w:highlight w:val="none"/>
        </w:rPr>
      </w:pPr>
      <w:r>
        <w:rPr>
          <w:rFonts w:hint="eastAsia" w:ascii="宋体" w:hAnsi="宋体"/>
          <w:color w:val="auto"/>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44" w:name="_Toc30797"/>
      <w:bookmarkStart w:id="145" w:name="_Toc5492"/>
      <w:r>
        <w:rPr>
          <w:rFonts w:hint="eastAsia" w:hAnsi="宋体"/>
          <w:color w:val="auto"/>
          <w:sz w:val="21"/>
          <w:szCs w:val="21"/>
          <w:highlight w:val="none"/>
        </w:rPr>
        <w:t>最终报价</w:t>
      </w:r>
      <w:bookmarkEnd w:id="144"/>
      <w:bookmarkEnd w:id="145"/>
    </w:p>
    <w:p>
      <w:pPr>
        <w:numPr>
          <w:ilvl w:val="1"/>
          <w:numId w:val="3"/>
        </w:numPr>
        <w:rPr>
          <w:rFonts w:ascii="宋体" w:hAnsi="宋体"/>
          <w:color w:val="auto"/>
          <w:szCs w:val="21"/>
          <w:highlight w:val="none"/>
        </w:rPr>
      </w:pPr>
      <w:r>
        <w:rPr>
          <w:rFonts w:hint="eastAsia" w:ascii="宋体" w:hAnsi="宋体"/>
          <w:color w:val="auto"/>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rPr>
          <w:rFonts w:ascii="宋体" w:hAnsi="宋体"/>
          <w:color w:val="auto"/>
          <w:szCs w:val="21"/>
          <w:highlight w:val="none"/>
        </w:rPr>
      </w:pPr>
      <w:r>
        <w:rPr>
          <w:rFonts w:hint="eastAsia" w:ascii="宋体" w:hAnsi="宋体"/>
          <w:color w:val="auto"/>
          <w:szCs w:val="21"/>
          <w:highlight w:val="none"/>
        </w:rPr>
        <w:t>通过初审，但未在规定时间内进行最终报价的供应商，其报价文件上的报价视为其最终报价。</w:t>
      </w:r>
    </w:p>
    <w:p>
      <w:pPr>
        <w:numPr>
          <w:ilvl w:val="1"/>
          <w:numId w:val="3"/>
        </w:numPr>
        <w:rPr>
          <w:rFonts w:ascii="宋体" w:hAnsi="宋体"/>
          <w:color w:val="auto"/>
          <w:szCs w:val="21"/>
          <w:highlight w:val="none"/>
        </w:rPr>
      </w:pPr>
      <w:r>
        <w:rPr>
          <w:rFonts w:hint="eastAsia" w:ascii="宋体" w:hAnsi="宋体"/>
          <w:color w:val="auto"/>
          <w:szCs w:val="21"/>
          <w:highlight w:val="none"/>
        </w:rPr>
        <w:t>已提交响应文件的供应商，在提交最后报价之前，可以根据磋商情况退出磋商。响应文件不予退还，磋商保证金按采购文件规定进行退还。退出磋商的供应商不进入综合评分环节。</w:t>
      </w:r>
    </w:p>
    <w:p>
      <w:pPr>
        <w:rPr>
          <w:color w:val="auto"/>
          <w:highlight w:val="none"/>
        </w:rPr>
      </w:pPr>
    </w:p>
    <w:bookmarkEnd w:id="135"/>
    <w:p>
      <w:pPr>
        <w:pStyle w:val="6"/>
        <w:keepNext w:val="0"/>
        <w:keepLines w:val="0"/>
        <w:numPr>
          <w:ilvl w:val="0"/>
          <w:numId w:val="3"/>
        </w:numPr>
        <w:adjustRightInd/>
        <w:rPr>
          <w:rFonts w:hAnsi="宋体"/>
          <w:color w:val="auto"/>
          <w:sz w:val="21"/>
          <w:szCs w:val="21"/>
          <w:highlight w:val="none"/>
        </w:rPr>
      </w:pPr>
      <w:bookmarkStart w:id="146" w:name="_Toc2794"/>
      <w:bookmarkStart w:id="147" w:name="_Toc19157"/>
      <w:r>
        <w:rPr>
          <w:rFonts w:hint="eastAsia" w:hAnsi="宋体"/>
          <w:color w:val="auto"/>
          <w:sz w:val="21"/>
          <w:szCs w:val="21"/>
          <w:highlight w:val="none"/>
        </w:rPr>
        <w:t>综合评分</w:t>
      </w:r>
      <w:bookmarkEnd w:id="146"/>
      <w:bookmarkEnd w:id="147"/>
    </w:p>
    <w:p>
      <w:pPr>
        <w:numPr>
          <w:ilvl w:val="1"/>
          <w:numId w:val="3"/>
        </w:numPr>
        <w:rPr>
          <w:rFonts w:ascii="宋体" w:hAnsi="宋体"/>
          <w:color w:val="auto"/>
          <w:szCs w:val="21"/>
          <w:highlight w:val="none"/>
        </w:rPr>
      </w:pPr>
      <w:r>
        <w:rPr>
          <w:rFonts w:hint="eastAsia" w:ascii="宋体" w:hAnsi="宋体"/>
          <w:color w:val="auto"/>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rPr>
          <w:rFonts w:ascii="宋体" w:hAnsi="宋体"/>
          <w:color w:val="auto"/>
          <w:szCs w:val="21"/>
          <w:highlight w:val="none"/>
        </w:rPr>
      </w:pPr>
      <w:r>
        <w:rPr>
          <w:rFonts w:hint="eastAsia" w:ascii="宋体" w:hAnsi="宋体"/>
          <w:color w:val="auto"/>
          <w:szCs w:val="21"/>
          <w:highlight w:val="none"/>
        </w:rPr>
        <w:t>价格评审：</w:t>
      </w:r>
    </w:p>
    <w:p>
      <w:pPr>
        <w:pStyle w:val="2"/>
        <w:numPr>
          <w:ilvl w:val="0"/>
          <w:numId w:val="15"/>
        </w:numPr>
        <w:spacing w:before="0"/>
        <w:rPr>
          <w:color w:val="auto"/>
          <w:sz w:val="21"/>
          <w:szCs w:val="21"/>
          <w:highlight w:val="none"/>
        </w:rPr>
      </w:pPr>
      <w:r>
        <w:rPr>
          <w:rFonts w:hint="eastAsia"/>
          <w:color w:val="auto"/>
          <w:sz w:val="21"/>
          <w:szCs w:val="21"/>
          <w:highlight w:val="none"/>
        </w:rPr>
        <w:t>以各供应商最终报价进行评审；</w:t>
      </w:r>
    </w:p>
    <w:p>
      <w:pPr>
        <w:pStyle w:val="2"/>
        <w:numPr>
          <w:ilvl w:val="0"/>
          <w:numId w:val="15"/>
        </w:numPr>
        <w:spacing w:before="0"/>
        <w:rPr>
          <w:color w:val="auto"/>
          <w:sz w:val="21"/>
          <w:szCs w:val="21"/>
          <w:highlight w:val="none"/>
        </w:rPr>
      </w:pPr>
      <w:r>
        <w:rPr>
          <w:rFonts w:hint="eastAsia"/>
          <w:color w:val="auto"/>
          <w:sz w:val="21"/>
          <w:szCs w:val="21"/>
          <w:highlight w:val="none"/>
        </w:rPr>
        <w:t>报价错误修正原则：</w:t>
      </w:r>
    </w:p>
    <w:p>
      <w:pPr>
        <w:pStyle w:val="2"/>
        <w:spacing w:before="0"/>
        <w:ind w:left="420"/>
        <w:rPr>
          <w:color w:val="auto"/>
          <w:sz w:val="21"/>
          <w:szCs w:val="21"/>
          <w:highlight w:val="none"/>
        </w:rPr>
      </w:pPr>
      <w:r>
        <w:rPr>
          <w:rFonts w:hint="eastAsia"/>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2"/>
        <w:spacing w:before="0"/>
        <w:ind w:left="420"/>
        <w:rPr>
          <w:color w:val="auto"/>
          <w:sz w:val="21"/>
          <w:szCs w:val="21"/>
          <w:highlight w:val="none"/>
        </w:rPr>
      </w:pPr>
      <w:r>
        <w:rPr>
          <w:rFonts w:hint="eastAsia"/>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2"/>
        <w:numPr>
          <w:ilvl w:val="0"/>
          <w:numId w:val="15"/>
        </w:numPr>
        <w:spacing w:before="0"/>
        <w:rPr>
          <w:color w:val="auto"/>
          <w:sz w:val="21"/>
          <w:szCs w:val="21"/>
          <w:highlight w:val="none"/>
        </w:rPr>
      </w:pPr>
      <w:r>
        <w:rPr>
          <w:rFonts w:hint="eastAsia"/>
          <w:color w:val="auto"/>
          <w:sz w:val="21"/>
          <w:szCs w:val="21"/>
          <w:highlight w:val="none"/>
        </w:rPr>
        <w:t>对报价服务报价漏项的，作非实质性响应处理。</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技术商务评审要求详见《商务技术评分及价格权重表》。</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rPr>
          <w:rFonts w:ascii="宋体" w:hAnsi="宋体" w:cs="宋体"/>
          <w:color w:val="auto"/>
          <w:szCs w:val="21"/>
          <w:highlight w:val="none"/>
        </w:rPr>
      </w:pPr>
      <w:r>
        <w:rPr>
          <w:rFonts w:hint="eastAsia" w:ascii="宋体" w:hAnsi="宋体" w:cs="宋体"/>
          <w:color w:val="auto"/>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48" w:name="_Toc23560"/>
      <w:bookmarkStart w:id="149" w:name="_Toc30725"/>
      <w:r>
        <w:rPr>
          <w:rFonts w:hint="eastAsia" w:hAnsi="宋体"/>
          <w:color w:val="auto"/>
          <w:sz w:val="21"/>
          <w:szCs w:val="21"/>
          <w:highlight w:val="none"/>
        </w:rPr>
        <w:t>优惠政策</w:t>
      </w:r>
      <w:bookmarkEnd w:id="148"/>
      <w:bookmarkEnd w:id="149"/>
    </w:p>
    <w:p>
      <w:pPr>
        <w:numPr>
          <w:ilvl w:val="1"/>
          <w:numId w:val="3"/>
        </w:numPr>
        <w:rPr>
          <w:rFonts w:ascii="宋体" w:hAnsi="宋体"/>
          <w:color w:val="auto"/>
          <w:szCs w:val="21"/>
          <w:highlight w:val="none"/>
        </w:rPr>
      </w:pPr>
      <w:r>
        <w:rPr>
          <w:rFonts w:hint="eastAsia" w:ascii="宋体" w:hAnsi="宋体"/>
          <w:color w:val="auto"/>
          <w:szCs w:val="21"/>
          <w:highlight w:val="none"/>
        </w:rPr>
        <w:t>对小型或微型企业、监狱企业、残疾人福利性单位报价的扶持：</w:t>
      </w:r>
    </w:p>
    <w:p>
      <w:pPr>
        <w:ind w:firstLine="420" w:firstLineChars="200"/>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3"/>
        </w:numPr>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3"/>
        </w:numPr>
        <w:rPr>
          <w:rFonts w:ascii="宋体" w:hAnsi="宋体"/>
          <w:color w:val="auto"/>
          <w:szCs w:val="21"/>
          <w:highlight w:val="none"/>
        </w:rPr>
      </w:pPr>
      <w:r>
        <w:rPr>
          <w:rFonts w:hint="eastAsia" w:ascii="宋体" w:hAnsi="宋体"/>
          <w:color w:val="auto"/>
          <w:szCs w:val="21"/>
          <w:highlight w:val="none"/>
        </w:rPr>
        <w:t>供应商为小型或微型企业且响应产品含小型或微型企业产品时，其对应产品价格的扣除详见磋商资料表。</w:t>
      </w:r>
    </w:p>
    <w:p>
      <w:pPr>
        <w:numPr>
          <w:ilvl w:val="1"/>
          <w:numId w:val="3"/>
        </w:numPr>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3"/>
        </w:numPr>
        <w:rPr>
          <w:rFonts w:ascii="宋体" w:hAnsi="宋体"/>
          <w:color w:val="auto"/>
          <w:szCs w:val="21"/>
          <w:highlight w:val="none"/>
        </w:rPr>
      </w:pPr>
      <w:r>
        <w:rPr>
          <w:rFonts w:hint="eastAsia" w:ascii="宋体" w:hAnsi="宋体"/>
          <w:color w:val="auto"/>
          <w:szCs w:val="21"/>
          <w:highlight w:val="none"/>
        </w:rPr>
        <w:t>供应商同时为小型、微型企业、监狱企业、残疾人福利性单位任两种或以上情况的，评审中只享受一次价格扣除，不重复进行价格扣除。</w:t>
      </w:r>
    </w:p>
    <w:p>
      <w:pPr>
        <w:numPr>
          <w:ilvl w:val="1"/>
          <w:numId w:val="3"/>
        </w:numPr>
        <w:rPr>
          <w:rFonts w:ascii="宋体" w:hAnsi="宋体"/>
          <w:color w:val="auto"/>
          <w:szCs w:val="21"/>
          <w:highlight w:val="none"/>
        </w:rPr>
      </w:pPr>
      <w:r>
        <w:rPr>
          <w:rFonts w:hint="eastAsia" w:ascii="宋体" w:hAnsi="宋体"/>
          <w:color w:val="auto"/>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3"/>
        </w:numPr>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pStyle w:val="2"/>
        <w:numPr>
          <w:ilvl w:val="0"/>
          <w:numId w:val="16"/>
        </w:numPr>
        <w:spacing w:before="0"/>
        <w:rPr>
          <w:color w:val="auto"/>
          <w:sz w:val="21"/>
          <w:szCs w:val="21"/>
          <w:highlight w:val="none"/>
        </w:rPr>
      </w:pPr>
      <w:r>
        <w:rPr>
          <w:rFonts w:hint="eastAsia"/>
          <w:color w:val="auto"/>
          <w:sz w:val="21"/>
          <w:szCs w:val="21"/>
          <w:highlight w:val="none"/>
        </w:rPr>
        <w:t>安置的残疾人占本单位在职职工人数的比例不低于25%（含25%），并且安置的残疾人人数不少于10人（含10人）；</w:t>
      </w:r>
    </w:p>
    <w:p>
      <w:pPr>
        <w:pStyle w:val="2"/>
        <w:numPr>
          <w:ilvl w:val="0"/>
          <w:numId w:val="16"/>
        </w:numPr>
        <w:spacing w:before="0"/>
        <w:rPr>
          <w:color w:val="auto"/>
          <w:sz w:val="21"/>
          <w:szCs w:val="21"/>
          <w:highlight w:val="none"/>
        </w:rPr>
      </w:pPr>
      <w:r>
        <w:rPr>
          <w:rFonts w:hint="eastAsia"/>
          <w:color w:val="auto"/>
          <w:sz w:val="21"/>
          <w:szCs w:val="21"/>
          <w:highlight w:val="none"/>
        </w:rPr>
        <w:t>依法与安置的每位残疾人签订了一年以上（含一年）的劳动合同或服务协议；</w:t>
      </w:r>
    </w:p>
    <w:p>
      <w:pPr>
        <w:pStyle w:val="2"/>
        <w:numPr>
          <w:ilvl w:val="0"/>
          <w:numId w:val="16"/>
        </w:numPr>
        <w:spacing w:before="0"/>
        <w:rPr>
          <w:color w:val="auto"/>
          <w:sz w:val="21"/>
          <w:szCs w:val="21"/>
          <w:highlight w:val="none"/>
        </w:rPr>
      </w:pPr>
      <w:r>
        <w:rPr>
          <w:rFonts w:hint="eastAsia"/>
          <w:color w:val="auto"/>
          <w:sz w:val="21"/>
          <w:szCs w:val="21"/>
          <w:highlight w:val="none"/>
        </w:rPr>
        <w:t>为安置的每位残疾人按月足额缴纳了基本养老保险、基本医疗保险、失业保险、工伤保险和生育保险等社会保险费；</w:t>
      </w:r>
    </w:p>
    <w:p>
      <w:pPr>
        <w:pStyle w:val="2"/>
        <w:numPr>
          <w:ilvl w:val="0"/>
          <w:numId w:val="16"/>
        </w:numPr>
        <w:spacing w:before="0"/>
        <w:rPr>
          <w:color w:val="auto"/>
          <w:sz w:val="21"/>
          <w:szCs w:val="21"/>
          <w:highlight w:val="none"/>
        </w:rPr>
      </w:pPr>
      <w:r>
        <w:rPr>
          <w:rFonts w:hint="eastAsia"/>
          <w:color w:val="auto"/>
          <w:sz w:val="21"/>
          <w:szCs w:val="21"/>
          <w:highlight w:val="none"/>
        </w:rPr>
        <w:t>通过银行等金融机构向安置的每位残疾人，按月支付了不低于单位所在区县适用的经省级人民政府批准的月最低工资标准的工资；</w:t>
      </w:r>
    </w:p>
    <w:p>
      <w:pPr>
        <w:pStyle w:val="2"/>
        <w:numPr>
          <w:ilvl w:val="0"/>
          <w:numId w:val="16"/>
        </w:numPr>
        <w:spacing w:before="0"/>
        <w:rPr>
          <w:color w:val="auto"/>
          <w:sz w:val="21"/>
          <w:szCs w:val="21"/>
          <w:highlight w:val="none"/>
        </w:rPr>
      </w:pPr>
      <w:r>
        <w:rPr>
          <w:rFonts w:hint="eastAsia"/>
          <w:color w:val="auto"/>
          <w:sz w:val="21"/>
          <w:szCs w:val="21"/>
          <w:highlight w:val="none"/>
        </w:rPr>
        <w:t>提供本单位制造的货物、承担的工程或者服务（以下简称产品），或者提供其他残疾人福利性单位制造的货物（不包括使用非残疾人福利性单位注册商标的货物）。</w:t>
      </w:r>
    </w:p>
    <w:p>
      <w:pPr>
        <w:numPr>
          <w:ilvl w:val="1"/>
          <w:numId w:val="3"/>
        </w:numPr>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3"/>
        </w:numPr>
        <w:rPr>
          <w:rFonts w:ascii="宋体" w:hAnsi="宋体"/>
          <w:color w:val="auto"/>
          <w:szCs w:val="21"/>
          <w:highlight w:val="none"/>
        </w:rPr>
      </w:pPr>
      <w:r>
        <w:rPr>
          <w:rFonts w:hint="eastAsia" w:ascii="宋体" w:hAnsi="宋体"/>
          <w:color w:val="auto"/>
          <w:szCs w:val="21"/>
          <w:highlight w:val="none"/>
        </w:rPr>
        <w:t>对节能产品或环境标志产品的扶持：</w:t>
      </w:r>
    </w:p>
    <w:p>
      <w:pPr>
        <w:ind w:firstLine="420" w:firstLineChars="200"/>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环境标志产品政府采购执行机制的通知》（粤财采购函〔2020〕1号）的规定，对提供节能产品或环境标志产品的响应单位的价格给予一定比例扣除（扣除比例详见磋商资料表）。</w:t>
      </w:r>
    </w:p>
    <w:p>
      <w:pPr>
        <w:numPr>
          <w:ilvl w:val="1"/>
          <w:numId w:val="3"/>
        </w:numPr>
        <w:rPr>
          <w:rFonts w:ascii="宋体" w:hAnsi="宋体"/>
          <w:color w:val="auto"/>
          <w:szCs w:val="21"/>
          <w:highlight w:val="none"/>
        </w:rPr>
      </w:pPr>
      <w:r>
        <w:rPr>
          <w:rFonts w:hint="eastAsia" w:ascii="宋体" w:hAnsi="宋体"/>
          <w:color w:val="auto"/>
          <w:szCs w:val="21"/>
          <w:highlight w:val="none"/>
        </w:rPr>
        <w:t>提供节能产品或环境标志产品的供应商其产品应符合以下规定：</w:t>
      </w:r>
    </w:p>
    <w:p>
      <w:pPr>
        <w:pStyle w:val="2"/>
        <w:numPr>
          <w:ilvl w:val="0"/>
          <w:numId w:val="17"/>
        </w:numPr>
        <w:spacing w:before="0"/>
        <w:rPr>
          <w:color w:val="auto"/>
          <w:sz w:val="21"/>
          <w:szCs w:val="21"/>
          <w:highlight w:val="none"/>
        </w:rPr>
      </w:pPr>
      <w:r>
        <w:rPr>
          <w:rFonts w:hint="eastAsia"/>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2"/>
        <w:numPr>
          <w:ilvl w:val="0"/>
          <w:numId w:val="17"/>
        </w:numPr>
        <w:spacing w:before="0"/>
        <w:rPr>
          <w:color w:val="auto"/>
          <w:sz w:val="21"/>
          <w:szCs w:val="21"/>
          <w:highlight w:val="none"/>
        </w:rPr>
      </w:pPr>
      <w:r>
        <w:rPr>
          <w:rFonts w:hint="eastAsia"/>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2"/>
        <w:numPr>
          <w:ilvl w:val="0"/>
          <w:numId w:val="17"/>
        </w:numPr>
        <w:spacing w:before="0"/>
        <w:rPr>
          <w:color w:val="auto"/>
          <w:sz w:val="21"/>
          <w:szCs w:val="21"/>
          <w:highlight w:val="none"/>
        </w:rPr>
      </w:pPr>
      <w:r>
        <w:rPr>
          <w:rFonts w:hint="eastAsia"/>
          <w:color w:val="auto"/>
          <w:sz w:val="21"/>
          <w:szCs w:val="21"/>
          <w:highlight w:val="none"/>
        </w:rPr>
        <w:t>若用户需求中含有《节能产品政府采购品目清单》中的政府强制采购产品，供应商应根据要求提供所对应的节能产品，否则做响应无效处理。</w:t>
      </w:r>
    </w:p>
    <w:p>
      <w:pPr>
        <w:rPr>
          <w:color w:val="auto"/>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50" w:name="_Toc1066"/>
      <w:bookmarkStart w:id="151" w:name="_Toc21886"/>
      <w:r>
        <w:rPr>
          <w:rFonts w:hint="eastAsia" w:ascii="宋体" w:hAnsi="宋体" w:eastAsia="宋体"/>
          <w:color w:val="auto"/>
          <w:sz w:val="24"/>
          <w:szCs w:val="21"/>
          <w:highlight w:val="none"/>
        </w:rPr>
        <w:t>第六章确定成交供应商</w:t>
      </w:r>
      <w:bookmarkEnd w:id="150"/>
      <w:bookmarkEnd w:id="151"/>
    </w:p>
    <w:p>
      <w:pPr>
        <w:pStyle w:val="6"/>
        <w:keepNext w:val="0"/>
        <w:keepLines w:val="0"/>
        <w:numPr>
          <w:ilvl w:val="0"/>
          <w:numId w:val="3"/>
        </w:numPr>
        <w:adjustRightInd/>
        <w:rPr>
          <w:rFonts w:hAnsi="宋体"/>
          <w:color w:val="auto"/>
          <w:sz w:val="21"/>
          <w:szCs w:val="21"/>
          <w:highlight w:val="none"/>
        </w:rPr>
      </w:pPr>
      <w:bookmarkStart w:id="152" w:name="_Toc19359"/>
      <w:bookmarkStart w:id="153" w:name="_Toc29068"/>
      <w:r>
        <w:rPr>
          <w:rFonts w:hint="eastAsia" w:hAnsi="宋体"/>
          <w:color w:val="auto"/>
          <w:sz w:val="21"/>
          <w:szCs w:val="21"/>
          <w:highlight w:val="none"/>
        </w:rPr>
        <w:t>确定成交</w:t>
      </w:r>
      <w:bookmarkEnd w:id="152"/>
      <w:bookmarkEnd w:id="153"/>
    </w:p>
    <w:p>
      <w:pPr>
        <w:numPr>
          <w:ilvl w:val="1"/>
          <w:numId w:val="3"/>
        </w:numPr>
        <w:rPr>
          <w:rFonts w:ascii="宋体" w:hAnsi="宋体"/>
          <w:color w:val="auto"/>
          <w:szCs w:val="21"/>
          <w:highlight w:val="none"/>
        </w:rPr>
      </w:pPr>
      <w:r>
        <w:rPr>
          <w:rFonts w:hint="eastAsia" w:ascii="宋体" w:hAnsi="宋体"/>
          <w:color w:val="auto"/>
          <w:szCs w:val="21"/>
          <w:highlight w:val="none"/>
        </w:rPr>
        <w:t>磋商小组完成评审工作后，出具评审报告，推荐3名以上成交候选供应商。符合法律法规允许的情况的，可以推荐2家成交候选供应商。</w:t>
      </w:r>
    </w:p>
    <w:p>
      <w:pPr>
        <w:numPr>
          <w:ilvl w:val="1"/>
          <w:numId w:val="3"/>
        </w:numPr>
        <w:rPr>
          <w:rFonts w:ascii="宋体" w:hAnsi="宋体"/>
          <w:color w:val="auto"/>
          <w:szCs w:val="21"/>
          <w:highlight w:val="none"/>
        </w:rPr>
      </w:pPr>
      <w:r>
        <w:rPr>
          <w:rFonts w:hint="eastAsia" w:ascii="宋体" w:hAnsi="宋体"/>
          <w:color w:val="auto"/>
          <w:szCs w:val="21"/>
          <w:highlight w:val="none"/>
        </w:rPr>
        <w:t>采购人从成交候选供应商名单中按照综合得分排序确定1名成交供应商。</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54" w:name="_Toc17569"/>
      <w:bookmarkStart w:id="155" w:name="_Toc3941"/>
      <w:r>
        <w:rPr>
          <w:rFonts w:hint="eastAsia" w:hAnsi="宋体"/>
          <w:color w:val="auto"/>
          <w:sz w:val="21"/>
          <w:szCs w:val="21"/>
          <w:highlight w:val="none"/>
        </w:rPr>
        <w:t>发布采购结果</w:t>
      </w:r>
      <w:bookmarkEnd w:id="154"/>
      <w:bookmarkEnd w:id="155"/>
    </w:p>
    <w:p>
      <w:pPr>
        <w:numPr>
          <w:ilvl w:val="1"/>
          <w:numId w:val="3"/>
        </w:numPr>
        <w:rPr>
          <w:rFonts w:ascii="宋体" w:hAnsi="宋体"/>
          <w:color w:val="auto"/>
          <w:szCs w:val="21"/>
          <w:highlight w:val="none"/>
        </w:rPr>
      </w:pPr>
      <w:r>
        <w:rPr>
          <w:rFonts w:hint="eastAsia" w:ascii="宋体" w:hAnsi="宋体"/>
          <w:color w:val="auto"/>
          <w:szCs w:val="21"/>
          <w:highlight w:val="none"/>
        </w:rPr>
        <w:t>磋商小组提出评标书面报告和推荐成交意见报采购人确认后，采购代理机构将在指定的信息发布媒体上发布公告。</w:t>
      </w:r>
    </w:p>
    <w:p>
      <w:pPr>
        <w:numPr>
          <w:ilvl w:val="1"/>
          <w:numId w:val="3"/>
        </w:numPr>
        <w:rPr>
          <w:rFonts w:ascii="宋体" w:hAnsi="宋体"/>
          <w:color w:val="auto"/>
          <w:szCs w:val="21"/>
          <w:highlight w:val="none"/>
        </w:rPr>
      </w:pPr>
      <w:r>
        <w:rPr>
          <w:rFonts w:hint="eastAsia" w:ascii="宋体" w:hAnsi="宋体"/>
          <w:color w:val="auto"/>
          <w:szCs w:val="21"/>
          <w:highlight w:val="none"/>
        </w:rPr>
        <w:t>公告期限为1个工作日。</w:t>
      </w:r>
    </w:p>
    <w:p>
      <w:pPr>
        <w:numPr>
          <w:ilvl w:val="1"/>
          <w:numId w:val="3"/>
        </w:numPr>
        <w:rPr>
          <w:rFonts w:ascii="宋体" w:hAnsi="宋体"/>
          <w:color w:val="auto"/>
          <w:szCs w:val="21"/>
          <w:highlight w:val="none"/>
        </w:rPr>
      </w:pPr>
      <w:r>
        <w:rPr>
          <w:rFonts w:hint="eastAsia" w:ascii="宋体" w:hAnsi="宋体"/>
          <w:color w:val="auto"/>
          <w:szCs w:val="21"/>
          <w:highlight w:val="none"/>
        </w:rPr>
        <w:t>结果公示发布后，成交单位应及时领取成交通知书。《成交通知书》是合同的一个组成部分，《成交通知书》对采购人和成交供应商均具有同等法律效力。</w:t>
      </w:r>
    </w:p>
    <w:p>
      <w:pPr>
        <w:numPr>
          <w:ilvl w:val="1"/>
          <w:numId w:val="3"/>
        </w:numPr>
        <w:rPr>
          <w:rFonts w:ascii="宋体" w:hAnsi="宋体"/>
          <w:color w:val="auto"/>
          <w:szCs w:val="21"/>
          <w:highlight w:val="none"/>
        </w:rPr>
      </w:pPr>
      <w:r>
        <w:rPr>
          <w:rFonts w:hint="eastAsia" w:ascii="宋体" w:hAnsi="宋体"/>
          <w:color w:val="auto"/>
          <w:szCs w:val="21"/>
          <w:highlight w:val="none"/>
        </w:rPr>
        <w:t>成交供应商无正当理由不得放弃中标，因成交供应商放弃中标而对采购人造成的损失由放弃中标的成交供应商承担。</w:t>
      </w:r>
    </w:p>
    <w:p>
      <w:pPr>
        <w:pStyle w:val="2"/>
        <w:rPr>
          <w:color w:val="auto"/>
          <w:sz w:val="21"/>
          <w:szCs w:val="21"/>
          <w:highlight w:val="none"/>
        </w:rPr>
      </w:pPr>
    </w:p>
    <w:p>
      <w:pPr>
        <w:pStyle w:val="6"/>
        <w:keepNext w:val="0"/>
        <w:keepLines w:val="0"/>
        <w:numPr>
          <w:ilvl w:val="0"/>
          <w:numId w:val="3"/>
        </w:numPr>
        <w:adjustRightInd/>
        <w:rPr>
          <w:rFonts w:hAnsi="宋体"/>
          <w:color w:val="auto"/>
          <w:sz w:val="21"/>
          <w:szCs w:val="21"/>
          <w:highlight w:val="none"/>
        </w:rPr>
      </w:pPr>
      <w:bookmarkStart w:id="156" w:name="_Toc32414"/>
      <w:bookmarkStart w:id="157" w:name="_Toc29067"/>
      <w:r>
        <w:rPr>
          <w:rFonts w:hint="eastAsia" w:hAnsi="宋体"/>
          <w:color w:val="auto"/>
          <w:sz w:val="21"/>
          <w:szCs w:val="21"/>
          <w:highlight w:val="none"/>
        </w:rPr>
        <w:t>原件核查</w:t>
      </w:r>
      <w:bookmarkEnd w:id="156"/>
      <w:bookmarkEnd w:id="157"/>
    </w:p>
    <w:p>
      <w:pPr>
        <w:numPr>
          <w:ilvl w:val="1"/>
          <w:numId w:val="3"/>
        </w:numPr>
        <w:rPr>
          <w:rFonts w:ascii="宋体" w:hAnsi="宋体"/>
          <w:color w:val="auto"/>
          <w:szCs w:val="21"/>
          <w:highlight w:val="none"/>
        </w:rPr>
      </w:pPr>
      <w:r>
        <w:rPr>
          <w:rFonts w:hint="eastAsia" w:ascii="宋体" w:hAnsi="宋体"/>
          <w:color w:val="auto"/>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rPr>
          <w:rFonts w:ascii="宋体" w:hAnsi="宋体"/>
          <w:color w:val="auto"/>
          <w:szCs w:val="21"/>
          <w:highlight w:val="none"/>
        </w:rPr>
      </w:pPr>
      <w:r>
        <w:rPr>
          <w:rFonts w:hint="eastAsia" w:ascii="宋体" w:hAnsi="宋体"/>
          <w:color w:val="auto"/>
          <w:szCs w:val="21"/>
          <w:highlight w:val="none"/>
        </w:rPr>
        <w:t>成交供应商有下列情形之一的，取消中标资格：</w:t>
      </w:r>
    </w:p>
    <w:p>
      <w:pPr>
        <w:pStyle w:val="2"/>
        <w:numPr>
          <w:ilvl w:val="0"/>
          <w:numId w:val="18"/>
        </w:numPr>
        <w:rPr>
          <w:color w:val="auto"/>
          <w:sz w:val="21"/>
          <w:szCs w:val="21"/>
          <w:highlight w:val="none"/>
        </w:rPr>
      </w:pPr>
      <w:r>
        <w:rPr>
          <w:rFonts w:hint="eastAsia"/>
          <w:color w:val="auto"/>
          <w:sz w:val="21"/>
          <w:szCs w:val="21"/>
          <w:highlight w:val="none"/>
        </w:rPr>
        <w:t>拒绝采购人或采购代理机构原件核查要求的；</w:t>
      </w:r>
    </w:p>
    <w:p>
      <w:pPr>
        <w:pStyle w:val="2"/>
        <w:numPr>
          <w:ilvl w:val="0"/>
          <w:numId w:val="18"/>
        </w:numPr>
        <w:rPr>
          <w:color w:val="auto"/>
          <w:sz w:val="21"/>
          <w:szCs w:val="21"/>
          <w:highlight w:val="none"/>
        </w:rPr>
      </w:pPr>
      <w:r>
        <w:rPr>
          <w:rFonts w:hint="eastAsia"/>
          <w:color w:val="auto"/>
          <w:sz w:val="21"/>
          <w:szCs w:val="21"/>
          <w:highlight w:val="none"/>
        </w:rPr>
        <w:t>未在规定时间内将原件递交到到采购代理机构办公地址或采购人指定地址进行核查的；</w:t>
      </w:r>
    </w:p>
    <w:p>
      <w:pPr>
        <w:pStyle w:val="2"/>
        <w:numPr>
          <w:ilvl w:val="0"/>
          <w:numId w:val="18"/>
        </w:numPr>
        <w:rPr>
          <w:color w:val="auto"/>
          <w:sz w:val="21"/>
          <w:szCs w:val="21"/>
          <w:highlight w:val="none"/>
        </w:rPr>
      </w:pPr>
      <w:r>
        <w:rPr>
          <w:rFonts w:hint="eastAsia"/>
          <w:color w:val="auto"/>
          <w:sz w:val="21"/>
          <w:szCs w:val="21"/>
          <w:highlight w:val="none"/>
        </w:rPr>
        <w:t>在规定时间内递交的原件数量、内容与采购人、采购代理机构要求不一致的；</w:t>
      </w:r>
    </w:p>
    <w:p>
      <w:pPr>
        <w:pStyle w:val="2"/>
        <w:numPr>
          <w:ilvl w:val="0"/>
          <w:numId w:val="18"/>
        </w:numPr>
        <w:rPr>
          <w:color w:val="auto"/>
          <w:sz w:val="21"/>
          <w:szCs w:val="21"/>
          <w:highlight w:val="none"/>
        </w:rPr>
      </w:pPr>
      <w:r>
        <w:rPr>
          <w:rFonts w:hint="eastAsia"/>
          <w:color w:val="auto"/>
          <w:sz w:val="21"/>
          <w:szCs w:val="21"/>
          <w:highlight w:val="none"/>
        </w:rPr>
        <w:t>因原件续期、更改等原因不能按时递交原件且未能在规定时间内提供相应部门开具的变更、续期等证明的；</w:t>
      </w:r>
    </w:p>
    <w:p>
      <w:pPr>
        <w:pStyle w:val="2"/>
        <w:numPr>
          <w:ilvl w:val="0"/>
          <w:numId w:val="18"/>
        </w:numPr>
        <w:rPr>
          <w:color w:val="auto"/>
          <w:sz w:val="21"/>
          <w:szCs w:val="21"/>
          <w:highlight w:val="none"/>
        </w:rPr>
      </w:pPr>
      <w:r>
        <w:rPr>
          <w:rFonts w:hint="eastAsia"/>
          <w:color w:val="auto"/>
          <w:sz w:val="21"/>
          <w:szCs w:val="21"/>
          <w:highlight w:val="none"/>
        </w:rPr>
        <w:t>经查原件，响应文件内容有造假行为的。</w:t>
      </w:r>
    </w:p>
    <w:p>
      <w:pPr>
        <w:numPr>
          <w:ilvl w:val="1"/>
          <w:numId w:val="3"/>
        </w:numPr>
        <w:rPr>
          <w:rFonts w:ascii="宋体" w:hAnsi="宋体"/>
          <w:color w:val="auto"/>
          <w:szCs w:val="21"/>
          <w:highlight w:val="none"/>
        </w:rPr>
      </w:pPr>
      <w:r>
        <w:rPr>
          <w:rFonts w:hint="eastAsia" w:ascii="宋体" w:hAnsi="宋体"/>
          <w:color w:val="auto"/>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rPr>
          <w:rFonts w:ascii="宋体" w:hAnsi="宋体"/>
          <w:color w:val="auto"/>
          <w:szCs w:val="21"/>
          <w:highlight w:val="none"/>
        </w:rPr>
      </w:pPr>
      <w:r>
        <w:rPr>
          <w:rFonts w:hint="eastAsia" w:ascii="宋体" w:hAnsi="宋体"/>
          <w:color w:val="auto"/>
          <w:szCs w:val="21"/>
          <w:highlight w:val="none"/>
        </w:rPr>
        <w:t>供应商有下列情形之一的，响应文件作无效处理，其报价无效：</w:t>
      </w:r>
    </w:p>
    <w:p>
      <w:pPr>
        <w:pStyle w:val="2"/>
        <w:numPr>
          <w:ilvl w:val="0"/>
          <w:numId w:val="19"/>
        </w:numPr>
        <w:spacing w:before="0"/>
        <w:rPr>
          <w:color w:val="auto"/>
          <w:sz w:val="21"/>
          <w:szCs w:val="21"/>
          <w:highlight w:val="none"/>
        </w:rPr>
      </w:pPr>
      <w:r>
        <w:rPr>
          <w:rFonts w:hint="eastAsia"/>
          <w:color w:val="auto"/>
          <w:sz w:val="21"/>
          <w:szCs w:val="21"/>
          <w:highlight w:val="none"/>
        </w:rPr>
        <w:t>拒绝采购人或采购代理机构原件核查要求的；</w:t>
      </w:r>
    </w:p>
    <w:p>
      <w:pPr>
        <w:pStyle w:val="2"/>
        <w:numPr>
          <w:ilvl w:val="0"/>
          <w:numId w:val="19"/>
        </w:numPr>
        <w:spacing w:before="0"/>
        <w:rPr>
          <w:color w:val="auto"/>
          <w:sz w:val="21"/>
          <w:szCs w:val="21"/>
          <w:highlight w:val="none"/>
        </w:rPr>
      </w:pPr>
      <w:r>
        <w:rPr>
          <w:rFonts w:hint="eastAsia"/>
          <w:color w:val="auto"/>
          <w:sz w:val="21"/>
          <w:szCs w:val="21"/>
          <w:highlight w:val="none"/>
        </w:rPr>
        <w:t>未在规定时间内将原件递交到到采购代理机构办公地址或采购人指定地址进行核查的；</w:t>
      </w:r>
    </w:p>
    <w:p>
      <w:pPr>
        <w:pStyle w:val="2"/>
        <w:numPr>
          <w:ilvl w:val="0"/>
          <w:numId w:val="19"/>
        </w:numPr>
        <w:spacing w:before="0"/>
        <w:rPr>
          <w:color w:val="auto"/>
          <w:sz w:val="21"/>
          <w:szCs w:val="21"/>
          <w:highlight w:val="none"/>
        </w:rPr>
      </w:pPr>
      <w:r>
        <w:rPr>
          <w:rFonts w:hint="eastAsia"/>
          <w:color w:val="auto"/>
          <w:sz w:val="21"/>
          <w:szCs w:val="21"/>
          <w:highlight w:val="none"/>
        </w:rPr>
        <w:t>在规定时间内递交的原件数量、内容不符合采购人、采购代理机构要求的；</w:t>
      </w:r>
    </w:p>
    <w:p>
      <w:pPr>
        <w:pStyle w:val="2"/>
        <w:numPr>
          <w:ilvl w:val="0"/>
          <w:numId w:val="19"/>
        </w:numPr>
        <w:spacing w:before="0"/>
        <w:rPr>
          <w:color w:val="auto"/>
          <w:sz w:val="21"/>
          <w:szCs w:val="21"/>
          <w:highlight w:val="none"/>
        </w:rPr>
      </w:pPr>
      <w:r>
        <w:rPr>
          <w:rFonts w:hint="eastAsia"/>
          <w:color w:val="auto"/>
          <w:sz w:val="21"/>
          <w:szCs w:val="21"/>
          <w:highlight w:val="none"/>
        </w:rPr>
        <w:t>因原件续期、更改等原因不能按时递交原件且未能在规定时间内提供相应部门开具的变更、续期等证明的；</w:t>
      </w:r>
    </w:p>
    <w:p>
      <w:pPr>
        <w:pStyle w:val="2"/>
        <w:numPr>
          <w:ilvl w:val="0"/>
          <w:numId w:val="19"/>
        </w:numPr>
        <w:spacing w:before="0"/>
        <w:rPr>
          <w:color w:val="auto"/>
          <w:sz w:val="21"/>
          <w:szCs w:val="21"/>
          <w:highlight w:val="none"/>
        </w:rPr>
      </w:pPr>
      <w:r>
        <w:rPr>
          <w:rFonts w:hint="eastAsia"/>
          <w:color w:val="auto"/>
          <w:sz w:val="21"/>
          <w:szCs w:val="21"/>
          <w:highlight w:val="none"/>
        </w:rPr>
        <w:t>经查原件，响应文件内容有造假行为的。</w:t>
      </w:r>
    </w:p>
    <w:p>
      <w:pPr>
        <w:numPr>
          <w:ilvl w:val="1"/>
          <w:numId w:val="3"/>
        </w:numPr>
        <w:rPr>
          <w:rFonts w:ascii="宋体" w:hAnsi="宋体"/>
          <w:color w:val="auto"/>
          <w:szCs w:val="21"/>
          <w:highlight w:val="none"/>
        </w:rPr>
      </w:pPr>
      <w:r>
        <w:rPr>
          <w:rFonts w:hint="eastAsia" w:ascii="宋体" w:hAnsi="宋体"/>
          <w:color w:val="auto"/>
          <w:szCs w:val="21"/>
          <w:highlight w:val="none"/>
        </w:rPr>
        <w:t>若供应商出现虚假应标情况，响应文件作无效处理，其报价、成交无效。并根据相关法律上报相关监管部门。</w:t>
      </w:r>
    </w:p>
    <w:p>
      <w:pPr>
        <w:numPr>
          <w:ilvl w:val="1"/>
          <w:numId w:val="3"/>
        </w:numPr>
        <w:rPr>
          <w:rFonts w:ascii="宋体" w:hAnsi="宋体"/>
          <w:color w:val="auto"/>
          <w:szCs w:val="21"/>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58" w:name="_Toc37756778"/>
      <w:bookmarkStart w:id="159" w:name="_Toc3829"/>
      <w:bookmarkStart w:id="160" w:name="_Toc110953852"/>
      <w:bookmarkStart w:id="161" w:name="_Toc31756"/>
      <w:bookmarkStart w:id="162" w:name="_Toc475249143"/>
      <w:r>
        <w:rPr>
          <w:rFonts w:hint="eastAsia" w:ascii="宋体" w:hAnsi="宋体" w:eastAsia="宋体"/>
          <w:color w:val="auto"/>
          <w:sz w:val="24"/>
          <w:szCs w:val="21"/>
          <w:highlight w:val="none"/>
        </w:rPr>
        <w:t>第七章签订合同</w:t>
      </w:r>
      <w:bookmarkEnd w:id="158"/>
      <w:bookmarkEnd w:id="159"/>
      <w:bookmarkEnd w:id="160"/>
      <w:bookmarkEnd w:id="161"/>
    </w:p>
    <w:p>
      <w:pPr>
        <w:pStyle w:val="6"/>
        <w:keepNext w:val="0"/>
        <w:keepLines w:val="0"/>
        <w:numPr>
          <w:ilvl w:val="0"/>
          <w:numId w:val="3"/>
        </w:numPr>
        <w:adjustRightInd/>
        <w:rPr>
          <w:rFonts w:hAnsi="宋体"/>
          <w:color w:val="auto"/>
          <w:sz w:val="21"/>
          <w:szCs w:val="21"/>
          <w:highlight w:val="none"/>
        </w:rPr>
      </w:pPr>
      <w:bookmarkStart w:id="163" w:name="_Toc18000"/>
      <w:bookmarkStart w:id="164" w:name="_Toc29253"/>
      <w:r>
        <w:rPr>
          <w:rFonts w:hint="eastAsia" w:hAnsi="宋体"/>
          <w:color w:val="auto"/>
          <w:sz w:val="21"/>
          <w:szCs w:val="21"/>
          <w:highlight w:val="none"/>
        </w:rPr>
        <w:t>签订合同</w:t>
      </w:r>
      <w:bookmarkEnd w:id="163"/>
      <w:bookmarkEnd w:id="164"/>
    </w:p>
    <w:p>
      <w:pPr>
        <w:numPr>
          <w:ilvl w:val="1"/>
          <w:numId w:val="3"/>
        </w:numPr>
        <w:rPr>
          <w:rFonts w:ascii="宋体" w:hAnsi="宋体"/>
          <w:color w:val="auto"/>
          <w:szCs w:val="21"/>
          <w:highlight w:val="none"/>
        </w:rPr>
      </w:pPr>
      <w:r>
        <w:rPr>
          <w:rFonts w:hint="eastAsia" w:ascii="宋体" w:hAnsi="宋体"/>
          <w:color w:val="auto"/>
          <w:szCs w:val="21"/>
          <w:highlight w:val="none"/>
        </w:rPr>
        <w:t>采购人与成交供应商应当在成交通知书发出之日起30日内，按照采购文件确定的事项签订政府采购合同。</w:t>
      </w:r>
    </w:p>
    <w:p>
      <w:pPr>
        <w:numPr>
          <w:ilvl w:val="1"/>
          <w:numId w:val="3"/>
        </w:numPr>
        <w:rPr>
          <w:rFonts w:ascii="宋体" w:hAnsi="宋体"/>
          <w:color w:val="auto"/>
          <w:szCs w:val="21"/>
          <w:highlight w:val="none"/>
        </w:rPr>
      </w:pPr>
      <w:r>
        <w:rPr>
          <w:rFonts w:hint="eastAsia" w:ascii="宋体" w:hAnsi="宋体"/>
          <w:color w:val="auto"/>
          <w:szCs w:val="21"/>
          <w:highlight w:val="none"/>
        </w:rPr>
        <w:t>合同内容不得与磋商文件和响应文件内容有实质性偏离。</w:t>
      </w:r>
    </w:p>
    <w:p>
      <w:pPr>
        <w:numPr>
          <w:ilvl w:val="1"/>
          <w:numId w:val="3"/>
        </w:numPr>
        <w:rPr>
          <w:rFonts w:ascii="宋体" w:hAnsi="宋体"/>
          <w:color w:val="auto"/>
          <w:szCs w:val="21"/>
          <w:highlight w:val="none"/>
        </w:rPr>
      </w:pPr>
      <w:r>
        <w:rPr>
          <w:rFonts w:hint="eastAsia" w:ascii="宋体" w:hAnsi="宋体"/>
          <w:color w:val="auto"/>
          <w:szCs w:val="21"/>
          <w:highlight w:val="none"/>
        </w:rPr>
        <w:t>合同签订之日起2个工作日内，成交供应商应将所签订的合同副本（加盖公章）交至广东政通招标有限公司归档。</w:t>
      </w:r>
    </w:p>
    <w:p>
      <w:pPr>
        <w:numPr>
          <w:ilvl w:val="1"/>
          <w:numId w:val="3"/>
        </w:numPr>
        <w:rPr>
          <w:rFonts w:ascii="宋体" w:hAnsi="宋体"/>
          <w:color w:val="auto"/>
          <w:szCs w:val="21"/>
          <w:highlight w:val="none"/>
        </w:rPr>
      </w:pPr>
      <w:r>
        <w:rPr>
          <w:rFonts w:hint="eastAsia" w:ascii="宋体" w:hAnsi="宋体"/>
          <w:color w:val="auto"/>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rPr>
          <w:rFonts w:ascii="宋体" w:hAnsi="宋体"/>
          <w:color w:val="auto"/>
          <w:szCs w:val="21"/>
          <w:highlight w:val="none"/>
        </w:rPr>
      </w:pPr>
      <w:r>
        <w:rPr>
          <w:rFonts w:hint="eastAsia" w:ascii="宋体" w:hAnsi="宋体"/>
          <w:color w:val="auto"/>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rPr>
          <w:color w:val="auto"/>
          <w:highlight w:val="none"/>
        </w:rPr>
      </w:pPr>
    </w:p>
    <w:p>
      <w:pPr>
        <w:pStyle w:val="5"/>
        <w:keepNext w:val="0"/>
        <w:keepLines w:val="0"/>
        <w:spacing w:before="0" w:after="0" w:line="360" w:lineRule="auto"/>
        <w:jc w:val="center"/>
        <w:rPr>
          <w:rFonts w:ascii="宋体" w:hAnsi="宋体" w:eastAsia="宋体"/>
          <w:color w:val="auto"/>
          <w:sz w:val="24"/>
          <w:szCs w:val="21"/>
          <w:highlight w:val="none"/>
        </w:rPr>
      </w:pPr>
      <w:bookmarkStart w:id="165" w:name="_Toc8165"/>
      <w:bookmarkStart w:id="166" w:name="_Toc12802"/>
      <w:r>
        <w:rPr>
          <w:rFonts w:hint="eastAsia" w:ascii="宋体" w:hAnsi="宋体" w:eastAsia="宋体"/>
          <w:color w:val="auto"/>
          <w:sz w:val="24"/>
          <w:szCs w:val="21"/>
          <w:highlight w:val="none"/>
        </w:rPr>
        <w:t>第八章询问或质疑</w:t>
      </w:r>
      <w:bookmarkEnd w:id="165"/>
      <w:bookmarkEnd w:id="166"/>
    </w:p>
    <w:p>
      <w:pPr>
        <w:pStyle w:val="6"/>
        <w:keepNext w:val="0"/>
        <w:keepLines w:val="0"/>
        <w:numPr>
          <w:ilvl w:val="0"/>
          <w:numId w:val="3"/>
        </w:numPr>
        <w:adjustRightInd/>
        <w:rPr>
          <w:rFonts w:hAnsi="宋体"/>
          <w:color w:val="auto"/>
          <w:sz w:val="21"/>
          <w:szCs w:val="21"/>
          <w:highlight w:val="none"/>
        </w:rPr>
      </w:pPr>
      <w:bookmarkStart w:id="167" w:name="_Toc452"/>
      <w:bookmarkStart w:id="168" w:name="_Toc18663"/>
      <w:r>
        <w:rPr>
          <w:rFonts w:hint="eastAsia" w:hAnsi="宋体"/>
          <w:color w:val="auto"/>
          <w:sz w:val="21"/>
          <w:szCs w:val="21"/>
          <w:highlight w:val="none"/>
        </w:rPr>
        <w:t>询问</w:t>
      </w:r>
      <w:bookmarkEnd w:id="167"/>
      <w:bookmarkEnd w:id="168"/>
    </w:p>
    <w:p>
      <w:pPr>
        <w:numPr>
          <w:ilvl w:val="1"/>
          <w:numId w:val="3"/>
        </w:numPr>
        <w:rPr>
          <w:rFonts w:ascii="宋体" w:hAnsi="宋体"/>
          <w:color w:val="auto"/>
          <w:szCs w:val="21"/>
          <w:highlight w:val="none"/>
        </w:rPr>
      </w:pPr>
      <w:r>
        <w:rPr>
          <w:rFonts w:hint="eastAsia" w:ascii="宋体" w:hAnsi="宋体"/>
          <w:color w:val="auto"/>
          <w:szCs w:val="21"/>
          <w:highlight w:val="none"/>
        </w:rPr>
        <w:t>供应商对政府采购活动事项（采购文件、采购过程和采购结果）有疑问的，可以按规定向采购代理机构提出询问。</w:t>
      </w:r>
    </w:p>
    <w:p>
      <w:pPr>
        <w:rPr>
          <w:color w:val="auto"/>
          <w:highlight w:val="none"/>
        </w:rPr>
      </w:pPr>
    </w:p>
    <w:p>
      <w:pPr>
        <w:pStyle w:val="6"/>
        <w:keepNext w:val="0"/>
        <w:keepLines w:val="0"/>
        <w:numPr>
          <w:ilvl w:val="0"/>
          <w:numId w:val="3"/>
        </w:numPr>
        <w:adjustRightInd/>
        <w:rPr>
          <w:rFonts w:hAnsi="宋体"/>
          <w:color w:val="auto"/>
          <w:sz w:val="21"/>
          <w:szCs w:val="21"/>
          <w:highlight w:val="none"/>
        </w:rPr>
      </w:pPr>
      <w:bookmarkStart w:id="169" w:name="_Toc20114"/>
      <w:bookmarkStart w:id="170" w:name="_Toc17155"/>
      <w:r>
        <w:rPr>
          <w:rFonts w:hint="eastAsia" w:hAnsi="宋体"/>
          <w:color w:val="auto"/>
          <w:sz w:val="21"/>
          <w:szCs w:val="21"/>
          <w:highlight w:val="none"/>
        </w:rPr>
        <w:t>质疑</w:t>
      </w:r>
      <w:bookmarkEnd w:id="169"/>
      <w:bookmarkEnd w:id="170"/>
    </w:p>
    <w:p>
      <w:pPr>
        <w:numPr>
          <w:ilvl w:val="1"/>
          <w:numId w:val="3"/>
        </w:numPr>
        <w:rPr>
          <w:rFonts w:ascii="宋体" w:hAnsi="宋体"/>
          <w:color w:val="auto"/>
          <w:szCs w:val="21"/>
          <w:highlight w:val="none"/>
        </w:rPr>
      </w:pPr>
      <w:r>
        <w:rPr>
          <w:rFonts w:hint="eastAsia" w:ascii="宋体" w:hAnsi="宋体"/>
          <w:color w:val="auto"/>
          <w:szCs w:val="21"/>
          <w:highlight w:val="none"/>
        </w:rPr>
        <w:t>提出质疑的供应商应当是参与所质疑项目采购活动的供应商或是在规定的时间内已依法获取其可质疑的磋商文件的潜在供应商。</w:t>
      </w:r>
    </w:p>
    <w:p>
      <w:pPr>
        <w:numPr>
          <w:ilvl w:val="1"/>
          <w:numId w:val="3"/>
        </w:numPr>
        <w:rPr>
          <w:rFonts w:ascii="宋体" w:hAnsi="宋体"/>
          <w:color w:val="auto"/>
          <w:szCs w:val="21"/>
          <w:highlight w:val="none"/>
        </w:rPr>
      </w:pPr>
      <w:r>
        <w:rPr>
          <w:rFonts w:hint="eastAsia" w:ascii="宋体" w:hAnsi="宋体"/>
          <w:color w:val="auto"/>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rPr>
          <w:rFonts w:ascii="宋体" w:hAnsi="宋体"/>
          <w:color w:val="auto"/>
          <w:szCs w:val="21"/>
          <w:highlight w:val="none"/>
        </w:rPr>
      </w:pPr>
      <w:r>
        <w:rPr>
          <w:rFonts w:hint="eastAsia" w:ascii="宋体" w:hAnsi="宋体"/>
          <w:color w:val="auto"/>
          <w:szCs w:val="21"/>
          <w:highlight w:val="none"/>
        </w:rPr>
        <w:t>供应商在法定质疑期内须一次性提出针对同一采购程序环节的质疑，对同一采购程序环节的二次质疑采购代理机构不予受理。</w:t>
      </w:r>
    </w:p>
    <w:p>
      <w:pPr>
        <w:numPr>
          <w:ilvl w:val="1"/>
          <w:numId w:val="3"/>
        </w:numPr>
        <w:rPr>
          <w:rFonts w:ascii="宋体" w:hAnsi="宋体"/>
          <w:color w:val="auto"/>
          <w:szCs w:val="21"/>
          <w:highlight w:val="none"/>
        </w:rPr>
      </w:pPr>
      <w:r>
        <w:rPr>
          <w:rFonts w:hint="eastAsia" w:ascii="宋体" w:hAnsi="宋体"/>
          <w:color w:val="auto"/>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numPr>
          <w:ilvl w:val="1"/>
          <w:numId w:val="3"/>
        </w:numPr>
        <w:rPr>
          <w:rFonts w:ascii="宋体" w:hAnsi="宋体"/>
          <w:color w:val="auto"/>
          <w:szCs w:val="21"/>
          <w:highlight w:val="none"/>
        </w:rPr>
      </w:pPr>
      <w:r>
        <w:rPr>
          <w:rFonts w:hint="eastAsia" w:ascii="宋体" w:hAnsi="宋体"/>
          <w:color w:val="auto"/>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rPr>
          <w:rFonts w:ascii="宋体" w:hAnsi="宋体"/>
          <w:color w:val="auto"/>
          <w:szCs w:val="21"/>
          <w:highlight w:val="none"/>
        </w:rPr>
      </w:pPr>
      <w:r>
        <w:rPr>
          <w:rFonts w:hint="eastAsia" w:ascii="宋体" w:hAnsi="宋体"/>
          <w:color w:val="auto"/>
          <w:szCs w:val="21"/>
          <w:highlight w:val="none"/>
        </w:rPr>
        <w:t>不涉及对供应商利益造成损害的相关内容，不能作为质疑内容提交。</w:t>
      </w:r>
    </w:p>
    <w:p>
      <w:pPr>
        <w:numPr>
          <w:ilvl w:val="1"/>
          <w:numId w:val="3"/>
        </w:numPr>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numPr>
          <w:ilvl w:val="1"/>
          <w:numId w:val="3"/>
        </w:numPr>
        <w:rPr>
          <w:rFonts w:ascii="宋体" w:hAnsi="宋体"/>
          <w:color w:val="auto"/>
          <w:szCs w:val="21"/>
          <w:highlight w:val="none"/>
        </w:rPr>
      </w:pPr>
      <w:r>
        <w:rPr>
          <w:rFonts w:hint="eastAsia" w:ascii="宋体" w:hAnsi="宋体"/>
          <w:color w:val="auto"/>
          <w:szCs w:val="21"/>
          <w:highlight w:val="none"/>
        </w:rPr>
        <w:t>投诉人有下列行为之一的，属于虚假、恶意投诉，由财政部门列入不良行为记录名单，禁止其1至3年内参加全国范围内的政府采购活动：</w:t>
      </w:r>
    </w:p>
    <w:p>
      <w:pPr>
        <w:tabs>
          <w:tab w:val="left" w:pos="907"/>
        </w:tabs>
        <w:ind w:left="567"/>
        <w:rPr>
          <w:rFonts w:ascii="宋体" w:hAnsi="宋体"/>
          <w:color w:val="auto"/>
          <w:szCs w:val="21"/>
          <w:highlight w:val="none"/>
        </w:rPr>
      </w:pPr>
      <w:r>
        <w:rPr>
          <w:rFonts w:hint="eastAsia" w:ascii="宋体" w:hAnsi="宋体"/>
          <w:color w:val="auto"/>
          <w:szCs w:val="21"/>
          <w:highlight w:val="none"/>
        </w:rPr>
        <w:t>（一）捏造事实;</w:t>
      </w:r>
    </w:p>
    <w:p>
      <w:pPr>
        <w:tabs>
          <w:tab w:val="left" w:pos="907"/>
        </w:tabs>
        <w:ind w:left="567"/>
        <w:rPr>
          <w:rFonts w:ascii="宋体" w:hAnsi="宋体"/>
          <w:color w:val="auto"/>
          <w:szCs w:val="21"/>
          <w:highlight w:val="none"/>
        </w:rPr>
      </w:pPr>
      <w:r>
        <w:rPr>
          <w:rFonts w:hint="eastAsia" w:ascii="宋体" w:hAnsi="宋体"/>
          <w:color w:val="auto"/>
          <w:szCs w:val="21"/>
          <w:highlight w:val="none"/>
        </w:rPr>
        <w:t>（二）提供虚假材料;</w:t>
      </w:r>
    </w:p>
    <w:p>
      <w:pPr>
        <w:tabs>
          <w:tab w:val="left" w:pos="907"/>
        </w:tabs>
        <w:ind w:left="567"/>
        <w:rPr>
          <w:rFonts w:ascii="宋体" w:hAnsi="宋体"/>
          <w:color w:val="auto"/>
          <w:szCs w:val="21"/>
          <w:highlight w:val="none"/>
        </w:rPr>
      </w:pPr>
      <w:r>
        <w:rPr>
          <w:rFonts w:hint="eastAsia" w:ascii="宋体" w:hAnsi="宋体"/>
          <w:color w:val="auto"/>
          <w:szCs w:val="21"/>
          <w:highlight w:val="none"/>
        </w:rPr>
        <w:t>（三）以非法手段取得证明材料。证据来源的合法性存在明显疑问，投诉人无法证明其取得方式合法的，视为以非法手段取得证明材料。</w:t>
      </w:r>
    </w:p>
    <w:p>
      <w:pPr>
        <w:numPr>
          <w:ilvl w:val="1"/>
          <w:numId w:val="3"/>
        </w:numPr>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以联合体形式参加政府采购活动的，其质疑应当由组成联合体的所有供应商共同提出。</w:t>
      </w:r>
    </w:p>
    <w:p>
      <w:pPr>
        <w:rPr>
          <w:color w:val="auto"/>
          <w:highlight w:val="none"/>
        </w:rPr>
      </w:pPr>
    </w:p>
    <w:bookmarkEnd w:id="162"/>
    <w:p>
      <w:pPr>
        <w:pStyle w:val="5"/>
        <w:keepNext w:val="0"/>
        <w:keepLines w:val="0"/>
        <w:spacing w:before="0" w:after="0" w:line="360" w:lineRule="auto"/>
        <w:jc w:val="center"/>
        <w:rPr>
          <w:rFonts w:ascii="宋体" w:hAnsi="宋体" w:eastAsia="宋体"/>
          <w:color w:val="auto"/>
          <w:sz w:val="24"/>
          <w:szCs w:val="21"/>
          <w:highlight w:val="none"/>
        </w:rPr>
      </w:pPr>
      <w:bookmarkStart w:id="171" w:name="_Toc5474"/>
      <w:bookmarkStart w:id="172" w:name="_Toc5551"/>
      <w:r>
        <w:rPr>
          <w:rFonts w:hint="eastAsia" w:ascii="宋体" w:hAnsi="宋体" w:eastAsia="宋体"/>
          <w:color w:val="auto"/>
          <w:sz w:val="24"/>
          <w:szCs w:val="21"/>
          <w:highlight w:val="none"/>
        </w:rPr>
        <w:t>第九章成交服务费</w:t>
      </w:r>
      <w:bookmarkEnd w:id="171"/>
      <w:bookmarkEnd w:id="172"/>
    </w:p>
    <w:p>
      <w:pPr>
        <w:pStyle w:val="6"/>
        <w:keepNext w:val="0"/>
        <w:keepLines w:val="0"/>
        <w:numPr>
          <w:ilvl w:val="0"/>
          <w:numId w:val="3"/>
        </w:numPr>
        <w:adjustRightInd/>
        <w:rPr>
          <w:rFonts w:hAnsi="宋体"/>
          <w:color w:val="auto"/>
          <w:sz w:val="21"/>
          <w:szCs w:val="21"/>
          <w:highlight w:val="none"/>
        </w:rPr>
      </w:pPr>
      <w:bookmarkStart w:id="173" w:name="_Toc26991"/>
      <w:bookmarkStart w:id="174" w:name="_Toc9437"/>
      <w:r>
        <w:rPr>
          <w:rFonts w:hint="eastAsia" w:hAnsi="宋体"/>
          <w:color w:val="auto"/>
          <w:sz w:val="21"/>
          <w:szCs w:val="21"/>
          <w:highlight w:val="none"/>
        </w:rPr>
        <w:t>成交服务费</w:t>
      </w:r>
      <w:bookmarkEnd w:id="173"/>
      <w:bookmarkEnd w:id="174"/>
    </w:p>
    <w:p>
      <w:pPr>
        <w:numPr>
          <w:ilvl w:val="1"/>
          <w:numId w:val="3"/>
        </w:numPr>
        <w:rPr>
          <w:rFonts w:ascii="宋体" w:hAnsi="宋体"/>
          <w:color w:val="auto"/>
          <w:szCs w:val="21"/>
          <w:highlight w:val="none"/>
        </w:rPr>
      </w:pPr>
      <w:r>
        <w:rPr>
          <w:rFonts w:hint="eastAsia" w:ascii="宋体" w:hAnsi="宋体"/>
          <w:color w:val="auto"/>
          <w:szCs w:val="21"/>
          <w:highlight w:val="none"/>
        </w:rPr>
        <w:t>成交供应商须向招标代理机构按如下标准和规定交纳成交服务费。</w:t>
      </w:r>
    </w:p>
    <w:p>
      <w:pPr>
        <w:numPr>
          <w:ilvl w:val="1"/>
          <w:numId w:val="3"/>
        </w:numPr>
        <w:rPr>
          <w:rFonts w:ascii="宋体" w:hAnsi="宋体"/>
          <w:color w:val="auto"/>
          <w:szCs w:val="21"/>
          <w:highlight w:val="none"/>
        </w:rPr>
      </w:pPr>
      <w:r>
        <w:rPr>
          <w:rFonts w:hint="eastAsia" w:ascii="宋体" w:hAnsi="宋体"/>
          <w:color w:val="auto"/>
          <w:szCs w:val="21"/>
          <w:highlight w:val="none"/>
        </w:rPr>
        <w:t>以《成交通知书》中规定的成交总金额作为收费的计算基数。</w:t>
      </w:r>
    </w:p>
    <w:p>
      <w:pPr>
        <w:numPr>
          <w:ilvl w:val="1"/>
          <w:numId w:val="3"/>
        </w:numPr>
        <w:rPr>
          <w:rFonts w:ascii="宋体" w:hAnsi="宋体"/>
          <w:color w:val="auto"/>
          <w:szCs w:val="21"/>
          <w:highlight w:val="none"/>
        </w:rPr>
      </w:pPr>
      <w:r>
        <w:rPr>
          <w:rFonts w:hint="eastAsia" w:ascii="宋体" w:hAnsi="宋体"/>
          <w:color w:val="auto"/>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ind w:firstLine="567"/>
        <w:rPr>
          <w:rFonts w:ascii="宋体" w:hAnsi="宋体"/>
          <w:color w:val="auto"/>
          <w:szCs w:val="21"/>
          <w:highlight w:val="none"/>
        </w:rPr>
      </w:pPr>
      <w:r>
        <w:rPr>
          <w:rFonts w:hint="eastAsia" w:ascii="宋体" w:hAnsi="宋体"/>
          <w:color w:val="auto"/>
          <w:szCs w:val="21"/>
          <w:highlight w:val="none"/>
        </w:rPr>
        <w:t>服务费的货币为人民币。</w:t>
      </w:r>
    </w:p>
    <w:p>
      <w:pPr>
        <w:ind w:firstLine="567"/>
        <w:rPr>
          <w:rFonts w:ascii="宋体" w:hAnsi="宋体"/>
          <w:color w:val="auto"/>
          <w:szCs w:val="21"/>
          <w:highlight w:val="none"/>
        </w:rPr>
      </w:pPr>
      <w:r>
        <w:rPr>
          <w:rFonts w:hint="eastAsia" w:ascii="宋体" w:hAnsi="宋体"/>
          <w:color w:val="auto"/>
          <w:szCs w:val="21"/>
          <w:highlight w:val="none"/>
        </w:rPr>
        <w:t>服务费应由成交人在采购结果公示发出之后，成交通知书发出前交纳，不在报价中单列。</w:t>
      </w:r>
    </w:p>
    <w:p>
      <w:pPr>
        <w:ind w:firstLine="567"/>
        <w:rPr>
          <w:rFonts w:ascii="宋体" w:hAnsi="宋体"/>
          <w:color w:val="auto"/>
          <w:szCs w:val="21"/>
          <w:highlight w:val="none"/>
        </w:rPr>
      </w:pPr>
      <w:r>
        <w:rPr>
          <w:rFonts w:hint="eastAsia" w:ascii="宋体" w:hAnsi="宋体"/>
          <w:color w:val="auto"/>
          <w:szCs w:val="21"/>
          <w:highlight w:val="none"/>
        </w:rPr>
        <w:t>服务费以转账或现金的形式支付，</w:t>
      </w:r>
      <w:bookmarkStart w:id="175" w:name="_Ref179619574"/>
      <w:r>
        <w:rPr>
          <w:rFonts w:hint="eastAsia" w:ascii="宋体" w:hAnsi="宋体"/>
          <w:color w:val="auto"/>
          <w:szCs w:val="21"/>
          <w:highlight w:val="none"/>
        </w:rPr>
        <w:t>成交人应按照磋商文件中的规定交纳成交服务费。</w:t>
      </w:r>
      <w:bookmarkEnd w:id="175"/>
    </w:p>
    <w:p>
      <w:pPr>
        <w:ind w:firstLine="567"/>
        <w:rPr>
          <w:rFonts w:ascii="宋体" w:hAnsi="宋体"/>
          <w:color w:val="auto"/>
          <w:szCs w:val="21"/>
          <w:highlight w:val="none"/>
        </w:rPr>
      </w:pPr>
      <w:r>
        <w:rPr>
          <w:rFonts w:hint="eastAsia" w:ascii="宋体" w:hAnsi="宋体"/>
          <w:color w:val="auto"/>
          <w:szCs w:val="21"/>
          <w:highlight w:val="none"/>
        </w:rPr>
        <w:t>招标代理服务费汇入账号：</w:t>
      </w:r>
    </w:p>
    <w:p>
      <w:pPr>
        <w:ind w:firstLine="567"/>
        <w:rPr>
          <w:rFonts w:ascii="宋体" w:hAnsi="宋体"/>
          <w:color w:val="auto"/>
          <w:szCs w:val="21"/>
          <w:highlight w:val="none"/>
        </w:rPr>
      </w:pPr>
      <w:r>
        <w:rPr>
          <w:rFonts w:hint="eastAsia" w:ascii="宋体" w:hAnsi="宋体"/>
          <w:color w:val="auto"/>
          <w:szCs w:val="21"/>
          <w:highlight w:val="none"/>
        </w:rPr>
        <w:t>收 款 人：广东政通招标有限公司</w:t>
      </w:r>
    </w:p>
    <w:p>
      <w:pPr>
        <w:ind w:firstLine="567"/>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ind w:firstLine="567"/>
        <w:rPr>
          <w:rFonts w:ascii="宋体" w:hAnsi="宋体"/>
          <w:color w:val="auto"/>
          <w:szCs w:val="21"/>
          <w:highlight w:val="none"/>
        </w:rPr>
      </w:pPr>
      <w:r>
        <w:rPr>
          <w:rFonts w:hint="eastAsia" w:ascii="宋体" w:hAnsi="宋体"/>
          <w:color w:val="auto"/>
          <w:szCs w:val="21"/>
          <w:highlight w:val="none"/>
        </w:rPr>
        <w:t>账　　号：9550880331235700173</w:t>
      </w:r>
    </w:p>
    <w:p>
      <w:pPr>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5"/>
        <w:keepNext w:val="0"/>
        <w:keepLines w:val="0"/>
        <w:spacing w:before="0" w:after="0" w:line="360" w:lineRule="auto"/>
        <w:jc w:val="center"/>
        <w:rPr>
          <w:rFonts w:ascii="宋体" w:hAnsi="宋体" w:eastAsia="宋体"/>
          <w:color w:val="auto"/>
          <w:sz w:val="24"/>
          <w:szCs w:val="21"/>
          <w:highlight w:val="none"/>
        </w:rPr>
      </w:pPr>
      <w:bookmarkStart w:id="176" w:name="_Toc7834"/>
      <w:bookmarkStart w:id="177" w:name="_Toc18389"/>
      <w:bookmarkStart w:id="178" w:name="_Toc467050236"/>
      <w:bookmarkStart w:id="179" w:name="_Toc467049706"/>
      <w:bookmarkStart w:id="180" w:name="_Toc51756491"/>
      <w:bookmarkStart w:id="181" w:name="_Toc52027926"/>
      <w:bookmarkStart w:id="182" w:name="_Toc52021538"/>
      <w:bookmarkStart w:id="183" w:name="_Toc457975339"/>
      <w:bookmarkStart w:id="184" w:name="_Toc467236766"/>
      <w:bookmarkStart w:id="185" w:name="_Toc51939456"/>
      <w:bookmarkStart w:id="186" w:name="_Toc486671570"/>
      <w:bookmarkStart w:id="187" w:name="_Toc56353011"/>
      <w:bookmarkStart w:id="188" w:name="_Toc476976198"/>
      <w:r>
        <w:rPr>
          <w:rFonts w:hint="eastAsia" w:ascii="宋体" w:hAnsi="宋体" w:eastAsia="宋体"/>
          <w:color w:val="auto"/>
          <w:sz w:val="24"/>
          <w:szCs w:val="21"/>
          <w:highlight w:val="none"/>
        </w:rPr>
        <w:t>第十章其他</w:t>
      </w:r>
      <w:bookmarkEnd w:id="176"/>
      <w:bookmarkEnd w:id="177"/>
    </w:p>
    <w:p>
      <w:pPr>
        <w:pStyle w:val="6"/>
        <w:keepNext w:val="0"/>
        <w:keepLines w:val="0"/>
        <w:numPr>
          <w:ilvl w:val="0"/>
          <w:numId w:val="3"/>
        </w:numPr>
        <w:adjustRightInd/>
        <w:rPr>
          <w:rFonts w:hAnsi="宋体"/>
          <w:color w:val="auto"/>
          <w:sz w:val="21"/>
          <w:szCs w:val="21"/>
          <w:highlight w:val="none"/>
        </w:rPr>
      </w:pPr>
      <w:bookmarkStart w:id="189" w:name="_Toc10953"/>
      <w:bookmarkStart w:id="190" w:name="_Toc31522"/>
      <w:r>
        <w:rPr>
          <w:rFonts w:hint="eastAsia" w:hAnsi="宋体"/>
          <w:color w:val="auto"/>
          <w:sz w:val="21"/>
          <w:szCs w:val="21"/>
          <w:highlight w:val="none"/>
        </w:rPr>
        <w:t>磋商文件的解释权</w:t>
      </w:r>
      <w:bookmarkEnd w:id="189"/>
      <w:bookmarkEnd w:id="190"/>
    </w:p>
    <w:p>
      <w:pPr>
        <w:numPr>
          <w:ilvl w:val="1"/>
          <w:numId w:val="3"/>
        </w:numPr>
        <w:rPr>
          <w:rFonts w:ascii="宋体" w:hAnsi="宋体"/>
          <w:color w:val="auto"/>
          <w:szCs w:val="21"/>
          <w:highlight w:val="none"/>
        </w:rPr>
      </w:pPr>
      <w:r>
        <w:rPr>
          <w:rFonts w:hint="eastAsia" w:ascii="宋体" w:hAnsi="宋体"/>
          <w:color w:val="auto"/>
          <w:szCs w:val="21"/>
          <w:highlight w:val="none"/>
        </w:rPr>
        <w:t>采购文件版本号：广东政通20210618。</w:t>
      </w:r>
    </w:p>
    <w:p>
      <w:pPr>
        <w:numPr>
          <w:ilvl w:val="1"/>
          <w:numId w:val="3"/>
        </w:numPr>
        <w:rPr>
          <w:rFonts w:ascii="宋体" w:hAnsi="宋体"/>
          <w:color w:val="auto"/>
          <w:szCs w:val="21"/>
          <w:highlight w:val="none"/>
        </w:rPr>
      </w:pPr>
      <w:r>
        <w:rPr>
          <w:rFonts w:hint="eastAsia" w:ascii="宋体" w:hAnsi="宋体"/>
          <w:color w:val="auto"/>
          <w:szCs w:val="21"/>
          <w:highlight w:val="none"/>
        </w:rPr>
        <w:t>本采购文件是根据国家有关法律、法规以及政府采购管理有关规定和参照国际惯例编制，解释权属本采购代理机构。</w:t>
      </w:r>
    </w:p>
    <w:p>
      <w:pPr>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5"/>
        <w:spacing w:before="0" w:after="0" w:line="240" w:lineRule="auto"/>
        <w:rPr>
          <w:color w:val="auto"/>
          <w:sz w:val="28"/>
          <w:szCs w:val="28"/>
          <w:highlight w:val="none"/>
        </w:rPr>
      </w:pPr>
      <w:bookmarkStart w:id="191" w:name="_Toc7011"/>
      <w:bookmarkStart w:id="192" w:name="_Toc31854"/>
      <w:bookmarkStart w:id="193" w:name="_Toc3162"/>
      <w:r>
        <w:rPr>
          <w:rFonts w:hint="eastAsia"/>
          <w:color w:val="auto"/>
          <w:sz w:val="28"/>
          <w:szCs w:val="28"/>
          <w:highlight w:val="none"/>
        </w:rPr>
        <w:t>第五部分 用户需求书</w:t>
      </w:r>
      <w:bookmarkEnd w:id="191"/>
      <w:bookmarkEnd w:id="192"/>
      <w:bookmarkEnd w:id="193"/>
    </w:p>
    <w:p>
      <w:pPr>
        <w:pStyle w:val="6"/>
        <w:jc w:val="center"/>
        <w:rPr>
          <w:rFonts w:ascii="宋体" w:hAnsi="宋体"/>
          <w:color w:val="auto"/>
          <w:highlight w:val="none"/>
        </w:rPr>
      </w:pPr>
      <w:bookmarkStart w:id="194" w:name="_Toc31162"/>
      <w:r>
        <w:rPr>
          <w:rFonts w:hint="eastAsia" w:ascii="宋体" w:hAnsi="宋体"/>
          <w:color w:val="auto"/>
          <w:highlight w:val="none"/>
        </w:rPr>
        <w:t>第一章 商务需求书</w:t>
      </w:r>
      <w:bookmarkEnd w:id="194"/>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98"/>
        <w:gridCol w:w="1321"/>
        <w:gridCol w:w="67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2"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序号</w:t>
            </w:r>
          </w:p>
        </w:tc>
        <w:tc>
          <w:tcPr>
            <w:tcW w:w="775"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条款名称</w:t>
            </w:r>
          </w:p>
        </w:tc>
        <w:tc>
          <w:tcPr>
            <w:tcW w:w="3932"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2"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1</w:t>
            </w:r>
          </w:p>
        </w:tc>
        <w:tc>
          <w:tcPr>
            <w:tcW w:w="775"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供应商资格要求</w:t>
            </w:r>
          </w:p>
        </w:tc>
        <w:tc>
          <w:tcPr>
            <w:tcW w:w="3932" w:type="pct"/>
            <w:vAlign w:val="center"/>
          </w:tcPr>
          <w:p>
            <w:pPr>
              <w:ind w:firstLine="420" w:firstLineChars="200"/>
              <w:rPr>
                <w:rFonts w:ascii="宋体" w:hAnsi="宋体" w:cs="宋体"/>
                <w:color w:val="auto"/>
                <w:szCs w:val="24"/>
                <w:highlight w:val="none"/>
              </w:rPr>
            </w:pPr>
            <w:r>
              <w:rPr>
                <w:rFonts w:hint="eastAsia" w:ascii="宋体" w:hAnsi="宋体" w:cs="宋体"/>
                <w:color w:val="auto"/>
                <w:szCs w:val="24"/>
                <w:highlight w:val="none"/>
              </w:rPr>
              <w:t>详见磋商文件第</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rPr>
              <w:t>部分“供应商资格要求”。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2"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2</w:t>
            </w:r>
          </w:p>
        </w:tc>
        <w:tc>
          <w:tcPr>
            <w:tcW w:w="775"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完工期</w:t>
            </w:r>
          </w:p>
        </w:tc>
        <w:tc>
          <w:tcPr>
            <w:tcW w:w="3932" w:type="pct"/>
            <w:vAlign w:val="center"/>
          </w:tcPr>
          <w:p>
            <w:pPr>
              <w:ind w:firstLine="420" w:firstLineChars="200"/>
              <w:rPr>
                <w:rFonts w:ascii="宋体" w:hAnsi="宋体" w:cs="宋体"/>
                <w:color w:val="auto"/>
                <w:szCs w:val="24"/>
                <w:highlight w:val="none"/>
              </w:rPr>
            </w:pPr>
            <w:r>
              <w:rPr>
                <w:rFonts w:hint="eastAsia" w:ascii="宋体" w:hAnsi="宋体" w:cs="宋体"/>
                <w:color w:val="auto"/>
                <w:szCs w:val="24"/>
                <w:highlight w:val="none"/>
              </w:rPr>
              <w:t>自合同签订后40个日历天内完成。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2"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3</w:t>
            </w:r>
          </w:p>
        </w:tc>
        <w:tc>
          <w:tcPr>
            <w:tcW w:w="775"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项目地点</w:t>
            </w:r>
          </w:p>
        </w:tc>
        <w:tc>
          <w:tcPr>
            <w:tcW w:w="3932" w:type="pct"/>
            <w:vAlign w:val="center"/>
          </w:tcPr>
          <w:p>
            <w:pPr>
              <w:ind w:firstLine="420" w:firstLineChars="200"/>
              <w:rPr>
                <w:rFonts w:ascii="宋体" w:hAnsi="宋体" w:cs="宋体"/>
                <w:color w:val="auto"/>
                <w:szCs w:val="24"/>
                <w:highlight w:val="none"/>
              </w:rPr>
            </w:pPr>
            <w:r>
              <w:rPr>
                <w:rFonts w:hint="eastAsia" w:ascii="宋体" w:hAnsi="宋体" w:cs="宋体"/>
                <w:color w:val="auto"/>
                <w:szCs w:val="24"/>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2"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5</w:t>
            </w:r>
          </w:p>
        </w:tc>
        <w:tc>
          <w:tcPr>
            <w:tcW w:w="775"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报价要求</w:t>
            </w:r>
          </w:p>
        </w:tc>
        <w:tc>
          <w:tcPr>
            <w:tcW w:w="3932" w:type="pct"/>
            <w:vAlign w:val="center"/>
          </w:tcPr>
          <w:p>
            <w:pPr>
              <w:ind w:firstLine="420" w:firstLineChars="200"/>
              <w:jc w:val="both"/>
              <w:rPr>
                <w:rFonts w:hint="eastAsia" w:ascii="宋体" w:hAnsi="宋体" w:eastAsia="宋体" w:cs="宋体"/>
                <w:color w:val="auto"/>
                <w:lang w:eastAsia="zh-CN"/>
              </w:rPr>
            </w:pPr>
            <w:r>
              <w:rPr>
                <w:rFonts w:hint="eastAsia" w:ascii="宋体" w:hAnsi="宋体" w:eastAsia="宋体" w:cs="宋体"/>
                <w:color w:val="auto"/>
              </w:rPr>
              <w:t>★1、拆除</w:t>
            </w:r>
            <w:r>
              <w:rPr>
                <w:rFonts w:hint="eastAsia" w:ascii="宋体" w:hAnsi="宋体" w:eastAsia="宋体" w:cs="宋体"/>
                <w:color w:val="auto"/>
                <w:lang w:val="en-US" w:eastAsia="zh-CN"/>
              </w:rPr>
              <w:t>费用</w:t>
            </w:r>
            <w:r>
              <w:rPr>
                <w:rFonts w:hint="eastAsia" w:ascii="宋体" w:hAnsi="宋体" w:eastAsia="宋体" w:cs="宋体"/>
                <w:color w:val="auto"/>
              </w:rPr>
              <w:t>总价报价</w:t>
            </w:r>
            <w:r>
              <w:rPr>
                <w:rFonts w:hint="eastAsia" w:ascii="宋体" w:hAnsi="宋体" w:eastAsia="宋体" w:cs="宋体"/>
                <w:b/>
                <w:bCs/>
                <w:color w:val="auto"/>
              </w:rPr>
              <w:t>最高限价</w:t>
            </w:r>
            <w:r>
              <w:rPr>
                <w:rFonts w:hint="eastAsia" w:ascii="宋体" w:hAnsi="宋体" w:eastAsia="宋体" w:cs="宋体"/>
                <w:color w:val="auto"/>
              </w:rPr>
              <w:t>为</w:t>
            </w:r>
            <w:r>
              <w:rPr>
                <w:rFonts w:hint="eastAsia" w:ascii="宋体" w:hAnsi="宋体" w:eastAsia="宋体" w:cs="宋体"/>
                <w:b/>
                <w:bCs/>
                <w:color w:val="auto"/>
                <w:u w:val="single"/>
              </w:rPr>
              <w:t>1,819,645.00</w:t>
            </w:r>
            <w:r>
              <w:rPr>
                <w:rFonts w:hint="eastAsia" w:ascii="宋体" w:hAnsi="宋体" w:eastAsia="宋体" w:cs="宋体"/>
                <w:color w:val="auto"/>
              </w:rPr>
              <w:t>元【包含拆除、装卸、清运、平整、人工、管理费、</w:t>
            </w:r>
            <w:r>
              <w:rPr>
                <w:rFonts w:hint="eastAsia" w:ascii="宋体" w:hAnsi="宋体" w:eastAsia="宋体" w:cs="宋体"/>
                <w:color w:val="auto"/>
                <w:lang w:val="en-US" w:eastAsia="zh-CN"/>
              </w:rPr>
              <w:t>措施费</w:t>
            </w:r>
            <w:r>
              <w:rPr>
                <w:rFonts w:hint="eastAsia" w:ascii="宋体" w:hAnsi="宋体" w:eastAsia="宋体" w:cs="宋体"/>
                <w:color w:val="auto"/>
              </w:rPr>
              <w:t>、税金等一切相关费用】</w:t>
            </w:r>
            <w:r>
              <w:rPr>
                <w:rFonts w:hint="eastAsia" w:ascii="宋体" w:hAnsi="宋体" w:eastAsia="宋体" w:cs="宋体"/>
                <w:color w:val="auto"/>
                <w:lang w:eastAsia="zh-CN"/>
              </w:rPr>
              <w:t>；</w:t>
            </w:r>
          </w:p>
          <w:p>
            <w:pPr>
              <w:ind w:firstLine="420" w:firstLineChars="200"/>
              <w:jc w:val="both"/>
              <w:rPr>
                <w:rFonts w:hint="eastAsia" w:ascii="宋体" w:hAnsi="宋体" w:eastAsia="宋体" w:cs="宋体"/>
                <w:color w:val="auto"/>
                <w:lang w:eastAsia="zh-CN"/>
              </w:rPr>
            </w:pPr>
            <w:r>
              <w:rPr>
                <w:rFonts w:hint="eastAsia" w:ascii="宋体" w:hAnsi="宋体" w:eastAsia="宋体" w:cs="宋体"/>
                <w:color w:val="auto"/>
              </w:rPr>
              <w:t>★2、回收</w:t>
            </w:r>
            <w:r>
              <w:rPr>
                <w:rFonts w:hint="eastAsia" w:ascii="宋体" w:hAnsi="宋体" w:eastAsia="宋体" w:cs="宋体"/>
                <w:color w:val="auto"/>
                <w:lang w:val="en-US" w:eastAsia="zh-CN"/>
              </w:rPr>
              <w:t>价值</w:t>
            </w:r>
            <w:r>
              <w:rPr>
                <w:rFonts w:hint="eastAsia" w:ascii="宋体" w:hAnsi="宋体" w:eastAsia="宋体" w:cs="宋体"/>
                <w:color w:val="auto"/>
              </w:rPr>
              <w:t>总价报价</w:t>
            </w:r>
            <w:r>
              <w:rPr>
                <w:rFonts w:hint="eastAsia" w:ascii="宋体" w:hAnsi="宋体" w:eastAsia="宋体" w:cs="宋体"/>
                <w:b/>
                <w:bCs/>
                <w:color w:val="auto"/>
              </w:rPr>
              <w:t>最低限价</w:t>
            </w:r>
            <w:r>
              <w:rPr>
                <w:rFonts w:hint="eastAsia" w:ascii="宋体" w:hAnsi="宋体" w:eastAsia="宋体" w:cs="宋体"/>
                <w:color w:val="auto"/>
              </w:rPr>
              <w:t>为</w:t>
            </w:r>
            <w:r>
              <w:rPr>
                <w:rFonts w:hint="eastAsia" w:ascii="宋体" w:hAnsi="宋体" w:eastAsia="宋体" w:cs="宋体"/>
                <w:b/>
                <w:bCs/>
                <w:color w:val="auto"/>
                <w:u w:val="single"/>
              </w:rPr>
              <w:t>1,790,533.00</w:t>
            </w:r>
            <w:r>
              <w:rPr>
                <w:rFonts w:hint="eastAsia" w:ascii="宋体" w:hAnsi="宋体" w:eastAsia="宋体" w:cs="宋体"/>
                <w:color w:val="auto"/>
              </w:rPr>
              <w:t>元【用以折抵拆除工程款】</w:t>
            </w:r>
            <w:r>
              <w:rPr>
                <w:rFonts w:hint="eastAsia" w:ascii="宋体" w:hAnsi="宋体" w:eastAsia="宋体" w:cs="宋体"/>
                <w:color w:val="auto"/>
                <w:lang w:eastAsia="zh-CN"/>
              </w:rPr>
              <w:t>；</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eastAsia="宋体"/>
                <w:color w:val="auto"/>
                <w:lang w:val="en-US" w:eastAsia="zh-CN"/>
              </w:rPr>
            </w:pPr>
            <w:r>
              <w:rPr>
                <w:rFonts w:hint="eastAsia" w:ascii="宋体" w:hAnsi="宋体" w:eastAsia="宋体" w:cs="宋体"/>
                <w:color w:val="auto"/>
                <w:lang w:val="en-US" w:eastAsia="zh-CN"/>
              </w:rPr>
              <w:t>3、最终响应总价报价=</w:t>
            </w:r>
            <w:r>
              <w:rPr>
                <w:rFonts w:hint="eastAsia" w:ascii="宋体" w:hAnsi="宋体" w:eastAsia="宋体" w:cs="宋体"/>
                <w:color w:val="auto"/>
              </w:rPr>
              <w:t>拆除</w:t>
            </w:r>
            <w:r>
              <w:rPr>
                <w:rFonts w:hint="eastAsia" w:ascii="宋体" w:hAnsi="宋体" w:eastAsia="宋体" w:cs="宋体"/>
                <w:color w:val="auto"/>
                <w:lang w:val="en-US" w:eastAsia="zh-CN"/>
              </w:rPr>
              <w:t>费用</w:t>
            </w:r>
            <w:r>
              <w:rPr>
                <w:rFonts w:hint="eastAsia" w:ascii="宋体" w:hAnsi="宋体" w:eastAsia="宋体" w:cs="宋体"/>
                <w:color w:val="auto"/>
              </w:rPr>
              <w:t>总价报价</w:t>
            </w:r>
            <w:r>
              <w:rPr>
                <w:rFonts w:hint="eastAsia" w:ascii="宋体" w:hAnsi="宋体" w:eastAsia="宋体" w:cs="宋体"/>
                <w:color w:val="auto"/>
                <w:lang w:val="en-US" w:eastAsia="zh-CN"/>
              </w:rPr>
              <w:t>-</w:t>
            </w:r>
            <w:r>
              <w:rPr>
                <w:rFonts w:hint="eastAsia" w:ascii="宋体" w:hAnsi="宋体" w:eastAsia="宋体" w:cs="宋体"/>
                <w:color w:val="auto"/>
              </w:rPr>
              <w:t>回收</w:t>
            </w:r>
            <w:r>
              <w:rPr>
                <w:rFonts w:hint="eastAsia" w:ascii="宋体" w:hAnsi="宋体" w:eastAsia="宋体" w:cs="宋体"/>
                <w:color w:val="auto"/>
                <w:lang w:val="en-US" w:eastAsia="zh-CN"/>
              </w:rPr>
              <w:t>价值</w:t>
            </w:r>
            <w:r>
              <w:rPr>
                <w:rFonts w:hint="eastAsia" w:ascii="宋体" w:hAnsi="宋体" w:eastAsia="宋体" w:cs="宋体"/>
                <w:color w:val="auto"/>
              </w:rPr>
              <w:t>总价报价</w:t>
            </w:r>
            <w:r>
              <w:rPr>
                <w:rFonts w:hint="eastAsia" w:ascii="宋体" w:hAnsi="宋体" w:eastAsia="宋体" w:cs="宋体"/>
                <w:color w:val="auto"/>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92"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6</w:t>
            </w:r>
          </w:p>
        </w:tc>
        <w:tc>
          <w:tcPr>
            <w:tcW w:w="775"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付款方式</w:t>
            </w:r>
          </w:p>
        </w:tc>
        <w:tc>
          <w:tcPr>
            <w:tcW w:w="3932" w:type="pct"/>
            <w:vAlign w:val="center"/>
          </w:tcPr>
          <w:p>
            <w:pPr>
              <w:ind w:firstLine="420" w:firstLineChars="200"/>
              <w:jc w:val="both"/>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1、当拆除费用总价金额大于回收价值总价金额时，差额部分由</w:t>
            </w:r>
            <w:r>
              <w:rPr>
                <w:rFonts w:hint="eastAsia" w:ascii="宋体" w:hAnsi="宋体" w:cs="宋体"/>
                <w:color w:val="auto"/>
                <w:szCs w:val="24"/>
                <w:highlight w:val="none"/>
              </w:rPr>
              <w:t>采购人</w:t>
            </w:r>
            <w:r>
              <w:rPr>
                <w:rFonts w:hint="eastAsia" w:ascii="宋体" w:hAnsi="宋体" w:cs="宋体"/>
                <w:color w:val="auto"/>
                <w:szCs w:val="24"/>
                <w:highlight w:val="none"/>
                <w:lang w:val="en-US" w:eastAsia="zh-CN"/>
              </w:rPr>
              <w:t>在</w:t>
            </w:r>
            <w:r>
              <w:rPr>
                <w:rFonts w:hint="eastAsia" w:ascii="宋体" w:hAnsi="宋体" w:cs="宋体"/>
                <w:color w:val="auto"/>
                <w:szCs w:val="24"/>
                <w:highlight w:val="none"/>
              </w:rPr>
              <w:t>签订合同</w:t>
            </w:r>
            <w:r>
              <w:rPr>
                <w:rFonts w:hint="eastAsia" w:ascii="宋体" w:hAnsi="宋体" w:cs="宋体"/>
                <w:color w:val="auto"/>
                <w:szCs w:val="24"/>
                <w:highlight w:val="none"/>
                <w:lang w:val="en-US" w:eastAsia="zh-CN"/>
              </w:rPr>
              <w:t>后</w:t>
            </w:r>
            <w:r>
              <w:rPr>
                <w:rFonts w:hint="eastAsia" w:ascii="宋体" w:hAnsi="宋体" w:cs="宋体"/>
                <w:color w:val="auto"/>
                <w:szCs w:val="24"/>
                <w:highlight w:val="none"/>
              </w:rPr>
              <w:t>30日内付清所有款项给成交人。付款前成交</w:t>
            </w:r>
            <w:r>
              <w:rPr>
                <w:rFonts w:hint="eastAsia" w:ascii="宋体" w:hAnsi="宋体" w:cs="宋体"/>
                <w:color w:val="auto"/>
                <w:szCs w:val="24"/>
                <w:highlight w:val="none"/>
                <w:lang w:val="en-US" w:eastAsia="zh-CN"/>
              </w:rPr>
              <w:t>人</w:t>
            </w:r>
            <w:r>
              <w:rPr>
                <w:rFonts w:hint="eastAsia" w:ascii="宋体" w:hAnsi="宋体" w:cs="宋体"/>
                <w:color w:val="auto"/>
                <w:szCs w:val="24"/>
                <w:highlight w:val="none"/>
              </w:rPr>
              <w:t>须提供等额的正式发票给采购人</w:t>
            </w:r>
            <w:r>
              <w:rPr>
                <w:rFonts w:hint="eastAsia" w:ascii="宋体" w:hAnsi="宋体" w:cs="宋体"/>
                <w:color w:val="auto"/>
                <w:szCs w:val="24"/>
                <w:highlight w:val="none"/>
                <w:lang w:eastAsia="zh-CN"/>
              </w:rPr>
              <w:t>。</w:t>
            </w:r>
          </w:p>
          <w:p>
            <w:pPr>
              <w:ind w:firstLine="420" w:firstLineChars="200"/>
              <w:jc w:val="both"/>
              <w:rPr>
                <w:rFonts w:hint="eastAsia" w:ascii="宋体" w:hAnsi="宋体" w:eastAsia="宋体" w:cs="宋体"/>
                <w:color w:val="auto"/>
                <w:szCs w:val="24"/>
                <w:highlight w:val="none"/>
                <w:lang w:val="en-US" w:eastAsia="zh-CN"/>
              </w:rPr>
            </w:pPr>
            <w:r>
              <w:rPr>
                <w:rFonts w:hint="eastAsia" w:ascii="宋体" w:hAnsi="宋体" w:cs="宋体"/>
                <w:color w:val="auto"/>
                <w:szCs w:val="24"/>
                <w:highlight w:val="none"/>
                <w:lang w:val="en-US" w:eastAsia="zh-CN"/>
              </w:rPr>
              <w:t>2、当</w:t>
            </w:r>
            <w:bookmarkStart w:id="401" w:name="_GoBack"/>
            <w:bookmarkEnd w:id="401"/>
            <w:r>
              <w:rPr>
                <w:rFonts w:hint="eastAsia" w:ascii="宋体" w:hAnsi="宋体" w:cs="宋体"/>
                <w:color w:val="auto"/>
                <w:szCs w:val="24"/>
                <w:highlight w:val="none"/>
                <w:lang w:val="en-US" w:eastAsia="zh-CN"/>
              </w:rPr>
              <w:t>回收价值总价金额大于拆除费用总价金额时，差额部分由</w:t>
            </w:r>
            <w:r>
              <w:rPr>
                <w:rFonts w:hint="eastAsia" w:ascii="宋体" w:hAnsi="宋体" w:cs="宋体"/>
                <w:color w:val="auto"/>
                <w:szCs w:val="24"/>
                <w:highlight w:val="none"/>
              </w:rPr>
              <w:t>成交人</w:t>
            </w:r>
            <w:r>
              <w:rPr>
                <w:rFonts w:hint="eastAsia" w:ascii="宋体" w:hAnsi="宋体" w:cs="宋体"/>
                <w:color w:val="auto"/>
                <w:szCs w:val="24"/>
                <w:highlight w:val="none"/>
                <w:lang w:val="en-US" w:eastAsia="zh-CN"/>
              </w:rPr>
              <w:t>在</w:t>
            </w:r>
            <w:r>
              <w:rPr>
                <w:rFonts w:hint="eastAsia" w:ascii="宋体" w:hAnsi="宋体" w:cs="宋体"/>
                <w:color w:val="auto"/>
                <w:szCs w:val="24"/>
                <w:highlight w:val="none"/>
              </w:rPr>
              <w:t>签订合同</w:t>
            </w:r>
            <w:r>
              <w:rPr>
                <w:rFonts w:hint="eastAsia" w:ascii="宋体" w:hAnsi="宋体" w:cs="宋体"/>
                <w:color w:val="auto"/>
                <w:szCs w:val="24"/>
                <w:highlight w:val="none"/>
                <w:lang w:val="en-US" w:eastAsia="zh-CN"/>
              </w:rPr>
              <w:t>后</w:t>
            </w:r>
            <w:r>
              <w:rPr>
                <w:rFonts w:hint="eastAsia" w:ascii="宋体" w:hAnsi="宋体" w:cs="宋体"/>
                <w:color w:val="auto"/>
                <w:szCs w:val="24"/>
                <w:highlight w:val="none"/>
              </w:rPr>
              <w:t>30日内付清所有款项给采购人。付款前</w:t>
            </w:r>
            <w:r>
              <w:rPr>
                <w:rFonts w:hint="eastAsia" w:ascii="宋体" w:hAnsi="宋体" w:cs="宋体"/>
                <w:color w:val="auto"/>
                <w:szCs w:val="24"/>
                <w:highlight w:val="none"/>
                <w:lang w:val="en-US" w:eastAsia="zh-CN"/>
              </w:rPr>
              <w:t>采购人</w:t>
            </w:r>
            <w:r>
              <w:rPr>
                <w:rFonts w:hint="eastAsia" w:ascii="宋体" w:hAnsi="宋体" w:cs="宋体"/>
                <w:color w:val="auto"/>
                <w:szCs w:val="24"/>
                <w:highlight w:val="none"/>
              </w:rPr>
              <w:t>须提供等额的正式发票给</w:t>
            </w:r>
            <w:r>
              <w:rPr>
                <w:rFonts w:hint="eastAsia" w:ascii="宋体" w:hAnsi="宋体" w:cs="宋体"/>
                <w:color w:val="auto"/>
                <w:szCs w:val="24"/>
                <w:highlight w:val="none"/>
                <w:lang w:val="en-US" w:eastAsia="zh-CN"/>
              </w:rPr>
              <w:t>成交</w:t>
            </w:r>
            <w:r>
              <w:rPr>
                <w:rFonts w:hint="eastAsia" w:ascii="宋体" w:hAnsi="宋体" w:cs="宋体"/>
                <w:color w:val="auto"/>
                <w:szCs w:val="24"/>
                <w:highlight w:val="none"/>
              </w:rPr>
              <w:t>人</w:t>
            </w:r>
            <w:r>
              <w:rPr>
                <w:rFonts w:hint="eastAsia" w:ascii="宋体" w:hAnsi="宋体" w:cs="宋体"/>
                <w:color w:val="auto"/>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atLeast"/>
        </w:trPr>
        <w:tc>
          <w:tcPr>
            <w:tcW w:w="292"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7</w:t>
            </w:r>
          </w:p>
        </w:tc>
        <w:tc>
          <w:tcPr>
            <w:tcW w:w="775" w:type="pct"/>
            <w:vAlign w:val="center"/>
          </w:tcPr>
          <w:p>
            <w:pPr>
              <w:jc w:val="center"/>
              <w:rPr>
                <w:rFonts w:ascii="宋体" w:hAnsi="宋体" w:cs="宋体"/>
                <w:color w:val="auto"/>
                <w:szCs w:val="24"/>
                <w:highlight w:val="none"/>
              </w:rPr>
            </w:pPr>
            <w:r>
              <w:rPr>
                <w:rFonts w:hint="eastAsia" w:ascii="宋体" w:hAnsi="宋体" w:cs="宋体"/>
                <w:color w:val="auto"/>
                <w:szCs w:val="24"/>
                <w:highlight w:val="none"/>
              </w:rPr>
              <w:t>合同条款</w:t>
            </w:r>
          </w:p>
        </w:tc>
        <w:tc>
          <w:tcPr>
            <w:tcW w:w="3932" w:type="pct"/>
          </w:tcPr>
          <w:p>
            <w:pPr>
              <w:ind w:firstLine="420" w:firstLineChars="200"/>
              <w:rPr>
                <w:rFonts w:ascii="宋体" w:hAnsi="宋体" w:cs="宋体"/>
                <w:color w:val="auto"/>
                <w:szCs w:val="24"/>
                <w:highlight w:val="none"/>
              </w:rPr>
            </w:pPr>
            <w:r>
              <w:rPr>
                <w:rFonts w:hint="eastAsia" w:ascii="宋体" w:hAnsi="宋体" w:cs="宋体"/>
                <w:color w:val="auto"/>
                <w:szCs w:val="24"/>
                <w:highlight w:val="none"/>
              </w:rPr>
              <w:t>供应商实质响应合同各条款。</w:t>
            </w:r>
          </w:p>
        </w:tc>
      </w:tr>
    </w:tbl>
    <w:p>
      <w:pPr>
        <w:rPr>
          <w:color w:val="auto"/>
          <w:highlight w:val="none"/>
        </w:rPr>
      </w:pPr>
    </w:p>
    <w:p>
      <w:pPr>
        <w:rPr>
          <w:rFonts w:ascii="宋体" w:hAnsi="宋体"/>
          <w:color w:val="auto"/>
          <w:highlight w:val="none"/>
        </w:rPr>
      </w:pPr>
      <w:bookmarkStart w:id="195" w:name="_Toc19981"/>
      <w:r>
        <w:rPr>
          <w:rFonts w:hint="eastAsia" w:ascii="宋体" w:hAnsi="宋体"/>
          <w:color w:val="auto"/>
          <w:highlight w:val="none"/>
        </w:rPr>
        <w:br w:type="page"/>
      </w:r>
    </w:p>
    <w:p>
      <w:pPr>
        <w:pStyle w:val="6"/>
        <w:jc w:val="center"/>
        <w:rPr>
          <w:color w:val="auto"/>
          <w:highlight w:val="none"/>
        </w:rPr>
      </w:pPr>
      <w:r>
        <w:rPr>
          <w:rFonts w:hint="eastAsia" w:ascii="宋体" w:hAnsi="宋体"/>
          <w:color w:val="auto"/>
          <w:highlight w:val="none"/>
        </w:rPr>
        <w:t>第二章 技术需求书</w:t>
      </w:r>
      <w:bookmarkEnd w:id="195"/>
      <w:bookmarkStart w:id="196" w:name="_Toc13112"/>
      <w:bookmarkStart w:id="197" w:name="_Toc31278"/>
      <w:bookmarkStart w:id="198" w:name="_Toc24679"/>
      <w:bookmarkStart w:id="199" w:name="_Toc14462"/>
    </w:p>
    <w:p>
      <w:pPr>
        <w:ind w:firstLine="482" w:firstLineChars="200"/>
        <w:outlineLvl w:val="3"/>
        <w:rPr>
          <w:rFonts w:ascii="宋体" w:hAnsi="宋体" w:cs="宋体"/>
          <w:b/>
          <w:bCs/>
          <w:color w:val="auto"/>
          <w:sz w:val="24"/>
          <w:szCs w:val="24"/>
          <w:highlight w:val="none"/>
        </w:rPr>
      </w:pPr>
      <w:r>
        <w:rPr>
          <w:rFonts w:hint="eastAsia" w:ascii="宋体" w:hAnsi="宋体" w:cs="宋体"/>
          <w:b/>
          <w:bCs/>
          <w:color w:val="auto"/>
          <w:sz w:val="24"/>
          <w:szCs w:val="24"/>
          <w:highlight w:val="none"/>
        </w:rPr>
        <w:t>一、项目清单</w:t>
      </w:r>
    </w:p>
    <w:tbl>
      <w:tblPr>
        <w:tblStyle w:val="22"/>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2"/>
        <w:gridCol w:w="947"/>
        <w:gridCol w:w="1977"/>
        <w:gridCol w:w="796"/>
        <w:gridCol w:w="600"/>
        <w:gridCol w:w="633"/>
        <w:gridCol w:w="1064"/>
        <w:gridCol w:w="956"/>
        <w:gridCol w:w="9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序号</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编号</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户名</w:t>
            </w:r>
          </w:p>
        </w:tc>
        <w:tc>
          <w:tcPr>
            <w:tcW w:w="467" w:type="pct"/>
            <w:tcBorders>
              <w:top w:val="single" w:color="000000" w:sz="4" w:space="0"/>
              <w:left w:val="single" w:color="000000" w:sz="4" w:space="0"/>
              <w:bottom w:val="single" w:color="000000" w:sz="4" w:space="0"/>
              <w:right w:val="nil"/>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结构形式</w:t>
            </w:r>
          </w:p>
        </w:tc>
        <w:tc>
          <w:tcPr>
            <w:tcW w:w="352" w:type="pct"/>
            <w:tcBorders>
              <w:top w:val="single" w:color="000000" w:sz="4" w:space="0"/>
              <w:left w:val="single" w:color="000000" w:sz="4" w:space="0"/>
              <w:bottom w:val="single" w:color="000000" w:sz="4" w:space="0"/>
              <w:right w:val="nil"/>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层数</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单位</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建筑面积</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b/>
                <w:bCs/>
                <w:sz w:val="21"/>
                <w:szCs w:val="21"/>
                <w:lang w:val="en-US" w:eastAsia="zh-CN"/>
              </w:rPr>
              <w:t>拆除费单价最高限价</w:t>
            </w:r>
            <w:r>
              <w:rPr>
                <w:rFonts w:hint="eastAsia" w:ascii="宋体" w:hAnsi="宋体" w:eastAsia="宋体" w:cs="宋体"/>
                <w:sz w:val="21"/>
                <w:szCs w:val="21"/>
                <w:lang w:val="en-US" w:eastAsia="zh-CN"/>
              </w:rPr>
              <w:t>（元）</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回收单价最</w:t>
            </w:r>
            <w:r>
              <w:rPr>
                <w:rFonts w:hint="eastAsia" w:ascii="宋体" w:hAnsi="宋体" w:cs="宋体"/>
                <w:b/>
                <w:bCs/>
                <w:sz w:val="21"/>
                <w:szCs w:val="21"/>
                <w:lang w:val="en-US" w:eastAsia="zh-CN"/>
              </w:rPr>
              <w:t>低</w:t>
            </w:r>
            <w:r>
              <w:rPr>
                <w:rFonts w:hint="eastAsia" w:ascii="宋体" w:hAnsi="宋体" w:eastAsia="宋体" w:cs="宋体"/>
                <w:b/>
                <w:bCs/>
                <w:sz w:val="21"/>
                <w:szCs w:val="21"/>
                <w:lang w:val="en-US" w:eastAsia="zh-CN"/>
              </w:rPr>
              <w:t>限价</w:t>
            </w:r>
            <w:r>
              <w:rPr>
                <w:rFonts w:hint="eastAsia" w:ascii="宋体" w:hAnsi="宋体" w:eastAsia="宋体" w:cs="宋体"/>
                <w:sz w:val="21"/>
                <w:szCs w:val="21"/>
                <w:lang w:val="en-US" w:eastAsia="zh-CN"/>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六甲村</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香锦田</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75.69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香锦田</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105.80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香锦田</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42.20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香锦田</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126.60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香锦田</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23.92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东莞市浩中物业投资有限公司</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21.15</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东莞市浩中物业投资有限公司</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148.10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东莞市浩中物业投资有限公司</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116.31</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东莞市浩中物业投资有限公司</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19.68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东莞市浩中物业投资有限公司</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1,807.95</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LJFW9</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东莞市浩中物业投资有限公司</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27.01</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LJFW10</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东莞市浩中物业投资有限公司</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4.12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东莞市浩中物业投资有限公司</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4.29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东莞市浩中物业投资有限公司</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77.58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刘志恒</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1,452.46</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横沥供电服务中心</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80.83</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956.57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355.69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香玉葵</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916.78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香玉葵</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262.13</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香植芬</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1,126.54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香松炳</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1,126.67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LJFW19</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香洪深</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800.94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LJFW20</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钢构</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107.66</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7.56</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126.72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香富其</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813.77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梁林芳</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1,608.04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周志伟</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1,093.23</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周志伟</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9.40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香志灯</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140.49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香满光</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1,216.54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LJFW29</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叶福顺</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1,251.42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LJFW30</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吴志娟</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364.14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香伟波</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1,261.72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香汉勤</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1,758.48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香汉勤</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19.60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香伟波</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278.10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香汉勤</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301.65</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香汉勤</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66.62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香富钦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283.21</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香富钦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43.29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香耀球</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846.49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香耀球</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2.73</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香校祺</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720.42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香校祺</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钢构</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186.08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黄锦友</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518.78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黄锦友</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186.81</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LJFW39</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香满钦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43.57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LJFW40</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香满钦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176.98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香灼坤</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39.67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香灼坤</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5.72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吴丽娟</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97.09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香柱钦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13.46</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香富钦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9.68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香汉勤</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13.52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莫清雅</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18.35</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LJFW49</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香锦洪</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14.53</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LJFW50</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香伟波</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92.72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7.34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香锦洪</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35.60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8.09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14.98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15.19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21.50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钢构</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62.65</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LJFW57-1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37.05</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25.50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LJFW59</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125.88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LJFW60</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香枝球</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21.29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香枝球</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9.59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香锡钦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36.61</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香润林</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222.41</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香枝球</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16.27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香枝球</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592.68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香汉勤</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16.44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香汉勤</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765.96</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黄锦友</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91.93</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LJFW69</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香满钦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26.40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LJFW70</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香富钦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27.45</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香枝球</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15.59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香满钦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12.74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香富钦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15.80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13.40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57.17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香锦洪</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58.14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香锦洪</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71.14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莫清雅</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71.14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LJFW79</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莫清雅</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25.67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LJFW80</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莫清雅</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2.53</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香锦洪</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7.67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莫清雅</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15.41</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莫清雅</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56.21</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香锡钦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56.32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香志杰</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33.52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香智毅</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17.34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香富钦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20.38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香枝球</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43.97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LJFW90</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48.96</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LJFW91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香富其</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51.87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LJFW92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香志光</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39.51</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LJFW93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香志光</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39.94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村头村</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CT1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东莞市横沥镇村头股份经济联合社</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52.14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CT2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东莞市横沥镇村头股份经济联合社</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21.08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CT3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东莞市横沥镇村头股份经济联合社</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32.19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CT4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东莞市横沥镇村头股份经济联合社</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24.06</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20.00</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253"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拆除费用总价报价最高限价</w:t>
            </w:r>
          </w:p>
        </w:tc>
        <w:tc>
          <w:tcPr>
            <w:tcW w:w="17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1,819,645.00元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253"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回收价值总价报价最低限价</w:t>
            </w:r>
          </w:p>
        </w:tc>
        <w:tc>
          <w:tcPr>
            <w:tcW w:w="17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1,790,533.00元</w:t>
            </w:r>
          </w:p>
        </w:tc>
      </w:tr>
    </w:tbl>
    <w:p>
      <w:pPr>
        <w:keepNext w:val="0"/>
        <w:keepLines w:val="0"/>
        <w:pageBreakBefore w:val="0"/>
        <w:widowControl/>
        <w:kinsoku/>
        <w:wordWrap/>
        <w:overflowPunct/>
        <w:topLinePunct w:val="0"/>
        <w:autoSpaceDE/>
        <w:autoSpaceDN/>
        <w:bidi w:val="0"/>
        <w:adjustRightInd w:val="0"/>
        <w:snapToGrid w:val="0"/>
        <w:ind w:firstLine="422" w:firstLineChars="200"/>
        <w:textAlignment w:val="auto"/>
        <w:rPr>
          <w:color w:val="auto"/>
          <w:highlight w:val="none"/>
        </w:rPr>
      </w:pPr>
      <w:r>
        <w:rPr>
          <w:rFonts w:hint="eastAsia"/>
          <w:b/>
          <w:bCs/>
          <w:color w:val="auto"/>
          <w:highlight w:val="none"/>
        </w:rPr>
        <w:t>注：预计可回收</w:t>
      </w:r>
      <w:r>
        <w:rPr>
          <w:rFonts w:hint="eastAsia"/>
          <w:b/>
          <w:bCs/>
          <w:color w:val="auto"/>
          <w:highlight w:val="none"/>
          <w:lang w:val="en-US" w:eastAsia="zh-CN"/>
        </w:rPr>
        <w:t>材料</w:t>
      </w:r>
      <w:r>
        <w:rPr>
          <w:rFonts w:hint="eastAsia"/>
          <w:b/>
          <w:bCs/>
          <w:color w:val="auto"/>
          <w:highlight w:val="none"/>
        </w:rPr>
        <w:t>的数量及实际市场价格由响应</w:t>
      </w:r>
      <w:r>
        <w:rPr>
          <w:rFonts w:hint="eastAsia"/>
          <w:b/>
          <w:bCs/>
          <w:color w:val="auto"/>
          <w:highlight w:val="none"/>
          <w:lang w:val="en-US" w:eastAsia="zh-CN"/>
        </w:rPr>
        <w:t>供应</w:t>
      </w:r>
      <w:r>
        <w:rPr>
          <w:rFonts w:hint="eastAsia"/>
          <w:b/>
          <w:bCs/>
          <w:color w:val="auto"/>
          <w:highlight w:val="none"/>
        </w:rPr>
        <w:t>商自行考虑，结算时不作调整，响应供应商自行考虑盈亏风险。</w:t>
      </w:r>
    </w:p>
    <w:p>
      <w:pPr>
        <w:bidi w:val="0"/>
        <w:rPr>
          <w:rFonts w:hint="eastAsia"/>
        </w:rPr>
      </w:pPr>
    </w:p>
    <w:p>
      <w:pPr>
        <w:ind w:firstLine="482" w:firstLineChars="200"/>
        <w:outlineLvl w:val="3"/>
        <w:rPr>
          <w:rFonts w:ascii="宋体" w:hAnsi="宋体" w:cs="宋体"/>
          <w:b/>
          <w:bCs/>
          <w:color w:val="auto"/>
          <w:sz w:val="24"/>
          <w:szCs w:val="24"/>
          <w:highlight w:val="none"/>
        </w:rPr>
      </w:pPr>
      <w:r>
        <w:rPr>
          <w:rFonts w:hint="eastAsia" w:ascii="宋体" w:hAnsi="宋体" w:cs="宋体"/>
          <w:b/>
          <w:bCs/>
          <w:color w:val="auto"/>
          <w:sz w:val="24"/>
          <w:szCs w:val="24"/>
          <w:highlight w:val="none"/>
        </w:rPr>
        <w:t>二、质量标准</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工程完工后，由采购人组织验收。待建场地内所有建筑（构筑）物及相关设备设施全部拆除完毕、所搭设的施工安全防护设施拆除完毕，并把建筑废弃物和建筑物内遗留物品清运、回收、处理后，无其他遗留问题方可认定为验收合格。</w:t>
      </w:r>
    </w:p>
    <w:p>
      <w:pPr>
        <w:rPr>
          <w:color w:val="auto"/>
          <w:highlight w:val="none"/>
        </w:rPr>
      </w:pPr>
    </w:p>
    <w:p>
      <w:pPr>
        <w:ind w:firstLine="482" w:firstLineChars="200"/>
        <w:outlineLvl w:val="3"/>
        <w:rPr>
          <w:rFonts w:ascii="宋体" w:hAnsi="宋体" w:cs="宋体"/>
          <w:b/>
          <w:bCs/>
          <w:color w:val="auto"/>
          <w:sz w:val="24"/>
          <w:szCs w:val="24"/>
          <w:highlight w:val="none"/>
        </w:rPr>
      </w:pPr>
      <w:r>
        <w:rPr>
          <w:rFonts w:hint="eastAsia" w:ascii="宋体" w:hAnsi="宋体" w:cs="宋体"/>
          <w:b/>
          <w:bCs/>
          <w:color w:val="auto"/>
          <w:sz w:val="24"/>
          <w:szCs w:val="24"/>
          <w:highlight w:val="none"/>
        </w:rPr>
        <w:t>三、工作要求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供应商拆除工作应按照国家、广东省和东莞市关于拆除工程文件要求执行，包括但不限于《建筑拆除工程安全技术规范》JGJ147-2016等，并做到：</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本工程垃圾清运过程必须限制施工时间，避免道路堵塞，并接受城管和交管部门的监管和指导；垃圾排弃场所必须符合环保部门相关规定，严禁乱排乱弃。</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供应商拆除作业前，在拆除工地主要出入口设置工程概况牌和拆除工程登记备案表，标明工程名称、拆除范围、拆除施工单位及负责人、受理投诉联系电话等内容，便于周边居民监督。</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扬尘降噪措施：供应商应在施工期间，按照相关政策要求，编制施工工地扬尘防治方案。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供应商应为施工作业人员购买保障施工作业安全的相关保险，并负责承担在拆迁工程中对施工人员及第三者所造成的人员伤亡和财产损失等安全事故责任。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供应商需负责施工作业所需施工用水、电的接驳及协调。</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拆迁施工时，供应商严格执行中午或夜间施工噪声许可制度。确需连续施工作业的，取得许可后方可施工。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供应商在拆除施工过程中需做好施工场地、施工机械和建筑废料的保卫、看管工作。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供应商负责拆迁工程的对外沟通（包括质安站、城管、交通等政府职能部门）。本工程工地扬尘污染防治、噪音许可、余泥渣土排放许可等由供应商负责向政府环保部门申报并承担相应的费用。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供应商需向拆除监理提供临时办公用房，相关费用在响应报价中综合考虑。</w:t>
      </w:r>
    </w:p>
    <w:p>
      <w:pPr>
        <w:rPr>
          <w:color w:val="auto"/>
          <w:highlight w:val="none"/>
        </w:rPr>
      </w:pPr>
    </w:p>
    <w:p>
      <w:pPr>
        <w:ind w:firstLine="482" w:firstLineChars="200"/>
        <w:outlineLvl w:val="3"/>
        <w:rPr>
          <w:rFonts w:ascii="宋体" w:hAnsi="宋体" w:cs="宋体"/>
          <w:b/>
          <w:bCs/>
          <w:color w:val="auto"/>
          <w:sz w:val="24"/>
          <w:szCs w:val="24"/>
          <w:highlight w:val="none"/>
        </w:rPr>
      </w:pPr>
      <w:r>
        <w:rPr>
          <w:rFonts w:hint="eastAsia" w:ascii="宋体" w:hAnsi="宋体" w:cs="宋体"/>
          <w:b/>
          <w:bCs/>
          <w:color w:val="auto"/>
          <w:sz w:val="24"/>
          <w:szCs w:val="24"/>
          <w:highlight w:val="none"/>
        </w:rPr>
        <w:t>四、风险</w:t>
      </w:r>
    </w:p>
    <w:p>
      <w:pPr>
        <w:ind w:firstLine="420" w:firstLineChars="200"/>
        <w:rPr>
          <w:rFonts w:ascii="宋体" w:hAnsi="宋体" w:cs="宋体"/>
          <w:color w:val="auto"/>
          <w:szCs w:val="24"/>
          <w:highlight w:val="none"/>
        </w:rPr>
      </w:pPr>
      <w:r>
        <w:rPr>
          <w:rFonts w:hint="eastAsia" w:ascii="宋体" w:hAnsi="宋体" w:cs="宋体"/>
          <w:color w:val="auto"/>
          <w:szCs w:val="21"/>
          <w:highlight w:val="none"/>
        </w:rPr>
        <w:t>1、</w:t>
      </w:r>
      <w:r>
        <w:rPr>
          <w:rFonts w:hint="eastAsia" w:ascii="宋体" w:hAnsi="宋体" w:cs="宋体"/>
          <w:color w:val="auto"/>
          <w:szCs w:val="24"/>
          <w:highlight w:val="none"/>
        </w:rPr>
        <w:t>采购人只提供现状施工现场条件，施工用水、用电、施工道路、施工场地等由供应商自行解决，所需费用在报价中综合考虑，结算时不予调整，亦不因此延长工期。</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2、供应商应充分考虑施工期间一切可能发生的不确定因素而导致工期延长、施工措施增加而造成施工费用的增加，包括施工过程中因赶工而发生的措施费由供应商承担。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安全生产、安全文明施工所需的设施费由成交供应商负责；施工期间对周围建筑物、构筑物、高压线（杆）、各类地下管线的保护费用；各类机械的进退场费、工程完工后的清场费用，各项材料、成品、半成品的运费由成交供应商负责；防台风、暴雨所需的费用，因下雨而发生的抽水台班费和排水费用，因施工抽取地下水及排水的费用。由于天气及外部因素引起的为保证施工合同内容完成而导致的一切费用的增加（包括防台风措施、防暴雨、排水费等费用）；防台风、防暴雨及施工期间保证河道沟渠正常排水和泄洪的措施费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4、本项目在施工中必须确保交通道路的清洁，每天安排专人进行道路清扫及洒水，由于施工造成的污染,成交供应商必须在当天及时处理；必要时，采购人可委托第三方负责清扫，费用由成交供应商承担。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5、交通维护费、交通运输费等费用由供应商自行考虑，费用含于响应报价中。</w:t>
      </w:r>
    </w:p>
    <w:p>
      <w:pPr>
        <w:rPr>
          <w:color w:val="auto"/>
          <w:highlight w:val="none"/>
        </w:rPr>
      </w:pPr>
    </w:p>
    <w:p>
      <w:pPr>
        <w:ind w:firstLine="482" w:firstLineChars="200"/>
        <w:outlineLvl w:val="3"/>
        <w:rPr>
          <w:rFonts w:ascii="宋体" w:hAnsi="宋体" w:cs="宋体"/>
          <w:b/>
          <w:bCs/>
          <w:color w:val="auto"/>
          <w:sz w:val="24"/>
          <w:szCs w:val="24"/>
          <w:highlight w:val="none"/>
        </w:rPr>
      </w:pPr>
      <w:r>
        <w:rPr>
          <w:rFonts w:hint="eastAsia" w:ascii="宋体" w:hAnsi="宋体" w:cs="宋体"/>
          <w:b/>
          <w:bCs/>
          <w:color w:val="auto"/>
          <w:sz w:val="24"/>
          <w:szCs w:val="24"/>
          <w:highlight w:val="none"/>
        </w:rPr>
        <w:t xml:space="preserve">五、实施要求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1、依照国家及地区现行相关规定，实施拆除工作。提供项目实施组织方案。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2、在进行拆除作业时，须完成指定范围内的建筑物拆除工作，同时须按要求清运建筑垃圾及土地平整。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3、对两违建筑的拆除不合格的必须按照采购人要求进行返工，返工费用由成交人负责，工期不予延长。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4、安全文明施工，确保作业范围周边的环境卫生不受影响，保证作业期间的管理工作符合各项管理要求（包括但不限于：环保、城管、交通、安监等）。拆除施工过程中不能影响周边建筑物，做好一切安全措施，杜绝一切安全事故，并对安全事故承担法律责任。提供安全文明施工措施。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5、拆除施工的机械设备在作业时，必须与相邻建筑物及高压架空线保持安全距离。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6、成交人应保证在拆除作业期间，各项操作规程和技术指标符合国家标准、规范的要求。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采购人向成交人提供拆除工程的有关资料与拆除工程涉及区域的地上、地下建筑及设施分布情况资料。成交人必须对被拆除建筑及其周围进行详细勘察，对拆除工作全面规划，编制拆除施工组设计和安全技术措施，方可施工。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8、成交人须在施工现场危险区域设置醒目的警示标志，采取警戒措施，在必要的时候和地方，应负责提供照明、警卫、护棚、警告标志等安全防护措施，并承担责任。在清拆过程中发生意外事故，造成第三方伤亡的，赔偿费用和法律责任由成交供应商承担。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9、成交人须制定相应的扬尘控制措施方案。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10、成交人应服从采购人和有关管理部门的管理和监督。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11、拆除工程须制定安全事故应急救援预案。拆除工程施工过程中，当发生重大险情或安全事故时，应及时启动应急预案排除险情、组织抢救、保护事故现场并向采购人报告。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12、成交人须根据相关法律法规、政府相关部门以及采购人下发的相关文件，进行整体部署，集中实施，统一管理、安全、有效的进行拆除工作。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13、成交供应商必须为拆除任务现场所有工作人员购买相关保险，负责整个拆除任务过程中的安全工作。该费用在结算时不另列项计算（已包括在成交供应商报价的各项单价中）。</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14、成交人需负责办理建（构）筑物拆除工程相关备案手续。</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15、</w:t>
      </w:r>
      <w:r>
        <w:rPr>
          <w:rFonts w:ascii="宋体" w:hAnsi="宋体" w:cs="宋体"/>
          <w:color w:val="auto"/>
          <w:szCs w:val="21"/>
          <w:highlight w:val="none"/>
        </w:rPr>
        <w:t>成交人需负责建筑物拆除后的所有费料清理。</w:t>
      </w:r>
    </w:p>
    <w:p>
      <w:pPr>
        <w:pStyle w:val="2"/>
        <w:rPr>
          <w:color w:val="auto"/>
          <w:highlight w:val="none"/>
          <w:lang w:val="en-US"/>
        </w:rPr>
      </w:pPr>
    </w:p>
    <w:p>
      <w:pPr>
        <w:ind w:firstLine="422" w:firstLineChars="200"/>
        <w:rPr>
          <w:color w:val="auto"/>
          <w:highlight w:val="none"/>
        </w:rPr>
      </w:pPr>
      <w:r>
        <w:rPr>
          <w:rFonts w:hint="eastAsia" w:ascii="宋体" w:hAnsi="宋体" w:cs="Times New Roman"/>
          <w:b/>
          <w:bCs/>
          <w:color w:val="auto"/>
          <w:szCs w:val="21"/>
          <w:highlight w:val="none"/>
        </w:rPr>
        <w:t>注：不满足磋商文件中 “★”条款的响应文件将作无效响应文件处理。</w:t>
      </w:r>
      <w:bookmarkEnd w:id="196"/>
      <w:bookmarkEnd w:id="197"/>
      <w:bookmarkEnd w:id="198"/>
      <w:bookmarkEnd w:id="199"/>
      <w:bookmarkStart w:id="200" w:name="_Toc12485"/>
      <w:bookmarkStart w:id="201" w:name="_Toc21448"/>
    </w:p>
    <w:p>
      <w:pPr>
        <w:rPr>
          <w:color w:val="auto"/>
          <w:sz w:val="28"/>
          <w:szCs w:val="28"/>
          <w:highlight w:val="none"/>
        </w:rPr>
      </w:pPr>
      <w:bookmarkStart w:id="202" w:name="_Toc17329"/>
      <w:r>
        <w:rPr>
          <w:rFonts w:hint="eastAsia"/>
          <w:color w:val="auto"/>
          <w:sz w:val="28"/>
          <w:szCs w:val="28"/>
          <w:highlight w:val="none"/>
        </w:rPr>
        <w:br w:type="page"/>
      </w:r>
    </w:p>
    <w:p>
      <w:pPr>
        <w:pStyle w:val="5"/>
        <w:spacing w:before="0" w:after="0" w:line="240" w:lineRule="auto"/>
        <w:rPr>
          <w:color w:val="auto"/>
          <w:sz w:val="28"/>
          <w:szCs w:val="28"/>
          <w:highlight w:val="none"/>
        </w:rPr>
      </w:pPr>
      <w:r>
        <w:rPr>
          <w:rFonts w:hint="eastAsia"/>
          <w:color w:val="auto"/>
          <w:sz w:val="28"/>
          <w:szCs w:val="28"/>
          <w:highlight w:val="none"/>
        </w:rPr>
        <w:t>第六部分 合同格式（仅供参考）</w:t>
      </w:r>
      <w:bookmarkEnd w:id="200"/>
      <w:bookmarkEnd w:id="201"/>
      <w:bookmarkEnd w:id="202"/>
      <w:bookmarkStart w:id="203" w:name="_Toc21155"/>
      <w:bookmarkStart w:id="204" w:name="_Toc1534"/>
      <w:bookmarkStart w:id="205" w:name="_Toc13430"/>
    </w:p>
    <w:p>
      <w:pPr>
        <w:pStyle w:val="6"/>
        <w:spacing w:line="240" w:lineRule="auto"/>
        <w:jc w:val="center"/>
        <w:rPr>
          <w:rFonts w:ascii="宋体" w:hAnsi="宋体" w:cs="宋体"/>
          <w:color w:val="auto"/>
          <w:highlight w:val="none"/>
        </w:rPr>
      </w:pPr>
      <w:bookmarkStart w:id="206" w:name="_Toc19575"/>
      <w:bookmarkStart w:id="207" w:name="_Toc16730"/>
      <w:bookmarkStart w:id="208" w:name="_Toc29470"/>
      <w:r>
        <w:rPr>
          <w:rFonts w:hint="eastAsia" w:ascii="宋体" w:hAnsi="宋体" w:cs="宋体"/>
          <w:color w:val="auto"/>
          <w:highlight w:val="none"/>
        </w:rPr>
        <w:t>合同格式</w:t>
      </w:r>
      <w:bookmarkEnd w:id="203"/>
      <w:bookmarkEnd w:id="204"/>
      <w:bookmarkEnd w:id="205"/>
      <w:bookmarkEnd w:id="206"/>
      <w:bookmarkEnd w:id="207"/>
      <w:bookmarkEnd w:id="208"/>
    </w:p>
    <w:p>
      <w:pPr>
        <w:spacing w:after="200" w:line="420" w:lineRule="atLeast"/>
        <w:ind w:right="560"/>
        <w:rPr>
          <w:rFonts w:ascii="宋体" w:hAnsi="宋体" w:cs="宋体"/>
          <w:color w:val="auto"/>
          <w:szCs w:val="21"/>
          <w:highlight w:val="none"/>
        </w:rPr>
      </w:pPr>
      <w:r>
        <w:rPr>
          <w:rFonts w:hint="eastAsia" w:ascii="宋体" w:hAnsi="宋体" w:cs="宋体"/>
          <w:color w:val="auto"/>
          <w:szCs w:val="21"/>
          <w:highlight w:val="none"/>
        </w:rPr>
        <w:t>合同编号：</w:t>
      </w:r>
    </w:p>
    <w:p>
      <w:pPr>
        <w:spacing w:after="200" w:line="420" w:lineRule="atLeast"/>
        <w:rPr>
          <w:rFonts w:ascii="宋体" w:hAnsi="宋体" w:cs="宋体"/>
          <w:color w:val="auto"/>
          <w:szCs w:val="21"/>
          <w:highlight w:val="none"/>
        </w:rPr>
      </w:pPr>
      <w:r>
        <w:rPr>
          <w:rFonts w:hint="eastAsia" w:ascii="宋体" w:hAnsi="宋体" w:cs="宋体"/>
          <w:color w:val="auto"/>
          <w:szCs w:val="21"/>
          <w:highlight w:val="none"/>
        </w:rPr>
        <w:t>甲方：</w:t>
      </w:r>
    </w:p>
    <w:p>
      <w:pPr>
        <w:spacing w:after="200" w:line="420" w:lineRule="atLeast"/>
        <w:rPr>
          <w:rFonts w:ascii="宋体" w:hAnsi="宋体" w:cs="宋体"/>
          <w:color w:val="auto"/>
          <w:szCs w:val="21"/>
          <w:highlight w:val="none"/>
        </w:rPr>
      </w:pPr>
      <w:r>
        <w:rPr>
          <w:rFonts w:hint="eastAsia" w:ascii="宋体" w:hAnsi="宋体" w:cs="宋体"/>
          <w:color w:val="auto"/>
          <w:szCs w:val="21"/>
          <w:highlight w:val="none"/>
        </w:rPr>
        <w:t xml:space="preserve">乙方：“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”为成交单位</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受甲方委托，</w:t>
      </w:r>
      <w:r>
        <w:rPr>
          <w:rFonts w:hint="eastAsia" w:ascii="宋体" w:hAnsi="宋体" w:cs="宋体"/>
          <w:color w:val="auto"/>
          <w:szCs w:val="21"/>
          <w:highlight w:val="none"/>
          <w:u w:val="single"/>
        </w:rPr>
        <w:t xml:space="preserve">           (采购代理机构)</w:t>
      </w:r>
      <w:r>
        <w:rPr>
          <w:rFonts w:hint="eastAsia" w:ascii="宋体" w:hAnsi="宋体" w:cs="宋体"/>
          <w:color w:val="auto"/>
          <w:szCs w:val="21"/>
          <w:highlight w:val="none"/>
        </w:rPr>
        <w:t>组织对</w:t>
      </w:r>
      <w:r>
        <w:rPr>
          <w:rFonts w:hint="eastAsia" w:ascii="宋体" w:hAnsi="宋体" w:cs="宋体"/>
          <w:color w:val="auto"/>
          <w:szCs w:val="21"/>
          <w:highlight w:val="none"/>
          <w:u w:val="single"/>
        </w:rPr>
        <w:t xml:space="preserve">         （项目名称）</w:t>
      </w:r>
      <w:r>
        <w:rPr>
          <w:rFonts w:hint="eastAsia" w:ascii="宋体" w:hAnsi="宋体" w:cs="宋体"/>
          <w:color w:val="auto"/>
          <w:szCs w:val="21"/>
          <w:highlight w:val="none"/>
        </w:rPr>
        <w:t>采购项目（采购编号为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）进行采购，于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日通过磋商，经磋商小组评定乙方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为成交单位。为了保护甲、乙双方合法权益，根据《中华人民共和国政府采购法》及其实施条例、《中华人民共和国民法典》，在平等自愿的基础上，按照下面的条款和条件，签署本合同。</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第一条 合同项目</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1、项目名称：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2、采购编号：                   。</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第二条 合同组成</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1、合同文件组成内容包括：本合同书 、成交通知书、响应文件（含澄清内容）、磋商文件（含磋商文件澄清通知）等。</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第三条 服务内容、标准及要求</w:t>
      </w:r>
    </w:p>
    <w:p>
      <w:pPr>
        <w:rPr>
          <w:rFonts w:ascii="宋体" w:hAnsi="宋体" w:cs="宋体"/>
          <w:color w:val="auto"/>
          <w:szCs w:val="21"/>
          <w:highlight w:val="none"/>
          <w:u w:val="single"/>
          <w:shd w:val="clear" w:color="auto" w:fill="FFFFFF"/>
        </w:rPr>
      </w:pPr>
      <w:r>
        <w:rPr>
          <w:rFonts w:hint="eastAsia" w:ascii="宋体" w:hAnsi="宋体" w:cs="宋体"/>
          <w:color w:val="auto"/>
          <w:szCs w:val="21"/>
          <w:highlight w:val="none"/>
          <w:shd w:val="clear" w:color="auto" w:fill="FFFFFF"/>
        </w:rPr>
        <w:t>1、采购内容：</w:t>
      </w:r>
      <w:r>
        <w:rPr>
          <w:rFonts w:hint="eastAsia" w:ascii="宋体" w:hAnsi="宋体" w:cs="宋体"/>
          <w:color w:val="auto"/>
          <w:szCs w:val="21"/>
          <w:highlight w:val="none"/>
          <w:u w:val="single"/>
          <w:shd w:val="clear" w:color="auto" w:fill="FFFFFF"/>
        </w:rPr>
        <w:t xml:space="preserve">                                                              。</w:t>
      </w:r>
    </w:p>
    <w:p>
      <w:pP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2、采购标准：</w:t>
      </w:r>
      <w:r>
        <w:rPr>
          <w:rFonts w:hint="eastAsia" w:ascii="宋体" w:hAnsi="宋体" w:cs="宋体"/>
          <w:color w:val="auto"/>
          <w:szCs w:val="21"/>
          <w:highlight w:val="none"/>
          <w:u w:val="single"/>
          <w:shd w:val="clear" w:color="auto" w:fill="FFFFFF"/>
        </w:rPr>
        <w:t xml:space="preserve">                                                              。</w:t>
      </w:r>
    </w:p>
    <w:p>
      <w:pP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3、采购要求：</w:t>
      </w:r>
      <w:r>
        <w:rPr>
          <w:rFonts w:hint="eastAsia" w:ascii="宋体" w:hAnsi="宋体" w:cs="宋体"/>
          <w:color w:val="auto"/>
          <w:szCs w:val="21"/>
          <w:highlight w:val="none"/>
          <w:u w:val="single"/>
          <w:shd w:val="clear" w:color="auto" w:fill="FFFFFF"/>
        </w:rPr>
        <w:t xml:space="preserve">                                                              。</w:t>
      </w:r>
    </w:p>
    <w:p>
      <w:pPr>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4、具体采购内容采购标准及要求以磋商文件用户需求书及乙方响应文件承诺条款及方案为准。</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第四条 价格</w:t>
      </w:r>
    </w:p>
    <w:p>
      <w:pPr>
        <w:ind w:firstLine="420" w:firstLineChars="200"/>
        <w:rPr>
          <w:rFonts w:ascii="宋体" w:hAnsi="宋体" w:cs="宋体"/>
          <w:color w:val="auto"/>
          <w:szCs w:val="21"/>
          <w:highlight w:val="none"/>
          <w:shd w:val="clear" w:color="auto" w:fill="FFFFFF"/>
        </w:rPr>
      </w:pPr>
      <w:r>
        <w:rPr>
          <w:rFonts w:hint="eastAsia" w:ascii="宋体" w:hAnsi="宋体" w:cs="宋体"/>
          <w:color w:val="auto"/>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pPr>
        <w:ind w:firstLine="399" w:firstLineChars="190"/>
        <w:rPr>
          <w:rFonts w:ascii="宋体" w:hAnsi="宋体" w:cs="宋体"/>
          <w:color w:val="auto"/>
          <w:szCs w:val="21"/>
          <w:highlight w:val="none"/>
        </w:rPr>
      </w:pPr>
      <w:r>
        <w:rPr>
          <w:rFonts w:hint="eastAsia" w:ascii="宋体" w:hAnsi="宋体" w:cs="宋体"/>
          <w:color w:val="auto"/>
          <w:szCs w:val="21"/>
          <w:highlight w:val="none"/>
        </w:rPr>
        <w:t xml:space="preserve">2、合同总价：（人民币）大写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ind w:firstLine="399" w:firstLineChars="190"/>
        <w:rPr>
          <w:rFonts w:ascii="宋体" w:hAnsi="宋体" w:cs="宋体"/>
          <w:color w:val="auto"/>
          <w:szCs w:val="21"/>
          <w:highlight w:val="none"/>
        </w:rPr>
      </w:pPr>
      <w:r>
        <w:rPr>
          <w:rFonts w:hint="eastAsia" w:ascii="宋体" w:hAnsi="宋体" w:cs="宋体"/>
          <w:color w:val="auto"/>
          <w:szCs w:val="21"/>
          <w:highlight w:val="none"/>
        </w:rPr>
        <w:t>3、本合同价为固定不变价。</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第五条 服务期限及地点</w:t>
      </w:r>
    </w:p>
    <w:p>
      <w:pPr>
        <w:ind w:firstLine="495" w:firstLineChars="236"/>
        <w:rPr>
          <w:rFonts w:ascii="宋体" w:hAnsi="宋体" w:cs="宋体"/>
          <w:color w:val="auto"/>
          <w:szCs w:val="21"/>
          <w:highlight w:val="none"/>
        </w:rPr>
      </w:pPr>
      <w:r>
        <w:rPr>
          <w:rFonts w:hint="eastAsia" w:ascii="宋体" w:hAnsi="宋体" w:cs="宋体"/>
          <w:color w:val="auto"/>
          <w:szCs w:val="21"/>
          <w:highlight w:val="none"/>
        </w:rPr>
        <w:t>1、服务期：  年，合同生效之日自       年  月  日至     年  月  日止。</w:t>
      </w:r>
    </w:p>
    <w:p>
      <w:pPr>
        <w:ind w:firstLine="495" w:firstLineChars="236"/>
        <w:rPr>
          <w:rFonts w:ascii="宋体" w:hAnsi="宋体" w:cs="宋体"/>
          <w:color w:val="auto"/>
          <w:szCs w:val="21"/>
          <w:highlight w:val="none"/>
        </w:rPr>
      </w:pPr>
      <w:r>
        <w:rPr>
          <w:rFonts w:hint="eastAsia" w:ascii="宋体" w:hAnsi="宋体" w:cs="宋体"/>
          <w:color w:val="auto"/>
          <w:szCs w:val="21"/>
          <w:highlight w:val="none"/>
        </w:rPr>
        <w:t>2、服务地点：              或甲方指定地点。</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第六条 付款方式</w:t>
      </w:r>
    </w:p>
    <w:p>
      <w:pPr>
        <w:pStyle w:val="21"/>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第七条 竣工与验收</w:t>
      </w:r>
    </w:p>
    <w:p>
      <w:pPr>
        <w:pStyle w:val="21"/>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1、验收应在甲乙双方共同参加下进行，依据采购文件及本合同的有关规定制定的方案进行验收，并按国家有关规定、规范进行。</w:t>
      </w:r>
    </w:p>
    <w:p>
      <w:pPr>
        <w:pStyle w:val="21"/>
        <w:ind w:firstLine="480"/>
        <w:rPr>
          <w:rFonts w:ascii="宋体" w:hAnsi="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cs="Times New Roman"/>
          <w:color w:val="auto"/>
          <w:sz w:val="21"/>
          <w:szCs w:val="21"/>
          <w:highlight w:val="none"/>
        </w:rPr>
        <w:t>与验收。</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3、对验收不合格的部分，乙方应在甲方规定时间内及时整改完善直至合格。</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4、乙方保证向甲方提供的所有设计文件均自主设计的，不存在知识产权方面的纠纷。</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5、乙方的设计文件应达到一定的高度、深度和广度，应严格按照采购文件的内容、规模和要求进行设计。设计中必须贯彻 “完整性、统一性、先进性”和“经济、高效、安全”的基本原则，同时应充分考虑智慧道路路网的整体智慧需求及前沿技术的应用。</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6、设计中引用、套用国家和部颁相关专业的设计规范、标准及新的相关专业的技术标准和要求时，应准确引用和套用。</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7、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8、乙方的设计文件应对施工中的安全注意事项进行说明。</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9、乙方的设计文件的编印应符合规范化、标准化的要求，包括：设计说明书页张篇幅及各号图纸大小篇幅应符合国家标准规定尺寸；设计文件册的封面必须能表示出工程设计项目的全名、分册编号及工程名称。设计文件的分册由甲乙双方协商后决定。</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10、乙方设计文件的编制和装订应利于甲方归档保存及保养。</w:t>
      </w:r>
    </w:p>
    <w:p>
      <w:pPr>
        <w:pStyle w:val="21"/>
        <w:ind w:firstLine="480"/>
        <w:rPr>
          <w:rFonts w:ascii="宋体" w:hAnsi="宋体" w:cs="Times New Roman"/>
          <w:color w:val="auto"/>
          <w:sz w:val="21"/>
          <w:szCs w:val="21"/>
          <w:highlight w:val="none"/>
        </w:rPr>
      </w:pPr>
      <w:r>
        <w:rPr>
          <w:rFonts w:hint="eastAsia" w:ascii="宋体" w:hAnsi="宋体" w:cs="Times New Roman"/>
          <w:color w:val="auto"/>
          <w:sz w:val="21"/>
          <w:szCs w:val="21"/>
          <w:highlight w:val="none"/>
        </w:rPr>
        <w:t>11、接到设计任务后，按合同要求工期完成初步设计及施工图设计,并通过甲方审核确认。</w:t>
      </w:r>
    </w:p>
    <w:p>
      <w:pPr>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第八条 税和关税</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1、中国政府根据现行税法对甲方征收的与本合同有关的一切税费均应由甲方承担。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2、中国政府根据现行税法规定对乙方或其雇员征收的与本合同有关的一切税费应由乙方承担。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3、在中国境外发生的与本合同执行有关的一切税费均应由乙方承担。</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第九条 其它约定</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1、严禁转包，未经甲方书面同意不得分包。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2、乙方全部工作人员，须符合东莞市政府用工标准要求。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3、乙方服务人员进行服务期间的过失或故意行为，造成甲方经济损失的，由乙方负责赔偿。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第十条 违约责任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1、合同双方任何一方不履行合同条款或不按合同约定履行条款的其它情况，均属违约，由违约方承担违约责任，赔偿因其违约造成的损失，并支付合同价款总额   %的违约金。</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2、由于乙方的原因，导致双方签订的合同终止，乙方因此而遭受的损失，将由乙方独立承担，甲方对此不负任何责任，也不作任何赔偿。</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4、本合同按照中华人民共和国的法律进行解释。</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第十二条 合同生效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2、本合同一式    份，其中甲方    份、乙方    份，采购代理机构 壹 份（须在合同签订之日起7个工作日内递交）。</w:t>
      </w:r>
    </w:p>
    <w:p>
      <w:pPr>
        <w:ind w:firstLine="422" w:firstLineChars="200"/>
        <w:rPr>
          <w:rFonts w:ascii="宋体" w:hAnsi="宋体" w:cs="宋体"/>
          <w:b/>
          <w:color w:val="auto"/>
          <w:szCs w:val="21"/>
          <w:highlight w:val="none"/>
        </w:rPr>
      </w:pP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第十三条 其它</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1、本合同未尽事宜，双方可签订补充合同，补充合同与所有附件均为合同的有效组成部分，与本合同具有同等法律效力。</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本合同合计   页A4纸张，缺页之合同为无效合同。</w:t>
      </w:r>
    </w:p>
    <w:p>
      <w:pPr>
        <w:pStyle w:val="2"/>
        <w:ind w:firstLine="420" w:firstLineChars="200"/>
        <w:rPr>
          <w:color w:val="auto"/>
          <w:sz w:val="21"/>
          <w:szCs w:val="21"/>
          <w:highlight w:val="none"/>
        </w:rPr>
      </w:pPr>
      <w:r>
        <w:rPr>
          <w:rFonts w:hint="eastAsia"/>
          <w:color w:val="auto"/>
          <w:sz w:val="21"/>
          <w:szCs w:val="21"/>
          <w:highlight w:val="none"/>
        </w:rPr>
        <w:t>以下无正文</w:t>
      </w:r>
    </w:p>
    <w:p>
      <w:pPr>
        <w:rPr>
          <w:rFonts w:ascii="宋体" w:hAnsi="宋体" w:cs="宋体"/>
          <w:color w:val="auto"/>
          <w:szCs w:val="21"/>
          <w:highlight w:val="none"/>
        </w:rPr>
      </w:pPr>
      <w:r>
        <w:rPr>
          <w:rFonts w:hint="eastAsia" w:ascii="宋体" w:hAnsi="宋体" w:cs="宋体"/>
          <w:color w:val="auto"/>
          <w:szCs w:val="21"/>
          <w:highlight w:val="none"/>
        </w:rPr>
        <w:t>甲方（盖章）：                      乙方（盖章）：</w:t>
      </w:r>
    </w:p>
    <w:p>
      <w:pPr>
        <w:rPr>
          <w:rFonts w:ascii="宋体" w:hAnsi="宋体" w:cs="宋体"/>
          <w:color w:val="auto"/>
          <w:szCs w:val="21"/>
          <w:highlight w:val="none"/>
        </w:rPr>
      </w:pPr>
      <w:r>
        <w:rPr>
          <w:rFonts w:hint="eastAsia" w:ascii="宋体" w:hAnsi="宋体" w:cs="宋体"/>
          <w:color w:val="auto"/>
          <w:szCs w:val="21"/>
          <w:highlight w:val="none"/>
        </w:rPr>
        <w:t>法定代表(签字)：                   法定代表(签字)：</w:t>
      </w:r>
    </w:p>
    <w:p>
      <w:pPr>
        <w:rPr>
          <w:rFonts w:ascii="宋体" w:hAnsi="宋体" w:cs="宋体"/>
          <w:color w:val="auto"/>
          <w:szCs w:val="21"/>
          <w:highlight w:val="none"/>
        </w:rPr>
      </w:pPr>
      <w:r>
        <w:rPr>
          <w:rFonts w:hint="eastAsia" w:ascii="宋体" w:hAnsi="宋体" w:cs="宋体"/>
          <w:color w:val="auto"/>
          <w:szCs w:val="21"/>
          <w:highlight w:val="none"/>
        </w:rPr>
        <w:t xml:space="preserve">地址：                             地址： </w:t>
      </w:r>
    </w:p>
    <w:p>
      <w:pPr>
        <w:rPr>
          <w:rFonts w:ascii="宋体" w:hAnsi="宋体" w:cs="宋体"/>
          <w:color w:val="auto"/>
          <w:szCs w:val="21"/>
          <w:highlight w:val="none"/>
        </w:rPr>
      </w:pPr>
      <w:r>
        <w:rPr>
          <w:rFonts w:hint="eastAsia" w:ascii="宋体" w:hAnsi="宋体" w:cs="宋体"/>
          <w:color w:val="auto"/>
          <w:szCs w:val="21"/>
          <w:highlight w:val="none"/>
        </w:rPr>
        <w:t>电话：                             电话：</w:t>
      </w:r>
    </w:p>
    <w:p>
      <w:pPr>
        <w:rPr>
          <w:rFonts w:ascii="宋体" w:hAnsi="宋体" w:cs="宋体"/>
          <w:color w:val="auto"/>
          <w:szCs w:val="21"/>
          <w:highlight w:val="none"/>
        </w:rPr>
      </w:pPr>
      <w:r>
        <w:rPr>
          <w:rFonts w:hint="eastAsia" w:ascii="宋体" w:hAnsi="宋体" w:cs="宋体"/>
          <w:color w:val="auto"/>
          <w:szCs w:val="21"/>
          <w:highlight w:val="none"/>
        </w:rPr>
        <w:t>传真：</w:t>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 xml:space="preserve"> 传真：</w:t>
      </w:r>
    </w:p>
    <w:p>
      <w:pPr>
        <w:rPr>
          <w:rFonts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rPr>
        <w:tab/>
      </w:r>
      <w:r>
        <w:rPr>
          <w:rFonts w:hint="eastAsia" w:ascii="宋体" w:hAnsi="宋体" w:cs="宋体"/>
          <w:color w:val="auto"/>
          <w:szCs w:val="21"/>
          <w:highlight w:val="none"/>
        </w:rPr>
        <w:t xml:space="preserve">                     开户银行：</w:t>
      </w:r>
    </w:p>
    <w:p>
      <w:pPr>
        <w:rPr>
          <w:rFonts w:ascii="宋体" w:hAnsi="宋体" w:cs="宋体"/>
          <w:color w:val="auto"/>
          <w:szCs w:val="21"/>
          <w:highlight w:val="none"/>
        </w:rPr>
      </w:pPr>
      <w:r>
        <w:rPr>
          <w:rFonts w:hint="eastAsia" w:ascii="宋体" w:hAnsi="宋体" w:cs="宋体"/>
          <w:color w:val="auto"/>
          <w:szCs w:val="21"/>
          <w:highlight w:val="none"/>
        </w:rPr>
        <w:t>账号：                             账号：</w:t>
      </w:r>
    </w:p>
    <w:p>
      <w:pPr>
        <w:rPr>
          <w:rFonts w:ascii="宋体" w:hAnsi="宋体" w:cs="宋体"/>
          <w:color w:val="auto"/>
          <w:szCs w:val="21"/>
          <w:highlight w:val="none"/>
        </w:rPr>
      </w:pPr>
      <w:r>
        <w:rPr>
          <w:rFonts w:hint="eastAsia" w:ascii="宋体" w:hAnsi="宋体" w:cs="宋体"/>
          <w:color w:val="auto"/>
          <w:szCs w:val="21"/>
          <w:highlight w:val="none"/>
        </w:rPr>
        <w:t>签约时间：</w:t>
      </w:r>
    </w:p>
    <w:p>
      <w:pPr>
        <w:rPr>
          <w:rFonts w:ascii="宋体" w:hAnsi="宋体" w:cs="宋体"/>
          <w:color w:val="auto"/>
          <w:szCs w:val="21"/>
          <w:highlight w:val="none"/>
        </w:rPr>
      </w:pPr>
      <w:r>
        <w:rPr>
          <w:rFonts w:hint="eastAsia" w:ascii="宋体" w:hAnsi="宋体" w:cs="宋体"/>
          <w:color w:val="auto"/>
          <w:szCs w:val="21"/>
          <w:highlight w:val="none"/>
        </w:rPr>
        <w:t>签约地点：</w:t>
      </w:r>
    </w:p>
    <w:p>
      <w:pPr>
        <w:rPr>
          <w:rFonts w:ascii="宋体" w:hAnsi="宋体"/>
          <w:b/>
          <w:color w:val="auto"/>
          <w:szCs w:val="21"/>
          <w:highlight w:val="none"/>
        </w:rPr>
      </w:pPr>
    </w:p>
    <w:p>
      <w:pPr>
        <w:rPr>
          <w:rFonts w:ascii="宋体" w:hAnsi="宋体"/>
          <w:b/>
          <w:color w:val="auto"/>
          <w:szCs w:val="21"/>
          <w:highlight w:val="none"/>
        </w:rPr>
      </w:pPr>
      <w:r>
        <w:rPr>
          <w:rFonts w:hint="eastAsia" w:ascii="宋体" w:hAnsi="宋体"/>
          <w:b/>
          <w:color w:val="auto"/>
          <w:szCs w:val="21"/>
          <w:highlight w:val="none"/>
        </w:rPr>
        <w:t>此仅为合同书样本，成交供应商需根据实际情况和甲方签订相应的合同！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5"/>
        <w:spacing w:before="0" w:after="0" w:line="240" w:lineRule="auto"/>
        <w:rPr>
          <w:color w:val="auto"/>
          <w:sz w:val="28"/>
          <w:szCs w:val="28"/>
          <w:highlight w:val="none"/>
        </w:rPr>
      </w:pPr>
      <w:bookmarkStart w:id="209" w:name="_Toc23749"/>
      <w:bookmarkStart w:id="210" w:name="_Toc15158"/>
      <w:bookmarkStart w:id="211" w:name="_Toc31587"/>
      <w:r>
        <w:rPr>
          <w:rFonts w:hint="eastAsia"/>
          <w:color w:val="auto"/>
          <w:sz w:val="28"/>
          <w:szCs w:val="28"/>
          <w:highlight w:val="none"/>
        </w:rPr>
        <w:t>第七部分  响应文件格式</w:t>
      </w:r>
      <w:bookmarkEnd w:id="209"/>
      <w:bookmarkEnd w:id="210"/>
      <w:bookmarkEnd w:id="211"/>
    </w:p>
    <w:p>
      <w:pPr>
        <w:rPr>
          <w:color w:val="auto"/>
          <w:highlight w:val="none"/>
        </w:rPr>
      </w:pPr>
    </w:p>
    <w:p>
      <w:pPr>
        <w:pStyle w:val="6"/>
        <w:rPr>
          <w:color w:val="auto"/>
          <w:highlight w:val="none"/>
        </w:rPr>
      </w:pPr>
      <w:bookmarkStart w:id="212" w:name="_Toc6790"/>
      <w:bookmarkStart w:id="213" w:name="_Toc2434"/>
      <w:bookmarkStart w:id="214" w:name="_Toc26830"/>
      <w:r>
        <w:rPr>
          <w:rFonts w:hint="eastAsia"/>
          <w:color w:val="auto"/>
          <w:highlight w:val="none"/>
        </w:rPr>
        <w:t>响应文件目录</w:t>
      </w:r>
      <w:bookmarkEnd w:id="212"/>
      <w:bookmarkEnd w:id="213"/>
      <w:bookmarkEnd w:id="214"/>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6"/>
        <w:rPr>
          <w:color w:val="auto"/>
          <w:highlight w:val="none"/>
        </w:rPr>
      </w:pPr>
      <w:bookmarkStart w:id="215" w:name="_Toc25502"/>
      <w:bookmarkStart w:id="216" w:name="_Toc28116"/>
      <w:bookmarkStart w:id="217" w:name="_Toc18893"/>
      <w:r>
        <w:rPr>
          <w:rFonts w:hint="eastAsia"/>
          <w:color w:val="auto"/>
          <w:highlight w:val="none"/>
        </w:rPr>
        <w:t>评分标准索引表</w:t>
      </w:r>
      <w:bookmarkEnd w:id="215"/>
      <w:bookmarkEnd w:id="216"/>
      <w:bookmarkEnd w:id="217"/>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29"/>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7"/>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29"/>
              <w:jc w:val="both"/>
              <w:rPr>
                <w:rFonts w:ascii="宋体" w:hAnsi="宋体" w:cs="宋体"/>
                <w:color w:val="auto"/>
                <w:szCs w:val="21"/>
                <w:highlight w:val="none"/>
              </w:rPr>
            </w:pPr>
          </w:p>
        </w:tc>
        <w:tc>
          <w:tcPr>
            <w:tcW w:w="5028" w:type="dxa"/>
            <w:vAlign w:val="center"/>
          </w:tcPr>
          <w:p>
            <w:pPr>
              <w:pStyle w:val="29"/>
              <w:jc w:val="both"/>
              <w:rPr>
                <w:rFonts w:ascii="宋体" w:hAnsi="宋体" w:cs="宋体"/>
                <w:color w:val="auto"/>
                <w:szCs w:val="21"/>
                <w:highlight w:val="none"/>
              </w:rPr>
            </w:pPr>
          </w:p>
        </w:tc>
        <w:tc>
          <w:tcPr>
            <w:tcW w:w="2126" w:type="dxa"/>
            <w:vAlign w:val="center"/>
          </w:tcPr>
          <w:p>
            <w:pPr>
              <w:pStyle w:val="17"/>
              <w:rPr>
                <w:rFonts w:ascii="宋体" w:hAnsi="宋体" w:cs="宋体"/>
                <w:color w:val="auto"/>
                <w:szCs w:val="21"/>
                <w:highlight w:val="none"/>
              </w:rPr>
            </w:pPr>
            <w:r>
              <w:rPr>
                <w:rFonts w:hint="eastAsia" w:ascii="宋体" w:hAnsi="宋体" w:cs="宋体"/>
                <w:color w:val="auto"/>
                <w:szCs w:val="21"/>
                <w:highlight w:val="none"/>
              </w:rPr>
              <w:t>响应文件第（）页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20"/>
        </w:numPr>
        <w:rPr>
          <w:rFonts w:ascii="宋体" w:hAnsi="宋体"/>
          <w:color w:val="auto"/>
          <w:szCs w:val="21"/>
          <w:highlight w:val="none"/>
        </w:rPr>
      </w:pPr>
      <w:r>
        <w:rPr>
          <w:rFonts w:hint="eastAsia" w:ascii="宋体" w:hAnsi="宋体"/>
          <w:color w:val="auto"/>
          <w:szCs w:val="21"/>
          <w:highlight w:val="none"/>
        </w:rPr>
        <w:t>该表格为参考格式，供应商可按实际情况自行制订评分标准索引表。</w:t>
      </w:r>
    </w:p>
    <w:p>
      <w:pPr>
        <w:pStyle w:val="2"/>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6"/>
        <w:jc w:val="center"/>
        <w:rPr>
          <w:color w:val="auto"/>
          <w:highlight w:val="none"/>
        </w:rPr>
      </w:pPr>
      <w:bookmarkStart w:id="218" w:name="_Toc19057"/>
      <w:bookmarkStart w:id="219" w:name="_Toc22080"/>
      <w:bookmarkStart w:id="220" w:name="_Toc30640"/>
      <w:r>
        <w:rPr>
          <w:rFonts w:hint="eastAsia"/>
          <w:color w:val="auto"/>
          <w:highlight w:val="none"/>
        </w:rPr>
        <w:t>第一章价格文件</w:t>
      </w:r>
      <w:bookmarkEnd w:id="218"/>
      <w:bookmarkEnd w:id="219"/>
    </w:p>
    <w:p>
      <w:pPr>
        <w:pStyle w:val="6"/>
        <w:jc w:val="center"/>
        <w:rPr>
          <w:color w:val="auto"/>
          <w:highlight w:val="none"/>
        </w:rPr>
      </w:pPr>
      <w:bookmarkStart w:id="221" w:name="_Toc29262"/>
      <w:bookmarkStart w:id="222" w:name="_Toc4168"/>
      <w:r>
        <w:rPr>
          <w:rFonts w:hint="eastAsia"/>
          <w:color w:val="auto"/>
          <w:highlight w:val="none"/>
        </w:rPr>
        <w:t>一、报价一览表</w:t>
      </w:r>
      <w:bookmarkEnd w:id="221"/>
      <w:bookmarkEnd w:id="222"/>
    </w:p>
    <w:p>
      <w:pPr>
        <w:rPr>
          <w:color w:val="auto"/>
          <w:highlight w:val="none"/>
        </w:rPr>
      </w:pPr>
    </w:p>
    <w:tbl>
      <w:tblPr>
        <w:tblStyle w:val="22"/>
        <w:tblW w:w="506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14"/>
        <w:gridCol w:w="5182"/>
        <w:gridCol w:w="8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515"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03"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环莞快速路三期工程东段横沥段建筑物拆除工程</w:t>
            </w:r>
          </w:p>
        </w:tc>
        <w:tc>
          <w:tcPr>
            <w:tcW w:w="481"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1515"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color w:val="auto"/>
                <w:highlight w:val="none"/>
              </w:rPr>
            </w:pPr>
            <w:r>
              <w:rPr>
                <w:rFonts w:hint="eastAsia" w:ascii="宋体" w:hAnsi="宋体"/>
                <w:color w:val="auto"/>
                <w:szCs w:val="21"/>
                <w:highlight w:val="none"/>
              </w:rPr>
              <w:t>拆除</w:t>
            </w:r>
            <w:r>
              <w:rPr>
                <w:rFonts w:hint="eastAsia" w:ascii="宋体" w:hAnsi="宋体"/>
                <w:color w:val="auto"/>
                <w:szCs w:val="21"/>
                <w:highlight w:val="none"/>
                <w:lang w:val="en-US" w:eastAsia="zh-CN"/>
              </w:rPr>
              <w:t>费用</w:t>
            </w:r>
            <w:r>
              <w:rPr>
                <w:rFonts w:hint="eastAsia" w:ascii="宋体" w:hAnsi="宋体"/>
                <w:color w:val="auto"/>
                <w:szCs w:val="21"/>
                <w:highlight w:val="none"/>
              </w:rPr>
              <w:t>总价报价（元）</w:t>
            </w:r>
          </w:p>
        </w:tc>
        <w:tc>
          <w:tcPr>
            <w:tcW w:w="3003"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481" w:type="pc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1515"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color w:val="auto"/>
                <w:highlight w:val="none"/>
              </w:rPr>
            </w:pPr>
            <w:r>
              <w:rPr>
                <w:rFonts w:hint="eastAsia" w:ascii="宋体" w:hAnsi="宋体"/>
                <w:color w:val="auto"/>
                <w:szCs w:val="21"/>
                <w:highlight w:val="none"/>
              </w:rPr>
              <w:t>回收</w:t>
            </w:r>
            <w:r>
              <w:rPr>
                <w:rFonts w:hint="eastAsia" w:ascii="宋体" w:hAnsi="宋体"/>
                <w:color w:val="auto"/>
                <w:szCs w:val="21"/>
                <w:highlight w:val="none"/>
                <w:lang w:val="en-US" w:eastAsia="zh-CN"/>
              </w:rPr>
              <w:t>价值</w:t>
            </w:r>
            <w:r>
              <w:rPr>
                <w:rFonts w:hint="eastAsia" w:ascii="宋体" w:hAnsi="宋体"/>
                <w:color w:val="auto"/>
                <w:szCs w:val="21"/>
                <w:highlight w:val="none"/>
              </w:rPr>
              <w:t>总价报价（元）</w:t>
            </w:r>
          </w:p>
        </w:tc>
        <w:tc>
          <w:tcPr>
            <w:tcW w:w="3003"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481" w:type="pc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1515"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最终响应总价报价（元）</w:t>
            </w:r>
          </w:p>
        </w:tc>
        <w:tc>
          <w:tcPr>
            <w:tcW w:w="3003"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481" w:type="pc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供应商代表签字：</w:t>
      </w:r>
    </w:p>
    <w:p>
      <w:pPr>
        <w:ind w:firstLine="359" w:firstLineChars="171"/>
        <w:rPr>
          <w:rFonts w:ascii="宋体" w:hAnsi="宋体"/>
          <w:color w:val="auto"/>
          <w:szCs w:val="21"/>
          <w:highlight w:val="none"/>
        </w:rPr>
      </w:pPr>
      <w:r>
        <w:rPr>
          <w:rFonts w:hint="eastAsia" w:ascii="宋体" w:hAnsi="宋体"/>
          <w:color w:val="auto"/>
          <w:szCs w:val="21"/>
          <w:highlight w:val="none"/>
        </w:rPr>
        <w:t>供应商盖章：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注：1、响应总价栏须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w:t>
      </w:r>
      <w:r>
        <w:rPr>
          <w:rFonts w:hint="eastAsia" w:ascii="宋体" w:hAnsi="宋体"/>
          <w:color w:val="auto"/>
          <w:szCs w:val="21"/>
          <w:highlight w:val="none"/>
        </w:rPr>
        <w:t>响应</w:t>
      </w:r>
      <w:r>
        <w:rPr>
          <w:rFonts w:ascii="宋体" w:hAnsi="宋体"/>
          <w:color w:val="auto"/>
          <w:szCs w:val="21"/>
          <w:highlight w:val="none"/>
        </w:rPr>
        <w:t>总价</w:t>
      </w:r>
      <w:r>
        <w:rPr>
          <w:rFonts w:hint="eastAsia" w:ascii="宋体" w:hAnsi="宋体"/>
          <w:color w:val="auto"/>
          <w:szCs w:val="21"/>
          <w:highlight w:val="none"/>
        </w:rPr>
        <w:t>，报价保留小数点后两位。响应总价大小写不一致，以大写为准。响应总价必须准确唯一且应包含磋商文件要求的所有费用。</w:t>
      </w:r>
    </w:p>
    <w:p>
      <w:pPr>
        <w:keepNext w:val="0"/>
        <w:keepLines w:val="0"/>
        <w:pageBreakBefore w:val="0"/>
        <w:widowControl/>
        <w:kinsoku/>
        <w:wordWrap/>
        <w:overflowPunct/>
        <w:topLinePunct w:val="0"/>
        <w:autoSpaceDE/>
        <w:autoSpaceDN/>
        <w:bidi w:val="0"/>
        <w:adjustRightInd w:val="0"/>
        <w:snapToGrid w:val="0"/>
        <w:ind w:left="0" w:firstLine="390" w:firstLineChars="186"/>
        <w:textAlignment w:val="auto"/>
        <w:rPr>
          <w:rFonts w:hint="eastAsia"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此表应按供应商须知的规定密封标记并与《授权委托书》一同密封单独提交。</w:t>
      </w:r>
    </w:p>
    <w:p>
      <w:pPr>
        <w:keepNext w:val="0"/>
        <w:keepLines w:val="0"/>
        <w:pageBreakBefore w:val="0"/>
        <w:widowControl/>
        <w:kinsoku/>
        <w:wordWrap/>
        <w:overflowPunct/>
        <w:topLinePunct w:val="0"/>
        <w:autoSpaceDE/>
        <w:autoSpaceDN/>
        <w:bidi w:val="0"/>
        <w:adjustRightInd w:val="0"/>
        <w:snapToGrid w:val="0"/>
        <w:ind w:left="0" w:firstLine="390" w:firstLineChars="186"/>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3、</w:t>
      </w:r>
      <w:r>
        <w:rPr>
          <w:rFonts w:hint="eastAsia" w:ascii="宋体" w:hAnsi="宋体"/>
          <w:b/>
          <w:bCs/>
          <w:color w:val="auto"/>
          <w:szCs w:val="21"/>
          <w:highlight w:val="none"/>
        </w:rPr>
        <w:t>最终响应总价报价=拆除费用总价报价-回收价值总价报价</w:t>
      </w:r>
      <w:r>
        <w:rPr>
          <w:rFonts w:hint="eastAsia" w:ascii="宋体" w:hAnsi="宋体"/>
          <w:b/>
          <w:bCs/>
          <w:color w:val="auto"/>
          <w:szCs w:val="21"/>
          <w:highlight w:val="none"/>
          <w:lang w:eastAsia="zh-CN"/>
        </w:rPr>
        <w:t>。</w:t>
      </w:r>
    </w:p>
    <w:p>
      <w:pPr>
        <w:pStyle w:val="2"/>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3"/>
        <w:ind w:firstLine="240"/>
        <w:rPr>
          <w:color w:val="auto"/>
          <w:highlight w:val="none"/>
        </w:rPr>
      </w:pPr>
    </w:p>
    <w:p>
      <w:pPr>
        <w:rPr>
          <w:color w:val="auto"/>
          <w:highlight w:val="none"/>
        </w:rPr>
      </w:pPr>
    </w:p>
    <w:p>
      <w:pPr>
        <w:rPr>
          <w:rFonts w:hint="eastAsia"/>
          <w:color w:val="auto"/>
          <w:highlight w:val="none"/>
        </w:rPr>
      </w:pPr>
      <w:bookmarkStart w:id="223" w:name="_Toc31062"/>
      <w:bookmarkStart w:id="224" w:name="_Toc29258"/>
      <w:r>
        <w:rPr>
          <w:rFonts w:hint="eastAsia"/>
          <w:color w:val="auto"/>
          <w:highlight w:val="none"/>
        </w:rPr>
        <w:br w:type="page"/>
      </w:r>
    </w:p>
    <w:p>
      <w:pPr>
        <w:pStyle w:val="6"/>
        <w:jc w:val="center"/>
        <w:rPr>
          <w:color w:val="auto"/>
          <w:highlight w:val="none"/>
        </w:rPr>
      </w:pPr>
      <w:r>
        <w:rPr>
          <w:rFonts w:hint="eastAsia"/>
          <w:color w:val="auto"/>
          <w:highlight w:val="none"/>
        </w:rPr>
        <w:t>二、报价明细表</w:t>
      </w:r>
      <w:bookmarkEnd w:id="223"/>
      <w:bookmarkEnd w:id="224"/>
    </w:p>
    <w:tbl>
      <w:tblPr>
        <w:tblStyle w:val="22"/>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2"/>
        <w:gridCol w:w="947"/>
        <w:gridCol w:w="1977"/>
        <w:gridCol w:w="796"/>
        <w:gridCol w:w="600"/>
        <w:gridCol w:w="633"/>
        <w:gridCol w:w="1064"/>
        <w:gridCol w:w="956"/>
        <w:gridCol w:w="9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序号</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编号</w:t>
            </w:r>
          </w:p>
        </w:tc>
        <w:tc>
          <w:tcPr>
            <w:tcW w:w="11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户名</w:t>
            </w:r>
          </w:p>
        </w:tc>
        <w:tc>
          <w:tcPr>
            <w:tcW w:w="467" w:type="pct"/>
            <w:tcBorders>
              <w:top w:val="single" w:color="000000" w:sz="4" w:space="0"/>
              <w:left w:val="single" w:color="000000" w:sz="4" w:space="0"/>
              <w:bottom w:val="single" w:color="000000" w:sz="4" w:space="0"/>
              <w:right w:val="nil"/>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结构形式</w:t>
            </w:r>
          </w:p>
        </w:tc>
        <w:tc>
          <w:tcPr>
            <w:tcW w:w="352" w:type="pct"/>
            <w:tcBorders>
              <w:top w:val="single" w:color="000000" w:sz="4" w:space="0"/>
              <w:left w:val="single" w:color="000000" w:sz="4" w:space="0"/>
              <w:bottom w:val="single" w:color="000000" w:sz="4" w:space="0"/>
              <w:right w:val="nil"/>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层数</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单位</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建筑面积</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b/>
                <w:bCs/>
                <w:sz w:val="21"/>
                <w:szCs w:val="21"/>
                <w:lang w:val="en-US" w:eastAsia="zh-CN"/>
              </w:rPr>
              <w:t>拆除费单价</w:t>
            </w:r>
            <w:r>
              <w:rPr>
                <w:rFonts w:hint="eastAsia" w:ascii="宋体" w:hAnsi="宋体" w:cs="宋体"/>
                <w:b/>
                <w:bCs/>
                <w:sz w:val="21"/>
                <w:szCs w:val="21"/>
                <w:lang w:val="en-US" w:eastAsia="zh-CN"/>
              </w:rPr>
              <w:t>报价</w:t>
            </w:r>
            <w:r>
              <w:rPr>
                <w:rFonts w:hint="eastAsia" w:ascii="宋体" w:hAnsi="宋体" w:eastAsia="宋体" w:cs="宋体"/>
                <w:sz w:val="21"/>
                <w:szCs w:val="21"/>
                <w:lang w:val="en-US" w:eastAsia="zh-CN"/>
              </w:rPr>
              <w:t>（元）</w:t>
            </w:r>
          </w:p>
        </w:tc>
        <w:tc>
          <w:tcPr>
            <w:tcW w:w="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回收单价</w:t>
            </w:r>
            <w:r>
              <w:rPr>
                <w:rFonts w:hint="eastAsia" w:ascii="宋体" w:hAnsi="宋体" w:cs="宋体"/>
                <w:b/>
                <w:bCs/>
                <w:sz w:val="21"/>
                <w:szCs w:val="21"/>
                <w:lang w:val="en-US" w:eastAsia="zh-CN"/>
              </w:rPr>
              <w:t>报价</w:t>
            </w:r>
            <w:r>
              <w:rPr>
                <w:rFonts w:hint="eastAsia" w:ascii="宋体" w:hAnsi="宋体" w:eastAsia="宋体" w:cs="宋体"/>
                <w:sz w:val="21"/>
                <w:szCs w:val="21"/>
                <w:lang w:val="en-US" w:eastAsia="zh-CN"/>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六甲村</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香锦田</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75.69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香锦田</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105.80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香锦田</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42.20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香锦田</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126.60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香锦田</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23.92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东莞市浩中物业投资有限公司</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21.15</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东莞市浩中物业投资有限公司</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148.10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东莞市浩中物业投资有限公司</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116.31</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东莞市浩中物业投资有限公司</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19.68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东莞市浩中物业投资有限公司</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1,807.95</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LJFW9</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东莞市浩中物业投资有限公司</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27.01</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LJFW10</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东莞市浩中物业投资有限公司</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4.12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东莞市浩中物业投资有限公司</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4.29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东莞市浩中物业投资有限公司</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77.58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刘志恒</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1,452.46</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横沥供电服务中心</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80.83</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956.57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355.69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香玉葵</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916.78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香玉葵</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262.13</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香植芬</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1,126.54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香松炳</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1,126.67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LJFW19</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香洪深</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800.94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LJFW20</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钢构</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107.66</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7.56</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126.72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香富其</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813.77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梁林芳</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1,608.04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周志伟</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1,093.23</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周志伟</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9.40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香志灯</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140.49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香满光</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1,216.54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LJFW29</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叶福顺</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1,251.42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LJFW30</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吴志娟</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364.14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香伟波</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1,261.72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香汉勤</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1,758.48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香汉勤</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19.60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香伟波</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278.10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香汉勤</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301.65</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香汉勤</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66.62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香富钦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283.21</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香富钦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43.29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香耀球</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846.49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香耀球</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2.73</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香校祺</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720.42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香校祺</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钢构</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186.08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黄锦友</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518.78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黄锦友</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186.81</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LJFW39</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香满钦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43.57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LJFW40</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香满钦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176.98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香灼坤</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39.67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香灼坤</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5.72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吴丽娟</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97.09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香柱钦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13.46</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香富钦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9.68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香汉勤</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13.52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莫清雅</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18.35</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LJFW49</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香锦洪</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14.53</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LJFW50</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香伟波</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92.72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7.34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香锦洪</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35.60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8.09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14.98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15.19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21.50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钢构</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62.65</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LJFW57-1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37.05</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25.50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69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LJFW59</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125.88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LJFW60</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香枝球</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21.29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香枝球</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9.59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香锡钦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36.61</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香润林</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222.41</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香枝球</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16.27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香枝球</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592.68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香汉勤</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16.44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香汉勤</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框架</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765.96</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黄锦友</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91.93</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LJFW69</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香满钦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26.40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LJFW70</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香富钦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27.45</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香枝球</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15.59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香满钦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12.74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香富钦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15.80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13.40</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57.17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香锦洪</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58.14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香锦洪</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71.14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莫清雅</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71.14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89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LJFW79</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莫清雅</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25.67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LJFW80</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莫清雅</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2.53</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香锦洪</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7.67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莫清雅</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15.41</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莫清雅</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56.21</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香锡钦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56.32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LJFW85</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香志杰</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33.52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LJFW86</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香智毅</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17.34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97</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LJFW87</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香富钦</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20.38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98</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LJFW88</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香枝球</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43.97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99</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LJFW90</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香淦祥</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48.96</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LJFW91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香富其</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51.87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101</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LJFW92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香志光</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39.51</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102</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LJFW93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香志光</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砖混</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39.94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村头村</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103</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CT1</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东莞市横沥镇村头股份经济联合社</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52.14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104</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CT2</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东莞市横沥镇村头股份经济联合社</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21.08</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CT3</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东莞市横沥镇村头股份经济联合社</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32.19</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106</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CT4</w:t>
            </w:r>
          </w:p>
        </w:tc>
        <w:tc>
          <w:tcPr>
            <w:tcW w:w="1159"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东莞市横沥镇村头股份经济联合社</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简易</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p>
        </w:tc>
        <w:tc>
          <w:tcPr>
            <w:tcW w:w="3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24.06</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rPr>
            </w:pP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253"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拆除费用总价报价</w:t>
            </w:r>
          </w:p>
        </w:tc>
        <w:tc>
          <w:tcPr>
            <w:tcW w:w="17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b/>
                <w:bCs/>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253"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bidi w:val="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回收价值总价报价</w:t>
            </w:r>
          </w:p>
        </w:tc>
        <w:tc>
          <w:tcPr>
            <w:tcW w:w="174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bidi w:val="0"/>
              <w:jc w:val="center"/>
              <w:rPr>
                <w:rFonts w:hint="eastAsia" w:ascii="宋体" w:hAnsi="宋体" w:eastAsia="宋体" w:cs="宋体"/>
                <w:b/>
                <w:bCs/>
                <w:sz w:val="21"/>
                <w:szCs w:val="21"/>
                <w:lang w:val="en-US" w:eastAsia="zh-CN"/>
              </w:rPr>
            </w:pPr>
          </w:p>
        </w:tc>
      </w:tr>
    </w:tbl>
    <w:p>
      <w:pPr>
        <w:rPr>
          <w:rFonts w:hint="eastAsia"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rPr>
          <w:rFonts w:ascii="宋体" w:hAnsi="宋体" w:cs="宋体"/>
          <w:b/>
          <w:color w:val="auto"/>
          <w:szCs w:val="21"/>
          <w:highlight w:val="none"/>
        </w:rPr>
      </w:pPr>
      <w:r>
        <w:rPr>
          <w:rFonts w:hint="eastAsia" w:ascii="宋体" w:hAnsi="宋体"/>
          <w:color w:val="auto"/>
          <w:szCs w:val="21"/>
          <w:highlight w:val="none"/>
        </w:rPr>
        <w:t>日期：</w:t>
      </w:r>
    </w:p>
    <w:p>
      <w:pPr>
        <w:rPr>
          <w:color w:val="auto"/>
          <w:highlight w:val="none"/>
        </w:rPr>
      </w:pPr>
      <w:bookmarkStart w:id="225" w:name="_Toc14734"/>
      <w:bookmarkStart w:id="226" w:name="_Toc20974"/>
      <w:r>
        <w:rPr>
          <w:rFonts w:hint="eastAsia"/>
          <w:color w:val="auto"/>
          <w:highlight w:val="none"/>
        </w:rPr>
        <w:br w:type="page"/>
      </w:r>
    </w:p>
    <w:p>
      <w:pPr>
        <w:pStyle w:val="6"/>
        <w:jc w:val="center"/>
        <w:rPr>
          <w:color w:val="auto"/>
          <w:highlight w:val="none"/>
        </w:rPr>
      </w:pPr>
      <w:r>
        <w:rPr>
          <w:rFonts w:hint="eastAsia"/>
          <w:color w:val="auto"/>
          <w:highlight w:val="none"/>
        </w:rPr>
        <w:t>三、小型或微型企业（货物/服务/承担的工程）明细表</w:t>
      </w:r>
      <w:bookmarkEnd w:id="225"/>
      <w:bookmarkEnd w:id="226"/>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pStyle w:val="32"/>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ind w:firstLine="422" w:firstLineChars="200"/>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rPr>
        <w:t>供应商</w:t>
      </w:r>
      <w:r>
        <w:rPr>
          <w:rStyle w:val="42"/>
          <w:rFonts w:hint="eastAsia" w:ascii="宋体" w:hAnsi="宋体" w:eastAsia="宋体" w:cs="宋体"/>
          <w:b/>
          <w:color w:val="auto"/>
          <w:sz w:val="21"/>
          <w:szCs w:val="21"/>
          <w:highlight w:val="none"/>
        </w:rPr>
        <w:t>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ind w:firstLine="422"/>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rPr>
        <w:t>供应商</w:t>
      </w:r>
      <w:r>
        <w:rPr>
          <w:rStyle w:val="42"/>
          <w:rFonts w:hint="eastAsia" w:ascii="宋体" w:hAnsi="宋体" w:eastAsia="宋体" w:cs="宋体"/>
          <w:b/>
          <w:color w:val="auto"/>
          <w:sz w:val="21"/>
          <w:szCs w:val="21"/>
          <w:highlight w:val="none"/>
        </w:rPr>
        <w:t>所投产品中无小型或微型企业产品的，请留空或删除此表！</w:t>
      </w:r>
      <w:r>
        <w:rPr>
          <w:rFonts w:hint="eastAsia" w:ascii="宋体" w:hAnsi="宋体"/>
          <w:color w:val="auto"/>
          <w:szCs w:val="21"/>
          <w:highlight w:val="none"/>
        </w:rPr>
        <w:br w:type="page"/>
      </w:r>
    </w:p>
    <w:p>
      <w:pPr>
        <w:pStyle w:val="6"/>
        <w:jc w:val="center"/>
        <w:rPr>
          <w:color w:val="auto"/>
          <w:highlight w:val="none"/>
        </w:rPr>
      </w:pPr>
      <w:bookmarkStart w:id="227" w:name="_Toc16718"/>
      <w:bookmarkStart w:id="228" w:name="_Toc17483"/>
      <w:r>
        <w:rPr>
          <w:rFonts w:hint="eastAsia"/>
          <w:color w:val="auto"/>
          <w:highlight w:val="none"/>
        </w:rPr>
        <w:t>四、节能产品或环境标志产品明细表</w:t>
      </w:r>
      <w:bookmarkEnd w:id="227"/>
      <w:bookmarkEnd w:id="228"/>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29"/>
        <w:rPr>
          <w:color w:val="auto"/>
          <w:highlight w:val="none"/>
        </w:rPr>
      </w:pPr>
    </w:p>
    <w:p>
      <w:pPr>
        <w:tabs>
          <w:tab w:val="left" w:pos="284"/>
        </w:tabs>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tabs>
          <w:tab w:val="left" w:pos="284"/>
        </w:tabs>
        <w:ind w:firstLine="422" w:firstLineChars="200"/>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rPr>
        <w:t>供应商</w:t>
      </w:r>
      <w:r>
        <w:rPr>
          <w:rStyle w:val="42"/>
          <w:rFonts w:hint="eastAsia" w:ascii="宋体" w:hAnsi="宋体" w:eastAsia="宋体" w:cs="宋体"/>
          <w:b/>
          <w:color w:val="auto"/>
          <w:sz w:val="21"/>
          <w:szCs w:val="21"/>
          <w:highlight w:val="none"/>
        </w:rPr>
        <w:t>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rPr>
        <w:t>供应商</w:t>
      </w:r>
      <w:r>
        <w:rPr>
          <w:rStyle w:val="42"/>
          <w:rFonts w:hint="eastAsia" w:ascii="宋体" w:hAnsi="宋体" w:eastAsia="宋体" w:cs="宋体"/>
          <w:b/>
          <w:color w:val="auto"/>
          <w:sz w:val="21"/>
          <w:szCs w:val="21"/>
          <w:highlight w:val="none"/>
        </w:rPr>
        <w:t>所投产品中无节能或环保产品的，请留空或删除此表！</w:t>
      </w:r>
    </w:p>
    <w:p>
      <w:pPr>
        <w:pStyle w:val="6"/>
        <w:jc w:val="center"/>
        <w:rPr>
          <w:color w:val="auto"/>
          <w:highlight w:val="none"/>
        </w:rPr>
      </w:pPr>
      <w:bookmarkStart w:id="229" w:name="_Toc10853"/>
      <w:bookmarkStart w:id="230" w:name="_Toc8170"/>
      <w:r>
        <w:rPr>
          <w:rFonts w:hint="eastAsia"/>
          <w:color w:val="auto"/>
          <w:highlight w:val="none"/>
        </w:rPr>
        <w:t>五、中小企业声明函</w:t>
      </w:r>
      <w:bookmarkEnd w:id="229"/>
      <w:bookmarkEnd w:id="230"/>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注：若供应商不属于规定的中小企业范围，或提供的产品不是中小企业制造的，则无需提供此表。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注：若供应商不属于规定的中小企业范围，或提供的产品不是中小企业制造的，则无需提供此表。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供应商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供应商应该在《报价明细表》中单独列明属于小型和微型企业产品（货物、承担的工程或者服务）的报价，若供应商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6"/>
        <w:jc w:val="center"/>
        <w:rPr>
          <w:color w:val="auto"/>
          <w:highlight w:val="none"/>
        </w:rPr>
      </w:pPr>
      <w:bookmarkStart w:id="231" w:name="_Toc8560"/>
      <w:bookmarkStart w:id="232" w:name="_Toc312"/>
      <w:r>
        <w:rPr>
          <w:rFonts w:hint="eastAsia"/>
          <w:color w:val="auto"/>
          <w:highlight w:val="none"/>
        </w:rPr>
        <w:t>六、残疾人福利性单位声明函</w:t>
      </w:r>
      <w:bookmarkEnd w:id="231"/>
      <w:bookmarkEnd w:id="232"/>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33" w:name="_Toc30277"/>
      <w:bookmarkStart w:id="234" w:name="_Toc509479530"/>
      <w:bookmarkStart w:id="235" w:name="_Toc509844825"/>
      <w:bookmarkStart w:id="236" w:name="_Toc510171693"/>
      <w:bookmarkStart w:id="237" w:name="_Toc508960153"/>
      <w:bookmarkStart w:id="238" w:name="_Toc509927455"/>
      <w:bookmarkStart w:id="239" w:name="_Toc508898066"/>
      <w:bookmarkStart w:id="240" w:name="_Toc30247"/>
      <w:bookmarkStart w:id="241" w:name="_Toc20910"/>
      <w:bookmarkStart w:id="242" w:name="_Toc508958703"/>
      <w:bookmarkStart w:id="243" w:name="_Toc17761"/>
      <w:bookmarkStart w:id="244" w:name="_Toc22970"/>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33"/>
      <w:bookmarkEnd w:id="234"/>
      <w:bookmarkEnd w:id="235"/>
      <w:bookmarkEnd w:id="236"/>
      <w:bookmarkEnd w:id="237"/>
      <w:bookmarkEnd w:id="238"/>
      <w:bookmarkEnd w:id="239"/>
      <w:bookmarkEnd w:id="240"/>
      <w:bookmarkEnd w:id="241"/>
      <w:bookmarkEnd w:id="242"/>
      <w:bookmarkEnd w:id="243"/>
      <w:bookmarkEnd w:id="244"/>
    </w:p>
    <w:p>
      <w:pPr>
        <w:pStyle w:val="2"/>
        <w:rPr>
          <w:color w:val="auto"/>
          <w:highlight w:val="none"/>
        </w:rPr>
      </w:pPr>
    </w:p>
    <w:p>
      <w:pPr>
        <w:ind w:firstLine="420" w:firstLineChars="200"/>
        <w:rPr>
          <w:rFonts w:ascii="宋体" w:hAnsi="宋体"/>
          <w:color w:val="auto"/>
          <w:szCs w:val="21"/>
          <w:highlight w:val="none"/>
        </w:rPr>
      </w:pPr>
      <w:bookmarkStart w:id="245" w:name="_Toc508958704"/>
      <w:bookmarkStart w:id="246" w:name="_Toc509479531"/>
      <w:bookmarkStart w:id="247" w:name="_Toc5447"/>
      <w:bookmarkStart w:id="248" w:name="_Toc26216"/>
      <w:bookmarkStart w:id="249" w:name="_Toc28527"/>
      <w:bookmarkStart w:id="250" w:name="_Toc21053"/>
      <w:bookmarkStart w:id="251" w:name="_Toc510171694"/>
      <w:bookmarkStart w:id="252" w:name="_Toc509844826"/>
      <w:bookmarkStart w:id="253" w:name="_Toc508960154"/>
      <w:bookmarkStart w:id="254" w:name="_Toc31520"/>
      <w:bookmarkStart w:id="255" w:name="_Toc508898067"/>
      <w:bookmarkStart w:id="256" w:name="_Toc509927456"/>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45"/>
      <w:bookmarkEnd w:id="246"/>
      <w:bookmarkEnd w:id="247"/>
      <w:bookmarkEnd w:id="248"/>
      <w:bookmarkEnd w:id="249"/>
      <w:bookmarkEnd w:id="250"/>
      <w:bookmarkEnd w:id="251"/>
      <w:bookmarkEnd w:id="252"/>
      <w:bookmarkEnd w:id="253"/>
      <w:bookmarkEnd w:id="254"/>
      <w:bookmarkEnd w:id="255"/>
      <w:bookmarkEnd w:id="256"/>
    </w:p>
    <w:p>
      <w:pPr>
        <w:ind w:firstLine="420" w:firstLineChars="200"/>
        <w:rPr>
          <w:rFonts w:ascii="宋体" w:hAnsi="宋体"/>
          <w:color w:val="auto"/>
          <w:szCs w:val="21"/>
          <w:highlight w:val="none"/>
        </w:rPr>
      </w:pPr>
      <w:bookmarkStart w:id="257" w:name="_Toc509927457"/>
      <w:bookmarkStart w:id="258" w:name="_Toc24848"/>
      <w:bookmarkStart w:id="259" w:name="_Toc28126"/>
      <w:bookmarkStart w:id="260" w:name="_Toc28626"/>
      <w:bookmarkStart w:id="261" w:name="_Toc9148"/>
      <w:bookmarkStart w:id="262" w:name="_Toc509479532"/>
      <w:bookmarkStart w:id="263" w:name="_Toc509844827"/>
      <w:bookmarkStart w:id="264" w:name="_Toc510171695"/>
      <w:bookmarkStart w:id="265" w:name="_Toc508960155"/>
      <w:bookmarkStart w:id="266" w:name="_Toc508958705"/>
      <w:bookmarkStart w:id="267" w:name="_Toc508898068"/>
      <w:bookmarkStart w:id="268" w:name="_Toc14653"/>
      <w:r>
        <w:rPr>
          <w:rFonts w:hint="eastAsia" w:ascii="宋体" w:hAnsi="宋体"/>
          <w:color w:val="auto"/>
          <w:szCs w:val="21"/>
          <w:highlight w:val="none"/>
        </w:rPr>
        <w:t>（2）成交人为残疾人福利性单位的，采购代理机构将随中标结果同时公告其《残疾人福利性单位声明函》，接受社会监督。</w:t>
      </w:r>
      <w:bookmarkEnd w:id="257"/>
      <w:bookmarkEnd w:id="258"/>
      <w:bookmarkEnd w:id="259"/>
      <w:bookmarkEnd w:id="260"/>
      <w:bookmarkEnd w:id="261"/>
      <w:bookmarkEnd w:id="262"/>
      <w:bookmarkEnd w:id="263"/>
      <w:bookmarkEnd w:id="264"/>
      <w:bookmarkEnd w:id="265"/>
      <w:bookmarkEnd w:id="266"/>
      <w:bookmarkEnd w:id="267"/>
      <w:bookmarkEnd w:id="268"/>
    </w:p>
    <w:p>
      <w:pPr>
        <w:ind w:firstLine="420" w:firstLineChars="200"/>
        <w:rPr>
          <w:rFonts w:ascii="宋体" w:hAnsi="宋体"/>
          <w:color w:val="auto"/>
          <w:szCs w:val="21"/>
          <w:highlight w:val="none"/>
        </w:rPr>
      </w:pPr>
      <w:bookmarkStart w:id="269" w:name="_Toc508958706"/>
      <w:bookmarkStart w:id="270" w:name="_Toc28686"/>
      <w:bookmarkStart w:id="271" w:name="_Toc509844828"/>
      <w:bookmarkStart w:id="272" w:name="_Toc510171696"/>
      <w:bookmarkStart w:id="273" w:name="_Toc509479533"/>
      <w:bookmarkStart w:id="274" w:name="_Toc7858"/>
      <w:bookmarkStart w:id="275" w:name="_Toc9837"/>
      <w:bookmarkStart w:id="276" w:name="_Toc508960156"/>
      <w:bookmarkStart w:id="277" w:name="_Toc508898069"/>
      <w:bookmarkStart w:id="278" w:name="_Toc22981"/>
      <w:bookmarkStart w:id="279" w:name="_Toc509927458"/>
      <w:bookmarkStart w:id="280" w:name="_Toc28044"/>
      <w:r>
        <w:rPr>
          <w:rFonts w:hint="eastAsia" w:ascii="宋体" w:hAnsi="宋体"/>
          <w:color w:val="auto"/>
          <w:szCs w:val="21"/>
          <w:highlight w:val="none"/>
        </w:rPr>
        <w:t>（3）供应商提供的《残疾人福利性单位声明函》与事实不符的，依照《政府采购法》第七十七条第一款的规定追究法律责任。</w:t>
      </w:r>
      <w:bookmarkEnd w:id="269"/>
      <w:bookmarkEnd w:id="270"/>
      <w:bookmarkEnd w:id="271"/>
      <w:bookmarkEnd w:id="272"/>
      <w:bookmarkEnd w:id="273"/>
      <w:bookmarkEnd w:id="274"/>
      <w:bookmarkEnd w:id="275"/>
      <w:bookmarkEnd w:id="276"/>
      <w:bookmarkEnd w:id="277"/>
      <w:bookmarkEnd w:id="278"/>
      <w:bookmarkEnd w:id="279"/>
      <w:bookmarkEnd w:id="280"/>
    </w:p>
    <w:p>
      <w:pPr>
        <w:ind w:firstLine="420" w:firstLineChars="200"/>
        <w:rPr>
          <w:rFonts w:ascii="宋体" w:hAnsi="宋体"/>
          <w:color w:val="auto"/>
          <w:szCs w:val="21"/>
          <w:highlight w:val="none"/>
        </w:rPr>
      </w:pPr>
      <w:bookmarkStart w:id="281" w:name="_Toc18843"/>
      <w:bookmarkStart w:id="282" w:name="_Toc509927459"/>
      <w:bookmarkStart w:id="283" w:name="_Toc508898070"/>
      <w:bookmarkStart w:id="284" w:name="_Toc509844829"/>
      <w:bookmarkStart w:id="285" w:name="_Toc509479534"/>
      <w:bookmarkStart w:id="286" w:name="_Toc508960157"/>
      <w:bookmarkStart w:id="287" w:name="_Toc510171697"/>
      <w:bookmarkStart w:id="288" w:name="_Toc508958707"/>
      <w:bookmarkStart w:id="289" w:name="_Toc528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81"/>
      <w:bookmarkEnd w:id="282"/>
      <w:bookmarkEnd w:id="283"/>
      <w:bookmarkEnd w:id="284"/>
      <w:bookmarkEnd w:id="285"/>
      <w:bookmarkEnd w:id="286"/>
      <w:bookmarkEnd w:id="287"/>
      <w:bookmarkEnd w:id="288"/>
      <w:bookmarkEnd w:id="289"/>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（5）若供应商不属于规定的残疾人福利性单位，或提供的产品不是残疾人福利单位制造的，则无需提供此表。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6"/>
        <w:jc w:val="center"/>
        <w:rPr>
          <w:color w:val="auto"/>
          <w:highlight w:val="none"/>
        </w:rPr>
      </w:pPr>
      <w:bookmarkStart w:id="290" w:name="_Toc2486"/>
      <w:bookmarkStart w:id="291" w:name="_Toc23948"/>
      <w:r>
        <w:rPr>
          <w:rFonts w:hint="eastAsia"/>
          <w:color w:val="auto"/>
          <w:highlight w:val="none"/>
        </w:rPr>
        <w:t>第二章商务文件</w:t>
      </w:r>
      <w:bookmarkEnd w:id="290"/>
      <w:bookmarkEnd w:id="291"/>
    </w:p>
    <w:bookmarkEnd w:id="220"/>
    <w:p>
      <w:pPr>
        <w:pStyle w:val="6"/>
        <w:jc w:val="center"/>
        <w:rPr>
          <w:color w:val="auto"/>
          <w:highlight w:val="none"/>
        </w:rPr>
      </w:pPr>
      <w:bookmarkStart w:id="292" w:name="_Toc4151"/>
      <w:bookmarkStart w:id="293" w:name="_Toc23787"/>
      <w:r>
        <w:rPr>
          <w:rFonts w:hint="eastAsia"/>
          <w:color w:val="auto"/>
          <w:highlight w:val="none"/>
        </w:rPr>
        <w:t>一、响应函</w:t>
      </w:r>
      <w:bookmarkEnd w:id="292"/>
      <w:bookmarkEnd w:id="293"/>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经正式授权并代表供应商</w:t>
      </w:r>
      <w:r>
        <w:rPr>
          <w:rFonts w:hint="eastAsia" w:ascii="宋体" w:hAnsi="宋体"/>
          <w:color w:val="auto"/>
          <w:szCs w:val="21"/>
          <w:highlight w:val="none"/>
          <w:u w:val="single"/>
        </w:rPr>
        <w:t>（供应商名称、地址）</w:t>
      </w:r>
      <w:r>
        <w:rPr>
          <w:rFonts w:hint="eastAsia" w:ascii="宋体" w:cs="宋体"/>
          <w:color w:val="auto"/>
          <w:sz w:val="22"/>
          <w:highlight w:val="none"/>
        </w:rPr>
        <w:t>进行有关本次磋商的一切事宜。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在此提交的响应文件，正本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套，报价信封及电子文件各1份。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完全明白磋商文件的所有条款要求，并重申以下几点：</w:t>
      </w:r>
    </w:p>
    <w:p>
      <w:pPr>
        <w:widowControl w:val="0"/>
        <w:numPr>
          <w:ilvl w:val="0"/>
          <w:numId w:val="2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我方将按磋商文件的规定履行合同责任和义务。 </w:t>
      </w:r>
    </w:p>
    <w:p>
      <w:pPr>
        <w:widowControl w:val="0"/>
        <w:numPr>
          <w:ilvl w:val="0"/>
          <w:numId w:val="2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本响应有效期为自开标日起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2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本公司同意按照贵公司可能提出的要求而提供与磋商有关的任何其它数据、信息或资料。</w:t>
      </w:r>
    </w:p>
    <w:p>
      <w:pPr>
        <w:widowControl w:val="0"/>
        <w:numPr>
          <w:ilvl w:val="0"/>
          <w:numId w:val="2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2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本公司如果中标，将保证履行磋商文件及其澄清、修改文件（如果有）中的全部责任和义务，按质、按量、按期完成《采购需求书》及《合同书》中的全部任务。</w:t>
      </w:r>
    </w:p>
    <w:p>
      <w:pPr>
        <w:widowControl w:val="0"/>
        <w:numPr>
          <w:ilvl w:val="0"/>
          <w:numId w:val="2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与本磋商有关的一切正式信函请寄：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供应商代表签字：                    </w:t>
      </w:r>
    </w:p>
    <w:p>
      <w:pPr>
        <w:rPr>
          <w:rFonts w:ascii="宋体" w:hAnsi="宋体"/>
          <w:color w:val="auto"/>
          <w:szCs w:val="21"/>
          <w:highlight w:val="none"/>
        </w:rPr>
      </w:pPr>
      <w:r>
        <w:rPr>
          <w:rFonts w:hint="eastAsia" w:ascii="宋体" w:hAnsi="宋体"/>
          <w:color w:val="auto"/>
          <w:szCs w:val="21"/>
          <w:highlight w:val="none"/>
        </w:rPr>
        <w:t xml:space="preserve">供应商名称（加盖公章）：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6"/>
        <w:jc w:val="center"/>
        <w:rPr>
          <w:color w:val="auto"/>
          <w:highlight w:val="none"/>
        </w:rPr>
      </w:pPr>
      <w:bookmarkStart w:id="294" w:name="_Toc15719"/>
      <w:bookmarkStart w:id="295" w:name="_Toc27961"/>
      <w:r>
        <w:rPr>
          <w:rFonts w:hint="eastAsia"/>
          <w:color w:val="auto"/>
          <w:highlight w:val="none"/>
        </w:rPr>
        <w:t>二、资格申明函</w:t>
      </w:r>
      <w:bookmarkEnd w:id="294"/>
      <w:bookmarkEnd w:id="295"/>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的磋商</w:t>
      </w:r>
      <w:r>
        <w:rPr>
          <w:rFonts w:ascii="宋体" w:hAnsi="宋体"/>
          <w:color w:val="auto"/>
          <w:szCs w:val="21"/>
          <w:highlight w:val="none"/>
        </w:rPr>
        <w:t>邀请，参与</w:t>
      </w:r>
      <w:r>
        <w:rPr>
          <w:rFonts w:hint="eastAsia" w:ascii="宋体" w:hAnsi="宋体"/>
          <w:color w:val="auto"/>
          <w:szCs w:val="21"/>
          <w:highlight w:val="none"/>
        </w:rPr>
        <w:t>报价</w:t>
      </w:r>
      <w:r>
        <w:rPr>
          <w:rFonts w:ascii="宋体" w:hAnsi="宋体"/>
          <w:color w:val="auto"/>
          <w:szCs w:val="21"/>
          <w:highlight w:val="none"/>
        </w:rPr>
        <w:t>，提供用户需求书中规定的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w:t>
      </w:r>
      <w:r>
        <w:rPr>
          <w:rFonts w:hint="eastAsia" w:ascii="宋体" w:hAnsi="宋体"/>
          <w:color w:val="auto"/>
          <w:szCs w:val="21"/>
          <w:highlight w:val="none"/>
        </w:rPr>
        <w:t>磋商文件</w:t>
      </w:r>
      <w:r>
        <w:rPr>
          <w:rFonts w:ascii="宋体" w:hAnsi="宋体"/>
          <w:color w:val="auto"/>
          <w:szCs w:val="21"/>
          <w:highlight w:val="none"/>
        </w:rPr>
        <w:t>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2、我方已清楚磋商文件所有要求及有关规定；并承诺参加本次政府采购活动中，如有违法、违规、弄虚作假行为，所造成的损失、不良后果及法律责任，一律由我方承担；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供应商名称（加盖公章）：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highlight w:val="none"/>
        </w:rPr>
      </w:pPr>
    </w:p>
    <w:p>
      <w:pPr>
        <w:rPr>
          <w:color w:val="auto"/>
          <w:highlight w:val="none"/>
        </w:rPr>
      </w:pPr>
      <w:bookmarkStart w:id="296" w:name="_Toc16412"/>
    </w:p>
    <w:p>
      <w:pPr>
        <w:pStyle w:val="6"/>
        <w:jc w:val="center"/>
        <w:rPr>
          <w:color w:val="auto"/>
          <w:highlight w:val="none"/>
        </w:rPr>
      </w:pPr>
      <w:bookmarkStart w:id="297" w:name="_Toc21273"/>
      <w:bookmarkStart w:id="298" w:name="_Toc21335"/>
      <w:r>
        <w:rPr>
          <w:rFonts w:hint="eastAsia"/>
          <w:color w:val="auto"/>
          <w:highlight w:val="none"/>
        </w:rPr>
        <w:t>三、在参与政府采购活动前三年未有重大违法记录、没有不良信用记录的声明函</w:t>
      </w:r>
      <w:bookmarkEnd w:id="297"/>
      <w:bookmarkEnd w:id="298"/>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响应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96"/>
    </w:p>
    <w:p>
      <w:pPr>
        <w:pStyle w:val="6"/>
        <w:jc w:val="center"/>
        <w:rPr>
          <w:color w:val="auto"/>
          <w:highlight w:val="none"/>
        </w:rPr>
      </w:pPr>
      <w:bookmarkStart w:id="299" w:name="_Toc13243"/>
      <w:bookmarkStart w:id="300" w:name="_Toc32128"/>
      <w:r>
        <w:rPr>
          <w:rFonts w:hint="eastAsia"/>
          <w:color w:val="auto"/>
          <w:highlight w:val="none"/>
        </w:rPr>
        <w:t>四、法定代表人证明书</w:t>
      </w:r>
      <w:bookmarkEnd w:id="299"/>
      <w:bookmarkEnd w:id="300"/>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（供应商名称）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供应商名称（加盖公章）：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6"/>
        <w:jc w:val="center"/>
        <w:rPr>
          <w:color w:val="auto"/>
          <w:highlight w:val="none"/>
        </w:rPr>
      </w:pPr>
      <w:bookmarkStart w:id="301" w:name="_Toc11689"/>
      <w:bookmarkStart w:id="302" w:name="_Toc5918"/>
      <w:r>
        <w:rPr>
          <w:rFonts w:hint="eastAsia"/>
          <w:color w:val="auto"/>
          <w:highlight w:val="none"/>
        </w:rPr>
        <w:t>五、法定代表人授权书</w:t>
      </w:r>
      <w:bookmarkEnd w:id="301"/>
      <w:bookmarkEnd w:id="302"/>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5"/>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（供应商名称）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）响应文件、签订合同和处理有关事宜，其法律后果由我方承担。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供应商名称（加盖公章）：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303"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6"/>
        <w:jc w:val="center"/>
        <w:rPr>
          <w:color w:val="auto"/>
          <w:highlight w:val="none"/>
        </w:rPr>
      </w:pPr>
      <w:bookmarkStart w:id="304" w:name="_Toc24013"/>
      <w:bookmarkStart w:id="305" w:name="_Toc1197"/>
      <w:r>
        <w:rPr>
          <w:rFonts w:hint="eastAsia"/>
          <w:color w:val="auto"/>
          <w:highlight w:val="none"/>
        </w:rPr>
        <w:t>六、供应商基本情况说明</w:t>
      </w:r>
      <w:bookmarkEnd w:id="304"/>
      <w:bookmarkEnd w:id="305"/>
    </w:p>
    <w:p>
      <w:pPr>
        <w:rPr>
          <w:rFonts w:ascii="宋体" w:hAnsi="宋体" w:cs="宋体"/>
          <w:color w:val="auto"/>
          <w:szCs w:val="21"/>
          <w:highlight w:val="none"/>
        </w:rPr>
      </w:pPr>
      <w:r>
        <w:rPr>
          <w:rFonts w:hint="eastAsia" w:ascii="宋体" w:hAnsi="宋体" w:cs="宋体"/>
          <w:color w:val="auto"/>
          <w:szCs w:val="21"/>
          <w:highlight w:val="none"/>
        </w:rPr>
        <w:t>一、供应商基本情况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1、供应商名称：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5、供应商开户银行名称及账号：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7、供应商简介:</w:t>
      </w:r>
    </w:p>
    <w:p>
      <w:pPr>
        <w:rPr>
          <w:rFonts w:ascii="宋体" w:hAnsi="宋体" w:cs="宋体"/>
          <w:b/>
          <w:color w:val="auto"/>
          <w:szCs w:val="21"/>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供应商名称（加盖公章）：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6"/>
        <w:jc w:val="center"/>
        <w:rPr>
          <w:color w:val="auto"/>
          <w:highlight w:val="none"/>
        </w:rPr>
      </w:pPr>
      <w:bookmarkStart w:id="306" w:name="_Toc11992"/>
      <w:bookmarkStart w:id="307" w:name="_Toc4926"/>
      <w:bookmarkStart w:id="308" w:name="_Toc24210"/>
      <w:bookmarkStart w:id="309" w:name="_Toc1511"/>
      <w:bookmarkStart w:id="310" w:name="_Toc5919"/>
      <w:bookmarkStart w:id="311" w:name="_Toc17470"/>
      <w:bookmarkStart w:id="312" w:name="_Toc29995"/>
      <w:r>
        <w:rPr>
          <w:rFonts w:hint="eastAsia"/>
          <w:color w:val="auto"/>
          <w:highlight w:val="none"/>
        </w:rPr>
        <w:t>七、营业执照</w:t>
      </w:r>
      <w:bookmarkEnd w:id="306"/>
      <w:bookmarkEnd w:id="307"/>
      <w:bookmarkEnd w:id="308"/>
      <w:bookmarkEnd w:id="309"/>
      <w:bookmarkEnd w:id="310"/>
      <w:bookmarkEnd w:id="311"/>
      <w:bookmarkEnd w:id="312"/>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03"/>
    <w:p>
      <w:pPr>
        <w:pStyle w:val="6"/>
        <w:jc w:val="center"/>
        <w:rPr>
          <w:color w:val="auto"/>
          <w:highlight w:val="none"/>
        </w:rPr>
      </w:pPr>
      <w:bookmarkStart w:id="313" w:name="_Toc12706"/>
      <w:bookmarkStart w:id="314" w:name="_Toc29439"/>
      <w:r>
        <w:rPr>
          <w:rFonts w:hint="eastAsia"/>
          <w:color w:val="auto"/>
          <w:highlight w:val="none"/>
        </w:rPr>
        <w:t>八、特殊资格要求证明文件</w:t>
      </w:r>
      <w:bookmarkEnd w:id="313"/>
      <w:bookmarkEnd w:id="314"/>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pStyle w:val="6"/>
        <w:jc w:val="center"/>
        <w:rPr>
          <w:color w:val="auto"/>
          <w:highlight w:val="none"/>
        </w:rPr>
      </w:pPr>
      <w:bookmarkStart w:id="315" w:name="_Toc23341"/>
      <w:bookmarkStart w:id="316" w:name="_Toc14482"/>
      <w:r>
        <w:rPr>
          <w:rFonts w:hint="eastAsia"/>
          <w:color w:val="auto"/>
          <w:highlight w:val="none"/>
        </w:rPr>
        <w:t>九、承诺书</w:t>
      </w:r>
      <w:bookmarkEnd w:id="315"/>
      <w:bookmarkEnd w:id="316"/>
    </w:p>
    <w:p>
      <w:pPr>
        <w:pStyle w:val="35"/>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5"/>
        <w:spacing w:line="420" w:lineRule="exact"/>
        <w:ind w:firstLine="433"/>
        <w:rPr>
          <w:rFonts w:ascii="宋体" w:eastAsia="宋体" w:cs="宋体"/>
          <w:color w:val="auto"/>
          <w:sz w:val="21"/>
          <w:szCs w:val="21"/>
          <w:highlight w:val="none"/>
        </w:rPr>
      </w:pPr>
      <w:bookmarkStart w:id="317"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）磋商文件的所有内容（包括澄清，以及所有已提供的参考资料和有关附件），并完全理解上述文件所表达的意思，该项目递交响应文件时间截止后，我方承诺不再对上述文件内容进行询问或质疑。</w:t>
      </w:r>
      <w:bookmarkEnd w:id="317"/>
      <w:r>
        <w:rPr>
          <w:rFonts w:hint="eastAsia" w:ascii="宋体" w:eastAsia="宋体" w:cs="宋体"/>
          <w:color w:val="auto"/>
          <w:sz w:val="21"/>
          <w:szCs w:val="21"/>
          <w:highlight w:val="none"/>
        </w:rPr>
        <w:cr/>
      </w:r>
    </w:p>
    <w:p>
      <w:pPr>
        <w:pStyle w:val="35"/>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供应商名称（加盖公章）：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6"/>
        <w:jc w:val="center"/>
        <w:rPr>
          <w:color w:val="auto"/>
          <w:highlight w:val="none"/>
        </w:rPr>
      </w:pPr>
      <w:bookmarkStart w:id="318" w:name="_Toc31815"/>
      <w:bookmarkStart w:id="319" w:name="_Toc13653"/>
      <w:r>
        <w:rPr>
          <w:rFonts w:hint="eastAsia"/>
          <w:color w:val="auto"/>
          <w:highlight w:val="none"/>
        </w:rPr>
        <w:t>十、招标代理服务费承诺书</w:t>
      </w:r>
      <w:bookmarkEnd w:id="318"/>
      <w:bookmarkEnd w:id="319"/>
    </w:p>
    <w:p>
      <w:pPr>
        <w:pStyle w:val="35"/>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0"/>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（供应商名称）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供应商名称（加盖公章）：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6"/>
        <w:jc w:val="center"/>
        <w:rPr>
          <w:color w:val="auto"/>
          <w:highlight w:val="none"/>
        </w:rPr>
      </w:pPr>
      <w:bookmarkStart w:id="320" w:name="_Toc21582"/>
      <w:bookmarkStart w:id="321" w:name="_Toc1975"/>
      <w:r>
        <w:rPr>
          <w:rFonts w:hint="eastAsia"/>
          <w:color w:val="auto"/>
          <w:highlight w:val="none"/>
        </w:rPr>
        <w:t>十一、商务条款偏离表</w:t>
      </w:r>
      <w:bookmarkEnd w:id="320"/>
      <w:bookmarkEnd w:id="321"/>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磋商文件要求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1、供应商应对照磋商文件商务要求，在“偏离情况”项中填写“无偏离”、“正偏离”或“负偏离”，逐条说明已对磋商文件的商务内容做出了实质性的响应，并申明与磋商文件的偏差和例外。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2、商务条款包括但不限于合格供应商资格、合同期限、付款方式、报价要求、履约保证金、售后服务、检验及验收等要求。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22" w:name="_Toc32183"/>
    </w:p>
    <w:p>
      <w:pPr>
        <w:pStyle w:val="6"/>
        <w:jc w:val="center"/>
        <w:rPr>
          <w:color w:val="auto"/>
          <w:highlight w:val="none"/>
        </w:rPr>
      </w:pPr>
      <w:bookmarkStart w:id="323" w:name="_Toc7350"/>
      <w:bookmarkStart w:id="324" w:name="_Toc25391"/>
      <w:r>
        <w:rPr>
          <w:rFonts w:hint="eastAsia"/>
          <w:color w:val="auto"/>
          <w:highlight w:val="none"/>
        </w:rPr>
        <w:t>十二、业绩表</w:t>
      </w:r>
      <w:bookmarkEnd w:id="323"/>
      <w:bookmarkEnd w:id="324"/>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32"/>
        <w:rPr>
          <w:rFonts w:ascii="宋体" w:hAnsi="宋体"/>
          <w:color w:val="auto"/>
          <w:szCs w:val="21"/>
          <w:highlight w:val="none"/>
        </w:rPr>
      </w:pPr>
    </w:p>
    <w:p>
      <w:pPr>
        <w:pStyle w:val="32"/>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
        <w:ind w:left="0"/>
        <w:rPr>
          <w:color w:val="auto"/>
          <w:highlight w:val="none"/>
        </w:rPr>
      </w:pPr>
    </w:p>
    <w:p>
      <w:pPr>
        <w:pStyle w:val="6"/>
        <w:jc w:val="center"/>
        <w:rPr>
          <w:rFonts w:ascii="黑体" w:eastAsia="黑体"/>
          <w:color w:val="auto"/>
          <w:szCs w:val="28"/>
          <w:highlight w:val="none"/>
        </w:rPr>
      </w:pPr>
      <w:bookmarkStart w:id="325" w:name="_Toc25650"/>
      <w:bookmarkStart w:id="326" w:name="_Toc14688"/>
      <w:r>
        <w:rPr>
          <w:rFonts w:hint="eastAsia"/>
          <w:color w:val="auto"/>
          <w:highlight w:val="none"/>
        </w:rPr>
        <w:t>第三章技术文件</w:t>
      </w:r>
      <w:bookmarkEnd w:id="322"/>
      <w:bookmarkEnd w:id="325"/>
      <w:bookmarkEnd w:id="326"/>
    </w:p>
    <w:p>
      <w:pPr>
        <w:pStyle w:val="6"/>
        <w:jc w:val="center"/>
        <w:rPr>
          <w:color w:val="auto"/>
          <w:highlight w:val="none"/>
        </w:rPr>
      </w:pPr>
      <w:bookmarkStart w:id="327" w:name="_Toc7092"/>
      <w:bookmarkStart w:id="328" w:name="_Toc13588"/>
      <w:r>
        <w:rPr>
          <w:rFonts w:hint="eastAsia"/>
          <w:color w:val="auto"/>
          <w:highlight w:val="none"/>
        </w:rPr>
        <w:t>一、技术规格偏离表</w:t>
      </w:r>
      <w:bookmarkEnd w:id="327"/>
      <w:bookmarkEnd w:id="328"/>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磋商文件要求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注：供应商应对照磋商文件技术要求，在“偏离情况”项中填写“无偏离”、“正偏离”或“负偏离”，逐条说明已对磋商文件的技术内容做出了实质性的响应，并申明与磋商文件的偏差和例外。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29" w:name="_Toc17691"/>
      <w:r>
        <w:rPr>
          <w:rFonts w:hint="eastAsia" w:ascii="宋体" w:hAnsi="宋体"/>
          <w:color w:val="auto"/>
          <w:szCs w:val="21"/>
          <w:highlight w:val="none"/>
        </w:rPr>
        <w:br w:type="page"/>
      </w:r>
      <w:bookmarkEnd w:id="329"/>
      <w:bookmarkStart w:id="330" w:name="_Toc18668"/>
      <w:bookmarkStart w:id="331" w:name="_Toc1274"/>
      <w:bookmarkStart w:id="332" w:name="_Toc26078"/>
      <w:bookmarkStart w:id="333" w:name="_Toc4827"/>
      <w:bookmarkStart w:id="334" w:name="_Toc4464"/>
      <w:bookmarkStart w:id="335" w:name="_Toc6080"/>
    </w:p>
    <w:p>
      <w:pPr>
        <w:pStyle w:val="6"/>
        <w:jc w:val="center"/>
        <w:rPr>
          <w:color w:val="auto"/>
          <w:highlight w:val="none"/>
        </w:rPr>
      </w:pPr>
      <w:bookmarkStart w:id="336" w:name="_Toc28702"/>
      <w:bookmarkStart w:id="337" w:name="_Toc10734"/>
      <w:r>
        <w:rPr>
          <w:rFonts w:hint="eastAsia"/>
          <w:color w:val="auto"/>
          <w:highlight w:val="none"/>
        </w:rPr>
        <w:t>二、重要技术参数（▲）响应表</w:t>
      </w:r>
      <w:bookmarkEnd w:id="330"/>
      <w:bookmarkEnd w:id="331"/>
      <w:bookmarkEnd w:id="332"/>
      <w:bookmarkEnd w:id="333"/>
      <w:bookmarkEnd w:id="334"/>
      <w:bookmarkEnd w:id="335"/>
      <w:bookmarkEnd w:id="336"/>
      <w:bookmarkEnd w:id="337"/>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38" w:name="_Toc27079"/>
            <w:bookmarkStart w:id="339" w:name="_Toc29560"/>
            <w:bookmarkStart w:id="340" w:name="_Toc2784"/>
            <w:bookmarkStart w:id="341" w:name="_Toc29642"/>
            <w:r>
              <w:rPr>
                <w:rFonts w:hint="eastAsia" w:ascii="宋体" w:hAnsi="宋体" w:cs="宋体"/>
                <w:b w:val="0"/>
                <w:bCs w:val="0"/>
                <w:color w:val="auto"/>
                <w:sz w:val="21"/>
                <w:szCs w:val="21"/>
                <w:highlight w:val="none"/>
              </w:rPr>
              <w:t>序号</w:t>
            </w:r>
            <w:bookmarkEnd w:id="338"/>
            <w:bookmarkEnd w:id="339"/>
            <w:bookmarkEnd w:id="340"/>
            <w:bookmarkEnd w:id="341"/>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42" w:name="_Toc2700"/>
            <w:bookmarkStart w:id="343" w:name="_Toc16872"/>
            <w:bookmarkStart w:id="344" w:name="_Toc4304"/>
            <w:bookmarkStart w:id="345" w:name="_Toc27090"/>
            <w:bookmarkStart w:id="346" w:name="_Toc6189"/>
            <w:bookmarkStart w:id="347" w:name="_Toc15368"/>
            <w:bookmarkStart w:id="348" w:name="_Toc10045"/>
            <w:bookmarkStart w:id="349" w:name="_Toc14815"/>
            <w:bookmarkStart w:id="350" w:name="_Toc1016"/>
            <w:bookmarkStart w:id="351" w:name="_Toc15903"/>
            <w:bookmarkStart w:id="352" w:name="_Toc22448"/>
            <w:bookmarkStart w:id="353" w:name="_Toc26124"/>
            <w:bookmarkStart w:id="354" w:name="_Toc21739"/>
            <w:bookmarkStart w:id="355" w:name="_Toc12049"/>
            <w:bookmarkStart w:id="356" w:name="_Toc21809"/>
            <w:bookmarkStart w:id="357" w:name="_Toc22917"/>
            <w:bookmarkStart w:id="358" w:name="_Toc24662"/>
            <w:bookmarkStart w:id="359" w:name="_Toc8490"/>
            <w:bookmarkStart w:id="360" w:name="_Toc19251"/>
            <w:bookmarkStart w:id="361" w:name="_Toc7333"/>
            <w:bookmarkStart w:id="362" w:name="_Toc27442"/>
            <w:bookmarkStart w:id="363" w:name="_Toc32531"/>
            <w:bookmarkStart w:id="364" w:name="_Toc8312"/>
            <w:bookmarkStart w:id="365" w:name="_Toc22879"/>
            <w:r>
              <w:rPr>
                <w:rFonts w:hint="eastAsia" w:ascii="宋体" w:hAnsi="宋体" w:cs="宋体"/>
                <w:b w:val="0"/>
                <w:bCs w:val="0"/>
                <w:color w:val="auto"/>
                <w:sz w:val="21"/>
                <w:szCs w:val="21"/>
                <w:highlight w:val="none"/>
              </w:rPr>
              <w:t>重要技术参数评分条款（▲）</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66" w:name="_Toc21496"/>
            <w:bookmarkStart w:id="367" w:name="_Toc10122"/>
            <w:bookmarkStart w:id="368" w:name="_Toc22153"/>
            <w:bookmarkStart w:id="369" w:name="_Toc2408"/>
            <w:r>
              <w:rPr>
                <w:rFonts w:hint="eastAsia" w:ascii="宋体" w:hAnsi="宋体" w:cs="宋体"/>
                <w:b w:val="0"/>
                <w:bCs w:val="0"/>
                <w:color w:val="auto"/>
                <w:sz w:val="21"/>
                <w:szCs w:val="21"/>
                <w:highlight w:val="none"/>
              </w:rPr>
              <w:t>响应文件响应内容</w:t>
            </w:r>
            <w:bookmarkEnd w:id="366"/>
            <w:bookmarkEnd w:id="367"/>
            <w:bookmarkEnd w:id="368"/>
            <w:bookmarkEnd w:id="369"/>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70" w:name="_Toc16003"/>
            <w:bookmarkStart w:id="371" w:name="_Toc29838"/>
            <w:bookmarkStart w:id="372" w:name="_Toc16432"/>
            <w:bookmarkStart w:id="373" w:name="_Toc27285"/>
            <w:bookmarkStart w:id="374" w:name="_Toc5992"/>
            <w:bookmarkStart w:id="375" w:name="_Toc5563"/>
            <w:bookmarkStart w:id="376" w:name="_Toc3701"/>
            <w:bookmarkStart w:id="377" w:name="_Toc1330"/>
            <w:bookmarkStart w:id="378" w:name="_Toc1912"/>
            <w:bookmarkStart w:id="379" w:name="_Toc17296"/>
            <w:bookmarkStart w:id="380" w:name="_Toc27185"/>
            <w:bookmarkStart w:id="381" w:name="_Toc17642"/>
            <w:bookmarkStart w:id="382" w:name="_Toc20139"/>
            <w:bookmarkStart w:id="383" w:name="_Toc20820"/>
            <w:r>
              <w:rPr>
                <w:rFonts w:hint="eastAsia" w:ascii="宋体" w:hAnsi="宋体" w:cs="宋体"/>
                <w:b w:val="0"/>
                <w:bCs w:val="0"/>
                <w:color w:val="auto"/>
                <w:sz w:val="21"/>
                <w:szCs w:val="21"/>
                <w:highlight w:val="none"/>
              </w:rPr>
              <w:t>说明</w:t>
            </w:r>
            <w:bookmarkEnd w:id="370"/>
            <w:bookmarkEnd w:id="371"/>
            <w:bookmarkEnd w:id="372"/>
            <w:bookmarkEnd w:id="373"/>
          </w:p>
        </w:tc>
        <w:tc>
          <w:tcPr>
            <w:tcW w:w="1591"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84" w:name="_Toc19105"/>
            <w:bookmarkStart w:id="385" w:name="_Toc3520"/>
            <w:bookmarkStart w:id="386" w:name="_Toc857"/>
            <w:bookmarkStart w:id="387" w:name="_Toc31920"/>
            <w:r>
              <w:rPr>
                <w:rFonts w:hint="eastAsia" w:ascii="宋体" w:hAnsi="宋体" w:cs="宋体"/>
                <w:b w:val="0"/>
                <w:bCs w:val="0"/>
                <w:color w:val="auto"/>
                <w:sz w:val="21"/>
                <w:szCs w:val="21"/>
                <w:highlight w:val="none"/>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详见响应文件第（）页</w:t>
            </w:r>
          </w:p>
        </w:tc>
      </w:tr>
    </w:tbl>
    <w:p>
      <w:pPr>
        <w:pStyle w:val="32"/>
        <w:rPr>
          <w:rFonts w:ascii="宋体" w:hAnsi="宋体"/>
          <w:color w:val="auto"/>
          <w:szCs w:val="21"/>
          <w:highlight w:val="none"/>
        </w:rPr>
      </w:pPr>
    </w:p>
    <w:p>
      <w:pPr>
        <w:pStyle w:val="32"/>
        <w:rPr>
          <w:rFonts w:ascii="宋体" w:hAnsi="宋体"/>
          <w:color w:val="auto"/>
          <w:szCs w:val="21"/>
          <w:highlight w:val="none"/>
        </w:rPr>
      </w:pPr>
      <w:r>
        <w:rPr>
          <w:rFonts w:hint="eastAsia" w:ascii="宋体" w:hAnsi="宋体"/>
          <w:color w:val="auto"/>
          <w:szCs w:val="21"/>
          <w:highlight w:val="none"/>
        </w:rPr>
        <w:t>注：</w:t>
      </w:r>
    </w:p>
    <w:p>
      <w:pPr>
        <w:pStyle w:val="32"/>
        <w:rPr>
          <w:rFonts w:ascii="宋体" w:hAnsi="宋体"/>
          <w:color w:val="auto"/>
          <w:szCs w:val="21"/>
          <w:highlight w:val="none"/>
        </w:rPr>
      </w:pPr>
      <w:r>
        <w:rPr>
          <w:rFonts w:hint="eastAsia" w:ascii="宋体" w:hAnsi="宋体"/>
          <w:color w:val="auto"/>
          <w:szCs w:val="21"/>
          <w:highlight w:val="none"/>
        </w:rPr>
        <w:t>1、供应商应逐条对照磋商文件重要评分条款，如实地说明响应情况。</w:t>
      </w:r>
    </w:p>
    <w:p>
      <w:pPr>
        <w:pStyle w:val="32"/>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2"/>
        <w:ind w:firstLine="422"/>
        <w:rPr>
          <w:rFonts w:ascii="宋体" w:hAnsi="宋体"/>
          <w:b/>
          <w:bCs/>
          <w:color w:val="auto"/>
          <w:szCs w:val="21"/>
          <w:highlight w:val="none"/>
        </w:rPr>
      </w:pPr>
      <w:r>
        <w:rPr>
          <w:rFonts w:hint="eastAsia" w:ascii="宋体" w:hAnsi="宋体"/>
          <w:b/>
          <w:bCs/>
          <w:color w:val="auto"/>
          <w:szCs w:val="21"/>
          <w:highlight w:val="none"/>
        </w:rPr>
        <w:t>3、若磋商文件未设定重要技术参数（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2"/>
        <w:rPr>
          <w:rFonts w:ascii="宋体" w:hAnsi="宋体"/>
          <w:color w:val="auto"/>
          <w:szCs w:val="21"/>
          <w:highlight w:val="none"/>
        </w:rPr>
      </w:pPr>
    </w:p>
    <w:p>
      <w:pPr>
        <w:pStyle w:val="32"/>
        <w:numPr>
          <w:ilvl w:val="0"/>
          <w:numId w:val="22"/>
        </w:numPr>
        <w:rPr>
          <w:rFonts w:ascii="黑体" w:eastAsia="黑体"/>
          <w:color w:val="auto"/>
          <w:sz w:val="32"/>
          <w:szCs w:val="32"/>
          <w:highlight w:val="none"/>
        </w:rPr>
      </w:pPr>
      <w:r>
        <w:rPr>
          <w:rFonts w:hint="eastAsia" w:ascii="宋体" w:hAnsi="宋体"/>
          <w:color w:val="auto"/>
          <w:szCs w:val="21"/>
          <w:highlight w:val="none"/>
        </w:rPr>
        <w:br w:type="page"/>
      </w:r>
    </w:p>
    <w:p>
      <w:pPr>
        <w:pStyle w:val="6"/>
        <w:jc w:val="center"/>
        <w:rPr>
          <w:color w:val="auto"/>
          <w:highlight w:val="none"/>
        </w:rPr>
      </w:pPr>
      <w:bookmarkStart w:id="388" w:name="_Toc25570"/>
      <w:bookmarkStart w:id="389" w:name="_Toc19349"/>
      <w:r>
        <w:rPr>
          <w:rFonts w:hint="eastAsia"/>
          <w:color w:val="auto"/>
          <w:highlight w:val="none"/>
        </w:rPr>
        <w:t>三、实质性条款（标记★）响应表</w:t>
      </w:r>
      <w:bookmarkEnd w:id="388"/>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磋商文件实质性条款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响应文件响应内容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详见响应文件第（）页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详见响应文件第（）页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供应商代表签字：</w:t>
      </w:r>
    </w:p>
    <w:p>
      <w:pPr>
        <w:rPr>
          <w:rFonts w:ascii="宋体" w:hAnsi="宋体"/>
          <w:color w:val="auto"/>
          <w:szCs w:val="21"/>
          <w:highlight w:val="none"/>
        </w:rPr>
      </w:pPr>
      <w:r>
        <w:rPr>
          <w:rFonts w:hint="eastAsia" w:ascii="宋体" w:hAnsi="宋体"/>
          <w:color w:val="auto"/>
          <w:szCs w:val="21"/>
          <w:highlight w:val="none"/>
        </w:rPr>
        <w:t>供应商盖章：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1、供应商应逐条对照磋商文件实质性条款，如实地说明响应情况。不满足的按无效响应文件处理。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2、若该实质性条款规定提交相关证明材料的，供应商应当提供，并附于本格式后。未按要求提供或提供不符合要求的证明材料，视为不满足，按无效响应文件处理。</w:t>
      </w:r>
    </w:p>
    <w:p>
      <w:pPr>
        <w:ind w:firstLine="420" w:firstLineChars="200"/>
        <w:rPr>
          <w:color w:val="auto"/>
          <w:highlight w:val="none"/>
        </w:rPr>
      </w:pPr>
      <w:r>
        <w:rPr>
          <w:rFonts w:hint="eastAsia"/>
          <w:color w:val="auto"/>
          <w:highlight w:val="none"/>
        </w:rPr>
        <w:t>3、若磋商文件未设定实质性条款的，可删除本格式。</w:t>
      </w:r>
    </w:p>
    <w:p>
      <w:pPr>
        <w:pStyle w:val="6"/>
        <w:jc w:val="center"/>
        <w:rPr>
          <w:color w:val="auto"/>
          <w:highlight w:val="none"/>
        </w:rPr>
      </w:pPr>
      <w:bookmarkStart w:id="390" w:name="_Toc14250"/>
      <w:r>
        <w:rPr>
          <w:rFonts w:hint="eastAsia"/>
          <w:color w:val="auto"/>
          <w:highlight w:val="none"/>
        </w:rPr>
        <w:t>四、项目技术方案</w:t>
      </w:r>
      <w:bookmarkEnd w:id="389"/>
      <w:bookmarkEnd w:id="390"/>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6"/>
        <w:jc w:val="center"/>
        <w:rPr>
          <w:color w:val="auto"/>
          <w:highlight w:val="none"/>
        </w:rPr>
      </w:pPr>
      <w:bookmarkStart w:id="391" w:name="_Toc16328"/>
      <w:bookmarkStart w:id="392" w:name="_Toc16875"/>
      <w:r>
        <w:rPr>
          <w:rFonts w:hint="eastAsia"/>
          <w:color w:val="auto"/>
          <w:highlight w:val="none"/>
        </w:rPr>
        <w:t>五、项目负责人及团队成员资料表</w:t>
      </w:r>
      <w:bookmarkEnd w:id="391"/>
      <w:bookmarkEnd w:id="392"/>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2"/>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6"/>
        <w:jc w:val="center"/>
        <w:rPr>
          <w:color w:val="auto"/>
          <w:highlight w:val="none"/>
        </w:rPr>
      </w:pPr>
      <w:bookmarkStart w:id="393" w:name="_Toc15431"/>
      <w:bookmarkStart w:id="394" w:name="_Toc27978"/>
      <w:r>
        <w:rPr>
          <w:rFonts w:hint="eastAsia"/>
          <w:color w:val="auto"/>
          <w:highlight w:val="none"/>
        </w:rPr>
        <w:t>六、响应货物明细一览表</w:t>
      </w:r>
      <w:bookmarkEnd w:id="393"/>
      <w:bookmarkEnd w:id="394"/>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供应商代表签字：</w:t>
      </w:r>
    </w:p>
    <w:p>
      <w:pPr>
        <w:rPr>
          <w:rFonts w:ascii="宋体" w:hAnsi="宋体"/>
          <w:color w:val="auto"/>
          <w:szCs w:val="21"/>
          <w:highlight w:val="none"/>
        </w:rPr>
      </w:pPr>
      <w:r>
        <w:rPr>
          <w:rFonts w:hint="eastAsia" w:ascii="宋体" w:hAnsi="宋体" w:cs="Times New Roman"/>
          <w:color w:val="auto"/>
          <w:szCs w:val="21"/>
          <w:highlight w:val="none"/>
        </w:rPr>
        <w:t>供应商盖章：</w:t>
      </w:r>
      <w:r>
        <w:rPr>
          <w:rFonts w:hint="eastAsia" w:ascii="宋体" w:hAnsi="宋体"/>
          <w:color w:val="auto"/>
          <w:szCs w:val="21"/>
          <w:highlight w:val="none"/>
        </w:rPr>
        <w:br w:type="page"/>
      </w:r>
    </w:p>
    <w:p>
      <w:pPr>
        <w:pStyle w:val="6"/>
        <w:jc w:val="center"/>
        <w:rPr>
          <w:color w:val="auto"/>
          <w:highlight w:val="none"/>
        </w:rPr>
      </w:pPr>
      <w:bookmarkStart w:id="395" w:name="_Toc31841"/>
      <w:r>
        <w:rPr>
          <w:rFonts w:hint="eastAsia"/>
          <w:color w:val="auto"/>
          <w:highlight w:val="none"/>
        </w:rPr>
        <w:t>七、政府采购履约担保函</w:t>
      </w:r>
      <w:bookmarkEnd w:id="395"/>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1．将中标项目转让给他人，或者在响应文件中未说明，且未经采购招标机构人同意，将中标项目分包给他人的；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（1）此格式为履约担保函格式，无需在响应文件中提供此格式。</w:t>
      </w:r>
    </w:p>
    <w:p>
      <w:pPr>
        <w:pStyle w:val="2"/>
        <w:rPr>
          <w:color w:val="auto"/>
          <w:highlight w:val="none"/>
        </w:rPr>
      </w:pPr>
    </w:p>
    <w:p>
      <w:pPr>
        <w:rPr>
          <w:color w:val="auto"/>
          <w:highlight w:val="none"/>
        </w:rPr>
      </w:pPr>
      <w:r>
        <w:rPr>
          <w:color w:val="auto"/>
          <w:highlight w:val="none"/>
        </w:rPr>
        <w:br w:type="page"/>
      </w:r>
    </w:p>
    <w:p>
      <w:pPr>
        <w:pStyle w:val="6"/>
        <w:jc w:val="center"/>
        <w:rPr>
          <w:color w:val="auto"/>
          <w:highlight w:val="none"/>
        </w:rPr>
      </w:pPr>
      <w:bookmarkStart w:id="396" w:name="_Toc26782"/>
      <w:bookmarkStart w:id="397" w:name="_Toc17348"/>
      <w:r>
        <w:rPr>
          <w:rFonts w:hint="eastAsia"/>
          <w:color w:val="auto"/>
          <w:highlight w:val="none"/>
        </w:rPr>
        <w:t>第四章报价信封（单独封装）</w:t>
      </w:r>
      <w:bookmarkEnd w:id="396"/>
      <w:bookmarkEnd w:id="397"/>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98"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6"/>
        <w:jc w:val="center"/>
        <w:rPr>
          <w:color w:val="auto"/>
          <w:highlight w:val="none"/>
        </w:rPr>
      </w:pPr>
      <w:bookmarkStart w:id="399" w:name="_Toc13881"/>
      <w:bookmarkStart w:id="400" w:name="_Toc22736"/>
      <w:r>
        <w:rPr>
          <w:rFonts w:hint="eastAsia"/>
          <w:color w:val="auto"/>
          <w:highlight w:val="none"/>
        </w:rPr>
        <w:t>第五章联合体共同报价协议书（如有需要）</w:t>
      </w:r>
      <w:bookmarkEnd w:id="399"/>
      <w:bookmarkEnd w:id="400"/>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以一个报价供应商的身份共同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的报价响应。经协商一致，就本</w:t>
      </w:r>
      <w:r>
        <w:rPr>
          <w:rFonts w:hint="eastAsia" w:ascii="宋体" w:hAnsi="宋体" w:cs="宋体"/>
          <w:color w:val="auto"/>
          <w:kern w:val="10"/>
          <w:szCs w:val="21"/>
          <w:highlight w:val="none"/>
        </w:rPr>
        <w:t>项目的报价响应和合同实施阶段的有关事务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2.联合体报价工作由联合体共同负责，由联合体各方组成的响应小组具体实施。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w:t>
      </w:r>
      <w:r>
        <w:rPr>
          <w:rFonts w:hint="eastAsia" w:ascii="宋体" w:hAnsi="宋体" w:cs="宋体"/>
          <w:color w:val="auto"/>
          <w:szCs w:val="21"/>
          <w:highlight w:val="none"/>
        </w:rPr>
        <w:tab/>
      </w:r>
      <w:r>
        <w:rPr>
          <w:rFonts w:hint="eastAsia" w:ascii="宋体" w:hAnsi="宋体" w:cs="宋体"/>
          <w:color w:val="auto"/>
          <w:szCs w:val="21"/>
          <w:highlight w:val="none"/>
        </w:rPr>
        <w:t xml:space="preserve"> </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98"/>
    <w:p>
      <w:pPr>
        <w:jc w:val="both"/>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rPr>
          <w:color w:val="auto"/>
          <w:highlight w:val="none"/>
        </w:rPr>
      </w:pPr>
    </w:p>
    <w:p>
      <w:pPr>
        <w:pStyle w:val="2"/>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2"/>
        <w:tblW w:w="4998" w:type="pct"/>
        <w:tblInd w:w="0" w:type="dxa"/>
        <w:tblLayout w:type="fixed"/>
        <w:tblCellMar>
          <w:top w:w="0" w:type="dxa"/>
          <w:left w:w="108" w:type="dxa"/>
          <w:bottom w:w="0" w:type="dxa"/>
          <w:right w:w="108" w:type="dxa"/>
        </w:tblCellMar>
      </w:tblPr>
      <w:tblGrid>
        <w:gridCol w:w="2768"/>
        <w:gridCol w:w="2355"/>
        <w:gridCol w:w="1440"/>
        <w:gridCol w:w="1956"/>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pPr>
              <w:numPr>
                <w:ilvl w:val="0"/>
                <w:numId w:val="23"/>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pPr>
              <w:numPr>
                <w:ilvl w:val="0"/>
                <w:numId w:val="23"/>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pPr>
              <w:numPr>
                <w:ilvl w:val="0"/>
                <w:numId w:val="23"/>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vertAlign w:val="subscript"/>
              </w:rPr>
              <w:t xml:space="preserve"> </w:t>
            </w: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u w:val="single"/>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人民币300元/份</w:t>
            </w:r>
          </w:p>
        </w:tc>
      </w:tr>
    </w:tbl>
    <w:p>
      <w:pPr>
        <w:pStyle w:val="3"/>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77</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pPr>
                      <w:pStyle w:val="13"/>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3"/>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pPr>
                      <w:pStyle w:val="13"/>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36</w:t>
                          </w:r>
                          <w: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36</w:t>
                    </w:r>
                    <w: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rPr>
          <w:rFonts w:eastAsia="微软雅黑"/>
        </w:rPr>
      </w:pPr>
      <w:r>
        <w:rPr>
          <w:rStyle w:val="28"/>
        </w:rPr>
        <w:footnoteRef/>
      </w:r>
      <w:r>
        <w:t xml:space="preserve"> </w:t>
      </w:r>
      <w:r>
        <w:rPr>
          <w:rFonts w:hint="eastAsia"/>
        </w:rPr>
        <w:t>从业人员、营业人员、资产总额填报上一年度数据，无上一年度数据的新成立企业可不填报。</w:t>
      </w:r>
    </w:p>
  </w:footnote>
  <w:footnote w:id="1">
    <w:p>
      <w:pPr>
        <w:pStyle w:val="19"/>
      </w:pPr>
      <w:r>
        <w:rPr>
          <w:rStyle w:val="28"/>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316010E5"/>
    <w:multiLevelType w:val="singleLevel"/>
    <w:tmpl w:val="316010E5"/>
    <w:lvl w:ilvl="0" w:tentative="0">
      <w:start w:val="1"/>
      <w:numFmt w:val="decimal"/>
      <w:suff w:val="nothing"/>
      <w:lvlText w:val="%1．"/>
      <w:lvlJc w:val="left"/>
    </w:lvl>
  </w:abstractNum>
  <w:abstractNum w:abstractNumId="16">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7">
    <w:nsid w:val="3B1B8417"/>
    <w:multiLevelType w:val="singleLevel"/>
    <w:tmpl w:val="3B1B8417"/>
    <w:lvl w:ilvl="0" w:tentative="0">
      <w:start w:val="1"/>
      <w:numFmt w:val="decimal"/>
      <w:suff w:val="nothing"/>
      <w:lvlText w:val="%1、"/>
      <w:lvlJc w:val="left"/>
    </w:lvl>
  </w:abstractNum>
  <w:abstractNum w:abstractNumId="18">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9">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0">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1">
    <w:nsid w:val="6E5CE7BD"/>
    <w:multiLevelType w:val="singleLevel"/>
    <w:tmpl w:val="6E5CE7BD"/>
    <w:lvl w:ilvl="0" w:tentative="0">
      <w:start w:val="1"/>
      <w:numFmt w:val="chineseCounting"/>
      <w:suff w:val="nothing"/>
      <w:lvlText w:val="%1、"/>
      <w:lvlJc w:val="left"/>
      <w:rPr>
        <w:rFonts w:hint="eastAsia"/>
      </w:rPr>
    </w:lvl>
  </w:abstractNum>
  <w:abstractNum w:abstractNumId="22">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1"/>
  </w:num>
  <w:num w:numId="2">
    <w:abstractNumId w:val="17"/>
  </w:num>
  <w:num w:numId="3">
    <w:abstractNumId w:val="10"/>
  </w:num>
  <w:num w:numId="4">
    <w:abstractNumId w:val="22"/>
  </w:num>
  <w:num w:numId="5">
    <w:abstractNumId w:val="18"/>
  </w:num>
  <w:num w:numId="6">
    <w:abstractNumId w:val="4"/>
  </w:num>
  <w:num w:numId="7">
    <w:abstractNumId w:val="5"/>
  </w:num>
  <w:num w:numId="8">
    <w:abstractNumId w:val="0"/>
  </w:num>
  <w:num w:numId="9">
    <w:abstractNumId w:val="1"/>
  </w:num>
  <w:num w:numId="10">
    <w:abstractNumId w:val="16"/>
  </w:num>
  <w:num w:numId="11">
    <w:abstractNumId w:val="14"/>
  </w:num>
  <w:num w:numId="12">
    <w:abstractNumId w:val="7"/>
  </w:num>
  <w:num w:numId="13">
    <w:abstractNumId w:val="6"/>
  </w:num>
  <w:num w:numId="14">
    <w:abstractNumId w:val="19"/>
  </w:num>
  <w:num w:numId="15">
    <w:abstractNumId w:val="3"/>
  </w:num>
  <w:num w:numId="16">
    <w:abstractNumId w:val="9"/>
  </w:num>
  <w:num w:numId="17">
    <w:abstractNumId w:val="12"/>
  </w:num>
  <w:num w:numId="18">
    <w:abstractNumId w:val="13"/>
  </w:num>
  <w:num w:numId="19">
    <w:abstractNumId w:val="20"/>
  </w:num>
  <w:num w:numId="20">
    <w:abstractNumId w:val="8"/>
  </w:num>
  <w:num w:numId="21">
    <w:abstractNumId w:val="11"/>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10EF5"/>
    <w:rsid w:val="00320CEA"/>
    <w:rsid w:val="00323B43"/>
    <w:rsid w:val="00326831"/>
    <w:rsid w:val="003274CE"/>
    <w:rsid w:val="003430F6"/>
    <w:rsid w:val="0037767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223AE"/>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088A"/>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6EC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964E2"/>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272C0"/>
    <w:rsid w:val="00E405AC"/>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5A6318"/>
    <w:rsid w:val="018023CE"/>
    <w:rsid w:val="01881AD6"/>
    <w:rsid w:val="01B40242"/>
    <w:rsid w:val="01B938AA"/>
    <w:rsid w:val="01E74B6E"/>
    <w:rsid w:val="02126CDB"/>
    <w:rsid w:val="021832B7"/>
    <w:rsid w:val="021B6F64"/>
    <w:rsid w:val="024E2E49"/>
    <w:rsid w:val="02A741FD"/>
    <w:rsid w:val="02B56B0A"/>
    <w:rsid w:val="02C16E5D"/>
    <w:rsid w:val="02D964CF"/>
    <w:rsid w:val="02DC3F04"/>
    <w:rsid w:val="031F2043"/>
    <w:rsid w:val="0340787C"/>
    <w:rsid w:val="03707410"/>
    <w:rsid w:val="037F03E3"/>
    <w:rsid w:val="03A0770F"/>
    <w:rsid w:val="03A27BF9"/>
    <w:rsid w:val="03A448B8"/>
    <w:rsid w:val="03A4578A"/>
    <w:rsid w:val="03AD071E"/>
    <w:rsid w:val="03D10969"/>
    <w:rsid w:val="044C08CC"/>
    <w:rsid w:val="0475493D"/>
    <w:rsid w:val="04DF1036"/>
    <w:rsid w:val="050F6021"/>
    <w:rsid w:val="05A97DEC"/>
    <w:rsid w:val="05C81981"/>
    <w:rsid w:val="06BC41F2"/>
    <w:rsid w:val="06DF3DBD"/>
    <w:rsid w:val="07197D08"/>
    <w:rsid w:val="071C2CFD"/>
    <w:rsid w:val="071E5C55"/>
    <w:rsid w:val="073A47CB"/>
    <w:rsid w:val="073F7319"/>
    <w:rsid w:val="07536A42"/>
    <w:rsid w:val="07595F41"/>
    <w:rsid w:val="07615EC0"/>
    <w:rsid w:val="077005AB"/>
    <w:rsid w:val="077E1A2E"/>
    <w:rsid w:val="078F4581"/>
    <w:rsid w:val="07995C5E"/>
    <w:rsid w:val="07BE179A"/>
    <w:rsid w:val="07BF027F"/>
    <w:rsid w:val="08031A31"/>
    <w:rsid w:val="081A5CC7"/>
    <w:rsid w:val="08534FC3"/>
    <w:rsid w:val="08A276E5"/>
    <w:rsid w:val="08CE10B0"/>
    <w:rsid w:val="08F44B12"/>
    <w:rsid w:val="09061A75"/>
    <w:rsid w:val="09087948"/>
    <w:rsid w:val="09182241"/>
    <w:rsid w:val="09242E62"/>
    <w:rsid w:val="09376A22"/>
    <w:rsid w:val="093C069F"/>
    <w:rsid w:val="09417888"/>
    <w:rsid w:val="095909FF"/>
    <w:rsid w:val="09855177"/>
    <w:rsid w:val="09870F93"/>
    <w:rsid w:val="09D658E4"/>
    <w:rsid w:val="09F1637C"/>
    <w:rsid w:val="0A25628F"/>
    <w:rsid w:val="0A290B50"/>
    <w:rsid w:val="0A5D1459"/>
    <w:rsid w:val="0AA534D5"/>
    <w:rsid w:val="0AA650EB"/>
    <w:rsid w:val="0AB8066A"/>
    <w:rsid w:val="0AF47339"/>
    <w:rsid w:val="0B22594B"/>
    <w:rsid w:val="0B6709D0"/>
    <w:rsid w:val="0B797387"/>
    <w:rsid w:val="0B9A670B"/>
    <w:rsid w:val="0BC044BE"/>
    <w:rsid w:val="0BDF26F7"/>
    <w:rsid w:val="0BE9004A"/>
    <w:rsid w:val="0C264099"/>
    <w:rsid w:val="0C2B4952"/>
    <w:rsid w:val="0C5B112B"/>
    <w:rsid w:val="0C7B2220"/>
    <w:rsid w:val="0D527BA9"/>
    <w:rsid w:val="0D890E47"/>
    <w:rsid w:val="0DC64A00"/>
    <w:rsid w:val="0DFC60BA"/>
    <w:rsid w:val="0DFF4FAE"/>
    <w:rsid w:val="0E236A8E"/>
    <w:rsid w:val="0E4249F1"/>
    <w:rsid w:val="0EC87A33"/>
    <w:rsid w:val="0F6C5A53"/>
    <w:rsid w:val="0F7C5FF6"/>
    <w:rsid w:val="0FC63FBD"/>
    <w:rsid w:val="1054002E"/>
    <w:rsid w:val="106C564D"/>
    <w:rsid w:val="107B7B8F"/>
    <w:rsid w:val="107C67CE"/>
    <w:rsid w:val="108F06C9"/>
    <w:rsid w:val="109D68CB"/>
    <w:rsid w:val="10A949B8"/>
    <w:rsid w:val="10AD0AFE"/>
    <w:rsid w:val="10C54639"/>
    <w:rsid w:val="10D73F5D"/>
    <w:rsid w:val="10DC50D7"/>
    <w:rsid w:val="11200D07"/>
    <w:rsid w:val="11625FCC"/>
    <w:rsid w:val="11DA73AF"/>
    <w:rsid w:val="12C60D80"/>
    <w:rsid w:val="12E71C6B"/>
    <w:rsid w:val="131F7A3A"/>
    <w:rsid w:val="132645D0"/>
    <w:rsid w:val="13455ABC"/>
    <w:rsid w:val="1370322B"/>
    <w:rsid w:val="13B27845"/>
    <w:rsid w:val="13BE469F"/>
    <w:rsid w:val="13DA7D2E"/>
    <w:rsid w:val="13F87121"/>
    <w:rsid w:val="141A03E1"/>
    <w:rsid w:val="142712D7"/>
    <w:rsid w:val="143B2E0B"/>
    <w:rsid w:val="14672B11"/>
    <w:rsid w:val="14861CDF"/>
    <w:rsid w:val="14892735"/>
    <w:rsid w:val="14CC769D"/>
    <w:rsid w:val="14CF59E6"/>
    <w:rsid w:val="15735E00"/>
    <w:rsid w:val="157D38E3"/>
    <w:rsid w:val="15D359D7"/>
    <w:rsid w:val="15D81E0F"/>
    <w:rsid w:val="161771F3"/>
    <w:rsid w:val="16222D6D"/>
    <w:rsid w:val="163C77BE"/>
    <w:rsid w:val="16453F42"/>
    <w:rsid w:val="16632F86"/>
    <w:rsid w:val="1679588C"/>
    <w:rsid w:val="16994962"/>
    <w:rsid w:val="169E6A82"/>
    <w:rsid w:val="16A71041"/>
    <w:rsid w:val="16AA24BF"/>
    <w:rsid w:val="16F72341"/>
    <w:rsid w:val="1700420E"/>
    <w:rsid w:val="17141A67"/>
    <w:rsid w:val="17680CAB"/>
    <w:rsid w:val="176E4128"/>
    <w:rsid w:val="1783371F"/>
    <w:rsid w:val="17B364CE"/>
    <w:rsid w:val="17E62B67"/>
    <w:rsid w:val="180C0192"/>
    <w:rsid w:val="180F4499"/>
    <w:rsid w:val="18213E65"/>
    <w:rsid w:val="18221ECE"/>
    <w:rsid w:val="190B7894"/>
    <w:rsid w:val="19135859"/>
    <w:rsid w:val="196F5988"/>
    <w:rsid w:val="19A2789F"/>
    <w:rsid w:val="1A2F4323"/>
    <w:rsid w:val="1A3109F9"/>
    <w:rsid w:val="1A460CF5"/>
    <w:rsid w:val="1A7F297D"/>
    <w:rsid w:val="1AB16AC1"/>
    <w:rsid w:val="1AFB0952"/>
    <w:rsid w:val="1B034A52"/>
    <w:rsid w:val="1B1F34AD"/>
    <w:rsid w:val="1B8D5DC6"/>
    <w:rsid w:val="1BA7712F"/>
    <w:rsid w:val="1BFE1D3B"/>
    <w:rsid w:val="1C2775EC"/>
    <w:rsid w:val="1C6366A4"/>
    <w:rsid w:val="1C750ECE"/>
    <w:rsid w:val="1C80464F"/>
    <w:rsid w:val="1CA22168"/>
    <w:rsid w:val="1D0836D7"/>
    <w:rsid w:val="1D196139"/>
    <w:rsid w:val="1D3A2A58"/>
    <w:rsid w:val="1D745B02"/>
    <w:rsid w:val="1D8F3BFE"/>
    <w:rsid w:val="1DB85900"/>
    <w:rsid w:val="1DF051AF"/>
    <w:rsid w:val="1E010AF7"/>
    <w:rsid w:val="1E0178EB"/>
    <w:rsid w:val="1E301173"/>
    <w:rsid w:val="1E38333E"/>
    <w:rsid w:val="1E5C7612"/>
    <w:rsid w:val="1EA40BB4"/>
    <w:rsid w:val="1F0A239C"/>
    <w:rsid w:val="1F43381C"/>
    <w:rsid w:val="1F84495C"/>
    <w:rsid w:val="1FA4148D"/>
    <w:rsid w:val="1FA86F5D"/>
    <w:rsid w:val="200E7BD0"/>
    <w:rsid w:val="20121621"/>
    <w:rsid w:val="201A421D"/>
    <w:rsid w:val="20341172"/>
    <w:rsid w:val="204E554F"/>
    <w:rsid w:val="20590035"/>
    <w:rsid w:val="20656A2F"/>
    <w:rsid w:val="20857532"/>
    <w:rsid w:val="20C35213"/>
    <w:rsid w:val="20FC799E"/>
    <w:rsid w:val="22154DDD"/>
    <w:rsid w:val="22213E42"/>
    <w:rsid w:val="22336873"/>
    <w:rsid w:val="227F3515"/>
    <w:rsid w:val="22CB610F"/>
    <w:rsid w:val="23175889"/>
    <w:rsid w:val="2373706C"/>
    <w:rsid w:val="238C2182"/>
    <w:rsid w:val="239015D1"/>
    <w:rsid w:val="23BB4E7D"/>
    <w:rsid w:val="23C172D6"/>
    <w:rsid w:val="23F04F64"/>
    <w:rsid w:val="24814CBE"/>
    <w:rsid w:val="24AC168B"/>
    <w:rsid w:val="258C3BEC"/>
    <w:rsid w:val="25A92CDD"/>
    <w:rsid w:val="25D7415A"/>
    <w:rsid w:val="25E44366"/>
    <w:rsid w:val="25E576CC"/>
    <w:rsid w:val="260E3862"/>
    <w:rsid w:val="262569FC"/>
    <w:rsid w:val="26344C98"/>
    <w:rsid w:val="26E009A8"/>
    <w:rsid w:val="26F56CE2"/>
    <w:rsid w:val="27435D49"/>
    <w:rsid w:val="27A34F71"/>
    <w:rsid w:val="27B36A67"/>
    <w:rsid w:val="27EB0D9B"/>
    <w:rsid w:val="286602C8"/>
    <w:rsid w:val="28665C95"/>
    <w:rsid w:val="28872B17"/>
    <w:rsid w:val="28A64522"/>
    <w:rsid w:val="28CC5B40"/>
    <w:rsid w:val="28FB7971"/>
    <w:rsid w:val="290B3EB9"/>
    <w:rsid w:val="291418C2"/>
    <w:rsid w:val="2950768C"/>
    <w:rsid w:val="297A5FC4"/>
    <w:rsid w:val="2A1113BC"/>
    <w:rsid w:val="2A1E2AFB"/>
    <w:rsid w:val="2A41096D"/>
    <w:rsid w:val="2A586210"/>
    <w:rsid w:val="2A6468E7"/>
    <w:rsid w:val="2A803BCC"/>
    <w:rsid w:val="2A8D4F8F"/>
    <w:rsid w:val="2A911082"/>
    <w:rsid w:val="2A917B34"/>
    <w:rsid w:val="2AA57485"/>
    <w:rsid w:val="2ACA6816"/>
    <w:rsid w:val="2AE3766F"/>
    <w:rsid w:val="2B7E4054"/>
    <w:rsid w:val="2B9B40AD"/>
    <w:rsid w:val="2B9E737C"/>
    <w:rsid w:val="2BF22742"/>
    <w:rsid w:val="2BFE62A1"/>
    <w:rsid w:val="2C987C56"/>
    <w:rsid w:val="2CFF149A"/>
    <w:rsid w:val="2D1B54A6"/>
    <w:rsid w:val="2D201865"/>
    <w:rsid w:val="2D352080"/>
    <w:rsid w:val="2D4B5CEA"/>
    <w:rsid w:val="2D652658"/>
    <w:rsid w:val="2DC80C49"/>
    <w:rsid w:val="2DCA6355"/>
    <w:rsid w:val="2DF0699F"/>
    <w:rsid w:val="2DF36FAB"/>
    <w:rsid w:val="2E166748"/>
    <w:rsid w:val="2E556F01"/>
    <w:rsid w:val="2E8E20B4"/>
    <w:rsid w:val="2ED06066"/>
    <w:rsid w:val="2ED1223D"/>
    <w:rsid w:val="2EE470F7"/>
    <w:rsid w:val="2F000139"/>
    <w:rsid w:val="2F3C426E"/>
    <w:rsid w:val="2F561B8A"/>
    <w:rsid w:val="2F9F42DC"/>
    <w:rsid w:val="2FE04319"/>
    <w:rsid w:val="2FF37AB3"/>
    <w:rsid w:val="30AD49F0"/>
    <w:rsid w:val="30FF27D2"/>
    <w:rsid w:val="311573CF"/>
    <w:rsid w:val="31170995"/>
    <w:rsid w:val="31264A30"/>
    <w:rsid w:val="315A05DC"/>
    <w:rsid w:val="31884E67"/>
    <w:rsid w:val="31A0275E"/>
    <w:rsid w:val="31B7357A"/>
    <w:rsid w:val="31C57D2E"/>
    <w:rsid w:val="31E14405"/>
    <w:rsid w:val="31ED6B08"/>
    <w:rsid w:val="31F915C9"/>
    <w:rsid w:val="322650EA"/>
    <w:rsid w:val="323C02EE"/>
    <w:rsid w:val="32610CE6"/>
    <w:rsid w:val="328464CE"/>
    <w:rsid w:val="32AB70C5"/>
    <w:rsid w:val="32D228C1"/>
    <w:rsid w:val="32DC33E0"/>
    <w:rsid w:val="3307027A"/>
    <w:rsid w:val="335D0AF5"/>
    <w:rsid w:val="33614D0F"/>
    <w:rsid w:val="3370088C"/>
    <w:rsid w:val="33A3154A"/>
    <w:rsid w:val="33DC2F78"/>
    <w:rsid w:val="3428227C"/>
    <w:rsid w:val="343B1793"/>
    <w:rsid w:val="34672D35"/>
    <w:rsid w:val="35260F83"/>
    <w:rsid w:val="35602226"/>
    <w:rsid w:val="356B72E7"/>
    <w:rsid w:val="3572424F"/>
    <w:rsid w:val="35FC3844"/>
    <w:rsid w:val="36213401"/>
    <w:rsid w:val="36794DEF"/>
    <w:rsid w:val="36AD519D"/>
    <w:rsid w:val="36B57705"/>
    <w:rsid w:val="37302382"/>
    <w:rsid w:val="37406AD8"/>
    <w:rsid w:val="374F1A0B"/>
    <w:rsid w:val="37A103ED"/>
    <w:rsid w:val="37EA5E6E"/>
    <w:rsid w:val="37FF016F"/>
    <w:rsid w:val="38427C0B"/>
    <w:rsid w:val="387C5ABE"/>
    <w:rsid w:val="389B3A1E"/>
    <w:rsid w:val="38EB6119"/>
    <w:rsid w:val="397F4BA9"/>
    <w:rsid w:val="399E320F"/>
    <w:rsid w:val="39DE33DA"/>
    <w:rsid w:val="39FA5B4A"/>
    <w:rsid w:val="39FE0BE9"/>
    <w:rsid w:val="3A03179B"/>
    <w:rsid w:val="3A152386"/>
    <w:rsid w:val="3A3C1AAF"/>
    <w:rsid w:val="3A4B7CC1"/>
    <w:rsid w:val="3A51228C"/>
    <w:rsid w:val="3A552E60"/>
    <w:rsid w:val="3A5D642F"/>
    <w:rsid w:val="3AB210FC"/>
    <w:rsid w:val="3ACE216B"/>
    <w:rsid w:val="3AD95C13"/>
    <w:rsid w:val="3B261E51"/>
    <w:rsid w:val="3B647E81"/>
    <w:rsid w:val="3B8D031E"/>
    <w:rsid w:val="3B973F88"/>
    <w:rsid w:val="3BC95762"/>
    <w:rsid w:val="3BCD72F7"/>
    <w:rsid w:val="3C414142"/>
    <w:rsid w:val="3C706881"/>
    <w:rsid w:val="3C9121FF"/>
    <w:rsid w:val="3CE114D9"/>
    <w:rsid w:val="3CF737A2"/>
    <w:rsid w:val="3CF7509A"/>
    <w:rsid w:val="3D10295A"/>
    <w:rsid w:val="3E0572FD"/>
    <w:rsid w:val="3E1A5292"/>
    <w:rsid w:val="3E5A7FE7"/>
    <w:rsid w:val="3E5C1C9B"/>
    <w:rsid w:val="3EC8179E"/>
    <w:rsid w:val="3EEA70F2"/>
    <w:rsid w:val="3EF66B2E"/>
    <w:rsid w:val="3F217914"/>
    <w:rsid w:val="3FD70BB0"/>
    <w:rsid w:val="3FFB55AC"/>
    <w:rsid w:val="401C5F9D"/>
    <w:rsid w:val="401C690C"/>
    <w:rsid w:val="401D7195"/>
    <w:rsid w:val="402B7BB0"/>
    <w:rsid w:val="406C71E8"/>
    <w:rsid w:val="40A51286"/>
    <w:rsid w:val="40CE3DC0"/>
    <w:rsid w:val="40D7455A"/>
    <w:rsid w:val="40E743E5"/>
    <w:rsid w:val="4110038E"/>
    <w:rsid w:val="413015F5"/>
    <w:rsid w:val="41635215"/>
    <w:rsid w:val="41734CBA"/>
    <w:rsid w:val="41DD7057"/>
    <w:rsid w:val="420F7A65"/>
    <w:rsid w:val="4216611A"/>
    <w:rsid w:val="423E300F"/>
    <w:rsid w:val="425656C8"/>
    <w:rsid w:val="4257273C"/>
    <w:rsid w:val="425D7213"/>
    <w:rsid w:val="42677B61"/>
    <w:rsid w:val="42756DB0"/>
    <w:rsid w:val="42B21AD2"/>
    <w:rsid w:val="42C125C2"/>
    <w:rsid w:val="42DA7D24"/>
    <w:rsid w:val="42FD694D"/>
    <w:rsid w:val="434A6D8F"/>
    <w:rsid w:val="4397723B"/>
    <w:rsid w:val="43D522BF"/>
    <w:rsid w:val="43FA5777"/>
    <w:rsid w:val="44044D92"/>
    <w:rsid w:val="44047860"/>
    <w:rsid w:val="441C1611"/>
    <w:rsid w:val="44212CEC"/>
    <w:rsid w:val="443C440B"/>
    <w:rsid w:val="443F7DBF"/>
    <w:rsid w:val="44514F52"/>
    <w:rsid w:val="446D66E7"/>
    <w:rsid w:val="448965CB"/>
    <w:rsid w:val="44C5497E"/>
    <w:rsid w:val="44FA2D53"/>
    <w:rsid w:val="4571374F"/>
    <w:rsid w:val="458B1BB0"/>
    <w:rsid w:val="45A67760"/>
    <w:rsid w:val="4611075B"/>
    <w:rsid w:val="46214818"/>
    <w:rsid w:val="46621326"/>
    <w:rsid w:val="467A0297"/>
    <w:rsid w:val="468B7125"/>
    <w:rsid w:val="46C4691F"/>
    <w:rsid w:val="47841568"/>
    <w:rsid w:val="479D1D34"/>
    <w:rsid w:val="47B609C0"/>
    <w:rsid w:val="47CF543E"/>
    <w:rsid w:val="48001109"/>
    <w:rsid w:val="480220DE"/>
    <w:rsid w:val="48044F7F"/>
    <w:rsid w:val="48094815"/>
    <w:rsid w:val="482D31EA"/>
    <w:rsid w:val="485970A0"/>
    <w:rsid w:val="48847961"/>
    <w:rsid w:val="48A41906"/>
    <w:rsid w:val="48B65C71"/>
    <w:rsid w:val="48BB5EC4"/>
    <w:rsid w:val="48F303D7"/>
    <w:rsid w:val="492837FF"/>
    <w:rsid w:val="492E6A57"/>
    <w:rsid w:val="49B86103"/>
    <w:rsid w:val="49E62540"/>
    <w:rsid w:val="49FC25A3"/>
    <w:rsid w:val="4A0030EE"/>
    <w:rsid w:val="4A243364"/>
    <w:rsid w:val="4AB75B3A"/>
    <w:rsid w:val="4AC36065"/>
    <w:rsid w:val="4B560086"/>
    <w:rsid w:val="4B7501F5"/>
    <w:rsid w:val="4B8C2DEB"/>
    <w:rsid w:val="4BFA3C9F"/>
    <w:rsid w:val="4C0E3379"/>
    <w:rsid w:val="4C107F48"/>
    <w:rsid w:val="4C3277BC"/>
    <w:rsid w:val="4C686851"/>
    <w:rsid w:val="4CC353EB"/>
    <w:rsid w:val="4CDB1AE6"/>
    <w:rsid w:val="4CF36F3C"/>
    <w:rsid w:val="4CFC69A5"/>
    <w:rsid w:val="4D1C7703"/>
    <w:rsid w:val="4D4F67BA"/>
    <w:rsid w:val="4D603399"/>
    <w:rsid w:val="4D867EE1"/>
    <w:rsid w:val="4DBC4C65"/>
    <w:rsid w:val="4DF6568D"/>
    <w:rsid w:val="4E2E1A80"/>
    <w:rsid w:val="4E550010"/>
    <w:rsid w:val="4E5F14CB"/>
    <w:rsid w:val="4ED109FE"/>
    <w:rsid w:val="4ED95E04"/>
    <w:rsid w:val="4EED7FC5"/>
    <w:rsid w:val="4F3705F8"/>
    <w:rsid w:val="4F8937A0"/>
    <w:rsid w:val="4FAC3540"/>
    <w:rsid w:val="4FBB12F4"/>
    <w:rsid w:val="4FCF1583"/>
    <w:rsid w:val="4FFA7625"/>
    <w:rsid w:val="501B0BF9"/>
    <w:rsid w:val="507D2599"/>
    <w:rsid w:val="508D162B"/>
    <w:rsid w:val="50904151"/>
    <w:rsid w:val="5096229D"/>
    <w:rsid w:val="50B44FCE"/>
    <w:rsid w:val="50C57353"/>
    <w:rsid w:val="50DC4184"/>
    <w:rsid w:val="51475B39"/>
    <w:rsid w:val="514C3EA7"/>
    <w:rsid w:val="519849E5"/>
    <w:rsid w:val="51B36892"/>
    <w:rsid w:val="51E44D3C"/>
    <w:rsid w:val="51F1460D"/>
    <w:rsid w:val="524A036B"/>
    <w:rsid w:val="52506DA7"/>
    <w:rsid w:val="529D471C"/>
    <w:rsid w:val="533B2B84"/>
    <w:rsid w:val="535F3BF1"/>
    <w:rsid w:val="537A7243"/>
    <w:rsid w:val="539C1B81"/>
    <w:rsid w:val="53AA6184"/>
    <w:rsid w:val="53AE750F"/>
    <w:rsid w:val="53EB0895"/>
    <w:rsid w:val="53F263AD"/>
    <w:rsid w:val="54693932"/>
    <w:rsid w:val="549A6BFA"/>
    <w:rsid w:val="54A6423F"/>
    <w:rsid w:val="54E72921"/>
    <w:rsid w:val="55806F07"/>
    <w:rsid w:val="5597484E"/>
    <w:rsid w:val="55A44ACC"/>
    <w:rsid w:val="55D9752F"/>
    <w:rsid w:val="55FA2961"/>
    <w:rsid w:val="565E7F4F"/>
    <w:rsid w:val="56775789"/>
    <w:rsid w:val="56857D06"/>
    <w:rsid w:val="56914056"/>
    <w:rsid w:val="569921D3"/>
    <w:rsid w:val="569F0E63"/>
    <w:rsid w:val="56A05DC4"/>
    <w:rsid w:val="56DB613D"/>
    <w:rsid w:val="573810DA"/>
    <w:rsid w:val="57FC2169"/>
    <w:rsid w:val="58096275"/>
    <w:rsid w:val="580E4560"/>
    <w:rsid w:val="581C04F1"/>
    <w:rsid w:val="5820690C"/>
    <w:rsid w:val="582E6EF7"/>
    <w:rsid w:val="58434392"/>
    <w:rsid w:val="584E30E6"/>
    <w:rsid w:val="58730085"/>
    <w:rsid w:val="587627C6"/>
    <w:rsid w:val="59014D02"/>
    <w:rsid w:val="592E16F6"/>
    <w:rsid w:val="597B384D"/>
    <w:rsid w:val="59996DA8"/>
    <w:rsid w:val="59AC3CE9"/>
    <w:rsid w:val="59AE0618"/>
    <w:rsid w:val="59C30F1B"/>
    <w:rsid w:val="5A0D5854"/>
    <w:rsid w:val="5A20156F"/>
    <w:rsid w:val="5A2A32CF"/>
    <w:rsid w:val="5A2F40E0"/>
    <w:rsid w:val="5A7F69E8"/>
    <w:rsid w:val="5A860838"/>
    <w:rsid w:val="5A9847F3"/>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7C2768"/>
    <w:rsid w:val="5CB23AE6"/>
    <w:rsid w:val="5CF55792"/>
    <w:rsid w:val="5CFD533A"/>
    <w:rsid w:val="5D2F72C2"/>
    <w:rsid w:val="5D380EAD"/>
    <w:rsid w:val="5D893B14"/>
    <w:rsid w:val="5DD4276B"/>
    <w:rsid w:val="5E227B93"/>
    <w:rsid w:val="5E2810D5"/>
    <w:rsid w:val="5E2B7D62"/>
    <w:rsid w:val="5E71411E"/>
    <w:rsid w:val="5EA06921"/>
    <w:rsid w:val="5ED5006A"/>
    <w:rsid w:val="5F236957"/>
    <w:rsid w:val="5F576E4B"/>
    <w:rsid w:val="5F5D4EDE"/>
    <w:rsid w:val="5F6B0B65"/>
    <w:rsid w:val="5F7A2C30"/>
    <w:rsid w:val="5FBE370A"/>
    <w:rsid w:val="5FD62906"/>
    <w:rsid w:val="60292845"/>
    <w:rsid w:val="60403E3A"/>
    <w:rsid w:val="60603AB3"/>
    <w:rsid w:val="61027308"/>
    <w:rsid w:val="612E1A5D"/>
    <w:rsid w:val="614F559F"/>
    <w:rsid w:val="616A73F6"/>
    <w:rsid w:val="61816046"/>
    <w:rsid w:val="61EB2991"/>
    <w:rsid w:val="62182687"/>
    <w:rsid w:val="62391564"/>
    <w:rsid w:val="62683FE2"/>
    <w:rsid w:val="62816669"/>
    <w:rsid w:val="62BA0953"/>
    <w:rsid w:val="62D03A7C"/>
    <w:rsid w:val="62F16BCB"/>
    <w:rsid w:val="62F648FE"/>
    <w:rsid w:val="63341DB1"/>
    <w:rsid w:val="63447612"/>
    <w:rsid w:val="63907004"/>
    <w:rsid w:val="639A73C1"/>
    <w:rsid w:val="63A10995"/>
    <w:rsid w:val="63A573AB"/>
    <w:rsid w:val="63B73E59"/>
    <w:rsid w:val="63C23EFA"/>
    <w:rsid w:val="63C41DAE"/>
    <w:rsid w:val="63E52E10"/>
    <w:rsid w:val="64210135"/>
    <w:rsid w:val="643A070A"/>
    <w:rsid w:val="64412651"/>
    <w:rsid w:val="644C573D"/>
    <w:rsid w:val="64660CBB"/>
    <w:rsid w:val="648667A7"/>
    <w:rsid w:val="64DB383A"/>
    <w:rsid w:val="65032F85"/>
    <w:rsid w:val="65136B50"/>
    <w:rsid w:val="657E2A35"/>
    <w:rsid w:val="6588751C"/>
    <w:rsid w:val="65A94E9D"/>
    <w:rsid w:val="65C60A92"/>
    <w:rsid w:val="65C7105B"/>
    <w:rsid w:val="65F3550D"/>
    <w:rsid w:val="662203DD"/>
    <w:rsid w:val="66576253"/>
    <w:rsid w:val="666B723B"/>
    <w:rsid w:val="6678045A"/>
    <w:rsid w:val="66DD6702"/>
    <w:rsid w:val="679406CB"/>
    <w:rsid w:val="67C35C0B"/>
    <w:rsid w:val="681233D2"/>
    <w:rsid w:val="681D5EE5"/>
    <w:rsid w:val="68652AB3"/>
    <w:rsid w:val="688B6C68"/>
    <w:rsid w:val="689F1926"/>
    <w:rsid w:val="68AD17BB"/>
    <w:rsid w:val="68D94D22"/>
    <w:rsid w:val="6919731F"/>
    <w:rsid w:val="692B2E4A"/>
    <w:rsid w:val="694303FB"/>
    <w:rsid w:val="696A0B34"/>
    <w:rsid w:val="698D6A17"/>
    <w:rsid w:val="69A233E7"/>
    <w:rsid w:val="69CE4D82"/>
    <w:rsid w:val="69EE3535"/>
    <w:rsid w:val="69F954C1"/>
    <w:rsid w:val="6A2031B6"/>
    <w:rsid w:val="6A440C53"/>
    <w:rsid w:val="6A6B71AD"/>
    <w:rsid w:val="6A882AD0"/>
    <w:rsid w:val="6AC61F6F"/>
    <w:rsid w:val="6ADE74F0"/>
    <w:rsid w:val="6B1002C0"/>
    <w:rsid w:val="6B1F5CFA"/>
    <w:rsid w:val="6B577FA5"/>
    <w:rsid w:val="6B723594"/>
    <w:rsid w:val="6B805156"/>
    <w:rsid w:val="6B9A1267"/>
    <w:rsid w:val="6BD50977"/>
    <w:rsid w:val="6BEA0C87"/>
    <w:rsid w:val="6BEA2A9B"/>
    <w:rsid w:val="6C922387"/>
    <w:rsid w:val="6C9C0875"/>
    <w:rsid w:val="6C9D1F03"/>
    <w:rsid w:val="6CAA3931"/>
    <w:rsid w:val="6D3933CA"/>
    <w:rsid w:val="6D6B365F"/>
    <w:rsid w:val="6D7B61EC"/>
    <w:rsid w:val="6DB034B4"/>
    <w:rsid w:val="6DD049FF"/>
    <w:rsid w:val="6E09491E"/>
    <w:rsid w:val="6E0D3655"/>
    <w:rsid w:val="6E5F4465"/>
    <w:rsid w:val="6E8C54DA"/>
    <w:rsid w:val="6E9A19C7"/>
    <w:rsid w:val="6EBC0603"/>
    <w:rsid w:val="6EF11E03"/>
    <w:rsid w:val="6F111C62"/>
    <w:rsid w:val="6F2176E5"/>
    <w:rsid w:val="6F3053CA"/>
    <w:rsid w:val="6F36242A"/>
    <w:rsid w:val="6F3D0943"/>
    <w:rsid w:val="6F592303"/>
    <w:rsid w:val="6F5F5B74"/>
    <w:rsid w:val="6F8F583F"/>
    <w:rsid w:val="6F9B1C65"/>
    <w:rsid w:val="6FD47A25"/>
    <w:rsid w:val="6FF44026"/>
    <w:rsid w:val="6FFB146E"/>
    <w:rsid w:val="701A5C74"/>
    <w:rsid w:val="702F3458"/>
    <w:rsid w:val="706516C3"/>
    <w:rsid w:val="70864A71"/>
    <w:rsid w:val="70896E68"/>
    <w:rsid w:val="709919CB"/>
    <w:rsid w:val="70FE3F45"/>
    <w:rsid w:val="714556B4"/>
    <w:rsid w:val="715B60E9"/>
    <w:rsid w:val="71E96309"/>
    <w:rsid w:val="71EA1FED"/>
    <w:rsid w:val="72107E2C"/>
    <w:rsid w:val="721B4BCD"/>
    <w:rsid w:val="72284A0C"/>
    <w:rsid w:val="72634059"/>
    <w:rsid w:val="727E0A99"/>
    <w:rsid w:val="72854629"/>
    <w:rsid w:val="72A419C0"/>
    <w:rsid w:val="72C16204"/>
    <w:rsid w:val="72D57F9A"/>
    <w:rsid w:val="730313F6"/>
    <w:rsid w:val="731E1007"/>
    <w:rsid w:val="73370D24"/>
    <w:rsid w:val="73570D3C"/>
    <w:rsid w:val="7359268C"/>
    <w:rsid w:val="739503EB"/>
    <w:rsid w:val="73A05B28"/>
    <w:rsid w:val="73C07D69"/>
    <w:rsid w:val="73E352ED"/>
    <w:rsid w:val="749E2255"/>
    <w:rsid w:val="74B42AE4"/>
    <w:rsid w:val="74E042F3"/>
    <w:rsid w:val="750A429D"/>
    <w:rsid w:val="75167F59"/>
    <w:rsid w:val="755D38A7"/>
    <w:rsid w:val="755F5A0F"/>
    <w:rsid w:val="75614792"/>
    <w:rsid w:val="75680129"/>
    <w:rsid w:val="75784473"/>
    <w:rsid w:val="757E044C"/>
    <w:rsid w:val="75977BC3"/>
    <w:rsid w:val="75B161B3"/>
    <w:rsid w:val="75E470E3"/>
    <w:rsid w:val="763C3C87"/>
    <w:rsid w:val="76736B32"/>
    <w:rsid w:val="76E3765E"/>
    <w:rsid w:val="76F016FB"/>
    <w:rsid w:val="76FC2AFA"/>
    <w:rsid w:val="77310AF7"/>
    <w:rsid w:val="773F0836"/>
    <w:rsid w:val="77653671"/>
    <w:rsid w:val="778546CC"/>
    <w:rsid w:val="77B56730"/>
    <w:rsid w:val="77C04A8B"/>
    <w:rsid w:val="77D85DB3"/>
    <w:rsid w:val="780252A0"/>
    <w:rsid w:val="78027772"/>
    <w:rsid w:val="786C5734"/>
    <w:rsid w:val="78A50513"/>
    <w:rsid w:val="78EE1700"/>
    <w:rsid w:val="793B7339"/>
    <w:rsid w:val="795833A1"/>
    <w:rsid w:val="796518DD"/>
    <w:rsid w:val="796C2EB5"/>
    <w:rsid w:val="796E0C55"/>
    <w:rsid w:val="797C5614"/>
    <w:rsid w:val="799C79A6"/>
    <w:rsid w:val="79AA0532"/>
    <w:rsid w:val="79F70999"/>
    <w:rsid w:val="79FE1DDD"/>
    <w:rsid w:val="7A075767"/>
    <w:rsid w:val="7A212062"/>
    <w:rsid w:val="7A282A11"/>
    <w:rsid w:val="7A9E3ACF"/>
    <w:rsid w:val="7AB90FF6"/>
    <w:rsid w:val="7AC21562"/>
    <w:rsid w:val="7AC655EE"/>
    <w:rsid w:val="7AD474A4"/>
    <w:rsid w:val="7B115232"/>
    <w:rsid w:val="7B401C35"/>
    <w:rsid w:val="7B416BDC"/>
    <w:rsid w:val="7B5350AD"/>
    <w:rsid w:val="7B6867EB"/>
    <w:rsid w:val="7B697C89"/>
    <w:rsid w:val="7B7635D5"/>
    <w:rsid w:val="7B8D34C3"/>
    <w:rsid w:val="7B971D84"/>
    <w:rsid w:val="7BF32F03"/>
    <w:rsid w:val="7C1724A5"/>
    <w:rsid w:val="7C8E3CCF"/>
    <w:rsid w:val="7CA54112"/>
    <w:rsid w:val="7CE50CE4"/>
    <w:rsid w:val="7CE56503"/>
    <w:rsid w:val="7D03421F"/>
    <w:rsid w:val="7D2E5ABF"/>
    <w:rsid w:val="7DCA1E7A"/>
    <w:rsid w:val="7E2142A2"/>
    <w:rsid w:val="7E4F5384"/>
    <w:rsid w:val="7E5A6DFA"/>
    <w:rsid w:val="7E613B0F"/>
    <w:rsid w:val="7E7B0BF2"/>
    <w:rsid w:val="7E7C7A78"/>
    <w:rsid w:val="7E8D75B6"/>
    <w:rsid w:val="7EA34F14"/>
    <w:rsid w:val="7EB2417D"/>
    <w:rsid w:val="7ED406ED"/>
    <w:rsid w:val="7EF760EE"/>
    <w:rsid w:val="7F2A21E7"/>
    <w:rsid w:val="7F613A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1"/>
    <w:unhideWhenUsed/>
    <w:qFormat/>
    <w:uiPriority w:val="9"/>
    <w:pPr>
      <w:keepNext/>
      <w:keepLines/>
      <w:outlineLvl w:val="2"/>
    </w:pPr>
    <w:rPr>
      <w:b/>
      <w:bCs/>
      <w:sz w:val="28"/>
      <w:szCs w:val="32"/>
    </w:rPr>
  </w:style>
  <w:style w:type="paragraph" w:styleId="7">
    <w:name w:val="heading 4"/>
    <w:basedOn w:val="1"/>
    <w:next w:val="1"/>
    <w:link w:val="33"/>
    <w:unhideWhenUsed/>
    <w:qFormat/>
    <w:uiPriority w:val="9"/>
    <w:pPr>
      <w:keepNext/>
      <w:keepLines/>
      <w:outlineLvl w:val="3"/>
    </w:pPr>
    <w:rPr>
      <w:rFonts w:asciiTheme="majorHAnsi" w:hAnsiTheme="majorHAns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cs="宋体"/>
      <w:sz w:val="24"/>
      <w:lang w:val="zh-CN" w:bidi="zh-CN"/>
    </w:rPr>
  </w:style>
  <w:style w:type="paragraph" w:styleId="3">
    <w:name w:val="Body Text First Indent"/>
    <w:basedOn w:val="2"/>
    <w:unhideWhenUsed/>
    <w:qFormat/>
    <w:uiPriority w:val="99"/>
    <w:pPr>
      <w:ind w:firstLine="420" w:firstLineChars="100"/>
    </w:pPr>
    <w:rPr>
      <w:rFonts w:ascii="Times New Roman" w:hAnsi="Times New Roman" w:cs="Times New Roman"/>
    </w:rPr>
  </w:style>
  <w:style w:type="paragraph" w:styleId="8">
    <w:name w:val="annotation text"/>
    <w:basedOn w:val="1"/>
    <w:semiHidden/>
    <w:unhideWhenUsed/>
    <w:qFormat/>
    <w:uiPriority w:val="99"/>
  </w:style>
  <w:style w:type="paragraph" w:styleId="9">
    <w:name w:val="toc 3"/>
    <w:basedOn w:val="1"/>
    <w:next w:val="1"/>
    <w:unhideWhenUsed/>
    <w:qFormat/>
    <w:uiPriority w:val="39"/>
    <w:pPr>
      <w:tabs>
        <w:tab w:val="right" w:leader="dot" w:pos="8296"/>
      </w:tabs>
      <w:ind w:left="838" w:leftChars="381"/>
    </w:pPr>
    <w:rPr>
      <w:szCs w:val="21"/>
    </w:rPr>
  </w:style>
  <w:style w:type="paragraph" w:styleId="10">
    <w:name w:val="Plain Text"/>
    <w:basedOn w:val="1"/>
    <w:link w:val="44"/>
    <w:qFormat/>
    <w:uiPriority w:val="0"/>
    <w:pPr>
      <w:widowControl w:val="0"/>
      <w:adjustRightInd/>
      <w:snapToGrid/>
      <w:jc w:val="both"/>
    </w:pPr>
    <w:rPr>
      <w:rFonts w:ascii="宋体" w:hAnsi="Courier New" w:cs="Times New Roman"/>
      <w:b/>
      <w:kern w:val="2"/>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7"/>
    <w:semiHidden/>
    <w:unhideWhenUsed/>
    <w:qFormat/>
    <w:uiPriority w:val="99"/>
    <w:rPr>
      <w:sz w:val="18"/>
      <w:szCs w:val="18"/>
    </w:rPr>
  </w:style>
  <w:style w:type="paragraph" w:styleId="13">
    <w:name w:val="footer"/>
    <w:basedOn w:val="1"/>
    <w:link w:val="46"/>
    <w:unhideWhenUsed/>
    <w:qFormat/>
    <w:uiPriority w:val="99"/>
    <w:pPr>
      <w:tabs>
        <w:tab w:val="center" w:pos="4153"/>
        <w:tab w:val="right" w:pos="8306"/>
      </w:tabs>
    </w:pPr>
    <w:rPr>
      <w:sz w:val="18"/>
      <w:szCs w:val="18"/>
    </w:rPr>
  </w:style>
  <w:style w:type="paragraph" w:styleId="14">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unhideWhenUsed/>
    <w:qFormat/>
    <w:uiPriority w:val="99"/>
  </w:style>
  <w:style w:type="paragraph" w:styleId="19">
    <w:name w:val="footnote text"/>
    <w:basedOn w:val="1"/>
    <w:semiHidden/>
    <w:unhideWhenUsed/>
    <w:qFormat/>
    <w:uiPriority w:val="99"/>
    <w:rPr>
      <w:sz w:val="18"/>
    </w:rPr>
  </w:style>
  <w:style w:type="paragraph" w:styleId="20">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1">
    <w:name w:val="Normal (Web)"/>
    <w:basedOn w:val="1"/>
    <w:link w:val="49"/>
    <w:qFormat/>
    <w:uiPriority w:val="0"/>
    <w:pPr>
      <w:widowControl w:val="0"/>
      <w:adjustRightInd/>
      <w:snapToGrid/>
      <w:jc w:val="both"/>
    </w:pPr>
    <w:rPr>
      <w:rFonts w:asciiTheme="minorHAnsi" w:hAnsiTheme="minorHAnsi"/>
      <w:kern w:val="2"/>
      <w:sz w:val="24"/>
      <w:szCs w:val="24"/>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djustRightInd/>
      <w:spacing w:before="25" w:after="25"/>
    </w:pPr>
    <w:rPr>
      <w:rFonts w:ascii="Times New Roman"/>
      <w:bCs/>
      <w:spacing w:val="10"/>
      <w:szCs w:val="20"/>
    </w:rPr>
  </w:style>
  <w:style w:type="character" w:customStyle="1" w:styleId="30">
    <w:name w:val="标题 2 Char"/>
    <w:basedOn w:val="24"/>
    <w:link w:val="5"/>
    <w:qFormat/>
    <w:uiPriority w:val="9"/>
    <w:rPr>
      <w:rFonts w:asciiTheme="majorHAnsi" w:hAnsiTheme="majorHAnsi" w:eastAsiaTheme="majorEastAsia" w:cstheme="majorBidi"/>
      <w:b/>
      <w:bCs/>
      <w:sz w:val="32"/>
      <w:szCs w:val="32"/>
    </w:rPr>
  </w:style>
  <w:style w:type="character" w:customStyle="1" w:styleId="31">
    <w:name w:val="标题 3 Char"/>
    <w:basedOn w:val="24"/>
    <w:link w:val="6"/>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7"/>
    <w:qFormat/>
    <w:uiPriority w:val="9"/>
    <w:rPr>
      <w:rFonts w:eastAsia="宋体" w:asciiTheme="majorHAnsi" w:hAnsiTheme="majorHAns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next w:val="1"/>
    <w:link w:val="34"/>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6"/>
    <w:link w:val="40"/>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10"/>
    <w:semiHidden/>
    <w:qFormat/>
    <w:uiPriority w:val="99"/>
    <w:rPr>
      <w:rFonts w:ascii="宋体" w:hAnsi="Courier New" w:eastAsia="宋体" w:cs="Courier New"/>
      <w:sz w:val="21"/>
      <w:szCs w:val="21"/>
    </w:rPr>
  </w:style>
  <w:style w:type="character" w:customStyle="1" w:styleId="45">
    <w:name w:val="页眉 Char"/>
    <w:basedOn w:val="24"/>
    <w:link w:val="14"/>
    <w:qFormat/>
    <w:uiPriority w:val="99"/>
    <w:rPr>
      <w:rFonts w:ascii="Tahoma" w:hAnsi="Tahoma"/>
      <w:sz w:val="18"/>
      <w:szCs w:val="18"/>
    </w:rPr>
  </w:style>
  <w:style w:type="character" w:customStyle="1" w:styleId="46">
    <w:name w:val="页脚 Char"/>
    <w:basedOn w:val="24"/>
    <w:link w:val="13"/>
    <w:qFormat/>
    <w:uiPriority w:val="99"/>
    <w:rPr>
      <w:rFonts w:ascii="Tahoma" w:hAnsi="Tahoma"/>
      <w:sz w:val="18"/>
      <w:szCs w:val="18"/>
    </w:rPr>
  </w:style>
  <w:style w:type="character" w:customStyle="1" w:styleId="47">
    <w:name w:val="批注框文本 Char"/>
    <w:basedOn w:val="24"/>
    <w:link w:val="12"/>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49">
    <w:name w:val="普通(网站) Char"/>
    <w:link w:val="21"/>
    <w:qFormat/>
    <w:uiPriority w:val="0"/>
    <w:rPr>
      <w:rFonts w:eastAsia="宋体"/>
      <w:kern w:val="2"/>
      <w:sz w:val="24"/>
      <w:szCs w:val="24"/>
    </w:rPr>
  </w:style>
  <w:style w:type="paragraph" w:customStyle="1" w:styleId="50">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3">
    <w:name w:val="正文无缩进"/>
    <w:basedOn w:val="35"/>
    <w:qFormat/>
    <w:uiPriority w:val="0"/>
    <w:p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4F3ADA-425B-4234-9FE1-20D19420B6D5}">
  <ds:schemaRefs/>
</ds:datastoreItem>
</file>

<file path=docProps/app.xml><?xml version="1.0" encoding="utf-8"?>
<Properties xmlns="http://schemas.openxmlformats.org/officeDocument/2006/extended-properties" xmlns:vt="http://schemas.openxmlformats.org/officeDocument/2006/docPropsVTypes">
  <Template>Normal</Template>
  <Pages>82</Pages>
  <Words>34778</Words>
  <Characters>38641</Characters>
  <Lines>316</Lines>
  <Paragraphs>89</Paragraphs>
  <TotalTime>34</TotalTime>
  <ScaleCrop>false</ScaleCrop>
  <LinksUpToDate>false</LinksUpToDate>
  <CharactersWithSpaces>41014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七月！</cp:lastModifiedBy>
  <cp:lastPrinted>2021-04-23T09:50:00Z</cp:lastPrinted>
  <dcterms:modified xsi:type="dcterms:W3CDTF">2022-12-22T07:14:57Z</dcterms:modified>
  <dc:subject>公开招标文件版本</dc:subject>
  <dc:title>公开招标文件版本</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88D3FD0C527F466DBA0E5AD2EDD6B864</vt:lpwstr>
  </property>
</Properties>
</file>